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2.xml" ContentType="application/vnd.openxmlformats-officedocument.drawingml.chartshapes+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E319CB7" w14:textId="4FBA8B91" w:rsidR="002B77EA" w:rsidRPr="00DB28C3" w:rsidRDefault="002B77EA" w:rsidP="00CC7869">
      <w:pPr>
        <w:pStyle w:val="BodyText"/>
        <w:jc w:val="both"/>
        <w:rPr>
          <w:b w:val="0"/>
          <w:color w:val="000000" w:themeColor="text1"/>
          <w:sz w:val="28"/>
          <w:szCs w:val="28"/>
          <w:highlight w:val="yellow"/>
          <w:lang w:val="lv-LV"/>
        </w:rPr>
      </w:pPr>
      <w:r w:rsidRPr="00DB28C3">
        <w:rPr>
          <w:noProof/>
          <w:highlight w:val="yellow"/>
          <w:lang w:val="lv-LV" w:eastAsia="lv-LV"/>
        </w:rPr>
        <w:drawing>
          <wp:anchor distT="0" distB="0" distL="114300" distR="114300" simplePos="0" relativeHeight="251657216" behindDoc="1" locked="0" layoutInCell="1" allowOverlap="1" wp14:anchorId="50504E30" wp14:editId="289B2DC8">
            <wp:simplePos x="0" y="0"/>
            <wp:positionH relativeFrom="margin">
              <wp:posOffset>4364858</wp:posOffset>
            </wp:positionH>
            <wp:positionV relativeFrom="paragraph">
              <wp:posOffset>90170</wp:posOffset>
            </wp:positionV>
            <wp:extent cx="1453515" cy="596900"/>
            <wp:effectExtent l="0" t="0" r="0" b="0"/>
            <wp:wrapTight wrapText="bothSides">
              <wp:wrapPolygon edited="0">
                <wp:start x="9625" y="0"/>
                <wp:lineTo x="0" y="4826"/>
                <wp:lineTo x="0" y="20681"/>
                <wp:lineTo x="5379" y="20681"/>
                <wp:lineTo x="15853" y="20681"/>
                <wp:lineTo x="21232" y="20681"/>
                <wp:lineTo x="21232" y="11030"/>
                <wp:lineTo x="16136" y="11030"/>
                <wp:lineTo x="21232" y="7583"/>
                <wp:lineTo x="21232" y="2757"/>
                <wp:lineTo x="11890" y="0"/>
                <wp:lineTo x="9625" y="0"/>
              </wp:wrapPolygon>
            </wp:wrapTight>
            <wp:docPr id="21" name="Picture 21" descr="C:\Users\kd-rabov\AppData\Local\Microsoft\Windows\INetCache\Content.Word\EEA-and-Norway_grant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d-rabov\AppData\Local\Microsoft\Windows\INetCache\Content.Word\EEA-and-Norway_grants.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53515" cy="596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8C3">
        <w:rPr>
          <w:noProof/>
          <w:highlight w:val="yellow"/>
          <w:lang w:val="lv-LV" w:eastAsia="lv-LV"/>
        </w:rPr>
        <w:drawing>
          <wp:anchor distT="0" distB="0" distL="114300" distR="114300" simplePos="0" relativeHeight="251658240" behindDoc="1" locked="0" layoutInCell="1" allowOverlap="1" wp14:anchorId="0481BEC6" wp14:editId="64381EE8">
            <wp:simplePos x="0" y="0"/>
            <wp:positionH relativeFrom="column">
              <wp:posOffset>-343535</wp:posOffset>
            </wp:positionH>
            <wp:positionV relativeFrom="paragraph">
              <wp:posOffset>172085</wp:posOffset>
            </wp:positionV>
            <wp:extent cx="3048000" cy="641350"/>
            <wp:effectExtent l="0" t="0" r="0" b="6350"/>
            <wp:wrapTight wrapText="bothSides">
              <wp:wrapPolygon edited="0">
                <wp:start x="6615" y="0"/>
                <wp:lineTo x="0" y="1283"/>
                <wp:lineTo x="0" y="18606"/>
                <wp:lineTo x="2700" y="21172"/>
                <wp:lineTo x="18900" y="21172"/>
                <wp:lineTo x="21465" y="18606"/>
                <wp:lineTo x="21465" y="0"/>
                <wp:lineTo x="6615" y="0"/>
              </wp:wrapPolygon>
            </wp:wrapTight>
            <wp:docPr id="20" name="Picture 20" descr="Esfondi.l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sfondi.lv"/>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048000" cy="641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28C3">
        <w:rPr>
          <w:noProof/>
          <w:sz w:val="28"/>
          <w:szCs w:val="28"/>
          <w:highlight w:val="yellow"/>
          <w:lang w:val="lv-LV" w:eastAsia="lv-LV"/>
        </w:rPr>
        <w:drawing>
          <wp:anchor distT="0" distB="0" distL="114300" distR="114300" simplePos="0" relativeHeight="251656192" behindDoc="1" locked="0" layoutInCell="1" allowOverlap="1" wp14:anchorId="55DF398F" wp14:editId="58068E89">
            <wp:simplePos x="0" y="0"/>
            <wp:positionH relativeFrom="margin">
              <wp:posOffset>2503849</wp:posOffset>
            </wp:positionH>
            <wp:positionV relativeFrom="paragraph">
              <wp:posOffset>92075</wp:posOffset>
            </wp:positionV>
            <wp:extent cx="2039964" cy="742950"/>
            <wp:effectExtent l="0" t="0" r="0" b="0"/>
            <wp:wrapTight wrapText="bothSides">
              <wp:wrapPolygon edited="0">
                <wp:start x="0" y="0"/>
                <wp:lineTo x="0" y="21046"/>
                <wp:lineTo x="21385" y="21046"/>
                <wp:lineTo x="21385" y="0"/>
                <wp:lineTo x="0" y="0"/>
              </wp:wrapPolygon>
            </wp:wrapTight>
            <wp:docPr id="29" name="Picture 29" descr="cid:image003.png@01D277BE.D84A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3.png@01D277BE.D84A3840"/>
                    <pic:cNvPicPr>
                      <a:picLocks noChangeAspect="1" noChangeArrowheads="1"/>
                    </pic:cNvPicPr>
                  </pic:nvPicPr>
                  <pic:blipFill>
                    <a:blip r:embed="rId10" r:link="rId11">
                      <a:extLst>
                        <a:ext uri="{28A0092B-C50C-407E-A947-70E740481C1C}">
                          <a14:useLocalDpi xmlns:a14="http://schemas.microsoft.com/office/drawing/2010/main" val="0"/>
                        </a:ext>
                      </a:extLst>
                    </a:blip>
                    <a:srcRect/>
                    <a:stretch>
                      <a:fillRect/>
                    </a:stretch>
                  </pic:blipFill>
                  <pic:spPr bwMode="auto">
                    <a:xfrm>
                      <a:off x="0" y="0"/>
                      <a:ext cx="2039964" cy="742950"/>
                    </a:xfrm>
                    <a:prstGeom prst="rect">
                      <a:avLst/>
                    </a:prstGeom>
                    <a:noFill/>
                    <a:ln>
                      <a:noFill/>
                    </a:ln>
                  </pic:spPr>
                </pic:pic>
              </a:graphicData>
            </a:graphic>
          </wp:anchor>
        </w:drawing>
      </w:r>
    </w:p>
    <w:p w14:paraId="2055DCD1" w14:textId="60A28FA0" w:rsidR="002B77EA" w:rsidRPr="00DB28C3" w:rsidRDefault="002B77EA" w:rsidP="00CC7869">
      <w:pPr>
        <w:pStyle w:val="BodyText"/>
        <w:jc w:val="both"/>
        <w:rPr>
          <w:b w:val="0"/>
          <w:color w:val="000000" w:themeColor="text1"/>
          <w:sz w:val="28"/>
          <w:szCs w:val="28"/>
          <w:highlight w:val="yellow"/>
          <w:lang w:val="lv-LV"/>
        </w:rPr>
      </w:pPr>
    </w:p>
    <w:p w14:paraId="19050A95" w14:textId="24FF4054" w:rsidR="002B77EA" w:rsidRPr="00DB28C3" w:rsidRDefault="002B77EA" w:rsidP="00CC7869">
      <w:pPr>
        <w:pStyle w:val="BodyText"/>
        <w:jc w:val="both"/>
        <w:rPr>
          <w:b w:val="0"/>
          <w:color w:val="000000" w:themeColor="text1"/>
          <w:sz w:val="28"/>
          <w:szCs w:val="28"/>
          <w:highlight w:val="yellow"/>
          <w:lang w:val="lv-LV"/>
        </w:rPr>
      </w:pPr>
    </w:p>
    <w:p w14:paraId="7173A2A2" w14:textId="326A3AF2" w:rsidR="002B77EA" w:rsidRPr="00DB28C3" w:rsidRDefault="002B77EA" w:rsidP="00CC7869">
      <w:pPr>
        <w:pStyle w:val="BodyText"/>
        <w:jc w:val="both"/>
        <w:rPr>
          <w:b w:val="0"/>
          <w:color w:val="000000" w:themeColor="text1"/>
          <w:sz w:val="28"/>
          <w:szCs w:val="28"/>
          <w:highlight w:val="yellow"/>
          <w:lang w:val="lv-LV"/>
        </w:rPr>
      </w:pPr>
    </w:p>
    <w:p w14:paraId="7C331D01" w14:textId="77777777" w:rsidR="002B77EA" w:rsidRPr="00DB28C3" w:rsidRDefault="002B77EA" w:rsidP="00CC7869">
      <w:pPr>
        <w:pStyle w:val="BodyText"/>
        <w:jc w:val="both"/>
        <w:rPr>
          <w:b w:val="0"/>
          <w:color w:val="000000" w:themeColor="text1"/>
          <w:sz w:val="28"/>
          <w:szCs w:val="28"/>
          <w:highlight w:val="yellow"/>
          <w:lang w:val="lv-LV"/>
        </w:rPr>
      </w:pPr>
    </w:p>
    <w:p w14:paraId="4FECAED1" w14:textId="77777777" w:rsidR="002B77EA" w:rsidRPr="00DB28C3" w:rsidRDefault="002B77EA" w:rsidP="00CC7869">
      <w:pPr>
        <w:pStyle w:val="BodyText"/>
        <w:jc w:val="both"/>
        <w:rPr>
          <w:b w:val="0"/>
          <w:color w:val="000000" w:themeColor="text1"/>
          <w:sz w:val="28"/>
          <w:szCs w:val="28"/>
          <w:highlight w:val="yellow"/>
          <w:lang w:val="lv-LV"/>
        </w:rPr>
      </w:pPr>
    </w:p>
    <w:p w14:paraId="45FB60B7" w14:textId="77777777" w:rsidR="002B77EA" w:rsidRPr="00DB28C3" w:rsidRDefault="002B77EA" w:rsidP="00CC7869">
      <w:pPr>
        <w:pStyle w:val="BodyText"/>
        <w:jc w:val="both"/>
        <w:rPr>
          <w:b w:val="0"/>
          <w:color w:val="000000" w:themeColor="text1"/>
          <w:sz w:val="28"/>
          <w:szCs w:val="28"/>
          <w:lang w:val="lv-LV"/>
        </w:rPr>
      </w:pPr>
    </w:p>
    <w:p w14:paraId="57BA2FAF" w14:textId="42F186B2" w:rsidR="002B77EA" w:rsidRPr="00DB28C3" w:rsidRDefault="002B77EA" w:rsidP="00CC7869">
      <w:pPr>
        <w:pStyle w:val="BodyText"/>
        <w:tabs>
          <w:tab w:val="left" w:pos="3765"/>
        </w:tabs>
        <w:jc w:val="both"/>
        <w:rPr>
          <w:b w:val="0"/>
          <w:color w:val="000000" w:themeColor="text1"/>
          <w:sz w:val="28"/>
          <w:szCs w:val="28"/>
          <w:lang w:val="lv-LV"/>
        </w:rPr>
      </w:pPr>
    </w:p>
    <w:p w14:paraId="1CC4394C" w14:textId="77777777" w:rsidR="002B77EA" w:rsidRPr="00DB28C3" w:rsidRDefault="002B77EA" w:rsidP="00CC7869">
      <w:pPr>
        <w:pStyle w:val="BodyText"/>
        <w:jc w:val="both"/>
        <w:rPr>
          <w:b w:val="0"/>
          <w:color w:val="000000" w:themeColor="text1"/>
          <w:sz w:val="28"/>
          <w:szCs w:val="28"/>
          <w:lang w:val="lv-LV"/>
        </w:rPr>
      </w:pPr>
    </w:p>
    <w:p w14:paraId="2ED6E197" w14:textId="316A0154" w:rsidR="002B77EA" w:rsidRPr="00DB28C3" w:rsidDel="00392FDF" w:rsidRDefault="002B77EA" w:rsidP="00CC7869">
      <w:pPr>
        <w:pStyle w:val="BodyText"/>
        <w:jc w:val="center"/>
        <w:rPr>
          <w:color w:val="000000" w:themeColor="text1"/>
          <w:sz w:val="28"/>
          <w:szCs w:val="28"/>
          <w:lang w:val="lv-LV"/>
        </w:rPr>
      </w:pPr>
      <w:bookmarkStart w:id="0" w:name="OLE_LINK8"/>
      <w:bookmarkStart w:id="1" w:name="OLE_LINK9"/>
      <w:r w:rsidRPr="00DB28C3">
        <w:rPr>
          <w:color w:val="000000" w:themeColor="text1"/>
          <w:sz w:val="28"/>
          <w:szCs w:val="28"/>
          <w:lang w:val="lv-LV"/>
        </w:rPr>
        <w:t xml:space="preserve">Informatīvais ziņojums </w:t>
      </w:r>
      <w:r w:rsidR="00DA5E36" w:rsidRPr="00DB28C3">
        <w:rPr>
          <w:color w:val="000000" w:themeColor="text1"/>
          <w:sz w:val="28"/>
          <w:szCs w:val="28"/>
          <w:lang w:val="lv-LV"/>
        </w:rPr>
        <w:t>par</w:t>
      </w:r>
    </w:p>
    <w:p w14:paraId="0499348D" w14:textId="10337E96" w:rsidR="002B77EA" w:rsidRPr="00DB28C3" w:rsidRDefault="005F5540" w:rsidP="00CC7869">
      <w:pPr>
        <w:pStyle w:val="Title"/>
        <w:rPr>
          <w:b w:val="0"/>
          <w:color w:val="000000" w:themeColor="text1"/>
        </w:rPr>
      </w:pPr>
      <w:r w:rsidRPr="00DB28C3">
        <w:rPr>
          <w:b w:val="0"/>
          <w:color w:val="000000" w:themeColor="text1"/>
        </w:rPr>
        <w:t>Kohēzijas politikas Eiropas Savienības fondu</w:t>
      </w:r>
      <w:r w:rsidR="002B77EA" w:rsidRPr="00DB28C3">
        <w:rPr>
          <w:b w:val="0"/>
          <w:color w:val="000000" w:themeColor="text1"/>
        </w:rPr>
        <w:t xml:space="preserve"> investī</w:t>
      </w:r>
      <w:r w:rsidR="00B43BEB" w:rsidRPr="00DB28C3">
        <w:rPr>
          <w:b w:val="0"/>
          <w:color w:val="000000" w:themeColor="text1"/>
        </w:rPr>
        <w:t xml:space="preserve">ciju </w:t>
      </w:r>
      <w:r w:rsidR="001B742A" w:rsidRPr="00DB28C3">
        <w:rPr>
          <w:b w:val="0"/>
          <w:color w:val="000000" w:themeColor="text1"/>
        </w:rPr>
        <w:t>aktualitātēm</w:t>
      </w:r>
      <w:r w:rsidR="007E121F">
        <w:rPr>
          <w:b w:val="0"/>
          <w:color w:val="000000" w:themeColor="text1"/>
        </w:rPr>
        <w:t xml:space="preserve"> līdz 2019.</w:t>
      </w:r>
      <w:r w:rsidR="008855BD">
        <w:rPr>
          <w:b w:val="0"/>
          <w:color w:val="000000" w:themeColor="text1"/>
        </w:rPr>
        <w:t> </w:t>
      </w:r>
      <w:r w:rsidR="007E121F">
        <w:rPr>
          <w:b w:val="0"/>
          <w:color w:val="000000" w:themeColor="text1"/>
        </w:rPr>
        <w:t>gada augusta</w:t>
      </w:r>
      <w:r w:rsidR="00B55717">
        <w:rPr>
          <w:b w:val="0"/>
          <w:color w:val="000000" w:themeColor="text1"/>
        </w:rPr>
        <w:t>m (pusgada ziņojums)</w:t>
      </w:r>
      <w:bookmarkEnd w:id="0"/>
      <w:bookmarkEnd w:id="1"/>
    </w:p>
    <w:p w14:paraId="10FE66FC" w14:textId="77777777" w:rsidR="00DC0756" w:rsidRPr="00DB28C3" w:rsidRDefault="00DC0756" w:rsidP="00CC7869">
      <w:pPr>
        <w:spacing w:before="120" w:after="120" w:line="276" w:lineRule="auto"/>
        <w:rPr>
          <w:rFonts w:eastAsia="Times New Roman" w:cs="Times New Roman"/>
          <w:color w:val="000000" w:themeColor="text1"/>
          <w:sz w:val="28"/>
          <w:szCs w:val="28"/>
          <w:highlight w:val="yellow"/>
        </w:rPr>
      </w:pPr>
      <w:r w:rsidRPr="00DB28C3">
        <w:rPr>
          <w:rFonts w:cs="Times New Roman"/>
          <w:b/>
          <w:color w:val="000000" w:themeColor="text1"/>
          <w:sz w:val="28"/>
          <w:szCs w:val="28"/>
          <w:highlight w:val="yellow"/>
        </w:rPr>
        <w:br w:type="page"/>
      </w:r>
    </w:p>
    <w:p w14:paraId="1E6BE4E3" w14:textId="77777777" w:rsidR="009C0862" w:rsidRPr="00DB28C3" w:rsidRDefault="009C0862" w:rsidP="00CC7869">
      <w:pPr>
        <w:pStyle w:val="Title"/>
        <w:rPr>
          <w:highlight w:val="yellow"/>
        </w:rPr>
      </w:pPr>
    </w:p>
    <w:sdt>
      <w:sdtPr>
        <w:rPr>
          <w:rFonts w:ascii="Times New Roman" w:eastAsiaTheme="minorHAnsi" w:hAnsi="Times New Roman" w:cs="Times New Roman"/>
          <w:color w:val="auto"/>
          <w:sz w:val="28"/>
          <w:szCs w:val="28"/>
          <w:highlight w:val="yellow"/>
          <w:lang w:val="lv-LV"/>
        </w:rPr>
        <w:id w:val="1547027860"/>
        <w:docPartObj>
          <w:docPartGallery w:val="Table of Contents"/>
          <w:docPartUnique/>
        </w:docPartObj>
      </w:sdtPr>
      <w:sdtEndPr>
        <w:rPr>
          <w:bCs/>
        </w:rPr>
      </w:sdtEndPr>
      <w:sdtContent>
        <w:p w14:paraId="577D9EDF" w14:textId="77777777" w:rsidR="009C0862" w:rsidRPr="00DB28C3" w:rsidRDefault="009C0862" w:rsidP="00293BEF">
          <w:pPr>
            <w:pStyle w:val="TOCHeading"/>
            <w:tabs>
              <w:tab w:val="left" w:pos="2277"/>
            </w:tabs>
            <w:spacing w:before="120" w:after="120" w:line="276" w:lineRule="auto"/>
            <w:rPr>
              <w:rFonts w:ascii="Times New Roman" w:hAnsi="Times New Roman" w:cs="Times New Roman"/>
              <w:color w:val="auto"/>
              <w:sz w:val="28"/>
              <w:szCs w:val="28"/>
              <w:lang w:val="lv-LV"/>
            </w:rPr>
          </w:pPr>
          <w:r w:rsidRPr="00DB28C3">
            <w:rPr>
              <w:rFonts w:ascii="Times New Roman" w:hAnsi="Times New Roman" w:cs="Times New Roman"/>
              <w:b/>
              <w:color w:val="auto"/>
              <w:sz w:val="28"/>
              <w:szCs w:val="28"/>
              <w:lang w:val="lv-LV"/>
            </w:rPr>
            <w:t>Satura rādītājs</w:t>
          </w:r>
          <w:r w:rsidR="00BB21DD" w:rsidRPr="00DB28C3">
            <w:rPr>
              <w:rFonts w:ascii="Times New Roman" w:hAnsi="Times New Roman" w:cs="Times New Roman"/>
              <w:color w:val="auto"/>
              <w:sz w:val="28"/>
              <w:szCs w:val="28"/>
              <w:lang w:val="lv-LV"/>
            </w:rPr>
            <w:tab/>
          </w:r>
        </w:p>
        <w:p w14:paraId="07FA9CB1" w14:textId="2AF321D9" w:rsidR="007C36A9" w:rsidRPr="00EA5055" w:rsidRDefault="009C0862" w:rsidP="007C36A9">
          <w:pPr>
            <w:pStyle w:val="TOC1"/>
            <w:rPr>
              <w:rFonts w:asciiTheme="minorHAnsi" w:eastAsiaTheme="minorEastAsia" w:hAnsiTheme="minorHAnsi" w:cstheme="minorBidi"/>
              <w:sz w:val="22"/>
              <w:szCs w:val="22"/>
              <w:lang w:eastAsia="lv-LV"/>
            </w:rPr>
          </w:pPr>
          <w:r w:rsidRPr="00FA5129">
            <w:fldChar w:fldCharType="begin"/>
          </w:r>
          <w:r w:rsidRPr="00EA5055">
            <w:instrText xml:space="preserve"> TOC \o "1-3" \h \z \u </w:instrText>
          </w:r>
          <w:r w:rsidRPr="00FA5129">
            <w:fldChar w:fldCharType="separate"/>
          </w:r>
          <w:hyperlink w:anchor="_Toc17468205" w:history="1">
            <w:r w:rsidR="007C36A9" w:rsidRPr="00EA5055">
              <w:rPr>
                <w:rStyle w:val="Hyperlink"/>
              </w:rPr>
              <w:t>1. Kopsavilkums</w:t>
            </w:r>
            <w:r w:rsidR="007C36A9" w:rsidRPr="00EA5055">
              <w:rPr>
                <w:webHidden/>
              </w:rPr>
              <w:tab/>
            </w:r>
            <w:r w:rsidR="007C36A9" w:rsidRPr="006A1BFA">
              <w:rPr>
                <w:webHidden/>
              </w:rPr>
              <w:fldChar w:fldCharType="begin"/>
            </w:r>
            <w:r w:rsidR="007C36A9" w:rsidRPr="00EA5055">
              <w:rPr>
                <w:webHidden/>
              </w:rPr>
              <w:instrText xml:space="preserve"> PAGEREF _Toc17468205 \h </w:instrText>
            </w:r>
            <w:r w:rsidR="007C36A9" w:rsidRPr="006A1BFA">
              <w:rPr>
                <w:webHidden/>
              </w:rPr>
            </w:r>
            <w:r w:rsidR="007C36A9" w:rsidRPr="006A1BFA">
              <w:rPr>
                <w:webHidden/>
              </w:rPr>
              <w:fldChar w:fldCharType="separate"/>
            </w:r>
            <w:r w:rsidR="008855BD">
              <w:rPr>
                <w:webHidden/>
              </w:rPr>
              <w:t>7</w:t>
            </w:r>
            <w:r w:rsidR="007C36A9" w:rsidRPr="006A1BFA">
              <w:rPr>
                <w:webHidden/>
              </w:rPr>
              <w:fldChar w:fldCharType="end"/>
            </w:r>
          </w:hyperlink>
        </w:p>
        <w:p w14:paraId="3459DC43" w14:textId="253F695D" w:rsidR="007C36A9" w:rsidRPr="00EA5055" w:rsidRDefault="008B7DAF" w:rsidP="007C36A9">
          <w:pPr>
            <w:pStyle w:val="TOC1"/>
            <w:rPr>
              <w:rFonts w:asciiTheme="minorHAnsi" w:eastAsiaTheme="minorEastAsia" w:hAnsiTheme="minorHAnsi" w:cstheme="minorBidi"/>
              <w:sz w:val="22"/>
              <w:szCs w:val="22"/>
              <w:lang w:eastAsia="lv-LV"/>
            </w:rPr>
          </w:pPr>
          <w:hyperlink w:anchor="_Toc17468206" w:history="1">
            <w:r w:rsidR="007C36A9" w:rsidRPr="00EA5055">
              <w:rPr>
                <w:rStyle w:val="Hyperlink"/>
              </w:rPr>
              <w:t>2. ES fondu finansējuma ietekme uz Latvijas tautsaimniecības attīstību</w:t>
            </w:r>
            <w:r w:rsidR="007C36A9" w:rsidRPr="00EA5055">
              <w:rPr>
                <w:webHidden/>
              </w:rPr>
              <w:tab/>
            </w:r>
            <w:r w:rsidR="007C36A9" w:rsidRPr="00FA5129">
              <w:rPr>
                <w:webHidden/>
              </w:rPr>
              <w:fldChar w:fldCharType="begin"/>
            </w:r>
            <w:r w:rsidR="007C36A9" w:rsidRPr="00EA5055">
              <w:rPr>
                <w:webHidden/>
              </w:rPr>
              <w:instrText xml:space="preserve"> PAGEREF _Toc17468206 \h </w:instrText>
            </w:r>
            <w:r w:rsidR="007C36A9" w:rsidRPr="00FA5129">
              <w:rPr>
                <w:webHidden/>
              </w:rPr>
            </w:r>
            <w:r w:rsidR="007C36A9" w:rsidRPr="00FA5129">
              <w:rPr>
                <w:webHidden/>
              </w:rPr>
              <w:fldChar w:fldCharType="separate"/>
            </w:r>
            <w:r w:rsidR="008855BD">
              <w:rPr>
                <w:webHidden/>
              </w:rPr>
              <w:t>9</w:t>
            </w:r>
            <w:r w:rsidR="007C36A9" w:rsidRPr="00FA5129">
              <w:rPr>
                <w:webHidden/>
              </w:rPr>
              <w:fldChar w:fldCharType="end"/>
            </w:r>
          </w:hyperlink>
        </w:p>
        <w:p w14:paraId="7663C563" w14:textId="4EF0FC40" w:rsidR="007C36A9" w:rsidRPr="00EA5055" w:rsidRDefault="008B7DAF" w:rsidP="007C36A9">
          <w:pPr>
            <w:pStyle w:val="TOC1"/>
            <w:rPr>
              <w:rFonts w:asciiTheme="minorHAnsi" w:eastAsiaTheme="minorEastAsia" w:hAnsiTheme="minorHAnsi" w:cstheme="minorBidi"/>
              <w:sz w:val="22"/>
              <w:szCs w:val="22"/>
              <w:lang w:eastAsia="lv-LV"/>
            </w:rPr>
          </w:pPr>
          <w:hyperlink w:anchor="_Toc17468207" w:history="1">
            <w:r w:rsidR="007C36A9" w:rsidRPr="00EA5055">
              <w:rPr>
                <w:rStyle w:val="Hyperlink"/>
              </w:rPr>
              <w:t>3. 2014. - 2020. gada plānošanas perioda ES fondu investīciju aktualitātes</w:t>
            </w:r>
            <w:r w:rsidR="007C36A9" w:rsidRPr="00EA5055">
              <w:rPr>
                <w:webHidden/>
              </w:rPr>
              <w:tab/>
            </w:r>
            <w:r w:rsidR="007C36A9" w:rsidRPr="00FA5129">
              <w:rPr>
                <w:webHidden/>
              </w:rPr>
              <w:fldChar w:fldCharType="begin"/>
            </w:r>
            <w:r w:rsidR="007C36A9" w:rsidRPr="00EA5055">
              <w:rPr>
                <w:webHidden/>
              </w:rPr>
              <w:instrText xml:space="preserve"> PAGEREF _Toc17468207 \h </w:instrText>
            </w:r>
            <w:r w:rsidR="007C36A9" w:rsidRPr="00FA5129">
              <w:rPr>
                <w:webHidden/>
              </w:rPr>
            </w:r>
            <w:r w:rsidR="007C36A9" w:rsidRPr="00FA5129">
              <w:rPr>
                <w:webHidden/>
              </w:rPr>
              <w:fldChar w:fldCharType="separate"/>
            </w:r>
            <w:r w:rsidR="008855BD">
              <w:rPr>
                <w:webHidden/>
              </w:rPr>
              <w:t>11</w:t>
            </w:r>
            <w:r w:rsidR="007C36A9" w:rsidRPr="00FA5129">
              <w:rPr>
                <w:webHidden/>
              </w:rPr>
              <w:fldChar w:fldCharType="end"/>
            </w:r>
          </w:hyperlink>
        </w:p>
        <w:p w14:paraId="2B9B66E3" w14:textId="335E4913" w:rsidR="007C36A9" w:rsidRPr="00EA5055" w:rsidRDefault="008B7DAF" w:rsidP="007C36A9">
          <w:pPr>
            <w:pStyle w:val="TOC1"/>
            <w:rPr>
              <w:rFonts w:asciiTheme="minorHAnsi" w:eastAsiaTheme="minorEastAsia" w:hAnsiTheme="minorHAnsi" w:cstheme="minorBidi"/>
              <w:sz w:val="22"/>
              <w:szCs w:val="22"/>
              <w:lang w:eastAsia="lv-LV"/>
            </w:rPr>
          </w:pPr>
          <w:hyperlink w:anchor="_Toc17468209" w:history="1">
            <w:r w:rsidR="007C36A9" w:rsidRPr="00EA5055">
              <w:rPr>
                <w:rStyle w:val="Hyperlink"/>
              </w:rPr>
              <w:t>5. Projektos konstatētie pārkāpumi ar finansiālu ietekmi</w:t>
            </w:r>
            <w:r w:rsidR="007C36A9" w:rsidRPr="00EA5055">
              <w:rPr>
                <w:webHidden/>
              </w:rPr>
              <w:tab/>
            </w:r>
            <w:r w:rsidR="007C36A9" w:rsidRPr="00FA5129">
              <w:rPr>
                <w:webHidden/>
              </w:rPr>
              <w:fldChar w:fldCharType="begin"/>
            </w:r>
            <w:r w:rsidR="007C36A9" w:rsidRPr="00EA5055">
              <w:rPr>
                <w:webHidden/>
              </w:rPr>
              <w:instrText xml:space="preserve"> PAGEREF _Toc17468209 \h </w:instrText>
            </w:r>
            <w:r w:rsidR="007C36A9" w:rsidRPr="00FA5129">
              <w:rPr>
                <w:webHidden/>
              </w:rPr>
            </w:r>
            <w:r w:rsidR="007C36A9" w:rsidRPr="00FA5129">
              <w:rPr>
                <w:webHidden/>
              </w:rPr>
              <w:fldChar w:fldCharType="separate"/>
            </w:r>
            <w:r w:rsidR="008855BD">
              <w:rPr>
                <w:webHidden/>
              </w:rPr>
              <w:t>24</w:t>
            </w:r>
            <w:r w:rsidR="007C36A9" w:rsidRPr="00FA5129">
              <w:rPr>
                <w:webHidden/>
              </w:rPr>
              <w:fldChar w:fldCharType="end"/>
            </w:r>
          </w:hyperlink>
        </w:p>
        <w:p w14:paraId="03C6DF1F" w14:textId="2CED3D6B" w:rsidR="007C36A9" w:rsidRPr="00EA5055" w:rsidRDefault="008B7DAF" w:rsidP="007C36A9">
          <w:pPr>
            <w:pStyle w:val="TOC1"/>
            <w:rPr>
              <w:rFonts w:asciiTheme="minorHAnsi" w:eastAsiaTheme="minorEastAsia" w:hAnsiTheme="minorHAnsi" w:cstheme="minorBidi"/>
              <w:sz w:val="22"/>
              <w:szCs w:val="22"/>
              <w:lang w:eastAsia="lv-LV"/>
            </w:rPr>
          </w:pPr>
          <w:hyperlink w:anchor="_Toc17468210" w:history="1">
            <w:r w:rsidR="007C36A9" w:rsidRPr="00EA5055">
              <w:rPr>
                <w:rStyle w:val="Hyperlink"/>
              </w:rPr>
              <w:t>6. ES fondu vadības un kontroles sistēma</w:t>
            </w:r>
            <w:r w:rsidR="007C36A9" w:rsidRPr="00EA5055">
              <w:rPr>
                <w:webHidden/>
              </w:rPr>
              <w:tab/>
            </w:r>
            <w:r w:rsidR="007C36A9" w:rsidRPr="00FA5129">
              <w:rPr>
                <w:webHidden/>
              </w:rPr>
              <w:fldChar w:fldCharType="begin"/>
            </w:r>
            <w:r w:rsidR="007C36A9" w:rsidRPr="00EA5055">
              <w:rPr>
                <w:webHidden/>
              </w:rPr>
              <w:instrText xml:space="preserve"> PAGEREF _Toc17468210 \h </w:instrText>
            </w:r>
            <w:r w:rsidR="007C36A9" w:rsidRPr="00FA5129">
              <w:rPr>
                <w:webHidden/>
              </w:rPr>
            </w:r>
            <w:r w:rsidR="007C36A9" w:rsidRPr="00FA5129">
              <w:rPr>
                <w:webHidden/>
              </w:rPr>
              <w:fldChar w:fldCharType="separate"/>
            </w:r>
            <w:r w:rsidR="008855BD">
              <w:rPr>
                <w:webHidden/>
              </w:rPr>
              <w:t>29</w:t>
            </w:r>
            <w:r w:rsidR="007C36A9" w:rsidRPr="00FA5129">
              <w:rPr>
                <w:webHidden/>
              </w:rPr>
              <w:fldChar w:fldCharType="end"/>
            </w:r>
          </w:hyperlink>
        </w:p>
        <w:p w14:paraId="7F6A54C4" w14:textId="2E26CF4A" w:rsidR="007C36A9" w:rsidRPr="00EA5055" w:rsidRDefault="008B7DAF" w:rsidP="007C36A9">
          <w:pPr>
            <w:pStyle w:val="TOC1"/>
            <w:rPr>
              <w:rFonts w:asciiTheme="minorHAnsi" w:eastAsiaTheme="minorEastAsia" w:hAnsiTheme="minorHAnsi" w:cstheme="minorBidi"/>
              <w:sz w:val="22"/>
              <w:szCs w:val="22"/>
              <w:lang w:eastAsia="lv-LV"/>
            </w:rPr>
          </w:pPr>
          <w:hyperlink w:anchor="_Toc17468211" w:history="1">
            <w:r w:rsidR="007C36A9" w:rsidRPr="00EA5055">
              <w:rPr>
                <w:rStyle w:val="Hyperlink"/>
              </w:rPr>
              <w:t>7. Kohēzijas politika pēc 2020. gada (2021. - 2027. gada plānošanas periods)</w:t>
            </w:r>
            <w:r w:rsidR="007C36A9" w:rsidRPr="00EA5055">
              <w:rPr>
                <w:webHidden/>
              </w:rPr>
              <w:tab/>
            </w:r>
            <w:r w:rsidR="007C36A9" w:rsidRPr="00FA5129">
              <w:rPr>
                <w:webHidden/>
              </w:rPr>
              <w:fldChar w:fldCharType="begin"/>
            </w:r>
            <w:r w:rsidR="007C36A9" w:rsidRPr="00EA5055">
              <w:rPr>
                <w:webHidden/>
              </w:rPr>
              <w:instrText xml:space="preserve"> PAGEREF _Toc17468211 \h </w:instrText>
            </w:r>
            <w:r w:rsidR="007C36A9" w:rsidRPr="00FA5129">
              <w:rPr>
                <w:webHidden/>
              </w:rPr>
            </w:r>
            <w:r w:rsidR="007C36A9" w:rsidRPr="00FA5129">
              <w:rPr>
                <w:webHidden/>
              </w:rPr>
              <w:fldChar w:fldCharType="separate"/>
            </w:r>
            <w:r w:rsidR="008855BD">
              <w:rPr>
                <w:webHidden/>
              </w:rPr>
              <w:t>31</w:t>
            </w:r>
            <w:r w:rsidR="007C36A9" w:rsidRPr="00FA5129">
              <w:rPr>
                <w:webHidden/>
              </w:rPr>
              <w:fldChar w:fldCharType="end"/>
            </w:r>
          </w:hyperlink>
        </w:p>
        <w:p w14:paraId="0A0044C6" w14:textId="2386DDE0" w:rsidR="009C0862" w:rsidRPr="00DB28C3" w:rsidRDefault="009C0862" w:rsidP="00293BEF">
          <w:pPr>
            <w:tabs>
              <w:tab w:val="left" w:pos="3690"/>
            </w:tabs>
            <w:spacing w:before="120" w:after="120" w:line="276" w:lineRule="auto"/>
            <w:rPr>
              <w:rFonts w:cs="Times New Roman"/>
              <w:sz w:val="28"/>
              <w:szCs w:val="28"/>
              <w:highlight w:val="yellow"/>
            </w:rPr>
          </w:pPr>
          <w:r w:rsidRPr="00FA5129">
            <w:rPr>
              <w:rFonts w:cs="Times New Roman"/>
              <w:bCs/>
              <w:sz w:val="28"/>
              <w:szCs w:val="28"/>
            </w:rPr>
            <w:fldChar w:fldCharType="end"/>
          </w:r>
        </w:p>
      </w:sdtContent>
    </w:sdt>
    <w:p w14:paraId="0A386326" w14:textId="77777777" w:rsidR="009C0862" w:rsidRPr="00DB28C3" w:rsidRDefault="009C0862" w:rsidP="00CC7869">
      <w:pPr>
        <w:tabs>
          <w:tab w:val="right" w:leader="dot" w:pos="9072"/>
        </w:tabs>
        <w:spacing w:before="120" w:after="120" w:line="276" w:lineRule="auto"/>
        <w:rPr>
          <w:rFonts w:cs="Times New Roman"/>
          <w:bCs/>
          <w:color w:val="000000" w:themeColor="text1"/>
          <w:sz w:val="28"/>
          <w:szCs w:val="28"/>
          <w:highlight w:val="yellow"/>
        </w:rPr>
      </w:pPr>
    </w:p>
    <w:p w14:paraId="661D3A7F" w14:textId="65172DFA" w:rsidR="00B749C7" w:rsidRPr="00DB28C3" w:rsidRDefault="00B2136E" w:rsidP="00CC7869">
      <w:pPr>
        <w:spacing w:before="120" w:after="120" w:line="276" w:lineRule="auto"/>
        <w:rPr>
          <w:rFonts w:cs="Times New Roman"/>
          <w:bCs/>
          <w:color w:val="000000" w:themeColor="text1"/>
          <w:sz w:val="28"/>
          <w:szCs w:val="28"/>
          <w:highlight w:val="yellow"/>
        </w:rPr>
      </w:pPr>
      <w:r w:rsidRPr="00DB28C3">
        <w:rPr>
          <w:rFonts w:cs="Times New Roman"/>
          <w:bCs/>
          <w:color w:val="000000" w:themeColor="text1"/>
          <w:sz w:val="28"/>
          <w:szCs w:val="28"/>
          <w:highlight w:val="yellow"/>
        </w:rPr>
        <w:br w:type="page"/>
      </w:r>
    </w:p>
    <w:p w14:paraId="43CA192E" w14:textId="5AC63577" w:rsidR="009C0862" w:rsidRPr="00DB28C3" w:rsidRDefault="009C0862" w:rsidP="0017638C">
      <w:pPr>
        <w:spacing w:before="120" w:after="120" w:line="276" w:lineRule="auto"/>
        <w:contextualSpacing/>
        <w:rPr>
          <w:rFonts w:cs="Times New Roman"/>
          <w:b/>
          <w:sz w:val="28"/>
          <w:szCs w:val="28"/>
        </w:rPr>
      </w:pPr>
      <w:r w:rsidRPr="00DB28C3">
        <w:rPr>
          <w:rFonts w:cs="Times New Roman"/>
          <w:b/>
          <w:sz w:val="28"/>
          <w:szCs w:val="28"/>
        </w:rPr>
        <w:lastRenderedPageBreak/>
        <w:t>Saīsinājumi</w:t>
      </w:r>
    </w:p>
    <w:tbl>
      <w:tblPr>
        <w:tblStyle w:val="TableGrid"/>
        <w:tblW w:w="8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94"/>
        <w:gridCol w:w="6299"/>
      </w:tblGrid>
      <w:tr w:rsidR="00B10D32" w:rsidRPr="00DB28C3" w14:paraId="6F9DB63A" w14:textId="77777777" w:rsidTr="00DA1DCA">
        <w:tc>
          <w:tcPr>
            <w:tcW w:w="2694" w:type="dxa"/>
          </w:tcPr>
          <w:p w14:paraId="3B2C0DDB" w14:textId="77777777" w:rsidR="00B10D32" w:rsidRPr="00DB28C3" w:rsidRDefault="00B10D32" w:rsidP="0017638C">
            <w:pPr>
              <w:spacing w:before="120" w:after="120" w:line="276" w:lineRule="auto"/>
              <w:contextualSpacing/>
              <w:rPr>
                <w:rFonts w:cs="Times New Roman"/>
                <w:sz w:val="28"/>
                <w:szCs w:val="28"/>
              </w:rPr>
            </w:pPr>
            <w:r w:rsidRPr="00DB28C3">
              <w:rPr>
                <w:rFonts w:cs="Times New Roman"/>
                <w:color w:val="000000" w:themeColor="text1"/>
                <w:sz w:val="28"/>
                <w:szCs w:val="28"/>
              </w:rPr>
              <w:t>AI</w:t>
            </w:r>
          </w:p>
        </w:tc>
        <w:tc>
          <w:tcPr>
            <w:tcW w:w="6299" w:type="dxa"/>
          </w:tcPr>
          <w:p w14:paraId="241C600E" w14:textId="77777777" w:rsidR="00B10D32" w:rsidRPr="00DB28C3" w:rsidRDefault="00B10D32" w:rsidP="00B17E47">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B28C3">
              <w:rPr>
                <w:rFonts w:cs="Times New Roman"/>
                <w:color w:val="000000" w:themeColor="text1"/>
                <w:sz w:val="28"/>
                <w:szCs w:val="28"/>
              </w:rPr>
              <w:t>ES fondu atbildīgā iestāde</w:t>
            </w:r>
          </w:p>
        </w:tc>
      </w:tr>
      <w:tr w:rsidR="00B10D32" w:rsidRPr="00DB28C3" w14:paraId="24C605E7" w14:textId="77777777" w:rsidTr="00DA1DCA">
        <w:tc>
          <w:tcPr>
            <w:tcW w:w="2694" w:type="dxa"/>
          </w:tcPr>
          <w:p w14:paraId="4FCF10C1" w14:textId="77777777" w:rsidR="00B10D32" w:rsidRPr="00DB28C3" w:rsidRDefault="00B10D32" w:rsidP="0017638C">
            <w:pPr>
              <w:spacing w:before="120" w:after="120" w:line="276" w:lineRule="auto"/>
              <w:contextualSpacing/>
              <w:rPr>
                <w:rFonts w:cs="Times New Roman"/>
                <w:sz w:val="28"/>
                <w:szCs w:val="28"/>
              </w:rPr>
            </w:pPr>
            <w:r w:rsidRPr="00DB28C3">
              <w:rPr>
                <w:rFonts w:cs="Times New Roman"/>
                <w:color w:val="000000" w:themeColor="text1"/>
                <w:sz w:val="28"/>
                <w:szCs w:val="28"/>
              </w:rPr>
              <w:t>CFLA</w:t>
            </w:r>
          </w:p>
        </w:tc>
        <w:tc>
          <w:tcPr>
            <w:tcW w:w="6299" w:type="dxa"/>
          </w:tcPr>
          <w:p w14:paraId="55C29474" w14:textId="77777777" w:rsidR="00B10D32" w:rsidRPr="00DB28C3" w:rsidRDefault="00B10D32" w:rsidP="00B17E47">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B28C3">
              <w:rPr>
                <w:rFonts w:cs="Times New Roman"/>
                <w:color w:val="000000" w:themeColor="text1"/>
                <w:sz w:val="28"/>
                <w:szCs w:val="28"/>
              </w:rPr>
              <w:t>Centrālā finanšu un līgumu aģentūra</w:t>
            </w:r>
          </w:p>
        </w:tc>
      </w:tr>
      <w:tr w:rsidR="00B10D32" w:rsidRPr="00DB28C3" w14:paraId="02751386" w14:textId="77777777" w:rsidTr="00DA1DCA">
        <w:tc>
          <w:tcPr>
            <w:tcW w:w="2694" w:type="dxa"/>
          </w:tcPr>
          <w:p w14:paraId="5BDD27A3" w14:textId="77777777" w:rsidR="00B10D32" w:rsidRPr="00DB28C3" w:rsidRDefault="00B10D32" w:rsidP="0017638C">
            <w:pPr>
              <w:spacing w:before="120" w:after="120" w:line="276" w:lineRule="auto"/>
              <w:contextualSpacing/>
              <w:rPr>
                <w:rFonts w:cs="Times New Roman"/>
                <w:sz w:val="28"/>
                <w:szCs w:val="28"/>
              </w:rPr>
            </w:pPr>
            <w:r w:rsidRPr="00DB28C3">
              <w:rPr>
                <w:rFonts w:cs="Times New Roman"/>
                <w:color w:val="000000" w:themeColor="text1"/>
                <w:sz w:val="28"/>
                <w:szCs w:val="28"/>
              </w:rPr>
              <w:t>CSP</w:t>
            </w:r>
          </w:p>
        </w:tc>
        <w:tc>
          <w:tcPr>
            <w:tcW w:w="6299" w:type="dxa"/>
          </w:tcPr>
          <w:p w14:paraId="4E46854F" w14:textId="77777777" w:rsidR="00B10D32" w:rsidRPr="00DB28C3" w:rsidRDefault="00B10D32" w:rsidP="00B17E47">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B28C3">
              <w:rPr>
                <w:rFonts w:cs="Times New Roman"/>
                <w:color w:val="000000" w:themeColor="text1"/>
                <w:sz w:val="28"/>
                <w:szCs w:val="28"/>
              </w:rPr>
              <w:t>Centrālā statistikas pārvalde</w:t>
            </w:r>
          </w:p>
        </w:tc>
      </w:tr>
      <w:tr w:rsidR="00B10D32" w:rsidRPr="00DB28C3" w14:paraId="048A2694" w14:textId="77777777" w:rsidTr="00DA1DCA">
        <w:tc>
          <w:tcPr>
            <w:tcW w:w="2694" w:type="dxa"/>
          </w:tcPr>
          <w:p w14:paraId="5997478D" w14:textId="77777777" w:rsidR="00B10D32" w:rsidRPr="00DB28C3" w:rsidRDefault="00B10D32" w:rsidP="005B11F4">
            <w:pPr>
              <w:spacing w:before="120" w:after="120" w:line="276" w:lineRule="auto"/>
              <w:contextualSpacing/>
              <w:rPr>
                <w:rFonts w:cs="Times New Roman"/>
                <w:sz w:val="28"/>
                <w:szCs w:val="28"/>
              </w:rPr>
            </w:pPr>
            <w:r w:rsidRPr="00DB28C3">
              <w:rPr>
                <w:rFonts w:cs="Times New Roman"/>
                <w:color w:val="000000" w:themeColor="text1"/>
                <w:sz w:val="28"/>
                <w:szCs w:val="28"/>
              </w:rPr>
              <w:t>DP</w:t>
            </w:r>
          </w:p>
        </w:tc>
        <w:tc>
          <w:tcPr>
            <w:tcW w:w="6299" w:type="dxa"/>
          </w:tcPr>
          <w:p w14:paraId="1BA0D7F9" w14:textId="77777777" w:rsidR="00B10D32" w:rsidRPr="00DB28C3" w:rsidRDefault="00B10D32" w:rsidP="00B17E47">
            <w:pPr>
              <w:spacing w:before="120" w:after="120" w:line="276" w:lineRule="auto"/>
              <w:contextualSpacing/>
              <w:jc w:val="both"/>
              <w:rPr>
                <w:rFonts w:cs="Times New Roman"/>
                <w:sz w:val="28"/>
                <w:szCs w:val="28"/>
              </w:rPr>
            </w:pPr>
            <w:r w:rsidRPr="00DB28C3">
              <w:rPr>
                <w:rFonts w:cs="Times New Roman"/>
                <w:color w:val="000000" w:themeColor="text1"/>
                <w:sz w:val="28"/>
                <w:szCs w:val="28"/>
              </w:rPr>
              <w:t>Darbības programma “Izaugsme un nodarbinātība”</w:t>
            </w:r>
          </w:p>
        </w:tc>
      </w:tr>
      <w:tr w:rsidR="00B10D32" w:rsidRPr="00DB28C3" w14:paraId="586F82F3" w14:textId="77777777" w:rsidTr="00DA1DCA">
        <w:tc>
          <w:tcPr>
            <w:tcW w:w="2694" w:type="dxa"/>
          </w:tcPr>
          <w:p w14:paraId="42F6BB4E" w14:textId="3DCFEF42" w:rsidR="003A3B9E" w:rsidRPr="00DB28C3" w:rsidRDefault="003A3B9E" w:rsidP="003A3B9E">
            <w:pPr>
              <w:spacing w:before="120" w:after="120" w:line="276" w:lineRule="auto"/>
              <w:contextualSpacing/>
              <w:rPr>
                <w:rFonts w:cs="Times New Roman"/>
                <w:sz w:val="28"/>
                <w:szCs w:val="28"/>
              </w:rPr>
            </w:pPr>
            <w:r>
              <w:rPr>
                <w:rFonts w:cs="Times New Roman"/>
                <w:color w:val="000000" w:themeColor="text1"/>
                <w:sz w:val="28"/>
                <w:szCs w:val="28"/>
              </w:rPr>
              <w:t xml:space="preserve">EEZ </w:t>
            </w:r>
          </w:p>
        </w:tc>
        <w:tc>
          <w:tcPr>
            <w:tcW w:w="6299" w:type="dxa"/>
          </w:tcPr>
          <w:p w14:paraId="0E7C7A61" w14:textId="7735E85F" w:rsidR="00B10D32" w:rsidRPr="00DB28C3" w:rsidRDefault="003A3B9E" w:rsidP="00B17E47">
            <w:pPr>
              <w:spacing w:before="120" w:after="120" w:line="276" w:lineRule="auto"/>
              <w:contextualSpacing/>
              <w:jc w:val="both"/>
              <w:rPr>
                <w:rFonts w:cs="Times New Roman"/>
                <w:sz w:val="28"/>
                <w:szCs w:val="28"/>
              </w:rPr>
            </w:pPr>
            <w:r>
              <w:rPr>
                <w:rFonts w:cs="Times New Roman"/>
                <w:color w:val="000000" w:themeColor="text1"/>
                <w:sz w:val="28"/>
                <w:szCs w:val="28"/>
              </w:rPr>
              <w:t>Eiropas Ekonomikas zona</w:t>
            </w:r>
          </w:p>
        </w:tc>
      </w:tr>
      <w:tr w:rsidR="00B10D32" w:rsidRPr="00DB28C3" w14:paraId="66E1CD57" w14:textId="77777777" w:rsidTr="00DA1DCA">
        <w:tc>
          <w:tcPr>
            <w:tcW w:w="2694" w:type="dxa"/>
          </w:tcPr>
          <w:p w14:paraId="48FF8875" w14:textId="77777777" w:rsidR="00B10D32" w:rsidRPr="00DB28C3" w:rsidRDefault="00B10D32" w:rsidP="005B11F4">
            <w:pPr>
              <w:spacing w:before="120" w:after="120" w:line="276" w:lineRule="auto"/>
              <w:contextualSpacing/>
              <w:rPr>
                <w:rFonts w:cs="Times New Roman"/>
                <w:sz w:val="28"/>
                <w:szCs w:val="28"/>
              </w:rPr>
            </w:pPr>
            <w:r w:rsidRPr="00DB28C3">
              <w:rPr>
                <w:rFonts w:eastAsia="EUAlbertina-Bold-Identity-H" w:cs="Times New Roman"/>
                <w:color w:val="000000" w:themeColor="text1"/>
                <w:sz w:val="28"/>
                <w:szCs w:val="28"/>
                <w:lang w:eastAsia="lv-LV"/>
              </w:rPr>
              <w:t>EK</w:t>
            </w:r>
          </w:p>
        </w:tc>
        <w:tc>
          <w:tcPr>
            <w:tcW w:w="6299" w:type="dxa"/>
          </w:tcPr>
          <w:p w14:paraId="0E22C4BA" w14:textId="77777777" w:rsidR="00B10D32" w:rsidRPr="00DB28C3" w:rsidRDefault="00B10D32" w:rsidP="00B17E47">
            <w:pPr>
              <w:spacing w:before="120" w:after="120" w:line="276" w:lineRule="auto"/>
              <w:contextualSpacing/>
              <w:jc w:val="both"/>
              <w:rPr>
                <w:rFonts w:cs="Times New Roman"/>
                <w:sz w:val="28"/>
                <w:szCs w:val="28"/>
              </w:rPr>
            </w:pPr>
            <w:r w:rsidRPr="00DB28C3">
              <w:rPr>
                <w:rFonts w:eastAsia="EUAlbertina-Bold-Identity-H" w:cs="Times New Roman"/>
                <w:color w:val="000000" w:themeColor="text1"/>
                <w:sz w:val="28"/>
                <w:szCs w:val="28"/>
                <w:lang w:eastAsia="lv-LV"/>
              </w:rPr>
              <w:t>Eiropas Komisija</w:t>
            </w:r>
          </w:p>
        </w:tc>
      </w:tr>
      <w:tr w:rsidR="00B10D32" w:rsidRPr="00DB28C3" w14:paraId="7005CFF0" w14:textId="77777777" w:rsidTr="00DA1DCA">
        <w:tc>
          <w:tcPr>
            <w:tcW w:w="2694" w:type="dxa"/>
          </w:tcPr>
          <w:p w14:paraId="7F8F5E2A" w14:textId="77777777" w:rsidR="00B10D32" w:rsidRPr="00DB28C3" w:rsidRDefault="00B10D32" w:rsidP="005B11F4">
            <w:pPr>
              <w:spacing w:before="120" w:after="120" w:line="276" w:lineRule="auto"/>
              <w:contextualSpacing/>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EM</w:t>
            </w:r>
          </w:p>
        </w:tc>
        <w:tc>
          <w:tcPr>
            <w:tcW w:w="6299" w:type="dxa"/>
          </w:tcPr>
          <w:p w14:paraId="3A1C701D" w14:textId="77777777" w:rsidR="00B10D32" w:rsidRPr="00DB28C3" w:rsidRDefault="00B10D32" w:rsidP="00B17E47">
            <w:pPr>
              <w:spacing w:before="120" w:after="120" w:line="276" w:lineRule="auto"/>
              <w:contextualSpacing/>
              <w:jc w:val="both"/>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Ekonomikas ministrija</w:t>
            </w:r>
          </w:p>
        </w:tc>
      </w:tr>
      <w:tr w:rsidR="00B10D32" w:rsidRPr="00DB28C3" w14:paraId="08F09599" w14:textId="77777777" w:rsidTr="00DA1DCA">
        <w:tc>
          <w:tcPr>
            <w:tcW w:w="2694" w:type="dxa"/>
          </w:tcPr>
          <w:p w14:paraId="2A072E5D" w14:textId="77777777" w:rsidR="00B10D32" w:rsidRPr="00DB28C3" w:rsidRDefault="00B10D32" w:rsidP="005B11F4">
            <w:pPr>
              <w:spacing w:before="120" w:after="120" w:line="276" w:lineRule="auto"/>
              <w:contextualSpacing/>
              <w:rPr>
                <w:rFonts w:cs="Times New Roman"/>
                <w:sz w:val="28"/>
                <w:szCs w:val="28"/>
              </w:rPr>
            </w:pPr>
            <w:r w:rsidRPr="00DB28C3">
              <w:rPr>
                <w:rFonts w:cs="Times New Roman"/>
                <w:color w:val="000000" w:themeColor="text1"/>
                <w:sz w:val="28"/>
                <w:szCs w:val="28"/>
              </w:rPr>
              <w:t>ERAF</w:t>
            </w:r>
          </w:p>
        </w:tc>
        <w:tc>
          <w:tcPr>
            <w:tcW w:w="6299" w:type="dxa"/>
          </w:tcPr>
          <w:p w14:paraId="708A6925" w14:textId="77777777" w:rsidR="00B10D32" w:rsidRPr="00DB28C3" w:rsidRDefault="00B10D32" w:rsidP="00B17E47">
            <w:pPr>
              <w:spacing w:before="120" w:after="120" w:line="276" w:lineRule="auto"/>
              <w:contextualSpacing/>
              <w:jc w:val="both"/>
              <w:rPr>
                <w:rFonts w:cs="Times New Roman"/>
                <w:sz w:val="28"/>
                <w:szCs w:val="28"/>
              </w:rPr>
            </w:pPr>
            <w:r w:rsidRPr="00DB28C3">
              <w:rPr>
                <w:rFonts w:cs="Times New Roman"/>
                <w:color w:val="000000" w:themeColor="text1"/>
                <w:sz w:val="28"/>
                <w:szCs w:val="28"/>
              </w:rPr>
              <w:t>Eiropas Reģionālās attīstības fonds</w:t>
            </w:r>
          </w:p>
        </w:tc>
      </w:tr>
      <w:tr w:rsidR="00B10D32" w:rsidRPr="00DB28C3" w14:paraId="16D05169" w14:textId="77777777" w:rsidTr="00DA1DCA">
        <w:tc>
          <w:tcPr>
            <w:tcW w:w="2694" w:type="dxa"/>
          </w:tcPr>
          <w:p w14:paraId="10A7CA74" w14:textId="77777777" w:rsidR="00B10D32" w:rsidRPr="00DB28C3" w:rsidRDefault="00B10D32" w:rsidP="005B11F4">
            <w:pPr>
              <w:spacing w:before="120" w:after="120" w:line="276" w:lineRule="auto"/>
              <w:contextualSpacing/>
              <w:rPr>
                <w:rFonts w:cs="Times New Roman"/>
                <w:sz w:val="28"/>
                <w:szCs w:val="28"/>
              </w:rPr>
            </w:pPr>
            <w:r w:rsidRPr="00DB28C3">
              <w:rPr>
                <w:rFonts w:cs="Times New Roman"/>
                <w:color w:val="000000" w:themeColor="text1"/>
                <w:sz w:val="28"/>
                <w:szCs w:val="28"/>
              </w:rPr>
              <w:t>ES</w:t>
            </w:r>
          </w:p>
        </w:tc>
        <w:tc>
          <w:tcPr>
            <w:tcW w:w="6299" w:type="dxa"/>
          </w:tcPr>
          <w:p w14:paraId="100E7CA4" w14:textId="77777777" w:rsidR="00B10D32" w:rsidRPr="00DB28C3" w:rsidRDefault="00B10D32" w:rsidP="00B17E47">
            <w:pPr>
              <w:spacing w:before="120" w:after="120" w:line="276" w:lineRule="auto"/>
              <w:contextualSpacing/>
              <w:jc w:val="both"/>
              <w:rPr>
                <w:rFonts w:cs="Times New Roman"/>
                <w:sz w:val="28"/>
                <w:szCs w:val="28"/>
              </w:rPr>
            </w:pPr>
            <w:r w:rsidRPr="00DB28C3">
              <w:rPr>
                <w:rFonts w:cs="Times New Roman"/>
                <w:color w:val="000000" w:themeColor="text1"/>
                <w:sz w:val="28"/>
                <w:szCs w:val="28"/>
              </w:rPr>
              <w:t>Eiropas Savienība</w:t>
            </w:r>
          </w:p>
        </w:tc>
      </w:tr>
      <w:tr w:rsidR="00B10D32" w:rsidRPr="00DB28C3" w14:paraId="5D1CE669" w14:textId="77777777" w:rsidTr="00DA1DCA">
        <w:tc>
          <w:tcPr>
            <w:tcW w:w="2694" w:type="dxa"/>
          </w:tcPr>
          <w:p w14:paraId="50CFD49A" w14:textId="77777777" w:rsidR="00B10D32" w:rsidRPr="00DB28C3" w:rsidRDefault="00B10D32" w:rsidP="005B11F4">
            <w:pPr>
              <w:spacing w:before="120" w:after="120" w:line="276" w:lineRule="auto"/>
              <w:contextualSpacing/>
              <w:rPr>
                <w:rFonts w:cs="Times New Roman"/>
                <w:sz w:val="28"/>
                <w:szCs w:val="28"/>
              </w:rPr>
            </w:pPr>
            <w:r w:rsidRPr="00DB28C3">
              <w:rPr>
                <w:rFonts w:cs="Times New Roman"/>
                <w:color w:val="000000" w:themeColor="text1"/>
                <w:sz w:val="28"/>
                <w:szCs w:val="28"/>
              </w:rPr>
              <w:t>ES fondi</w:t>
            </w:r>
          </w:p>
        </w:tc>
        <w:tc>
          <w:tcPr>
            <w:tcW w:w="6299" w:type="dxa"/>
          </w:tcPr>
          <w:p w14:paraId="501BFF45" w14:textId="77777777" w:rsidR="00B10D32" w:rsidRPr="00DB28C3" w:rsidRDefault="00B10D32" w:rsidP="00B17E47">
            <w:pPr>
              <w:spacing w:before="120" w:after="120" w:line="276" w:lineRule="auto"/>
              <w:contextualSpacing/>
              <w:jc w:val="both"/>
              <w:rPr>
                <w:rFonts w:cs="Times New Roman"/>
                <w:sz w:val="28"/>
                <w:szCs w:val="28"/>
              </w:rPr>
            </w:pPr>
            <w:r w:rsidRPr="00DB28C3">
              <w:rPr>
                <w:rFonts w:eastAsia="EUAlbertina-Bold-Identity-H" w:cs="Times New Roman"/>
                <w:color w:val="000000" w:themeColor="text1"/>
                <w:sz w:val="28"/>
                <w:szCs w:val="28"/>
                <w:lang w:eastAsia="lv-LV"/>
              </w:rPr>
              <w:t xml:space="preserve">Eiropas Sociālais fonds, </w:t>
            </w:r>
            <w:r w:rsidRPr="00DB28C3">
              <w:rPr>
                <w:rFonts w:cs="Times New Roman"/>
                <w:color w:val="000000" w:themeColor="text1"/>
                <w:sz w:val="28"/>
                <w:szCs w:val="28"/>
              </w:rPr>
              <w:t>Eiropas Reģionālās attīstības fonds</w:t>
            </w:r>
            <w:r w:rsidRPr="00DB28C3">
              <w:rPr>
                <w:rFonts w:eastAsia="EUAlbertina-Bold-Identity-H" w:cs="Times New Roman"/>
                <w:color w:val="000000" w:themeColor="text1"/>
                <w:sz w:val="28"/>
                <w:szCs w:val="28"/>
                <w:lang w:eastAsia="lv-LV"/>
              </w:rPr>
              <w:t xml:space="preserve"> un Kohēzijas fonds</w:t>
            </w:r>
          </w:p>
        </w:tc>
      </w:tr>
      <w:tr w:rsidR="00B10D32" w:rsidRPr="00DB28C3" w14:paraId="070510AE" w14:textId="77777777" w:rsidTr="00DA1DCA">
        <w:tc>
          <w:tcPr>
            <w:tcW w:w="2694" w:type="dxa"/>
          </w:tcPr>
          <w:p w14:paraId="38C03D03" w14:textId="77777777" w:rsidR="00B10D32" w:rsidRPr="00DB28C3" w:rsidRDefault="00B10D32" w:rsidP="005B11F4">
            <w:pPr>
              <w:spacing w:before="120" w:after="120" w:line="276" w:lineRule="auto"/>
              <w:contextualSpacing/>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ESF</w:t>
            </w:r>
          </w:p>
          <w:p w14:paraId="41F16106" w14:textId="69C3A754" w:rsidR="00B10D32" w:rsidRPr="00DB28C3" w:rsidRDefault="009C655C" w:rsidP="005B11F4">
            <w:pPr>
              <w:spacing w:before="120" w:after="120" w:line="276" w:lineRule="auto"/>
              <w:contextualSpacing/>
              <w:rPr>
                <w:rFonts w:cs="Times New Roman"/>
                <w:sz w:val="28"/>
                <w:szCs w:val="28"/>
              </w:rPr>
            </w:pPr>
            <w:r>
              <w:rPr>
                <w:rFonts w:eastAsia="EUAlbertina-Bold-Identity-H" w:cs="Times New Roman"/>
                <w:color w:val="000000" w:themeColor="text1"/>
                <w:sz w:val="28"/>
                <w:szCs w:val="28"/>
                <w:lang w:eastAsia="lv-LV"/>
              </w:rPr>
              <w:t>FI</w:t>
            </w:r>
          </w:p>
        </w:tc>
        <w:tc>
          <w:tcPr>
            <w:tcW w:w="6299" w:type="dxa"/>
          </w:tcPr>
          <w:p w14:paraId="64240136" w14:textId="77777777" w:rsidR="00B10D32" w:rsidRPr="00DB28C3" w:rsidRDefault="00B10D32" w:rsidP="00B17E47">
            <w:pPr>
              <w:spacing w:before="120" w:after="120" w:line="276" w:lineRule="auto"/>
              <w:contextualSpacing/>
              <w:jc w:val="both"/>
              <w:rPr>
                <w:rFonts w:cs="Times New Roman"/>
                <w:sz w:val="28"/>
                <w:szCs w:val="28"/>
              </w:rPr>
            </w:pPr>
            <w:r w:rsidRPr="00DB28C3">
              <w:rPr>
                <w:rFonts w:eastAsia="EUAlbertina-Bold-Identity-H" w:cs="Times New Roman"/>
                <w:color w:val="000000" w:themeColor="text1"/>
                <w:sz w:val="28"/>
                <w:szCs w:val="28"/>
                <w:lang w:eastAsia="lv-LV"/>
              </w:rPr>
              <w:t>Eiropas Sociālais fonds</w:t>
            </w:r>
          </w:p>
          <w:p w14:paraId="544F733F" w14:textId="7CF0704C" w:rsidR="00B10D32" w:rsidRPr="00DB28C3" w:rsidRDefault="009C655C" w:rsidP="00B17E47">
            <w:pPr>
              <w:jc w:val="both"/>
              <w:rPr>
                <w:rFonts w:cs="Times New Roman"/>
                <w:sz w:val="28"/>
                <w:szCs w:val="28"/>
              </w:rPr>
            </w:pPr>
            <w:r>
              <w:rPr>
                <w:rFonts w:cs="Times New Roman"/>
                <w:sz w:val="28"/>
                <w:szCs w:val="28"/>
              </w:rPr>
              <w:t>Finanšu instrumenti</w:t>
            </w:r>
          </w:p>
        </w:tc>
      </w:tr>
      <w:tr w:rsidR="009C655C" w:rsidRPr="00DB28C3" w14:paraId="4B923797" w14:textId="77777777" w:rsidTr="00DA1DCA">
        <w:tc>
          <w:tcPr>
            <w:tcW w:w="2694" w:type="dxa"/>
          </w:tcPr>
          <w:p w14:paraId="6AFFA55D" w14:textId="59FC94EF" w:rsidR="009C655C" w:rsidRPr="00DB28C3" w:rsidRDefault="009C655C" w:rsidP="005B11F4">
            <w:pPr>
              <w:spacing w:before="120" w:after="120" w:line="276" w:lineRule="auto"/>
              <w:contextualSpacing/>
              <w:rPr>
                <w:rFonts w:eastAsia="EUAlbertina-Bold-Identity-H" w:cs="Times New Roman"/>
                <w:color w:val="000000" w:themeColor="text1"/>
                <w:sz w:val="28"/>
                <w:szCs w:val="28"/>
                <w:lang w:eastAsia="lv-LV"/>
              </w:rPr>
            </w:pPr>
            <w:r>
              <w:rPr>
                <w:rFonts w:eastAsia="EUAlbertina-Bold-Identity-H" w:cs="Times New Roman"/>
                <w:color w:val="000000" w:themeColor="text1"/>
                <w:sz w:val="28"/>
                <w:szCs w:val="28"/>
                <w:lang w:eastAsia="lv-LV"/>
              </w:rPr>
              <w:t>FIB</w:t>
            </w:r>
          </w:p>
        </w:tc>
        <w:tc>
          <w:tcPr>
            <w:tcW w:w="6299" w:type="dxa"/>
          </w:tcPr>
          <w:p w14:paraId="6C77D0CD" w14:textId="0E10E419" w:rsidR="009C655C" w:rsidRPr="00DB28C3" w:rsidRDefault="009C655C" w:rsidP="00B17E47">
            <w:pPr>
              <w:spacing w:before="120" w:after="120" w:line="276" w:lineRule="auto"/>
              <w:contextualSpacing/>
              <w:jc w:val="both"/>
              <w:rPr>
                <w:rFonts w:eastAsia="EUAlbertina-Bold-Identity-H" w:cs="Times New Roman"/>
                <w:color w:val="000000" w:themeColor="text1"/>
                <w:sz w:val="28"/>
                <w:szCs w:val="28"/>
                <w:lang w:eastAsia="lv-LV"/>
              </w:rPr>
            </w:pPr>
            <w:r w:rsidRPr="00DB28C3">
              <w:rPr>
                <w:rFonts w:cs="Times New Roman"/>
                <w:sz w:val="28"/>
                <w:szCs w:val="28"/>
              </w:rPr>
              <w:t>Finanšu instrumenta birojs</w:t>
            </w:r>
          </w:p>
        </w:tc>
      </w:tr>
      <w:tr w:rsidR="00B10D32" w:rsidRPr="00DB28C3" w14:paraId="15418166" w14:textId="77777777" w:rsidTr="00DA1DCA">
        <w:tc>
          <w:tcPr>
            <w:tcW w:w="2694" w:type="dxa"/>
          </w:tcPr>
          <w:p w14:paraId="685DA00D" w14:textId="77777777" w:rsidR="00B10D32" w:rsidRPr="00DB28C3" w:rsidRDefault="00B10D32" w:rsidP="005B11F4">
            <w:pPr>
              <w:spacing w:before="120" w:after="120" w:line="276" w:lineRule="auto"/>
              <w:contextualSpacing/>
              <w:rPr>
                <w:rFonts w:cs="Times New Roman"/>
                <w:sz w:val="28"/>
                <w:szCs w:val="28"/>
              </w:rPr>
            </w:pPr>
            <w:r w:rsidRPr="00DB28C3">
              <w:rPr>
                <w:rFonts w:eastAsia="EUAlbertina-Bold-Identity-H" w:cs="Times New Roman"/>
                <w:color w:val="000000" w:themeColor="text1"/>
                <w:sz w:val="28"/>
                <w:szCs w:val="28"/>
                <w:lang w:eastAsia="lv-LV"/>
              </w:rPr>
              <w:t>FM</w:t>
            </w:r>
          </w:p>
        </w:tc>
        <w:tc>
          <w:tcPr>
            <w:tcW w:w="6299" w:type="dxa"/>
          </w:tcPr>
          <w:p w14:paraId="6AD1FF71" w14:textId="77777777" w:rsidR="00B10D32" w:rsidRPr="00DB28C3" w:rsidRDefault="00B10D32" w:rsidP="00B17E47">
            <w:pPr>
              <w:spacing w:before="120" w:after="120" w:line="276" w:lineRule="auto"/>
              <w:contextualSpacing/>
              <w:jc w:val="both"/>
              <w:rPr>
                <w:rFonts w:cs="Times New Roman"/>
                <w:sz w:val="28"/>
                <w:szCs w:val="28"/>
              </w:rPr>
            </w:pPr>
            <w:r w:rsidRPr="00DB28C3">
              <w:rPr>
                <w:rFonts w:eastAsia="EUAlbertina-Bold-Identity-H" w:cs="Times New Roman"/>
                <w:color w:val="000000" w:themeColor="text1"/>
                <w:sz w:val="28"/>
                <w:szCs w:val="28"/>
                <w:lang w:eastAsia="lv-LV"/>
              </w:rPr>
              <w:t>Finanšu ministrija</w:t>
            </w:r>
          </w:p>
        </w:tc>
      </w:tr>
      <w:tr w:rsidR="00B10D32" w:rsidRPr="00DB28C3" w14:paraId="08C53508" w14:textId="77777777" w:rsidTr="00DA1DCA">
        <w:tc>
          <w:tcPr>
            <w:tcW w:w="2694" w:type="dxa"/>
          </w:tcPr>
          <w:p w14:paraId="0D0DD689" w14:textId="77777777" w:rsidR="00B10D32" w:rsidRPr="00DB28C3" w:rsidRDefault="00B10D32" w:rsidP="005B11F4">
            <w:pPr>
              <w:spacing w:before="120" w:after="120" w:line="276" w:lineRule="auto"/>
              <w:contextualSpacing/>
              <w:rPr>
                <w:rFonts w:cs="Times New Roman"/>
                <w:sz w:val="28"/>
                <w:szCs w:val="28"/>
              </w:rPr>
            </w:pPr>
            <w:r w:rsidRPr="00DB28C3">
              <w:rPr>
                <w:rFonts w:eastAsia="EUAlbertina-Bold-Identity-H" w:cs="Times New Roman"/>
                <w:color w:val="000000" w:themeColor="text1"/>
                <w:sz w:val="28"/>
                <w:szCs w:val="28"/>
                <w:lang w:eastAsia="lv-LV"/>
              </w:rPr>
              <w:t>FS</w:t>
            </w:r>
          </w:p>
        </w:tc>
        <w:tc>
          <w:tcPr>
            <w:tcW w:w="6299" w:type="dxa"/>
          </w:tcPr>
          <w:p w14:paraId="66EC0D40" w14:textId="77777777" w:rsidR="00B10D32" w:rsidRPr="00DB28C3" w:rsidRDefault="00B10D32" w:rsidP="00B17E47">
            <w:pPr>
              <w:spacing w:before="120" w:after="120" w:line="276" w:lineRule="auto"/>
              <w:contextualSpacing/>
              <w:jc w:val="both"/>
              <w:rPr>
                <w:rFonts w:cs="Times New Roman"/>
                <w:sz w:val="28"/>
                <w:szCs w:val="28"/>
              </w:rPr>
            </w:pPr>
            <w:r w:rsidRPr="00DB28C3">
              <w:rPr>
                <w:rFonts w:eastAsia="EUAlbertina-Bold-Identity-H" w:cs="Times New Roman"/>
                <w:color w:val="000000" w:themeColor="text1"/>
                <w:sz w:val="28"/>
                <w:szCs w:val="28"/>
                <w:lang w:eastAsia="lv-LV"/>
              </w:rPr>
              <w:t>Finansējuma saņēmējs</w:t>
            </w:r>
          </w:p>
        </w:tc>
      </w:tr>
      <w:tr w:rsidR="00B10D32" w:rsidRPr="00DB28C3" w14:paraId="3163C3A8" w14:textId="77777777" w:rsidTr="00DA1DCA">
        <w:tc>
          <w:tcPr>
            <w:tcW w:w="2694" w:type="dxa"/>
          </w:tcPr>
          <w:p w14:paraId="10903326" w14:textId="77777777" w:rsidR="00B10D32" w:rsidRPr="00DB28C3" w:rsidRDefault="00B10D32" w:rsidP="005B11F4">
            <w:pPr>
              <w:spacing w:before="120" w:after="120" w:line="276" w:lineRule="auto"/>
              <w:contextualSpacing/>
              <w:rPr>
                <w:rFonts w:cs="Times New Roman"/>
                <w:sz w:val="28"/>
                <w:szCs w:val="28"/>
              </w:rPr>
            </w:pPr>
            <w:r w:rsidRPr="00DB28C3">
              <w:rPr>
                <w:rFonts w:eastAsia="EUAlbertina-Bold-Identity-H" w:cs="Times New Roman"/>
                <w:color w:val="000000" w:themeColor="text1"/>
                <w:sz w:val="28"/>
                <w:szCs w:val="28"/>
                <w:lang w:eastAsia="lv-LV"/>
              </w:rPr>
              <w:t>IKP</w:t>
            </w:r>
          </w:p>
        </w:tc>
        <w:tc>
          <w:tcPr>
            <w:tcW w:w="6299" w:type="dxa"/>
          </w:tcPr>
          <w:p w14:paraId="0706F7F9" w14:textId="77777777" w:rsidR="00B10D32" w:rsidRPr="00DB28C3" w:rsidRDefault="00B10D32" w:rsidP="00B17E47">
            <w:pPr>
              <w:spacing w:before="120" w:after="120" w:line="276" w:lineRule="auto"/>
              <w:contextualSpacing/>
              <w:jc w:val="both"/>
              <w:rPr>
                <w:rFonts w:cs="Times New Roman"/>
                <w:sz w:val="28"/>
                <w:szCs w:val="28"/>
              </w:rPr>
            </w:pPr>
            <w:r w:rsidRPr="00DB28C3">
              <w:rPr>
                <w:rFonts w:eastAsia="EUAlbertina-Bold-Identity-H" w:cs="Times New Roman"/>
                <w:color w:val="000000" w:themeColor="text1"/>
                <w:sz w:val="28"/>
                <w:szCs w:val="28"/>
                <w:lang w:eastAsia="lv-LV"/>
              </w:rPr>
              <w:t>Iekšzemes kopprodukts</w:t>
            </w:r>
          </w:p>
        </w:tc>
      </w:tr>
      <w:tr w:rsidR="00B10D32" w:rsidRPr="00DB28C3" w14:paraId="1D0F6B0B" w14:textId="77777777" w:rsidTr="00DA1DCA">
        <w:tc>
          <w:tcPr>
            <w:tcW w:w="2694" w:type="dxa"/>
          </w:tcPr>
          <w:p w14:paraId="5B55C059" w14:textId="77777777" w:rsidR="00B10D32" w:rsidRPr="00DB28C3" w:rsidRDefault="00B10D32" w:rsidP="005B11F4">
            <w:pPr>
              <w:spacing w:before="120" w:after="120" w:line="276" w:lineRule="auto"/>
              <w:contextualSpacing/>
              <w:rPr>
                <w:rFonts w:cs="Times New Roman"/>
                <w:sz w:val="28"/>
                <w:szCs w:val="28"/>
              </w:rPr>
            </w:pPr>
            <w:r w:rsidRPr="00DB28C3">
              <w:rPr>
                <w:rFonts w:eastAsia="EUAlbertina-Bold-Identity-H" w:cs="Times New Roman"/>
                <w:color w:val="000000" w:themeColor="text1"/>
                <w:sz w:val="28"/>
                <w:szCs w:val="28"/>
                <w:lang w:eastAsia="lv-LV"/>
              </w:rPr>
              <w:t>IKT</w:t>
            </w:r>
          </w:p>
        </w:tc>
        <w:tc>
          <w:tcPr>
            <w:tcW w:w="6299" w:type="dxa"/>
          </w:tcPr>
          <w:p w14:paraId="03C0F8A4" w14:textId="77777777" w:rsidR="00B10D32" w:rsidRPr="00DB28C3" w:rsidRDefault="00B10D32" w:rsidP="00B17E47">
            <w:pPr>
              <w:spacing w:before="120" w:after="120" w:line="276" w:lineRule="auto"/>
              <w:contextualSpacing/>
              <w:jc w:val="both"/>
              <w:rPr>
                <w:rFonts w:cs="Times New Roman"/>
                <w:sz w:val="28"/>
                <w:szCs w:val="28"/>
              </w:rPr>
            </w:pPr>
            <w:r w:rsidRPr="00DB28C3">
              <w:rPr>
                <w:rFonts w:eastAsia="EUAlbertina-Bold-Identity-H" w:cs="Times New Roman"/>
                <w:color w:val="000000" w:themeColor="text1"/>
                <w:sz w:val="28"/>
                <w:szCs w:val="28"/>
                <w:lang w:eastAsia="lv-LV"/>
              </w:rPr>
              <w:t>Informāciju un komunikāciju tehnoloģijas</w:t>
            </w:r>
          </w:p>
        </w:tc>
      </w:tr>
      <w:tr w:rsidR="00B10D32" w:rsidRPr="00DB28C3" w14:paraId="79F92763" w14:textId="77777777" w:rsidTr="00DA1DCA">
        <w:tc>
          <w:tcPr>
            <w:tcW w:w="2694" w:type="dxa"/>
          </w:tcPr>
          <w:p w14:paraId="738A5910" w14:textId="77777777" w:rsidR="00B10D32" w:rsidRPr="00DB28C3" w:rsidRDefault="00B10D32" w:rsidP="005B11F4">
            <w:pPr>
              <w:spacing w:before="120" w:after="120" w:line="276" w:lineRule="auto"/>
              <w:contextualSpacing/>
              <w:rPr>
                <w:rFonts w:cs="Times New Roman"/>
                <w:sz w:val="28"/>
                <w:szCs w:val="28"/>
              </w:rPr>
            </w:pPr>
            <w:r w:rsidRPr="00DB28C3">
              <w:rPr>
                <w:rFonts w:eastAsia="EUAlbertina-Bold-Identity-H" w:cs="Times New Roman"/>
                <w:color w:val="000000" w:themeColor="text1"/>
                <w:sz w:val="28"/>
                <w:szCs w:val="28"/>
                <w:lang w:eastAsia="lv-LV"/>
              </w:rPr>
              <w:t>IPIA</w:t>
            </w:r>
          </w:p>
        </w:tc>
        <w:tc>
          <w:tcPr>
            <w:tcW w:w="6299" w:type="dxa"/>
          </w:tcPr>
          <w:p w14:paraId="1D87B360" w14:textId="77777777" w:rsidR="00B10D32" w:rsidRPr="00DB28C3" w:rsidRDefault="00B10D32" w:rsidP="00B17E47">
            <w:pPr>
              <w:spacing w:before="120" w:after="120" w:line="276" w:lineRule="auto"/>
              <w:contextualSpacing/>
              <w:jc w:val="both"/>
              <w:rPr>
                <w:rFonts w:cs="Times New Roman"/>
                <w:sz w:val="28"/>
                <w:szCs w:val="28"/>
              </w:rPr>
            </w:pPr>
            <w:r w:rsidRPr="00DB28C3">
              <w:rPr>
                <w:rFonts w:eastAsia="EUAlbertina-Bold-Identity-H" w:cs="Times New Roman"/>
                <w:color w:val="000000" w:themeColor="text1"/>
                <w:sz w:val="28"/>
                <w:szCs w:val="28"/>
                <w:lang w:eastAsia="lv-LV"/>
              </w:rPr>
              <w:t>Ierobežotās projektu iesniegumu atlases</w:t>
            </w:r>
          </w:p>
        </w:tc>
      </w:tr>
      <w:tr w:rsidR="00B10D32" w:rsidRPr="00DB28C3" w14:paraId="7A191987" w14:textId="77777777" w:rsidTr="00DA1DCA">
        <w:tc>
          <w:tcPr>
            <w:tcW w:w="2694" w:type="dxa"/>
          </w:tcPr>
          <w:p w14:paraId="66690609" w14:textId="77777777" w:rsidR="00B10D32" w:rsidRPr="00DB28C3" w:rsidRDefault="00B10D32" w:rsidP="00013895">
            <w:pPr>
              <w:spacing w:before="120" w:after="120" w:line="276" w:lineRule="auto"/>
              <w:contextualSpacing/>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ITI</w:t>
            </w:r>
          </w:p>
        </w:tc>
        <w:tc>
          <w:tcPr>
            <w:tcW w:w="6299" w:type="dxa"/>
          </w:tcPr>
          <w:p w14:paraId="661977E2" w14:textId="77777777" w:rsidR="00B10D32" w:rsidRPr="00DB28C3" w:rsidRDefault="00B10D32" w:rsidP="00B17E47">
            <w:pPr>
              <w:spacing w:before="120" w:after="120" w:line="276" w:lineRule="auto"/>
              <w:contextualSpacing/>
              <w:jc w:val="both"/>
              <w:rPr>
                <w:rFonts w:cs="Times New Roman"/>
                <w:sz w:val="28"/>
                <w:szCs w:val="28"/>
              </w:rPr>
            </w:pPr>
            <w:r w:rsidRPr="00DB28C3">
              <w:rPr>
                <w:rFonts w:eastAsia="EUAlbertina-Bold-Identity-H" w:cs="Times New Roman"/>
                <w:color w:val="000000" w:themeColor="text1"/>
                <w:sz w:val="28"/>
                <w:szCs w:val="28"/>
                <w:lang w:eastAsia="lv-LV"/>
              </w:rPr>
              <w:t>Integrētās teritoriālās investīcijas</w:t>
            </w:r>
          </w:p>
        </w:tc>
      </w:tr>
      <w:tr w:rsidR="009C655C" w:rsidRPr="00DB28C3" w14:paraId="69D7D4DD" w14:textId="77777777" w:rsidTr="00DA1DCA">
        <w:tc>
          <w:tcPr>
            <w:tcW w:w="2694" w:type="dxa"/>
          </w:tcPr>
          <w:p w14:paraId="0D9A7EEE" w14:textId="2DE851BA" w:rsidR="009C655C" w:rsidRPr="00DB28C3" w:rsidRDefault="009C655C" w:rsidP="00013895">
            <w:pPr>
              <w:spacing w:before="120" w:after="120" w:line="276" w:lineRule="auto"/>
              <w:contextualSpacing/>
              <w:rPr>
                <w:rFonts w:eastAsia="EUAlbertina-Bold-Identity-H" w:cs="Times New Roman"/>
                <w:color w:val="000000" w:themeColor="text1"/>
                <w:sz w:val="28"/>
                <w:szCs w:val="28"/>
                <w:lang w:eastAsia="lv-LV"/>
              </w:rPr>
            </w:pPr>
            <w:r>
              <w:rPr>
                <w:rFonts w:eastAsia="EUAlbertina-Bold-Identity-H" w:cs="Times New Roman"/>
                <w:color w:val="000000" w:themeColor="text1"/>
                <w:sz w:val="28"/>
                <w:szCs w:val="28"/>
                <w:lang w:eastAsia="lv-LV"/>
              </w:rPr>
              <w:t>IZM</w:t>
            </w:r>
          </w:p>
        </w:tc>
        <w:tc>
          <w:tcPr>
            <w:tcW w:w="6299" w:type="dxa"/>
          </w:tcPr>
          <w:p w14:paraId="7B042A4D" w14:textId="7674EB68" w:rsidR="009C655C" w:rsidRPr="00DB28C3" w:rsidRDefault="009C655C" w:rsidP="00B17E47">
            <w:pPr>
              <w:spacing w:before="120" w:after="120" w:line="276" w:lineRule="auto"/>
              <w:contextualSpacing/>
              <w:jc w:val="both"/>
              <w:rPr>
                <w:rFonts w:eastAsia="EUAlbertina-Bold-Identity-H" w:cs="Times New Roman"/>
                <w:color w:val="000000" w:themeColor="text1"/>
                <w:sz w:val="28"/>
                <w:szCs w:val="28"/>
                <w:lang w:eastAsia="lv-LV"/>
              </w:rPr>
            </w:pPr>
            <w:r>
              <w:rPr>
                <w:rFonts w:eastAsia="EUAlbertina-Bold-Identity-H" w:cs="Times New Roman"/>
                <w:color w:val="000000" w:themeColor="text1"/>
                <w:sz w:val="28"/>
                <w:szCs w:val="28"/>
                <w:lang w:eastAsia="lv-LV"/>
              </w:rPr>
              <w:t xml:space="preserve">Izglītības un </w:t>
            </w:r>
            <w:r w:rsidR="0079061C">
              <w:rPr>
                <w:rFonts w:eastAsia="EUAlbertina-Bold-Identity-H" w:cs="Times New Roman"/>
                <w:color w:val="000000" w:themeColor="text1"/>
                <w:sz w:val="28"/>
                <w:szCs w:val="28"/>
                <w:lang w:eastAsia="lv-LV"/>
              </w:rPr>
              <w:t>z</w:t>
            </w:r>
            <w:r>
              <w:rPr>
                <w:rFonts w:eastAsia="EUAlbertina-Bold-Identity-H" w:cs="Times New Roman"/>
                <w:color w:val="000000" w:themeColor="text1"/>
                <w:sz w:val="28"/>
                <w:szCs w:val="28"/>
                <w:lang w:eastAsia="lv-LV"/>
              </w:rPr>
              <w:t>inātnes ministrija</w:t>
            </w:r>
          </w:p>
        </w:tc>
      </w:tr>
      <w:tr w:rsidR="00B10D32" w:rsidRPr="00DB28C3" w14:paraId="423AF8B2" w14:textId="77777777" w:rsidTr="00DA1DCA">
        <w:tc>
          <w:tcPr>
            <w:tcW w:w="2694" w:type="dxa"/>
          </w:tcPr>
          <w:p w14:paraId="0AE94961" w14:textId="77777777" w:rsidR="00B10D32" w:rsidRPr="00DB28C3" w:rsidRDefault="00B10D32" w:rsidP="00013895">
            <w:pPr>
              <w:spacing w:before="120" w:after="120" w:line="276" w:lineRule="auto"/>
              <w:contextualSpacing/>
              <w:rPr>
                <w:rFonts w:eastAsia="EUAlbertina-Bold-Identity-H" w:cs="Times New Roman"/>
                <w:color w:val="000000" w:themeColor="text1"/>
                <w:sz w:val="28"/>
                <w:szCs w:val="28"/>
                <w:lang w:eastAsia="lv-LV"/>
              </w:rPr>
            </w:pPr>
            <w:r w:rsidRPr="00DB28C3">
              <w:rPr>
                <w:rFonts w:cs="Times New Roman"/>
                <w:color w:val="000000" w:themeColor="text1"/>
                <w:sz w:val="28"/>
                <w:szCs w:val="28"/>
              </w:rPr>
              <w:t>JNI</w:t>
            </w:r>
          </w:p>
        </w:tc>
        <w:tc>
          <w:tcPr>
            <w:tcW w:w="6299" w:type="dxa"/>
          </w:tcPr>
          <w:p w14:paraId="32B0C324" w14:textId="77777777" w:rsidR="00B10D32" w:rsidRPr="00DB28C3" w:rsidRDefault="00B10D32" w:rsidP="00B17E47">
            <w:pPr>
              <w:spacing w:before="120" w:after="120" w:line="276" w:lineRule="auto"/>
              <w:contextualSpacing/>
              <w:jc w:val="both"/>
              <w:rPr>
                <w:rFonts w:cs="Times New Roman"/>
                <w:sz w:val="28"/>
                <w:szCs w:val="28"/>
              </w:rPr>
            </w:pPr>
            <w:r w:rsidRPr="00DB28C3">
              <w:rPr>
                <w:rFonts w:cs="Times New Roman"/>
                <w:color w:val="000000" w:themeColor="text1"/>
                <w:sz w:val="28"/>
                <w:szCs w:val="28"/>
              </w:rPr>
              <w:t>Jauniešu nodarbinātības iniciatīva</w:t>
            </w:r>
          </w:p>
        </w:tc>
      </w:tr>
      <w:tr w:rsidR="00B10D32" w:rsidRPr="00DB28C3" w14:paraId="455E4FF1" w14:textId="77777777" w:rsidTr="00DA1DCA">
        <w:tc>
          <w:tcPr>
            <w:tcW w:w="2694" w:type="dxa"/>
          </w:tcPr>
          <w:p w14:paraId="6B639C7A" w14:textId="77777777" w:rsidR="00B10D32" w:rsidRPr="00DB28C3" w:rsidRDefault="00B10D32" w:rsidP="00177DD3">
            <w:pPr>
              <w:rPr>
                <w:rFonts w:cs="Times New Roman"/>
                <w:sz w:val="28"/>
                <w:szCs w:val="28"/>
              </w:rPr>
            </w:pPr>
            <w:r w:rsidRPr="00DB28C3">
              <w:rPr>
                <w:rFonts w:cs="Times New Roman"/>
                <w:sz w:val="28"/>
                <w:szCs w:val="28"/>
              </w:rPr>
              <w:t>KF</w:t>
            </w:r>
          </w:p>
          <w:p w14:paraId="6776F006" w14:textId="77777777" w:rsidR="00B10D32" w:rsidRPr="00DB28C3" w:rsidRDefault="00B10D32" w:rsidP="00013895">
            <w:pPr>
              <w:spacing w:before="120" w:after="120" w:line="276" w:lineRule="auto"/>
              <w:contextualSpacing/>
              <w:rPr>
                <w:rFonts w:eastAsia="EUAlbertina-Bold-Identity-H" w:cs="Times New Roman"/>
                <w:color w:val="000000" w:themeColor="text1"/>
                <w:sz w:val="28"/>
                <w:szCs w:val="28"/>
                <w:lang w:eastAsia="lv-LV"/>
              </w:rPr>
            </w:pPr>
            <w:r w:rsidRPr="00DB28C3">
              <w:rPr>
                <w:rFonts w:cs="Times New Roman"/>
                <w:color w:val="000000" w:themeColor="text1"/>
                <w:sz w:val="28"/>
                <w:szCs w:val="28"/>
              </w:rPr>
              <w:t>KM</w:t>
            </w:r>
          </w:p>
        </w:tc>
        <w:tc>
          <w:tcPr>
            <w:tcW w:w="6299" w:type="dxa"/>
          </w:tcPr>
          <w:p w14:paraId="58E3122F" w14:textId="77777777" w:rsidR="00B10D32" w:rsidRPr="00DB28C3" w:rsidRDefault="00B10D32" w:rsidP="00B17E47">
            <w:pPr>
              <w:spacing w:before="120" w:after="120" w:line="276" w:lineRule="auto"/>
              <w:contextualSpacing/>
              <w:jc w:val="both"/>
              <w:rPr>
                <w:rFonts w:cs="Times New Roman"/>
                <w:sz w:val="28"/>
                <w:szCs w:val="28"/>
              </w:rPr>
            </w:pPr>
            <w:r w:rsidRPr="00DB28C3">
              <w:rPr>
                <w:rFonts w:cs="Times New Roman"/>
                <w:color w:val="000000" w:themeColor="text1"/>
                <w:sz w:val="28"/>
                <w:szCs w:val="28"/>
              </w:rPr>
              <w:t>Kohēzijas fonds</w:t>
            </w:r>
          </w:p>
          <w:p w14:paraId="1A3D8685" w14:textId="77777777" w:rsidR="00B10D32" w:rsidRPr="00DB28C3" w:rsidRDefault="00B10D32" w:rsidP="00B17E47">
            <w:pPr>
              <w:jc w:val="both"/>
              <w:rPr>
                <w:rFonts w:cs="Times New Roman"/>
                <w:sz w:val="28"/>
                <w:szCs w:val="28"/>
              </w:rPr>
            </w:pPr>
            <w:r w:rsidRPr="00DB28C3">
              <w:rPr>
                <w:rFonts w:cs="Times New Roman"/>
                <w:sz w:val="28"/>
                <w:szCs w:val="28"/>
              </w:rPr>
              <w:t>Kultūras ministrija</w:t>
            </w:r>
          </w:p>
        </w:tc>
      </w:tr>
      <w:tr w:rsidR="00B10D32" w:rsidRPr="00DB28C3" w14:paraId="2E4502F9" w14:textId="77777777" w:rsidTr="00DA1DCA">
        <w:tc>
          <w:tcPr>
            <w:tcW w:w="2694" w:type="dxa"/>
          </w:tcPr>
          <w:p w14:paraId="4E2DB029" w14:textId="714C581A" w:rsidR="00B10D32" w:rsidRPr="00DB28C3" w:rsidRDefault="00B10D32" w:rsidP="00013895">
            <w:pPr>
              <w:spacing w:before="120" w:after="120" w:line="276" w:lineRule="auto"/>
              <w:contextualSpacing/>
              <w:rPr>
                <w:rFonts w:cs="Times New Roman"/>
                <w:color w:val="000000" w:themeColor="text1"/>
                <w:sz w:val="28"/>
                <w:szCs w:val="28"/>
              </w:rPr>
            </w:pPr>
            <w:r w:rsidRPr="00DB28C3">
              <w:rPr>
                <w:rFonts w:cs="Times New Roman"/>
                <w:color w:val="000000" w:themeColor="text1"/>
                <w:sz w:val="28"/>
                <w:szCs w:val="28"/>
              </w:rPr>
              <w:t>KPVIS</w:t>
            </w:r>
          </w:p>
        </w:tc>
        <w:tc>
          <w:tcPr>
            <w:tcW w:w="6299" w:type="dxa"/>
          </w:tcPr>
          <w:p w14:paraId="49CBE60B" w14:textId="77777777" w:rsidR="00B10D32" w:rsidRPr="00DB28C3" w:rsidRDefault="00B10D32" w:rsidP="00B17E47">
            <w:pPr>
              <w:spacing w:before="120" w:after="120" w:line="276" w:lineRule="auto"/>
              <w:contextualSpacing/>
              <w:jc w:val="both"/>
              <w:rPr>
                <w:rFonts w:cs="Times New Roman"/>
                <w:color w:val="000000" w:themeColor="text1"/>
                <w:sz w:val="28"/>
                <w:szCs w:val="28"/>
              </w:rPr>
            </w:pPr>
            <w:r w:rsidRPr="00DB28C3">
              <w:rPr>
                <w:rFonts w:cs="Times New Roman"/>
                <w:color w:val="000000" w:themeColor="text1"/>
                <w:sz w:val="28"/>
                <w:szCs w:val="28"/>
              </w:rPr>
              <w:t>Kohēzijas politikas vadības informācijas sistēma</w:t>
            </w:r>
          </w:p>
        </w:tc>
      </w:tr>
      <w:tr w:rsidR="00B10D32" w:rsidRPr="00DB28C3" w14:paraId="417E4361" w14:textId="77777777" w:rsidTr="00DA1DCA">
        <w:tc>
          <w:tcPr>
            <w:tcW w:w="2694" w:type="dxa"/>
          </w:tcPr>
          <w:p w14:paraId="288FCF2B" w14:textId="77777777" w:rsidR="00B10D32" w:rsidRPr="00DB28C3" w:rsidRDefault="00B10D32" w:rsidP="00013895">
            <w:pPr>
              <w:spacing w:before="120" w:after="120" w:line="276" w:lineRule="auto"/>
              <w:contextualSpacing/>
              <w:rPr>
                <w:rFonts w:cs="Times New Roman"/>
                <w:color w:val="000000" w:themeColor="text1"/>
                <w:sz w:val="28"/>
                <w:szCs w:val="28"/>
              </w:rPr>
            </w:pPr>
            <w:r w:rsidRPr="00DB28C3">
              <w:rPr>
                <w:rFonts w:cs="Times New Roman"/>
                <w:color w:val="000000" w:themeColor="text1"/>
                <w:sz w:val="28"/>
                <w:szCs w:val="28"/>
              </w:rPr>
              <w:t>LDZ</w:t>
            </w:r>
          </w:p>
        </w:tc>
        <w:tc>
          <w:tcPr>
            <w:tcW w:w="6299" w:type="dxa"/>
          </w:tcPr>
          <w:p w14:paraId="300B6DC1" w14:textId="5328CB81" w:rsidR="00B10D32" w:rsidRPr="00DB28C3" w:rsidRDefault="00B10D32" w:rsidP="00922530">
            <w:pPr>
              <w:spacing w:before="120" w:after="120" w:line="276" w:lineRule="auto"/>
              <w:contextualSpacing/>
              <w:jc w:val="both"/>
              <w:rPr>
                <w:rFonts w:cs="Times New Roman"/>
                <w:color w:val="000000" w:themeColor="text1"/>
                <w:sz w:val="28"/>
                <w:szCs w:val="28"/>
              </w:rPr>
            </w:pPr>
            <w:r w:rsidRPr="00DB28C3">
              <w:rPr>
                <w:rFonts w:cs="Times New Roman"/>
                <w:color w:val="000000" w:themeColor="text1"/>
                <w:sz w:val="28"/>
                <w:szCs w:val="28"/>
              </w:rPr>
              <w:t>V</w:t>
            </w:r>
            <w:r w:rsidR="00922530">
              <w:rPr>
                <w:rFonts w:cs="Times New Roman"/>
                <w:color w:val="000000" w:themeColor="text1"/>
                <w:sz w:val="28"/>
                <w:szCs w:val="28"/>
              </w:rPr>
              <w:t>alsts akciju sabiedrība</w:t>
            </w:r>
            <w:r w:rsidRPr="00DB28C3">
              <w:rPr>
                <w:rFonts w:cs="Times New Roman"/>
                <w:color w:val="000000" w:themeColor="text1"/>
                <w:sz w:val="28"/>
                <w:szCs w:val="28"/>
              </w:rPr>
              <w:t xml:space="preserve"> “Latvijas dzelzceļš”</w:t>
            </w:r>
          </w:p>
        </w:tc>
      </w:tr>
      <w:tr w:rsidR="00B10D32" w:rsidRPr="00DB28C3" w14:paraId="4D3C6BBF" w14:textId="77777777" w:rsidTr="00DA1DCA">
        <w:tc>
          <w:tcPr>
            <w:tcW w:w="2694" w:type="dxa"/>
          </w:tcPr>
          <w:p w14:paraId="23EBB7E8" w14:textId="77777777" w:rsidR="00B10D32" w:rsidRPr="00DB28C3" w:rsidRDefault="00B10D32" w:rsidP="00013895">
            <w:pPr>
              <w:spacing w:before="120" w:after="120" w:line="276" w:lineRule="auto"/>
              <w:contextualSpacing/>
              <w:rPr>
                <w:rFonts w:cs="Times New Roman"/>
                <w:color w:val="000000" w:themeColor="text1"/>
                <w:sz w:val="28"/>
                <w:szCs w:val="28"/>
                <w:highlight w:val="yellow"/>
              </w:rPr>
            </w:pPr>
            <w:r w:rsidRPr="00DB28C3">
              <w:rPr>
                <w:rFonts w:cs="Times New Roman"/>
                <w:color w:val="000000" w:themeColor="text1"/>
                <w:sz w:val="28"/>
                <w:szCs w:val="28"/>
              </w:rPr>
              <w:t>LIAA</w:t>
            </w:r>
          </w:p>
        </w:tc>
        <w:tc>
          <w:tcPr>
            <w:tcW w:w="6299" w:type="dxa"/>
          </w:tcPr>
          <w:p w14:paraId="24FB06B1" w14:textId="77777777" w:rsidR="00B10D32" w:rsidRPr="00DB28C3" w:rsidRDefault="00B10D32" w:rsidP="00B17E47">
            <w:pPr>
              <w:spacing w:before="120" w:after="120" w:line="276" w:lineRule="auto"/>
              <w:contextualSpacing/>
              <w:jc w:val="both"/>
              <w:rPr>
                <w:rFonts w:cs="Times New Roman"/>
                <w:color w:val="000000" w:themeColor="text1"/>
                <w:sz w:val="28"/>
                <w:szCs w:val="28"/>
                <w:highlight w:val="yellow"/>
              </w:rPr>
            </w:pPr>
            <w:r w:rsidRPr="00DB28C3">
              <w:rPr>
                <w:rFonts w:cs="Times New Roman"/>
                <w:color w:val="000000" w:themeColor="text1"/>
                <w:sz w:val="28"/>
                <w:szCs w:val="28"/>
              </w:rPr>
              <w:t>Latvijas Investīciju un attīstības aģentūra</w:t>
            </w:r>
          </w:p>
        </w:tc>
      </w:tr>
      <w:tr w:rsidR="00B10D32" w:rsidRPr="00DB28C3" w14:paraId="44B9A2DE" w14:textId="77777777" w:rsidTr="00DA1DCA">
        <w:tc>
          <w:tcPr>
            <w:tcW w:w="2694" w:type="dxa"/>
          </w:tcPr>
          <w:p w14:paraId="6012AFB8" w14:textId="77777777" w:rsidR="00B10D32" w:rsidRPr="00DB28C3" w:rsidRDefault="00B10D32" w:rsidP="00013895">
            <w:pPr>
              <w:spacing w:before="120" w:after="120" w:line="276" w:lineRule="auto"/>
              <w:contextualSpacing/>
              <w:rPr>
                <w:rFonts w:cs="Times New Roman"/>
                <w:color w:val="000000" w:themeColor="text1"/>
                <w:sz w:val="28"/>
                <w:szCs w:val="28"/>
              </w:rPr>
            </w:pPr>
            <w:r w:rsidRPr="00DB28C3">
              <w:rPr>
                <w:rFonts w:cs="Times New Roman"/>
                <w:color w:val="000000" w:themeColor="text1"/>
                <w:sz w:val="28"/>
                <w:szCs w:val="28"/>
              </w:rPr>
              <w:t>LM</w:t>
            </w:r>
          </w:p>
        </w:tc>
        <w:tc>
          <w:tcPr>
            <w:tcW w:w="6299" w:type="dxa"/>
          </w:tcPr>
          <w:p w14:paraId="47EC0647" w14:textId="77777777" w:rsidR="00B10D32" w:rsidRPr="00DB28C3" w:rsidRDefault="00B10D32" w:rsidP="00B17E47">
            <w:pPr>
              <w:spacing w:before="120" w:after="120" w:line="276" w:lineRule="auto"/>
              <w:contextualSpacing/>
              <w:jc w:val="both"/>
              <w:rPr>
                <w:rFonts w:cs="Times New Roman"/>
                <w:color w:val="000000" w:themeColor="text1"/>
                <w:sz w:val="28"/>
                <w:szCs w:val="28"/>
              </w:rPr>
            </w:pPr>
            <w:r w:rsidRPr="00DB28C3">
              <w:rPr>
                <w:rFonts w:cs="Times New Roman"/>
                <w:color w:val="000000" w:themeColor="text1"/>
                <w:sz w:val="28"/>
                <w:szCs w:val="28"/>
              </w:rPr>
              <w:t>Labklājības ministrija</w:t>
            </w:r>
          </w:p>
        </w:tc>
      </w:tr>
      <w:tr w:rsidR="00432C30" w:rsidRPr="00DB28C3" w14:paraId="19E8A97A" w14:textId="77777777" w:rsidTr="00DA1DCA">
        <w:tc>
          <w:tcPr>
            <w:tcW w:w="2694" w:type="dxa"/>
          </w:tcPr>
          <w:p w14:paraId="6C3E3F93" w14:textId="090C9CF8" w:rsidR="00432C30" w:rsidRPr="00DB28C3" w:rsidRDefault="00432C30" w:rsidP="00013895">
            <w:pPr>
              <w:spacing w:before="120" w:after="120" w:line="276" w:lineRule="auto"/>
              <w:contextualSpacing/>
              <w:rPr>
                <w:rFonts w:cs="Times New Roman"/>
                <w:color w:val="000000" w:themeColor="text1"/>
                <w:sz w:val="28"/>
                <w:szCs w:val="28"/>
              </w:rPr>
            </w:pPr>
            <w:r>
              <w:rPr>
                <w:rFonts w:cs="Times New Roman"/>
                <w:color w:val="000000" w:themeColor="text1"/>
                <w:sz w:val="28"/>
                <w:szCs w:val="28"/>
              </w:rPr>
              <w:t>LPS</w:t>
            </w:r>
          </w:p>
        </w:tc>
        <w:tc>
          <w:tcPr>
            <w:tcW w:w="6299" w:type="dxa"/>
          </w:tcPr>
          <w:p w14:paraId="2B19DAB9" w14:textId="18CDC97C" w:rsidR="00432C30" w:rsidRPr="00DB28C3" w:rsidRDefault="00432C30" w:rsidP="00B17E47">
            <w:pPr>
              <w:spacing w:before="120" w:after="120" w:line="276" w:lineRule="auto"/>
              <w:contextualSpacing/>
              <w:jc w:val="both"/>
              <w:rPr>
                <w:rFonts w:cs="Times New Roman"/>
                <w:color w:val="000000" w:themeColor="text1"/>
                <w:sz w:val="28"/>
                <w:szCs w:val="28"/>
              </w:rPr>
            </w:pPr>
            <w:r>
              <w:rPr>
                <w:rFonts w:cs="Times New Roman"/>
                <w:color w:val="000000" w:themeColor="text1"/>
                <w:sz w:val="28"/>
                <w:szCs w:val="28"/>
              </w:rPr>
              <w:t>Latvijas Pašvaldību savienība</w:t>
            </w:r>
          </w:p>
        </w:tc>
      </w:tr>
      <w:tr w:rsidR="005E049A" w:rsidRPr="00DB28C3" w14:paraId="075684D3" w14:textId="77777777" w:rsidTr="00DA1DCA">
        <w:tc>
          <w:tcPr>
            <w:tcW w:w="2694" w:type="dxa"/>
          </w:tcPr>
          <w:p w14:paraId="674D5A51" w14:textId="1F46CCD9" w:rsidR="005E049A" w:rsidRPr="00DB28C3" w:rsidRDefault="005E049A" w:rsidP="00013895">
            <w:pPr>
              <w:spacing w:before="120" w:after="120" w:line="276" w:lineRule="auto"/>
              <w:contextualSpacing/>
              <w:rPr>
                <w:rFonts w:cs="Times New Roman"/>
                <w:color w:val="000000" w:themeColor="text1"/>
                <w:sz w:val="28"/>
                <w:szCs w:val="28"/>
              </w:rPr>
            </w:pPr>
            <w:r w:rsidRPr="00DB28C3">
              <w:rPr>
                <w:rFonts w:cs="Times New Roman"/>
                <w:color w:val="000000" w:themeColor="text1"/>
                <w:sz w:val="28"/>
                <w:szCs w:val="28"/>
              </w:rPr>
              <w:t>LVC</w:t>
            </w:r>
          </w:p>
        </w:tc>
        <w:tc>
          <w:tcPr>
            <w:tcW w:w="6299" w:type="dxa"/>
          </w:tcPr>
          <w:p w14:paraId="1D8EB8DC" w14:textId="5F13FB43" w:rsidR="005E049A" w:rsidRPr="00DB28C3" w:rsidRDefault="005E049A" w:rsidP="00922530">
            <w:pPr>
              <w:spacing w:before="120" w:after="120" w:line="276" w:lineRule="auto"/>
              <w:contextualSpacing/>
              <w:jc w:val="both"/>
              <w:rPr>
                <w:rFonts w:cs="Times New Roman"/>
                <w:color w:val="000000" w:themeColor="text1"/>
                <w:sz w:val="28"/>
                <w:szCs w:val="28"/>
              </w:rPr>
            </w:pPr>
            <w:r w:rsidRPr="00DB28C3">
              <w:rPr>
                <w:rFonts w:cs="Times New Roman"/>
                <w:color w:val="000000" w:themeColor="text1"/>
                <w:sz w:val="28"/>
                <w:szCs w:val="28"/>
              </w:rPr>
              <w:t>V</w:t>
            </w:r>
            <w:r w:rsidR="00922530">
              <w:rPr>
                <w:rFonts w:cs="Times New Roman"/>
                <w:color w:val="000000" w:themeColor="text1"/>
                <w:sz w:val="28"/>
                <w:szCs w:val="28"/>
              </w:rPr>
              <w:t>alsts akciju sabiedrība</w:t>
            </w:r>
            <w:r w:rsidRPr="00DB28C3">
              <w:rPr>
                <w:rFonts w:cs="Times New Roman"/>
                <w:color w:val="000000" w:themeColor="text1"/>
                <w:sz w:val="28"/>
                <w:szCs w:val="28"/>
              </w:rPr>
              <w:t xml:space="preserve"> “Latvijas Valsts ceļi”</w:t>
            </w:r>
          </w:p>
        </w:tc>
      </w:tr>
      <w:tr w:rsidR="00B10D32" w:rsidRPr="00DB28C3" w14:paraId="48897E0A" w14:textId="77777777" w:rsidTr="00DA1DCA">
        <w:tc>
          <w:tcPr>
            <w:tcW w:w="2694" w:type="dxa"/>
          </w:tcPr>
          <w:p w14:paraId="20A9E6A8" w14:textId="77777777" w:rsidR="00B10D32" w:rsidRPr="00DB28C3" w:rsidRDefault="00B10D32" w:rsidP="00013895">
            <w:pPr>
              <w:spacing w:before="120" w:after="120" w:line="276" w:lineRule="auto"/>
              <w:contextualSpacing/>
              <w:rPr>
                <w:rFonts w:cs="Times New Roman"/>
                <w:color w:val="000000" w:themeColor="text1"/>
                <w:sz w:val="28"/>
                <w:szCs w:val="28"/>
              </w:rPr>
            </w:pPr>
            <w:r w:rsidRPr="00DB28C3">
              <w:rPr>
                <w:rFonts w:cs="Times New Roman"/>
                <w:color w:val="000000" w:themeColor="text1"/>
                <w:sz w:val="28"/>
                <w:szCs w:val="28"/>
              </w:rPr>
              <w:t>MK</w:t>
            </w:r>
          </w:p>
        </w:tc>
        <w:tc>
          <w:tcPr>
            <w:tcW w:w="6299" w:type="dxa"/>
          </w:tcPr>
          <w:p w14:paraId="310283DD" w14:textId="77777777" w:rsidR="00B10D32" w:rsidRPr="00DB28C3" w:rsidRDefault="00B10D32" w:rsidP="00B17E47">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B28C3">
              <w:rPr>
                <w:rFonts w:cs="Times New Roman"/>
                <w:color w:val="000000" w:themeColor="text1"/>
                <w:sz w:val="28"/>
                <w:szCs w:val="28"/>
              </w:rPr>
              <w:t>Ministru kabinets</w:t>
            </w:r>
          </w:p>
        </w:tc>
      </w:tr>
      <w:tr w:rsidR="008A2A0C" w:rsidRPr="00DB28C3" w14:paraId="791752F2" w14:textId="77777777" w:rsidTr="00DA1D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5F827CD8" w14:textId="77777777" w:rsidR="008A2A0C" w:rsidRPr="00F04990" w:rsidRDefault="008A2A0C" w:rsidP="003C5C46">
            <w:pPr>
              <w:rPr>
                <w:rFonts w:cs="Times New Roman"/>
                <w:sz w:val="28"/>
                <w:szCs w:val="28"/>
              </w:rPr>
            </w:pPr>
            <w:r w:rsidRPr="00F04990">
              <w:rPr>
                <w:rFonts w:cs="Times New Roman"/>
                <w:sz w:val="28"/>
                <w:szCs w:val="28"/>
              </w:rPr>
              <w:t>MK</w:t>
            </w:r>
            <w:r>
              <w:rPr>
                <w:rFonts w:cs="Times New Roman"/>
                <w:sz w:val="28"/>
                <w:szCs w:val="28"/>
              </w:rPr>
              <w:t xml:space="preserve"> noteikumi </w:t>
            </w:r>
            <w:r w:rsidRPr="00F04990">
              <w:rPr>
                <w:rFonts w:cs="Times New Roman"/>
                <w:sz w:val="28"/>
                <w:szCs w:val="28"/>
              </w:rPr>
              <w:t xml:space="preserve">Nr.129 </w:t>
            </w:r>
          </w:p>
          <w:p w14:paraId="2BFC5F95" w14:textId="77777777" w:rsidR="008A2A0C" w:rsidRPr="00DB28C3" w:rsidRDefault="008A2A0C" w:rsidP="003C5C46">
            <w:pPr>
              <w:spacing w:before="120" w:after="120" w:line="276" w:lineRule="auto"/>
              <w:contextualSpacing/>
              <w:rPr>
                <w:rFonts w:cs="Times New Roman"/>
                <w:sz w:val="28"/>
                <w:szCs w:val="28"/>
              </w:rPr>
            </w:pPr>
          </w:p>
        </w:tc>
        <w:tc>
          <w:tcPr>
            <w:tcW w:w="6299" w:type="dxa"/>
            <w:tcBorders>
              <w:top w:val="nil"/>
              <w:left w:val="nil"/>
              <w:bottom w:val="nil"/>
              <w:right w:val="nil"/>
            </w:tcBorders>
          </w:tcPr>
          <w:p w14:paraId="6B64121A" w14:textId="4516CCE4" w:rsidR="008A2A0C" w:rsidRPr="00DB28C3" w:rsidRDefault="008A2A0C" w:rsidP="00DA1DCA">
            <w:pPr>
              <w:jc w:val="both"/>
              <w:rPr>
                <w:rFonts w:cs="Times New Roman"/>
                <w:sz w:val="28"/>
                <w:szCs w:val="28"/>
              </w:rPr>
            </w:pPr>
            <w:r>
              <w:rPr>
                <w:rFonts w:cs="Times New Roman"/>
                <w:sz w:val="28"/>
                <w:szCs w:val="28"/>
              </w:rPr>
              <w:t xml:space="preserve">2019. gada 26. marta </w:t>
            </w:r>
            <w:r w:rsidRPr="00F04990">
              <w:rPr>
                <w:rFonts w:cs="Times New Roman"/>
                <w:sz w:val="28"/>
                <w:szCs w:val="28"/>
              </w:rPr>
              <w:t>MK noteikumi Nr. 129 "Grozījumi MK 2015. gada 10. februāra noteikumos Nr. 77 "Eiropas Savienības struktūrfondu un Kohēzijas fonda projektu pārbaužu veikšanas kārtība 2014. – 2020. gada plānošanas periodā""</w:t>
            </w:r>
          </w:p>
        </w:tc>
      </w:tr>
      <w:tr w:rsidR="008A2A0C" w:rsidRPr="00DB28C3" w14:paraId="692E70B8" w14:textId="77777777" w:rsidTr="00DA1D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0ED61683" w14:textId="77777777" w:rsidR="008A2A0C" w:rsidRPr="00F04990" w:rsidRDefault="008A2A0C" w:rsidP="003C5C46">
            <w:pPr>
              <w:rPr>
                <w:rFonts w:eastAsia="Calibri" w:cs="Times New Roman"/>
                <w:sz w:val="28"/>
                <w:szCs w:val="28"/>
              </w:rPr>
            </w:pPr>
            <w:r>
              <w:rPr>
                <w:rFonts w:eastAsia="Calibri" w:cs="Times New Roman"/>
                <w:sz w:val="28"/>
                <w:szCs w:val="28"/>
              </w:rPr>
              <w:t xml:space="preserve">MK noteikumi </w:t>
            </w:r>
            <w:r w:rsidRPr="00F04990">
              <w:rPr>
                <w:rFonts w:eastAsia="Calibri" w:cs="Times New Roman"/>
                <w:sz w:val="28"/>
                <w:szCs w:val="28"/>
              </w:rPr>
              <w:t>Nr.140</w:t>
            </w:r>
          </w:p>
          <w:p w14:paraId="462A5829" w14:textId="77777777" w:rsidR="008A2A0C" w:rsidRPr="00F04990" w:rsidRDefault="008A2A0C" w:rsidP="003C5C46">
            <w:pPr>
              <w:rPr>
                <w:rFonts w:cs="Times New Roman"/>
                <w:sz w:val="28"/>
                <w:szCs w:val="28"/>
              </w:rPr>
            </w:pPr>
          </w:p>
        </w:tc>
        <w:tc>
          <w:tcPr>
            <w:tcW w:w="6299" w:type="dxa"/>
            <w:tcBorders>
              <w:top w:val="nil"/>
              <w:left w:val="nil"/>
              <w:bottom w:val="nil"/>
              <w:right w:val="nil"/>
            </w:tcBorders>
          </w:tcPr>
          <w:p w14:paraId="45C672C9" w14:textId="1E6A2BCC" w:rsidR="008A2A0C" w:rsidRPr="00F04990" w:rsidRDefault="008A2A0C" w:rsidP="00DA1DCA">
            <w:pPr>
              <w:jc w:val="both"/>
              <w:rPr>
                <w:rFonts w:cs="Times New Roman"/>
                <w:sz w:val="28"/>
                <w:szCs w:val="28"/>
              </w:rPr>
            </w:pPr>
            <w:r w:rsidRPr="00F04990">
              <w:rPr>
                <w:rFonts w:eastAsia="Calibri" w:cs="Times New Roman"/>
                <w:sz w:val="28"/>
                <w:szCs w:val="28"/>
              </w:rPr>
              <w:lastRenderedPageBreak/>
              <w:t>2019. gada 2. aprīļa MK noteikumi Nr.</w:t>
            </w:r>
            <w:r w:rsidR="0079061C">
              <w:rPr>
                <w:rFonts w:eastAsia="Calibri" w:cs="Times New Roman"/>
                <w:sz w:val="28"/>
                <w:szCs w:val="28"/>
              </w:rPr>
              <w:t xml:space="preserve"> </w:t>
            </w:r>
            <w:r w:rsidRPr="00F04990">
              <w:rPr>
                <w:rFonts w:eastAsia="Calibri" w:cs="Times New Roman"/>
                <w:sz w:val="28"/>
                <w:szCs w:val="28"/>
              </w:rPr>
              <w:t xml:space="preserve">140 “Norvēģijas finanšu instrumenta 2014.–2021. gada </w:t>
            </w:r>
            <w:r w:rsidRPr="00F04990">
              <w:rPr>
                <w:rFonts w:eastAsia="Calibri" w:cs="Times New Roman"/>
                <w:sz w:val="28"/>
                <w:szCs w:val="28"/>
              </w:rPr>
              <w:lastRenderedPageBreak/>
              <w:t>perioda programmas "Korekcijas dienesti" īstenošanas noteikumi”</w:t>
            </w:r>
          </w:p>
        </w:tc>
      </w:tr>
      <w:tr w:rsidR="008A2A0C" w:rsidRPr="00DB28C3" w14:paraId="4ECAFF69" w14:textId="77777777" w:rsidTr="00DA1D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35A72BAB" w14:textId="77777777" w:rsidR="008A2A0C" w:rsidRPr="00DB28C3" w:rsidRDefault="008A2A0C" w:rsidP="003C5C46">
            <w:pPr>
              <w:spacing w:before="120" w:after="120" w:line="276" w:lineRule="auto"/>
              <w:contextualSpacing/>
              <w:rPr>
                <w:rFonts w:cs="Times New Roman"/>
                <w:color w:val="000000" w:themeColor="text1"/>
                <w:sz w:val="28"/>
                <w:szCs w:val="28"/>
              </w:rPr>
            </w:pPr>
            <w:r w:rsidRPr="00DB28C3">
              <w:rPr>
                <w:rFonts w:cs="Times New Roman"/>
                <w:sz w:val="28"/>
                <w:szCs w:val="28"/>
              </w:rPr>
              <w:lastRenderedPageBreak/>
              <w:t>MK</w:t>
            </w:r>
            <w:r>
              <w:rPr>
                <w:rFonts w:cs="Times New Roman"/>
                <w:sz w:val="28"/>
                <w:szCs w:val="28"/>
              </w:rPr>
              <w:t xml:space="preserve"> noteikumi</w:t>
            </w:r>
            <w:r w:rsidRPr="00DB28C3">
              <w:rPr>
                <w:rFonts w:cs="Times New Roman"/>
                <w:sz w:val="28"/>
                <w:szCs w:val="28"/>
              </w:rPr>
              <w:t xml:space="preserve"> Nr.272</w:t>
            </w:r>
          </w:p>
        </w:tc>
        <w:tc>
          <w:tcPr>
            <w:tcW w:w="6299" w:type="dxa"/>
            <w:tcBorders>
              <w:top w:val="nil"/>
              <w:left w:val="nil"/>
              <w:bottom w:val="nil"/>
              <w:right w:val="nil"/>
            </w:tcBorders>
          </w:tcPr>
          <w:p w14:paraId="69431D61" w14:textId="77777777" w:rsidR="008A2A0C" w:rsidRPr="00DB28C3" w:rsidRDefault="008A2A0C" w:rsidP="00DA1DCA">
            <w:pPr>
              <w:spacing w:before="120" w:after="120"/>
              <w:contextualSpacing/>
              <w:jc w:val="both"/>
              <w:rPr>
                <w:rFonts w:cs="Times New Roman"/>
                <w:color w:val="000000" w:themeColor="text1"/>
                <w:sz w:val="28"/>
                <w:szCs w:val="28"/>
              </w:rPr>
            </w:pPr>
            <w:r w:rsidRPr="00DB28C3">
              <w:rPr>
                <w:rFonts w:cs="Times New Roman"/>
                <w:sz w:val="28"/>
                <w:szCs w:val="28"/>
              </w:rPr>
              <w:t xml:space="preserve">Ministru kabineta 2011.gada 5.aprīļa noteikumi Nr.272 "Noteikumi par darbības programmas "Infrastruktūra un pakalpojumi" papildinājuma 3.4.4.1.aktivitātes "Daudzdzīvokļu māju </w:t>
            </w:r>
            <w:proofErr w:type="spellStart"/>
            <w:r w:rsidRPr="00DB28C3">
              <w:rPr>
                <w:rFonts w:cs="Times New Roman"/>
                <w:sz w:val="28"/>
                <w:szCs w:val="28"/>
              </w:rPr>
              <w:t>siltumnoturības</w:t>
            </w:r>
            <w:proofErr w:type="spellEnd"/>
            <w:r w:rsidRPr="00DB28C3">
              <w:rPr>
                <w:rFonts w:cs="Times New Roman"/>
                <w:sz w:val="28"/>
                <w:szCs w:val="28"/>
              </w:rPr>
              <w:t xml:space="preserve"> uzlabošanas pasākumi" projektu iesniegumu atlases devīto un desmito kārtu"</w:t>
            </w:r>
          </w:p>
        </w:tc>
      </w:tr>
      <w:tr w:rsidR="008A2A0C" w:rsidRPr="00DB28C3" w14:paraId="3FF84C4E" w14:textId="77777777" w:rsidTr="00DA1D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357B0B37" w14:textId="77777777" w:rsidR="008A2A0C" w:rsidRDefault="008A2A0C" w:rsidP="003C5C46">
            <w:pPr>
              <w:spacing w:before="120" w:after="120" w:line="276" w:lineRule="auto"/>
              <w:contextualSpacing/>
              <w:rPr>
                <w:rFonts w:eastAsia="Calibri" w:cs="Times New Roman"/>
                <w:sz w:val="28"/>
                <w:szCs w:val="28"/>
              </w:rPr>
            </w:pPr>
            <w:r w:rsidRPr="00DB28C3">
              <w:rPr>
                <w:rFonts w:eastAsia="Calibri" w:cs="Times New Roman"/>
                <w:sz w:val="28"/>
                <w:szCs w:val="28"/>
              </w:rPr>
              <w:t>MK</w:t>
            </w:r>
            <w:r>
              <w:rPr>
                <w:rFonts w:eastAsia="Calibri" w:cs="Times New Roman"/>
                <w:sz w:val="28"/>
                <w:szCs w:val="28"/>
              </w:rPr>
              <w:t xml:space="preserve"> noteikumi</w:t>
            </w:r>
            <w:r w:rsidRPr="00DB28C3">
              <w:rPr>
                <w:rFonts w:eastAsia="Calibri" w:cs="Times New Roman"/>
                <w:sz w:val="28"/>
                <w:szCs w:val="28"/>
              </w:rPr>
              <w:t xml:space="preserve"> </w:t>
            </w:r>
          </w:p>
          <w:p w14:paraId="5CB52B92" w14:textId="742B2017" w:rsidR="008A2A0C" w:rsidRPr="00DB28C3" w:rsidRDefault="008A2A0C" w:rsidP="003C5C46">
            <w:pPr>
              <w:spacing w:before="120" w:after="120" w:line="276" w:lineRule="auto"/>
              <w:contextualSpacing/>
              <w:rPr>
                <w:rFonts w:cs="Times New Roman"/>
                <w:sz w:val="28"/>
                <w:szCs w:val="28"/>
              </w:rPr>
            </w:pPr>
            <w:r w:rsidRPr="00DB28C3">
              <w:rPr>
                <w:rFonts w:eastAsia="Calibri" w:cs="Times New Roman"/>
                <w:sz w:val="28"/>
                <w:szCs w:val="28"/>
              </w:rPr>
              <w:t>Nr. 421</w:t>
            </w:r>
          </w:p>
        </w:tc>
        <w:tc>
          <w:tcPr>
            <w:tcW w:w="6299" w:type="dxa"/>
            <w:tcBorders>
              <w:top w:val="nil"/>
              <w:left w:val="nil"/>
              <w:bottom w:val="nil"/>
              <w:right w:val="nil"/>
            </w:tcBorders>
          </w:tcPr>
          <w:p w14:paraId="2D55645F" w14:textId="77777777" w:rsidR="008A2A0C" w:rsidRPr="00DB28C3" w:rsidRDefault="008A2A0C" w:rsidP="003C5C46">
            <w:pPr>
              <w:spacing w:before="120" w:after="120" w:line="276" w:lineRule="auto"/>
              <w:contextualSpacing/>
              <w:jc w:val="both"/>
              <w:rPr>
                <w:rFonts w:cs="Times New Roman"/>
                <w:sz w:val="28"/>
                <w:szCs w:val="28"/>
              </w:rPr>
            </w:pPr>
            <w:r w:rsidRPr="00DB28C3">
              <w:rPr>
                <w:rFonts w:cs="Times New Roman"/>
                <w:sz w:val="28"/>
                <w:szCs w:val="28"/>
              </w:rPr>
              <w:t>Ministru kabineta</w:t>
            </w:r>
            <w:r w:rsidRPr="00DB28C3">
              <w:rPr>
                <w:rFonts w:eastAsia="Calibri" w:cs="Times New Roman"/>
                <w:sz w:val="28"/>
                <w:szCs w:val="28"/>
              </w:rPr>
              <w:t xml:space="preserve"> 2018.</w:t>
            </w:r>
            <w:r>
              <w:rPr>
                <w:rFonts w:eastAsia="Calibri" w:cs="Times New Roman"/>
                <w:sz w:val="28"/>
                <w:szCs w:val="28"/>
              </w:rPr>
              <w:t xml:space="preserve"> </w:t>
            </w:r>
            <w:r w:rsidRPr="00DB28C3">
              <w:rPr>
                <w:rFonts w:eastAsia="Calibri" w:cs="Times New Roman"/>
                <w:sz w:val="28"/>
                <w:szCs w:val="28"/>
              </w:rPr>
              <w:t xml:space="preserve">gada 20.jūlija </w:t>
            </w:r>
            <w:r w:rsidRPr="00DB28C3">
              <w:rPr>
                <w:rFonts w:cs="Times New Roman"/>
                <w:sz w:val="28"/>
                <w:szCs w:val="28"/>
              </w:rPr>
              <w:t xml:space="preserve">noteikumi Nr. 421 </w:t>
            </w:r>
            <w:r w:rsidRPr="00DB28C3">
              <w:rPr>
                <w:rFonts w:eastAsia="Calibri" w:cs="Times New Roman"/>
                <w:sz w:val="28"/>
                <w:szCs w:val="28"/>
              </w:rPr>
              <w:t>“Kārtība, kādā veic gadskārtējā valsts budžeta likumā noteiktās apropriācijas izmaiņas”</w:t>
            </w:r>
          </w:p>
        </w:tc>
      </w:tr>
      <w:tr w:rsidR="008A2A0C" w:rsidRPr="00DB28C3" w14:paraId="533BFD35" w14:textId="77777777" w:rsidTr="00DA1D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242EB3BB" w14:textId="77777777" w:rsidR="008A2A0C" w:rsidRDefault="008A2A0C" w:rsidP="003C5C46">
            <w:pPr>
              <w:rPr>
                <w:rFonts w:cs="Times New Roman"/>
                <w:sz w:val="28"/>
                <w:szCs w:val="28"/>
              </w:rPr>
            </w:pPr>
            <w:r w:rsidRPr="00F04990">
              <w:rPr>
                <w:rFonts w:cs="Times New Roman"/>
                <w:sz w:val="28"/>
                <w:szCs w:val="28"/>
              </w:rPr>
              <w:t>MK</w:t>
            </w:r>
            <w:r>
              <w:rPr>
                <w:rFonts w:cs="Times New Roman"/>
                <w:sz w:val="28"/>
                <w:szCs w:val="28"/>
              </w:rPr>
              <w:t xml:space="preserve"> noteikumi</w:t>
            </w:r>
            <w:r w:rsidRPr="00F04990">
              <w:rPr>
                <w:rFonts w:cs="Times New Roman"/>
                <w:sz w:val="28"/>
                <w:szCs w:val="28"/>
              </w:rPr>
              <w:t xml:space="preserve"> </w:t>
            </w:r>
          </w:p>
          <w:p w14:paraId="3394243A" w14:textId="680BB514" w:rsidR="008A2A0C" w:rsidRPr="00F04990" w:rsidRDefault="008A2A0C" w:rsidP="003C5C46">
            <w:pPr>
              <w:rPr>
                <w:rFonts w:cs="Times New Roman"/>
                <w:sz w:val="28"/>
                <w:szCs w:val="28"/>
              </w:rPr>
            </w:pPr>
            <w:r w:rsidRPr="00F04990">
              <w:rPr>
                <w:rFonts w:cs="Times New Roman"/>
                <w:sz w:val="28"/>
                <w:szCs w:val="28"/>
              </w:rPr>
              <w:t>Nr. 740</w:t>
            </w:r>
          </w:p>
          <w:p w14:paraId="553EA162" w14:textId="77777777" w:rsidR="008A2A0C" w:rsidRPr="00DB28C3" w:rsidRDefault="008A2A0C" w:rsidP="003C5C46">
            <w:pPr>
              <w:spacing w:before="120" w:after="120" w:line="276" w:lineRule="auto"/>
              <w:contextualSpacing/>
              <w:rPr>
                <w:rFonts w:eastAsia="Calibri" w:cs="Times New Roman"/>
                <w:sz w:val="28"/>
                <w:szCs w:val="28"/>
              </w:rPr>
            </w:pPr>
          </w:p>
        </w:tc>
        <w:tc>
          <w:tcPr>
            <w:tcW w:w="6299" w:type="dxa"/>
            <w:tcBorders>
              <w:top w:val="nil"/>
              <w:left w:val="nil"/>
              <w:bottom w:val="nil"/>
              <w:right w:val="nil"/>
            </w:tcBorders>
          </w:tcPr>
          <w:p w14:paraId="5EC1FE0C" w14:textId="77777777" w:rsidR="008A2A0C" w:rsidRPr="00DB28C3" w:rsidRDefault="008A2A0C" w:rsidP="003C5C46">
            <w:pPr>
              <w:pStyle w:val="FootnoteText"/>
              <w:jc w:val="both"/>
              <w:rPr>
                <w:rFonts w:cs="Times New Roman"/>
                <w:sz w:val="28"/>
                <w:szCs w:val="28"/>
              </w:rPr>
            </w:pPr>
            <w:r w:rsidRPr="00F04990">
              <w:rPr>
                <w:rFonts w:cs="Times New Roman"/>
                <w:sz w:val="28"/>
                <w:szCs w:val="28"/>
              </w:rPr>
              <w:t>2010.</w:t>
            </w:r>
            <w:r>
              <w:rPr>
                <w:rFonts w:cs="Times New Roman"/>
                <w:sz w:val="28"/>
                <w:szCs w:val="28"/>
              </w:rPr>
              <w:t xml:space="preserve"> </w:t>
            </w:r>
            <w:r w:rsidRPr="00F04990">
              <w:rPr>
                <w:rFonts w:cs="Times New Roman"/>
                <w:sz w:val="28"/>
                <w:szCs w:val="28"/>
              </w:rPr>
              <w:t xml:space="preserve">gada 10.augusta MK noteikumi </w:t>
            </w:r>
            <w:proofErr w:type="spellStart"/>
            <w:r w:rsidRPr="00F04990">
              <w:rPr>
                <w:rFonts w:cs="Times New Roman"/>
                <w:sz w:val="28"/>
                <w:szCs w:val="28"/>
              </w:rPr>
              <w:t>Nr</w:t>
            </w:r>
            <w:proofErr w:type="spellEnd"/>
            <w:r w:rsidRPr="00F04990">
              <w:rPr>
                <w:rFonts w:cs="Times New Roman"/>
                <w:sz w:val="28"/>
                <w:szCs w:val="28"/>
              </w:rPr>
              <w:t>: 740 “Kārtība, kādā ziņo par Eiropas Savienības struktūrfondu un Kohēzijas fonda ieviešanā konstatētajām neatbilstībām, pieņem lēmumu par piešķirtā finansējuma izlietojumu un atgūst neatbilstošos izdevumus”</w:t>
            </w:r>
          </w:p>
        </w:tc>
      </w:tr>
      <w:tr w:rsidR="008A2A0C" w:rsidRPr="00DB28C3" w14:paraId="1DA547DB" w14:textId="77777777" w:rsidTr="00DA1DC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694" w:type="dxa"/>
            <w:tcBorders>
              <w:top w:val="nil"/>
              <w:left w:val="nil"/>
              <w:bottom w:val="nil"/>
              <w:right w:val="nil"/>
            </w:tcBorders>
          </w:tcPr>
          <w:p w14:paraId="3F6DB4D8" w14:textId="77777777" w:rsidR="008A2A0C" w:rsidRPr="00F04990" w:rsidRDefault="008A2A0C" w:rsidP="003C5C46">
            <w:pPr>
              <w:rPr>
                <w:rFonts w:cs="Times New Roman"/>
                <w:sz w:val="28"/>
                <w:szCs w:val="28"/>
              </w:rPr>
            </w:pPr>
            <w:r w:rsidRPr="00F04990">
              <w:rPr>
                <w:rFonts w:cs="Times New Roman"/>
                <w:sz w:val="28"/>
                <w:szCs w:val="28"/>
              </w:rPr>
              <w:t>MK</w:t>
            </w:r>
            <w:r>
              <w:rPr>
                <w:rFonts w:cs="Times New Roman"/>
                <w:sz w:val="28"/>
                <w:szCs w:val="28"/>
              </w:rPr>
              <w:t xml:space="preserve"> noteikumi</w:t>
            </w:r>
            <w:r w:rsidRPr="00F04990">
              <w:rPr>
                <w:rFonts w:cs="Times New Roman"/>
                <w:sz w:val="28"/>
                <w:szCs w:val="28"/>
              </w:rPr>
              <w:t xml:space="preserve"> Nr.784</w:t>
            </w:r>
          </w:p>
          <w:p w14:paraId="6EBF8D18" w14:textId="77777777" w:rsidR="008A2A0C" w:rsidRPr="00DB28C3" w:rsidRDefault="008A2A0C" w:rsidP="003C5C46">
            <w:pPr>
              <w:spacing w:before="120" w:after="120" w:line="276" w:lineRule="auto"/>
              <w:contextualSpacing/>
              <w:rPr>
                <w:rFonts w:eastAsia="Calibri" w:cs="Times New Roman"/>
                <w:sz w:val="28"/>
                <w:szCs w:val="28"/>
              </w:rPr>
            </w:pPr>
          </w:p>
        </w:tc>
        <w:tc>
          <w:tcPr>
            <w:tcW w:w="6299" w:type="dxa"/>
            <w:tcBorders>
              <w:top w:val="nil"/>
              <w:left w:val="nil"/>
              <w:bottom w:val="nil"/>
              <w:right w:val="nil"/>
            </w:tcBorders>
          </w:tcPr>
          <w:p w14:paraId="78C7A22B" w14:textId="53D227AB" w:rsidR="008A2A0C" w:rsidRPr="00DB28C3" w:rsidRDefault="008A2A0C" w:rsidP="00DA1DCA">
            <w:pPr>
              <w:jc w:val="both"/>
              <w:rPr>
                <w:rFonts w:cs="Times New Roman"/>
                <w:sz w:val="28"/>
                <w:szCs w:val="28"/>
              </w:rPr>
            </w:pPr>
            <w:r w:rsidRPr="00F04990">
              <w:rPr>
                <w:rFonts w:cs="Times New Roman"/>
                <w:sz w:val="28"/>
                <w:szCs w:val="28"/>
              </w:rPr>
              <w:t>2014.</w:t>
            </w:r>
            <w:r>
              <w:rPr>
                <w:rFonts w:cs="Times New Roman"/>
                <w:sz w:val="28"/>
                <w:szCs w:val="28"/>
              </w:rPr>
              <w:t xml:space="preserve"> </w:t>
            </w:r>
            <w:r w:rsidRPr="00F04990">
              <w:rPr>
                <w:rFonts w:cs="Times New Roman"/>
                <w:sz w:val="28"/>
                <w:szCs w:val="28"/>
              </w:rPr>
              <w:t>gada 16.decembra noteikumi Nr. 784 “</w:t>
            </w:r>
            <w:r w:rsidRPr="00F04990">
              <w:rPr>
                <w:rFonts w:cs="Times New Roman"/>
                <w:sz w:val="28"/>
                <w:szCs w:val="28"/>
                <w:shd w:val="clear" w:color="auto" w:fill="FFFFFF"/>
              </w:rPr>
              <w:t>Kārtība, kādā Eiropas Savienības struktūrfondu un Kohēzijas fonda vadībā iesaistītās institūcijas nodrošina plānošanas dokumentu sagatavošanu un šo fondu ieviešanu</w:t>
            </w:r>
            <w:r>
              <w:rPr>
                <w:rFonts w:cs="Times New Roman"/>
                <w:sz w:val="28"/>
                <w:szCs w:val="28"/>
                <w:shd w:val="clear" w:color="auto" w:fill="FFFFFF"/>
              </w:rPr>
              <w:t xml:space="preserve"> </w:t>
            </w:r>
            <w:r w:rsidRPr="00F04990">
              <w:rPr>
                <w:rFonts w:cs="Times New Roman"/>
                <w:sz w:val="28"/>
                <w:szCs w:val="28"/>
                <w:shd w:val="clear" w:color="auto" w:fill="FFFFFF"/>
              </w:rPr>
              <w:t>2014.–2020.</w:t>
            </w:r>
            <w:r>
              <w:rPr>
                <w:rFonts w:cs="Times New Roman"/>
                <w:sz w:val="28"/>
                <w:szCs w:val="28"/>
                <w:shd w:val="clear" w:color="auto" w:fill="FFFFFF"/>
              </w:rPr>
              <w:t xml:space="preserve"> </w:t>
            </w:r>
            <w:r w:rsidRPr="00F04990">
              <w:rPr>
                <w:rFonts w:cs="Times New Roman"/>
                <w:sz w:val="28"/>
                <w:szCs w:val="28"/>
                <w:shd w:val="clear" w:color="auto" w:fill="FFFFFF"/>
              </w:rPr>
              <w:t>gada plānošanas periodā</w:t>
            </w:r>
            <w:r w:rsidRPr="00F04990">
              <w:rPr>
                <w:rFonts w:cs="Times New Roman"/>
                <w:sz w:val="28"/>
                <w:szCs w:val="28"/>
              </w:rPr>
              <w:t>” 51.</w:t>
            </w:r>
            <w:r w:rsidRPr="00F04990">
              <w:rPr>
                <w:rFonts w:cs="Times New Roman"/>
                <w:sz w:val="28"/>
                <w:szCs w:val="28"/>
                <w:vertAlign w:val="superscript"/>
              </w:rPr>
              <w:t>4</w:t>
            </w:r>
            <w:r w:rsidRPr="00F04990">
              <w:rPr>
                <w:rFonts w:cs="Times New Roman"/>
                <w:sz w:val="28"/>
                <w:szCs w:val="28"/>
              </w:rPr>
              <w:t xml:space="preserve"> punkts.</w:t>
            </w:r>
          </w:p>
        </w:tc>
      </w:tr>
      <w:tr w:rsidR="00B10D32" w:rsidRPr="00DB28C3" w14:paraId="42B0DF28" w14:textId="77777777" w:rsidTr="00DA1DCA">
        <w:tc>
          <w:tcPr>
            <w:tcW w:w="2694" w:type="dxa"/>
          </w:tcPr>
          <w:p w14:paraId="3DF837B1" w14:textId="77777777" w:rsidR="00B10D32" w:rsidRPr="00DB28C3" w:rsidRDefault="00B10D32" w:rsidP="006D547B">
            <w:pPr>
              <w:spacing w:before="120" w:after="120" w:line="276" w:lineRule="auto"/>
              <w:contextualSpacing/>
              <w:rPr>
                <w:rFonts w:cs="Times New Roman"/>
                <w:color w:val="000000" w:themeColor="text1"/>
                <w:sz w:val="28"/>
                <w:szCs w:val="28"/>
              </w:rPr>
            </w:pPr>
            <w:r w:rsidRPr="00DB28C3">
              <w:rPr>
                <w:rFonts w:cs="Times New Roman"/>
                <w:color w:val="000000" w:themeColor="text1"/>
                <w:sz w:val="28"/>
                <w:szCs w:val="28"/>
              </w:rPr>
              <w:t>n+3</w:t>
            </w:r>
          </w:p>
        </w:tc>
        <w:tc>
          <w:tcPr>
            <w:tcW w:w="6299" w:type="dxa"/>
          </w:tcPr>
          <w:p w14:paraId="767D5EF5" w14:textId="080CF16A" w:rsidR="00B10D32" w:rsidRPr="00DB28C3" w:rsidRDefault="002F5460" w:rsidP="00B17E47">
            <w:pPr>
              <w:spacing w:before="120" w:after="120" w:line="276" w:lineRule="auto"/>
              <w:contextualSpacing/>
              <w:jc w:val="both"/>
              <w:rPr>
                <w:rFonts w:cs="Times New Roman"/>
                <w:color w:val="000000" w:themeColor="text1"/>
                <w:sz w:val="28"/>
                <w:szCs w:val="28"/>
              </w:rPr>
            </w:pPr>
            <w:r>
              <w:rPr>
                <w:rFonts w:cs="Times New Roman"/>
                <w:color w:val="000000" w:themeColor="text1"/>
                <w:sz w:val="28"/>
                <w:szCs w:val="28"/>
              </w:rPr>
              <w:t>S</w:t>
            </w:r>
            <w:r w:rsidR="00B10D32" w:rsidRPr="00DB28C3">
              <w:rPr>
                <w:rFonts w:cs="Times New Roman"/>
                <w:color w:val="000000" w:themeColor="text1"/>
                <w:sz w:val="28"/>
                <w:szCs w:val="28"/>
              </w:rPr>
              <w:t>aistību atcelšanas princips attiecībā uz maksājumu pieteikumos Eiropas Komisijai pieprasāmo summu</w:t>
            </w:r>
            <w:r w:rsidR="00B10D32" w:rsidRPr="00DB28C3">
              <w:rPr>
                <w:rStyle w:val="FootnoteReference"/>
                <w:rFonts w:cs="Times New Roman"/>
                <w:color w:val="000000" w:themeColor="text1"/>
                <w:sz w:val="28"/>
                <w:szCs w:val="28"/>
              </w:rPr>
              <w:footnoteReference w:id="2"/>
            </w:r>
          </w:p>
        </w:tc>
      </w:tr>
      <w:tr w:rsidR="00B10D32" w:rsidRPr="00DB28C3" w14:paraId="53DE7958" w14:textId="77777777" w:rsidTr="00DA1DCA">
        <w:tc>
          <w:tcPr>
            <w:tcW w:w="2694" w:type="dxa"/>
          </w:tcPr>
          <w:p w14:paraId="247B69C4" w14:textId="77777777" w:rsidR="00B10D32" w:rsidRPr="00DB28C3" w:rsidRDefault="00B10D32" w:rsidP="006D547B">
            <w:pPr>
              <w:spacing w:before="120" w:after="120" w:line="276" w:lineRule="auto"/>
              <w:contextualSpacing/>
              <w:rPr>
                <w:rFonts w:cs="Times New Roman"/>
                <w:color w:val="000000" w:themeColor="text1"/>
                <w:sz w:val="28"/>
                <w:szCs w:val="28"/>
              </w:rPr>
            </w:pPr>
            <w:r w:rsidRPr="00DB28C3">
              <w:rPr>
                <w:rFonts w:cs="Times New Roman"/>
                <w:color w:val="000000" w:themeColor="text1"/>
                <w:sz w:val="28"/>
                <w:szCs w:val="28"/>
              </w:rPr>
              <w:t>PSKUS</w:t>
            </w:r>
          </w:p>
        </w:tc>
        <w:tc>
          <w:tcPr>
            <w:tcW w:w="6299" w:type="dxa"/>
          </w:tcPr>
          <w:p w14:paraId="2D954E02" w14:textId="4549B876" w:rsidR="00B10D32" w:rsidRPr="00DB28C3" w:rsidRDefault="00085E60" w:rsidP="00B17E47">
            <w:pPr>
              <w:spacing w:before="120" w:after="120" w:line="276" w:lineRule="auto"/>
              <w:contextualSpacing/>
              <w:jc w:val="both"/>
              <w:rPr>
                <w:rFonts w:cs="Times New Roman"/>
                <w:color w:val="000000" w:themeColor="text1"/>
                <w:sz w:val="28"/>
                <w:szCs w:val="28"/>
              </w:rPr>
            </w:pPr>
            <w:r w:rsidRPr="00085E60">
              <w:rPr>
                <w:rFonts w:cs="Times New Roman"/>
                <w:color w:val="000000" w:themeColor="text1"/>
                <w:sz w:val="28"/>
                <w:szCs w:val="28"/>
              </w:rPr>
              <w:t xml:space="preserve">Valsts sabiedrība ar ierobežotu atbildību </w:t>
            </w:r>
            <w:r w:rsidR="00B10D32" w:rsidRPr="00DB28C3">
              <w:rPr>
                <w:rFonts w:cs="Times New Roman"/>
                <w:color w:val="000000" w:themeColor="text1"/>
                <w:sz w:val="28"/>
                <w:szCs w:val="28"/>
              </w:rPr>
              <w:t>“Paula Stradiņa klīniskā universitātes slimnīca”</w:t>
            </w:r>
          </w:p>
        </w:tc>
      </w:tr>
      <w:tr w:rsidR="00D52152" w:rsidRPr="00DB28C3" w14:paraId="5A2D854F" w14:textId="77777777" w:rsidTr="00DA1DCA">
        <w:tc>
          <w:tcPr>
            <w:tcW w:w="2694" w:type="dxa"/>
          </w:tcPr>
          <w:p w14:paraId="08832061" w14:textId="42091782" w:rsidR="00D52152" w:rsidRPr="00DB28C3" w:rsidRDefault="00D52152" w:rsidP="006D547B">
            <w:pPr>
              <w:spacing w:before="120" w:after="120" w:line="276" w:lineRule="auto"/>
              <w:contextualSpacing/>
              <w:rPr>
                <w:rFonts w:cs="Times New Roman"/>
                <w:b/>
                <w:sz w:val="28"/>
                <w:szCs w:val="28"/>
              </w:rPr>
            </w:pPr>
            <w:r w:rsidRPr="00DB28C3">
              <w:rPr>
                <w:rFonts w:eastAsia="Calibri" w:cs="Times New Roman"/>
                <w:sz w:val="28"/>
                <w:szCs w:val="28"/>
              </w:rPr>
              <w:t>Rakstniecības un mūzikas muzeja projekts</w:t>
            </w:r>
          </w:p>
        </w:tc>
        <w:tc>
          <w:tcPr>
            <w:tcW w:w="6299" w:type="dxa"/>
          </w:tcPr>
          <w:p w14:paraId="297DCCFB" w14:textId="01B91F56" w:rsidR="00D52152" w:rsidRPr="00DB28C3" w:rsidRDefault="00304CC9" w:rsidP="00304CC9">
            <w:pPr>
              <w:spacing w:before="120" w:after="120" w:line="276" w:lineRule="auto"/>
              <w:contextualSpacing/>
              <w:jc w:val="both"/>
              <w:rPr>
                <w:rFonts w:cs="Times New Roman"/>
                <w:sz w:val="28"/>
                <w:szCs w:val="28"/>
              </w:rPr>
            </w:pPr>
            <w:r w:rsidRPr="00DB28C3">
              <w:rPr>
                <w:sz w:val="28"/>
                <w:szCs w:val="28"/>
              </w:rPr>
              <w:t>Eiropas Ekonomikas zonas finanšu instrumenta līdzfinansētās programmas “Kultūras un dabas mantojuma saglabāšana un atjaunināšana” p</w:t>
            </w:r>
            <w:r w:rsidRPr="00DB28C3">
              <w:rPr>
                <w:rFonts w:eastAsia="Calibri" w:cs="Times New Roman"/>
                <w:sz w:val="28"/>
                <w:szCs w:val="28"/>
              </w:rPr>
              <w:t xml:space="preserve">rojekts Nr. </w:t>
            </w:r>
            <w:r w:rsidRPr="00DB28C3">
              <w:rPr>
                <w:sz w:val="28"/>
                <w:szCs w:val="28"/>
              </w:rPr>
              <w:t xml:space="preserve">EEZLV04/INP/2013/1 </w:t>
            </w:r>
            <w:r w:rsidR="006A5A45" w:rsidRPr="00DB28C3">
              <w:rPr>
                <w:rFonts w:eastAsia="Calibri" w:cs="Times New Roman"/>
                <w:sz w:val="28"/>
                <w:szCs w:val="28"/>
              </w:rPr>
              <w:t>“Rakstniecības un mūzikas muzeja rekonstrukcija”</w:t>
            </w:r>
          </w:p>
        </w:tc>
      </w:tr>
      <w:tr w:rsidR="00B10D32" w:rsidRPr="00DB28C3" w14:paraId="4913373D" w14:textId="77777777" w:rsidTr="00DA1DCA">
        <w:tc>
          <w:tcPr>
            <w:tcW w:w="2694" w:type="dxa"/>
          </w:tcPr>
          <w:p w14:paraId="4981F87A" w14:textId="77777777" w:rsidR="00B10D32" w:rsidRPr="00DB28C3" w:rsidRDefault="00B10D32" w:rsidP="006D547B">
            <w:pPr>
              <w:spacing w:before="120" w:after="120" w:line="276" w:lineRule="auto"/>
              <w:contextualSpacing/>
              <w:rPr>
                <w:rFonts w:cs="Times New Roman"/>
                <w:color w:val="000000" w:themeColor="text1"/>
                <w:sz w:val="28"/>
                <w:szCs w:val="28"/>
              </w:rPr>
            </w:pPr>
            <w:r w:rsidRPr="00DB28C3">
              <w:rPr>
                <w:rFonts w:cs="Times New Roman"/>
                <w:color w:val="000000"/>
                <w:sz w:val="28"/>
                <w:szCs w:val="28"/>
              </w:rPr>
              <w:t>Regula Nr. 1303/2013</w:t>
            </w:r>
          </w:p>
        </w:tc>
        <w:tc>
          <w:tcPr>
            <w:tcW w:w="6299" w:type="dxa"/>
          </w:tcPr>
          <w:p w14:paraId="1A264434" w14:textId="77777777" w:rsidR="00B10D32" w:rsidRPr="00DB28C3" w:rsidRDefault="00B10D32" w:rsidP="00B17E47">
            <w:pPr>
              <w:tabs>
                <w:tab w:val="left" w:pos="1276"/>
                <w:tab w:val="left" w:pos="1418"/>
                <w:tab w:val="left" w:pos="2127"/>
              </w:tabs>
              <w:spacing w:before="120" w:after="120" w:line="276" w:lineRule="auto"/>
              <w:contextualSpacing/>
              <w:jc w:val="both"/>
              <w:rPr>
                <w:rFonts w:cs="Times New Roman"/>
                <w:color w:val="000000" w:themeColor="text1"/>
                <w:sz w:val="28"/>
                <w:szCs w:val="28"/>
              </w:rPr>
            </w:pPr>
            <w:r w:rsidRPr="00DB28C3">
              <w:rPr>
                <w:rFonts w:cs="Times New Roman"/>
                <w:color w:val="000000"/>
                <w:sz w:val="28"/>
                <w:szCs w:val="28"/>
              </w:rPr>
              <w:t xml:space="preserve">Eiropas Parlamenta un Padomes 2013. gada 17. decembra Regula (ES) Nr.1303/2013, ar ko paredz kopīgus noteikumus par ERAF, ESF, KF, Eiropas Lauksaimniecības fondu lauku attīstībai un Eiropas Jūrlietu un zivsaimniecības fondu un vispārīgus </w:t>
            </w:r>
            <w:r w:rsidRPr="00DB28C3">
              <w:rPr>
                <w:rFonts w:cs="Times New Roman"/>
                <w:color w:val="000000"/>
                <w:sz w:val="28"/>
                <w:szCs w:val="28"/>
              </w:rPr>
              <w:lastRenderedPageBreak/>
              <w:t>noteikumus par ERAF, ESF, KF un Eiropas Jūrlietu un zivsaimniecības fondu un atceļ Padomes Regulu (EK) Nr.1083/2006</w:t>
            </w:r>
          </w:p>
        </w:tc>
      </w:tr>
      <w:tr w:rsidR="00B34399" w:rsidRPr="00DB28C3" w14:paraId="05BE7390" w14:textId="77777777" w:rsidTr="00DA1DCA">
        <w:tc>
          <w:tcPr>
            <w:tcW w:w="2694" w:type="dxa"/>
          </w:tcPr>
          <w:p w14:paraId="06529FCD" w14:textId="5A5D38B0" w:rsidR="00B34399" w:rsidRPr="00DB28C3" w:rsidRDefault="00B34399" w:rsidP="006D547B">
            <w:pPr>
              <w:spacing w:before="120" w:after="120" w:line="276" w:lineRule="auto"/>
              <w:contextualSpacing/>
              <w:rPr>
                <w:rFonts w:cs="Times New Roman"/>
                <w:color w:val="000000" w:themeColor="text1"/>
                <w:sz w:val="28"/>
                <w:szCs w:val="28"/>
              </w:rPr>
            </w:pPr>
            <w:r>
              <w:rPr>
                <w:rFonts w:cs="Times New Roman"/>
                <w:color w:val="000000" w:themeColor="text1"/>
                <w:sz w:val="28"/>
                <w:szCs w:val="28"/>
              </w:rPr>
              <w:lastRenderedPageBreak/>
              <w:t>Regula</w:t>
            </w:r>
            <w:r w:rsidRPr="00B34399">
              <w:rPr>
                <w:rFonts w:cs="Times New Roman"/>
                <w:color w:val="000000" w:themeColor="text1"/>
                <w:sz w:val="28"/>
                <w:szCs w:val="28"/>
              </w:rPr>
              <w:t xml:space="preserve"> Nr. 1304/2013</w:t>
            </w:r>
          </w:p>
        </w:tc>
        <w:tc>
          <w:tcPr>
            <w:tcW w:w="6299" w:type="dxa"/>
          </w:tcPr>
          <w:p w14:paraId="2AC9408F" w14:textId="6A9C1D5F" w:rsidR="00B34399" w:rsidRPr="00DB28C3" w:rsidRDefault="00B34399" w:rsidP="00B17E47">
            <w:pPr>
              <w:spacing w:before="120" w:after="120" w:line="276" w:lineRule="auto"/>
              <w:contextualSpacing/>
              <w:jc w:val="both"/>
              <w:rPr>
                <w:rFonts w:cs="Times New Roman"/>
                <w:color w:val="000000" w:themeColor="text1"/>
                <w:sz w:val="28"/>
                <w:szCs w:val="28"/>
              </w:rPr>
            </w:pPr>
            <w:r w:rsidRPr="00B34399">
              <w:rPr>
                <w:rFonts w:cs="Times New Roman"/>
                <w:color w:val="000000" w:themeColor="text1"/>
                <w:sz w:val="28"/>
                <w:szCs w:val="28"/>
              </w:rPr>
              <w:t>Eiropas Parlamenta un Padomes 2013. gada 17. decembra Regulā (ES) Nr. 1304/2013 par Eiropas Sociālo fondu un ar ko atceļ Padomes Regulu (EK) Nr.1081/2006</w:t>
            </w:r>
          </w:p>
        </w:tc>
      </w:tr>
      <w:tr w:rsidR="008044C0" w:rsidRPr="00DB28C3" w14:paraId="1977F3B6" w14:textId="77777777" w:rsidTr="00DA1DCA">
        <w:tc>
          <w:tcPr>
            <w:tcW w:w="2694" w:type="dxa"/>
          </w:tcPr>
          <w:p w14:paraId="4BB7AA80" w14:textId="72781955" w:rsidR="008044C0" w:rsidRDefault="008044C0" w:rsidP="006D547B">
            <w:pPr>
              <w:spacing w:before="120" w:after="120" w:line="276" w:lineRule="auto"/>
              <w:contextualSpacing/>
              <w:rPr>
                <w:rFonts w:cs="Times New Roman"/>
                <w:color w:val="000000" w:themeColor="text1"/>
                <w:sz w:val="28"/>
                <w:szCs w:val="28"/>
              </w:rPr>
            </w:pPr>
            <w:r>
              <w:rPr>
                <w:rFonts w:cs="Times New Roman"/>
                <w:color w:val="000000" w:themeColor="text1"/>
                <w:sz w:val="28"/>
                <w:szCs w:val="28"/>
              </w:rPr>
              <w:t>Regula Nr. 2019/1046</w:t>
            </w:r>
          </w:p>
        </w:tc>
        <w:tc>
          <w:tcPr>
            <w:tcW w:w="6299" w:type="dxa"/>
          </w:tcPr>
          <w:p w14:paraId="6014CFE2" w14:textId="5BC6A95C" w:rsidR="008044C0" w:rsidRPr="00B34399" w:rsidRDefault="008044C0" w:rsidP="00B17E47">
            <w:pPr>
              <w:spacing w:before="120" w:after="120" w:line="276" w:lineRule="auto"/>
              <w:contextualSpacing/>
              <w:jc w:val="both"/>
              <w:rPr>
                <w:rFonts w:cs="Times New Roman"/>
                <w:color w:val="000000" w:themeColor="text1"/>
                <w:sz w:val="28"/>
                <w:szCs w:val="28"/>
              </w:rPr>
            </w:pPr>
            <w:r>
              <w:rPr>
                <w:rFonts w:cs="Times New Roman"/>
                <w:color w:val="000000" w:themeColor="text1"/>
                <w:sz w:val="28"/>
                <w:szCs w:val="28"/>
              </w:rPr>
              <w:t xml:space="preserve">Eiropas Parlamenta un Padomes 2018. gada 18. jūlija regula </w:t>
            </w:r>
            <w:r w:rsidRPr="008044C0">
              <w:rPr>
                <w:rFonts w:cs="Times New Roman"/>
                <w:color w:val="000000" w:themeColor="text1"/>
                <w:sz w:val="28"/>
                <w:szCs w:val="28"/>
              </w:rPr>
              <w:t>par finanšu noteikumiem, ko piemēro Savienības vispārējam budžetam, ar kuru groza Regulas (ES) Nr. 1296/2013, (ES) Nr. 1301/2013, (ES) Nr. 1303/2013, (ES) Nr. 1304/2013, (ES) Nr. 1309/2013, (ES) Nr. 1316/2013, (ES) Nr. 223/2014, (ES) Nr. 283/2014 un Lēmumu Nr. 541/2014/ES un atceļ Regulu (ES, Euratom) Nr. 966/2012</w:t>
            </w:r>
          </w:p>
        </w:tc>
      </w:tr>
      <w:tr w:rsidR="00B10D32" w:rsidRPr="00DB28C3" w14:paraId="04C1049F" w14:textId="77777777" w:rsidTr="00DA1DCA">
        <w:tc>
          <w:tcPr>
            <w:tcW w:w="2694" w:type="dxa"/>
          </w:tcPr>
          <w:p w14:paraId="013AE96B" w14:textId="77777777" w:rsidR="00B10D32" w:rsidRPr="00DB28C3" w:rsidRDefault="00B10D32" w:rsidP="006D547B">
            <w:pPr>
              <w:spacing w:before="120" w:after="120" w:line="276" w:lineRule="auto"/>
              <w:contextualSpacing/>
              <w:rPr>
                <w:rFonts w:cs="Times New Roman"/>
                <w:color w:val="000000" w:themeColor="text1"/>
                <w:sz w:val="28"/>
                <w:szCs w:val="28"/>
              </w:rPr>
            </w:pPr>
            <w:r w:rsidRPr="00DB28C3">
              <w:rPr>
                <w:rFonts w:cs="Times New Roman"/>
                <w:color w:val="000000" w:themeColor="text1"/>
                <w:sz w:val="28"/>
                <w:szCs w:val="28"/>
              </w:rPr>
              <w:t>RI</w:t>
            </w:r>
          </w:p>
        </w:tc>
        <w:tc>
          <w:tcPr>
            <w:tcW w:w="6299" w:type="dxa"/>
          </w:tcPr>
          <w:p w14:paraId="4C196192" w14:textId="77777777" w:rsidR="00B10D32" w:rsidRPr="00DB28C3" w:rsidRDefault="00B10D32" w:rsidP="00B17E47">
            <w:pPr>
              <w:spacing w:before="120" w:after="120" w:line="276" w:lineRule="auto"/>
              <w:contextualSpacing/>
              <w:jc w:val="both"/>
              <w:rPr>
                <w:rFonts w:cs="Times New Roman"/>
                <w:color w:val="000000" w:themeColor="text1"/>
                <w:sz w:val="28"/>
                <w:szCs w:val="28"/>
              </w:rPr>
            </w:pPr>
            <w:r w:rsidRPr="00DB28C3">
              <w:rPr>
                <w:rFonts w:cs="Times New Roman"/>
                <w:color w:val="000000" w:themeColor="text1"/>
                <w:sz w:val="28"/>
                <w:szCs w:val="28"/>
              </w:rPr>
              <w:t xml:space="preserve">ES fondu, </w:t>
            </w:r>
            <w:r w:rsidRPr="00DB28C3">
              <w:rPr>
                <w:rFonts w:eastAsia="EUAlbertina-Bold-Identity-H" w:cs="Times New Roman"/>
                <w:color w:val="000000" w:themeColor="text1"/>
                <w:sz w:val="28"/>
                <w:szCs w:val="28"/>
                <w:lang w:eastAsia="lv-LV"/>
              </w:rPr>
              <w:t>EEZ/Norvēģijas finanšu instrumentu</w:t>
            </w:r>
            <w:r w:rsidRPr="00DB28C3">
              <w:rPr>
                <w:rFonts w:cs="Times New Roman"/>
                <w:color w:val="000000" w:themeColor="text1"/>
                <w:sz w:val="28"/>
                <w:szCs w:val="28"/>
              </w:rPr>
              <w:t xml:space="preserve"> revīzijas iestāde</w:t>
            </w:r>
          </w:p>
        </w:tc>
      </w:tr>
      <w:tr w:rsidR="00B10D32" w:rsidRPr="00DB28C3" w14:paraId="00DCA42A" w14:textId="77777777" w:rsidTr="00DA1DCA">
        <w:tc>
          <w:tcPr>
            <w:tcW w:w="2694" w:type="dxa"/>
          </w:tcPr>
          <w:p w14:paraId="09A52825" w14:textId="77777777" w:rsidR="00B10D32" w:rsidRPr="00DB28C3" w:rsidRDefault="00B10D32" w:rsidP="006D547B">
            <w:pPr>
              <w:spacing w:before="120" w:after="120" w:line="276" w:lineRule="auto"/>
              <w:contextualSpacing/>
              <w:rPr>
                <w:rFonts w:cs="Times New Roman"/>
                <w:color w:val="000000" w:themeColor="text1"/>
                <w:sz w:val="28"/>
                <w:szCs w:val="28"/>
              </w:rPr>
            </w:pPr>
            <w:r w:rsidRPr="00DB28C3">
              <w:rPr>
                <w:rFonts w:cs="Times New Roman"/>
                <w:color w:val="000000" w:themeColor="text1"/>
                <w:sz w:val="28"/>
                <w:szCs w:val="28"/>
              </w:rPr>
              <w:t>SAM</w:t>
            </w:r>
          </w:p>
        </w:tc>
        <w:tc>
          <w:tcPr>
            <w:tcW w:w="6299" w:type="dxa"/>
          </w:tcPr>
          <w:p w14:paraId="2001D1DC" w14:textId="77777777" w:rsidR="00B10D32" w:rsidRPr="00DB28C3" w:rsidRDefault="00B10D32" w:rsidP="00B17E47">
            <w:pPr>
              <w:spacing w:before="120" w:after="120" w:line="276" w:lineRule="auto"/>
              <w:contextualSpacing/>
              <w:jc w:val="both"/>
              <w:rPr>
                <w:rFonts w:cs="Times New Roman"/>
                <w:color w:val="000000" w:themeColor="text1"/>
                <w:sz w:val="28"/>
                <w:szCs w:val="28"/>
              </w:rPr>
            </w:pPr>
            <w:r w:rsidRPr="00DB28C3">
              <w:rPr>
                <w:rFonts w:cs="Times New Roman"/>
                <w:color w:val="000000" w:themeColor="text1"/>
                <w:sz w:val="28"/>
                <w:szCs w:val="28"/>
              </w:rPr>
              <w:t>Specifiskais atbalsta mērķis</w:t>
            </w:r>
          </w:p>
        </w:tc>
      </w:tr>
      <w:tr w:rsidR="00B10D32" w:rsidRPr="00DB28C3" w14:paraId="1B6B20EE" w14:textId="77777777" w:rsidTr="00DA1DCA">
        <w:tc>
          <w:tcPr>
            <w:tcW w:w="2694" w:type="dxa"/>
          </w:tcPr>
          <w:p w14:paraId="2B929E6D" w14:textId="77777777" w:rsidR="00B10D32" w:rsidRPr="00DB28C3" w:rsidRDefault="00B10D32" w:rsidP="006D547B">
            <w:pPr>
              <w:spacing w:before="120" w:after="120" w:line="276" w:lineRule="auto"/>
              <w:contextualSpacing/>
              <w:rPr>
                <w:rFonts w:cs="Times New Roman"/>
                <w:color w:val="000000" w:themeColor="text1"/>
                <w:sz w:val="28"/>
                <w:szCs w:val="28"/>
              </w:rPr>
            </w:pPr>
            <w:r w:rsidRPr="00DB28C3">
              <w:rPr>
                <w:rFonts w:eastAsia="EUAlbertina-Bold-Identity-H" w:cs="Times New Roman"/>
                <w:color w:val="000000" w:themeColor="text1"/>
                <w:sz w:val="28"/>
                <w:szCs w:val="28"/>
                <w:lang w:eastAsia="lv-LV"/>
              </w:rPr>
              <w:t xml:space="preserve">SI </w:t>
            </w:r>
          </w:p>
        </w:tc>
        <w:tc>
          <w:tcPr>
            <w:tcW w:w="6299" w:type="dxa"/>
          </w:tcPr>
          <w:p w14:paraId="32D473CC" w14:textId="77777777" w:rsidR="00B10D32" w:rsidRPr="00DB28C3" w:rsidRDefault="00B10D32" w:rsidP="00B17E47">
            <w:pPr>
              <w:spacing w:before="120" w:after="120" w:line="276" w:lineRule="auto"/>
              <w:contextualSpacing/>
              <w:jc w:val="both"/>
              <w:rPr>
                <w:rFonts w:cs="Times New Roman"/>
                <w:color w:val="000000" w:themeColor="text1"/>
                <w:sz w:val="28"/>
                <w:szCs w:val="28"/>
              </w:rPr>
            </w:pPr>
            <w:r w:rsidRPr="00DB28C3">
              <w:rPr>
                <w:rFonts w:eastAsia="EUAlbertina-Bold-Identity-H" w:cs="Times New Roman"/>
                <w:color w:val="000000" w:themeColor="text1"/>
                <w:sz w:val="28"/>
                <w:szCs w:val="28"/>
                <w:lang w:eastAsia="lv-LV"/>
              </w:rPr>
              <w:t>ES fondu sadarbības iestāde</w:t>
            </w:r>
          </w:p>
        </w:tc>
      </w:tr>
      <w:tr w:rsidR="00B10D32" w:rsidRPr="00DB28C3" w14:paraId="282AB9B2" w14:textId="77777777" w:rsidTr="00DA1DCA">
        <w:tc>
          <w:tcPr>
            <w:tcW w:w="2694" w:type="dxa"/>
          </w:tcPr>
          <w:p w14:paraId="77DB150D" w14:textId="77777777" w:rsidR="00B10D32" w:rsidRPr="00DB28C3" w:rsidRDefault="00B10D32" w:rsidP="006D547B">
            <w:pPr>
              <w:spacing w:before="120" w:after="120" w:line="276" w:lineRule="auto"/>
              <w:contextualSpacing/>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SIA</w:t>
            </w:r>
          </w:p>
        </w:tc>
        <w:tc>
          <w:tcPr>
            <w:tcW w:w="6299" w:type="dxa"/>
          </w:tcPr>
          <w:p w14:paraId="2AC379F7" w14:textId="77777777" w:rsidR="00B10D32" w:rsidRPr="00DB28C3" w:rsidRDefault="00B10D32" w:rsidP="00B17E47">
            <w:pPr>
              <w:spacing w:before="120" w:after="120" w:line="276" w:lineRule="auto"/>
              <w:contextualSpacing/>
              <w:jc w:val="both"/>
              <w:rPr>
                <w:rFonts w:cs="Times New Roman"/>
                <w:color w:val="000000" w:themeColor="text1"/>
                <w:sz w:val="28"/>
                <w:szCs w:val="28"/>
              </w:rPr>
            </w:pPr>
            <w:r w:rsidRPr="00DB28C3">
              <w:rPr>
                <w:rFonts w:eastAsia="EUAlbertina-Bold-Identity-H" w:cs="Times New Roman"/>
                <w:color w:val="000000" w:themeColor="text1"/>
                <w:sz w:val="28"/>
                <w:szCs w:val="28"/>
                <w:lang w:eastAsia="lv-LV"/>
              </w:rPr>
              <w:t>Sabiedrība ar ierobežotu atbildību</w:t>
            </w:r>
          </w:p>
        </w:tc>
      </w:tr>
      <w:tr w:rsidR="00B10D32" w:rsidRPr="00DB28C3" w14:paraId="32E36522" w14:textId="77777777" w:rsidTr="00DA1DCA">
        <w:tc>
          <w:tcPr>
            <w:tcW w:w="2694" w:type="dxa"/>
          </w:tcPr>
          <w:p w14:paraId="0A22A7A7" w14:textId="77777777" w:rsidR="00B10D32" w:rsidRPr="00DB28C3" w:rsidRDefault="00B10D32" w:rsidP="006D547B">
            <w:pPr>
              <w:spacing w:before="120" w:after="120" w:line="276" w:lineRule="auto"/>
              <w:contextualSpacing/>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SM</w:t>
            </w:r>
          </w:p>
        </w:tc>
        <w:tc>
          <w:tcPr>
            <w:tcW w:w="6299" w:type="dxa"/>
          </w:tcPr>
          <w:p w14:paraId="6E8657CE" w14:textId="77777777" w:rsidR="00B10D32" w:rsidRPr="00DB28C3" w:rsidRDefault="00B10D32" w:rsidP="00B17E47">
            <w:pPr>
              <w:spacing w:before="120" w:after="120" w:line="276" w:lineRule="auto"/>
              <w:contextualSpacing/>
              <w:jc w:val="both"/>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Satiksmes ministrija</w:t>
            </w:r>
          </w:p>
        </w:tc>
      </w:tr>
      <w:tr w:rsidR="00B10D32" w:rsidRPr="00DB28C3" w14:paraId="0209053A" w14:textId="77777777" w:rsidTr="00DA1DCA">
        <w:tc>
          <w:tcPr>
            <w:tcW w:w="2694" w:type="dxa"/>
          </w:tcPr>
          <w:p w14:paraId="58ABA763" w14:textId="77777777" w:rsidR="00B10D32" w:rsidRPr="00DB28C3" w:rsidRDefault="00B10D32" w:rsidP="006D547B">
            <w:pPr>
              <w:spacing w:before="120" w:after="120" w:line="276" w:lineRule="auto"/>
              <w:contextualSpacing/>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TM</w:t>
            </w:r>
          </w:p>
        </w:tc>
        <w:tc>
          <w:tcPr>
            <w:tcW w:w="6299" w:type="dxa"/>
          </w:tcPr>
          <w:p w14:paraId="4C41593B" w14:textId="77777777" w:rsidR="00B10D32" w:rsidRPr="00DB28C3" w:rsidRDefault="00B10D32" w:rsidP="00B17E47">
            <w:pPr>
              <w:spacing w:before="120" w:after="120" w:line="276" w:lineRule="auto"/>
              <w:contextualSpacing/>
              <w:jc w:val="both"/>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Tieslietu ministrija</w:t>
            </w:r>
          </w:p>
        </w:tc>
      </w:tr>
      <w:tr w:rsidR="00B10D32" w:rsidRPr="00DB28C3" w14:paraId="3BA21590" w14:textId="77777777" w:rsidTr="00DA1DCA">
        <w:tc>
          <w:tcPr>
            <w:tcW w:w="2694" w:type="dxa"/>
          </w:tcPr>
          <w:p w14:paraId="7EA41C81" w14:textId="77777777" w:rsidR="00B10D32" w:rsidRPr="00DB28C3" w:rsidRDefault="00B10D32" w:rsidP="006D547B">
            <w:pPr>
              <w:spacing w:before="120" w:after="120" w:line="276" w:lineRule="auto"/>
              <w:contextualSpacing/>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VARAM</w:t>
            </w:r>
          </w:p>
        </w:tc>
        <w:tc>
          <w:tcPr>
            <w:tcW w:w="6299" w:type="dxa"/>
          </w:tcPr>
          <w:p w14:paraId="78E671A1" w14:textId="77777777" w:rsidR="00B10D32" w:rsidRPr="00DB28C3" w:rsidRDefault="00B10D32" w:rsidP="00B17E47">
            <w:pPr>
              <w:spacing w:before="120" w:after="120" w:line="276" w:lineRule="auto"/>
              <w:contextualSpacing/>
              <w:jc w:val="both"/>
              <w:rPr>
                <w:rFonts w:eastAsia="EUAlbertina-Bold-Identity-H" w:cs="Times New Roman"/>
                <w:color w:val="000000" w:themeColor="text1"/>
                <w:sz w:val="28"/>
                <w:szCs w:val="28"/>
                <w:lang w:eastAsia="lv-LV"/>
              </w:rPr>
            </w:pPr>
            <w:r w:rsidRPr="00DB28C3">
              <w:rPr>
                <w:rFonts w:cs="Times New Roman"/>
                <w:color w:val="000000" w:themeColor="text1"/>
                <w:sz w:val="28"/>
                <w:szCs w:val="28"/>
              </w:rPr>
              <w:t>Vides aizsardzības un reģionālās attīstības ministrija</w:t>
            </w:r>
          </w:p>
        </w:tc>
      </w:tr>
      <w:tr w:rsidR="008D03CF" w:rsidRPr="00DB28C3" w14:paraId="00FE768E" w14:textId="77777777" w:rsidTr="00DA1DCA">
        <w:tc>
          <w:tcPr>
            <w:tcW w:w="2694" w:type="dxa"/>
          </w:tcPr>
          <w:p w14:paraId="3B13E77A" w14:textId="31AD25B4" w:rsidR="008D03CF" w:rsidRPr="00DB28C3" w:rsidRDefault="008D03CF" w:rsidP="006D547B">
            <w:pPr>
              <w:spacing w:before="120" w:after="120" w:line="276" w:lineRule="auto"/>
              <w:contextualSpacing/>
              <w:rPr>
                <w:rFonts w:eastAsia="EUAlbertina-Bold-Identity-H" w:cs="Times New Roman"/>
                <w:color w:val="000000" w:themeColor="text1"/>
                <w:sz w:val="28"/>
                <w:szCs w:val="28"/>
                <w:lang w:eastAsia="lv-LV"/>
              </w:rPr>
            </w:pPr>
            <w:r>
              <w:rPr>
                <w:rFonts w:eastAsia="EUAlbertina-Bold-Identity-H" w:cs="Times New Roman"/>
                <w:color w:val="000000" w:themeColor="text1"/>
                <w:sz w:val="28"/>
                <w:szCs w:val="28"/>
                <w:lang w:eastAsia="lv-LV"/>
              </w:rPr>
              <w:t>VI</w:t>
            </w:r>
          </w:p>
        </w:tc>
        <w:tc>
          <w:tcPr>
            <w:tcW w:w="6299" w:type="dxa"/>
          </w:tcPr>
          <w:p w14:paraId="05A4091E" w14:textId="79C2D897" w:rsidR="008D03CF" w:rsidRPr="00DB28C3" w:rsidRDefault="008D03CF" w:rsidP="00B17E47">
            <w:pPr>
              <w:spacing w:before="120" w:after="120" w:line="276" w:lineRule="auto"/>
              <w:contextualSpacing/>
              <w:jc w:val="both"/>
              <w:rPr>
                <w:rFonts w:cs="Times New Roman"/>
                <w:color w:val="000000" w:themeColor="text1"/>
                <w:sz w:val="28"/>
                <w:szCs w:val="28"/>
              </w:rPr>
            </w:pPr>
            <w:r>
              <w:rPr>
                <w:rFonts w:cs="Times New Roman"/>
                <w:color w:val="000000" w:themeColor="text1"/>
                <w:sz w:val="28"/>
                <w:szCs w:val="28"/>
              </w:rPr>
              <w:t>ES fondu vadošā iestāde</w:t>
            </w:r>
          </w:p>
        </w:tc>
      </w:tr>
      <w:tr w:rsidR="00B10D32" w:rsidRPr="00DB28C3" w14:paraId="05109F72" w14:textId="77777777" w:rsidTr="00DA1DCA">
        <w:tc>
          <w:tcPr>
            <w:tcW w:w="2694" w:type="dxa"/>
          </w:tcPr>
          <w:p w14:paraId="63BB3E96" w14:textId="77777777" w:rsidR="00B10D32" w:rsidRPr="00DB28C3" w:rsidRDefault="00B10D32" w:rsidP="006D547B">
            <w:pPr>
              <w:spacing w:before="120" w:after="120" w:line="276" w:lineRule="auto"/>
              <w:contextualSpacing/>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VM</w:t>
            </w:r>
          </w:p>
        </w:tc>
        <w:tc>
          <w:tcPr>
            <w:tcW w:w="6299" w:type="dxa"/>
          </w:tcPr>
          <w:p w14:paraId="215CED84" w14:textId="77777777" w:rsidR="00B10D32" w:rsidRPr="00DB28C3" w:rsidRDefault="00B10D32" w:rsidP="00B17E47">
            <w:pPr>
              <w:spacing w:before="120" w:after="120" w:line="276" w:lineRule="auto"/>
              <w:contextualSpacing/>
              <w:jc w:val="both"/>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Veselības ministrija</w:t>
            </w:r>
          </w:p>
        </w:tc>
      </w:tr>
      <w:tr w:rsidR="00B10D32" w:rsidRPr="00DB28C3" w14:paraId="151B3DB2" w14:textId="77777777" w:rsidTr="00DA1DCA">
        <w:tc>
          <w:tcPr>
            <w:tcW w:w="2694" w:type="dxa"/>
          </w:tcPr>
          <w:p w14:paraId="51B169BE" w14:textId="77777777" w:rsidR="00B10D32" w:rsidRPr="00DB28C3" w:rsidRDefault="00B10D32" w:rsidP="006D547B">
            <w:pPr>
              <w:spacing w:before="120" w:after="120" w:line="276" w:lineRule="auto"/>
              <w:contextualSpacing/>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VSS</w:t>
            </w:r>
          </w:p>
        </w:tc>
        <w:tc>
          <w:tcPr>
            <w:tcW w:w="6299" w:type="dxa"/>
          </w:tcPr>
          <w:p w14:paraId="1E329217" w14:textId="77777777" w:rsidR="00B10D32" w:rsidRPr="00DB28C3" w:rsidRDefault="00B10D32" w:rsidP="00B17E47">
            <w:pPr>
              <w:spacing w:before="120" w:after="120" w:line="276" w:lineRule="auto"/>
              <w:contextualSpacing/>
              <w:jc w:val="both"/>
              <w:rPr>
                <w:rFonts w:eastAsia="EUAlbertina-Bold-Identity-H" w:cs="Times New Roman"/>
                <w:color w:val="000000" w:themeColor="text1"/>
                <w:sz w:val="28"/>
                <w:szCs w:val="28"/>
                <w:lang w:eastAsia="lv-LV"/>
              </w:rPr>
            </w:pPr>
            <w:r w:rsidRPr="00DB28C3">
              <w:rPr>
                <w:rFonts w:cs="Times New Roman"/>
                <w:color w:val="000000" w:themeColor="text1"/>
                <w:sz w:val="28"/>
                <w:szCs w:val="28"/>
              </w:rPr>
              <w:t>Valsts sekretāru sanāksme</w:t>
            </w:r>
          </w:p>
        </w:tc>
      </w:tr>
    </w:tbl>
    <w:p w14:paraId="2F62B926" w14:textId="4F71EC34" w:rsidR="005B11F4" w:rsidRPr="00DB28C3" w:rsidRDefault="005B11F4" w:rsidP="0017638C">
      <w:pPr>
        <w:spacing w:before="120" w:after="120" w:line="276" w:lineRule="auto"/>
        <w:contextualSpacing/>
        <w:rPr>
          <w:rFonts w:cs="Times New Roman"/>
          <w:sz w:val="28"/>
          <w:szCs w:val="28"/>
          <w:highlight w:val="yellow"/>
        </w:rPr>
      </w:pPr>
    </w:p>
    <w:p w14:paraId="1E361A77" w14:textId="3AF59D00" w:rsidR="00606554" w:rsidRPr="00DB28C3" w:rsidRDefault="00BD2DCC" w:rsidP="0017638C">
      <w:pPr>
        <w:tabs>
          <w:tab w:val="left" w:pos="1276"/>
          <w:tab w:val="left" w:pos="1418"/>
          <w:tab w:val="left" w:pos="2127"/>
        </w:tabs>
        <w:spacing w:before="120" w:after="120" w:line="276" w:lineRule="auto"/>
        <w:contextualSpacing/>
        <w:rPr>
          <w:rFonts w:eastAsia="EUAlbertina-Bold-Identity-H" w:cs="Times New Roman"/>
          <w:b/>
          <w:color w:val="000000" w:themeColor="text1"/>
          <w:sz w:val="28"/>
          <w:szCs w:val="28"/>
          <w:lang w:eastAsia="lv-LV"/>
        </w:rPr>
      </w:pPr>
      <w:r>
        <w:rPr>
          <w:rFonts w:eastAsia="EUAlbertina-Bold-Identity-H" w:cs="Times New Roman"/>
          <w:b/>
          <w:color w:val="000000" w:themeColor="text1"/>
          <w:sz w:val="28"/>
          <w:szCs w:val="28"/>
          <w:lang w:eastAsia="lv-LV"/>
        </w:rPr>
        <w:t xml:space="preserve">Citi </w:t>
      </w:r>
      <w:r w:rsidR="00606554" w:rsidRPr="00DB28C3">
        <w:rPr>
          <w:rFonts w:eastAsia="EUAlbertina-Bold-Identity-H" w:cs="Times New Roman"/>
          <w:b/>
          <w:color w:val="000000" w:themeColor="text1"/>
          <w:sz w:val="28"/>
          <w:szCs w:val="28"/>
          <w:lang w:eastAsia="lv-LV"/>
        </w:rPr>
        <w:t xml:space="preserve">skaidrojumi: </w:t>
      </w:r>
    </w:p>
    <w:p w14:paraId="1252709B" w14:textId="42B1E5F5" w:rsidR="00606554" w:rsidRPr="00DB28C3" w:rsidRDefault="00F876F1" w:rsidP="00C0666F">
      <w:pPr>
        <w:tabs>
          <w:tab w:val="left" w:pos="1276"/>
          <w:tab w:val="left" w:pos="1418"/>
          <w:tab w:val="left" w:pos="2127"/>
        </w:tabs>
        <w:spacing w:before="120" w:after="120" w:line="276" w:lineRule="auto"/>
        <w:ind w:firstLine="709"/>
        <w:contextualSpacing/>
        <w:jc w:val="both"/>
        <w:rPr>
          <w:rFonts w:eastAsia="EUAlbertina-Bold-Identity-H" w:cs="Times New Roman"/>
          <w:color w:val="000000" w:themeColor="text1"/>
          <w:sz w:val="28"/>
          <w:szCs w:val="28"/>
          <w:lang w:eastAsia="lv-LV"/>
        </w:rPr>
      </w:pPr>
      <w:r w:rsidRPr="00DB28C3">
        <w:rPr>
          <w:rFonts w:eastAsia="EUAlbertina-Bold-Identity-H" w:cs="Times New Roman"/>
          <w:color w:val="000000" w:themeColor="text1"/>
          <w:sz w:val="28"/>
          <w:szCs w:val="28"/>
          <w:lang w:eastAsia="lv-LV"/>
        </w:rPr>
        <w:t xml:space="preserve">80.00.00 programma - 80.00.00 “Nesadalītais finansējums Eiropas Savienības politiku instrumentu un pārējās ārvalstu finanšu palīdzības līdzfinansēto projektu un pasākumu īstenošanai” </w:t>
      </w:r>
    </w:p>
    <w:p w14:paraId="72C543EF" w14:textId="77777777" w:rsidR="00C0666F" w:rsidRPr="00DB28C3" w:rsidRDefault="00580C07" w:rsidP="00C0666F">
      <w:pPr>
        <w:spacing w:before="120" w:after="120" w:line="276" w:lineRule="auto"/>
        <w:ind w:firstLine="709"/>
        <w:jc w:val="both"/>
        <w:rPr>
          <w:rFonts w:eastAsia="Calibri" w:cs="Times New Roman"/>
          <w:color w:val="0563C1"/>
          <w:sz w:val="28"/>
          <w:szCs w:val="28"/>
          <w:u w:val="single"/>
        </w:rPr>
      </w:pPr>
      <w:r w:rsidRPr="00DB28C3">
        <w:rPr>
          <w:rFonts w:eastAsia="Calibri" w:cs="Times New Roman"/>
          <w:sz w:val="28"/>
          <w:szCs w:val="28"/>
          <w:shd w:val="clear" w:color="auto" w:fill="FFFFFF"/>
        </w:rPr>
        <w:t xml:space="preserve">Ziņojumā ir izmantoti specifisko atbalsta mērķu un to pasākumu saīsinātie nosaukumi. Ar pilnajiem nosaukumiem var iepazīties </w:t>
      </w:r>
      <w:r w:rsidRPr="00DB28C3">
        <w:rPr>
          <w:rFonts w:eastAsia="Calibri" w:cs="Times New Roman"/>
          <w:sz w:val="28"/>
          <w:szCs w:val="28"/>
        </w:rPr>
        <w:t>ES fondu tīmekļa vietnē:</w:t>
      </w:r>
      <w:r w:rsidR="00C0666F" w:rsidRPr="00DB28C3">
        <w:rPr>
          <w:rFonts w:eastAsia="Calibri" w:cs="Times New Roman"/>
          <w:sz w:val="28"/>
          <w:szCs w:val="28"/>
        </w:rPr>
        <w:t xml:space="preserve"> </w:t>
      </w:r>
      <w:r w:rsidR="00FB72A8" w:rsidRPr="00DB28C3">
        <w:rPr>
          <w:rFonts w:eastAsia="Calibri" w:cs="Times New Roman"/>
          <w:sz w:val="28"/>
          <w:szCs w:val="28"/>
        </w:rPr>
        <w:t>sadaļa</w:t>
      </w:r>
      <w:r w:rsidRPr="00DB28C3">
        <w:rPr>
          <w:rFonts w:eastAsia="Calibri" w:cs="Times New Roman"/>
          <w:sz w:val="28"/>
          <w:szCs w:val="28"/>
        </w:rPr>
        <w:t xml:space="preserve"> ES fondi 2014-2020 → Plānošana → </w:t>
      </w:r>
      <w:r w:rsidR="008048CE" w:rsidRPr="00DB28C3">
        <w:rPr>
          <w:rFonts w:eastAsia="Calibri" w:cs="Times New Roman"/>
          <w:sz w:val="28"/>
          <w:szCs w:val="28"/>
        </w:rPr>
        <w:t>Plānošanas dokumenti (tabulas 13</w:t>
      </w:r>
      <w:r w:rsidRPr="00DB28C3">
        <w:rPr>
          <w:rFonts w:eastAsia="Calibri" w:cs="Times New Roman"/>
          <w:sz w:val="28"/>
          <w:szCs w:val="28"/>
        </w:rPr>
        <w:t xml:space="preserve">.ieraksts): </w:t>
      </w:r>
      <w:hyperlink r:id="rId12" w:history="1">
        <w:r w:rsidRPr="00DB28C3">
          <w:rPr>
            <w:rFonts w:eastAsia="Calibri" w:cs="Times New Roman"/>
            <w:color w:val="0563C1"/>
            <w:sz w:val="28"/>
            <w:szCs w:val="28"/>
            <w:u w:val="single"/>
          </w:rPr>
          <w:t>http://www.esfondi.lv/planosanas-dokumenti</w:t>
        </w:r>
      </w:hyperlink>
      <w:r w:rsidRPr="00DB28C3">
        <w:rPr>
          <w:rFonts w:eastAsia="Calibri" w:cs="Times New Roman"/>
          <w:color w:val="0563C1"/>
          <w:sz w:val="28"/>
          <w:szCs w:val="28"/>
          <w:u w:val="single"/>
        </w:rPr>
        <w:t>.</w:t>
      </w:r>
    </w:p>
    <w:p w14:paraId="50D6EA81" w14:textId="1F056E83" w:rsidR="00580C07" w:rsidRPr="00DB28C3" w:rsidRDefault="00580C07" w:rsidP="00C0666F">
      <w:pPr>
        <w:spacing w:before="120" w:after="120" w:line="276" w:lineRule="auto"/>
        <w:ind w:firstLine="709"/>
        <w:jc w:val="both"/>
        <w:rPr>
          <w:rFonts w:eastAsia="Calibri" w:cs="Times New Roman"/>
          <w:sz w:val="28"/>
          <w:szCs w:val="28"/>
          <w:u w:val="single"/>
        </w:rPr>
      </w:pPr>
      <w:r w:rsidRPr="00DB28C3">
        <w:rPr>
          <w:rFonts w:eastAsia="Calibri" w:cs="Times New Roman"/>
          <w:sz w:val="28"/>
          <w:szCs w:val="28"/>
          <w:lang w:eastAsia="ar-SA"/>
        </w:rPr>
        <w:t>Detalizētāka informācija par</w:t>
      </w:r>
      <w:r w:rsidRPr="00DB28C3">
        <w:rPr>
          <w:rFonts w:eastAsia="Calibri" w:cs="Times New Roman"/>
          <w:color w:val="000000"/>
          <w:sz w:val="28"/>
          <w:szCs w:val="28"/>
        </w:rPr>
        <w:t xml:space="preserve"> finanšu progresu, kā arī maksājumu plānu izpildi</w:t>
      </w:r>
      <w:r w:rsidRPr="00DB28C3">
        <w:rPr>
          <w:rFonts w:eastAsia="Calibri" w:cs="Times New Roman"/>
          <w:sz w:val="28"/>
          <w:szCs w:val="28"/>
          <w:lang w:eastAsia="ar-SA"/>
        </w:rPr>
        <w:t xml:space="preserve"> katru mēnesi tiek apkopota un iesniegta MK ar </w:t>
      </w:r>
      <w:r w:rsidRPr="00DB28C3">
        <w:rPr>
          <w:rFonts w:eastAsia="Calibri" w:cs="Times New Roman"/>
          <w:sz w:val="28"/>
          <w:szCs w:val="28"/>
          <w:shd w:val="clear" w:color="auto" w:fill="FFFFFF"/>
        </w:rPr>
        <w:t>operatīvo pārskatu par ES Kohēzijas politikas fondu investīciju ieviešanas statusu. A</w:t>
      </w:r>
      <w:r w:rsidRPr="00DB28C3">
        <w:rPr>
          <w:rFonts w:eastAsia="Calibri" w:cs="Times New Roman"/>
          <w:sz w:val="28"/>
          <w:szCs w:val="28"/>
        </w:rPr>
        <w:t xml:space="preserve">ktualitātes, kas ziņotas </w:t>
      </w:r>
      <w:r w:rsidRPr="00DB28C3">
        <w:rPr>
          <w:rFonts w:eastAsia="Calibri" w:cs="Times New Roman"/>
          <w:sz w:val="28"/>
          <w:szCs w:val="28"/>
        </w:rPr>
        <w:lastRenderedPageBreak/>
        <w:t>ar ikmēneša ziņojumiem, netiek atkārtotas šajā ziņojumā. Detalizēta informācija par finanšu progresu un plānu izpildi, t</w:t>
      </w:r>
      <w:r w:rsidR="005738E9" w:rsidRPr="00DB28C3">
        <w:rPr>
          <w:rFonts w:eastAsia="Calibri" w:cs="Times New Roman"/>
          <w:sz w:val="28"/>
          <w:szCs w:val="28"/>
        </w:rPr>
        <w:t xml:space="preserve">.sk. par finanšu instrumentiem, </w:t>
      </w:r>
      <w:r w:rsidR="00EE7AEB" w:rsidRPr="00DB28C3">
        <w:rPr>
          <w:rFonts w:eastAsia="Calibri" w:cs="Times New Roman"/>
          <w:sz w:val="28"/>
          <w:szCs w:val="28"/>
        </w:rPr>
        <w:t>pieejama ES fondu tīmekļa vietnes</w:t>
      </w:r>
      <w:r w:rsidR="00EE7AEB" w:rsidRPr="00DB28C3">
        <w:rPr>
          <w:rFonts w:eastAsia="EUAlbertina-Bold-Identity-H" w:cs="Times New Roman"/>
          <w:color w:val="000000"/>
          <w:sz w:val="28"/>
          <w:szCs w:val="28"/>
          <w:lang w:eastAsia="lv-LV"/>
        </w:rPr>
        <w:t xml:space="preserve"> sadaļā ES fondi 2014 - 2020 → </w:t>
      </w:r>
      <w:r w:rsidR="00EE7AEB" w:rsidRPr="00DB28C3">
        <w:rPr>
          <w:rFonts w:eastAsia="EUAlbertina-Bold-Identity-H" w:cs="Times New Roman"/>
          <w:sz w:val="28"/>
          <w:szCs w:val="28"/>
          <w:lang w:eastAsia="lv-LV"/>
        </w:rPr>
        <w:t>Ieviešana</w:t>
      </w:r>
      <w:r w:rsidRPr="00DB28C3">
        <w:rPr>
          <w:rFonts w:eastAsia="Calibri" w:cs="Times New Roman"/>
          <w:sz w:val="28"/>
          <w:szCs w:val="28"/>
        </w:rPr>
        <w:t>:</w:t>
      </w:r>
    </w:p>
    <w:p w14:paraId="779C2A81" w14:textId="5ED6A6FE" w:rsidR="00580C07" w:rsidRPr="00DB28C3" w:rsidRDefault="00580C07" w:rsidP="00C0666F">
      <w:pPr>
        <w:numPr>
          <w:ilvl w:val="0"/>
          <w:numId w:val="7"/>
        </w:numPr>
        <w:spacing w:before="120" w:after="120" w:line="276" w:lineRule="auto"/>
        <w:ind w:left="1134" w:hanging="425"/>
        <w:jc w:val="both"/>
        <w:rPr>
          <w:rFonts w:eastAsia="Calibri" w:cs="Times New Roman"/>
          <w:color w:val="0563C1"/>
          <w:sz w:val="28"/>
          <w:szCs w:val="28"/>
          <w:u w:val="single"/>
        </w:rPr>
      </w:pPr>
      <w:r w:rsidRPr="00DB28C3">
        <w:rPr>
          <w:rFonts w:eastAsia="EUAlbertina-Bold-Identity-H" w:cs="Times New Roman"/>
          <w:color w:val="000000"/>
          <w:sz w:val="28"/>
          <w:szCs w:val="28"/>
          <w:lang w:eastAsia="lv-LV"/>
        </w:rPr>
        <w:t>Ieviešanas progress:</w:t>
      </w:r>
      <w:r w:rsidR="00C0666F" w:rsidRPr="00DB28C3">
        <w:rPr>
          <w:rFonts w:eastAsia="Calibri" w:cs="Times New Roman"/>
          <w:color w:val="0563C1"/>
          <w:sz w:val="28"/>
          <w:szCs w:val="28"/>
          <w:u w:val="single"/>
        </w:rPr>
        <w:t xml:space="preserve"> </w:t>
      </w:r>
      <w:hyperlink r:id="rId13" w:history="1">
        <w:r w:rsidRPr="00DB28C3">
          <w:rPr>
            <w:rFonts w:eastAsia="Calibri" w:cs="Times New Roman"/>
            <w:color w:val="0563C1"/>
            <w:sz w:val="28"/>
            <w:szCs w:val="28"/>
            <w:u w:val="single"/>
          </w:rPr>
          <w:t>http://www.esfondi.lv/finansu-un-raditaju-plani-to-izpilde</w:t>
        </w:r>
      </w:hyperlink>
      <w:r w:rsidRPr="00DB28C3">
        <w:rPr>
          <w:rFonts w:eastAsia="Calibri" w:cs="Times New Roman"/>
          <w:color w:val="0563C1"/>
          <w:sz w:val="28"/>
          <w:szCs w:val="28"/>
          <w:u w:val="single"/>
        </w:rPr>
        <w:t>;</w:t>
      </w:r>
    </w:p>
    <w:p w14:paraId="3D17A035" w14:textId="5B6E220F" w:rsidR="00580C07" w:rsidRPr="00DB28C3" w:rsidRDefault="00580C07" w:rsidP="00C0666F">
      <w:pPr>
        <w:numPr>
          <w:ilvl w:val="0"/>
          <w:numId w:val="5"/>
        </w:numPr>
        <w:spacing w:before="120" w:after="120" w:line="276" w:lineRule="auto"/>
        <w:ind w:left="1134" w:hanging="425"/>
        <w:jc w:val="both"/>
        <w:rPr>
          <w:rFonts w:eastAsia="EUAlbertina-Bold-Identity-H" w:cs="Times New Roman"/>
          <w:color w:val="000000"/>
          <w:sz w:val="28"/>
          <w:szCs w:val="28"/>
          <w:lang w:eastAsia="lv-LV"/>
        </w:rPr>
      </w:pPr>
      <w:r w:rsidRPr="00DB28C3">
        <w:rPr>
          <w:rFonts w:eastAsia="EUAlbertina-Bold-Identity-H" w:cs="Times New Roman"/>
          <w:color w:val="000000"/>
          <w:sz w:val="28"/>
          <w:szCs w:val="28"/>
          <w:lang w:eastAsia="lv-LV"/>
        </w:rPr>
        <w:t>Ieviešanas plān</w:t>
      </w:r>
      <w:r w:rsidR="00801899" w:rsidRPr="00DB28C3">
        <w:rPr>
          <w:rFonts w:eastAsia="EUAlbertina-Bold-Identity-H" w:cs="Times New Roman"/>
          <w:color w:val="000000"/>
          <w:sz w:val="28"/>
          <w:szCs w:val="28"/>
          <w:lang w:eastAsia="lv-LV"/>
        </w:rPr>
        <w:t>i un to izpilde → 2019</w:t>
      </w:r>
      <w:r w:rsidRPr="00DB28C3">
        <w:rPr>
          <w:rFonts w:eastAsia="EUAlbertina-Bold-Identity-H" w:cs="Times New Roman"/>
          <w:color w:val="000000"/>
          <w:sz w:val="28"/>
          <w:szCs w:val="28"/>
          <w:lang w:eastAsia="lv-LV"/>
        </w:rPr>
        <w:t xml:space="preserve">. gads: </w:t>
      </w:r>
      <w:hyperlink r:id="rId14" w:history="1">
        <w:r w:rsidR="00801899" w:rsidRPr="00DB28C3">
          <w:rPr>
            <w:rStyle w:val="Hyperlink"/>
            <w:sz w:val="28"/>
            <w:szCs w:val="28"/>
          </w:rPr>
          <w:t>https://www.esfondi.lv/2019.gads</w:t>
        </w:r>
      </w:hyperlink>
      <w:r w:rsidRPr="00DB28C3">
        <w:rPr>
          <w:rFonts w:eastAsia="EUAlbertina-Bold-Identity-H" w:cs="Times New Roman"/>
          <w:color w:val="000000"/>
          <w:sz w:val="28"/>
          <w:szCs w:val="28"/>
          <w:lang w:eastAsia="lv-LV"/>
        </w:rPr>
        <w:t>;</w:t>
      </w:r>
    </w:p>
    <w:p w14:paraId="50220CC1" w14:textId="022B98BE" w:rsidR="00580C07" w:rsidRPr="00DB28C3" w:rsidRDefault="00580C07" w:rsidP="00EE7AEB">
      <w:pPr>
        <w:spacing w:before="120" w:after="120" w:line="276" w:lineRule="auto"/>
        <w:ind w:firstLine="709"/>
        <w:jc w:val="both"/>
        <w:rPr>
          <w:rFonts w:eastAsia="EUAlbertina-Bold-Identity-H" w:cs="Times New Roman"/>
          <w:color w:val="000000"/>
          <w:sz w:val="28"/>
          <w:szCs w:val="28"/>
          <w:lang w:eastAsia="lv-LV"/>
        </w:rPr>
      </w:pPr>
      <w:r w:rsidRPr="00DB28C3">
        <w:rPr>
          <w:rFonts w:eastAsia="EUAlbertina-Bold-Identity-H" w:cs="Times New Roman"/>
          <w:color w:val="000000"/>
          <w:sz w:val="28"/>
          <w:szCs w:val="28"/>
          <w:lang w:eastAsia="lv-LV"/>
        </w:rPr>
        <w:t>Informācija par rādī</w:t>
      </w:r>
      <w:r w:rsidR="00EE7AEB" w:rsidRPr="00DB28C3">
        <w:rPr>
          <w:rFonts w:eastAsia="EUAlbertina-Bold-Identity-H" w:cs="Times New Roman"/>
          <w:color w:val="000000"/>
          <w:sz w:val="28"/>
          <w:szCs w:val="28"/>
          <w:lang w:eastAsia="lv-LV"/>
        </w:rPr>
        <w:t xml:space="preserve">tājiem un sasniegtajām vērtībām pieejama </w:t>
      </w:r>
      <w:r w:rsidR="00EE7AEB" w:rsidRPr="00DB28C3">
        <w:rPr>
          <w:rFonts w:eastAsia="Calibri" w:cs="Times New Roman"/>
          <w:sz w:val="28"/>
          <w:szCs w:val="28"/>
        </w:rPr>
        <w:t>ES fondu tīmekļa vietnes</w:t>
      </w:r>
      <w:r w:rsidR="00EE7AEB" w:rsidRPr="00DB28C3">
        <w:rPr>
          <w:rFonts w:eastAsia="EUAlbertina-Bold-Identity-H" w:cs="Times New Roman"/>
          <w:color w:val="000000"/>
          <w:sz w:val="28"/>
          <w:szCs w:val="28"/>
          <w:lang w:eastAsia="lv-LV"/>
        </w:rPr>
        <w:t xml:space="preserve"> sadaļā</w:t>
      </w:r>
      <w:r w:rsidRPr="00DB28C3">
        <w:rPr>
          <w:rFonts w:eastAsia="EUAlbertina-Bold-Identity-H" w:cs="Times New Roman"/>
          <w:color w:val="000000"/>
          <w:sz w:val="28"/>
          <w:szCs w:val="28"/>
          <w:lang w:eastAsia="lv-LV"/>
        </w:rPr>
        <w:t xml:space="preserve"> ES fondi 2014 - 2020 → Ieviešana → Ieviešanas plāni un to izpilde → Rādītāji: </w:t>
      </w:r>
      <w:hyperlink r:id="rId15" w:history="1">
        <w:r w:rsidRPr="00DB28C3">
          <w:rPr>
            <w:rFonts w:eastAsia="EUAlbertina-Bold-Identity-H" w:cs="Times New Roman"/>
            <w:color w:val="0563C1"/>
            <w:sz w:val="28"/>
            <w:szCs w:val="28"/>
            <w:u w:val="single"/>
            <w:lang w:eastAsia="lv-LV"/>
          </w:rPr>
          <w:t>https://www.esfondi.lv/raditaju-plani-un-sasniegtas-vertibas</w:t>
        </w:r>
      </w:hyperlink>
      <w:r w:rsidRPr="00DB28C3">
        <w:rPr>
          <w:rFonts w:eastAsia="EUAlbertina-Bold-Identity-H" w:cs="Times New Roman"/>
          <w:color w:val="000000"/>
          <w:sz w:val="28"/>
          <w:szCs w:val="28"/>
          <w:lang w:eastAsia="lv-LV"/>
        </w:rPr>
        <w:t>.</w:t>
      </w:r>
    </w:p>
    <w:p w14:paraId="4550198F" w14:textId="38365146" w:rsidR="00580C07" w:rsidRPr="00DB28C3" w:rsidRDefault="004C52EE" w:rsidP="00C0666F">
      <w:pPr>
        <w:spacing w:before="120" w:after="120" w:line="276" w:lineRule="auto"/>
        <w:ind w:firstLine="709"/>
        <w:jc w:val="both"/>
        <w:rPr>
          <w:rFonts w:eastAsia="Calibri" w:cs="Times New Roman"/>
          <w:sz w:val="28"/>
          <w:szCs w:val="28"/>
        </w:rPr>
      </w:pPr>
      <w:r>
        <w:rPr>
          <w:rFonts w:eastAsia="EUAlbertina-Bold-Identity-H" w:cs="Times New Roman"/>
          <w:color w:val="000000"/>
          <w:sz w:val="28"/>
          <w:szCs w:val="28"/>
          <w:lang w:eastAsia="lv-LV"/>
        </w:rPr>
        <w:t>Pamatojoties uz MK</w:t>
      </w:r>
      <w:r w:rsidRPr="004C52EE">
        <w:rPr>
          <w:rFonts w:eastAsia="EUAlbertina-Bold-Identity-H" w:cs="Times New Roman"/>
          <w:color w:val="000000"/>
          <w:sz w:val="28"/>
          <w:szCs w:val="28"/>
          <w:lang w:eastAsia="lv-LV"/>
        </w:rPr>
        <w:t xml:space="preserve"> 2014. gada 16. septembra sēdes </w:t>
      </w:r>
      <w:proofErr w:type="spellStart"/>
      <w:r w:rsidRPr="004C52EE">
        <w:rPr>
          <w:rFonts w:eastAsia="EUAlbertina-Bold-Identity-H" w:cs="Times New Roman"/>
          <w:color w:val="000000"/>
          <w:sz w:val="28"/>
          <w:szCs w:val="28"/>
          <w:lang w:eastAsia="lv-LV"/>
        </w:rPr>
        <w:t>protokollēmuma</w:t>
      </w:r>
      <w:proofErr w:type="spellEnd"/>
      <w:r>
        <w:rPr>
          <w:rFonts w:eastAsia="EUAlbertina-Bold-Identity-H" w:cs="Times New Roman"/>
          <w:color w:val="000000"/>
          <w:sz w:val="28"/>
          <w:szCs w:val="28"/>
          <w:lang w:eastAsia="lv-LV"/>
        </w:rPr>
        <w:t xml:space="preserve"> Nr. 49, 57. § 4. punktu,</w:t>
      </w:r>
      <w:r w:rsidRPr="004C52EE">
        <w:rPr>
          <w:rFonts w:eastAsia="EUAlbertina-Bold-Identity-H" w:cs="Times New Roman"/>
          <w:color w:val="000000"/>
          <w:sz w:val="28"/>
          <w:szCs w:val="28"/>
          <w:lang w:eastAsia="lv-LV"/>
        </w:rPr>
        <w:t xml:space="preserve"> </w:t>
      </w:r>
      <w:r w:rsidR="00603C3B">
        <w:rPr>
          <w:rFonts w:eastAsia="EUAlbertina-Bold-Identity-H" w:cs="Times New Roman"/>
          <w:color w:val="000000"/>
          <w:sz w:val="28"/>
          <w:szCs w:val="28"/>
          <w:lang w:eastAsia="lv-LV"/>
        </w:rPr>
        <w:t>finanšu ministrs</w:t>
      </w:r>
      <w:r w:rsidR="00603C3B" w:rsidRPr="00AF5448">
        <w:rPr>
          <w:rFonts w:eastAsia="EUAlbertina-Bold-Identity-H" w:cs="Times New Roman"/>
          <w:color w:val="000000"/>
          <w:sz w:val="28"/>
          <w:szCs w:val="28"/>
          <w:lang w:eastAsia="lv-LV"/>
        </w:rPr>
        <w:t xml:space="preserve"> </w:t>
      </w:r>
      <w:r w:rsidR="00AF5448">
        <w:rPr>
          <w:rFonts w:eastAsia="EUAlbertina-Bold-Identity-H" w:cs="Times New Roman"/>
          <w:color w:val="000000"/>
          <w:sz w:val="28"/>
          <w:szCs w:val="28"/>
          <w:lang w:eastAsia="lv-LV"/>
        </w:rPr>
        <w:t>d</w:t>
      </w:r>
      <w:r w:rsidR="00AF5448" w:rsidRPr="00AF5448">
        <w:rPr>
          <w:rFonts w:eastAsia="EUAlbertina-Bold-Identity-H" w:cs="Times New Roman"/>
          <w:color w:val="000000"/>
          <w:sz w:val="28"/>
          <w:szCs w:val="28"/>
          <w:lang w:eastAsia="lv-LV"/>
        </w:rPr>
        <w:t>ivas reizes gadā (līdz 1.martam un 1.septembrim)</w:t>
      </w:r>
      <w:r w:rsidR="00AF5448">
        <w:rPr>
          <w:rFonts w:eastAsia="EUAlbertina-Bold-Identity-H" w:cs="Times New Roman"/>
          <w:color w:val="000000"/>
          <w:sz w:val="28"/>
          <w:szCs w:val="28"/>
          <w:lang w:eastAsia="lv-LV"/>
        </w:rPr>
        <w:t xml:space="preserve"> i</w:t>
      </w:r>
      <w:r w:rsidR="00AF5448" w:rsidRPr="00AF5448">
        <w:rPr>
          <w:rFonts w:eastAsia="EUAlbertina-Bold-Identity-H" w:cs="Times New Roman"/>
          <w:color w:val="000000"/>
          <w:sz w:val="28"/>
          <w:szCs w:val="28"/>
          <w:lang w:eastAsia="lv-LV"/>
        </w:rPr>
        <w:t xml:space="preserve">esniedz MK </w:t>
      </w:r>
      <w:r w:rsidR="00F27330">
        <w:rPr>
          <w:rFonts w:eastAsia="EUAlbertina-Bold-Identity-H" w:cs="Times New Roman"/>
          <w:color w:val="000000"/>
          <w:sz w:val="28"/>
          <w:szCs w:val="28"/>
          <w:lang w:eastAsia="lv-LV"/>
        </w:rPr>
        <w:t>ziņojumus</w:t>
      </w:r>
      <w:r w:rsidR="00AF5448" w:rsidRPr="00AF5448">
        <w:rPr>
          <w:rFonts w:eastAsia="EUAlbertina-Bold-Identity-H" w:cs="Times New Roman"/>
          <w:color w:val="000000"/>
          <w:sz w:val="28"/>
          <w:szCs w:val="28"/>
          <w:lang w:eastAsia="lv-LV"/>
        </w:rPr>
        <w:t xml:space="preserve"> par</w:t>
      </w:r>
      <w:r w:rsidR="00AF5448">
        <w:rPr>
          <w:rFonts w:eastAsia="EUAlbertina-Bold-Identity-H" w:cs="Times New Roman"/>
          <w:color w:val="000000"/>
          <w:sz w:val="28"/>
          <w:szCs w:val="28"/>
          <w:lang w:eastAsia="lv-LV"/>
        </w:rPr>
        <w:t xml:space="preserve"> ES fondu</w:t>
      </w:r>
      <w:r w:rsidR="00AF5448" w:rsidRPr="00AF5448">
        <w:rPr>
          <w:rFonts w:eastAsia="EUAlbertina-Bold-Identity-H" w:cs="Times New Roman"/>
          <w:color w:val="000000"/>
          <w:sz w:val="28"/>
          <w:szCs w:val="28"/>
          <w:lang w:eastAsia="lv-LV"/>
        </w:rPr>
        <w:t xml:space="preserve">, </w:t>
      </w:r>
      <w:r w:rsidR="00AF5448">
        <w:rPr>
          <w:rFonts w:eastAsia="EUAlbertina-Bold-Identity-H" w:cs="Times New Roman"/>
          <w:color w:val="000000"/>
          <w:sz w:val="28"/>
          <w:szCs w:val="28"/>
          <w:lang w:eastAsia="lv-LV"/>
        </w:rPr>
        <w:t>EEZ</w:t>
      </w:r>
      <w:r w:rsidR="00AF5448" w:rsidRPr="00AF5448">
        <w:rPr>
          <w:rFonts w:eastAsia="EUAlbertina-Bold-Identity-H" w:cs="Times New Roman"/>
          <w:color w:val="000000"/>
          <w:sz w:val="28"/>
          <w:szCs w:val="28"/>
          <w:lang w:eastAsia="lv-LV"/>
        </w:rPr>
        <w:t xml:space="preserve"> finanšu instrumenta, Norvēģijas finanšu instrumenta un Latvijas un Šveices sadarbības programmas investīciju progresu. </w:t>
      </w:r>
      <w:r>
        <w:rPr>
          <w:rFonts w:eastAsia="EUAlbertina-Bold-Identity-H" w:cs="Times New Roman"/>
          <w:color w:val="000000"/>
          <w:sz w:val="28"/>
          <w:szCs w:val="28"/>
          <w:lang w:eastAsia="lv-LV"/>
        </w:rPr>
        <w:t>Pusgada ziņojums tiek apvien</w:t>
      </w:r>
      <w:r w:rsidR="003A4199">
        <w:rPr>
          <w:rFonts w:eastAsia="EUAlbertina-Bold-Identity-H" w:cs="Times New Roman"/>
          <w:color w:val="000000"/>
          <w:sz w:val="28"/>
          <w:szCs w:val="28"/>
          <w:lang w:eastAsia="lv-LV"/>
        </w:rPr>
        <w:t>o</w:t>
      </w:r>
      <w:r>
        <w:rPr>
          <w:rFonts w:eastAsia="EUAlbertina-Bold-Identity-H" w:cs="Times New Roman"/>
          <w:color w:val="000000"/>
          <w:sz w:val="28"/>
          <w:szCs w:val="28"/>
          <w:lang w:eastAsia="lv-LV"/>
        </w:rPr>
        <w:t xml:space="preserve">ts ar </w:t>
      </w:r>
      <w:r w:rsidRPr="004C52EE">
        <w:rPr>
          <w:rFonts w:eastAsia="EUAlbertina-Bold-Identity-H" w:cs="Times New Roman"/>
          <w:color w:val="000000"/>
          <w:sz w:val="28"/>
          <w:szCs w:val="28"/>
          <w:lang w:eastAsia="lv-LV"/>
        </w:rPr>
        <w:t xml:space="preserve">ikmēneša operatīvo informāciju, ko </w:t>
      </w:r>
      <w:r>
        <w:rPr>
          <w:rFonts w:eastAsia="EUAlbertina-Bold-Identity-H" w:cs="Times New Roman"/>
          <w:color w:val="000000"/>
          <w:sz w:val="28"/>
          <w:szCs w:val="28"/>
          <w:lang w:eastAsia="lv-LV"/>
        </w:rPr>
        <w:t xml:space="preserve">FM </w:t>
      </w:r>
      <w:r w:rsidRPr="004C52EE">
        <w:rPr>
          <w:rFonts w:eastAsia="EUAlbertina-Bold-Identity-H" w:cs="Times New Roman"/>
          <w:color w:val="000000"/>
          <w:sz w:val="28"/>
          <w:szCs w:val="28"/>
          <w:lang w:eastAsia="lv-LV"/>
        </w:rPr>
        <w:t xml:space="preserve">iesniedz </w:t>
      </w:r>
      <w:r>
        <w:rPr>
          <w:rFonts w:eastAsia="EUAlbertina-Bold-Identity-H" w:cs="Times New Roman"/>
          <w:color w:val="000000"/>
          <w:sz w:val="28"/>
          <w:szCs w:val="28"/>
          <w:lang w:eastAsia="lv-LV"/>
        </w:rPr>
        <w:t>MK</w:t>
      </w:r>
      <w:r w:rsidRPr="004C52EE">
        <w:rPr>
          <w:rFonts w:eastAsia="EUAlbertina-Bold-Identity-H" w:cs="Times New Roman"/>
          <w:color w:val="000000"/>
          <w:sz w:val="28"/>
          <w:szCs w:val="28"/>
          <w:lang w:eastAsia="lv-LV"/>
        </w:rPr>
        <w:t xml:space="preserve"> atbilstoši </w:t>
      </w:r>
      <w:r>
        <w:rPr>
          <w:rFonts w:eastAsia="EUAlbertina-Bold-Identity-H" w:cs="Times New Roman"/>
          <w:color w:val="000000"/>
          <w:sz w:val="28"/>
          <w:szCs w:val="28"/>
          <w:lang w:eastAsia="lv-LV"/>
        </w:rPr>
        <w:t>MK</w:t>
      </w:r>
      <w:r w:rsidRPr="004C52EE">
        <w:rPr>
          <w:rFonts w:eastAsia="EUAlbertina-Bold-Identity-H" w:cs="Times New Roman"/>
          <w:color w:val="000000"/>
          <w:sz w:val="28"/>
          <w:szCs w:val="28"/>
          <w:lang w:eastAsia="lv-LV"/>
        </w:rPr>
        <w:t xml:space="preserve"> 2015. gada 10. ma</w:t>
      </w:r>
      <w:r>
        <w:rPr>
          <w:rFonts w:eastAsia="EUAlbertina-Bold-Identity-H" w:cs="Times New Roman"/>
          <w:color w:val="000000"/>
          <w:sz w:val="28"/>
          <w:szCs w:val="28"/>
          <w:lang w:eastAsia="lv-LV"/>
        </w:rPr>
        <w:t xml:space="preserve">rta sēdes </w:t>
      </w:r>
      <w:proofErr w:type="spellStart"/>
      <w:r>
        <w:rPr>
          <w:rFonts w:eastAsia="EUAlbertina-Bold-Identity-H" w:cs="Times New Roman"/>
          <w:color w:val="000000"/>
          <w:sz w:val="28"/>
          <w:szCs w:val="28"/>
          <w:lang w:eastAsia="lv-LV"/>
        </w:rPr>
        <w:t>protokollēmuma</w:t>
      </w:r>
      <w:proofErr w:type="spellEnd"/>
      <w:r>
        <w:rPr>
          <w:rFonts w:eastAsia="EUAlbertina-Bold-Identity-H" w:cs="Times New Roman"/>
          <w:color w:val="000000"/>
          <w:sz w:val="28"/>
          <w:szCs w:val="28"/>
          <w:lang w:eastAsia="lv-LV"/>
        </w:rPr>
        <w:t xml:space="preserve"> Nr. 14 27.§ 11. </w:t>
      </w:r>
      <w:r w:rsidRPr="004C52EE">
        <w:rPr>
          <w:rFonts w:eastAsia="EUAlbertina-Bold-Identity-H" w:cs="Times New Roman"/>
          <w:color w:val="000000"/>
          <w:sz w:val="28"/>
          <w:szCs w:val="28"/>
          <w:lang w:eastAsia="lv-LV"/>
        </w:rPr>
        <w:t>punktam</w:t>
      </w:r>
      <w:r>
        <w:rPr>
          <w:rFonts w:eastAsia="EUAlbertina-Bold-Identity-H" w:cs="Times New Roman"/>
          <w:color w:val="000000"/>
          <w:sz w:val="28"/>
          <w:szCs w:val="28"/>
          <w:lang w:eastAsia="lv-LV"/>
        </w:rPr>
        <w:t xml:space="preserve">. </w:t>
      </w:r>
      <w:r w:rsidR="00580C07" w:rsidRPr="00DB28C3">
        <w:rPr>
          <w:rFonts w:eastAsia="Calibri" w:cs="Times New Roman"/>
          <w:sz w:val="28"/>
          <w:szCs w:val="28"/>
        </w:rPr>
        <w:t>Ziņojumi, pārskati, dažādas publikācijas un prezentācijas regulāri pieejami ES fondu tīmekļa vietnē:</w:t>
      </w:r>
    </w:p>
    <w:p w14:paraId="7FF89937" w14:textId="753C2379" w:rsidR="009C1CDD" w:rsidRPr="00DB28C3" w:rsidRDefault="00580C07" w:rsidP="005738E9">
      <w:pPr>
        <w:numPr>
          <w:ilvl w:val="0"/>
          <w:numId w:val="5"/>
        </w:numPr>
        <w:spacing w:before="120" w:after="120" w:line="276" w:lineRule="auto"/>
        <w:ind w:left="1134" w:hanging="425"/>
        <w:jc w:val="both"/>
        <w:rPr>
          <w:rFonts w:eastAsia="EUAlbertina-Bold-Identity-H" w:cs="Times New Roman"/>
          <w:color w:val="000000"/>
          <w:sz w:val="28"/>
          <w:szCs w:val="28"/>
          <w:lang w:eastAsia="lv-LV"/>
        </w:rPr>
      </w:pPr>
      <w:r w:rsidRPr="00DB28C3">
        <w:rPr>
          <w:rFonts w:eastAsia="Calibri" w:cs="Times New Roman"/>
          <w:sz w:val="28"/>
          <w:szCs w:val="28"/>
        </w:rPr>
        <w:t xml:space="preserve">ziņojumi </w:t>
      </w:r>
      <w:r w:rsidR="009C1CDD" w:rsidRPr="00DB28C3">
        <w:rPr>
          <w:rFonts w:eastAsia="Calibri" w:cs="Times New Roman"/>
          <w:sz w:val="28"/>
          <w:szCs w:val="28"/>
        </w:rPr>
        <w:t xml:space="preserve">MK </w:t>
      </w:r>
      <w:r w:rsidRPr="00DB28C3">
        <w:rPr>
          <w:rFonts w:eastAsia="Calibri" w:cs="Times New Roman"/>
          <w:sz w:val="28"/>
          <w:szCs w:val="28"/>
        </w:rPr>
        <w:t xml:space="preserve">pieejami: sadaļa Materiāli un ziņojumi </w:t>
      </w:r>
      <w:r w:rsidRPr="00DB28C3">
        <w:rPr>
          <w:rFonts w:eastAsia="EUAlbertina-Bold-Identity-H" w:cs="Times New Roman"/>
          <w:color w:val="000000"/>
          <w:sz w:val="28"/>
          <w:szCs w:val="28"/>
          <w:lang w:eastAsia="lv-LV"/>
        </w:rPr>
        <w:t xml:space="preserve">→ ES fondu ziņojumi Ministru kabinetam: </w:t>
      </w:r>
      <w:hyperlink r:id="rId16" w:history="1">
        <w:r w:rsidRPr="00DB28C3">
          <w:rPr>
            <w:rFonts w:eastAsia="EUAlbertina-Bold-Identity-H" w:cs="Times New Roman"/>
            <w:color w:val="0563C1"/>
            <w:sz w:val="28"/>
            <w:szCs w:val="28"/>
            <w:u w:val="single"/>
            <w:lang w:eastAsia="lv-LV"/>
          </w:rPr>
          <w:t>https://www.esfondi.lv/zinojumi-Ministru-kabinetam</w:t>
        </w:r>
      </w:hyperlink>
      <w:r w:rsidR="009C1CDD" w:rsidRPr="00DB28C3">
        <w:rPr>
          <w:rFonts w:eastAsia="EUAlbertina-Bold-Identity-H" w:cs="Times New Roman"/>
          <w:color w:val="0563C1"/>
          <w:sz w:val="28"/>
          <w:szCs w:val="28"/>
          <w:u w:val="single"/>
          <w:lang w:eastAsia="lv-LV"/>
        </w:rPr>
        <w:t xml:space="preserve"> </w:t>
      </w:r>
    </w:p>
    <w:p w14:paraId="595E28D5" w14:textId="190EF8BC" w:rsidR="009C1CDD" w:rsidRPr="00DB28C3" w:rsidRDefault="009C1CDD" w:rsidP="005738E9">
      <w:pPr>
        <w:numPr>
          <w:ilvl w:val="0"/>
          <w:numId w:val="5"/>
        </w:numPr>
        <w:spacing w:before="120" w:after="120" w:line="276" w:lineRule="auto"/>
        <w:ind w:left="1134" w:hanging="425"/>
        <w:jc w:val="both"/>
        <w:rPr>
          <w:rFonts w:eastAsia="EUAlbertina-Bold-Identity-H" w:cs="Times New Roman"/>
          <w:color w:val="000000"/>
          <w:sz w:val="28"/>
          <w:szCs w:val="28"/>
          <w:lang w:eastAsia="lv-LV"/>
        </w:rPr>
      </w:pPr>
      <w:r w:rsidRPr="00DB28C3">
        <w:rPr>
          <w:rFonts w:eastAsia="Calibri" w:cs="Times New Roman"/>
          <w:sz w:val="28"/>
          <w:szCs w:val="28"/>
        </w:rPr>
        <w:t xml:space="preserve">ziņojumi EK pieejami: sadaļa Materiāli un ziņojumi </w:t>
      </w:r>
      <w:r w:rsidRPr="00DB28C3">
        <w:rPr>
          <w:rFonts w:eastAsia="EUAlbertina-Bold-Identity-H" w:cs="Times New Roman"/>
          <w:color w:val="000000"/>
          <w:sz w:val="28"/>
          <w:szCs w:val="28"/>
          <w:lang w:eastAsia="lv-LV"/>
        </w:rPr>
        <w:t xml:space="preserve">→ ES fondu ziņojumi </w:t>
      </w:r>
      <w:r w:rsidRPr="00DB28C3">
        <w:rPr>
          <w:sz w:val="28"/>
          <w:szCs w:val="28"/>
        </w:rPr>
        <w:t xml:space="preserve">2014.-2020 </w:t>
      </w:r>
      <w:r w:rsidRPr="00DB28C3">
        <w:rPr>
          <w:rFonts w:eastAsia="EUAlbertina-Bold-Identity-H" w:cs="Times New Roman"/>
          <w:color w:val="000000"/>
          <w:sz w:val="28"/>
          <w:szCs w:val="28"/>
          <w:lang w:eastAsia="lv-LV"/>
        </w:rPr>
        <w:t>→</w:t>
      </w:r>
      <w:r w:rsidRPr="00DB28C3">
        <w:rPr>
          <w:sz w:val="28"/>
          <w:szCs w:val="28"/>
        </w:rPr>
        <w:t xml:space="preserve">Gadskārtējie ieviešanas ziņojumi: </w:t>
      </w:r>
      <w:hyperlink r:id="rId17" w:history="1">
        <w:r w:rsidRPr="00DB28C3">
          <w:rPr>
            <w:rStyle w:val="Hyperlink"/>
            <w:sz w:val="28"/>
            <w:szCs w:val="28"/>
          </w:rPr>
          <w:t>https://www.esfondi.lv/gadskartejie-ieviesanas-zinojumi</w:t>
        </w:r>
      </w:hyperlink>
      <w:r w:rsidRPr="00DB28C3">
        <w:rPr>
          <w:sz w:val="28"/>
          <w:szCs w:val="28"/>
        </w:rPr>
        <w:t>.</w:t>
      </w:r>
    </w:p>
    <w:p w14:paraId="450E05B3" w14:textId="37812DCC" w:rsidR="00580C07" w:rsidRPr="00DB28C3" w:rsidRDefault="00580C07" w:rsidP="005738E9">
      <w:pPr>
        <w:numPr>
          <w:ilvl w:val="0"/>
          <w:numId w:val="5"/>
        </w:numPr>
        <w:spacing w:before="120" w:after="120" w:line="276" w:lineRule="auto"/>
        <w:ind w:left="1134" w:hanging="425"/>
        <w:jc w:val="both"/>
        <w:rPr>
          <w:rFonts w:eastAsia="EUAlbertina-Bold-Identity-H" w:cs="Times New Roman"/>
          <w:color w:val="000000"/>
          <w:sz w:val="28"/>
          <w:szCs w:val="28"/>
          <w:lang w:eastAsia="lv-LV"/>
        </w:rPr>
      </w:pPr>
      <w:r w:rsidRPr="00DB28C3">
        <w:rPr>
          <w:rFonts w:eastAsia="Calibri" w:cs="Times New Roman"/>
          <w:color w:val="000000"/>
          <w:sz w:val="28"/>
          <w:szCs w:val="28"/>
        </w:rPr>
        <w:t xml:space="preserve">VI prezentācijas: </w:t>
      </w:r>
      <w:r w:rsidRPr="00DB28C3">
        <w:rPr>
          <w:rFonts w:eastAsia="Calibri" w:cs="Times New Roman"/>
          <w:sz w:val="28"/>
          <w:szCs w:val="28"/>
        </w:rPr>
        <w:t xml:space="preserve">sadaļa Materiāli un ziņojumi </w:t>
      </w:r>
      <w:r w:rsidRPr="00DB28C3">
        <w:rPr>
          <w:rFonts w:eastAsia="EUAlbertina-Bold-Identity-H" w:cs="Times New Roman"/>
          <w:color w:val="000000"/>
          <w:sz w:val="28"/>
          <w:szCs w:val="28"/>
          <w:lang w:eastAsia="lv-LV"/>
        </w:rPr>
        <w:t xml:space="preserve">→ Publikācijas un prezentācijas → </w:t>
      </w:r>
      <w:hyperlink r:id="rId18" w:history="1">
        <w:r w:rsidRPr="00DB28C3">
          <w:rPr>
            <w:rFonts w:eastAsia="Calibri" w:cs="Times New Roman"/>
            <w:color w:val="0563C1"/>
            <w:sz w:val="28"/>
            <w:szCs w:val="28"/>
            <w:u w:val="single"/>
          </w:rPr>
          <w:t>http://www.esfondi.lv/prezentacijas</w:t>
        </w:r>
      </w:hyperlink>
      <w:r w:rsidR="009C1CDD" w:rsidRPr="00DB28C3">
        <w:rPr>
          <w:rFonts w:eastAsia="Calibri" w:cs="Times New Roman"/>
          <w:color w:val="0563C1"/>
          <w:sz w:val="28"/>
          <w:szCs w:val="28"/>
          <w:u w:val="single"/>
        </w:rPr>
        <w:t>.</w:t>
      </w:r>
    </w:p>
    <w:p w14:paraId="04005618" w14:textId="77777777" w:rsidR="00EE7AEB" w:rsidRPr="00DB28C3" w:rsidRDefault="00580C07" w:rsidP="00EE7AEB">
      <w:pPr>
        <w:spacing w:before="120" w:after="120" w:line="276" w:lineRule="auto"/>
        <w:ind w:firstLine="709"/>
        <w:jc w:val="both"/>
        <w:rPr>
          <w:rFonts w:eastAsia="EUAlbertina-Bold-Identity-H" w:cs="Times New Roman"/>
          <w:color w:val="000000"/>
          <w:sz w:val="28"/>
          <w:szCs w:val="28"/>
          <w:lang w:eastAsia="lv-LV"/>
        </w:rPr>
      </w:pPr>
      <w:r w:rsidRPr="00DB28C3">
        <w:rPr>
          <w:rFonts w:eastAsia="EUAlbertina-Bold-Identity-H" w:cs="Times New Roman"/>
          <w:color w:val="000000"/>
          <w:sz w:val="28"/>
          <w:szCs w:val="28"/>
          <w:lang w:eastAsia="lv-LV"/>
        </w:rPr>
        <w:t>Informācija par ES fondu izvērtēšanas jautājumiem 2014. – 2020. gada plānošanas periodā, t.sk. izvērtēšanas plāniem, izvērtē</w:t>
      </w:r>
      <w:r w:rsidR="001039CE" w:rsidRPr="00DB28C3">
        <w:rPr>
          <w:rFonts w:eastAsia="EUAlbertina-Bold-Identity-H" w:cs="Times New Roman"/>
          <w:color w:val="000000"/>
          <w:sz w:val="28"/>
          <w:szCs w:val="28"/>
          <w:lang w:eastAsia="lv-LV"/>
        </w:rPr>
        <w:t>šanas ziņojumiem</w:t>
      </w:r>
      <w:r w:rsidRPr="00DB28C3">
        <w:rPr>
          <w:rFonts w:eastAsia="EUAlbertina-Bold-Identity-H" w:cs="Times New Roman"/>
          <w:color w:val="000000"/>
          <w:sz w:val="28"/>
          <w:szCs w:val="28"/>
          <w:lang w:eastAsia="lv-LV"/>
        </w:rPr>
        <w:t>, vadlīnijām un metodiskajiem materiāliem, p</w:t>
      </w:r>
      <w:r w:rsidR="00EE7AEB" w:rsidRPr="00DB28C3">
        <w:rPr>
          <w:rFonts w:eastAsia="EUAlbertina-Bold-Identity-H" w:cs="Times New Roman"/>
          <w:color w:val="000000"/>
          <w:sz w:val="28"/>
          <w:szCs w:val="28"/>
          <w:lang w:eastAsia="lv-LV"/>
        </w:rPr>
        <w:t xml:space="preserve">ieejama ES fondu tīmekļa vietnes </w:t>
      </w:r>
      <w:r w:rsidR="00FB72A8" w:rsidRPr="00DB28C3">
        <w:rPr>
          <w:rFonts w:eastAsia="EUAlbertina-Bold-Identity-H" w:cs="Times New Roman"/>
          <w:color w:val="000000"/>
          <w:sz w:val="28"/>
          <w:szCs w:val="28"/>
          <w:lang w:eastAsia="lv-LV"/>
        </w:rPr>
        <w:t>s</w:t>
      </w:r>
      <w:r w:rsidR="00EE7AEB" w:rsidRPr="00DB28C3">
        <w:rPr>
          <w:rFonts w:eastAsia="EUAlbertina-Bold-Identity-H" w:cs="Times New Roman"/>
          <w:color w:val="000000"/>
          <w:sz w:val="28"/>
          <w:szCs w:val="28"/>
          <w:lang w:eastAsia="lv-LV"/>
        </w:rPr>
        <w:t>adaļā</w:t>
      </w:r>
      <w:r w:rsidRPr="00DB28C3">
        <w:rPr>
          <w:rFonts w:eastAsia="EUAlbertina-Bold-Identity-H" w:cs="Times New Roman"/>
          <w:color w:val="000000"/>
          <w:sz w:val="28"/>
          <w:szCs w:val="28"/>
          <w:lang w:eastAsia="lv-LV"/>
        </w:rPr>
        <w:t xml:space="preserve"> Par ES fondiem → Izvērtēšana: </w:t>
      </w:r>
      <w:hyperlink r:id="rId19" w:history="1">
        <w:r w:rsidRPr="00DB28C3">
          <w:rPr>
            <w:rFonts w:eastAsia="EUAlbertina-Bold-Identity-H" w:cs="Times New Roman"/>
            <w:color w:val="0563C1"/>
            <w:sz w:val="28"/>
            <w:szCs w:val="28"/>
            <w:u w:val="single"/>
            <w:lang w:eastAsia="lv-LV"/>
          </w:rPr>
          <w:t>https://www.esfondi.lv/es-fondu-izvertesana-1</w:t>
        </w:r>
      </w:hyperlink>
      <w:r w:rsidRPr="00DB28C3">
        <w:rPr>
          <w:rFonts w:eastAsia="EUAlbertina-Bold-Identity-H" w:cs="Times New Roman"/>
          <w:color w:val="000000"/>
          <w:sz w:val="28"/>
          <w:szCs w:val="28"/>
          <w:lang w:eastAsia="lv-LV"/>
        </w:rPr>
        <w:t xml:space="preserve">. </w:t>
      </w:r>
    </w:p>
    <w:p w14:paraId="169FC045" w14:textId="0461A3F1" w:rsidR="00C17ABE" w:rsidRPr="007C36A9" w:rsidRDefault="00580C07" w:rsidP="007C36A9">
      <w:pPr>
        <w:spacing w:before="120" w:after="120" w:line="276" w:lineRule="auto"/>
        <w:ind w:firstLine="709"/>
        <w:jc w:val="both"/>
        <w:rPr>
          <w:rFonts w:eastAsia="EUAlbertina-Bold-Identity-H" w:cs="Times New Roman"/>
          <w:color w:val="000000" w:themeColor="text1"/>
          <w:sz w:val="28"/>
          <w:szCs w:val="28"/>
          <w:highlight w:val="yellow"/>
          <w:lang w:eastAsia="lv-LV"/>
        </w:rPr>
      </w:pPr>
      <w:r w:rsidRPr="00DB28C3">
        <w:rPr>
          <w:rFonts w:eastAsia="EUAlbertina-Bold-Identity-H" w:cs="Times New Roman"/>
          <w:color w:val="000000"/>
          <w:sz w:val="28"/>
          <w:szCs w:val="28"/>
          <w:lang w:eastAsia="lv-LV"/>
        </w:rPr>
        <w:t>Aktuālā projektu</w:t>
      </w:r>
      <w:r w:rsidR="00EE7AEB" w:rsidRPr="00DB28C3">
        <w:rPr>
          <w:rFonts w:eastAsia="EUAlbertina-Bold-Identity-H" w:cs="Times New Roman"/>
          <w:color w:val="000000"/>
          <w:sz w:val="28"/>
          <w:szCs w:val="28"/>
          <w:lang w:eastAsia="lv-LV"/>
        </w:rPr>
        <w:t xml:space="preserve"> iesniegumu atlašu informācija pieejama CFLA tīmekļa vietnes sadaļā</w:t>
      </w:r>
      <w:r w:rsidRPr="00DB28C3">
        <w:rPr>
          <w:rFonts w:eastAsia="EUAlbertina-Bold-Identity-H" w:cs="Times New Roman"/>
          <w:color w:val="000000"/>
          <w:sz w:val="28"/>
          <w:szCs w:val="28"/>
          <w:lang w:eastAsia="lv-LV"/>
        </w:rPr>
        <w:t xml:space="preserve"> ES fondi 2014 – 2020 → projektu iesniegumu atlases: </w:t>
      </w:r>
      <w:hyperlink r:id="rId20" w:history="1">
        <w:r w:rsidR="00E627C0" w:rsidRPr="00DB28C3">
          <w:rPr>
            <w:rStyle w:val="Hyperlink"/>
            <w:rFonts w:eastAsia="EUAlbertina-Bold-Identity-H" w:cs="Times New Roman"/>
            <w:sz w:val="28"/>
            <w:szCs w:val="28"/>
            <w:lang w:eastAsia="lv-LV"/>
          </w:rPr>
          <w:t>https://www.cfla.gov.lv/lv/es-fondi-2014-2020/izsludinatas-atlases</w:t>
        </w:r>
      </w:hyperlink>
      <w:r w:rsidRPr="00DB28C3">
        <w:rPr>
          <w:rFonts w:eastAsia="EUAlbertina-Bold-Identity-H" w:cs="Times New Roman"/>
          <w:color w:val="000000"/>
          <w:sz w:val="28"/>
          <w:szCs w:val="28"/>
          <w:lang w:eastAsia="lv-LV"/>
        </w:rPr>
        <w:t xml:space="preserve">. </w:t>
      </w:r>
    </w:p>
    <w:p w14:paraId="1E2E1122" w14:textId="6F1ADF70" w:rsidR="009C0862" w:rsidRPr="00DB28C3" w:rsidRDefault="002B6111">
      <w:pPr>
        <w:pStyle w:val="1lmenis"/>
      </w:pPr>
      <w:bookmarkStart w:id="2" w:name="_Toc17468205"/>
      <w:r w:rsidRPr="00DB28C3">
        <w:lastRenderedPageBreak/>
        <w:t xml:space="preserve">1. </w:t>
      </w:r>
      <w:r w:rsidR="009C0862" w:rsidRPr="00DB28C3">
        <w:t>Kopsavilkums</w:t>
      </w:r>
      <w:bookmarkEnd w:id="2"/>
    </w:p>
    <w:p w14:paraId="6540DAE5" w14:textId="08DE1797" w:rsidR="00B26C73" w:rsidRDefault="00B26C73" w:rsidP="00B17E47">
      <w:pPr>
        <w:spacing w:before="120" w:after="120" w:line="276" w:lineRule="auto"/>
        <w:ind w:firstLine="720"/>
        <w:jc w:val="both"/>
        <w:rPr>
          <w:rFonts w:cs="Times New Roman"/>
          <w:sz w:val="28"/>
          <w:szCs w:val="28"/>
          <w:lang w:eastAsia="lv-LV"/>
        </w:rPr>
      </w:pPr>
      <w:r w:rsidRPr="00B26C73">
        <w:rPr>
          <w:rFonts w:cs="Times New Roman"/>
          <w:sz w:val="28"/>
          <w:szCs w:val="28"/>
          <w:lang w:eastAsia="lv-LV"/>
        </w:rPr>
        <w:t>Ziņojums ietver</w:t>
      </w:r>
      <w:bookmarkStart w:id="3" w:name="_GoBack"/>
      <w:bookmarkEnd w:id="3"/>
      <w:r w:rsidRPr="00B26C73">
        <w:rPr>
          <w:rFonts w:cs="Times New Roman"/>
          <w:sz w:val="28"/>
          <w:szCs w:val="28"/>
          <w:lang w:eastAsia="lv-LV"/>
        </w:rPr>
        <w:t xml:space="preserve"> apkopojošu informāciju par Kohēzijas politikas  un ES fondu investīciju aktualitā</w:t>
      </w:r>
      <w:r>
        <w:rPr>
          <w:rFonts w:cs="Times New Roman"/>
          <w:sz w:val="28"/>
          <w:szCs w:val="28"/>
          <w:lang w:eastAsia="lv-LV"/>
        </w:rPr>
        <w:t>tēm 2019. gada  pirmajā pusgadā</w:t>
      </w:r>
      <w:r>
        <w:rPr>
          <w:rStyle w:val="FootnoteReference"/>
          <w:rFonts w:cs="Times New Roman"/>
          <w:sz w:val="28"/>
          <w:szCs w:val="28"/>
          <w:lang w:eastAsia="lv-LV"/>
        </w:rPr>
        <w:footnoteReference w:id="3"/>
      </w:r>
      <w:r w:rsidRPr="00B26C73">
        <w:rPr>
          <w:rFonts w:cs="Times New Roman"/>
          <w:sz w:val="28"/>
          <w:szCs w:val="28"/>
          <w:lang w:eastAsia="lv-LV"/>
        </w:rPr>
        <w:t>, kā arī 2019. gada augusta</w:t>
      </w:r>
      <w:r w:rsidR="008855BD">
        <w:rPr>
          <w:rFonts w:cs="Times New Roman"/>
          <w:sz w:val="28"/>
          <w:szCs w:val="28"/>
          <w:lang w:eastAsia="lv-LV"/>
        </w:rPr>
        <w:t xml:space="preserve"> </w:t>
      </w:r>
      <w:r w:rsidRPr="00B26C73">
        <w:rPr>
          <w:rFonts w:cs="Times New Roman"/>
          <w:sz w:val="28"/>
          <w:szCs w:val="28"/>
          <w:lang w:eastAsia="lv-LV"/>
        </w:rPr>
        <w:t>operatīvo informāciju</w:t>
      </w:r>
      <w:r w:rsidR="008855BD">
        <w:rPr>
          <w:rStyle w:val="FootnoteReference"/>
          <w:rFonts w:cs="Times New Roman"/>
          <w:sz w:val="28"/>
          <w:szCs w:val="28"/>
          <w:lang w:eastAsia="lv-LV"/>
        </w:rPr>
        <w:footnoteReference w:id="4"/>
      </w:r>
      <w:r w:rsidR="008855BD" w:rsidRPr="00B26C73">
        <w:rPr>
          <w:rFonts w:cs="Times New Roman"/>
          <w:sz w:val="28"/>
          <w:szCs w:val="28"/>
          <w:lang w:eastAsia="lv-LV"/>
        </w:rPr>
        <w:t xml:space="preserve"> </w:t>
      </w:r>
      <w:r w:rsidRPr="00B26C73">
        <w:rPr>
          <w:rFonts w:cs="Times New Roman"/>
          <w:sz w:val="28"/>
          <w:szCs w:val="28"/>
          <w:lang w:eastAsia="lv-LV"/>
        </w:rPr>
        <w:t>par ES</w:t>
      </w:r>
      <w:r w:rsidR="008855BD">
        <w:rPr>
          <w:rFonts w:cs="Times New Roman"/>
          <w:sz w:val="28"/>
          <w:szCs w:val="28"/>
          <w:lang w:eastAsia="lv-LV"/>
        </w:rPr>
        <w:t xml:space="preserve"> fondu ieviešanas plānu izpildi</w:t>
      </w:r>
      <w:r w:rsidRPr="00B26C73">
        <w:rPr>
          <w:rFonts w:cs="Times New Roman"/>
          <w:sz w:val="28"/>
          <w:szCs w:val="28"/>
          <w:lang w:eastAsia="lv-LV"/>
        </w:rPr>
        <w:t>.</w:t>
      </w:r>
    </w:p>
    <w:p w14:paraId="103E7348" w14:textId="045252D8" w:rsidR="00B17E47" w:rsidRPr="00DB28C3" w:rsidRDefault="00DD2363" w:rsidP="00B17E47">
      <w:pPr>
        <w:spacing w:before="120" w:after="120" w:line="276" w:lineRule="auto"/>
        <w:ind w:firstLine="720"/>
        <w:jc w:val="both"/>
        <w:rPr>
          <w:rFonts w:cs="Times New Roman"/>
          <w:sz w:val="28"/>
          <w:szCs w:val="28"/>
          <w:lang w:eastAsia="lv-LV"/>
        </w:rPr>
      </w:pPr>
      <w:r w:rsidRPr="00DB28C3">
        <w:rPr>
          <w:rFonts w:cs="Times New Roman"/>
          <w:sz w:val="28"/>
          <w:szCs w:val="28"/>
          <w:lang w:eastAsia="lv-LV"/>
        </w:rPr>
        <w:t>Latvijas ekonomikas izaugsme 2019. gada pirmaj</w:t>
      </w:r>
      <w:r w:rsidR="008E26A0">
        <w:rPr>
          <w:rFonts w:cs="Times New Roman"/>
          <w:sz w:val="28"/>
          <w:szCs w:val="28"/>
          <w:lang w:eastAsia="lv-LV"/>
        </w:rPr>
        <w:t>ā ceturksnī palēninājās līdz 3 </w:t>
      </w:r>
      <w:r w:rsidRPr="00DB28C3">
        <w:rPr>
          <w:rFonts w:cs="Times New Roman"/>
          <w:sz w:val="28"/>
          <w:szCs w:val="28"/>
          <w:lang w:eastAsia="lv-LV"/>
        </w:rPr>
        <w:t>%, ko noteica mērenāki investīciju un būvniecības nozares pieauguma tempi, kā arī ražošanas apjomu kritums elektroenerģijas un gāzes apgādes nozarē.</w:t>
      </w:r>
    </w:p>
    <w:p w14:paraId="5A6676D4" w14:textId="32E99DCF" w:rsidR="00400217" w:rsidRPr="00B26C73" w:rsidRDefault="009119C5" w:rsidP="00B26C73">
      <w:pPr>
        <w:spacing w:before="120" w:after="120" w:line="276" w:lineRule="auto"/>
        <w:ind w:firstLine="720"/>
        <w:jc w:val="both"/>
        <w:rPr>
          <w:rFonts w:cs="Times New Roman"/>
          <w:sz w:val="28"/>
          <w:szCs w:val="28"/>
          <w:lang w:eastAsia="lv-LV"/>
        </w:rPr>
      </w:pPr>
      <w:r w:rsidRPr="00DB28C3">
        <w:rPr>
          <w:rFonts w:cs="Times New Roman"/>
          <w:sz w:val="28"/>
          <w:szCs w:val="28"/>
          <w:lang w:eastAsia="lv-LV"/>
        </w:rPr>
        <w:t xml:space="preserve">Kohēzijas politikas ES fondu 2014. – 2020. gada plānošanas periodā līdz 2019. gada </w:t>
      </w:r>
      <w:r w:rsidR="00D81B5A">
        <w:rPr>
          <w:rFonts w:cs="Times New Roman"/>
          <w:sz w:val="28"/>
          <w:szCs w:val="28"/>
          <w:lang w:eastAsia="lv-LV"/>
        </w:rPr>
        <w:t xml:space="preserve">23. </w:t>
      </w:r>
      <w:r w:rsidR="00943D3D">
        <w:rPr>
          <w:rFonts w:cs="Times New Roman"/>
          <w:sz w:val="28"/>
          <w:szCs w:val="28"/>
          <w:lang w:eastAsia="lv-LV"/>
        </w:rPr>
        <w:t>augusta</w:t>
      </w:r>
      <w:r w:rsidR="009C1CDD" w:rsidRPr="00DB28C3">
        <w:rPr>
          <w:rFonts w:cs="Times New Roman"/>
          <w:sz w:val="28"/>
          <w:szCs w:val="28"/>
          <w:lang w:eastAsia="lv-LV"/>
        </w:rPr>
        <w:t xml:space="preserve">m </w:t>
      </w:r>
      <w:r w:rsidRPr="00DB28C3">
        <w:rPr>
          <w:rFonts w:cs="Times New Roman"/>
          <w:sz w:val="28"/>
          <w:szCs w:val="28"/>
          <w:lang w:eastAsia="lv-LV"/>
        </w:rPr>
        <w:t xml:space="preserve">Latvija </w:t>
      </w:r>
      <w:r w:rsidRPr="00B26C73">
        <w:rPr>
          <w:rFonts w:cs="Times New Roman"/>
          <w:b/>
          <w:sz w:val="28"/>
          <w:szCs w:val="28"/>
          <w:lang w:eastAsia="lv-LV"/>
        </w:rPr>
        <w:t>valsts budžeta ieņēmum</w:t>
      </w:r>
      <w:r w:rsidR="00ED6DD9" w:rsidRPr="00B26C73">
        <w:rPr>
          <w:rFonts w:cs="Times New Roman"/>
          <w:b/>
          <w:sz w:val="28"/>
          <w:szCs w:val="28"/>
          <w:lang w:eastAsia="lv-LV"/>
        </w:rPr>
        <w:t>os</w:t>
      </w:r>
      <w:r w:rsidR="00ED6DD9" w:rsidRPr="00DB28C3">
        <w:rPr>
          <w:rFonts w:cs="Times New Roman"/>
          <w:sz w:val="28"/>
          <w:szCs w:val="28"/>
          <w:lang w:eastAsia="lv-LV"/>
        </w:rPr>
        <w:t xml:space="preserve"> no EK ir saņēmusi </w:t>
      </w:r>
      <w:r w:rsidRPr="00B26C73">
        <w:rPr>
          <w:rFonts w:cs="Times New Roman"/>
          <w:b/>
          <w:sz w:val="28"/>
          <w:szCs w:val="28"/>
          <w:lang w:eastAsia="lv-LV"/>
        </w:rPr>
        <w:t xml:space="preserve">gandrīz vienu miljardu </w:t>
      </w:r>
      <w:proofErr w:type="spellStart"/>
      <w:r w:rsidRPr="00B26C73">
        <w:rPr>
          <w:rFonts w:cs="Times New Roman"/>
          <w:b/>
          <w:sz w:val="28"/>
          <w:szCs w:val="28"/>
          <w:lang w:eastAsia="lv-LV"/>
        </w:rPr>
        <w:t>euro</w:t>
      </w:r>
      <w:proofErr w:type="spellEnd"/>
      <w:r w:rsidRPr="00B26C73">
        <w:rPr>
          <w:rFonts w:cs="Times New Roman"/>
          <w:sz w:val="28"/>
          <w:szCs w:val="28"/>
          <w:lang w:eastAsia="lv-LV"/>
        </w:rPr>
        <w:t>.</w:t>
      </w:r>
      <w:r w:rsidR="00ED6DD9" w:rsidRPr="00DB28C3">
        <w:rPr>
          <w:rFonts w:cs="Times New Roman"/>
          <w:sz w:val="28"/>
          <w:szCs w:val="28"/>
          <w:lang w:eastAsia="lv-LV"/>
        </w:rPr>
        <w:t xml:space="preserve"> Ieviešanā ir</w:t>
      </w:r>
      <w:r w:rsidRPr="00DB28C3">
        <w:rPr>
          <w:rFonts w:cs="Times New Roman"/>
          <w:sz w:val="28"/>
          <w:szCs w:val="28"/>
          <w:lang w:eastAsia="lv-LV"/>
        </w:rPr>
        <w:t xml:space="preserve"> </w:t>
      </w:r>
      <w:r w:rsidR="00B51420">
        <w:rPr>
          <w:rFonts w:cs="Times New Roman"/>
          <w:sz w:val="28"/>
          <w:szCs w:val="28"/>
          <w:lang w:eastAsia="lv-LV"/>
        </w:rPr>
        <w:t>1</w:t>
      </w:r>
      <w:r w:rsidR="00AF4A60">
        <w:rPr>
          <w:rFonts w:cs="Times New Roman"/>
          <w:sz w:val="28"/>
          <w:szCs w:val="28"/>
          <w:lang w:eastAsia="lv-LV"/>
        </w:rPr>
        <w:t xml:space="preserve"> </w:t>
      </w:r>
      <w:r w:rsidR="00B51420">
        <w:rPr>
          <w:rFonts w:cs="Times New Roman"/>
          <w:sz w:val="28"/>
          <w:szCs w:val="28"/>
          <w:lang w:eastAsia="lv-LV"/>
        </w:rPr>
        <w:t>572</w:t>
      </w:r>
      <w:r w:rsidR="000F79BB">
        <w:rPr>
          <w:rFonts w:cs="Times New Roman"/>
          <w:sz w:val="28"/>
          <w:szCs w:val="28"/>
          <w:lang w:eastAsia="lv-LV"/>
        </w:rPr>
        <w:t xml:space="preserve"> </w:t>
      </w:r>
      <w:r w:rsidRPr="00DB28C3">
        <w:rPr>
          <w:rFonts w:cs="Times New Roman"/>
          <w:sz w:val="28"/>
          <w:szCs w:val="28"/>
          <w:lang w:eastAsia="lv-LV"/>
        </w:rPr>
        <w:t>projekti par 3,</w:t>
      </w:r>
      <w:r w:rsidR="00B51420">
        <w:rPr>
          <w:rFonts w:cs="Times New Roman"/>
          <w:sz w:val="28"/>
          <w:szCs w:val="28"/>
          <w:lang w:eastAsia="lv-LV"/>
        </w:rPr>
        <w:t>7</w:t>
      </w:r>
      <w:r w:rsidRPr="00DB28C3">
        <w:rPr>
          <w:rFonts w:cs="Times New Roman"/>
          <w:sz w:val="28"/>
          <w:szCs w:val="28"/>
          <w:lang w:eastAsia="lv-LV"/>
        </w:rPr>
        <w:t xml:space="preserve"> mljrd. </w:t>
      </w:r>
      <w:proofErr w:type="spellStart"/>
      <w:r w:rsidRPr="00B26C73">
        <w:rPr>
          <w:rFonts w:cs="Times New Roman"/>
          <w:sz w:val="28"/>
          <w:szCs w:val="28"/>
          <w:lang w:eastAsia="lv-LV"/>
        </w:rPr>
        <w:t>euro</w:t>
      </w:r>
      <w:proofErr w:type="spellEnd"/>
      <w:r w:rsidRPr="00DB28C3">
        <w:rPr>
          <w:rFonts w:cs="Times New Roman"/>
          <w:sz w:val="28"/>
          <w:szCs w:val="28"/>
          <w:lang w:eastAsia="lv-LV"/>
        </w:rPr>
        <w:t xml:space="preserve"> ES fondu investīcijām dažādās </w:t>
      </w:r>
      <w:r w:rsidR="00BF080D" w:rsidRPr="00DB28C3">
        <w:rPr>
          <w:rFonts w:cs="Times New Roman"/>
          <w:sz w:val="28"/>
          <w:szCs w:val="28"/>
          <w:lang w:eastAsia="lv-LV"/>
        </w:rPr>
        <w:t xml:space="preserve">jomās, t.i. jau </w:t>
      </w:r>
      <w:r w:rsidR="00B51420">
        <w:rPr>
          <w:rFonts w:cs="Times New Roman"/>
          <w:sz w:val="28"/>
          <w:szCs w:val="28"/>
          <w:lang w:eastAsia="lv-LV"/>
        </w:rPr>
        <w:t>84,7</w:t>
      </w:r>
      <w:r w:rsidR="008E26A0">
        <w:rPr>
          <w:rFonts w:cs="Times New Roman"/>
          <w:sz w:val="28"/>
          <w:szCs w:val="28"/>
          <w:lang w:eastAsia="lv-LV"/>
        </w:rPr>
        <w:t> </w:t>
      </w:r>
      <w:r w:rsidR="00BF080D" w:rsidRPr="00DB28C3">
        <w:rPr>
          <w:rFonts w:cs="Times New Roman"/>
          <w:sz w:val="28"/>
          <w:szCs w:val="28"/>
          <w:lang w:eastAsia="lv-LV"/>
        </w:rPr>
        <w:t xml:space="preserve">% no kopējām 4,4 mljrd. </w:t>
      </w:r>
      <w:proofErr w:type="spellStart"/>
      <w:r w:rsidR="00BF080D" w:rsidRPr="00B26C73">
        <w:rPr>
          <w:rFonts w:cs="Times New Roman"/>
          <w:sz w:val="28"/>
          <w:szCs w:val="28"/>
          <w:lang w:eastAsia="lv-LV"/>
        </w:rPr>
        <w:t>euro</w:t>
      </w:r>
      <w:proofErr w:type="spellEnd"/>
      <w:r w:rsidR="00BF080D" w:rsidRPr="00DB28C3">
        <w:rPr>
          <w:rFonts w:cs="Times New Roman"/>
          <w:sz w:val="28"/>
          <w:szCs w:val="28"/>
          <w:lang w:eastAsia="lv-LV"/>
        </w:rPr>
        <w:t xml:space="preserve"> ES fondu investīcijām</w:t>
      </w:r>
      <w:r w:rsidRPr="00DB28C3">
        <w:rPr>
          <w:rFonts w:cs="Times New Roman"/>
          <w:sz w:val="28"/>
          <w:szCs w:val="28"/>
          <w:lang w:eastAsia="lv-LV"/>
        </w:rPr>
        <w:t xml:space="preserve">. </w:t>
      </w:r>
      <w:r w:rsidR="00F936A0" w:rsidRPr="00DB28C3">
        <w:rPr>
          <w:rFonts w:cs="Times New Roman"/>
          <w:sz w:val="28"/>
          <w:szCs w:val="28"/>
          <w:lang w:eastAsia="lv-LV"/>
        </w:rPr>
        <w:t xml:space="preserve">Līdz ar </w:t>
      </w:r>
      <w:r w:rsidRPr="00DB28C3">
        <w:rPr>
          <w:rFonts w:cs="Times New Roman"/>
          <w:sz w:val="28"/>
          <w:szCs w:val="28"/>
          <w:lang w:eastAsia="lv-LV"/>
        </w:rPr>
        <w:t xml:space="preserve">2019. gada </w:t>
      </w:r>
      <w:r w:rsidR="0079061C">
        <w:rPr>
          <w:rFonts w:cs="Times New Roman"/>
          <w:sz w:val="28"/>
          <w:szCs w:val="28"/>
          <w:lang w:eastAsia="lv-LV"/>
        </w:rPr>
        <w:t>28</w:t>
      </w:r>
      <w:r w:rsidRPr="00DB28C3">
        <w:rPr>
          <w:rFonts w:cs="Times New Roman"/>
          <w:sz w:val="28"/>
          <w:szCs w:val="28"/>
          <w:lang w:eastAsia="lv-LV"/>
        </w:rPr>
        <w:t xml:space="preserve">. jūnijā EK </w:t>
      </w:r>
      <w:r w:rsidR="00EA4393" w:rsidRPr="00DB28C3">
        <w:rPr>
          <w:rFonts w:cs="Times New Roman"/>
          <w:sz w:val="28"/>
          <w:szCs w:val="28"/>
          <w:lang w:eastAsia="lv-LV"/>
        </w:rPr>
        <w:t>ie</w:t>
      </w:r>
      <w:r w:rsidR="00F936A0" w:rsidRPr="00DB28C3">
        <w:rPr>
          <w:rFonts w:cs="Times New Roman"/>
          <w:sz w:val="28"/>
          <w:szCs w:val="28"/>
          <w:lang w:eastAsia="lv-LV"/>
        </w:rPr>
        <w:t>s</w:t>
      </w:r>
      <w:r w:rsidR="00EA4393" w:rsidRPr="00DB28C3">
        <w:rPr>
          <w:rFonts w:cs="Times New Roman"/>
          <w:sz w:val="28"/>
          <w:szCs w:val="28"/>
          <w:lang w:eastAsia="lv-LV"/>
        </w:rPr>
        <w:t>n</w:t>
      </w:r>
      <w:r w:rsidR="00F936A0" w:rsidRPr="00DB28C3">
        <w:rPr>
          <w:rFonts w:cs="Times New Roman"/>
          <w:sz w:val="28"/>
          <w:szCs w:val="28"/>
          <w:lang w:eastAsia="lv-LV"/>
        </w:rPr>
        <w:t xml:space="preserve">iegto </w:t>
      </w:r>
      <w:r w:rsidRPr="00DB28C3">
        <w:rPr>
          <w:rFonts w:cs="Times New Roman"/>
          <w:sz w:val="28"/>
          <w:szCs w:val="28"/>
          <w:lang w:eastAsia="lv-LV"/>
        </w:rPr>
        <w:t>gada ziņojumu par darbības programmas “Izaugsme un nodarbinātība</w:t>
      </w:r>
      <w:r w:rsidR="00C5272A">
        <w:rPr>
          <w:rFonts w:cs="Times New Roman"/>
          <w:sz w:val="28"/>
          <w:szCs w:val="28"/>
          <w:lang w:eastAsia="lv-LV"/>
        </w:rPr>
        <w:t>”</w:t>
      </w:r>
      <w:r w:rsidRPr="00DB28C3">
        <w:rPr>
          <w:rFonts w:cs="Times New Roman"/>
          <w:sz w:val="28"/>
          <w:szCs w:val="28"/>
          <w:lang w:eastAsia="lv-LV"/>
        </w:rPr>
        <w:t xml:space="preserve"> ieviešanu</w:t>
      </w:r>
      <w:r w:rsidR="00BF080D" w:rsidRPr="00DB28C3">
        <w:rPr>
          <w:rFonts w:cs="Times New Roman"/>
          <w:sz w:val="28"/>
          <w:szCs w:val="28"/>
          <w:lang w:eastAsia="lv-LV"/>
        </w:rPr>
        <w:t xml:space="preserve"> 2018. </w:t>
      </w:r>
      <w:r w:rsidRPr="00DB28C3">
        <w:rPr>
          <w:rFonts w:cs="Times New Roman"/>
          <w:sz w:val="28"/>
          <w:szCs w:val="28"/>
          <w:lang w:eastAsia="lv-LV"/>
        </w:rPr>
        <w:t xml:space="preserve">gadā, EK </w:t>
      </w:r>
      <w:r w:rsidR="00F936A0" w:rsidRPr="00DB28C3">
        <w:rPr>
          <w:rFonts w:cs="Times New Roman"/>
          <w:sz w:val="28"/>
          <w:szCs w:val="28"/>
          <w:lang w:eastAsia="lv-LV"/>
        </w:rPr>
        <w:t xml:space="preserve">ir informēta </w:t>
      </w:r>
      <w:r w:rsidR="003A3B9E">
        <w:rPr>
          <w:rFonts w:cs="Times New Roman"/>
          <w:sz w:val="28"/>
          <w:szCs w:val="28"/>
          <w:lang w:eastAsia="lv-LV"/>
        </w:rPr>
        <w:t xml:space="preserve">par </w:t>
      </w:r>
      <w:r w:rsidR="00F936A0" w:rsidRPr="00DB28C3">
        <w:rPr>
          <w:rFonts w:cs="Times New Roman"/>
          <w:sz w:val="28"/>
          <w:szCs w:val="28"/>
          <w:lang w:eastAsia="lv-LV"/>
        </w:rPr>
        <w:t xml:space="preserve">Latvijai </w:t>
      </w:r>
      <w:r w:rsidRPr="00DB28C3">
        <w:rPr>
          <w:rFonts w:cs="Times New Roman"/>
          <w:sz w:val="28"/>
          <w:szCs w:val="28"/>
          <w:lang w:eastAsia="lv-LV"/>
        </w:rPr>
        <w:t xml:space="preserve">noteikto priekšnosacījumu </w:t>
      </w:r>
      <w:r w:rsidR="00BF080D" w:rsidRPr="00B26C73">
        <w:rPr>
          <w:rFonts w:cs="Times New Roman"/>
          <w:b/>
          <w:sz w:val="28"/>
          <w:szCs w:val="28"/>
          <w:lang w:eastAsia="lv-LV"/>
        </w:rPr>
        <w:t>sekmīgu izpildi 6 </w:t>
      </w:r>
      <w:r w:rsidRPr="00B26C73">
        <w:rPr>
          <w:rFonts w:cs="Times New Roman"/>
          <w:b/>
          <w:sz w:val="28"/>
          <w:szCs w:val="28"/>
          <w:lang w:eastAsia="lv-LV"/>
        </w:rPr>
        <w:t>% snieguma rezerves finansējuma izmantošanai</w:t>
      </w:r>
      <w:r w:rsidR="00ED6DD9" w:rsidRPr="00B26C73">
        <w:rPr>
          <w:rFonts w:cs="Times New Roman"/>
          <w:b/>
          <w:sz w:val="28"/>
          <w:szCs w:val="28"/>
          <w:lang w:eastAsia="lv-LV"/>
        </w:rPr>
        <w:t>.</w:t>
      </w:r>
      <w:r w:rsidR="00BF080D" w:rsidRPr="00DB28C3">
        <w:rPr>
          <w:rFonts w:cs="Times New Roman"/>
          <w:sz w:val="28"/>
          <w:szCs w:val="28"/>
          <w:lang w:eastAsia="lv-LV"/>
        </w:rPr>
        <w:t xml:space="preserve"> </w:t>
      </w:r>
      <w:r w:rsidR="00CB3BC8">
        <w:rPr>
          <w:rFonts w:cs="Times New Roman"/>
          <w:sz w:val="28"/>
          <w:szCs w:val="28"/>
          <w:lang w:eastAsia="lv-LV"/>
        </w:rPr>
        <w:t xml:space="preserve">Ar 2019. gada 18. augusta </w:t>
      </w:r>
      <w:r w:rsidR="00CB3BC8" w:rsidRPr="007E121F">
        <w:rPr>
          <w:rFonts w:cs="Times New Roman"/>
          <w:sz w:val="28"/>
          <w:szCs w:val="28"/>
          <w:lang w:eastAsia="lv-LV"/>
        </w:rPr>
        <w:t xml:space="preserve">lēmumu EK ir devusi atļauju Latvijai izmantot 6 % snieguma rezerves finansējumu. </w:t>
      </w:r>
      <w:r w:rsidR="007E121F" w:rsidRPr="00B26C73">
        <w:rPr>
          <w:rFonts w:cs="Times New Roman"/>
          <w:sz w:val="28"/>
          <w:szCs w:val="28"/>
          <w:lang w:eastAsia="lv-LV"/>
        </w:rPr>
        <w:t xml:space="preserve">Pašlaik FM apkopo nozaru ministriju priekšlikumus snieguma rezerves izmantošanai un gatavo visaptverošu ziņojumu izskatīšanai valdībai  turpmāku lēmumu pieņemšanai. </w:t>
      </w:r>
      <w:r w:rsidR="00BF080D" w:rsidRPr="007E121F">
        <w:rPr>
          <w:rFonts w:cs="Times New Roman"/>
          <w:sz w:val="28"/>
          <w:szCs w:val="28"/>
          <w:lang w:eastAsia="lv-LV"/>
        </w:rPr>
        <w:t>2018. </w:t>
      </w:r>
      <w:r w:rsidRPr="007E121F">
        <w:rPr>
          <w:rFonts w:cs="Times New Roman"/>
          <w:sz w:val="28"/>
          <w:szCs w:val="28"/>
          <w:lang w:eastAsia="lv-LV"/>
        </w:rPr>
        <w:t xml:space="preserve">gada nogalē sasniegtā ieviešanas dinamika turpinās arī 2019. </w:t>
      </w:r>
      <w:r w:rsidR="00BF080D" w:rsidRPr="007E121F">
        <w:rPr>
          <w:rFonts w:cs="Times New Roman"/>
          <w:sz w:val="28"/>
          <w:szCs w:val="28"/>
          <w:lang w:eastAsia="lv-LV"/>
        </w:rPr>
        <w:t xml:space="preserve">gada pirmajā pusgadā – līdz </w:t>
      </w:r>
      <w:r w:rsidR="00FA4DE1" w:rsidRPr="007E121F">
        <w:rPr>
          <w:rFonts w:cs="Times New Roman"/>
          <w:sz w:val="28"/>
          <w:szCs w:val="28"/>
          <w:lang w:eastAsia="lv-LV"/>
        </w:rPr>
        <w:t>1. augustam</w:t>
      </w:r>
      <w:r w:rsidRPr="007E121F">
        <w:rPr>
          <w:rFonts w:cs="Times New Roman"/>
          <w:sz w:val="28"/>
          <w:szCs w:val="28"/>
          <w:lang w:eastAsia="lv-LV"/>
        </w:rPr>
        <w:t xml:space="preserve"> valsts budžeta izdevumi ES</w:t>
      </w:r>
      <w:r w:rsidRPr="00DB28C3">
        <w:rPr>
          <w:rFonts w:cs="Times New Roman"/>
          <w:sz w:val="28"/>
          <w:szCs w:val="28"/>
          <w:lang w:eastAsia="lv-LV"/>
        </w:rPr>
        <w:t xml:space="preserve"> fondu investīcijām sasni</w:t>
      </w:r>
      <w:r w:rsidR="00BF080D" w:rsidRPr="00DB28C3">
        <w:rPr>
          <w:rFonts w:cs="Times New Roman"/>
          <w:sz w:val="28"/>
          <w:szCs w:val="28"/>
          <w:lang w:eastAsia="lv-LV"/>
        </w:rPr>
        <w:t xml:space="preserve">edza </w:t>
      </w:r>
      <w:r w:rsidR="0026363B" w:rsidRPr="00DB28C3">
        <w:rPr>
          <w:rFonts w:cs="Times New Roman"/>
          <w:sz w:val="28"/>
          <w:szCs w:val="28"/>
          <w:lang w:eastAsia="lv-LV"/>
        </w:rPr>
        <w:t>3</w:t>
      </w:r>
      <w:r w:rsidR="0026363B">
        <w:rPr>
          <w:rFonts w:cs="Times New Roman"/>
          <w:sz w:val="28"/>
          <w:szCs w:val="28"/>
          <w:lang w:eastAsia="lv-LV"/>
        </w:rPr>
        <w:t>88</w:t>
      </w:r>
      <w:r w:rsidR="0026363B" w:rsidRPr="00DB28C3">
        <w:rPr>
          <w:rFonts w:cs="Times New Roman"/>
          <w:sz w:val="28"/>
          <w:szCs w:val="28"/>
          <w:lang w:eastAsia="lv-LV"/>
        </w:rPr>
        <w:t> </w:t>
      </w:r>
      <w:r w:rsidR="00BF080D" w:rsidRPr="00DB28C3">
        <w:rPr>
          <w:rFonts w:cs="Times New Roman"/>
          <w:sz w:val="28"/>
          <w:szCs w:val="28"/>
          <w:lang w:eastAsia="lv-LV"/>
        </w:rPr>
        <w:t>milj. </w:t>
      </w:r>
      <w:proofErr w:type="spellStart"/>
      <w:r w:rsidR="00ED6DD9" w:rsidRPr="00B26C73">
        <w:rPr>
          <w:rFonts w:cs="Times New Roman"/>
          <w:sz w:val="28"/>
          <w:szCs w:val="28"/>
          <w:lang w:eastAsia="lv-LV"/>
        </w:rPr>
        <w:t>euro</w:t>
      </w:r>
      <w:proofErr w:type="spellEnd"/>
      <w:r w:rsidR="00ED6DD9" w:rsidRPr="00DB28C3">
        <w:rPr>
          <w:rFonts w:cs="Times New Roman"/>
          <w:sz w:val="28"/>
          <w:szCs w:val="28"/>
          <w:lang w:eastAsia="lv-LV"/>
        </w:rPr>
        <w:t>, kas ir par</w:t>
      </w:r>
      <w:r w:rsidRPr="00DB28C3">
        <w:rPr>
          <w:rFonts w:cs="Times New Roman"/>
          <w:sz w:val="28"/>
          <w:szCs w:val="28"/>
          <w:lang w:eastAsia="lv-LV"/>
        </w:rPr>
        <w:t xml:space="preserve"> </w:t>
      </w:r>
      <w:r w:rsidR="0026363B">
        <w:rPr>
          <w:rFonts w:cs="Times New Roman"/>
          <w:sz w:val="28"/>
          <w:szCs w:val="28"/>
          <w:lang w:eastAsia="lv-LV"/>
        </w:rPr>
        <w:t>19 </w:t>
      </w:r>
      <w:r w:rsidRPr="00DB28C3">
        <w:rPr>
          <w:rFonts w:cs="Times New Roman"/>
          <w:sz w:val="28"/>
          <w:szCs w:val="28"/>
          <w:lang w:eastAsia="lv-LV"/>
        </w:rPr>
        <w:t>%</w:t>
      </w:r>
      <w:r w:rsidR="00BF080D" w:rsidRPr="00DB28C3">
        <w:rPr>
          <w:rFonts w:cs="Times New Roman"/>
          <w:sz w:val="28"/>
          <w:szCs w:val="28"/>
          <w:lang w:eastAsia="lv-LV"/>
        </w:rPr>
        <w:t xml:space="preserve"> vairāk </w:t>
      </w:r>
      <w:r w:rsidR="003A3B9E">
        <w:rPr>
          <w:rFonts w:cs="Times New Roman"/>
          <w:sz w:val="28"/>
          <w:szCs w:val="28"/>
          <w:lang w:eastAsia="lv-LV"/>
        </w:rPr>
        <w:t xml:space="preserve">kā </w:t>
      </w:r>
      <w:r w:rsidR="00BF080D" w:rsidRPr="00DB28C3">
        <w:rPr>
          <w:rFonts w:cs="Times New Roman"/>
          <w:sz w:val="28"/>
          <w:szCs w:val="28"/>
          <w:lang w:eastAsia="lv-LV"/>
        </w:rPr>
        <w:t>tādā pašā periodā 2018. </w:t>
      </w:r>
      <w:r w:rsidRPr="00DB28C3">
        <w:rPr>
          <w:rFonts w:cs="Times New Roman"/>
          <w:sz w:val="28"/>
          <w:szCs w:val="28"/>
          <w:lang w:eastAsia="lv-LV"/>
        </w:rPr>
        <w:t>gadā.</w:t>
      </w:r>
      <w:r w:rsidR="00D31409" w:rsidRPr="00B26C73">
        <w:rPr>
          <w:rFonts w:cs="Times New Roman"/>
          <w:sz w:val="28"/>
          <w:szCs w:val="28"/>
          <w:lang w:eastAsia="lv-LV"/>
        </w:rPr>
        <w:t xml:space="preserve"> </w:t>
      </w:r>
    </w:p>
    <w:p w14:paraId="636F908B" w14:textId="77777777" w:rsidR="0064120C" w:rsidRPr="00DB28C3" w:rsidRDefault="00796B39" w:rsidP="0064120C">
      <w:pPr>
        <w:spacing w:before="120" w:after="120" w:line="276" w:lineRule="auto"/>
        <w:ind w:firstLine="720"/>
        <w:jc w:val="both"/>
        <w:rPr>
          <w:sz w:val="28"/>
          <w:szCs w:val="28"/>
        </w:rPr>
      </w:pPr>
      <w:r w:rsidRPr="00DB28C3">
        <w:rPr>
          <w:sz w:val="28"/>
          <w:szCs w:val="28"/>
        </w:rPr>
        <w:t>Paralēli notiek aktīvs darb</w:t>
      </w:r>
      <w:r w:rsidR="00B51852" w:rsidRPr="00DB28C3">
        <w:rPr>
          <w:sz w:val="28"/>
          <w:szCs w:val="28"/>
        </w:rPr>
        <w:t>s</w:t>
      </w:r>
      <w:r w:rsidRPr="00DB28C3">
        <w:rPr>
          <w:sz w:val="28"/>
          <w:szCs w:val="28"/>
        </w:rPr>
        <w:t xml:space="preserve"> efektīvā</w:t>
      </w:r>
      <w:r w:rsidR="00B51852" w:rsidRPr="00DB28C3">
        <w:rPr>
          <w:sz w:val="28"/>
          <w:szCs w:val="28"/>
        </w:rPr>
        <w:t xml:space="preserve"> partn</w:t>
      </w:r>
      <w:r w:rsidRPr="00DB28C3">
        <w:rPr>
          <w:sz w:val="28"/>
          <w:szCs w:val="28"/>
        </w:rPr>
        <w:t>erībā</w:t>
      </w:r>
      <w:r w:rsidR="00B51852" w:rsidRPr="00DB28C3">
        <w:rPr>
          <w:sz w:val="28"/>
          <w:szCs w:val="28"/>
        </w:rPr>
        <w:t xml:space="preserve"> nacionālā līmenī</w:t>
      </w:r>
      <w:r w:rsidRPr="00DB28C3">
        <w:rPr>
          <w:sz w:val="28"/>
          <w:szCs w:val="28"/>
        </w:rPr>
        <w:t>, gatavojoties</w:t>
      </w:r>
      <w:r w:rsidR="0001658A" w:rsidRPr="00DB28C3">
        <w:rPr>
          <w:sz w:val="28"/>
          <w:szCs w:val="28"/>
        </w:rPr>
        <w:t xml:space="preserve"> 2021. - 2027. gada </w:t>
      </w:r>
      <w:r w:rsidRPr="00DB28C3">
        <w:rPr>
          <w:sz w:val="28"/>
          <w:szCs w:val="28"/>
        </w:rPr>
        <w:t xml:space="preserve">plānošanas </w:t>
      </w:r>
      <w:r w:rsidR="0001658A" w:rsidRPr="00DB28C3">
        <w:rPr>
          <w:sz w:val="28"/>
          <w:szCs w:val="28"/>
        </w:rPr>
        <w:t xml:space="preserve">periodam. </w:t>
      </w:r>
      <w:r w:rsidRPr="00DB28C3">
        <w:rPr>
          <w:sz w:val="28"/>
          <w:szCs w:val="28"/>
        </w:rPr>
        <w:t xml:space="preserve">Svarīga ir savlaicīga </w:t>
      </w:r>
      <w:r w:rsidR="0001658A" w:rsidRPr="00DB28C3">
        <w:rPr>
          <w:sz w:val="28"/>
          <w:szCs w:val="28"/>
        </w:rPr>
        <w:t xml:space="preserve">Nacionālā attīstības plāna 2021. - 2027. gadam izstrāde, </w:t>
      </w:r>
      <w:r w:rsidRPr="00DB28C3">
        <w:rPr>
          <w:sz w:val="28"/>
          <w:szCs w:val="28"/>
        </w:rPr>
        <w:t>jo</w:t>
      </w:r>
      <w:r w:rsidR="0001658A" w:rsidRPr="00DB28C3">
        <w:rPr>
          <w:sz w:val="28"/>
          <w:szCs w:val="28"/>
        </w:rPr>
        <w:t xml:space="preserve"> tas būs pamats Latvijas </w:t>
      </w:r>
      <w:proofErr w:type="spellStart"/>
      <w:r w:rsidR="0001658A" w:rsidRPr="00DB28C3">
        <w:rPr>
          <w:sz w:val="28"/>
          <w:szCs w:val="28"/>
        </w:rPr>
        <w:t>nostājai</w:t>
      </w:r>
      <w:proofErr w:type="spellEnd"/>
      <w:r w:rsidR="0001658A" w:rsidRPr="00DB28C3">
        <w:rPr>
          <w:sz w:val="28"/>
          <w:szCs w:val="28"/>
        </w:rPr>
        <w:t xml:space="preserve"> sarunās ar EK par Latvijas investīciju saturu ES fondu darbības programmā.</w:t>
      </w:r>
    </w:p>
    <w:p w14:paraId="7DB548EC" w14:textId="3A2E822F" w:rsidR="00BF080D" w:rsidRPr="00DB28C3" w:rsidRDefault="00BE671E" w:rsidP="0064120C">
      <w:pPr>
        <w:spacing w:before="120" w:after="120" w:line="276" w:lineRule="auto"/>
        <w:ind w:firstLine="720"/>
        <w:jc w:val="both"/>
        <w:rPr>
          <w:sz w:val="28"/>
          <w:szCs w:val="28"/>
        </w:rPr>
        <w:sectPr w:rsidR="00BF080D" w:rsidRPr="00DB28C3" w:rsidSect="00364730">
          <w:headerReference w:type="default" r:id="rId21"/>
          <w:footerReference w:type="default" r:id="rId22"/>
          <w:pgSz w:w="11906" w:h="16838" w:code="9"/>
          <w:pgMar w:top="1418" w:right="1134" w:bottom="1134" w:left="1701" w:header="709" w:footer="709" w:gutter="0"/>
          <w:cols w:space="708"/>
          <w:titlePg/>
          <w:docGrid w:linePitch="360"/>
        </w:sectPr>
      </w:pPr>
      <w:r w:rsidRPr="00DB28C3">
        <w:rPr>
          <w:bCs/>
          <w:sz w:val="28"/>
          <w:szCs w:val="28"/>
        </w:rPr>
        <w:t xml:space="preserve">EEZ/Norvēģijas finanšu instrumentu </w:t>
      </w:r>
      <w:r w:rsidR="00074F74" w:rsidRPr="00DB28C3">
        <w:rPr>
          <w:bCs/>
          <w:sz w:val="28"/>
          <w:szCs w:val="28"/>
        </w:rPr>
        <w:t xml:space="preserve">85,4 </w:t>
      </w:r>
      <w:r w:rsidR="00074F74" w:rsidRPr="00DB28C3">
        <w:rPr>
          <w:sz w:val="28"/>
          <w:szCs w:val="28"/>
        </w:rPr>
        <w:t xml:space="preserve">milj. </w:t>
      </w:r>
      <w:proofErr w:type="spellStart"/>
      <w:r w:rsidR="00074F74" w:rsidRPr="00DB28C3">
        <w:rPr>
          <w:bCs/>
          <w:i/>
          <w:sz w:val="28"/>
          <w:szCs w:val="28"/>
        </w:rPr>
        <w:t>euro</w:t>
      </w:r>
      <w:proofErr w:type="spellEnd"/>
      <w:r w:rsidR="00074F74" w:rsidRPr="00DB28C3">
        <w:rPr>
          <w:bCs/>
          <w:sz w:val="28"/>
          <w:szCs w:val="28"/>
        </w:rPr>
        <w:t xml:space="preserve"> </w:t>
      </w:r>
      <w:r w:rsidR="00074F74" w:rsidRPr="00DB28C3">
        <w:rPr>
          <w:sz w:val="28"/>
          <w:szCs w:val="28"/>
        </w:rPr>
        <w:t>atbalsta</w:t>
      </w:r>
      <w:r w:rsidR="00C306D7" w:rsidRPr="00DB28C3">
        <w:rPr>
          <w:bCs/>
          <w:sz w:val="28"/>
          <w:szCs w:val="28"/>
        </w:rPr>
        <w:t xml:space="preserve"> piesaistē</w:t>
      </w:r>
      <w:r w:rsidR="00074F74" w:rsidRPr="00DB28C3">
        <w:rPr>
          <w:sz w:val="28"/>
          <w:szCs w:val="28"/>
        </w:rPr>
        <w:t xml:space="preserve"> sešām programmām</w:t>
      </w:r>
      <w:r w:rsidR="00EA4393" w:rsidRPr="00DB28C3">
        <w:rPr>
          <w:bCs/>
          <w:sz w:val="28"/>
          <w:szCs w:val="28"/>
        </w:rPr>
        <w:t>, vienojot</w:t>
      </w:r>
      <w:r w:rsidR="00C306D7" w:rsidRPr="00DB28C3">
        <w:rPr>
          <w:bCs/>
          <w:sz w:val="28"/>
          <w:szCs w:val="28"/>
        </w:rPr>
        <w:t>i</w:t>
      </w:r>
      <w:r w:rsidR="00EA4393" w:rsidRPr="00DB28C3">
        <w:rPr>
          <w:bCs/>
          <w:sz w:val="28"/>
          <w:szCs w:val="28"/>
        </w:rPr>
        <w:t>e</w:t>
      </w:r>
      <w:r w:rsidR="00C306D7" w:rsidRPr="00DB28C3">
        <w:rPr>
          <w:bCs/>
          <w:sz w:val="28"/>
          <w:szCs w:val="28"/>
        </w:rPr>
        <w:t xml:space="preserve">s ar </w:t>
      </w:r>
      <w:proofErr w:type="spellStart"/>
      <w:r w:rsidR="00C306D7" w:rsidRPr="00DB28C3">
        <w:rPr>
          <w:bCs/>
          <w:sz w:val="28"/>
          <w:szCs w:val="28"/>
        </w:rPr>
        <w:t>donorvalstīm</w:t>
      </w:r>
      <w:proofErr w:type="spellEnd"/>
      <w:r w:rsidR="00C306D7" w:rsidRPr="00DB28C3">
        <w:rPr>
          <w:bCs/>
          <w:sz w:val="28"/>
          <w:szCs w:val="28"/>
        </w:rPr>
        <w:t xml:space="preserve"> par </w:t>
      </w:r>
      <w:r w:rsidR="00074F74" w:rsidRPr="00DB28C3">
        <w:rPr>
          <w:sz w:val="28"/>
          <w:szCs w:val="28"/>
        </w:rPr>
        <w:t xml:space="preserve">investīciju </w:t>
      </w:r>
      <w:r w:rsidR="008E26A0">
        <w:rPr>
          <w:bCs/>
          <w:sz w:val="28"/>
          <w:szCs w:val="28"/>
        </w:rPr>
        <w:t>saturu, 2019. </w:t>
      </w:r>
      <w:r w:rsidR="00C306D7" w:rsidRPr="00DB28C3">
        <w:rPr>
          <w:bCs/>
          <w:sz w:val="28"/>
          <w:szCs w:val="28"/>
        </w:rPr>
        <w:t xml:space="preserve">gadā ir </w:t>
      </w:r>
      <w:r w:rsidR="001E430D" w:rsidRPr="00DB28C3">
        <w:rPr>
          <w:bCs/>
          <w:sz w:val="28"/>
          <w:szCs w:val="28"/>
        </w:rPr>
        <w:t xml:space="preserve">sasniegts </w:t>
      </w:r>
      <w:r w:rsidR="00C306D7" w:rsidRPr="00DB28C3">
        <w:rPr>
          <w:bCs/>
          <w:sz w:val="28"/>
          <w:szCs w:val="28"/>
        </w:rPr>
        <w:t xml:space="preserve">nozīmīgs progress. </w:t>
      </w:r>
      <w:r w:rsidRPr="00DB28C3">
        <w:rPr>
          <w:rFonts w:eastAsia="Calibri"/>
          <w:bCs/>
          <w:sz w:val="28"/>
          <w:szCs w:val="28"/>
        </w:rPr>
        <w:t xml:space="preserve">Ar </w:t>
      </w:r>
      <w:proofErr w:type="spellStart"/>
      <w:r w:rsidRPr="00DB28C3">
        <w:rPr>
          <w:rFonts w:eastAsia="Calibri"/>
          <w:bCs/>
          <w:sz w:val="28"/>
          <w:szCs w:val="28"/>
        </w:rPr>
        <w:t>donorvalstīm</w:t>
      </w:r>
      <w:proofErr w:type="spellEnd"/>
      <w:r w:rsidRPr="00DB28C3">
        <w:rPr>
          <w:rFonts w:eastAsia="Calibri"/>
          <w:sz w:val="28"/>
          <w:szCs w:val="28"/>
        </w:rPr>
        <w:t xml:space="preserve"> ir parakstīti pirmie div</w:t>
      </w:r>
      <w:r w:rsidR="003A3B9E">
        <w:rPr>
          <w:rFonts w:eastAsia="Calibri"/>
          <w:sz w:val="28"/>
          <w:szCs w:val="28"/>
        </w:rPr>
        <w:t>i</w:t>
      </w:r>
      <w:r w:rsidRPr="00DB28C3">
        <w:rPr>
          <w:rFonts w:eastAsia="Calibri"/>
          <w:sz w:val="28"/>
          <w:szCs w:val="28"/>
        </w:rPr>
        <w:t xml:space="preserve"> līgumi </w:t>
      </w:r>
      <w:r w:rsidR="006E7EBE" w:rsidRPr="00DB28C3">
        <w:rPr>
          <w:rFonts w:eastAsia="Calibri"/>
          <w:sz w:val="28"/>
          <w:szCs w:val="28"/>
        </w:rPr>
        <w:t xml:space="preserve">programmām </w:t>
      </w:r>
      <w:r w:rsidRPr="00DB28C3">
        <w:rPr>
          <w:rFonts w:eastAsia="Calibri"/>
          <w:sz w:val="28"/>
          <w:szCs w:val="28"/>
        </w:rPr>
        <w:t>“Korekcijas dienesti” un “Klimata pārmaiņu mazināšana, pielāgošanās tām un vide”</w:t>
      </w:r>
      <w:r w:rsidR="006E7EBE" w:rsidRPr="00DB28C3">
        <w:rPr>
          <w:rFonts w:eastAsia="Calibri"/>
          <w:sz w:val="28"/>
          <w:szCs w:val="28"/>
        </w:rPr>
        <w:t>.</w:t>
      </w:r>
      <w:r w:rsidR="00074F74" w:rsidRPr="00DB28C3">
        <w:rPr>
          <w:rFonts w:eastAsia="Calibri"/>
          <w:sz w:val="28"/>
          <w:szCs w:val="28"/>
        </w:rPr>
        <w:t xml:space="preserve"> </w:t>
      </w:r>
      <w:r w:rsidR="005A31DC" w:rsidRPr="00DB28C3">
        <w:rPr>
          <w:rFonts w:eastAsia="Calibri"/>
          <w:sz w:val="28"/>
          <w:szCs w:val="28"/>
        </w:rPr>
        <w:t xml:space="preserve">Korekcijas dienestu programmā </w:t>
      </w:r>
      <w:r w:rsidR="00B53504" w:rsidRPr="00DB28C3">
        <w:rPr>
          <w:rFonts w:eastAsia="Calibri"/>
          <w:sz w:val="28"/>
          <w:szCs w:val="28"/>
        </w:rPr>
        <w:t xml:space="preserve">ir </w:t>
      </w:r>
      <w:r w:rsidR="005A31DC" w:rsidRPr="00DB28C3">
        <w:rPr>
          <w:rFonts w:eastAsia="Calibri"/>
          <w:sz w:val="28"/>
          <w:szCs w:val="28"/>
        </w:rPr>
        <w:t xml:space="preserve">uzsākta </w:t>
      </w:r>
      <w:r w:rsidR="00B53504" w:rsidRPr="00DB28C3">
        <w:rPr>
          <w:rFonts w:eastAsia="Calibri"/>
          <w:sz w:val="28"/>
          <w:szCs w:val="28"/>
        </w:rPr>
        <w:t xml:space="preserve">vienīgā plānotā projekta "Mācību centra infrastruktūras un apmācībai </w:t>
      </w:r>
      <w:r w:rsidR="00B53504" w:rsidRPr="00DB28C3">
        <w:rPr>
          <w:rFonts w:eastAsia="Calibri"/>
          <w:sz w:val="28"/>
          <w:szCs w:val="28"/>
        </w:rPr>
        <w:lastRenderedPageBreak/>
        <w:t xml:space="preserve">paredzēta ieslodzījuma vietas </w:t>
      </w:r>
      <w:proofErr w:type="spellStart"/>
      <w:r w:rsidR="00B53504" w:rsidRPr="00DB28C3">
        <w:rPr>
          <w:rFonts w:eastAsia="Calibri"/>
          <w:sz w:val="28"/>
          <w:szCs w:val="28"/>
        </w:rPr>
        <w:t>paraugkorpusa</w:t>
      </w:r>
      <w:proofErr w:type="spellEnd"/>
      <w:r w:rsidR="00B53504" w:rsidRPr="00DB28C3">
        <w:rPr>
          <w:rFonts w:eastAsia="Calibri"/>
          <w:sz w:val="28"/>
          <w:szCs w:val="28"/>
        </w:rPr>
        <w:t xml:space="preserve"> izveide Olaines cietuma teritorijā"</w:t>
      </w:r>
      <w:r w:rsidR="005A31DC" w:rsidRPr="00DB28C3">
        <w:rPr>
          <w:rFonts w:eastAsia="Calibri"/>
          <w:sz w:val="28"/>
          <w:szCs w:val="28"/>
        </w:rPr>
        <w:t xml:space="preserve"> īstenošana. </w:t>
      </w:r>
      <w:r w:rsidR="00074F74" w:rsidRPr="00DB28C3">
        <w:rPr>
          <w:rFonts w:eastAsia="Calibri"/>
          <w:sz w:val="28"/>
          <w:szCs w:val="28"/>
        </w:rPr>
        <w:t xml:space="preserve">Pārējās programmās </w:t>
      </w:r>
      <w:r w:rsidR="005A31DC" w:rsidRPr="00DB28C3">
        <w:rPr>
          <w:rFonts w:eastAsia="Calibri"/>
          <w:sz w:val="28"/>
          <w:szCs w:val="28"/>
        </w:rPr>
        <w:t xml:space="preserve">saskaņošanas process ar </w:t>
      </w:r>
      <w:proofErr w:type="spellStart"/>
      <w:r w:rsidR="005A31DC" w:rsidRPr="00DB28C3">
        <w:rPr>
          <w:rFonts w:eastAsia="Calibri"/>
          <w:sz w:val="28"/>
          <w:szCs w:val="28"/>
        </w:rPr>
        <w:t>donorvalstīm</w:t>
      </w:r>
      <w:proofErr w:type="spellEnd"/>
      <w:r w:rsidR="005A31DC" w:rsidRPr="00DB28C3">
        <w:rPr>
          <w:rFonts w:eastAsia="Calibri"/>
          <w:sz w:val="28"/>
          <w:szCs w:val="28"/>
        </w:rPr>
        <w:t xml:space="preserve"> </w:t>
      </w:r>
      <w:r w:rsidR="003A3B9E">
        <w:rPr>
          <w:rFonts w:eastAsia="Calibri"/>
          <w:sz w:val="28"/>
          <w:szCs w:val="28"/>
        </w:rPr>
        <w:t xml:space="preserve">vēl </w:t>
      </w:r>
      <w:r w:rsidR="005A31DC" w:rsidRPr="00DB28C3">
        <w:rPr>
          <w:rFonts w:eastAsia="Calibri"/>
          <w:sz w:val="28"/>
          <w:szCs w:val="28"/>
        </w:rPr>
        <w:t>turpinās</w:t>
      </w:r>
      <w:r w:rsidR="00A91C26">
        <w:rPr>
          <w:rFonts w:eastAsia="Calibri"/>
          <w:sz w:val="28"/>
          <w:szCs w:val="28"/>
        </w:rPr>
        <w:t>.</w:t>
      </w:r>
    </w:p>
    <w:p w14:paraId="6E29FC47" w14:textId="0536DCE7" w:rsidR="009C0862" w:rsidRPr="00DB28C3" w:rsidRDefault="00113F03">
      <w:pPr>
        <w:pStyle w:val="1lmenis"/>
        <w:rPr>
          <w:rFonts w:eastAsia="Calibri"/>
          <w:lang w:eastAsia="lv-LV"/>
        </w:rPr>
      </w:pPr>
      <w:bookmarkStart w:id="4" w:name="_Toc17468206"/>
      <w:r w:rsidRPr="00DB28C3">
        <w:lastRenderedPageBreak/>
        <w:t xml:space="preserve">2. </w:t>
      </w:r>
      <w:r w:rsidR="009C0862" w:rsidRPr="00DB28C3">
        <w:t>ES fondu finansējuma ietekme uz Latvijas tautsaimniecības attīstību</w:t>
      </w:r>
      <w:r w:rsidR="009C0862" w:rsidRPr="00DB28C3">
        <w:rPr>
          <w:rStyle w:val="FootnoteReference"/>
        </w:rPr>
        <w:footnoteReference w:id="5"/>
      </w:r>
      <w:bookmarkStart w:id="5" w:name="_Toc378254572"/>
      <w:bookmarkStart w:id="6" w:name="_Toc378256172"/>
      <w:bookmarkEnd w:id="4"/>
    </w:p>
    <w:p w14:paraId="12CCBF2D" w14:textId="5A60DFE3" w:rsidR="00DD2363" w:rsidRPr="00DB28C3" w:rsidRDefault="00DD2363" w:rsidP="003E6377">
      <w:pPr>
        <w:spacing w:before="120" w:after="120" w:line="276" w:lineRule="auto"/>
        <w:ind w:firstLine="720"/>
        <w:jc w:val="both"/>
        <w:rPr>
          <w:rFonts w:cs="Times New Roman"/>
          <w:sz w:val="28"/>
          <w:szCs w:val="28"/>
        </w:rPr>
      </w:pPr>
      <w:r w:rsidRPr="00DB28C3">
        <w:rPr>
          <w:rFonts w:cs="Times New Roman"/>
          <w:sz w:val="28"/>
          <w:szCs w:val="28"/>
        </w:rPr>
        <w:t>Saskaņā ar CSP datiem, Latvijas IKP izaugsme 2019. gada pirmajā ceturksnī palēninājās līdz 3,0</w:t>
      </w:r>
      <w:r w:rsidR="003A3B9E">
        <w:rPr>
          <w:rFonts w:cs="Times New Roman"/>
          <w:sz w:val="28"/>
          <w:szCs w:val="28"/>
        </w:rPr>
        <w:t> </w:t>
      </w:r>
      <w:r w:rsidRPr="00DB28C3">
        <w:rPr>
          <w:rFonts w:cs="Times New Roman"/>
          <w:sz w:val="28"/>
          <w:szCs w:val="28"/>
        </w:rPr>
        <w:t>%. Tas ir mazāks pieaugums nekā divos iepriekšējos gados, kad Latvijas ekonomika auga attiecīgi par 4,6</w:t>
      </w:r>
      <w:r w:rsidR="003A3B9E">
        <w:rPr>
          <w:rFonts w:cs="Times New Roman"/>
          <w:sz w:val="28"/>
          <w:szCs w:val="28"/>
        </w:rPr>
        <w:t> </w:t>
      </w:r>
      <w:r w:rsidRPr="00DB28C3">
        <w:rPr>
          <w:rFonts w:cs="Times New Roman"/>
          <w:sz w:val="28"/>
          <w:szCs w:val="28"/>
        </w:rPr>
        <w:t>% 2017. gadā un 4,8</w:t>
      </w:r>
      <w:r w:rsidR="003A3B9E">
        <w:rPr>
          <w:rFonts w:cs="Times New Roman"/>
          <w:sz w:val="28"/>
          <w:szCs w:val="28"/>
        </w:rPr>
        <w:t> </w:t>
      </w:r>
      <w:r w:rsidRPr="00DB28C3">
        <w:rPr>
          <w:rFonts w:cs="Times New Roman"/>
          <w:sz w:val="28"/>
          <w:szCs w:val="28"/>
        </w:rPr>
        <w:t>% 2018. gadā</w:t>
      </w:r>
      <w:r w:rsidR="003A3B9E">
        <w:rPr>
          <w:rFonts w:cs="Times New Roman"/>
          <w:sz w:val="28"/>
          <w:szCs w:val="28"/>
        </w:rPr>
        <w:t>.</w:t>
      </w:r>
      <w:r w:rsidRPr="00DB28C3">
        <w:rPr>
          <w:rFonts w:cs="Times New Roman"/>
          <w:sz w:val="28"/>
          <w:szCs w:val="28"/>
        </w:rPr>
        <w:t xml:space="preserve"> </w:t>
      </w:r>
      <w:r w:rsidR="003A3B9E">
        <w:rPr>
          <w:rFonts w:cs="Times New Roman"/>
          <w:sz w:val="28"/>
          <w:szCs w:val="28"/>
        </w:rPr>
        <w:t>S</w:t>
      </w:r>
      <w:r w:rsidRPr="00DB28C3">
        <w:rPr>
          <w:rFonts w:cs="Times New Roman"/>
          <w:sz w:val="28"/>
          <w:szCs w:val="28"/>
        </w:rPr>
        <w:t>traujo ekonomikas izaugsmi bija veicinājusi labvēlīgā situācija ārējos tirgos, kā arī investīciju aktivitātes pieaugums. Ekonomiskās izaugsmes palēnināšanos 2019. gada pirmajā ceturksnī noteica zemāki investīciju un būvniecības nozares izaugsmes tempi, kā arī ražošanas apjomu kritums elektroenerģijas un gāzes apgādes nozarē laika apstākļu ietekmē.</w:t>
      </w:r>
    </w:p>
    <w:p w14:paraId="421D84EF" w14:textId="0943B723" w:rsidR="00DD2363" w:rsidRPr="00DB28C3" w:rsidRDefault="00DD2363" w:rsidP="003E6377">
      <w:pPr>
        <w:spacing w:before="120" w:after="120" w:line="276" w:lineRule="auto"/>
        <w:ind w:firstLine="720"/>
        <w:jc w:val="both"/>
        <w:rPr>
          <w:rFonts w:cs="Times New Roman"/>
          <w:sz w:val="28"/>
          <w:szCs w:val="28"/>
        </w:rPr>
      </w:pPr>
      <w:r w:rsidRPr="00DB28C3">
        <w:rPr>
          <w:rFonts w:cs="Times New Roman"/>
          <w:sz w:val="28"/>
          <w:szCs w:val="28"/>
        </w:rPr>
        <w:t>Saskaņā ar FM novērtējumu ES fondu investīcijas nodrošināja 1,2 procentpunktus no reālā IKP 2018.</w:t>
      </w:r>
      <w:r w:rsidR="003A3B9E">
        <w:rPr>
          <w:rFonts w:cs="Times New Roman"/>
          <w:sz w:val="28"/>
          <w:szCs w:val="28"/>
        </w:rPr>
        <w:t> </w:t>
      </w:r>
      <w:r w:rsidRPr="00DB28C3">
        <w:rPr>
          <w:rFonts w:cs="Times New Roman"/>
          <w:sz w:val="28"/>
          <w:szCs w:val="28"/>
        </w:rPr>
        <w:t>gada izaugsmes. Saskaņā ar CSP datiem kopējais investīciju apjoms valstī 2018. gadā faktiskajās cenās pieauga par 19,1</w:t>
      </w:r>
      <w:r w:rsidR="003A3B9E">
        <w:rPr>
          <w:rFonts w:cs="Times New Roman"/>
          <w:sz w:val="28"/>
          <w:szCs w:val="28"/>
        </w:rPr>
        <w:t> </w:t>
      </w:r>
      <w:r w:rsidRPr="00DB28C3">
        <w:rPr>
          <w:rFonts w:cs="Times New Roman"/>
          <w:sz w:val="28"/>
          <w:szCs w:val="28"/>
        </w:rPr>
        <w:t xml:space="preserve">%, salīdzinot 2017. gadu jeb par 1081 milj. </w:t>
      </w:r>
      <w:proofErr w:type="spellStart"/>
      <w:r w:rsidRPr="00DB28C3">
        <w:rPr>
          <w:rFonts w:cs="Times New Roman"/>
          <w:i/>
          <w:sz w:val="28"/>
          <w:szCs w:val="28"/>
        </w:rPr>
        <w:t>euro</w:t>
      </w:r>
      <w:proofErr w:type="spellEnd"/>
      <w:r w:rsidRPr="00DB28C3">
        <w:rPr>
          <w:rFonts w:cs="Times New Roman"/>
          <w:sz w:val="28"/>
          <w:szCs w:val="28"/>
        </w:rPr>
        <w:t>. Saskaņā ar modelēšanas rezultātiem, ES fondu investīcijas Latvijas preču un pakalpojumu eksportu 2018. gadā palielināja par 0,5 procentpunktiem, importu par 1,6 procentpunktiem</w:t>
      </w:r>
      <w:r w:rsidR="00A53581" w:rsidRPr="00DB28C3">
        <w:rPr>
          <w:rFonts w:cs="Times New Roman"/>
          <w:sz w:val="28"/>
          <w:szCs w:val="28"/>
        </w:rPr>
        <w:t xml:space="preserve">, kā arī </w:t>
      </w:r>
      <w:r w:rsidRPr="00DB28C3">
        <w:rPr>
          <w:rFonts w:cs="Times New Roman"/>
          <w:sz w:val="28"/>
          <w:szCs w:val="28"/>
        </w:rPr>
        <w:t>inflācijas līmeni palielināja par 0,5 procentpunktiem</w:t>
      </w:r>
      <w:r w:rsidR="00A53581" w:rsidRPr="00DB28C3">
        <w:rPr>
          <w:rFonts w:cs="Times New Roman"/>
          <w:sz w:val="28"/>
          <w:szCs w:val="28"/>
        </w:rPr>
        <w:t xml:space="preserve"> (l</w:t>
      </w:r>
      <w:r w:rsidR="00DB28C3" w:rsidRPr="00DB28C3">
        <w:rPr>
          <w:rFonts w:cs="Times New Roman"/>
          <w:sz w:val="28"/>
          <w:szCs w:val="28"/>
        </w:rPr>
        <w:t>ī</w:t>
      </w:r>
      <w:r w:rsidRPr="00DB28C3">
        <w:rPr>
          <w:rFonts w:cs="Times New Roman"/>
          <w:sz w:val="28"/>
          <w:szCs w:val="28"/>
        </w:rPr>
        <w:t>dzīg</w:t>
      </w:r>
      <w:r w:rsidR="00A53581" w:rsidRPr="00DB28C3">
        <w:rPr>
          <w:rFonts w:cs="Times New Roman"/>
          <w:sz w:val="28"/>
          <w:szCs w:val="28"/>
        </w:rPr>
        <w:t>i</w:t>
      </w:r>
      <w:r w:rsidRPr="00DB28C3">
        <w:rPr>
          <w:rFonts w:cs="Times New Roman"/>
          <w:sz w:val="28"/>
          <w:szCs w:val="28"/>
        </w:rPr>
        <w:t xml:space="preserve"> </w:t>
      </w:r>
      <w:r w:rsidR="00A53581" w:rsidRPr="00DB28C3">
        <w:rPr>
          <w:rFonts w:cs="Times New Roman"/>
          <w:sz w:val="28"/>
          <w:szCs w:val="28"/>
        </w:rPr>
        <w:t>kā</w:t>
      </w:r>
      <w:r w:rsidRPr="00DB28C3">
        <w:rPr>
          <w:rFonts w:cs="Times New Roman"/>
          <w:sz w:val="28"/>
          <w:szCs w:val="28"/>
        </w:rPr>
        <w:t xml:space="preserve"> 2017.</w:t>
      </w:r>
      <w:r w:rsidR="003A3B9E">
        <w:rPr>
          <w:rFonts w:cs="Times New Roman"/>
          <w:sz w:val="28"/>
          <w:szCs w:val="28"/>
        </w:rPr>
        <w:t> </w:t>
      </w:r>
      <w:r w:rsidRPr="00DB28C3">
        <w:rPr>
          <w:rFonts w:cs="Times New Roman"/>
          <w:sz w:val="28"/>
          <w:szCs w:val="28"/>
        </w:rPr>
        <w:t>gadā</w:t>
      </w:r>
      <w:r w:rsidR="00A53581" w:rsidRPr="00DB28C3">
        <w:rPr>
          <w:rFonts w:cs="Times New Roman"/>
          <w:sz w:val="28"/>
          <w:szCs w:val="28"/>
        </w:rPr>
        <w:t>)</w:t>
      </w:r>
      <w:r w:rsidRPr="00DB28C3">
        <w:rPr>
          <w:rFonts w:cs="Times New Roman"/>
          <w:sz w:val="28"/>
          <w:szCs w:val="28"/>
        </w:rPr>
        <w:t>.</w:t>
      </w:r>
    </w:p>
    <w:p w14:paraId="0181A689" w14:textId="6CDC3FAF" w:rsidR="00DD2363" w:rsidRPr="00DB28C3" w:rsidRDefault="003A3B9E" w:rsidP="003E6377">
      <w:pPr>
        <w:spacing w:before="120" w:after="120" w:line="276" w:lineRule="auto"/>
        <w:ind w:firstLine="720"/>
        <w:jc w:val="both"/>
        <w:rPr>
          <w:rFonts w:cs="Times New Roman"/>
          <w:sz w:val="28"/>
          <w:szCs w:val="28"/>
        </w:rPr>
      </w:pPr>
      <w:r>
        <w:rPr>
          <w:rFonts w:cs="Times New Roman"/>
          <w:sz w:val="28"/>
          <w:szCs w:val="28"/>
        </w:rPr>
        <w:t>E</w:t>
      </w:r>
      <w:r w:rsidR="00DD2363" w:rsidRPr="00DB28C3">
        <w:rPr>
          <w:rFonts w:cs="Times New Roman"/>
          <w:sz w:val="28"/>
          <w:szCs w:val="28"/>
        </w:rPr>
        <w:t>konomikas attīstību nozaru griezumā 2019. gada pirmajā ceturksnī lielāko devumu kopējā IKP izaugsmē nodrošināja tirdzniecības, apstrādes rūpniecības un transporta nozares, kas salīdzinājumā ar 2018. gada pirmo ceturksni palielinājās attiecīgi par 5,6</w:t>
      </w:r>
      <w:r>
        <w:rPr>
          <w:rFonts w:cs="Times New Roman"/>
          <w:sz w:val="28"/>
          <w:szCs w:val="28"/>
        </w:rPr>
        <w:t> </w:t>
      </w:r>
      <w:r w:rsidR="00DD2363" w:rsidRPr="00DB28C3">
        <w:rPr>
          <w:rFonts w:cs="Times New Roman"/>
          <w:sz w:val="28"/>
          <w:szCs w:val="28"/>
        </w:rPr>
        <w:t>%, 5,0</w:t>
      </w:r>
      <w:r>
        <w:rPr>
          <w:rFonts w:cs="Times New Roman"/>
          <w:sz w:val="28"/>
          <w:szCs w:val="28"/>
        </w:rPr>
        <w:t> </w:t>
      </w:r>
      <w:r w:rsidR="00DD2363" w:rsidRPr="00DB28C3">
        <w:rPr>
          <w:rFonts w:cs="Times New Roman"/>
          <w:sz w:val="28"/>
          <w:szCs w:val="28"/>
        </w:rPr>
        <w:t>% un 4,0</w:t>
      </w:r>
      <w:r>
        <w:rPr>
          <w:rFonts w:cs="Times New Roman"/>
          <w:sz w:val="28"/>
          <w:szCs w:val="28"/>
        </w:rPr>
        <w:t> </w:t>
      </w:r>
      <w:r w:rsidR="00DD2363" w:rsidRPr="00DB28C3">
        <w:rPr>
          <w:rFonts w:cs="Times New Roman"/>
          <w:sz w:val="28"/>
          <w:szCs w:val="28"/>
        </w:rPr>
        <w:t xml:space="preserve">%. Strauju izaugsmi pirmajā ceturksnī turpināja uzrādīt informācijas un komunikācijas pakalpojumu nozare, kur pieaugums </w:t>
      </w:r>
      <w:r w:rsidR="00A53581" w:rsidRPr="00DB28C3">
        <w:rPr>
          <w:rFonts w:cs="Times New Roman"/>
          <w:sz w:val="28"/>
          <w:szCs w:val="28"/>
        </w:rPr>
        <w:t xml:space="preserve">bija </w:t>
      </w:r>
      <w:r w:rsidR="00DD2363" w:rsidRPr="00DB28C3">
        <w:rPr>
          <w:rFonts w:cs="Times New Roman"/>
          <w:sz w:val="28"/>
          <w:szCs w:val="28"/>
        </w:rPr>
        <w:t>7,6</w:t>
      </w:r>
      <w:r>
        <w:rPr>
          <w:rFonts w:cs="Times New Roman"/>
          <w:sz w:val="28"/>
          <w:szCs w:val="28"/>
        </w:rPr>
        <w:t> </w:t>
      </w:r>
      <w:r w:rsidR="00DD2363" w:rsidRPr="00DB28C3">
        <w:rPr>
          <w:rFonts w:cs="Times New Roman"/>
          <w:sz w:val="28"/>
          <w:szCs w:val="28"/>
        </w:rPr>
        <w:t>%</w:t>
      </w:r>
      <w:r w:rsidR="00A53581" w:rsidRPr="00DB28C3">
        <w:rPr>
          <w:rFonts w:cs="Times New Roman"/>
          <w:sz w:val="28"/>
          <w:szCs w:val="28"/>
        </w:rPr>
        <w:t>. N</w:t>
      </w:r>
      <w:r w:rsidR="00DD2363" w:rsidRPr="00DB28C3">
        <w:rPr>
          <w:rFonts w:cs="Times New Roman"/>
          <w:sz w:val="28"/>
          <w:szCs w:val="28"/>
        </w:rPr>
        <w:t>egaidīti laba 7,1</w:t>
      </w:r>
      <w:r>
        <w:rPr>
          <w:rFonts w:cs="Times New Roman"/>
          <w:sz w:val="28"/>
          <w:szCs w:val="28"/>
        </w:rPr>
        <w:t> </w:t>
      </w:r>
      <w:r w:rsidR="00DD2363" w:rsidRPr="00DB28C3">
        <w:rPr>
          <w:rFonts w:cs="Times New Roman"/>
          <w:sz w:val="28"/>
          <w:szCs w:val="28"/>
        </w:rPr>
        <w:t>% izaugsme tika sa</w:t>
      </w:r>
      <w:r w:rsidR="00C1175F" w:rsidRPr="00DB28C3">
        <w:rPr>
          <w:rFonts w:cs="Times New Roman"/>
          <w:sz w:val="28"/>
          <w:szCs w:val="28"/>
        </w:rPr>
        <w:t>s</w:t>
      </w:r>
      <w:r w:rsidR="00DD2363" w:rsidRPr="00DB28C3">
        <w:rPr>
          <w:rFonts w:cs="Times New Roman"/>
          <w:sz w:val="28"/>
          <w:szCs w:val="28"/>
        </w:rPr>
        <w:t>niegta arī finanšu pakalpojumu nozarē. Būvniecības nozares izaugsmes temps kļuva lēnāks, pazeminoties no 21,9</w:t>
      </w:r>
      <w:r>
        <w:rPr>
          <w:rFonts w:cs="Times New Roman"/>
          <w:sz w:val="28"/>
          <w:szCs w:val="28"/>
        </w:rPr>
        <w:t> </w:t>
      </w:r>
      <w:r w:rsidR="00DD2363" w:rsidRPr="00DB28C3">
        <w:rPr>
          <w:rFonts w:cs="Times New Roman"/>
          <w:sz w:val="28"/>
          <w:szCs w:val="28"/>
        </w:rPr>
        <w:t>% 2018. gadā kopā līdz 7,4</w:t>
      </w:r>
      <w:r>
        <w:rPr>
          <w:rFonts w:cs="Times New Roman"/>
          <w:sz w:val="28"/>
          <w:szCs w:val="28"/>
        </w:rPr>
        <w:t> </w:t>
      </w:r>
      <w:r w:rsidR="00DD2363" w:rsidRPr="00DB28C3">
        <w:rPr>
          <w:rFonts w:cs="Times New Roman"/>
          <w:sz w:val="28"/>
          <w:szCs w:val="28"/>
        </w:rPr>
        <w:t>% 2019. gada pirmajā ceturksnī. Kritumi fiksēti enerģētikas un nekustamā īpašuma nozarēs – attiecīgi par 18,5</w:t>
      </w:r>
      <w:r>
        <w:rPr>
          <w:rFonts w:cs="Times New Roman"/>
          <w:sz w:val="28"/>
          <w:szCs w:val="28"/>
        </w:rPr>
        <w:t> </w:t>
      </w:r>
      <w:r w:rsidR="00DD2363" w:rsidRPr="00DB28C3">
        <w:rPr>
          <w:rFonts w:cs="Times New Roman"/>
          <w:sz w:val="28"/>
          <w:szCs w:val="28"/>
        </w:rPr>
        <w:t>% un 4,4</w:t>
      </w:r>
      <w:r>
        <w:rPr>
          <w:rFonts w:cs="Times New Roman"/>
          <w:sz w:val="28"/>
          <w:szCs w:val="28"/>
        </w:rPr>
        <w:t> </w:t>
      </w:r>
      <w:r w:rsidR="00DD2363" w:rsidRPr="00DB28C3">
        <w:rPr>
          <w:rFonts w:cs="Times New Roman"/>
          <w:sz w:val="28"/>
          <w:szCs w:val="28"/>
        </w:rPr>
        <w:t>%, salīdzinot ar 2018. gada pirmo ceturksni.</w:t>
      </w:r>
    </w:p>
    <w:p w14:paraId="65DE83D9" w14:textId="00BBA901" w:rsidR="00DD2363" w:rsidRPr="00DB28C3" w:rsidRDefault="00DD2363" w:rsidP="003E6377">
      <w:pPr>
        <w:spacing w:before="120" w:after="120" w:line="276" w:lineRule="auto"/>
        <w:ind w:firstLine="720"/>
        <w:jc w:val="both"/>
        <w:rPr>
          <w:rFonts w:cs="Times New Roman"/>
          <w:sz w:val="28"/>
          <w:szCs w:val="28"/>
        </w:rPr>
      </w:pPr>
      <w:r w:rsidRPr="00DB28C3">
        <w:rPr>
          <w:rFonts w:cs="Times New Roman"/>
          <w:sz w:val="28"/>
          <w:szCs w:val="28"/>
        </w:rPr>
        <w:t>No izlietojuma puses, tāpat kā iepriekšējā gadā, straujāko izaugsmi sasniedza bruto pamatkapitāla veidošana, palielinoties par 8,0</w:t>
      </w:r>
      <w:r w:rsidR="003A3B9E">
        <w:rPr>
          <w:rFonts w:cs="Times New Roman"/>
          <w:sz w:val="28"/>
          <w:szCs w:val="28"/>
        </w:rPr>
        <w:t> </w:t>
      </w:r>
      <w:r w:rsidRPr="00DB28C3">
        <w:rPr>
          <w:rFonts w:cs="Times New Roman"/>
          <w:sz w:val="28"/>
          <w:szCs w:val="28"/>
        </w:rPr>
        <w:t>%, taču pieaugums vairs nebija tik straujš kā divos iepriekšējos gados. Būtisks devums ekonomikas izaugsmē 2019. gada pirmajā ceturksnī bija arī privātajam patēriņam un eksportam, kas palielinājās attiecīgi par 2,8</w:t>
      </w:r>
      <w:r w:rsidR="003A3B9E">
        <w:rPr>
          <w:rFonts w:cs="Times New Roman"/>
          <w:sz w:val="28"/>
          <w:szCs w:val="28"/>
        </w:rPr>
        <w:t> </w:t>
      </w:r>
      <w:r w:rsidRPr="00DB28C3">
        <w:rPr>
          <w:rFonts w:cs="Times New Roman"/>
          <w:sz w:val="28"/>
          <w:szCs w:val="28"/>
        </w:rPr>
        <w:t>% un 4,8</w:t>
      </w:r>
      <w:r w:rsidR="003A3B9E">
        <w:rPr>
          <w:rFonts w:cs="Times New Roman"/>
          <w:sz w:val="28"/>
          <w:szCs w:val="28"/>
        </w:rPr>
        <w:t> </w:t>
      </w:r>
      <w:r w:rsidRPr="00DB28C3">
        <w:rPr>
          <w:rFonts w:cs="Times New Roman"/>
          <w:sz w:val="28"/>
          <w:szCs w:val="28"/>
        </w:rPr>
        <w:t>%</w:t>
      </w:r>
      <w:r w:rsidR="00A53581" w:rsidRPr="00DB28C3">
        <w:rPr>
          <w:rFonts w:cs="Times New Roman"/>
          <w:sz w:val="28"/>
          <w:szCs w:val="28"/>
        </w:rPr>
        <w:t>. S</w:t>
      </w:r>
      <w:r w:rsidRPr="00DB28C3">
        <w:rPr>
          <w:rFonts w:cs="Times New Roman"/>
          <w:sz w:val="28"/>
          <w:szCs w:val="28"/>
        </w:rPr>
        <w:t>abiedriskais patēriņa pieaugums bija nedaudz lēnāks, tam palielinoties par 2,4</w:t>
      </w:r>
      <w:r w:rsidR="003A3B9E">
        <w:rPr>
          <w:rFonts w:cs="Times New Roman"/>
          <w:sz w:val="28"/>
          <w:szCs w:val="28"/>
        </w:rPr>
        <w:t> </w:t>
      </w:r>
      <w:r w:rsidRPr="00DB28C3">
        <w:rPr>
          <w:rFonts w:cs="Times New Roman"/>
          <w:sz w:val="28"/>
          <w:szCs w:val="28"/>
        </w:rPr>
        <w:t xml:space="preserve">%. Importa apjomi </w:t>
      </w:r>
      <w:r w:rsidRPr="00DB28C3">
        <w:rPr>
          <w:rFonts w:cs="Times New Roman"/>
          <w:sz w:val="28"/>
          <w:szCs w:val="28"/>
        </w:rPr>
        <w:lastRenderedPageBreak/>
        <w:t>salīdzinājumā ar pagājušā gada attiecīgo ceturksni pieauga tikai par 2,2</w:t>
      </w:r>
      <w:r w:rsidR="003A3B9E">
        <w:rPr>
          <w:rFonts w:cs="Times New Roman"/>
          <w:sz w:val="28"/>
          <w:szCs w:val="28"/>
        </w:rPr>
        <w:t> </w:t>
      </w:r>
      <w:r w:rsidRPr="00DB28C3">
        <w:rPr>
          <w:rFonts w:cs="Times New Roman"/>
          <w:sz w:val="28"/>
          <w:szCs w:val="28"/>
        </w:rPr>
        <w:t xml:space="preserve">%, nodrošinot pozitīvu neto eksporta devumu ekonomikas izaugsmē. </w:t>
      </w:r>
    </w:p>
    <w:p w14:paraId="247510E0" w14:textId="42E9C871" w:rsidR="00DD2363" w:rsidRPr="00DB28C3" w:rsidRDefault="00DD2363" w:rsidP="003E6377">
      <w:pPr>
        <w:spacing w:before="120" w:after="120" w:line="276" w:lineRule="auto"/>
        <w:ind w:firstLine="720"/>
        <w:jc w:val="both"/>
        <w:rPr>
          <w:rFonts w:cs="Times New Roman"/>
          <w:sz w:val="28"/>
          <w:szCs w:val="28"/>
        </w:rPr>
      </w:pPr>
      <w:r w:rsidRPr="00DB28C3">
        <w:rPr>
          <w:rFonts w:cs="Times New Roman"/>
          <w:sz w:val="28"/>
          <w:szCs w:val="28"/>
        </w:rPr>
        <w:t>Latvijas kopējais preču eksports faktiskajās cenās 2019. gada četros mēnešos, salīdzinot ar iepriekšējā gada attiecīgo periodu, palielinājās par 3,4</w:t>
      </w:r>
      <w:r w:rsidR="003A3B9E">
        <w:rPr>
          <w:rFonts w:cs="Times New Roman"/>
          <w:sz w:val="28"/>
          <w:szCs w:val="28"/>
        </w:rPr>
        <w:t> </w:t>
      </w:r>
      <w:r w:rsidRPr="00DB28C3">
        <w:rPr>
          <w:rFonts w:cs="Times New Roman"/>
          <w:sz w:val="28"/>
          <w:szCs w:val="28"/>
        </w:rPr>
        <w:t>%, kas ir mērenāka izaugsme nekā 201</w:t>
      </w:r>
      <w:r w:rsidR="00094190">
        <w:rPr>
          <w:rFonts w:cs="Times New Roman"/>
          <w:sz w:val="28"/>
          <w:szCs w:val="28"/>
        </w:rPr>
        <w:t>8</w:t>
      </w:r>
      <w:r w:rsidRPr="00DB28C3">
        <w:rPr>
          <w:rFonts w:cs="Times New Roman"/>
          <w:sz w:val="28"/>
          <w:szCs w:val="28"/>
        </w:rPr>
        <w:t>. gadā, kad preču eksporta pieaugums bija gandrīz 10</w:t>
      </w:r>
      <w:r w:rsidR="00002F4F" w:rsidRPr="00DB28C3">
        <w:rPr>
          <w:rFonts w:cs="Times New Roman"/>
          <w:sz w:val="28"/>
          <w:szCs w:val="28"/>
        </w:rPr>
        <w:t>,0</w:t>
      </w:r>
      <w:r w:rsidR="003A3B9E">
        <w:rPr>
          <w:rFonts w:cs="Times New Roman"/>
          <w:sz w:val="28"/>
          <w:szCs w:val="28"/>
        </w:rPr>
        <w:t> </w:t>
      </w:r>
      <w:r w:rsidRPr="00DB28C3">
        <w:rPr>
          <w:rFonts w:cs="Times New Roman"/>
          <w:sz w:val="28"/>
          <w:szCs w:val="28"/>
        </w:rPr>
        <w:t>%. Lēnāks preču eksporta pieaugums 2019. gadā saistīts ar pasaules ārējās tirdzniecības pieauguma tempu samazinājumu un lēnāku ekonomikas izaugsmi galvenajos Latvijas preču noieta tirgos. Lielāko devumu preču eksporta izaugsmē četros mēnešos nodrošināja koka un koka izstrādājumu eksports, kas palielinājās par 12,7</w:t>
      </w:r>
      <w:r w:rsidR="003A3B9E">
        <w:rPr>
          <w:rFonts w:cs="Times New Roman"/>
          <w:sz w:val="28"/>
          <w:szCs w:val="28"/>
        </w:rPr>
        <w:t> </w:t>
      </w:r>
      <w:r w:rsidRPr="00DB28C3">
        <w:rPr>
          <w:rFonts w:cs="Times New Roman"/>
          <w:sz w:val="28"/>
          <w:szCs w:val="28"/>
        </w:rPr>
        <w:t>%. Nozīmīgs eksporta kāpums bija fiksēts arī ķīmiskās rūpniecības ražojumiem, kā arī lauksaimniecības un pārtikas produktiem, to eksporta vērtībai palielinoties attiecīgi par 12,8</w:t>
      </w:r>
      <w:r w:rsidR="003A3B9E">
        <w:rPr>
          <w:rFonts w:cs="Times New Roman"/>
          <w:sz w:val="28"/>
          <w:szCs w:val="28"/>
        </w:rPr>
        <w:t> </w:t>
      </w:r>
      <w:r w:rsidRPr="00DB28C3">
        <w:rPr>
          <w:rFonts w:cs="Times New Roman"/>
          <w:sz w:val="28"/>
          <w:szCs w:val="28"/>
        </w:rPr>
        <w:t>% un 7,3</w:t>
      </w:r>
      <w:r w:rsidR="003A3B9E">
        <w:rPr>
          <w:rFonts w:cs="Times New Roman"/>
          <w:sz w:val="28"/>
          <w:szCs w:val="28"/>
        </w:rPr>
        <w:t> </w:t>
      </w:r>
      <w:r w:rsidRPr="00DB28C3">
        <w:rPr>
          <w:rFonts w:cs="Times New Roman"/>
          <w:sz w:val="28"/>
          <w:szCs w:val="28"/>
        </w:rPr>
        <w:t>%. Pakalpojumu eksports faktiskajās cenās 2019. gada pirmajā ceturksnī bija par 6,6</w:t>
      </w:r>
      <w:r w:rsidR="00153F5E">
        <w:rPr>
          <w:rFonts w:cs="Times New Roman"/>
          <w:sz w:val="28"/>
          <w:szCs w:val="28"/>
        </w:rPr>
        <w:t> </w:t>
      </w:r>
      <w:r w:rsidRPr="00DB28C3">
        <w:rPr>
          <w:rFonts w:cs="Times New Roman"/>
          <w:sz w:val="28"/>
          <w:szCs w:val="28"/>
        </w:rPr>
        <w:t>% lielāks nekā pirms gada, tajā skaitā transporta pakalpojumu eksports palielinājās par 2,0</w:t>
      </w:r>
      <w:r w:rsidR="003A3B9E">
        <w:rPr>
          <w:rFonts w:cs="Times New Roman"/>
          <w:sz w:val="28"/>
          <w:szCs w:val="28"/>
        </w:rPr>
        <w:t> </w:t>
      </w:r>
      <w:r w:rsidRPr="00DB28C3">
        <w:rPr>
          <w:rFonts w:cs="Times New Roman"/>
          <w:sz w:val="28"/>
          <w:szCs w:val="28"/>
        </w:rPr>
        <w:t>%, tūrisma pakalpojumu eksports – par 1,1</w:t>
      </w:r>
      <w:r w:rsidR="003A3B9E">
        <w:rPr>
          <w:rFonts w:cs="Times New Roman"/>
          <w:sz w:val="28"/>
          <w:szCs w:val="28"/>
        </w:rPr>
        <w:t> </w:t>
      </w:r>
      <w:r w:rsidRPr="00DB28C3">
        <w:rPr>
          <w:rFonts w:cs="Times New Roman"/>
          <w:sz w:val="28"/>
          <w:szCs w:val="28"/>
        </w:rPr>
        <w:t>%, bet pārējo pakalpojumu eksports – par 13,2</w:t>
      </w:r>
      <w:r w:rsidR="003A3B9E">
        <w:rPr>
          <w:rFonts w:cs="Times New Roman"/>
          <w:sz w:val="28"/>
          <w:szCs w:val="28"/>
        </w:rPr>
        <w:t> </w:t>
      </w:r>
      <w:r w:rsidRPr="00DB28C3">
        <w:rPr>
          <w:rFonts w:cs="Times New Roman"/>
          <w:sz w:val="28"/>
          <w:szCs w:val="28"/>
        </w:rPr>
        <w:t xml:space="preserve">%. No pārējiem pakalpojumiem strauji pieaugumi bijuši </w:t>
      </w:r>
      <w:proofErr w:type="spellStart"/>
      <w:r w:rsidRPr="00DB28C3">
        <w:rPr>
          <w:rFonts w:cs="Times New Roman"/>
          <w:sz w:val="28"/>
          <w:szCs w:val="28"/>
        </w:rPr>
        <w:t>datorpakalpojumu</w:t>
      </w:r>
      <w:proofErr w:type="spellEnd"/>
      <w:r w:rsidRPr="00DB28C3">
        <w:rPr>
          <w:rFonts w:cs="Times New Roman"/>
          <w:sz w:val="28"/>
          <w:szCs w:val="28"/>
        </w:rPr>
        <w:t xml:space="preserve"> un telesakaru pakalpojumu eksportā – attiecīgi par 17,0</w:t>
      </w:r>
      <w:r w:rsidR="003A3B9E">
        <w:rPr>
          <w:rFonts w:cs="Times New Roman"/>
          <w:sz w:val="28"/>
          <w:szCs w:val="28"/>
        </w:rPr>
        <w:t> </w:t>
      </w:r>
      <w:r w:rsidRPr="00DB28C3">
        <w:rPr>
          <w:rFonts w:cs="Times New Roman"/>
          <w:sz w:val="28"/>
          <w:szCs w:val="28"/>
        </w:rPr>
        <w:t>% un 34,5</w:t>
      </w:r>
      <w:r w:rsidR="003A3B9E">
        <w:rPr>
          <w:rFonts w:cs="Times New Roman"/>
          <w:sz w:val="28"/>
          <w:szCs w:val="28"/>
        </w:rPr>
        <w:t> </w:t>
      </w:r>
      <w:r w:rsidRPr="00DB28C3">
        <w:rPr>
          <w:rFonts w:cs="Times New Roman"/>
          <w:sz w:val="28"/>
          <w:szCs w:val="28"/>
        </w:rPr>
        <w:t>%, bet kritums bijis finanšu pakalpojumu eksportā – par 43,5</w:t>
      </w:r>
      <w:r w:rsidR="003A3B9E">
        <w:rPr>
          <w:rFonts w:cs="Times New Roman"/>
          <w:sz w:val="28"/>
          <w:szCs w:val="28"/>
        </w:rPr>
        <w:t> </w:t>
      </w:r>
      <w:r w:rsidRPr="00DB28C3">
        <w:rPr>
          <w:rFonts w:cs="Times New Roman"/>
          <w:sz w:val="28"/>
          <w:szCs w:val="28"/>
        </w:rPr>
        <w:t>%.</w:t>
      </w:r>
    </w:p>
    <w:p w14:paraId="3A1515AD" w14:textId="0571B53D" w:rsidR="00DD2363" w:rsidRPr="00DB28C3" w:rsidRDefault="00DD2363" w:rsidP="003E6377">
      <w:pPr>
        <w:spacing w:before="120" w:after="120" w:line="276" w:lineRule="auto"/>
        <w:ind w:firstLine="720"/>
        <w:jc w:val="both"/>
        <w:rPr>
          <w:rFonts w:cs="Times New Roman"/>
          <w:sz w:val="28"/>
          <w:szCs w:val="28"/>
        </w:rPr>
      </w:pPr>
      <w:r w:rsidRPr="00DB28C3">
        <w:rPr>
          <w:rFonts w:cs="Times New Roman"/>
          <w:sz w:val="28"/>
          <w:szCs w:val="28"/>
        </w:rPr>
        <w:t xml:space="preserve">Saglabājoties stabilai ekonomikas izaugsmei, bezdarba līmenis pēc darbaspēka </w:t>
      </w:r>
      <w:proofErr w:type="spellStart"/>
      <w:r w:rsidRPr="00DB28C3">
        <w:rPr>
          <w:rFonts w:cs="Times New Roman"/>
          <w:sz w:val="28"/>
          <w:szCs w:val="28"/>
        </w:rPr>
        <w:t>apsekojuma</w:t>
      </w:r>
      <w:proofErr w:type="spellEnd"/>
      <w:r w:rsidRPr="00DB28C3">
        <w:rPr>
          <w:rFonts w:cs="Times New Roman"/>
          <w:sz w:val="28"/>
          <w:szCs w:val="28"/>
        </w:rPr>
        <w:t xml:space="preserve"> datiem 2019. gada pirmajā ceturksnī samazinājās līdz 6,9</w:t>
      </w:r>
      <w:r w:rsidR="003A3B9E">
        <w:rPr>
          <w:rFonts w:cs="Times New Roman"/>
          <w:sz w:val="28"/>
          <w:szCs w:val="28"/>
        </w:rPr>
        <w:t> </w:t>
      </w:r>
      <w:r w:rsidRPr="00DB28C3">
        <w:rPr>
          <w:rFonts w:cs="Times New Roman"/>
          <w:sz w:val="28"/>
          <w:szCs w:val="28"/>
        </w:rPr>
        <w:t>% un bija par 1,3 procentpunktiem zemāks nekā attiecīgajā ceturksnī pirms gada. Tautsaimniecībā nodarbināto iedzīvotāju skaits pirmajā ceturksnī palielinājās par 0,6</w:t>
      </w:r>
      <w:r w:rsidR="003A3B9E">
        <w:rPr>
          <w:rFonts w:cs="Times New Roman"/>
          <w:sz w:val="28"/>
          <w:szCs w:val="28"/>
        </w:rPr>
        <w:t> </w:t>
      </w:r>
      <w:r w:rsidRPr="00DB28C3">
        <w:rPr>
          <w:rFonts w:cs="Times New Roman"/>
          <w:sz w:val="28"/>
          <w:szCs w:val="28"/>
        </w:rPr>
        <w:t>% līdz 903,4 tūkstošiem, kas bija nedaudz lēnāks pieaugums nekā 2018. gadā, kad nodarbināto skaits bija audzis par 1,6</w:t>
      </w:r>
      <w:r w:rsidR="003A3B9E">
        <w:rPr>
          <w:rFonts w:cs="Times New Roman"/>
          <w:sz w:val="28"/>
          <w:szCs w:val="28"/>
        </w:rPr>
        <w:t> </w:t>
      </w:r>
      <w:r w:rsidRPr="00DB28C3">
        <w:rPr>
          <w:rFonts w:cs="Times New Roman"/>
          <w:sz w:val="28"/>
          <w:szCs w:val="28"/>
        </w:rPr>
        <w:t xml:space="preserve">%. Statistika par aizņemtajām darba vietām rāda, ka pirmā ceturkšņa beigās, salīdzinot ar attiecīgo ceturksni pirms gada, </w:t>
      </w:r>
      <w:r w:rsidR="0064120C" w:rsidRPr="00DB28C3">
        <w:rPr>
          <w:rFonts w:cs="Times New Roman"/>
          <w:sz w:val="28"/>
          <w:szCs w:val="28"/>
        </w:rPr>
        <w:t xml:space="preserve">aizpildīto </w:t>
      </w:r>
      <w:r w:rsidRPr="00DB28C3">
        <w:rPr>
          <w:rFonts w:cs="Times New Roman"/>
          <w:sz w:val="28"/>
          <w:szCs w:val="28"/>
        </w:rPr>
        <w:t>darba vietu skaits visvairāk palielinājies ieguves rūpniecībā - par 7,1</w:t>
      </w:r>
      <w:r w:rsidR="003A3B9E">
        <w:rPr>
          <w:rFonts w:cs="Times New Roman"/>
          <w:sz w:val="28"/>
          <w:szCs w:val="28"/>
        </w:rPr>
        <w:t> </w:t>
      </w:r>
      <w:r w:rsidRPr="00DB28C3">
        <w:rPr>
          <w:rFonts w:cs="Times New Roman"/>
          <w:sz w:val="28"/>
          <w:szCs w:val="28"/>
        </w:rPr>
        <w:t>%, būvniecībā - par 6,8</w:t>
      </w:r>
      <w:r w:rsidR="003A3B9E">
        <w:rPr>
          <w:rFonts w:cs="Times New Roman"/>
          <w:sz w:val="28"/>
          <w:szCs w:val="28"/>
        </w:rPr>
        <w:t> </w:t>
      </w:r>
      <w:r w:rsidRPr="00DB28C3">
        <w:rPr>
          <w:rFonts w:cs="Times New Roman"/>
          <w:sz w:val="28"/>
          <w:szCs w:val="28"/>
        </w:rPr>
        <w:t>% un administratīvo pakalpojumu nozarēs - par 5,3</w:t>
      </w:r>
      <w:r w:rsidR="003A3B9E">
        <w:rPr>
          <w:rFonts w:cs="Times New Roman"/>
          <w:sz w:val="28"/>
          <w:szCs w:val="28"/>
        </w:rPr>
        <w:t> </w:t>
      </w:r>
      <w:r w:rsidRPr="00DB28C3">
        <w:rPr>
          <w:rFonts w:cs="Times New Roman"/>
          <w:sz w:val="28"/>
          <w:szCs w:val="28"/>
        </w:rPr>
        <w:t xml:space="preserve">%. Savukārt neliels darba vietu skaita samazinājums bija finanšu pakalpojumu, energoapgādes un valsts pārvaldes nozarēs. Līdz ar ekonomikas izaugsmi 2019. gada pirmajā ceturksnī saglabājies arī straujš vidējās bruto darba samaksas pieaugums, salīdzinājumā ar 2018. gada pirmo ceturksni </w:t>
      </w:r>
      <w:r w:rsidR="003A3B9E">
        <w:rPr>
          <w:rFonts w:cs="Times New Roman"/>
          <w:sz w:val="28"/>
          <w:szCs w:val="28"/>
        </w:rPr>
        <w:t xml:space="preserve">tas </w:t>
      </w:r>
      <w:r w:rsidRPr="00DB28C3">
        <w:rPr>
          <w:rFonts w:cs="Times New Roman"/>
          <w:sz w:val="28"/>
          <w:szCs w:val="28"/>
        </w:rPr>
        <w:t>palielin</w:t>
      </w:r>
      <w:r w:rsidR="003A3B9E">
        <w:rPr>
          <w:rFonts w:cs="Times New Roman"/>
          <w:sz w:val="28"/>
          <w:szCs w:val="28"/>
        </w:rPr>
        <w:t>ājies</w:t>
      </w:r>
      <w:r w:rsidRPr="00DB28C3">
        <w:rPr>
          <w:rFonts w:cs="Times New Roman"/>
          <w:sz w:val="28"/>
          <w:szCs w:val="28"/>
        </w:rPr>
        <w:t xml:space="preserve"> par 7,8</w:t>
      </w:r>
      <w:r w:rsidR="003A3B9E">
        <w:rPr>
          <w:rFonts w:cs="Times New Roman"/>
          <w:sz w:val="28"/>
          <w:szCs w:val="28"/>
        </w:rPr>
        <w:t> </w:t>
      </w:r>
      <w:r w:rsidRPr="00DB28C3">
        <w:rPr>
          <w:rFonts w:cs="Times New Roman"/>
          <w:sz w:val="28"/>
          <w:szCs w:val="28"/>
        </w:rPr>
        <w:t>% līdz 1</w:t>
      </w:r>
      <w:r w:rsidR="003A3B9E">
        <w:rPr>
          <w:rFonts w:cs="Times New Roman"/>
          <w:sz w:val="28"/>
          <w:szCs w:val="28"/>
        </w:rPr>
        <w:t> </w:t>
      </w:r>
      <w:r w:rsidRPr="00DB28C3">
        <w:rPr>
          <w:rFonts w:cs="Times New Roman"/>
          <w:sz w:val="28"/>
          <w:szCs w:val="28"/>
        </w:rPr>
        <w:t xml:space="preserve">036 </w:t>
      </w:r>
      <w:proofErr w:type="spellStart"/>
      <w:r w:rsidRPr="00DB28C3">
        <w:rPr>
          <w:rFonts w:cs="Times New Roman"/>
          <w:i/>
          <w:sz w:val="28"/>
          <w:szCs w:val="28"/>
        </w:rPr>
        <w:t>euro</w:t>
      </w:r>
      <w:proofErr w:type="spellEnd"/>
      <w:r w:rsidRPr="00DB28C3">
        <w:rPr>
          <w:rFonts w:cs="Times New Roman"/>
          <w:sz w:val="28"/>
          <w:szCs w:val="28"/>
        </w:rPr>
        <w:t xml:space="preserve">. Darba samaksas pieaugums bija nedaudz </w:t>
      </w:r>
      <w:r w:rsidR="00F04C8F" w:rsidRPr="00DB28C3">
        <w:rPr>
          <w:rFonts w:cs="Times New Roman"/>
          <w:sz w:val="28"/>
          <w:szCs w:val="28"/>
        </w:rPr>
        <w:t>mazāks</w:t>
      </w:r>
      <w:r w:rsidRPr="00DB28C3">
        <w:rPr>
          <w:rFonts w:cs="Times New Roman"/>
          <w:sz w:val="28"/>
          <w:szCs w:val="28"/>
        </w:rPr>
        <w:t xml:space="preserve"> nekā 2018. gadā, kad vidējā darba samaksa bija </w:t>
      </w:r>
      <w:r w:rsidR="00F04C8F" w:rsidRPr="00DB28C3">
        <w:rPr>
          <w:rFonts w:cs="Times New Roman"/>
          <w:sz w:val="28"/>
          <w:szCs w:val="28"/>
        </w:rPr>
        <w:t>pieaugusi par 8,4</w:t>
      </w:r>
      <w:r w:rsidR="003A3B9E">
        <w:rPr>
          <w:rFonts w:cs="Times New Roman"/>
          <w:sz w:val="28"/>
          <w:szCs w:val="28"/>
        </w:rPr>
        <w:t> </w:t>
      </w:r>
      <w:r w:rsidR="00F04C8F" w:rsidRPr="00DB28C3">
        <w:rPr>
          <w:rFonts w:cs="Times New Roman"/>
          <w:sz w:val="28"/>
          <w:szCs w:val="28"/>
        </w:rPr>
        <w:t>%, ko veicināja</w:t>
      </w:r>
      <w:r w:rsidRPr="00DB28C3">
        <w:rPr>
          <w:rFonts w:cs="Times New Roman"/>
          <w:sz w:val="28"/>
          <w:szCs w:val="28"/>
        </w:rPr>
        <w:t xml:space="preserve"> minimālās darba samaksas </w:t>
      </w:r>
      <w:r w:rsidR="00F04C8F" w:rsidRPr="00DB28C3">
        <w:rPr>
          <w:rFonts w:cs="Times New Roman"/>
          <w:sz w:val="28"/>
          <w:szCs w:val="28"/>
        </w:rPr>
        <w:t>palielināšana</w:t>
      </w:r>
      <w:r w:rsidRPr="00DB28C3">
        <w:rPr>
          <w:rFonts w:cs="Times New Roman"/>
          <w:sz w:val="28"/>
          <w:szCs w:val="28"/>
        </w:rPr>
        <w:t>. 2019.</w:t>
      </w:r>
      <w:r w:rsidR="003A3B9E">
        <w:rPr>
          <w:rFonts w:cs="Times New Roman"/>
          <w:sz w:val="28"/>
          <w:szCs w:val="28"/>
        </w:rPr>
        <w:t> </w:t>
      </w:r>
      <w:r w:rsidRPr="00DB28C3">
        <w:rPr>
          <w:rFonts w:cs="Times New Roman"/>
          <w:sz w:val="28"/>
          <w:szCs w:val="28"/>
        </w:rPr>
        <w:t>gada pirmajā ceturksnī straujāks algu kāpums bija privātajā sektorā, vidējai algai pieaugot par 8,4</w:t>
      </w:r>
      <w:r w:rsidR="003A3B9E">
        <w:rPr>
          <w:rFonts w:cs="Times New Roman"/>
          <w:sz w:val="28"/>
          <w:szCs w:val="28"/>
        </w:rPr>
        <w:t> </w:t>
      </w:r>
      <w:r w:rsidRPr="00DB28C3">
        <w:rPr>
          <w:rFonts w:cs="Times New Roman"/>
          <w:sz w:val="28"/>
          <w:szCs w:val="28"/>
        </w:rPr>
        <w:t>%</w:t>
      </w:r>
      <w:r w:rsidR="005E5E33" w:rsidRPr="00DB28C3">
        <w:rPr>
          <w:rFonts w:cs="Times New Roman"/>
          <w:sz w:val="28"/>
          <w:szCs w:val="28"/>
        </w:rPr>
        <w:t xml:space="preserve"> līdz 1</w:t>
      </w:r>
      <w:r w:rsidR="003A3B9E">
        <w:rPr>
          <w:rFonts w:cs="Times New Roman"/>
          <w:sz w:val="28"/>
          <w:szCs w:val="28"/>
        </w:rPr>
        <w:t> </w:t>
      </w:r>
      <w:r w:rsidR="005E5E33" w:rsidRPr="00DB28C3">
        <w:rPr>
          <w:rFonts w:cs="Times New Roman"/>
          <w:sz w:val="28"/>
          <w:szCs w:val="28"/>
        </w:rPr>
        <w:t xml:space="preserve">038 </w:t>
      </w:r>
      <w:proofErr w:type="spellStart"/>
      <w:r w:rsidR="005E5E33" w:rsidRPr="00DB28C3">
        <w:rPr>
          <w:rFonts w:cs="Times New Roman"/>
          <w:i/>
          <w:sz w:val="28"/>
          <w:szCs w:val="28"/>
        </w:rPr>
        <w:t>euro</w:t>
      </w:r>
      <w:proofErr w:type="spellEnd"/>
      <w:r w:rsidRPr="00DB28C3">
        <w:rPr>
          <w:rFonts w:cs="Times New Roman"/>
          <w:sz w:val="28"/>
          <w:szCs w:val="28"/>
        </w:rPr>
        <w:t xml:space="preserve">, </w:t>
      </w:r>
      <w:r w:rsidR="003A3B9E">
        <w:rPr>
          <w:rFonts w:cs="Times New Roman"/>
          <w:sz w:val="28"/>
          <w:szCs w:val="28"/>
        </w:rPr>
        <w:t>bet</w:t>
      </w:r>
      <w:r w:rsidR="003A3B9E" w:rsidRPr="00DB28C3">
        <w:rPr>
          <w:rFonts w:cs="Times New Roman"/>
          <w:sz w:val="28"/>
          <w:szCs w:val="28"/>
        </w:rPr>
        <w:t xml:space="preserve"> </w:t>
      </w:r>
      <w:r w:rsidRPr="00DB28C3">
        <w:rPr>
          <w:rFonts w:cs="Times New Roman"/>
          <w:sz w:val="28"/>
          <w:szCs w:val="28"/>
        </w:rPr>
        <w:t>sabiedriskajā sektorā vidējā alga palielinājās par 6,8</w:t>
      </w:r>
      <w:r w:rsidR="003A3B9E">
        <w:rPr>
          <w:rFonts w:cs="Times New Roman"/>
          <w:sz w:val="28"/>
          <w:szCs w:val="28"/>
        </w:rPr>
        <w:t> </w:t>
      </w:r>
      <w:r w:rsidRPr="00DB28C3">
        <w:rPr>
          <w:rFonts w:cs="Times New Roman"/>
          <w:sz w:val="28"/>
          <w:szCs w:val="28"/>
        </w:rPr>
        <w:t>%</w:t>
      </w:r>
      <w:r w:rsidR="005E5E33" w:rsidRPr="00DB28C3">
        <w:rPr>
          <w:rFonts w:cs="Times New Roman"/>
          <w:sz w:val="28"/>
          <w:szCs w:val="28"/>
        </w:rPr>
        <w:t xml:space="preserve"> līdz </w:t>
      </w:r>
      <w:r w:rsidR="002F179F" w:rsidRPr="00DB28C3">
        <w:rPr>
          <w:rFonts w:cs="Times New Roman"/>
          <w:sz w:val="28"/>
          <w:szCs w:val="28"/>
        </w:rPr>
        <w:t>1</w:t>
      </w:r>
      <w:r w:rsidR="003A3B9E">
        <w:rPr>
          <w:rFonts w:cs="Times New Roman"/>
          <w:sz w:val="28"/>
          <w:szCs w:val="28"/>
        </w:rPr>
        <w:t> </w:t>
      </w:r>
      <w:r w:rsidR="002F179F" w:rsidRPr="00DB28C3">
        <w:rPr>
          <w:rFonts w:cs="Times New Roman"/>
          <w:sz w:val="28"/>
          <w:szCs w:val="28"/>
        </w:rPr>
        <w:t>035 </w:t>
      </w:r>
      <w:proofErr w:type="spellStart"/>
      <w:r w:rsidR="005E5E33" w:rsidRPr="00DB28C3">
        <w:rPr>
          <w:rFonts w:cs="Times New Roman"/>
          <w:i/>
          <w:sz w:val="28"/>
          <w:szCs w:val="28"/>
        </w:rPr>
        <w:t>euro</w:t>
      </w:r>
      <w:proofErr w:type="spellEnd"/>
      <w:r w:rsidRPr="00DB28C3">
        <w:rPr>
          <w:rFonts w:cs="Times New Roman"/>
          <w:sz w:val="28"/>
          <w:szCs w:val="28"/>
        </w:rPr>
        <w:t xml:space="preserve">. Līdz ar šo pieaugumu vidējā bruto </w:t>
      </w:r>
      <w:r w:rsidR="002F179F" w:rsidRPr="00DB28C3">
        <w:rPr>
          <w:rFonts w:cs="Times New Roman"/>
          <w:sz w:val="28"/>
          <w:szCs w:val="28"/>
        </w:rPr>
        <w:t>darba samaksa privātajā sektorā</w:t>
      </w:r>
      <w:r w:rsidR="00ED6DD9" w:rsidRPr="00DB28C3">
        <w:rPr>
          <w:rFonts w:cs="Times New Roman"/>
          <w:sz w:val="28"/>
          <w:szCs w:val="28"/>
        </w:rPr>
        <w:t xml:space="preserve">, </w:t>
      </w:r>
      <w:r w:rsidRPr="00DB28C3">
        <w:rPr>
          <w:rFonts w:cs="Times New Roman"/>
          <w:sz w:val="28"/>
          <w:szCs w:val="28"/>
        </w:rPr>
        <w:t>pirmo reizi pārsniedz sabiedrisk</w:t>
      </w:r>
      <w:r w:rsidR="005E5E33" w:rsidRPr="00DB28C3">
        <w:rPr>
          <w:rFonts w:cs="Times New Roman"/>
          <w:sz w:val="28"/>
          <w:szCs w:val="28"/>
        </w:rPr>
        <w:t>o</w:t>
      </w:r>
      <w:r w:rsidRPr="00DB28C3">
        <w:rPr>
          <w:rFonts w:cs="Times New Roman"/>
          <w:sz w:val="28"/>
          <w:szCs w:val="28"/>
        </w:rPr>
        <w:t xml:space="preserve"> sektor</w:t>
      </w:r>
      <w:r w:rsidR="002F179F" w:rsidRPr="00DB28C3">
        <w:rPr>
          <w:rFonts w:cs="Times New Roman"/>
          <w:sz w:val="28"/>
          <w:szCs w:val="28"/>
        </w:rPr>
        <w:t>u</w:t>
      </w:r>
      <w:r w:rsidRPr="00DB28C3">
        <w:rPr>
          <w:rFonts w:cs="Times New Roman"/>
          <w:sz w:val="28"/>
          <w:szCs w:val="28"/>
        </w:rPr>
        <w:t>.</w:t>
      </w:r>
    </w:p>
    <w:p w14:paraId="26668944" w14:textId="33711837" w:rsidR="00DD2363" w:rsidRPr="00DB28C3" w:rsidRDefault="00DD2363" w:rsidP="003E6377">
      <w:pPr>
        <w:spacing w:before="120" w:after="120" w:line="276" w:lineRule="auto"/>
        <w:ind w:firstLine="720"/>
        <w:jc w:val="both"/>
        <w:rPr>
          <w:rFonts w:cs="Times New Roman"/>
          <w:sz w:val="28"/>
          <w:szCs w:val="28"/>
        </w:rPr>
      </w:pPr>
      <w:r w:rsidRPr="00DB28C3">
        <w:rPr>
          <w:rFonts w:cs="Times New Roman"/>
          <w:sz w:val="28"/>
          <w:szCs w:val="28"/>
        </w:rPr>
        <w:lastRenderedPageBreak/>
        <w:t>Inflācijas līmenis Latvijā 2019.</w:t>
      </w:r>
      <w:r w:rsidR="00F04C8F" w:rsidRPr="00DB28C3">
        <w:rPr>
          <w:rFonts w:cs="Times New Roman"/>
          <w:sz w:val="28"/>
          <w:szCs w:val="28"/>
        </w:rPr>
        <w:t> gadā ir nedaudz paaugstinājies -</w:t>
      </w:r>
      <w:r w:rsidRPr="00DB28C3">
        <w:rPr>
          <w:rFonts w:cs="Times New Roman"/>
          <w:sz w:val="28"/>
          <w:szCs w:val="28"/>
        </w:rPr>
        <w:t xml:space="preserve"> no 2,5</w:t>
      </w:r>
      <w:r w:rsidR="003A3B9E">
        <w:rPr>
          <w:rFonts w:cs="Times New Roman"/>
          <w:sz w:val="28"/>
          <w:szCs w:val="28"/>
        </w:rPr>
        <w:t> </w:t>
      </w:r>
      <w:r w:rsidRPr="00DB28C3">
        <w:rPr>
          <w:rFonts w:cs="Times New Roman"/>
          <w:sz w:val="28"/>
          <w:szCs w:val="28"/>
        </w:rPr>
        <w:t>% 2018.</w:t>
      </w:r>
      <w:r w:rsidR="003A3B9E">
        <w:rPr>
          <w:rFonts w:cs="Times New Roman"/>
          <w:sz w:val="28"/>
          <w:szCs w:val="28"/>
        </w:rPr>
        <w:t> </w:t>
      </w:r>
      <w:r w:rsidRPr="00DB28C3">
        <w:rPr>
          <w:rFonts w:cs="Times New Roman"/>
          <w:sz w:val="28"/>
          <w:szCs w:val="28"/>
        </w:rPr>
        <w:t>gadā līdz 3,1</w:t>
      </w:r>
      <w:r w:rsidR="003A3B9E">
        <w:rPr>
          <w:rFonts w:cs="Times New Roman"/>
          <w:sz w:val="28"/>
          <w:szCs w:val="28"/>
        </w:rPr>
        <w:t> </w:t>
      </w:r>
      <w:r w:rsidRPr="00DB28C3">
        <w:rPr>
          <w:rFonts w:cs="Times New Roman"/>
          <w:sz w:val="28"/>
          <w:szCs w:val="28"/>
        </w:rPr>
        <w:t xml:space="preserve">% 2019. gada pirmajos piecos mēnešos. Kopējo cenu pieaugumu visvairāk ietekmēja ar mājokli saistīto preču un pakalpojumu cenu kāpums, īpaši dabasgāzei, kā arī ūdens apgādes un atkritumu savākšanas pakalpojumiem. Tāpat būtisku ietekmi uz inflācijas pieaugumu 2019. gada piecos mēnešos atstāja cenu kāpums pārtikai un bezalkoholiskajiem dzērieniem, kā arī alkoholisko dzērienu sadārdzināšanās. Preču </w:t>
      </w:r>
      <w:r w:rsidR="00AD6708" w:rsidRPr="00DB28C3">
        <w:rPr>
          <w:rFonts w:cs="Times New Roman"/>
          <w:sz w:val="28"/>
          <w:szCs w:val="28"/>
        </w:rPr>
        <w:t xml:space="preserve">un pakalpojumu </w:t>
      </w:r>
      <w:r w:rsidRPr="00DB28C3">
        <w:rPr>
          <w:rFonts w:cs="Times New Roman"/>
          <w:sz w:val="28"/>
          <w:szCs w:val="28"/>
        </w:rPr>
        <w:t xml:space="preserve">cenas kopumā 2019. gada pirmajos piecos mēnešos palielinājās </w:t>
      </w:r>
      <w:r w:rsidR="00C42541" w:rsidRPr="00DB28C3">
        <w:rPr>
          <w:rFonts w:cs="Times New Roman"/>
          <w:sz w:val="28"/>
          <w:szCs w:val="28"/>
        </w:rPr>
        <w:t xml:space="preserve">līdzīgi </w:t>
      </w:r>
      <w:r w:rsidRPr="00DB28C3">
        <w:rPr>
          <w:rFonts w:cs="Times New Roman"/>
          <w:sz w:val="28"/>
          <w:szCs w:val="28"/>
        </w:rPr>
        <w:t>par 3,1</w:t>
      </w:r>
      <w:r w:rsidR="003A3B9E">
        <w:rPr>
          <w:rFonts w:cs="Times New Roman"/>
          <w:sz w:val="28"/>
          <w:szCs w:val="28"/>
        </w:rPr>
        <w:t> </w:t>
      </w:r>
      <w:r w:rsidRPr="00DB28C3">
        <w:rPr>
          <w:rFonts w:cs="Times New Roman"/>
          <w:sz w:val="28"/>
          <w:szCs w:val="28"/>
        </w:rPr>
        <w:t>%.</w:t>
      </w:r>
    </w:p>
    <w:p w14:paraId="7080BDFE" w14:textId="254DA194" w:rsidR="00C835AE" w:rsidRPr="00DB28C3" w:rsidRDefault="00DD2363">
      <w:pPr>
        <w:pStyle w:val="1lmenis"/>
      </w:pPr>
      <w:bookmarkStart w:id="7" w:name="_Toc472416142"/>
      <w:bookmarkStart w:id="8" w:name="_Toc472416143"/>
      <w:bookmarkStart w:id="9" w:name="_Toc17468207"/>
      <w:bookmarkEnd w:id="5"/>
      <w:bookmarkEnd w:id="6"/>
      <w:bookmarkEnd w:id="7"/>
      <w:bookmarkEnd w:id="8"/>
      <w:r w:rsidRPr="00DB28C3">
        <w:t>3</w:t>
      </w:r>
      <w:r w:rsidR="00393B44" w:rsidRPr="00DB28C3">
        <w:t xml:space="preserve">. </w:t>
      </w:r>
      <w:r w:rsidR="006B7246" w:rsidRPr="00DB28C3">
        <w:t>2014.</w:t>
      </w:r>
      <w:r w:rsidR="003B0599" w:rsidRPr="00DB28C3">
        <w:t> </w:t>
      </w:r>
      <w:r w:rsidR="006B7246" w:rsidRPr="00DB28C3">
        <w:t>-</w:t>
      </w:r>
      <w:r w:rsidR="003B0599" w:rsidRPr="00DB28C3">
        <w:t> </w:t>
      </w:r>
      <w:r w:rsidR="006B7246" w:rsidRPr="00DB28C3">
        <w:t>2020</w:t>
      </w:r>
      <w:r w:rsidR="000870FE" w:rsidRPr="00DB28C3">
        <w:t>. gad</w:t>
      </w:r>
      <w:r w:rsidR="006B7246" w:rsidRPr="00DB28C3">
        <w:t xml:space="preserve">a plānošanas perioda </w:t>
      </w:r>
      <w:r w:rsidR="009E6563" w:rsidRPr="00DB28C3">
        <w:t xml:space="preserve">ES fondu </w:t>
      </w:r>
      <w:r w:rsidR="00A14C1D" w:rsidRPr="00DB28C3">
        <w:t xml:space="preserve">investīciju </w:t>
      </w:r>
      <w:r w:rsidR="00174C2B" w:rsidRPr="00DB28C3">
        <w:t>aktualitātes</w:t>
      </w:r>
      <w:bookmarkEnd w:id="9"/>
    </w:p>
    <w:p w14:paraId="59DA3279" w14:textId="1CF0515F" w:rsidR="004D3633" w:rsidRPr="00B51420" w:rsidRDefault="004D3633" w:rsidP="003E6377">
      <w:pPr>
        <w:pStyle w:val="BodyText"/>
        <w:ind w:firstLine="720"/>
        <w:jc w:val="both"/>
        <w:rPr>
          <w:rFonts w:eastAsia="Calibri"/>
          <w:b w:val="0"/>
          <w:color w:val="0D0D0D" w:themeColor="text1" w:themeTint="F2"/>
          <w:sz w:val="28"/>
          <w:szCs w:val="28"/>
          <w:lang w:val="lv-LV" w:eastAsia="ar-SA"/>
        </w:rPr>
      </w:pPr>
      <w:r w:rsidRPr="00B51420">
        <w:rPr>
          <w:rFonts w:eastAsia="Calibri"/>
          <w:b w:val="0"/>
          <w:color w:val="0D0D0D" w:themeColor="text1" w:themeTint="F2"/>
          <w:sz w:val="28"/>
          <w:szCs w:val="28"/>
          <w:lang w:val="lv-LV" w:eastAsia="ar-SA"/>
        </w:rPr>
        <w:t>Kopumā līdz 2019. gada </w:t>
      </w:r>
      <w:r w:rsidR="00D81B5A">
        <w:rPr>
          <w:rFonts w:eastAsia="Calibri"/>
          <w:b w:val="0"/>
          <w:color w:val="0D0D0D" w:themeColor="text1" w:themeTint="F2"/>
          <w:sz w:val="28"/>
          <w:szCs w:val="28"/>
          <w:lang w:val="lv-LV" w:eastAsia="ar-SA"/>
        </w:rPr>
        <w:t xml:space="preserve">23. </w:t>
      </w:r>
      <w:r w:rsidR="00943D3D">
        <w:rPr>
          <w:rFonts w:eastAsia="Calibri"/>
          <w:b w:val="0"/>
          <w:color w:val="0D0D0D" w:themeColor="text1" w:themeTint="F2"/>
          <w:sz w:val="28"/>
          <w:szCs w:val="28"/>
          <w:lang w:val="lv-LV" w:eastAsia="ar-SA"/>
        </w:rPr>
        <w:t>augusta</w:t>
      </w:r>
      <w:r w:rsidR="00D81B5A">
        <w:rPr>
          <w:rFonts w:eastAsia="Calibri"/>
          <w:b w:val="0"/>
          <w:color w:val="0D0D0D" w:themeColor="text1" w:themeTint="F2"/>
          <w:sz w:val="28"/>
          <w:szCs w:val="28"/>
          <w:lang w:val="lv-LV" w:eastAsia="ar-SA"/>
        </w:rPr>
        <w:t xml:space="preserve">m </w:t>
      </w:r>
      <w:r w:rsidRPr="00B51420">
        <w:rPr>
          <w:rFonts w:eastAsia="Calibri"/>
          <w:b w:val="0"/>
          <w:color w:val="0D0D0D" w:themeColor="text1" w:themeTint="F2"/>
          <w:sz w:val="28"/>
          <w:szCs w:val="28"/>
          <w:lang w:val="lv-LV" w:eastAsia="ar-SA"/>
        </w:rPr>
        <w:t xml:space="preserve">apstiprināti investīciju projekti jau par </w:t>
      </w:r>
      <w:r w:rsidR="00B51420" w:rsidRPr="00B51420">
        <w:rPr>
          <w:rFonts w:eastAsia="Calibri"/>
          <w:b w:val="0"/>
          <w:color w:val="0D0D0D" w:themeColor="text1" w:themeTint="F2"/>
          <w:sz w:val="28"/>
          <w:szCs w:val="28"/>
          <w:lang w:val="lv-LV" w:eastAsia="ar-SA"/>
        </w:rPr>
        <w:t>84,7</w:t>
      </w:r>
      <w:r w:rsidRPr="00B51420">
        <w:rPr>
          <w:rFonts w:eastAsia="Calibri"/>
          <w:b w:val="0"/>
          <w:color w:val="0D0D0D" w:themeColor="text1" w:themeTint="F2"/>
          <w:sz w:val="28"/>
          <w:szCs w:val="28"/>
          <w:lang w:val="lv-LV" w:eastAsia="ar-SA"/>
        </w:rPr>
        <w:t> % (3,</w:t>
      </w:r>
      <w:r w:rsidR="00B51420" w:rsidRPr="00B51420">
        <w:rPr>
          <w:rFonts w:eastAsia="Calibri"/>
          <w:b w:val="0"/>
          <w:color w:val="0D0D0D" w:themeColor="text1" w:themeTint="F2"/>
          <w:sz w:val="28"/>
          <w:szCs w:val="28"/>
          <w:lang w:val="lv-LV" w:eastAsia="ar-SA"/>
        </w:rPr>
        <w:t>7</w:t>
      </w:r>
      <w:r w:rsidRPr="00B51420">
        <w:rPr>
          <w:rFonts w:eastAsia="Calibri"/>
          <w:b w:val="0"/>
          <w:color w:val="0D0D0D" w:themeColor="text1" w:themeTint="F2"/>
          <w:sz w:val="28"/>
          <w:szCs w:val="28"/>
          <w:lang w:val="lv-LV" w:eastAsia="ar-SA"/>
        </w:rPr>
        <w:t> mljrd. </w:t>
      </w:r>
      <w:proofErr w:type="spellStart"/>
      <w:r w:rsidRPr="00B51420">
        <w:rPr>
          <w:rFonts w:eastAsia="Calibri"/>
          <w:b w:val="0"/>
          <w:i/>
          <w:color w:val="0D0D0D" w:themeColor="text1" w:themeTint="F2"/>
          <w:sz w:val="28"/>
          <w:szCs w:val="28"/>
          <w:lang w:val="lv-LV" w:eastAsia="ar-SA"/>
        </w:rPr>
        <w:t>euro</w:t>
      </w:r>
      <w:proofErr w:type="spellEnd"/>
      <w:r w:rsidRPr="00B51420">
        <w:rPr>
          <w:rFonts w:eastAsia="Calibri"/>
          <w:b w:val="0"/>
          <w:i/>
          <w:color w:val="0D0D0D" w:themeColor="text1" w:themeTint="F2"/>
          <w:sz w:val="28"/>
          <w:szCs w:val="28"/>
          <w:lang w:val="lv-LV" w:eastAsia="ar-SA"/>
        </w:rPr>
        <w:t>)</w:t>
      </w:r>
      <w:r w:rsidRPr="00B51420">
        <w:rPr>
          <w:rFonts w:eastAsia="Calibri"/>
          <w:b w:val="0"/>
          <w:color w:val="0D0D0D" w:themeColor="text1" w:themeTint="F2"/>
          <w:sz w:val="28"/>
          <w:szCs w:val="28"/>
          <w:lang w:val="lv-LV" w:eastAsia="ar-SA"/>
        </w:rPr>
        <w:t xml:space="preserve"> no kopējā ES fondu finansējuma 4,4 mljrd. </w:t>
      </w:r>
      <w:proofErr w:type="spellStart"/>
      <w:r w:rsidRPr="00B51420">
        <w:rPr>
          <w:rFonts w:eastAsia="Calibri"/>
          <w:b w:val="0"/>
          <w:i/>
          <w:color w:val="0D0D0D" w:themeColor="text1" w:themeTint="F2"/>
          <w:sz w:val="28"/>
          <w:szCs w:val="28"/>
          <w:lang w:val="lv-LV" w:eastAsia="ar-SA"/>
        </w:rPr>
        <w:t>euro</w:t>
      </w:r>
      <w:proofErr w:type="spellEnd"/>
      <w:r w:rsidRPr="00B51420">
        <w:rPr>
          <w:rFonts w:eastAsia="Calibri"/>
          <w:b w:val="0"/>
          <w:color w:val="0D0D0D" w:themeColor="text1" w:themeTint="F2"/>
          <w:sz w:val="28"/>
          <w:szCs w:val="28"/>
          <w:lang w:val="lv-LV" w:eastAsia="ar-SA"/>
        </w:rPr>
        <w:t xml:space="preserve">. </w:t>
      </w:r>
      <w:r w:rsidR="003A3B9E" w:rsidRPr="00B51420">
        <w:rPr>
          <w:rFonts w:eastAsia="Calibri"/>
          <w:b w:val="0"/>
          <w:color w:val="0D0D0D" w:themeColor="text1" w:themeTint="F2"/>
          <w:sz w:val="28"/>
          <w:szCs w:val="28"/>
          <w:lang w:val="lv-LV" w:eastAsia="ar-SA"/>
        </w:rPr>
        <w:t>Skatīt kopējo progresa ilustrāciju Nr. 1 un Nr. 2.</w:t>
      </w:r>
    </w:p>
    <w:p w14:paraId="688A31AC" w14:textId="39FE1219" w:rsidR="00927EA0" w:rsidRPr="00DB28C3" w:rsidRDefault="00927EA0" w:rsidP="00AC7C86">
      <w:pPr>
        <w:spacing w:before="120" w:after="120"/>
        <w:jc w:val="both"/>
        <w:rPr>
          <w:rFonts w:cs="Times New Roman"/>
          <w:sz w:val="28"/>
          <w:szCs w:val="28"/>
        </w:rPr>
      </w:pPr>
      <w:r w:rsidRPr="00B51420">
        <w:rPr>
          <w:rFonts w:cs="Times New Roman"/>
          <w:i/>
          <w:szCs w:val="28"/>
        </w:rPr>
        <w:t>Ilustrācija Nr. </w:t>
      </w:r>
      <w:r w:rsidRPr="00B51420">
        <w:rPr>
          <w:rFonts w:cs="Times New Roman"/>
          <w:i/>
          <w:szCs w:val="28"/>
        </w:rPr>
        <w:fldChar w:fldCharType="begin"/>
      </w:r>
      <w:r w:rsidRPr="00B51420">
        <w:rPr>
          <w:rFonts w:cs="Times New Roman"/>
          <w:i/>
          <w:szCs w:val="28"/>
        </w:rPr>
        <w:instrText xml:space="preserve"> SEQ Ilustrācija \* ARABIC </w:instrText>
      </w:r>
      <w:r w:rsidRPr="00B51420">
        <w:rPr>
          <w:rFonts w:cs="Times New Roman"/>
          <w:i/>
          <w:szCs w:val="28"/>
        </w:rPr>
        <w:fldChar w:fldCharType="separate"/>
      </w:r>
      <w:r w:rsidR="008855BD">
        <w:rPr>
          <w:rFonts w:cs="Times New Roman"/>
          <w:i/>
          <w:noProof/>
          <w:szCs w:val="28"/>
        </w:rPr>
        <w:t>1</w:t>
      </w:r>
      <w:r w:rsidRPr="00B51420">
        <w:rPr>
          <w:rFonts w:cs="Times New Roman"/>
          <w:i/>
          <w:szCs w:val="28"/>
        </w:rPr>
        <w:fldChar w:fldCharType="end"/>
      </w:r>
      <w:r w:rsidRPr="00B51420">
        <w:rPr>
          <w:rFonts w:cs="Times New Roman"/>
          <w:i/>
          <w:szCs w:val="28"/>
        </w:rPr>
        <w:t xml:space="preserve"> “ES fondu projektu ieviešanas statuss līdz</w:t>
      </w:r>
      <w:r w:rsidR="00F71DCA" w:rsidRPr="00B51420">
        <w:rPr>
          <w:rFonts w:cs="Times New Roman"/>
          <w:i/>
          <w:szCs w:val="28"/>
        </w:rPr>
        <w:t xml:space="preserve"> 2019. gada </w:t>
      </w:r>
      <w:r w:rsidR="0075544B" w:rsidRPr="00B51420">
        <w:rPr>
          <w:rFonts w:cs="Times New Roman"/>
          <w:i/>
          <w:szCs w:val="28"/>
        </w:rPr>
        <w:t xml:space="preserve">1. </w:t>
      </w:r>
      <w:r w:rsidR="00B51420" w:rsidRPr="00B51420">
        <w:rPr>
          <w:rFonts w:cs="Times New Roman"/>
          <w:i/>
          <w:szCs w:val="28"/>
        </w:rPr>
        <w:t>augustam</w:t>
      </w:r>
      <w:r w:rsidR="00F71DCA" w:rsidRPr="00B51420">
        <w:rPr>
          <w:rFonts w:cs="Times New Roman"/>
          <w:i/>
          <w:szCs w:val="28"/>
        </w:rPr>
        <w:t>,</w:t>
      </w:r>
      <w:r w:rsidRPr="00B51420">
        <w:rPr>
          <w:rFonts w:cs="Times New Roman"/>
          <w:i/>
          <w:szCs w:val="28"/>
        </w:rPr>
        <w:t xml:space="preserve"> milj. </w:t>
      </w:r>
      <w:proofErr w:type="spellStart"/>
      <w:r w:rsidRPr="00B51420">
        <w:rPr>
          <w:rFonts w:cs="Times New Roman"/>
          <w:i/>
          <w:szCs w:val="28"/>
        </w:rPr>
        <w:t>euro</w:t>
      </w:r>
      <w:proofErr w:type="spellEnd"/>
      <w:r w:rsidRPr="00B51420">
        <w:rPr>
          <w:rFonts w:cs="Times New Roman"/>
          <w:i/>
          <w:szCs w:val="28"/>
        </w:rPr>
        <w:t xml:space="preserve">, % no ES fondu finansējuma; progress pret datiem līdz </w:t>
      </w:r>
      <w:r w:rsidR="0075544B" w:rsidRPr="00B51420">
        <w:rPr>
          <w:rFonts w:cs="Times New Roman"/>
          <w:i/>
          <w:szCs w:val="28"/>
        </w:rPr>
        <w:t>2019</w:t>
      </w:r>
      <w:r w:rsidR="00F71DCA" w:rsidRPr="00B51420">
        <w:rPr>
          <w:rFonts w:cs="Times New Roman"/>
          <w:i/>
          <w:szCs w:val="28"/>
        </w:rPr>
        <w:t xml:space="preserve">. gada </w:t>
      </w:r>
      <w:r w:rsidR="0075544B" w:rsidRPr="00B51420">
        <w:rPr>
          <w:rFonts w:cs="Times New Roman"/>
          <w:i/>
          <w:szCs w:val="28"/>
        </w:rPr>
        <w:t>1. janvāri</w:t>
      </w:r>
      <w:r w:rsidRPr="00B51420">
        <w:rPr>
          <w:rFonts w:cs="Times New Roman"/>
          <w:i/>
          <w:szCs w:val="28"/>
        </w:rPr>
        <w:t>”</w:t>
      </w:r>
      <w:r w:rsidR="0075544B" w:rsidRPr="00B51420">
        <w:rPr>
          <w:lang w:eastAsia="lv-LV"/>
        </w:rPr>
        <w:t>.</w:t>
      </w:r>
    </w:p>
    <w:p w14:paraId="74514AB1" w14:textId="0B7C1BFB" w:rsidR="00927EA0" w:rsidRPr="00DB28C3" w:rsidRDefault="00B51420" w:rsidP="00613168">
      <w:pPr>
        <w:pStyle w:val="BodyText"/>
        <w:tabs>
          <w:tab w:val="left" w:pos="0"/>
        </w:tabs>
        <w:suppressAutoHyphens/>
        <w:jc w:val="both"/>
        <w:rPr>
          <w:b w:val="0"/>
          <w:i/>
          <w:color w:val="0D0D0D" w:themeColor="text1" w:themeTint="F2"/>
          <w:sz w:val="28"/>
          <w:szCs w:val="28"/>
          <w:highlight w:val="yellow"/>
          <w:lang w:val="lv-LV"/>
        </w:rPr>
      </w:pPr>
      <w:r>
        <w:rPr>
          <w:noProof/>
          <w:lang w:val="lv-LV" w:eastAsia="lv-LV"/>
        </w:rPr>
        <w:drawing>
          <wp:inline distT="0" distB="0" distL="0" distR="0" wp14:anchorId="78926A01" wp14:editId="5A5B7549">
            <wp:extent cx="5731510" cy="4362450"/>
            <wp:effectExtent l="0" t="0" r="254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20C33C15" w14:textId="2E3BBC16" w:rsidR="007514F4" w:rsidRPr="00DB28C3" w:rsidRDefault="007514F4" w:rsidP="003E6377">
      <w:pPr>
        <w:pStyle w:val="BodyText"/>
        <w:ind w:firstLine="720"/>
        <w:jc w:val="both"/>
        <w:rPr>
          <w:rFonts w:eastAsia="Calibri"/>
          <w:b w:val="0"/>
          <w:color w:val="0D0D0D" w:themeColor="text1" w:themeTint="F2"/>
          <w:sz w:val="28"/>
          <w:szCs w:val="28"/>
          <w:lang w:val="lv-LV" w:eastAsia="ar-SA"/>
        </w:rPr>
      </w:pPr>
      <w:r w:rsidRPr="00E738B2">
        <w:rPr>
          <w:rFonts w:eastAsia="Calibri"/>
          <w:b w:val="0"/>
          <w:color w:val="0D0D0D" w:themeColor="text1" w:themeTint="F2"/>
          <w:sz w:val="28"/>
          <w:szCs w:val="28"/>
          <w:lang w:val="lv-LV" w:eastAsia="ar-SA"/>
        </w:rPr>
        <w:t>ES atbalsta maksājumi projektos jau pārsniedz 1,5 mljrd. </w:t>
      </w:r>
      <w:proofErr w:type="spellStart"/>
      <w:r w:rsidRPr="00E738B2">
        <w:rPr>
          <w:rFonts w:eastAsia="Calibri"/>
          <w:b w:val="0"/>
          <w:i/>
          <w:color w:val="0D0D0D" w:themeColor="text1" w:themeTint="F2"/>
          <w:sz w:val="28"/>
          <w:szCs w:val="28"/>
          <w:lang w:val="lv-LV" w:eastAsia="ar-SA"/>
        </w:rPr>
        <w:t>euro</w:t>
      </w:r>
      <w:proofErr w:type="spellEnd"/>
      <w:r w:rsidRPr="00E738B2">
        <w:rPr>
          <w:rFonts w:eastAsia="Calibri"/>
          <w:b w:val="0"/>
          <w:color w:val="0D0D0D" w:themeColor="text1" w:themeTint="F2"/>
          <w:sz w:val="28"/>
          <w:szCs w:val="28"/>
          <w:lang w:val="lv-LV" w:eastAsia="ar-SA"/>
        </w:rPr>
        <w:t> (35</w:t>
      </w:r>
      <w:r w:rsidR="008E26A0" w:rsidRPr="00E738B2">
        <w:rPr>
          <w:rFonts w:eastAsia="Calibri"/>
          <w:b w:val="0"/>
          <w:color w:val="0D0D0D" w:themeColor="text1" w:themeTint="F2"/>
          <w:sz w:val="28"/>
          <w:szCs w:val="28"/>
          <w:lang w:val="lv-LV" w:eastAsia="ar-SA"/>
        </w:rPr>
        <w:t>,</w:t>
      </w:r>
      <w:r w:rsidR="00D4557A">
        <w:rPr>
          <w:rFonts w:eastAsia="Calibri"/>
          <w:b w:val="0"/>
          <w:color w:val="0D0D0D" w:themeColor="text1" w:themeTint="F2"/>
          <w:sz w:val="28"/>
          <w:szCs w:val="28"/>
          <w:lang w:val="lv-LV" w:eastAsia="ar-SA"/>
        </w:rPr>
        <w:t>3</w:t>
      </w:r>
      <w:r w:rsidRPr="00E738B2">
        <w:rPr>
          <w:rFonts w:eastAsia="Calibri"/>
          <w:b w:val="0"/>
          <w:color w:val="0D0D0D" w:themeColor="text1" w:themeTint="F2"/>
          <w:sz w:val="28"/>
          <w:szCs w:val="28"/>
          <w:lang w:val="lv-LV" w:eastAsia="ar-SA"/>
        </w:rPr>
        <w:t xml:space="preserve"> %). </w:t>
      </w:r>
      <w:r w:rsidRPr="00E738B2">
        <w:rPr>
          <w:b w:val="0"/>
          <w:sz w:val="28"/>
          <w:szCs w:val="28"/>
          <w:lang w:val="lv-LV"/>
        </w:rPr>
        <w:t>2019. gada jū</w:t>
      </w:r>
      <w:r w:rsidR="000F79BB" w:rsidRPr="00E738B2">
        <w:rPr>
          <w:b w:val="0"/>
          <w:sz w:val="28"/>
          <w:szCs w:val="28"/>
          <w:lang w:val="lv-LV"/>
        </w:rPr>
        <w:t>l</w:t>
      </w:r>
      <w:r w:rsidRPr="00E738B2">
        <w:rPr>
          <w:b w:val="0"/>
          <w:sz w:val="28"/>
          <w:szCs w:val="28"/>
          <w:lang w:val="lv-LV"/>
        </w:rPr>
        <w:t xml:space="preserve">ijā ievērojamākā dinamika ES fondu atmaksās par investīciju izdevumiem </w:t>
      </w:r>
      <w:r w:rsidRPr="00E738B2">
        <w:rPr>
          <w:rFonts w:eastAsia="Calibri"/>
          <w:b w:val="0"/>
          <w:color w:val="0D0D0D" w:themeColor="text1" w:themeTint="F2"/>
          <w:sz w:val="28"/>
          <w:szCs w:val="28"/>
          <w:lang w:val="lv-LV" w:eastAsia="ar-SA"/>
        </w:rPr>
        <w:t>ir pārejas uz ekonomiku ar zemu oglekļa emisijas līmeni,</w:t>
      </w:r>
      <w:r w:rsidR="000F79BB" w:rsidRPr="00E738B2">
        <w:rPr>
          <w:rFonts w:eastAsia="Calibri"/>
          <w:b w:val="0"/>
          <w:color w:val="0D0D0D" w:themeColor="text1" w:themeTint="F2"/>
          <w:sz w:val="28"/>
          <w:szCs w:val="28"/>
          <w:lang w:val="lv-LV" w:eastAsia="ar-SA"/>
        </w:rPr>
        <w:t xml:space="preserve"> ilgtspējīgas transporta sistēmas attīstīšanai, </w:t>
      </w:r>
      <w:r w:rsidRPr="00E738B2">
        <w:rPr>
          <w:rFonts w:eastAsia="Calibri"/>
          <w:b w:val="0"/>
          <w:color w:val="0D0D0D" w:themeColor="text1" w:themeTint="F2"/>
          <w:sz w:val="28"/>
          <w:szCs w:val="28"/>
          <w:lang w:val="lv-LV" w:eastAsia="ar-SA"/>
        </w:rPr>
        <w:t>sociālās iekļaušanas un nabadzības apkarošana</w:t>
      </w:r>
      <w:r w:rsidR="000F79BB" w:rsidRPr="00E738B2">
        <w:rPr>
          <w:rFonts w:eastAsia="Calibri"/>
          <w:b w:val="0"/>
          <w:color w:val="0D0D0D" w:themeColor="text1" w:themeTint="F2"/>
          <w:sz w:val="28"/>
          <w:szCs w:val="28"/>
          <w:lang w:val="lv-LV" w:eastAsia="ar-SA"/>
        </w:rPr>
        <w:t>i</w:t>
      </w:r>
      <w:r w:rsidRPr="00E738B2">
        <w:rPr>
          <w:rFonts w:eastAsia="Calibri"/>
          <w:b w:val="0"/>
          <w:color w:val="0D0D0D" w:themeColor="text1" w:themeTint="F2"/>
          <w:sz w:val="28"/>
          <w:szCs w:val="28"/>
          <w:lang w:val="lv-LV" w:eastAsia="ar-SA"/>
        </w:rPr>
        <w:t xml:space="preserve"> </w:t>
      </w:r>
      <w:r w:rsidRPr="00E738B2">
        <w:rPr>
          <w:rFonts w:eastAsia="Calibri"/>
          <w:b w:val="0"/>
          <w:color w:val="0D0D0D" w:themeColor="text1" w:themeTint="F2"/>
          <w:sz w:val="28"/>
          <w:szCs w:val="28"/>
          <w:lang w:val="lv-LV" w:eastAsia="ar-SA"/>
        </w:rPr>
        <w:lastRenderedPageBreak/>
        <w:t xml:space="preserve">un </w:t>
      </w:r>
      <w:r w:rsidR="000F79BB" w:rsidRPr="00E738B2">
        <w:rPr>
          <w:rFonts w:eastAsia="Calibri"/>
          <w:b w:val="0"/>
          <w:color w:val="0D0D0D" w:themeColor="text1" w:themeTint="F2"/>
          <w:sz w:val="28"/>
          <w:szCs w:val="28"/>
          <w:lang w:val="lv-LV" w:eastAsia="ar-SA"/>
        </w:rPr>
        <w:t>izglītības, prasmju un mūžizglītības veicināšanai.</w:t>
      </w:r>
      <w:r w:rsidRPr="00DB28C3">
        <w:rPr>
          <w:rFonts w:eastAsia="Calibri"/>
          <w:b w:val="0"/>
          <w:color w:val="0D0D0D" w:themeColor="text1" w:themeTint="F2"/>
          <w:sz w:val="28"/>
          <w:szCs w:val="28"/>
          <w:lang w:val="lv-LV" w:eastAsia="ar-SA"/>
        </w:rPr>
        <w:t xml:space="preserve"> </w:t>
      </w:r>
      <w:r w:rsidRPr="00DB28C3">
        <w:rPr>
          <w:rFonts w:eastAsia="Calibri"/>
          <w:b w:val="0"/>
          <w:sz w:val="28"/>
          <w:szCs w:val="28"/>
          <w:lang w:val="lv-LV"/>
        </w:rPr>
        <w:t>FI</w:t>
      </w:r>
      <w:r w:rsidRPr="00DB28C3">
        <w:rPr>
          <w:rStyle w:val="FootnoteReference"/>
          <w:rFonts w:eastAsia="Calibri"/>
          <w:b w:val="0"/>
          <w:sz w:val="28"/>
          <w:szCs w:val="28"/>
          <w:lang w:val="lv-LV"/>
        </w:rPr>
        <w:footnoteReference w:id="6"/>
      </w:r>
      <w:r w:rsidRPr="00DB28C3">
        <w:rPr>
          <w:rFonts w:eastAsia="Calibri"/>
          <w:b w:val="0"/>
          <w:sz w:val="28"/>
          <w:szCs w:val="28"/>
          <w:lang w:val="lv-LV"/>
        </w:rPr>
        <w:t xml:space="preserve"> kumulatīvi līdz 2019. gada 1. aprīlim investēts 180,0 milj. </w:t>
      </w:r>
      <w:proofErr w:type="spellStart"/>
      <w:r w:rsidRPr="00DB28C3">
        <w:rPr>
          <w:rFonts w:eastAsia="Calibri"/>
          <w:b w:val="0"/>
          <w:i/>
          <w:sz w:val="28"/>
          <w:szCs w:val="28"/>
          <w:lang w:val="lv-LV"/>
        </w:rPr>
        <w:t>euro</w:t>
      </w:r>
      <w:proofErr w:type="spellEnd"/>
      <w:r w:rsidRPr="00DB28C3">
        <w:rPr>
          <w:rFonts w:eastAsia="Calibri"/>
          <w:b w:val="0"/>
          <w:sz w:val="28"/>
          <w:szCs w:val="28"/>
          <w:lang w:val="lv-LV"/>
        </w:rPr>
        <w:t xml:space="preserve">, no tiem 28,5 milj. </w:t>
      </w:r>
      <w:proofErr w:type="spellStart"/>
      <w:r w:rsidRPr="00DB28C3">
        <w:rPr>
          <w:rFonts w:eastAsia="Calibri"/>
          <w:b w:val="0"/>
          <w:i/>
          <w:sz w:val="28"/>
          <w:szCs w:val="28"/>
          <w:lang w:val="lv-LV"/>
        </w:rPr>
        <w:t>euro</w:t>
      </w:r>
      <w:proofErr w:type="spellEnd"/>
      <w:r w:rsidRPr="00DB28C3">
        <w:rPr>
          <w:rFonts w:eastAsia="Calibri"/>
          <w:b w:val="0"/>
          <w:sz w:val="28"/>
          <w:szCs w:val="28"/>
          <w:lang w:val="lv-LV"/>
        </w:rPr>
        <w:t xml:space="preserve"> ERAF jeb 22,0</w:t>
      </w:r>
      <w:r w:rsidR="003A3B9E">
        <w:rPr>
          <w:rFonts w:eastAsia="Calibri"/>
          <w:b w:val="0"/>
          <w:sz w:val="28"/>
          <w:szCs w:val="28"/>
          <w:lang w:val="lv-LV"/>
        </w:rPr>
        <w:t> </w:t>
      </w:r>
      <w:r w:rsidRPr="00DB28C3">
        <w:rPr>
          <w:rFonts w:eastAsia="Calibri"/>
          <w:b w:val="0"/>
          <w:sz w:val="28"/>
          <w:szCs w:val="28"/>
          <w:lang w:val="lv-LV"/>
        </w:rPr>
        <w:t>% no kopējā finanšu instrumentiem pieejamā ES fondu finansējuma, t.sk. gala saņēmēju līmenī investēti 175,2 milj. </w:t>
      </w:r>
      <w:proofErr w:type="spellStart"/>
      <w:r w:rsidRPr="00DB28C3">
        <w:rPr>
          <w:rFonts w:eastAsia="Calibri"/>
          <w:b w:val="0"/>
          <w:i/>
          <w:sz w:val="28"/>
          <w:szCs w:val="28"/>
          <w:lang w:val="lv-LV"/>
        </w:rPr>
        <w:t>euro</w:t>
      </w:r>
      <w:proofErr w:type="spellEnd"/>
      <w:r w:rsidRPr="00DB28C3">
        <w:rPr>
          <w:rFonts w:eastAsia="Calibri"/>
          <w:b w:val="0"/>
          <w:sz w:val="28"/>
          <w:szCs w:val="28"/>
          <w:lang w:val="lv-LV"/>
        </w:rPr>
        <w:t>, no tiem 23,6 milj. </w:t>
      </w:r>
      <w:proofErr w:type="spellStart"/>
      <w:r w:rsidRPr="00DB28C3">
        <w:rPr>
          <w:rFonts w:eastAsia="Calibri"/>
          <w:b w:val="0"/>
          <w:i/>
          <w:sz w:val="28"/>
          <w:szCs w:val="28"/>
          <w:lang w:val="lv-LV"/>
        </w:rPr>
        <w:t>euro</w:t>
      </w:r>
      <w:proofErr w:type="spellEnd"/>
      <w:r w:rsidRPr="00DB28C3">
        <w:rPr>
          <w:rFonts w:eastAsia="Calibri"/>
          <w:b w:val="0"/>
          <w:sz w:val="28"/>
          <w:szCs w:val="28"/>
          <w:lang w:val="lv-LV"/>
        </w:rPr>
        <w:t xml:space="preserve"> ERAF</w:t>
      </w:r>
      <w:r w:rsidR="00C77614">
        <w:rPr>
          <w:rFonts w:eastAsia="Calibri"/>
          <w:b w:val="0"/>
          <w:sz w:val="28"/>
          <w:szCs w:val="28"/>
          <w:lang w:val="lv-LV"/>
        </w:rPr>
        <w:t>.</w:t>
      </w:r>
      <w:r w:rsidRPr="00DB28C3">
        <w:rPr>
          <w:b w:val="0"/>
          <w:color w:val="0D0D0D" w:themeColor="text1" w:themeTint="F2"/>
          <w:sz w:val="28"/>
          <w:szCs w:val="28"/>
          <w:lang w:val="lv-LV"/>
        </w:rPr>
        <w:t xml:space="preserve"> </w:t>
      </w:r>
    </w:p>
    <w:p w14:paraId="71024CBA" w14:textId="10DA5F9B" w:rsidR="00E620B3" w:rsidRPr="00DB28C3" w:rsidRDefault="00880516" w:rsidP="00771FF0">
      <w:pPr>
        <w:spacing w:before="120" w:after="120" w:line="276" w:lineRule="auto"/>
        <w:jc w:val="both"/>
        <w:rPr>
          <w:i/>
          <w:color w:val="0D0D0D" w:themeColor="text1" w:themeTint="F2"/>
          <w:szCs w:val="28"/>
        </w:rPr>
      </w:pPr>
      <w:r w:rsidRPr="00DB28C3">
        <w:rPr>
          <w:rFonts w:cs="Times New Roman"/>
          <w:i/>
          <w:szCs w:val="28"/>
        </w:rPr>
        <w:t xml:space="preserve">Ilustrācija Nr. 2 </w:t>
      </w:r>
      <w:r w:rsidRPr="00DB28C3">
        <w:rPr>
          <w:i/>
          <w:color w:val="0D0D0D" w:themeColor="text1" w:themeTint="F2"/>
          <w:szCs w:val="28"/>
        </w:rPr>
        <w:t>“Tendences līdz 201</w:t>
      </w:r>
      <w:r w:rsidR="00A63126" w:rsidRPr="00DB28C3">
        <w:rPr>
          <w:i/>
          <w:color w:val="0D0D0D" w:themeColor="text1" w:themeTint="F2"/>
          <w:szCs w:val="28"/>
        </w:rPr>
        <w:t>9</w:t>
      </w:r>
      <w:r w:rsidRPr="00DB28C3">
        <w:rPr>
          <w:i/>
          <w:color w:val="0D0D0D" w:themeColor="text1" w:themeTint="F2"/>
          <w:szCs w:val="28"/>
        </w:rPr>
        <w:t xml:space="preserve">. gada </w:t>
      </w:r>
      <w:r w:rsidR="0096681F" w:rsidRPr="00DB28C3">
        <w:rPr>
          <w:i/>
          <w:color w:val="0D0D0D" w:themeColor="text1" w:themeTint="F2"/>
          <w:szCs w:val="28"/>
        </w:rPr>
        <w:t>1</w:t>
      </w:r>
      <w:r w:rsidRPr="00DB28C3">
        <w:rPr>
          <w:i/>
          <w:color w:val="0D0D0D" w:themeColor="text1" w:themeTint="F2"/>
          <w:szCs w:val="28"/>
        </w:rPr>
        <w:t>. </w:t>
      </w:r>
      <w:r w:rsidR="001613DD">
        <w:rPr>
          <w:i/>
          <w:color w:val="0D0D0D" w:themeColor="text1" w:themeTint="F2"/>
          <w:szCs w:val="28"/>
        </w:rPr>
        <w:t>augustam</w:t>
      </w:r>
      <w:r w:rsidRPr="00DB28C3">
        <w:rPr>
          <w:i/>
          <w:color w:val="0D0D0D" w:themeColor="text1" w:themeTint="F2"/>
          <w:szCs w:val="28"/>
        </w:rPr>
        <w:t>, milj. </w:t>
      </w:r>
      <w:proofErr w:type="spellStart"/>
      <w:r w:rsidRPr="00DB28C3">
        <w:rPr>
          <w:i/>
          <w:color w:val="0D0D0D" w:themeColor="text1" w:themeTint="F2"/>
          <w:szCs w:val="28"/>
        </w:rPr>
        <w:t>euro</w:t>
      </w:r>
      <w:proofErr w:type="spellEnd"/>
      <w:r w:rsidRPr="00DB28C3">
        <w:rPr>
          <w:i/>
          <w:color w:val="0D0D0D" w:themeColor="text1" w:themeTint="F2"/>
          <w:szCs w:val="28"/>
        </w:rPr>
        <w:t>, ES fondu finansējums”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71"/>
      </w:tblGrid>
      <w:tr w:rsidR="00771FF0" w:rsidRPr="00DB28C3" w14:paraId="643FE10F" w14:textId="77777777" w:rsidTr="00B516B1">
        <w:tc>
          <w:tcPr>
            <w:tcW w:w="9071" w:type="dxa"/>
          </w:tcPr>
          <w:p w14:paraId="0595F0B4" w14:textId="7B6D8FB1" w:rsidR="00771FF0" w:rsidRPr="00DB28C3" w:rsidRDefault="00B516B1" w:rsidP="008A0733">
            <w:pPr>
              <w:spacing w:before="120" w:after="120"/>
              <w:ind w:right="3300"/>
              <w:rPr>
                <w:rFonts w:eastAsia="Calibri" w:cs="DokChampa"/>
                <w:lang w:eastAsia="lv-LV"/>
              </w:rPr>
            </w:pPr>
            <w:r>
              <w:rPr>
                <w:noProof/>
                <w:lang w:eastAsia="lv-LV"/>
              </w:rPr>
              <w:drawing>
                <wp:inline distT="0" distB="0" distL="0" distR="0" wp14:anchorId="352E8352" wp14:editId="6105791D">
                  <wp:extent cx="5638800" cy="2247900"/>
                  <wp:effectExtent l="0" t="0" r="0" b="0"/>
                  <wp:docPr id="17"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tc>
      </w:tr>
      <w:tr w:rsidR="00771FF0" w:rsidRPr="00DB28C3" w14:paraId="7112070E" w14:textId="77777777" w:rsidTr="001613DD">
        <w:tc>
          <w:tcPr>
            <w:tcW w:w="9071" w:type="dxa"/>
          </w:tcPr>
          <w:p w14:paraId="01A9FB15" w14:textId="6B10D8D0" w:rsidR="00771FF0" w:rsidRPr="00DB28C3" w:rsidRDefault="001613DD" w:rsidP="00771FF0">
            <w:pPr>
              <w:spacing w:before="120" w:after="120"/>
              <w:rPr>
                <w:rFonts w:eastAsia="Calibri" w:cs="DokChampa"/>
                <w:lang w:eastAsia="lv-LV"/>
              </w:rPr>
            </w:pPr>
            <w:r>
              <w:rPr>
                <w:noProof/>
                <w:lang w:eastAsia="lv-LV"/>
              </w:rPr>
              <w:drawing>
                <wp:inline distT="0" distB="0" distL="0" distR="0" wp14:anchorId="005AA352" wp14:editId="1EC86799">
                  <wp:extent cx="5638800" cy="2038350"/>
                  <wp:effectExtent l="0" t="0" r="0" b="0"/>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tc>
      </w:tr>
      <w:tr w:rsidR="00771FF0" w:rsidRPr="00DB28C3" w14:paraId="78441A24" w14:textId="77777777" w:rsidTr="00675A0E">
        <w:tc>
          <w:tcPr>
            <w:tcW w:w="9071" w:type="dxa"/>
          </w:tcPr>
          <w:p w14:paraId="5BA5874A" w14:textId="7420F3F7" w:rsidR="00771FF0" w:rsidRPr="00DB28C3" w:rsidRDefault="00675A0E" w:rsidP="00B51420">
            <w:pPr>
              <w:tabs>
                <w:tab w:val="left" w:pos="5565"/>
              </w:tabs>
              <w:spacing w:before="120" w:after="120"/>
              <w:rPr>
                <w:rFonts w:eastAsia="Calibri" w:cs="DokChampa"/>
                <w:lang w:eastAsia="lv-LV"/>
              </w:rPr>
            </w:pPr>
            <w:r>
              <w:rPr>
                <w:noProof/>
                <w:lang w:eastAsia="lv-LV"/>
              </w:rPr>
              <w:drawing>
                <wp:inline distT="0" distB="0" distL="0" distR="0" wp14:anchorId="2F3C4889" wp14:editId="3DE0A661">
                  <wp:extent cx="5648325" cy="2133600"/>
                  <wp:effectExtent l="0" t="0" r="9525" b="0"/>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tc>
      </w:tr>
      <w:tr w:rsidR="00771FF0" w:rsidRPr="00DB28C3" w14:paraId="43BFB5BD" w14:textId="77777777" w:rsidTr="00675A0E">
        <w:tc>
          <w:tcPr>
            <w:tcW w:w="9071" w:type="dxa"/>
          </w:tcPr>
          <w:p w14:paraId="67ABC55F" w14:textId="5D4323C4" w:rsidR="00771FF0" w:rsidRPr="00DB28C3" w:rsidRDefault="00675A0E" w:rsidP="00771FF0">
            <w:pPr>
              <w:spacing w:before="120" w:after="120"/>
              <w:rPr>
                <w:rFonts w:eastAsia="Calibri" w:cs="DokChampa"/>
                <w:lang w:eastAsia="lv-LV"/>
              </w:rPr>
            </w:pPr>
            <w:r>
              <w:rPr>
                <w:noProof/>
                <w:lang w:eastAsia="lv-LV"/>
              </w:rPr>
              <w:lastRenderedPageBreak/>
              <w:drawing>
                <wp:inline distT="0" distB="0" distL="0" distR="0" wp14:anchorId="73C00E9C" wp14:editId="2153D914">
                  <wp:extent cx="5553075" cy="2105025"/>
                  <wp:effectExtent l="0" t="0" r="9525" b="952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tc>
      </w:tr>
    </w:tbl>
    <w:p w14:paraId="4A1411C6" w14:textId="10C37F20" w:rsidR="00FA4DE1" w:rsidRDefault="006A6875" w:rsidP="006A6875">
      <w:pPr>
        <w:spacing w:before="120" w:after="120" w:line="276" w:lineRule="auto"/>
        <w:ind w:firstLine="720"/>
        <w:jc w:val="both"/>
        <w:rPr>
          <w:sz w:val="28"/>
          <w:szCs w:val="28"/>
        </w:rPr>
      </w:pPr>
      <w:r w:rsidRPr="00DB28C3">
        <w:rPr>
          <w:sz w:val="28"/>
          <w:szCs w:val="28"/>
        </w:rPr>
        <w:t>2019.</w:t>
      </w:r>
      <w:r w:rsidR="003A3B9E">
        <w:rPr>
          <w:sz w:val="28"/>
          <w:szCs w:val="28"/>
        </w:rPr>
        <w:t> </w:t>
      </w:r>
      <w:r w:rsidRPr="00DB28C3">
        <w:rPr>
          <w:sz w:val="28"/>
          <w:szCs w:val="28"/>
        </w:rPr>
        <w:t>gada 28.</w:t>
      </w:r>
      <w:r w:rsidR="003A3B9E">
        <w:rPr>
          <w:sz w:val="28"/>
          <w:szCs w:val="28"/>
        </w:rPr>
        <w:t> </w:t>
      </w:r>
      <w:r w:rsidRPr="00DB28C3">
        <w:rPr>
          <w:sz w:val="28"/>
          <w:szCs w:val="28"/>
        </w:rPr>
        <w:t>jūnijā EK iesniegts paplašinātais gada ziņojums par 2018.</w:t>
      </w:r>
      <w:r w:rsidR="003A3B9E">
        <w:rPr>
          <w:sz w:val="28"/>
          <w:szCs w:val="28"/>
        </w:rPr>
        <w:t> </w:t>
      </w:r>
      <w:r w:rsidRPr="00DB28C3">
        <w:rPr>
          <w:sz w:val="28"/>
          <w:szCs w:val="28"/>
        </w:rPr>
        <w:t>gadu. T</w:t>
      </w:r>
      <w:r w:rsidR="002F179F" w:rsidRPr="00DB28C3">
        <w:rPr>
          <w:sz w:val="28"/>
          <w:szCs w:val="28"/>
        </w:rPr>
        <w:t>abulā Nr. 1</w:t>
      </w:r>
      <w:r w:rsidRPr="00DB28C3">
        <w:rPr>
          <w:sz w:val="28"/>
          <w:szCs w:val="28"/>
        </w:rPr>
        <w:t xml:space="preserve"> sniegtā un gada ziņojumā iekļautā informācija liecina, ka pēdējā maksājuma pieteikumā EK</w:t>
      </w:r>
      <w:r w:rsidRPr="00DB28C3">
        <w:rPr>
          <w:rStyle w:val="FootnoteReference"/>
          <w:sz w:val="28"/>
          <w:szCs w:val="28"/>
        </w:rPr>
        <w:footnoteReference w:id="7"/>
      </w:r>
      <w:r w:rsidR="00B70820" w:rsidRPr="00DB28C3">
        <w:rPr>
          <w:sz w:val="28"/>
          <w:szCs w:val="28"/>
        </w:rPr>
        <w:t xml:space="preserve"> </w:t>
      </w:r>
      <w:r w:rsidR="00B874D4">
        <w:rPr>
          <w:sz w:val="28"/>
          <w:szCs w:val="28"/>
        </w:rPr>
        <w:t xml:space="preserve">Latvija ir izpildījusi snieguma ietvara </w:t>
      </w:r>
      <w:r w:rsidR="00AD6720" w:rsidRPr="00DB28C3">
        <w:rPr>
          <w:sz w:val="28"/>
          <w:szCs w:val="28"/>
        </w:rPr>
        <w:t>priekšnosacījum</w:t>
      </w:r>
      <w:r w:rsidR="00B874D4">
        <w:rPr>
          <w:sz w:val="28"/>
          <w:szCs w:val="28"/>
        </w:rPr>
        <w:t>us</w:t>
      </w:r>
      <w:r w:rsidR="00B70820" w:rsidRPr="00DB28C3">
        <w:rPr>
          <w:sz w:val="28"/>
          <w:szCs w:val="28"/>
        </w:rPr>
        <w:t xml:space="preserve"> DP noteiktā</w:t>
      </w:r>
      <w:r w:rsidRPr="00DB28C3">
        <w:rPr>
          <w:sz w:val="28"/>
          <w:szCs w:val="28"/>
        </w:rPr>
        <w:t xml:space="preserve">s rezerves 261,6 milj. </w:t>
      </w:r>
      <w:proofErr w:type="spellStart"/>
      <w:r w:rsidRPr="00DB28C3">
        <w:rPr>
          <w:i/>
          <w:sz w:val="28"/>
          <w:szCs w:val="28"/>
        </w:rPr>
        <w:t>euro</w:t>
      </w:r>
      <w:proofErr w:type="spellEnd"/>
      <w:r w:rsidRPr="00DB28C3">
        <w:rPr>
          <w:i/>
          <w:sz w:val="28"/>
          <w:szCs w:val="28"/>
        </w:rPr>
        <w:t xml:space="preserve"> </w:t>
      </w:r>
      <w:r w:rsidR="00B874D4">
        <w:rPr>
          <w:sz w:val="28"/>
          <w:szCs w:val="28"/>
        </w:rPr>
        <w:t>saņemšanai</w:t>
      </w:r>
      <w:r w:rsidRPr="00DB28C3">
        <w:rPr>
          <w:sz w:val="28"/>
          <w:szCs w:val="28"/>
        </w:rPr>
        <w:t xml:space="preserve">. </w:t>
      </w:r>
      <w:r w:rsidR="00CB3BC8">
        <w:rPr>
          <w:sz w:val="28"/>
          <w:szCs w:val="28"/>
        </w:rPr>
        <w:t xml:space="preserve">Izvērtējot gada ziņojumā sniegtos datus, EK 2019. gada 18. augustā pieņēma lēmumu, </w:t>
      </w:r>
      <w:r w:rsidR="00CB3BC8" w:rsidRPr="00CB3BC8">
        <w:rPr>
          <w:sz w:val="28"/>
          <w:szCs w:val="28"/>
        </w:rPr>
        <w:t xml:space="preserve">kas apliecina, ka Latvija ir izpildījusi </w:t>
      </w:r>
      <w:r w:rsidR="00CB3BC8">
        <w:rPr>
          <w:sz w:val="28"/>
          <w:szCs w:val="28"/>
        </w:rPr>
        <w:t>DP</w:t>
      </w:r>
      <w:r w:rsidR="00CB3BC8" w:rsidRPr="00CB3BC8">
        <w:rPr>
          <w:sz w:val="28"/>
          <w:szCs w:val="28"/>
        </w:rPr>
        <w:t xml:space="preserve"> noteiktos snieguma ietvara mērķus</w:t>
      </w:r>
      <w:r w:rsidR="00CB3BC8">
        <w:rPr>
          <w:sz w:val="28"/>
          <w:szCs w:val="28"/>
        </w:rPr>
        <w:t xml:space="preserve">, tādējādi EK ir </w:t>
      </w:r>
      <w:r w:rsidR="00CB3BC8" w:rsidRPr="00CB3BC8">
        <w:rPr>
          <w:sz w:val="28"/>
          <w:szCs w:val="28"/>
        </w:rPr>
        <w:t xml:space="preserve">devusi atļauju Latvijai izmantot 6% </w:t>
      </w:r>
      <w:r w:rsidR="00CB3BC8">
        <w:rPr>
          <w:sz w:val="28"/>
          <w:szCs w:val="28"/>
        </w:rPr>
        <w:t xml:space="preserve">snieguma </w:t>
      </w:r>
      <w:r w:rsidR="00CB3BC8" w:rsidRPr="00CB3BC8">
        <w:rPr>
          <w:sz w:val="28"/>
          <w:szCs w:val="28"/>
        </w:rPr>
        <w:t xml:space="preserve">rezerves finansējumu </w:t>
      </w:r>
      <w:r w:rsidR="00CB3BC8">
        <w:rPr>
          <w:sz w:val="28"/>
          <w:szCs w:val="28"/>
        </w:rPr>
        <w:t xml:space="preserve">no </w:t>
      </w:r>
      <w:r w:rsidR="00CB3BC8" w:rsidRPr="00DB28C3">
        <w:rPr>
          <w:rFonts w:cs="Times New Roman"/>
          <w:sz w:val="28"/>
          <w:szCs w:val="28"/>
        </w:rPr>
        <w:t xml:space="preserve">4,4 mljrd. </w:t>
      </w:r>
      <w:proofErr w:type="spellStart"/>
      <w:r w:rsidR="00CB3BC8" w:rsidRPr="00DB28C3">
        <w:rPr>
          <w:rFonts w:cs="Times New Roman"/>
          <w:i/>
          <w:sz w:val="28"/>
          <w:szCs w:val="28"/>
        </w:rPr>
        <w:t>euro</w:t>
      </w:r>
      <w:proofErr w:type="spellEnd"/>
      <w:r w:rsidR="00CB3BC8" w:rsidRPr="00DB28C3">
        <w:rPr>
          <w:rFonts w:cs="Times New Roman"/>
          <w:sz w:val="28"/>
          <w:szCs w:val="28"/>
        </w:rPr>
        <w:t xml:space="preserve"> ES fondu investīcijām</w:t>
      </w:r>
      <w:r w:rsidR="00CB3BC8">
        <w:rPr>
          <w:rFonts w:cs="Times New Roman"/>
          <w:sz w:val="28"/>
          <w:szCs w:val="28"/>
        </w:rPr>
        <w:t>.</w:t>
      </w:r>
    </w:p>
    <w:p w14:paraId="5CE5FB05" w14:textId="07C5CB47" w:rsidR="006A6875" w:rsidRPr="00DB28C3" w:rsidRDefault="006A6875" w:rsidP="006A6875">
      <w:pPr>
        <w:spacing w:before="120" w:after="120" w:line="276" w:lineRule="auto"/>
        <w:ind w:firstLine="720"/>
        <w:jc w:val="both"/>
        <w:rPr>
          <w:sz w:val="28"/>
          <w:szCs w:val="28"/>
        </w:rPr>
      </w:pPr>
      <w:r w:rsidRPr="00DB28C3">
        <w:rPr>
          <w:sz w:val="28"/>
          <w:szCs w:val="28"/>
        </w:rPr>
        <w:t>Izpildot MK 2019.</w:t>
      </w:r>
      <w:r w:rsidR="00B874D4">
        <w:rPr>
          <w:sz w:val="28"/>
          <w:szCs w:val="28"/>
        </w:rPr>
        <w:t> </w:t>
      </w:r>
      <w:r w:rsidRPr="00DB28C3">
        <w:rPr>
          <w:sz w:val="28"/>
          <w:szCs w:val="28"/>
        </w:rPr>
        <w:t>gada 23.</w:t>
      </w:r>
      <w:r w:rsidR="00B874D4">
        <w:rPr>
          <w:sz w:val="28"/>
          <w:szCs w:val="28"/>
        </w:rPr>
        <w:t> </w:t>
      </w:r>
      <w:r w:rsidRPr="00DB28C3">
        <w:rPr>
          <w:sz w:val="28"/>
          <w:szCs w:val="28"/>
        </w:rPr>
        <w:t>aprīļa uzdevumu</w:t>
      </w:r>
      <w:r w:rsidRPr="00DB28C3">
        <w:rPr>
          <w:rStyle w:val="FootnoteReference"/>
          <w:sz w:val="28"/>
          <w:szCs w:val="28"/>
        </w:rPr>
        <w:footnoteReference w:id="8"/>
      </w:r>
      <w:r w:rsidR="00B70820" w:rsidRPr="00DB28C3">
        <w:rPr>
          <w:sz w:val="28"/>
          <w:szCs w:val="28"/>
        </w:rPr>
        <w:t>,</w:t>
      </w:r>
      <w:r w:rsidRPr="00DB28C3">
        <w:rPr>
          <w:sz w:val="28"/>
          <w:szCs w:val="28"/>
        </w:rPr>
        <w:t xml:space="preserve"> </w:t>
      </w:r>
      <w:r w:rsidR="00922530">
        <w:rPr>
          <w:sz w:val="28"/>
          <w:szCs w:val="28"/>
        </w:rPr>
        <w:t>AI</w:t>
      </w:r>
      <w:r w:rsidRPr="00DB28C3">
        <w:rPr>
          <w:sz w:val="28"/>
          <w:szCs w:val="28"/>
        </w:rPr>
        <w:t xml:space="preserve"> ir iesniegušas FM priekšlikumus snieguma rezerves un finansējuma atlikumu tālāka</w:t>
      </w:r>
      <w:r w:rsidR="00B874D4">
        <w:rPr>
          <w:sz w:val="28"/>
          <w:szCs w:val="28"/>
        </w:rPr>
        <w:t>i</w:t>
      </w:r>
      <w:r w:rsidRPr="00DB28C3">
        <w:rPr>
          <w:sz w:val="28"/>
          <w:szCs w:val="28"/>
        </w:rPr>
        <w:t xml:space="preserve"> izmantošana</w:t>
      </w:r>
      <w:r w:rsidR="00DB6F58" w:rsidRPr="00DB28C3">
        <w:rPr>
          <w:sz w:val="28"/>
          <w:szCs w:val="28"/>
        </w:rPr>
        <w:t xml:space="preserve">i. Attiecīgi </w:t>
      </w:r>
      <w:r w:rsidRPr="00DB28C3">
        <w:rPr>
          <w:sz w:val="28"/>
          <w:szCs w:val="28"/>
        </w:rPr>
        <w:t>FM sagatavos un līdz 2019.</w:t>
      </w:r>
      <w:r w:rsidR="00B874D4">
        <w:rPr>
          <w:sz w:val="28"/>
          <w:szCs w:val="28"/>
        </w:rPr>
        <w:t> </w:t>
      </w:r>
      <w:r w:rsidRPr="00DB28C3">
        <w:rPr>
          <w:sz w:val="28"/>
          <w:szCs w:val="28"/>
        </w:rPr>
        <w:t>gada 30.</w:t>
      </w:r>
      <w:r w:rsidR="00B874D4">
        <w:rPr>
          <w:sz w:val="28"/>
          <w:szCs w:val="28"/>
        </w:rPr>
        <w:t> </w:t>
      </w:r>
      <w:r w:rsidRPr="00DB28C3">
        <w:rPr>
          <w:sz w:val="28"/>
          <w:szCs w:val="28"/>
        </w:rPr>
        <w:t xml:space="preserve">septembrim noteiktā kārtībā </w:t>
      </w:r>
      <w:r w:rsidR="00094190">
        <w:rPr>
          <w:sz w:val="28"/>
          <w:szCs w:val="28"/>
        </w:rPr>
        <w:t xml:space="preserve">finanšu ministrs </w:t>
      </w:r>
      <w:r w:rsidRPr="00DB28C3">
        <w:rPr>
          <w:sz w:val="28"/>
          <w:szCs w:val="28"/>
        </w:rPr>
        <w:t>iesniegs MK apkopojošu ziņojumu ar p</w:t>
      </w:r>
      <w:r w:rsidR="00DB6F58" w:rsidRPr="00DB28C3">
        <w:rPr>
          <w:sz w:val="28"/>
          <w:szCs w:val="28"/>
        </w:rPr>
        <w:t>riekšlikumiem snieguma rezerves</w:t>
      </w:r>
      <w:r w:rsidRPr="00DB28C3">
        <w:rPr>
          <w:sz w:val="28"/>
          <w:szCs w:val="28"/>
        </w:rPr>
        <w:t xml:space="preserve"> un finansējuma atlikumu turpmākai izmantošanai.</w:t>
      </w:r>
    </w:p>
    <w:p w14:paraId="1F28D710" w14:textId="1BF21BF4" w:rsidR="006A6875" w:rsidRPr="00DB28C3" w:rsidRDefault="002F179F" w:rsidP="006A6875">
      <w:pPr>
        <w:spacing w:before="120" w:after="120" w:line="276" w:lineRule="auto"/>
        <w:jc w:val="both"/>
        <w:rPr>
          <w:rFonts w:cs="Times New Roman"/>
          <w:i/>
          <w:szCs w:val="24"/>
          <w:highlight w:val="yellow"/>
        </w:rPr>
      </w:pPr>
      <w:r w:rsidRPr="00DB28C3">
        <w:rPr>
          <w:rFonts w:cs="Times New Roman"/>
          <w:i/>
          <w:color w:val="000000" w:themeColor="text1"/>
          <w:szCs w:val="24"/>
        </w:rPr>
        <w:t>Tabula Nr. 1</w:t>
      </w:r>
      <w:r w:rsidR="006A6875" w:rsidRPr="00DB28C3">
        <w:rPr>
          <w:rFonts w:cs="Times New Roman"/>
          <w:i/>
          <w:color w:val="000000" w:themeColor="text1"/>
          <w:szCs w:val="24"/>
        </w:rPr>
        <w:t xml:space="preserve"> “ES fondu 2014. – 2020. gada plānošanas perioda 2018.</w:t>
      </w:r>
      <w:r w:rsidR="00B874D4">
        <w:rPr>
          <w:rFonts w:cs="Times New Roman"/>
          <w:i/>
          <w:color w:val="000000" w:themeColor="text1"/>
          <w:szCs w:val="24"/>
        </w:rPr>
        <w:t> </w:t>
      </w:r>
      <w:r w:rsidR="006A6875" w:rsidRPr="00DB28C3">
        <w:rPr>
          <w:rFonts w:cs="Times New Roman"/>
          <w:i/>
          <w:color w:val="000000" w:themeColor="text1"/>
          <w:szCs w:val="24"/>
        </w:rPr>
        <w:t>gada starpposma finanšu mērķa izpilde”.</w:t>
      </w:r>
    </w:p>
    <w:tbl>
      <w:tblPr>
        <w:tblW w:w="9017" w:type="dxa"/>
        <w:tblCellMar>
          <w:left w:w="0" w:type="dxa"/>
          <w:right w:w="0" w:type="dxa"/>
        </w:tblCellMar>
        <w:tblLook w:val="0420" w:firstRow="1" w:lastRow="0" w:firstColumn="0" w:lastColumn="0" w:noHBand="0" w:noVBand="1"/>
      </w:tblPr>
      <w:tblGrid>
        <w:gridCol w:w="4243"/>
        <w:gridCol w:w="993"/>
        <w:gridCol w:w="1984"/>
        <w:gridCol w:w="1797"/>
      </w:tblGrid>
      <w:tr w:rsidR="006A6875" w:rsidRPr="00DB28C3" w14:paraId="6EDFC1D0" w14:textId="77777777" w:rsidTr="00A06879">
        <w:trPr>
          <w:trHeight w:val="902"/>
        </w:trPr>
        <w:tc>
          <w:tcPr>
            <w:tcW w:w="424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CCF3E66" w14:textId="77777777" w:rsidR="006A6875" w:rsidRPr="00BB6E55" w:rsidRDefault="006A6875" w:rsidP="006531E3">
            <w:pPr>
              <w:jc w:val="center"/>
              <w:rPr>
                <w:rFonts w:eastAsia="Times New Roman" w:cs="Times New Roman"/>
                <w:sz w:val="20"/>
                <w:szCs w:val="20"/>
                <w:lang w:eastAsia="lv-LV"/>
              </w:rPr>
            </w:pPr>
            <w:r w:rsidRPr="00BB6E55">
              <w:rPr>
                <w:rFonts w:eastAsia="Verdana" w:cs="Times New Roman"/>
                <w:kern w:val="24"/>
                <w:sz w:val="20"/>
                <w:szCs w:val="20"/>
                <w:lang w:eastAsia="lv-LV"/>
              </w:rPr>
              <w:t>Prioritārais virziens</w:t>
            </w:r>
          </w:p>
        </w:tc>
        <w:tc>
          <w:tcPr>
            <w:tcW w:w="993" w:type="dxa"/>
            <w:tcBorders>
              <w:top w:val="single" w:sz="8" w:space="0" w:color="000000"/>
              <w:left w:val="single" w:sz="8" w:space="0" w:color="000000"/>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3599DB19" w14:textId="77777777" w:rsidR="006A6875" w:rsidRPr="00BB6E55" w:rsidRDefault="006A6875" w:rsidP="006531E3">
            <w:pPr>
              <w:jc w:val="center"/>
              <w:rPr>
                <w:rFonts w:eastAsia="Times New Roman" w:cs="Times New Roman"/>
                <w:sz w:val="20"/>
                <w:szCs w:val="20"/>
                <w:lang w:eastAsia="lv-LV"/>
              </w:rPr>
            </w:pPr>
            <w:r w:rsidRPr="00BB6E55">
              <w:rPr>
                <w:rFonts w:eastAsia="Verdana" w:cs="Times New Roman"/>
                <w:kern w:val="24"/>
                <w:sz w:val="20"/>
                <w:szCs w:val="20"/>
                <w:lang w:eastAsia="lv-LV"/>
              </w:rPr>
              <w:t>Fonds</w:t>
            </w:r>
          </w:p>
        </w:tc>
        <w:tc>
          <w:tcPr>
            <w:tcW w:w="1984" w:type="dxa"/>
            <w:tcBorders>
              <w:top w:val="single" w:sz="8"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6A77144A" w14:textId="77777777" w:rsidR="006A6875" w:rsidRPr="00BB6E55" w:rsidRDefault="006A6875" w:rsidP="006531E3">
            <w:pPr>
              <w:jc w:val="center"/>
              <w:rPr>
                <w:rFonts w:eastAsia="Times New Roman" w:cs="Times New Roman"/>
                <w:sz w:val="20"/>
                <w:szCs w:val="20"/>
                <w:lang w:eastAsia="lv-LV"/>
              </w:rPr>
            </w:pPr>
            <w:r w:rsidRPr="00BB6E55">
              <w:rPr>
                <w:rFonts w:eastAsia="Verdana" w:cs="Times New Roman"/>
                <w:kern w:val="24"/>
                <w:sz w:val="20"/>
                <w:szCs w:val="20"/>
                <w:lang w:eastAsia="lv-LV"/>
              </w:rPr>
              <w:t xml:space="preserve">Finanšu izpilde deklarācijā EK, 31.03.2019,milj. </w:t>
            </w:r>
            <w:proofErr w:type="spellStart"/>
            <w:r w:rsidRPr="00BB6E55">
              <w:rPr>
                <w:rFonts w:eastAsia="Verdana" w:cs="Times New Roman"/>
                <w:i/>
                <w:kern w:val="24"/>
                <w:sz w:val="20"/>
                <w:szCs w:val="20"/>
                <w:lang w:eastAsia="lv-LV"/>
              </w:rPr>
              <w:t>euro</w:t>
            </w:r>
            <w:proofErr w:type="spellEnd"/>
          </w:p>
        </w:tc>
        <w:tc>
          <w:tcPr>
            <w:tcW w:w="1797" w:type="dxa"/>
            <w:tcBorders>
              <w:top w:val="single" w:sz="8" w:space="0" w:color="000000"/>
              <w:left w:val="single" w:sz="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5523C49" w14:textId="7E328175" w:rsidR="006A6875" w:rsidRPr="00BB6E55" w:rsidRDefault="006A6875" w:rsidP="00D16CEC">
            <w:pPr>
              <w:jc w:val="center"/>
              <w:rPr>
                <w:rFonts w:eastAsia="Times New Roman" w:cs="Times New Roman"/>
                <w:sz w:val="20"/>
                <w:szCs w:val="20"/>
                <w:lang w:eastAsia="lv-LV"/>
              </w:rPr>
            </w:pPr>
            <w:r w:rsidRPr="00BB6E55">
              <w:rPr>
                <w:rFonts w:eastAsia="Verdana" w:cs="Times New Roman"/>
                <w:kern w:val="24"/>
                <w:sz w:val="20"/>
                <w:szCs w:val="20"/>
                <w:lang w:eastAsia="lv-LV"/>
              </w:rPr>
              <w:t xml:space="preserve">Finanšu izpilde pret DP snieguma ietvara </w:t>
            </w:r>
            <w:r w:rsidR="00D16CEC" w:rsidRPr="00BB6E55">
              <w:rPr>
                <w:rFonts w:eastAsia="Verdana" w:cs="Times New Roman"/>
                <w:kern w:val="24"/>
                <w:sz w:val="20"/>
                <w:szCs w:val="20"/>
                <w:lang w:eastAsia="lv-LV"/>
              </w:rPr>
              <w:t xml:space="preserve">2018. gada </w:t>
            </w:r>
            <w:r w:rsidRPr="00BB6E55">
              <w:rPr>
                <w:rFonts w:eastAsia="Verdana" w:cs="Times New Roman"/>
                <w:kern w:val="24"/>
                <w:sz w:val="20"/>
                <w:szCs w:val="20"/>
                <w:lang w:eastAsia="lv-LV"/>
              </w:rPr>
              <w:t>mērķ</w:t>
            </w:r>
            <w:r w:rsidR="00D16CEC" w:rsidRPr="00BB6E55">
              <w:rPr>
                <w:rFonts w:eastAsia="Verdana" w:cs="Times New Roman"/>
                <w:kern w:val="24"/>
                <w:sz w:val="20"/>
                <w:szCs w:val="20"/>
                <w:lang w:eastAsia="lv-LV"/>
              </w:rPr>
              <w:t>i</w:t>
            </w:r>
            <w:r w:rsidRPr="00BB6E55">
              <w:rPr>
                <w:rFonts w:eastAsia="Verdana" w:cs="Times New Roman"/>
                <w:kern w:val="24"/>
                <w:sz w:val="20"/>
                <w:szCs w:val="20"/>
                <w:lang w:eastAsia="lv-LV"/>
              </w:rPr>
              <w:t>, %</w:t>
            </w:r>
          </w:p>
        </w:tc>
      </w:tr>
      <w:tr w:rsidR="006A6875" w:rsidRPr="0066381A" w14:paraId="54EA757C" w14:textId="77777777" w:rsidTr="0082787D">
        <w:trPr>
          <w:trHeight w:val="201"/>
        </w:trPr>
        <w:tc>
          <w:tcPr>
            <w:tcW w:w="4243" w:type="dxa"/>
            <w:tcBorders>
              <w:top w:val="single" w:sz="8" w:space="0" w:color="000000"/>
              <w:left w:val="single" w:sz="8" w:space="0" w:color="000000"/>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191B4E2A" w14:textId="77777777" w:rsidR="006A6875" w:rsidRPr="0066381A" w:rsidRDefault="006A6875" w:rsidP="006531E3">
            <w:pPr>
              <w:rPr>
                <w:rFonts w:eastAsia="Times New Roman" w:cs="Times New Roman"/>
                <w:sz w:val="20"/>
                <w:szCs w:val="20"/>
                <w:lang w:eastAsia="lv-LV"/>
              </w:rPr>
            </w:pPr>
            <w:r w:rsidRPr="0066381A">
              <w:rPr>
                <w:rFonts w:eastAsia="Verdana" w:cs="Times New Roman"/>
                <w:kern w:val="24"/>
                <w:sz w:val="20"/>
                <w:szCs w:val="20"/>
                <w:lang w:eastAsia="lv-LV"/>
              </w:rPr>
              <w:t>1.Pētniecības, tehnoloģiju attīstība un inovācijas</w:t>
            </w:r>
          </w:p>
        </w:tc>
        <w:tc>
          <w:tcPr>
            <w:tcW w:w="993" w:type="dxa"/>
            <w:tcBorders>
              <w:top w:val="single" w:sz="8"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47924FA3" w14:textId="77777777" w:rsidR="006A6875" w:rsidRPr="0066381A" w:rsidRDefault="006A6875" w:rsidP="006531E3">
            <w:pPr>
              <w:jc w:val="right"/>
              <w:rPr>
                <w:rFonts w:eastAsia="Times New Roman" w:cs="Times New Roman"/>
                <w:sz w:val="20"/>
                <w:szCs w:val="20"/>
                <w:lang w:eastAsia="lv-LV"/>
              </w:rPr>
            </w:pPr>
            <w:r w:rsidRPr="0066381A">
              <w:rPr>
                <w:rFonts w:eastAsia="Verdana" w:cs="Times New Roman"/>
                <w:kern w:val="24"/>
                <w:sz w:val="20"/>
                <w:szCs w:val="20"/>
                <w:lang w:eastAsia="lv-LV"/>
              </w:rPr>
              <w:t>ERAF</w:t>
            </w:r>
          </w:p>
        </w:tc>
        <w:tc>
          <w:tcPr>
            <w:tcW w:w="1984" w:type="dxa"/>
            <w:tcBorders>
              <w:top w:val="single" w:sz="8"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53060AC3" w14:textId="77777777" w:rsidR="006A6875" w:rsidRPr="0066381A" w:rsidRDefault="006A6875" w:rsidP="006531E3">
            <w:pPr>
              <w:jc w:val="center"/>
              <w:rPr>
                <w:rFonts w:eastAsia="Times New Roman" w:cs="Times New Roman"/>
                <w:sz w:val="20"/>
                <w:szCs w:val="20"/>
                <w:lang w:eastAsia="lv-LV"/>
              </w:rPr>
            </w:pPr>
            <w:r w:rsidRPr="0066381A">
              <w:rPr>
                <w:rFonts w:eastAsia="Verdana" w:cs="Times New Roman"/>
                <w:bCs/>
                <w:kern w:val="24"/>
                <w:sz w:val="20"/>
                <w:szCs w:val="20"/>
                <w:lang w:eastAsia="lv-LV"/>
              </w:rPr>
              <w:t>131,5</w:t>
            </w:r>
          </w:p>
        </w:tc>
        <w:tc>
          <w:tcPr>
            <w:tcW w:w="1797" w:type="dxa"/>
            <w:tcBorders>
              <w:top w:val="single" w:sz="8" w:space="0" w:color="000000"/>
              <w:left w:val="single" w:sz="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D7BFEB" w14:textId="057FE246" w:rsidR="006A6875" w:rsidRPr="0066381A" w:rsidRDefault="006A6875" w:rsidP="006531E3">
            <w:pPr>
              <w:jc w:val="center"/>
              <w:rPr>
                <w:rFonts w:eastAsia="Times New Roman" w:cs="Times New Roman"/>
                <w:sz w:val="20"/>
                <w:szCs w:val="20"/>
                <w:lang w:eastAsia="lv-LV"/>
              </w:rPr>
            </w:pPr>
            <w:r w:rsidRPr="0066381A">
              <w:rPr>
                <w:rFonts w:eastAsia="Verdana" w:cs="Times New Roman"/>
                <w:bCs/>
                <w:kern w:val="24"/>
                <w:sz w:val="20"/>
                <w:szCs w:val="20"/>
                <w:lang w:eastAsia="lv-LV"/>
              </w:rPr>
              <w:t>158</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6A6875" w:rsidRPr="0066381A" w14:paraId="293FA468" w14:textId="77777777" w:rsidTr="00A06879">
        <w:trPr>
          <w:trHeight w:val="221"/>
        </w:trPr>
        <w:tc>
          <w:tcPr>
            <w:tcW w:w="4243" w:type="dxa"/>
            <w:tcBorders>
              <w:top w:val="single" w:sz="8" w:space="0" w:color="000000"/>
              <w:left w:val="single" w:sz="8" w:space="0" w:color="000000"/>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41A9EB17" w14:textId="77777777" w:rsidR="006A6875" w:rsidRPr="0066381A" w:rsidRDefault="006A6875" w:rsidP="006531E3">
            <w:pPr>
              <w:rPr>
                <w:rFonts w:eastAsia="Times New Roman" w:cs="Times New Roman"/>
                <w:sz w:val="20"/>
                <w:szCs w:val="20"/>
                <w:lang w:eastAsia="lv-LV"/>
              </w:rPr>
            </w:pPr>
            <w:r w:rsidRPr="0066381A">
              <w:rPr>
                <w:rFonts w:eastAsia="Verdana" w:cs="Times New Roman"/>
                <w:kern w:val="24"/>
                <w:sz w:val="20"/>
                <w:szCs w:val="20"/>
                <w:lang w:eastAsia="lv-LV"/>
              </w:rPr>
              <w:t>2.IKT</w:t>
            </w:r>
          </w:p>
        </w:tc>
        <w:tc>
          <w:tcPr>
            <w:tcW w:w="993" w:type="dxa"/>
            <w:tcBorders>
              <w:top w:val="single" w:sz="8"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2EACB16A" w14:textId="77777777" w:rsidR="006A6875" w:rsidRPr="0066381A" w:rsidRDefault="006A6875" w:rsidP="006531E3">
            <w:pPr>
              <w:jc w:val="right"/>
              <w:rPr>
                <w:rFonts w:eastAsia="Times New Roman" w:cs="Times New Roman"/>
                <w:sz w:val="20"/>
                <w:szCs w:val="20"/>
                <w:lang w:eastAsia="lv-LV"/>
              </w:rPr>
            </w:pPr>
            <w:r w:rsidRPr="0066381A">
              <w:rPr>
                <w:rFonts w:eastAsia="Verdana" w:cs="Times New Roman"/>
                <w:kern w:val="24"/>
                <w:sz w:val="20"/>
                <w:szCs w:val="20"/>
                <w:lang w:eastAsia="lv-LV"/>
              </w:rPr>
              <w:t>ERAF</w:t>
            </w:r>
          </w:p>
        </w:tc>
        <w:tc>
          <w:tcPr>
            <w:tcW w:w="1984" w:type="dxa"/>
            <w:tcBorders>
              <w:top w:val="single" w:sz="8"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321F041A" w14:textId="77777777" w:rsidR="006A6875" w:rsidRPr="0066381A" w:rsidRDefault="006A6875" w:rsidP="006531E3">
            <w:pPr>
              <w:jc w:val="center"/>
              <w:rPr>
                <w:rFonts w:eastAsia="Verdana" w:cs="Times New Roman"/>
                <w:bCs/>
                <w:kern w:val="24"/>
                <w:sz w:val="20"/>
                <w:szCs w:val="20"/>
                <w:lang w:eastAsia="lv-LV"/>
              </w:rPr>
            </w:pPr>
            <w:r w:rsidRPr="0066381A">
              <w:rPr>
                <w:rFonts w:eastAsia="Verdana" w:cs="Times New Roman"/>
                <w:bCs/>
                <w:kern w:val="24"/>
                <w:sz w:val="20"/>
                <w:szCs w:val="20"/>
                <w:lang w:eastAsia="lv-LV"/>
              </w:rPr>
              <w:t>29,1</w:t>
            </w:r>
          </w:p>
        </w:tc>
        <w:tc>
          <w:tcPr>
            <w:tcW w:w="1797" w:type="dxa"/>
            <w:tcBorders>
              <w:top w:val="single" w:sz="8" w:space="0" w:color="000000"/>
              <w:left w:val="single" w:sz="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ED360E" w14:textId="67E44AAA" w:rsidR="006A6875" w:rsidRPr="0066381A" w:rsidRDefault="006A6875" w:rsidP="006531E3">
            <w:pPr>
              <w:jc w:val="center"/>
              <w:rPr>
                <w:rFonts w:eastAsia="Times New Roman" w:cs="Times New Roman"/>
                <w:sz w:val="20"/>
                <w:szCs w:val="20"/>
                <w:lang w:eastAsia="lv-LV"/>
              </w:rPr>
            </w:pPr>
            <w:r w:rsidRPr="0066381A">
              <w:rPr>
                <w:rFonts w:eastAsia="Verdana" w:cs="Times New Roman"/>
                <w:bCs/>
                <w:kern w:val="24"/>
                <w:sz w:val="20"/>
                <w:szCs w:val="20"/>
                <w:lang w:eastAsia="lv-LV"/>
              </w:rPr>
              <w:t>121</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6A6875" w:rsidRPr="0066381A" w14:paraId="7835F775" w14:textId="77777777" w:rsidTr="00A06879">
        <w:trPr>
          <w:trHeight w:val="255"/>
        </w:trPr>
        <w:tc>
          <w:tcPr>
            <w:tcW w:w="4243" w:type="dxa"/>
            <w:vMerge w:val="restart"/>
            <w:tcBorders>
              <w:top w:val="single" w:sz="8" w:space="0" w:color="000000"/>
              <w:left w:val="single" w:sz="8" w:space="0" w:color="000000"/>
              <w:bottom w:val="single" w:sz="4" w:space="0" w:color="auto"/>
              <w:right w:val="single" w:sz="8" w:space="0" w:color="auto"/>
            </w:tcBorders>
            <w:shd w:val="clear" w:color="auto" w:fill="auto"/>
            <w:tcMar>
              <w:top w:w="72" w:type="dxa"/>
              <w:left w:w="144" w:type="dxa"/>
              <w:bottom w:w="72" w:type="dxa"/>
              <w:right w:w="144" w:type="dxa"/>
            </w:tcMar>
            <w:vAlign w:val="center"/>
            <w:hideMark/>
          </w:tcPr>
          <w:p w14:paraId="09930439" w14:textId="77777777" w:rsidR="006A6875" w:rsidRPr="0066381A" w:rsidRDefault="006A6875" w:rsidP="006531E3">
            <w:pPr>
              <w:rPr>
                <w:rFonts w:eastAsia="Times New Roman" w:cs="Times New Roman"/>
                <w:sz w:val="20"/>
                <w:szCs w:val="20"/>
                <w:lang w:eastAsia="lv-LV"/>
              </w:rPr>
            </w:pPr>
            <w:r w:rsidRPr="0066381A">
              <w:rPr>
                <w:rFonts w:eastAsia="Verdana" w:cs="Times New Roman"/>
                <w:kern w:val="24"/>
                <w:sz w:val="20"/>
                <w:szCs w:val="20"/>
                <w:lang w:eastAsia="lv-LV"/>
              </w:rPr>
              <w:t>3.Mazo un vidējo komersantu konkurētspēja</w:t>
            </w:r>
          </w:p>
        </w:tc>
        <w:tc>
          <w:tcPr>
            <w:tcW w:w="993"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6815BB66" w14:textId="77777777" w:rsidR="006A6875" w:rsidRPr="0066381A" w:rsidRDefault="006A6875" w:rsidP="006531E3">
            <w:pPr>
              <w:jc w:val="right"/>
              <w:rPr>
                <w:rFonts w:eastAsia="Times New Roman" w:cs="Times New Roman"/>
                <w:sz w:val="20"/>
                <w:szCs w:val="20"/>
                <w:lang w:eastAsia="lv-LV"/>
              </w:rPr>
            </w:pPr>
            <w:r w:rsidRPr="0066381A">
              <w:rPr>
                <w:rFonts w:eastAsia="Verdana" w:cs="Times New Roman"/>
                <w:kern w:val="24"/>
                <w:sz w:val="20"/>
                <w:szCs w:val="20"/>
                <w:lang w:eastAsia="lv-LV"/>
              </w:rPr>
              <w:t>ERAF</w:t>
            </w:r>
          </w:p>
        </w:tc>
        <w:tc>
          <w:tcPr>
            <w:tcW w:w="1984"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24C316D7" w14:textId="77777777" w:rsidR="006A6875" w:rsidRPr="0066381A" w:rsidRDefault="006A6875" w:rsidP="006531E3">
            <w:pPr>
              <w:jc w:val="center"/>
              <w:rPr>
                <w:rFonts w:eastAsia="Verdana" w:cs="Times New Roman"/>
                <w:bCs/>
                <w:kern w:val="24"/>
                <w:sz w:val="20"/>
                <w:szCs w:val="20"/>
                <w:lang w:eastAsia="lv-LV"/>
              </w:rPr>
            </w:pPr>
            <w:r w:rsidRPr="0066381A">
              <w:rPr>
                <w:rFonts w:eastAsia="Verdana" w:cs="Times New Roman"/>
                <w:bCs/>
                <w:kern w:val="24"/>
                <w:sz w:val="20"/>
                <w:szCs w:val="20"/>
                <w:lang w:eastAsia="lv-LV"/>
              </w:rPr>
              <w:t>151,2</w:t>
            </w:r>
          </w:p>
        </w:tc>
        <w:tc>
          <w:tcPr>
            <w:tcW w:w="1797" w:type="dxa"/>
            <w:tcBorders>
              <w:top w:val="single" w:sz="8" w:space="0" w:color="000000"/>
              <w:left w:val="single" w:sz="8" w:space="0" w:color="auto"/>
              <w:bottom w:val="single" w:sz="8" w:space="0" w:color="auto"/>
              <w:right w:val="single" w:sz="8" w:space="0" w:color="000000"/>
            </w:tcBorders>
            <w:shd w:val="clear" w:color="auto" w:fill="auto"/>
            <w:tcMar>
              <w:top w:w="72" w:type="dxa"/>
              <w:left w:w="144" w:type="dxa"/>
              <w:bottom w:w="72" w:type="dxa"/>
              <w:right w:w="144" w:type="dxa"/>
            </w:tcMar>
            <w:vAlign w:val="center"/>
            <w:hideMark/>
          </w:tcPr>
          <w:p w14:paraId="6B500753" w14:textId="52E82F38" w:rsidR="006A6875" w:rsidRPr="0066381A" w:rsidRDefault="006A6875" w:rsidP="006531E3">
            <w:pPr>
              <w:jc w:val="center"/>
              <w:rPr>
                <w:rFonts w:eastAsia="Times New Roman" w:cs="Times New Roman"/>
                <w:sz w:val="20"/>
                <w:szCs w:val="20"/>
                <w:lang w:eastAsia="lv-LV"/>
              </w:rPr>
            </w:pPr>
            <w:r w:rsidRPr="0066381A">
              <w:rPr>
                <w:rFonts w:eastAsia="Verdana" w:cs="Times New Roman"/>
                <w:bCs/>
                <w:kern w:val="24"/>
                <w:sz w:val="20"/>
                <w:szCs w:val="20"/>
                <w:lang w:eastAsia="lv-LV"/>
              </w:rPr>
              <w:t>190</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6A6875" w:rsidRPr="0066381A" w14:paraId="13F3CC6F" w14:textId="77777777" w:rsidTr="00A06879">
        <w:trPr>
          <w:trHeight w:val="20"/>
        </w:trPr>
        <w:tc>
          <w:tcPr>
            <w:tcW w:w="4243" w:type="dxa"/>
            <w:vMerge/>
            <w:tcBorders>
              <w:top w:val="single" w:sz="8" w:space="0" w:color="000000"/>
              <w:left w:val="single" w:sz="8" w:space="0" w:color="000000"/>
              <w:bottom w:val="single" w:sz="4" w:space="0" w:color="auto"/>
              <w:right w:val="single" w:sz="8" w:space="0" w:color="auto"/>
            </w:tcBorders>
            <w:shd w:val="clear" w:color="auto" w:fill="auto"/>
            <w:vAlign w:val="center"/>
            <w:hideMark/>
          </w:tcPr>
          <w:p w14:paraId="49632A88" w14:textId="77777777" w:rsidR="006A6875" w:rsidRPr="0066381A" w:rsidRDefault="006A6875" w:rsidP="006531E3">
            <w:pPr>
              <w:rPr>
                <w:rFonts w:eastAsia="Times New Roman" w:cs="Times New Roman"/>
                <w:sz w:val="20"/>
                <w:szCs w:val="20"/>
                <w:lang w:eastAsia="lv-LV"/>
              </w:rPr>
            </w:pPr>
          </w:p>
        </w:tc>
        <w:tc>
          <w:tcPr>
            <w:tcW w:w="993" w:type="dxa"/>
            <w:tcBorders>
              <w:top w:val="single" w:sz="8" w:space="0" w:color="auto"/>
              <w:left w:val="single" w:sz="8" w:space="0" w:color="auto"/>
              <w:bottom w:val="single" w:sz="4" w:space="0" w:color="auto"/>
              <w:right w:val="single" w:sz="8" w:space="0" w:color="auto"/>
            </w:tcBorders>
            <w:shd w:val="clear" w:color="auto" w:fill="auto"/>
            <w:tcMar>
              <w:top w:w="72" w:type="dxa"/>
              <w:left w:w="144" w:type="dxa"/>
              <w:bottom w:w="72" w:type="dxa"/>
              <w:right w:w="144" w:type="dxa"/>
            </w:tcMar>
            <w:vAlign w:val="center"/>
            <w:hideMark/>
          </w:tcPr>
          <w:p w14:paraId="7C6373F3" w14:textId="77777777" w:rsidR="006A6875" w:rsidRPr="0066381A" w:rsidRDefault="006A6875" w:rsidP="006531E3">
            <w:pPr>
              <w:jc w:val="right"/>
              <w:rPr>
                <w:rFonts w:eastAsia="Times New Roman" w:cs="Times New Roman"/>
                <w:sz w:val="20"/>
                <w:szCs w:val="20"/>
                <w:lang w:eastAsia="lv-LV"/>
              </w:rPr>
            </w:pPr>
            <w:r w:rsidRPr="0066381A">
              <w:rPr>
                <w:rFonts w:eastAsia="Verdana" w:cs="Times New Roman"/>
                <w:kern w:val="24"/>
                <w:sz w:val="20"/>
                <w:szCs w:val="20"/>
                <w:lang w:eastAsia="lv-LV"/>
              </w:rPr>
              <w:t>ESF</w:t>
            </w:r>
          </w:p>
        </w:tc>
        <w:tc>
          <w:tcPr>
            <w:tcW w:w="1984" w:type="dxa"/>
            <w:tcBorders>
              <w:top w:val="single" w:sz="8" w:space="0" w:color="auto"/>
              <w:left w:val="single" w:sz="8" w:space="0" w:color="auto"/>
              <w:bottom w:val="single" w:sz="4" w:space="0" w:color="auto"/>
              <w:right w:val="single" w:sz="8" w:space="0" w:color="auto"/>
            </w:tcBorders>
            <w:shd w:val="clear" w:color="auto" w:fill="auto"/>
            <w:tcMar>
              <w:top w:w="72" w:type="dxa"/>
              <w:left w:w="144" w:type="dxa"/>
              <w:bottom w:w="72" w:type="dxa"/>
              <w:right w:w="144" w:type="dxa"/>
            </w:tcMar>
            <w:vAlign w:val="center"/>
            <w:hideMark/>
          </w:tcPr>
          <w:p w14:paraId="0E643B99" w14:textId="77777777" w:rsidR="006A6875" w:rsidRPr="0066381A" w:rsidRDefault="006A6875" w:rsidP="006531E3">
            <w:pPr>
              <w:jc w:val="center"/>
              <w:rPr>
                <w:rFonts w:eastAsia="Verdana" w:cs="Times New Roman"/>
                <w:bCs/>
                <w:kern w:val="24"/>
                <w:sz w:val="20"/>
                <w:szCs w:val="20"/>
                <w:lang w:eastAsia="lv-LV"/>
              </w:rPr>
            </w:pPr>
            <w:r w:rsidRPr="0066381A">
              <w:rPr>
                <w:rFonts w:eastAsia="Verdana" w:cs="Times New Roman"/>
                <w:bCs/>
                <w:kern w:val="24"/>
                <w:sz w:val="20"/>
                <w:szCs w:val="20"/>
                <w:lang w:eastAsia="lv-LV"/>
              </w:rPr>
              <w:t>8,5</w:t>
            </w:r>
          </w:p>
        </w:tc>
        <w:tc>
          <w:tcPr>
            <w:tcW w:w="1797" w:type="dxa"/>
            <w:tcBorders>
              <w:top w:val="single" w:sz="8" w:space="0" w:color="auto"/>
              <w:left w:val="single" w:sz="8" w:space="0" w:color="auto"/>
              <w:bottom w:val="single" w:sz="4" w:space="0" w:color="auto"/>
              <w:right w:val="single" w:sz="8" w:space="0" w:color="000000"/>
            </w:tcBorders>
            <w:shd w:val="clear" w:color="auto" w:fill="auto"/>
            <w:tcMar>
              <w:top w:w="72" w:type="dxa"/>
              <w:left w:w="144" w:type="dxa"/>
              <w:bottom w:w="72" w:type="dxa"/>
              <w:right w:w="144" w:type="dxa"/>
            </w:tcMar>
            <w:vAlign w:val="center"/>
            <w:hideMark/>
          </w:tcPr>
          <w:p w14:paraId="364F1C0C" w14:textId="2E799867" w:rsidR="006A6875" w:rsidRPr="0066381A" w:rsidRDefault="006A6875" w:rsidP="006531E3">
            <w:pPr>
              <w:jc w:val="center"/>
              <w:rPr>
                <w:rFonts w:eastAsia="Times New Roman" w:cs="Times New Roman"/>
                <w:sz w:val="20"/>
                <w:szCs w:val="20"/>
                <w:lang w:eastAsia="lv-LV"/>
              </w:rPr>
            </w:pPr>
            <w:r w:rsidRPr="0066381A">
              <w:rPr>
                <w:rFonts w:eastAsia="Verdana" w:cs="Times New Roman"/>
                <w:bCs/>
                <w:kern w:val="24"/>
                <w:sz w:val="20"/>
                <w:szCs w:val="20"/>
                <w:lang w:eastAsia="lv-LV"/>
              </w:rPr>
              <w:t>121</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A06879" w:rsidRPr="0066381A" w14:paraId="717BCBEC" w14:textId="77777777" w:rsidTr="00A06879">
        <w:trPr>
          <w:trHeight w:val="154"/>
        </w:trPr>
        <w:tc>
          <w:tcPr>
            <w:tcW w:w="9017" w:type="dxa"/>
            <w:gridSpan w:val="4"/>
            <w:tcBorders>
              <w:bottom w:val="single" w:sz="4" w:space="0" w:color="auto"/>
            </w:tcBorders>
            <w:shd w:val="clear" w:color="auto" w:fill="auto"/>
            <w:tcMar>
              <w:top w:w="72" w:type="dxa"/>
              <w:left w:w="144" w:type="dxa"/>
              <w:bottom w:w="72" w:type="dxa"/>
              <w:right w:w="144" w:type="dxa"/>
            </w:tcMar>
            <w:vAlign w:val="center"/>
          </w:tcPr>
          <w:p w14:paraId="2A4D45CE" w14:textId="582ECDA7" w:rsidR="00A06879" w:rsidRPr="00A06879" w:rsidRDefault="00A06879" w:rsidP="00A06879">
            <w:pPr>
              <w:spacing w:before="120" w:after="120" w:line="276" w:lineRule="auto"/>
              <w:jc w:val="both"/>
              <w:rPr>
                <w:rFonts w:cs="Times New Roman"/>
                <w:i/>
                <w:szCs w:val="24"/>
              </w:rPr>
            </w:pPr>
            <w:r>
              <w:rPr>
                <w:rFonts w:cs="Times New Roman"/>
                <w:i/>
                <w:color w:val="000000" w:themeColor="text1"/>
                <w:szCs w:val="24"/>
              </w:rPr>
              <w:lastRenderedPageBreak/>
              <w:t>T</w:t>
            </w:r>
            <w:r w:rsidRPr="0066381A">
              <w:rPr>
                <w:rFonts w:cs="Times New Roman"/>
                <w:i/>
                <w:color w:val="000000" w:themeColor="text1"/>
                <w:szCs w:val="24"/>
              </w:rPr>
              <w:t>abulas Nr. 1 turpinājums “ES fondu 2014. – 2020. gada plānošanas perioda 2018.</w:t>
            </w:r>
            <w:r>
              <w:rPr>
                <w:rFonts w:cs="Times New Roman"/>
                <w:i/>
                <w:color w:val="000000" w:themeColor="text1"/>
                <w:szCs w:val="24"/>
              </w:rPr>
              <w:t xml:space="preserve"> </w:t>
            </w:r>
            <w:r w:rsidRPr="0066381A">
              <w:rPr>
                <w:rFonts w:cs="Times New Roman"/>
                <w:i/>
                <w:color w:val="000000" w:themeColor="text1"/>
                <w:szCs w:val="24"/>
              </w:rPr>
              <w:t>gada starpposma finanšu mērķa izpilde”.</w:t>
            </w:r>
          </w:p>
        </w:tc>
      </w:tr>
      <w:tr w:rsidR="006A6875" w:rsidRPr="0066381A" w14:paraId="6F5AE26C" w14:textId="77777777" w:rsidTr="00A06879">
        <w:trPr>
          <w:trHeight w:val="154"/>
        </w:trPr>
        <w:tc>
          <w:tcPr>
            <w:tcW w:w="4243" w:type="dxa"/>
            <w:vMerge w:val="restart"/>
            <w:tcBorders>
              <w:top w:val="single" w:sz="4" w:space="0" w:color="auto"/>
              <w:left w:val="single" w:sz="8" w:space="0" w:color="000000"/>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0AF66A29" w14:textId="77777777" w:rsidR="006A6875" w:rsidRPr="0066381A" w:rsidRDefault="006A6875" w:rsidP="006531E3">
            <w:pPr>
              <w:rPr>
                <w:rFonts w:eastAsia="Times New Roman" w:cs="Times New Roman"/>
                <w:sz w:val="20"/>
                <w:szCs w:val="20"/>
                <w:lang w:eastAsia="lv-LV"/>
              </w:rPr>
            </w:pPr>
            <w:r w:rsidRPr="0066381A">
              <w:rPr>
                <w:rFonts w:eastAsia="Verdana" w:cs="Times New Roman"/>
                <w:kern w:val="24"/>
                <w:sz w:val="20"/>
                <w:szCs w:val="20"/>
                <w:lang w:eastAsia="lv-LV"/>
              </w:rPr>
              <w:t>4.Pāreja uz ekonomiku ar zemu oglekļa emisijas līmeni visās nozarēs</w:t>
            </w:r>
          </w:p>
        </w:tc>
        <w:tc>
          <w:tcPr>
            <w:tcW w:w="993" w:type="dxa"/>
            <w:tcBorders>
              <w:top w:val="single" w:sz="4"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2A536456" w14:textId="77777777" w:rsidR="006A6875" w:rsidRPr="0066381A" w:rsidRDefault="006A6875" w:rsidP="006531E3">
            <w:pPr>
              <w:jc w:val="right"/>
              <w:rPr>
                <w:rFonts w:eastAsia="Times New Roman" w:cs="Times New Roman"/>
                <w:sz w:val="20"/>
                <w:szCs w:val="20"/>
                <w:lang w:eastAsia="lv-LV"/>
              </w:rPr>
            </w:pPr>
            <w:r w:rsidRPr="0066381A">
              <w:rPr>
                <w:rFonts w:eastAsia="Verdana" w:cs="Times New Roman"/>
                <w:kern w:val="24"/>
                <w:sz w:val="20"/>
                <w:szCs w:val="20"/>
                <w:lang w:eastAsia="lv-LV"/>
              </w:rPr>
              <w:t>ERAF</w:t>
            </w:r>
          </w:p>
        </w:tc>
        <w:tc>
          <w:tcPr>
            <w:tcW w:w="1984" w:type="dxa"/>
            <w:tcBorders>
              <w:top w:val="single" w:sz="4" w:space="0" w:color="auto"/>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5C3D0EFB" w14:textId="77777777" w:rsidR="006A6875" w:rsidRPr="0066381A" w:rsidRDefault="006A6875" w:rsidP="006531E3">
            <w:pPr>
              <w:jc w:val="center"/>
              <w:rPr>
                <w:rFonts w:eastAsia="Verdana" w:cs="Times New Roman"/>
                <w:bCs/>
                <w:kern w:val="24"/>
                <w:sz w:val="20"/>
                <w:szCs w:val="20"/>
                <w:lang w:eastAsia="lv-LV"/>
              </w:rPr>
            </w:pPr>
            <w:r w:rsidRPr="0066381A">
              <w:rPr>
                <w:rFonts w:eastAsia="Verdana" w:cs="Times New Roman"/>
                <w:bCs/>
                <w:kern w:val="24"/>
                <w:sz w:val="20"/>
                <w:szCs w:val="20"/>
                <w:lang w:eastAsia="lv-LV"/>
              </w:rPr>
              <w:t>59,2</w:t>
            </w:r>
          </w:p>
        </w:tc>
        <w:tc>
          <w:tcPr>
            <w:tcW w:w="1797" w:type="dxa"/>
            <w:tcBorders>
              <w:top w:val="single" w:sz="4" w:space="0" w:color="auto"/>
              <w:left w:val="single" w:sz="8" w:space="0" w:color="auto"/>
              <w:bottom w:val="single" w:sz="8" w:space="0" w:color="auto"/>
              <w:right w:val="single" w:sz="8" w:space="0" w:color="000000"/>
            </w:tcBorders>
            <w:shd w:val="clear" w:color="auto" w:fill="auto"/>
            <w:tcMar>
              <w:top w:w="72" w:type="dxa"/>
              <w:left w:w="144" w:type="dxa"/>
              <w:bottom w:w="72" w:type="dxa"/>
              <w:right w:w="144" w:type="dxa"/>
            </w:tcMar>
            <w:vAlign w:val="center"/>
            <w:hideMark/>
          </w:tcPr>
          <w:p w14:paraId="2D74A7EC" w14:textId="1130BADF" w:rsidR="006A6875" w:rsidRPr="0066381A" w:rsidRDefault="006A6875" w:rsidP="006531E3">
            <w:pPr>
              <w:jc w:val="center"/>
              <w:rPr>
                <w:rFonts w:eastAsia="Times New Roman" w:cs="Times New Roman"/>
                <w:sz w:val="20"/>
                <w:szCs w:val="20"/>
                <w:lang w:eastAsia="lv-LV"/>
              </w:rPr>
            </w:pPr>
            <w:r w:rsidRPr="0066381A">
              <w:rPr>
                <w:rFonts w:eastAsia="Verdana" w:cs="Times New Roman"/>
                <w:bCs/>
                <w:kern w:val="24"/>
                <w:sz w:val="20"/>
                <w:szCs w:val="20"/>
                <w:lang w:eastAsia="lv-LV"/>
              </w:rPr>
              <w:t>105</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6A6875" w:rsidRPr="0066381A" w14:paraId="7506E505" w14:textId="77777777" w:rsidTr="0082787D">
        <w:trPr>
          <w:trHeight w:val="20"/>
        </w:trPr>
        <w:tc>
          <w:tcPr>
            <w:tcW w:w="4243" w:type="dxa"/>
            <w:vMerge/>
            <w:tcBorders>
              <w:top w:val="single" w:sz="8" w:space="0" w:color="000000"/>
              <w:left w:val="single" w:sz="8" w:space="0" w:color="000000"/>
              <w:bottom w:val="single" w:sz="8" w:space="0" w:color="000000"/>
              <w:right w:val="single" w:sz="8" w:space="0" w:color="auto"/>
            </w:tcBorders>
            <w:shd w:val="clear" w:color="auto" w:fill="auto"/>
            <w:vAlign w:val="center"/>
            <w:hideMark/>
          </w:tcPr>
          <w:p w14:paraId="0CAD3356" w14:textId="77777777" w:rsidR="006A6875" w:rsidRPr="0066381A" w:rsidRDefault="006A6875" w:rsidP="006531E3">
            <w:pPr>
              <w:rPr>
                <w:rFonts w:eastAsia="Times New Roman" w:cs="Times New Roman"/>
                <w:sz w:val="20"/>
                <w:szCs w:val="20"/>
                <w:lang w:eastAsia="lv-LV"/>
              </w:rPr>
            </w:pPr>
          </w:p>
        </w:tc>
        <w:tc>
          <w:tcPr>
            <w:tcW w:w="993"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6B972582" w14:textId="77777777" w:rsidR="006A6875" w:rsidRPr="0066381A" w:rsidRDefault="006A6875" w:rsidP="006531E3">
            <w:pPr>
              <w:jc w:val="right"/>
              <w:rPr>
                <w:rFonts w:eastAsia="Times New Roman" w:cs="Times New Roman"/>
                <w:sz w:val="20"/>
                <w:szCs w:val="20"/>
                <w:lang w:eastAsia="lv-LV"/>
              </w:rPr>
            </w:pPr>
            <w:r w:rsidRPr="0066381A">
              <w:rPr>
                <w:rFonts w:eastAsia="Verdana" w:cs="Times New Roman"/>
                <w:kern w:val="24"/>
                <w:sz w:val="20"/>
                <w:szCs w:val="20"/>
                <w:lang w:eastAsia="lv-LV"/>
              </w:rPr>
              <w:t>KF</w:t>
            </w:r>
          </w:p>
        </w:tc>
        <w:tc>
          <w:tcPr>
            <w:tcW w:w="1984"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2086E011" w14:textId="77777777" w:rsidR="006A6875" w:rsidRPr="0066381A" w:rsidRDefault="006A6875" w:rsidP="006531E3">
            <w:pPr>
              <w:jc w:val="center"/>
              <w:rPr>
                <w:rFonts w:eastAsia="Verdana" w:cs="Times New Roman"/>
                <w:bCs/>
                <w:kern w:val="24"/>
                <w:sz w:val="20"/>
                <w:szCs w:val="20"/>
                <w:lang w:eastAsia="lv-LV"/>
              </w:rPr>
            </w:pPr>
            <w:r w:rsidRPr="0066381A">
              <w:rPr>
                <w:rFonts w:eastAsia="Verdana" w:cs="Times New Roman"/>
                <w:bCs/>
                <w:kern w:val="24"/>
                <w:sz w:val="20"/>
                <w:szCs w:val="20"/>
                <w:lang w:eastAsia="lv-LV"/>
              </w:rPr>
              <w:t>40,0</w:t>
            </w:r>
          </w:p>
        </w:tc>
        <w:tc>
          <w:tcPr>
            <w:tcW w:w="1797" w:type="dxa"/>
            <w:tcBorders>
              <w:top w:val="single" w:sz="8" w:space="0" w:color="auto"/>
              <w:left w:val="single" w:sz="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14EBF1E" w14:textId="08BB1AC3" w:rsidR="006A6875" w:rsidRPr="0066381A" w:rsidRDefault="006A6875" w:rsidP="006531E3">
            <w:pPr>
              <w:jc w:val="center"/>
              <w:rPr>
                <w:rFonts w:eastAsia="Times New Roman" w:cs="Times New Roman"/>
                <w:sz w:val="20"/>
                <w:szCs w:val="20"/>
                <w:lang w:eastAsia="lv-LV"/>
              </w:rPr>
            </w:pPr>
            <w:r w:rsidRPr="0066381A">
              <w:rPr>
                <w:rFonts w:eastAsia="Verdana" w:cs="Times New Roman"/>
                <w:bCs/>
                <w:kern w:val="24"/>
                <w:sz w:val="20"/>
                <w:szCs w:val="20"/>
                <w:lang w:eastAsia="lv-LV"/>
              </w:rPr>
              <w:t>126</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7514F4" w:rsidRPr="0066381A" w14:paraId="1A83636E" w14:textId="77777777" w:rsidTr="0082787D">
        <w:trPr>
          <w:trHeight w:val="207"/>
        </w:trPr>
        <w:tc>
          <w:tcPr>
            <w:tcW w:w="4243" w:type="dxa"/>
            <w:vMerge w:val="restart"/>
            <w:tcBorders>
              <w:top w:val="single" w:sz="8" w:space="0" w:color="000000"/>
              <w:left w:val="single" w:sz="8" w:space="0" w:color="000000"/>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1A0EF7F6" w14:textId="77777777" w:rsidR="007514F4" w:rsidRPr="0066381A" w:rsidRDefault="007514F4" w:rsidP="003A3B9E">
            <w:pPr>
              <w:rPr>
                <w:rFonts w:eastAsia="Times New Roman" w:cs="Times New Roman"/>
                <w:sz w:val="20"/>
                <w:szCs w:val="20"/>
                <w:lang w:eastAsia="lv-LV"/>
              </w:rPr>
            </w:pPr>
            <w:r w:rsidRPr="0066381A">
              <w:rPr>
                <w:rFonts w:eastAsia="Verdana" w:cs="Times New Roman"/>
                <w:kern w:val="24"/>
                <w:sz w:val="20"/>
                <w:szCs w:val="20"/>
                <w:lang w:eastAsia="lv-LV"/>
              </w:rPr>
              <w:t>5.Vides aizsardzība un resursu izmantošanas efektivitāte</w:t>
            </w:r>
          </w:p>
        </w:tc>
        <w:tc>
          <w:tcPr>
            <w:tcW w:w="993"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4B4B5C54" w14:textId="77777777" w:rsidR="007514F4" w:rsidRPr="0066381A" w:rsidRDefault="007514F4" w:rsidP="003A3B9E">
            <w:pPr>
              <w:jc w:val="right"/>
              <w:rPr>
                <w:rFonts w:eastAsia="Times New Roman" w:cs="Times New Roman"/>
                <w:sz w:val="20"/>
                <w:szCs w:val="20"/>
                <w:lang w:eastAsia="lv-LV"/>
              </w:rPr>
            </w:pPr>
            <w:r w:rsidRPr="0066381A">
              <w:rPr>
                <w:rFonts w:eastAsia="Verdana" w:cs="Times New Roman"/>
                <w:kern w:val="24"/>
                <w:sz w:val="20"/>
                <w:szCs w:val="20"/>
                <w:lang w:eastAsia="lv-LV"/>
              </w:rPr>
              <w:t>ERAF</w:t>
            </w:r>
          </w:p>
        </w:tc>
        <w:tc>
          <w:tcPr>
            <w:tcW w:w="1984"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2521D2B1" w14:textId="77777777" w:rsidR="007514F4" w:rsidRPr="0066381A" w:rsidRDefault="007514F4" w:rsidP="003A3B9E">
            <w:pPr>
              <w:jc w:val="center"/>
              <w:rPr>
                <w:rFonts w:eastAsia="Verdana" w:cs="Times New Roman"/>
                <w:bCs/>
                <w:kern w:val="24"/>
                <w:sz w:val="20"/>
                <w:szCs w:val="20"/>
                <w:lang w:eastAsia="lv-LV"/>
              </w:rPr>
            </w:pPr>
            <w:r w:rsidRPr="0066381A">
              <w:rPr>
                <w:rFonts w:eastAsia="Verdana" w:cs="Times New Roman"/>
                <w:bCs/>
                <w:kern w:val="24"/>
                <w:sz w:val="20"/>
                <w:szCs w:val="20"/>
                <w:lang w:eastAsia="lv-LV"/>
              </w:rPr>
              <w:t>120,3</w:t>
            </w:r>
          </w:p>
        </w:tc>
        <w:tc>
          <w:tcPr>
            <w:tcW w:w="1797" w:type="dxa"/>
            <w:tcBorders>
              <w:top w:val="single" w:sz="8" w:space="0" w:color="000000"/>
              <w:left w:val="single" w:sz="8" w:space="0" w:color="auto"/>
              <w:bottom w:val="single" w:sz="8" w:space="0" w:color="auto"/>
              <w:right w:val="single" w:sz="8" w:space="0" w:color="000000"/>
            </w:tcBorders>
            <w:shd w:val="clear" w:color="auto" w:fill="auto"/>
            <w:tcMar>
              <w:top w:w="72" w:type="dxa"/>
              <w:left w:w="144" w:type="dxa"/>
              <w:bottom w:w="72" w:type="dxa"/>
              <w:right w:w="144" w:type="dxa"/>
            </w:tcMar>
            <w:vAlign w:val="center"/>
            <w:hideMark/>
          </w:tcPr>
          <w:p w14:paraId="1D9C916A" w14:textId="0B8A1C0E"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109</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7514F4" w:rsidRPr="0066381A" w14:paraId="465412AA" w14:textId="77777777" w:rsidTr="0082787D">
        <w:trPr>
          <w:trHeight w:val="29"/>
        </w:trPr>
        <w:tc>
          <w:tcPr>
            <w:tcW w:w="4243" w:type="dxa"/>
            <w:vMerge/>
            <w:tcBorders>
              <w:top w:val="single" w:sz="8" w:space="0" w:color="000000"/>
              <w:left w:val="single" w:sz="8" w:space="0" w:color="000000"/>
              <w:bottom w:val="single" w:sz="8" w:space="0" w:color="000000"/>
              <w:right w:val="single" w:sz="8" w:space="0" w:color="auto"/>
            </w:tcBorders>
            <w:shd w:val="clear" w:color="auto" w:fill="auto"/>
            <w:vAlign w:val="center"/>
            <w:hideMark/>
          </w:tcPr>
          <w:p w14:paraId="3D8A3739" w14:textId="77777777" w:rsidR="007514F4" w:rsidRPr="0066381A" w:rsidRDefault="007514F4" w:rsidP="003A3B9E">
            <w:pPr>
              <w:rPr>
                <w:rFonts w:eastAsia="Times New Roman" w:cs="Times New Roman"/>
                <w:sz w:val="20"/>
                <w:szCs w:val="20"/>
                <w:lang w:eastAsia="lv-LV"/>
              </w:rPr>
            </w:pPr>
          </w:p>
        </w:tc>
        <w:tc>
          <w:tcPr>
            <w:tcW w:w="993"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7A754B63" w14:textId="77777777" w:rsidR="007514F4" w:rsidRPr="0066381A" w:rsidRDefault="007514F4" w:rsidP="003A3B9E">
            <w:pPr>
              <w:jc w:val="right"/>
              <w:rPr>
                <w:rFonts w:eastAsia="Times New Roman" w:cs="Times New Roman"/>
                <w:sz w:val="20"/>
                <w:szCs w:val="20"/>
                <w:lang w:eastAsia="lv-LV"/>
              </w:rPr>
            </w:pPr>
            <w:r w:rsidRPr="0066381A">
              <w:rPr>
                <w:rFonts w:eastAsia="Verdana" w:cs="Times New Roman"/>
                <w:kern w:val="24"/>
                <w:sz w:val="20"/>
                <w:szCs w:val="20"/>
                <w:lang w:eastAsia="lv-LV"/>
              </w:rPr>
              <w:t>KF</w:t>
            </w:r>
          </w:p>
        </w:tc>
        <w:tc>
          <w:tcPr>
            <w:tcW w:w="1984"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00DA1253" w14:textId="77777777" w:rsidR="007514F4" w:rsidRPr="0066381A" w:rsidRDefault="007514F4" w:rsidP="003A3B9E">
            <w:pPr>
              <w:jc w:val="center"/>
              <w:rPr>
                <w:rFonts w:eastAsia="Verdana" w:cs="Times New Roman"/>
                <w:bCs/>
                <w:kern w:val="24"/>
                <w:sz w:val="20"/>
                <w:szCs w:val="20"/>
                <w:lang w:eastAsia="lv-LV"/>
              </w:rPr>
            </w:pPr>
            <w:r w:rsidRPr="0066381A">
              <w:rPr>
                <w:rFonts w:eastAsia="Verdana" w:cs="Times New Roman"/>
                <w:bCs/>
                <w:kern w:val="24"/>
                <w:sz w:val="20"/>
                <w:szCs w:val="20"/>
                <w:lang w:eastAsia="lv-LV"/>
              </w:rPr>
              <w:t>45,0</w:t>
            </w:r>
          </w:p>
        </w:tc>
        <w:tc>
          <w:tcPr>
            <w:tcW w:w="1797" w:type="dxa"/>
            <w:tcBorders>
              <w:top w:val="single" w:sz="8" w:space="0" w:color="auto"/>
              <w:left w:val="single" w:sz="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8FDA948" w14:textId="4593189F"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128</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7514F4" w:rsidRPr="0066381A" w14:paraId="7DBDFB76" w14:textId="77777777" w:rsidTr="0082787D">
        <w:trPr>
          <w:trHeight w:val="133"/>
        </w:trPr>
        <w:tc>
          <w:tcPr>
            <w:tcW w:w="4243" w:type="dxa"/>
            <w:vMerge w:val="restart"/>
            <w:tcBorders>
              <w:top w:val="single" w:sz="8" w:space="0" w:color="000000"/>
              <w:left w:val="single" w:sz="8" w:space="0" w:color="000000"/>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225CCB17" w14:textId="77777777" w:rsidR="007514F4" w:rsidRPr="0066381A" w:rsidRDefault="007514F4" w:rsidP="003A3B9E">
            <w:pPr>
              <w:rPr>
                <w:rFonts w:eastAsia="Times New Roman" w:cs="Times New Roman"/>
                <w:sz w:val="20"/>
                <w:szCs w:val="20"/>
                <w:lang w:eastAsia="lv-LV"/>
              </w:rPr>
            </w:pPr>
            <w:r w:rsidRPr="0066381A">
              <w:rPr>
                <w:rFonts w:eastAsia="Verdana" w:cs="Times New Roman"/>
                <w:kern w:val="24"/>
                <w:sz w:val="20"/>
                <w:szCs w:val="20"/>
                <w:lang w:eastAsia="lv-LV"/>
              </w:rPr>
              <w:t xml:space="preserve">6.Ilgtspējīga transporta sistēma </w:t>
            </w:r>
          </w:p>
        </w:tc>
        <w:tc>
          <w:tcPr>
            <w:tcW w:w="993"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5CE80832" w14:textId="77777777" w:rsidR="007514F4" w:rsidRPr="0066381A" w:rsidRDefault="007514F4" w:rsidP="003A3B9E">
            <w:pPr>
              <w:jc w:val="right"/>
              <w:rPr>
                <w:rFonts w:eastAsia="Times New Roman" w:cs="Times New Roman"/>
                <w:sz w:val="20"/>
                <w:szCs w:val="20"/>
                <w:lang w:eastAsia="lv-LV"/>
              </w:rPr>
            </w:pPr>
            <w:r w:rsidRPr="0066381A">
              <w:rPr>
                <w:rFonts w:eastAsia="Verdana" w:cs="Times New Roman"/>
                <w:kern w:val="24"/>
                <w:sz w:val="20"/>
                <w:szCs w:val="20"/>
                <w:lang w:eastAsia="lv-LV"/>
              </w:rPr>
              <w:t>ERAF</w:t>
            </w:r>
          </w:p>
        </w:tc>
        <w:tc>
          <w:tcPr>
            <w:tcW w:w="1984"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4C8F5402" w14:textId="77777777" w:rsidR="007514F4" w:rsidRPr="0066381A" w:rsidRDefault="007514F4" w:rsidP="003A3B9E">
            <w:pPr>
              <w:jc w:val="center"/>
              <w:rPr>
                <w:rFonts w:eastAsia="Verdana" w:cs="Times New Roman"/>
                <w:bCs/>
                <w:kern w:val="24"/>
                <w:sz w:val="20"/>
                <w:szCs w:val="20"/>
                <w:lang w:eastAsia="lv-LV"/>
              </w:rPr>
            </w:pPr>
            <w:r w:rsidRPr="0066381A">
              <w:rPr>
                <w:rFonts w:eastAsia="Verdana" w:cs="Times New Roman"/>
                <w:bCs/>
                <w:kern w:val="24"/>
                <w:sz w:val="20"/>
                <w:szCs w:val="20"/>
                <w:lang w:eastAsia="lv-LV"/>
              </w:rPr>
              <w:t>202,7</w:t>
            </w:r>
          </w:p>
        </w:tc>
        <w:tc>
          <w:tcPr>
            <w:tcW w:w="1797" w:type="dxa"/>
            <w:tcBorders>
              <w:top w:val="single" w:sz="8" w:space="0" w:color="000000"/>
              <w:left w:val="single" w:sz="8" w:space="0" w:color="auto"/>
              <w:bottom w:val="single" w:sz="8" w:space="0" w:color="auto"/>
              <w:right w:val="single" w:sz="8" w:space="0" w:color="000000"/>
            </w:tcBorders>
            <w:shd w:val="clear" w:color="auto" w:fill="auto"/>
            <w:tcMar>
              <w:top w:w="72" w:type="dxa"/>
              <w:left w:w="144" w:type="dxa"/>
              <w:bottom w:w="72" w:type="dxa"/>
              <w:right w:w="144" w:type="dxa"/>
            </w:tcMar>
            <w:vAlign w:val="center"/>
            <w:hideMark/>
          </w:tcPr>
          <w:p w14:paraId="3196B582" w14:textId="6C90BBC6"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278</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7514F4" w:rsidRPr="0066381A" w14:paraId="3ADCD10D" w14:textId="77777777" w:rsidTr="0082787D">
        <w:trPr>
          <w:trHeight w:val="20"/>
        </w:trPr>
        <w:tc>
          <w:tcPr>
            <w:tcW w:w="4243" w:type="dxa"/>
            <w:vMerge/>
            <w:tcBorders>
              <w:top w:val="single" w:sz="8" w:space="0" w:color="000000"/>
              <w:left w:val="single" w:sz="8" w:space="0" w:color="000000"/>
              <w:bottom w:val="single" w:sz="8" w:space="0" w:color="000000"/>
              <w:right w:val="single" w:sz="8" w:space="0" w:color="auto"/>
            </w:tcBorders>
            <w:shd w:val="clear" w:color="auto" w:fill="auto"/>
            <w:vAlign w:val="center"/>
            <w:hideMark/>
          </w:tcPr>
          <w:p w14:paraId="7C64E9C1" w14:textId="77777777" w:rsidR="007514F4" w:rsidRPr="0066381A" w:rsidRDefault="007514F4" w:rsidP="003A3B9E">
            <w:pPr>
              <w:rPr>
                <w:rFonts w:eastAsia="Times New Roman" w:cs="Times New Roman"/>
                <w:sz w:val="20"/>
                <w:szCs w:val="20"/>
                <w:lang w:eastAsia="lv-LV"/>
              </w:rPr>
            </w:pPr>
          </w:p>
        </w:tc>
        <w:tc>
          <w:tcPr>
            <w:tcW w:w="993"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4668961C" w14:textId="77777777" w:rsidR="007514F4" w:rsidRPr="0066381A" w:rsidRDefault="007514F4" w:rsidP="003A3B9E">
            <w:pPr>
              <w:jc w:val="right"/>
              <w:rPr>
                <w:rFonts w:eastAsia="Times New Roman" w:cs="Times New Roman"/>
                <w:sz w:val="20"/>
                <w:szCs w:val="20"/>
                <w:lang w:eastAsia="lv-LV"/>
              </w:rPr>
            </w:pPr>
            <w:r w:rsidRPr="0066381A">
              <w:rPr>
                <w:rFonts w:eastAsia="Verdana" w:cs="Times New Roman"/>
                <w:kern w:val="24"/>
                <w:sz w:val="20"/>
                <w:szCs w:val="20"/>
                <w:lang w:eastAsia="lv-LV"/>
              </w:rPr>
              <w:t>KF</w:t>
            </w:r>
          </w:p>
        </w:tc>
        <w:tc>
          <w:tcPr>
            <w:tcW w:w="1984"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355399E6" w14:textId="77777777"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280,3</w:t>
            </w:r>
          </w:p>
        </w:tc>
        <w:tc>
          <w:tcPr>
            <w:tcW w:w="1797" w:type="dxa"/>
            <w:tcBorders>
              <w:top w:val="single" w:sz="8" w:space="0" w:color="auto"/>
              <w:left w:val="single" w:sz="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43CB58" w14:textId="630D6CAF"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92</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7514F4" w:rsidRPr="0066381A" w14:paraId="26DCA05A" w14:textId="77777777" w:rsidTr="0082787D">
        <w:trPr>
          <w:trHeight w:val="20"/>
        </w:trPr>
        <w:tc>
          <w:tcPr>
            <w:tcW w:w="4243" w:type="dxa"/>
            <w:vMerge w:val="restart"/>
            <w:tcBorders>
              <w:top w:val="single" w:sz="8" w:space="0" w:color="000000"/>
              <w:left w:val="single" w:sz="8" w:space="0" w:color="000000"/>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444CB0A5" w14:textId="77777777" w:rsidR="007514F4" w:rsidRPr="0066381A" w:rsidRDefault="007514F4" w:rsidP="003A3B9E">
            <w:pPr>
              <w:rPr>
                <w:rFonts w:eastAsia="Times New Roman" w:cs="Times New Roman"/>
                <w:sz w:val="20"/>
                <w:szCs w:val="20"/>
                <w:lang w:eastAsia="lv-LV"/>
              </w:rPr>
            </w:pPr>
            <w:r w:rsidRPr="0066381A">
              <w:rPr>
                <w:rFonts w:eastAsia="Verdana" w:cs="Times New Roman"/>
                <w:kern w:val="24"/>
                <w:sz w:val="20"/>
                <w:szCs w:val="20"/>
                <w:lang w:eastAsia="lv-LV"/>
              </w:rPr>
              <w:t xml:space="preserve">7.Nodarbinātība un darbaspēka mobilitāte </w:t>
            </w:r>
          </w:p>
        </w:tc>
        <w:tc>
          <w:tcPr>
            <w:tcW w:w="993"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4D218A60" w14:textId="77777777" w:rsidR="007514F4" w:rsidRPr="0066381A" w:rsidRDefault="007514F4" w:rsidP="003A3B9E">
            <w:pPr>
              <w:jc w:val="right"/>
              <w:rPr>
                <w:rFonts w:eastAsia="Times New Roman" w:cs="Times New Roman"/>
                <w:sz w:val="20"/>
                <w:szCs w:val="20"/>
                <w:lang w:eastAsia="lv-LV"/>
              </w:rPr>
            </w:pPr>
            <w:r w:rsidRPr="0066381A">
              <w:rPr>
                <w:rFonts w:eastAsia="Verdana" w:cs="Times New Roman"/>
                <w:kern w:val="24"/>
                <w:sz w:val="20"/>
                <w:szCs w:val="20"/>
                <w:lang w:eastAsia="lv-LV"/>
              </w:rPr>
              <w:t>ESF</w:t>
            </w:r>
          </w:p>
        </w:tc>
        <w:tc>
          <w:tcPr>
            <w:tcW w:w="1984"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1AC655F3" w14:textId="77777777"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63,1</w:t>
            </w:r>
          </w:p>
        </w:tc>
        <w:tc>
          <w:tcPr>
            <w:tcW w:w="1797" w:type="dxa"/>
            <w:tcBorders>
              <w:top w:val="single" w:sz="8" w:space="0" w:color="000000"/>
              <w:left w:val="single" w:sz="8" w:space="0" w:color="auto"/>
              <w:bottom w:val="single" w:sz="8" w:space="0" w:color="auto"/>
              <w:right w:val="single" w:sz="8" w:space="0" w:color="000000"/>
            </w:tcBorders>
            <w:shd w:val="clear" w:color="auto" w:fill="auto"/>
            <w:tcMar>
              <w:top w:w="72" w:type="dxa"/>
              <w:left w:w="144" w:type="dxa"/>
              <w:bottom w:w="72" w:type="dxa"/>
              <w:right w:w="144" w:type="dxa"/>
            </w:tcMar>
            <w:vAlign w:val="center"/>
            <w:hideMark/>
          </w:tcPr>
          <w:p w14:paraId="45DC1349" w14:textId="615AF0C6"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128</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7514F4" w:rsidRPr="0066381A" w14:paraId="7C533731" w14:textId="77777777" w:rsidTr="0082787D">
        <w:trPr>
          <w:trHeight w:val="20"/>
        </w:trPr>
        <w:tc>
          <w:tcPr>
            <w:tcW w:w="4243" w:type="dxa"/>
            <w:vMerge/>
            <w:tcBorders>
              <w:top w:val="single" w:sz="8" w:space="0" w:color="000000"/>
              <w:left w:val="single" w:sz="8" w:space="0" w:color="000000"/>
              <w:bottom w:val="single" w:sz="8" w:space="0" w:color="000000"/>
              <w:right w:val="single" w:sz="8" w:space="0" w:color="auto"/>
            </w:tcBorders>
            <w:shd w:val="clear" w:color="auto" w:fill="auto"/>
            <w:vAlign w:val="center"/>
            <w:hideMark/>
          </w:tcPr>
          <w:p w14:paraId="79006573" w14:textId="77777777" w:rsidR="007514F4" w:rsidRPr="0066381A" w:rsidRDefault="007514F4" w:rsidP="003A3B9E">
            <w:pPr>
              <w:rPr>
                <w:rFonts w:eastAsia="Times New Roman" w:cs="Times New Roman"/>
                <w:sz w:val="20"/>
                <w:szCs w:val="20"/>
                <w:lang w:eastAsia="lv-LV"/>
              </w:rPr>
            </w:pPr>
          </w:p>
        </w:tc>
        <w:tc>
          <w:tcPr>
            <w:tcW w:w="993"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1F40D4EE" w14:textId="77777777" w:rsidR="007514F4" w:rsidRPr="0066381A" w:rsidRDefault="007514F4" w:rsidP="003A3B9E">
            <w:pPr>
              <w:jc w:val="right"/>
              <w:rPr>
                <w:rFonts w:eastAsia="Times New Roman" w:cs="Times New Roman"/>
                <w:sz w:val="20"/>
                <w:szCs w:val="20"/>
                <w:lang w:eastAsia="lv-LV"/>
              </w:rPr>
            </w:pPr>
            <w:r w:rsidRPr="0066381A">
              <w:rPr>
                <w:rFonts w:eastAsia="Verdana" w:cs="Times New Roman"/>
                <w:kern w:val="24"/>
                <w:sz w:val="20"/>
                <w:szCs w:val="20"/>
                <w:lang w:eastAsia="lv-LV"/>
              </w:rPr>
              <w:t>ESF/JNI</w:t>
            </w:r>
          </w:p>
        </w:tc>
        <w:tc>
          <w:tcPr>
            <w:tcW w:w="1984"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15357486" w14:textId="77777777"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60,5</w:t>
            </w:r>
          </w:p>
        </w:tc>
        <w:tc>
          <w:tcPr>
            <w:tcW w:w="1797" w:type="dxa"/>
            <w:tcBorders>
              <w:top w:val="single" w:sz="8" w:space="0" w:color="auto"/>
              <w:left w:val="single" w:sz="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C3E5C9" w14:textId="7130E4E0"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124</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7514F4" w:rsidRPr="0066381A" w14:paraId="2FB9CB06" w14:textId="77777777" w:rsidTr="0082787D">
        <w:trPr>
          <w:trHeight w:val="118"/>
        </w:trPr>
        <w:tc>
          <w:tcPr>
            <w:tcW w:w="4243" w:type="dxa"/>
            <w:vMerge w:val="restart"/>
            <w:tcBorders>
              <w:top w:val="single" w:sz="8" w:space="0" w:color="000000"/>
              <w:left w:val="single" w:sz="8" w:space="0" w:color="000000"/>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1F795793" w14:textId="77777777" w:rsidR="007514F4" w:rsidRPr="0066381A" w:rsidRDefault="007514F4" w:rsidP="003A3B9E">
            <w:pPr>
              <w:rPr>
                <w:rFonts w:eastAsia="Times New Roman" w:cs="Times New Roman"/>
                <w:sz w:val="20"/>
                <w:szCs w:val="20"/>
                <w:lang w:eastAsia="lv-LV"/>
              </w:rPr>
            </w:pPr>
            <w:r w:rsidRPr="0066381A">
              <w:rPr>
                <w:rFonts w:eastAsia="Verdana" w:cs="Times New Roman"/>
                <w:kern w:val="24"/>
                <w:sz w:val="20"/>
                <w:szCs w:val="20"/>
                <w:lang w:eastAsia="lv-LV"/>
              </w:rPr>
              <w:t xml:space="preserve">8.Izglītība, prasmes un mūžizglītība </w:t>
            </w:r>
          </w:p>
        </w:tc>
        <w:tc>
          <w:tcPr>
            <w:tcW w:w="993"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0D217726" w14:textId="77777777" w:rsidR="007514F4" w:rsidRPr="0066381A" w:rsidRDefault="007514F4" w:rsidP="003A3B9E">
            <w:pPr>
              <w:jc w:val="right"/>
              <w:rPr>
                <w:rFonts w:eastAsia="Times New Roman" w:cs="Times New Roman"/>
                <w:sz w:val="20"/>
                <w:szCs w:val="20"/>
                <w:lang w:eastAsia="lv-LV"/>
              </w:rPr>
            </w:pPr>
            <w:r w:rsidRPr="0066381A">
              <w:rPr>
                <w:rFonts w:eastAsia="Verdana" w:cs="Times New Roman"/>
                <w:kern w:val="24"/>
                <w:sz w:val="20"/>
                <w:szCs w:val="20"/>
                <w:lang w:eastAsia="lv-LV"/>
              </w:rPr>
              <w:t>ERAF</w:t>
            </w:r>
          </w:p>
        </w:tc>
        <w:tc>
          <w:tcPr>
            <w:tcW w:w="1984"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hideMark/>
          </w:tcPr>
          <w:p w14:paraId="57E4B0FD" w14:textId="77777777"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102,3</w:t>
            </w:r>
          </w:p>
        </w:tc>
        <w:tc>
          <w:tcPr>
            <w:tcW w:w="1797" w:type="dxa"/>
            <w:tcBorders>
              <w:top w:val="single" w:sz="8" w:space="0" w:color="000000"/>
              <w:left w:val="single" w:sz="8" w:space="0" w:color="auto"/>
              <w:bottom w:val="single" w:sz="8" w:space="0" w:color="auto"/>
              <w:right w:val="single" w:sz="8" w:space="0" w:color="000000"/>
            </w:tcBorders>
            <w:shd w:val="clear" w:color="auto" w:fill="auto"/>
            <w:tcMar>
              <w:top w:w="72" w:type="dxa"/>
              <w:left w:w="144" w:type="dxa"/>
              <w:bottom w:w="72" w:type="dxa"/>
              <w:right w:w="144" w:type="dxa"/>
            </w:tcMar>
            <w:vAlign w:val="center"/>
            <w:hideMark/>
          </w:tcPr>
          <w:p w14:paraId="7B66BEFC" w14:textId="440DB8DC"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127</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7514F4" w:rsidRPr="0066381A" w14:paraId="2BCF2D2A" w14:textId="77777777" w:rsidTr="0082787D">
        <w:trPr>
          <w:trHeight w:val="20"/>
        </w:trPr>
        <w:tc>
          <w:tcPr>
            <w:tcW w:w="4243" w:type="dxa"/>
            <w:vMerge/>
            <w:tcBorders>
              <w:top w:val="single" w:sz="8" w:space="0" w:color="000000"/>
              <w:left w:val="single" w:sz="8" w:space="0" w:color="000000"/>
              <w:bottom w:val="single" w:sz="8" w:space="0" w:color="000000"/>
              <w:right w:val="single" w:sz="8" w:space="0" w:color="auto"/>
            </w:tcBorders>
            <w:shd w:val="clear" w:color="auto" w:fill="auto"/>
            <w:vAlign w:val="center"/>
            <w:hideMark/>
          </w:tcPr>
          <w:p w14:paraId="05AE7A3A" w14:textId="77777777" w:rsidR="007514F4" w:rsidRPr="0066381A" w:rsidRDefault="007514F4" w:rsidP="003A3B9E">
            <w:pPr>
              <w:rPr>
                <w:rFonts w:eastAsia="Times New Roman" w:cs="Times New Roman"/>
                <w:sz w:val="20"/>
                <w:szCs w:val="20"/>
                <w:lang w:eastAsia="lv-LV"/>
              </w:rPr>
            </w:pPr>
          </w:p>
        </w:tc>
        <w:tc>
          <w:tcPr>
            <w:tcW w:w="993"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1193BCC5" w14:textId="77777777" w:rsidR="007514F4" w:rsidRPr="0066381A" w:rsidRDefault="007514F4" w:rsidP="003A3B9E">
            <w:pPr>
              <w:jc w:val="right"/>
              <w:rPr>
                <w:rFonts w:eastAsia="Times New Roman" w:cs="Times New Roman"/>
                <w:sz w:val="20"/>
                <w:szCs w:val="20"/>
                <w:lang w:eastAsia="lv-LV"/>
              </w:rPr>
            </w:pPr>
            <w:r w:rsidRPr="0066381A">
              <w:rPr>
                <w:rFonts w:eastAsia="Verdana" w:cs="Times New Roman"/>
                <w:kern w:val="24"/>
                <w:sz w:val="20"/>
                <w:szCs w:val="20"/>
                <w:lang w:eastAsia="lv-LV"/>
              </w:rPr>
              <w:t>ESF</w:t>
            </w:r>
          </w:p>
        </w:tc>
        <w:tc>
          <w:tcPr>
            <w:tcW w:w="1984" w:type="dxa"/>
            <w:tcBorders>
              <w:top w:val="single" w:sz="8" w:space="0" w:color="auto"/>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6BBD7FCB" w14:textId="77777777"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44,8</w:t>
            </w:r>
          </w:p>
        </w:tc>
        <w:tc>
          <w:tcPr>
            <w:tcW w:w="1797" w:type="dxa"/>
            <w:tcBorders>
              <w:top w:val="single" w:sz="8" w:space="0" w:color="auto"/>
              <w:left w:val="single" w:sz="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DC91B8" w14:textId="54BE74D3" w:rsidR="007514F4" w:rsidRPr="0066381A" w:rsidRDefault="007514F4"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122</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D16CEC" w:rsidRPr="0066381A" w14:paraId="6EC133B0" w14:textId="77777777" w:rsidTr="0082787D">
        <w:trPr>
          <w:trHeight w:val="43"/>
        </w:trPr>
        <w:tc>
          <w:tcPr>
            <w:tcW w:w="4243" w:type="dxa"/>
            <w:vMerge w:val="restart"/>
            <w:tcBorders>
              <w:top w:val="single" w:sz="8" w:space="0" w:color="000000"/>
              <w:left w:val="single" w:sz="8" w:space="0" w:color="000000"/>
              <w:right w:val="single" w:sz="8" w:space="0" w:color="auto"/>
            </w:tcBorders>
            <w:shd w:val="clear" w:color="auto" w:fill="auto"/>
            <w:tcMar>
              <w:top w:w="72" w:type="dxa"/>
              <w:left w:w="144" w:type="dxa"/>
              <w:bottom w:w="72" w:type="dxa"/>
              <w:right w:w="144" w:type="dxa"/>
            </w:tcMar>
            <w:vAlign w:val="center"/>
            <w:hideMark/>
          </w:tcPr>
          <w:p w14:paraId="46047E9F" w14:textId="77777777" w:rsidR="00D16CEC" w:rsidRPr="0066381A" w:rsidRDefault="00D16CEC" w:rsidP="003A3B9E">
            <w:pPr>
              <w:rPr>
                <w:rFonts w:eastAsia="Times New Roman" w:cs="Times New Roman"/>
                <w:sz w:val="20"/>
                <w:szCs w:val="20"/>
                <w:lang w:eastAsia="lv-LV"/>
              </w:rPr>
            </w:pPr>
            <w:r w:rsidRPr="0066381A">
              <w:rPr>
                <w:rFonts w:eastAsia="Verdana" w:cs="Times New Roman"/>
                <w:kern w:val="24"/>
                <w:sz w:val="20"/>
                <w:szCs w:val="20"/>
                <w:lang w:eastAsia="lv-LV"/>
              </w:rPr>
              <w:t>9.Sociālā iekļaušana un nabadzības apkarošana</w:t>
            </w:r>
          </w:p>
        </w:tc>
        <w:tc>
          <w:tcPr>
            <w:tcW w:w="993" w:type="dxa"/>
            <w:tcBorders>
              <w:top w:val="single" w:sz="8"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357A75D9" w14:textId="77777777" w:rsidR="00D16CEC" w:rsidRPr="0066381A" w:rsidRDefault="00D16CEC" w:rsidP="003A3B9E">
            <w:pPr>
              <w:jc w:val="right"/>
              <w:rPr>
                <w:rFonts w:eastAsia="Times New Roman" w:cs="Times New Roman"/>
                <w:sz w:val="20"/>
                <w:szCs w:val="20"/>
                <w:lang w:eastAsia="lv-LV"/>
              </w:rPr>
            </w:pPr>
            <w:r w:rsidRPr="0066381A">
              <w:rPr>
                <w:rFonts w:eastAsia="Verdana" w:cs="Times New Roman"/>
                <w:kern w:val="24"/>
                <w:sz w:val="20"/>
                <w:szCs w:val="20"/>
                <w:lang w:eastAsia="lv-LV"/>
              </w:rPr>
              <w:t>ERAF</w:t>
            </w:r>
          </w:p>
        </w:tc>
        <w:tc>
          <w:tcPr>
            <w:tcW w:w="1984" w:type="dxa"/>
            <w:tcBorders>
              <w:top w:val="single" w:sz="8" w:space="0" w:color="000000"/>
              <w:left w:val="single" w:sz="8" w:space="0" w:color="auto"/>
              <w:bottom w:val="single" w:sz="8" w:space="0" w:color="000000"/>
              <w:right w:val="single" w:sz="8" w:space="0" w:color="auto"/>
            </w:tcBorders>
            <w:shd w:val="clear" w:color="auto" w:fill="auto"/>
            <w:tcMar>
              <w:top w:w="72" w:type="dxa"/>
              <w:left w:w="144" w:type="dxa"/>
              <w:bottom w:w="72" w:type="dxa"/>
              <w:right w:w="144" w:type="dxa"/>
            </w:tcMar>
            <w:vAlign w:val="center"/>
            <w:hideMark/>
          </w:tcPr>
          <w:p w14:paraId="3607E8BD" w14:textId="77777777" w:rsidR="00D16CEC" w:rsidRPr="0066381A" w:rsidRDefault="00D16CEC"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18,6</w:t>
            </w:r>
          </w:p>
        </w:tc>
        <w:tc>
          <w:tcPr>
            <w:tcW w:w="1797" w:type="dxa"/>
            <w:tcBorders>
              <w:top w:val="single" w:sz="8" w:space="0" w:color="000000"/>
              <w:left w:val="single" w:sz="8" w:space="0" w:color="auto"/>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8786B81" w14:textId="343C76C1" w:rsidR="00D16CEC" w:rsidRPr="0066381A" w:rsidRDefault="00D16CEC" w:rsidP="003A3B9E">
            <w:pPr>
              <w:jc w:val="center"/>
              <w:rPr>
                <w:rFonts w:eastAsia="Times New Roman" w:cs="Times New Roman"/>
                <w:sz w:val="20"/>
                <w:szCs w:val="20"/>
                <w:lang w:eastAsia="lv-LV"/>
              </w:rPr>
            </w:pPr>
            <w:r w:rsidRPr="0066381A">
              <w:rPr>
                <w:rFonts w:eastAsia="Verdana" w:cs="Times New Roman"/>
                <w:bCs/>
                <w:kern w:val="24"/>
                <w:sz w:val="20"/>
                <w:szCs w:val="20"/>
                <w:lang w:eastAsia="lv-LV"/>
              </w:rPr>
              <w:t>239</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r w:rsidR="00D16CEC" w:rsidRPr="00DB28C3" w14:paraId="7633142C" w14:textId="77777777" w:rsidTr="0082787D">
        <w:trPr>
          <w:trHeight w:val="43"/>
        </w:trPr>
        <w:tc>
          <w:tcPr>
            <w:tcW w:w="4243" w:type="dxa"/>
            <w:vMerge/>
            <w:tcBorders>
              <w:left w:val="single" w:sz="8" w:space="0" w:color="000000"/>
              <w:bottom w:val="single" w:sz="8" w:space="0" w:color="000000"/>
              <w:right w:val="single" w:sz="8" w:space="0" w:color="auto"/>
            </w:tcBorders>
            <w:shd w:val="clear" w:color="auto" w:fill="auto"/>
            <w:tcMar>
              <w:top w:w="72" w:type="dxa"/>
              <w:left w:w="144" w:type="dxa"/>
              <w:bottom w:w="72" w:type="dxa"/>
              <w:right w:w="144" w:type="dxa"/>
            </w:tcMar>
            <w:vAlign w:val="center"/>
          </w:tcPr>
          <w:p w14:paraId="104EA2E4" w14:textId="77777777" w:rsidR="00D16CEC" w:rsidRPr="0066381A" w:rsidRDefault="00D16CEC" w:rsidP="003A3B9E">
            <w:pPr>
              <w:rPr>
                <w:rFonts w:eastAsia="Verdana" w:cs="Times New Roman"/>
                <w:kern w:val="24"/>
                <w:sz w:val="20"/>
                <w:szCs w:val="20"/>
                <w:lang w:eastAsia="lv-LV"/>
              </w:rPr>
            </w:pPr>
          </w:p>
        </w:tc>
        <w:tc>
          <w:tcPr>
            <w:tcW w:w="993"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tcPr>
          <w:p w14:paraId="33CBB35D" w14:textId="301845CA" w:rsidR="00D16CEC" w:rsidRPr="0066381A" w:rsidRDefault="00D16CEC" w:rsidP="003A3B9E">
            <w:pPr>
              <w:jc w:val="right"/>
              <w:rPr>
                <w:rFonts w:eastAsia="Verdana" w:cs="Times New Roman"/>
                <w:kern w:val="24"/>
                <w:sz w:val="20"/>
                <w:szCs w:val="20"/>
                <w:lang w:eastAsia="lv-LV"/>
              </w:rPr>
            </w:pPr>
            <w:r w:rsidRPr="0066381A">
              <w:rPr>
                <w:rFonts w:eastAsia="Verdana" w:cs="Times New Roman"/>
                <w:kern w:val="24"/>
                <w:sz w:val="20"/>
                <w:szCs w:val="20"/>
                <w:lang w:eastAsia="lv-LV"/>
              </w:rPr>
              <w:t>ESF</w:t>
            </w:r>
          </w:p>
        </w:tc>
        <w:tc>
          <w:tcPr>
            <w:tcW w:w="1984" w:type="dxa"/>
            <w:tcBorders>
              <w:top w:val="single" w:sz="8" w:space="0" w:color="000000"/>
              <w:left w:val="single" w:sz="8" w:space="0" w:color="auto"/>
              <w:bottom w:val="single" w:sz="8" w:space="0" w:color="auto"/>
              <w:right w:val="single" w:sz="8" w:space="0" w:color="auto"/>
            </w:tcBorders>
            <w:shd w:val="clear" w:color="auto" w:fill="auto"/>
            <w:tcMar>
              <w:top w:w="72" w:type="dxa"/>
              <w:left w:w="144" w:type="dxa"/>
              <w:bottom w:w="72" w:type="dxa"/>
              <w:right w:w="144" w:type="dxa"/>
            </w:tcMar>
            <w:vAlign w:val="center"/>
          </w:tcPr>
          <w:p w14:paraId="28ACB98C" w14:textId="4DDE33BD" w:rsidR="00D16CEC" w:rsidRPr="0066381A" w:rsidRDefault="0066381A" w:rsidP="003A3B9E">
            <w:pPr>
              <w:jc w:val="center"/>
              <w:rPr>
                <w:rFonts w:eastAsia="Verdana" w:cs="Times New Roman"/>
                <w:bCs/>
                <w:kern w:val="24"/>
                <w:sz w:val="20"/>
                <w:szCs w:val="20"/>
                <w:lang w:eastAsia="lv-LV"/>
              </w:rPr>
            </w:pPr>
            <w:r w:rsidRPr="0066381A">
              <w:rPr>
                <w:rFonts w:eastAsia="Verdana" w:cs="Times New Roman"/>
                <w:bCs/>
                <w:kern w:val="24"/>
                <w:sz w:val="20"/>
                <w:szCs w:val="20"/>
                <w:lang w:eastAsia="lv-LV"/>
              </w:rPr>
              <w:t>63,1</w:t>
            </w:r>
          </w:p>
        </w:tc>
        <w:tc>
          <w:tcPr>
            <w:tcW w:w="1797" w:type="dxa"/>
            <w:tcBorders>
              <w:top w:val="single" w:sz="8" w:space="0" w:color="000000"/>
              <w:left w:val="single" w:sz="8" w:space="0" w:color="auto"/>
              <w:bottom w:val="single" w:sz="8" w:space="0" w:color="auto"/>
              <w:right w:val="single" w:sz="8" w:space="0" w:color="000000"/>
            </w:tcBorders>
            <w:shd w:val="clear" w:color="auto" w:fill="auto"/>
            <w:tcMar>
              <w:top w:w="72" w:type="dxa"/>
              <w:left w:w="144" w:type="dxa"/>
              <w:bottom w:w="72" w:type="dxa"/>
              <w:right w:w="144" w:type="dxa"/>
            </w:tcMar>
            <w:vAlign w:val="center"/>
          </w:tcPr>
          <w:p w14:paraId="055703A2" w14:textId="55A3F343" w:rsidR="00D16CEC" w:rsidRPr="00DB28C3" w:rsidRDefault="0066381A" w:rsidP="003A3B9E">
            <w:pPr>
              <w:jc w:val="center"/>
              <w:rPr>
                <w:rFonts w:eastAsia="Verdana" w:cs="Times New Roman"/>
                <w:bCs/>
                <w:kern w:val="24"/>
                <w:sz w:val="20"/>
                <w:szCs w:val="20"/>
                <w:lang w:eastAsia="lv-LV"/>
              </w:rPr>
            </w:pPr>
            <w:r w:rsidRPr="0066381A">
              <w:rPr>
                <w:rFonts w:eastAsia="Verdana" w:cs="Times New Roman"/>
                <w:bCs/>
                <w:kern w:val="24"/>
                <w:sz w:val="20"/>
                <w:szCs w:val="20"/>
                <w:lang w:eastAsia="lv-LV"/>
              </w:rPr>
              <w:t>132</w:t>
            </w:r>
            <w:r w:rsidR="00044EEC">
              <w:rPr>
                <w:rFonts w:eastAsia="Verdana" w:cs="Times New Roman"/>
                <w:bCs/>
                <w:kern w:val="24"/>
                <w:sz w:val="20"/>
                <w:szCs w:val="20"/>
                <w:lang w:eastAsia="lv-LV"/>
              </w:rPr>
              <w:t xml:space="preserve"> </w:t>
            </w:r>
            <w:r w:rsidRPr="0066381A">
              <w:rPr>
                <w:rFonts w:eastAsia="Verdana" w:cs="Times New Roman"/>
                <w:bCs/>
                <w:kern w:val="24"/>
                <w:sz w:val="20"/>
                <w:szCs w:val="20"/>
                <w:lang w:eastAsia="lv-LV"/>
              </w:rPr>
              <w:t>%</w:t>
            </w:r>
          </w:p>
        </w:tc>
      </w:tr>
    </w:tbl>
    <w:p w14:paraId="76FFD134" w14:textId="01616627" w:rsidR="006A6875" w:rsidRDefault="006A6875" w:rsidP="006A6875">
      <w:pPr>
        <w:pStyle w:val="BodyText"/>
        <w:tabs>
          <w:tab w:val="left" w:pos="0"/>
        </w:tabs>
        <w:suppressAutoHyphens/>
        <w:ind w:firstLine="709"/>
        <w:jc w:val="both"/>
        <w:rPr>
          <w:b w:val="0"/>
          <w:sz w:val="28"/>
          <w:szCs w:val="28"/>
          <w:lang w:val="lv-LV"/>
        </w:rPr>
      </w:pPr>
      <w:r w:rsidRPr="00DB28C3">
        <w:rPr>
          <w:b w:val="0"/>
          <w:sz w:val="28"/>
          <w:szCs w:val="28"/>
          <w:lang w:val="lv-LV"/>
        </w:rPr>
        <w:t>Ar EK iesniegto gada ziņojumu</w:t>
      </w:r>
      <w:r w:rsidR="002F179F" w:rsidRPr="00DB28C3">
        <w:rPr>
          <w:b w:val="0"/>
          <w:sz w:val="28"/>
          <w:szCs w:val="28"/>
          <w:lang w:val="lv-LV"/>
        </w:rPr>
        <w:t>,</w:t>
      </w:r>
      <w:r w:rsidRPr="00DB28C3">
        <w:rPr>
          <w:b w:val="0"/>
          <w:sz w:val="28"/>
          <w:szCs w:val="28"/>
          <w:lang w:val="lv-LV"/>
        </w:rPr>
        <w:t xml:space="preserve"> investīciju rezultātiem un virzību uz mērķu sasniegšanu ir iespējams iepazīties tīmekļvietnē</w:t>
      </w:r>
      <w:r w:rsidRPr="00DB28C3">
        <w:rPr>
          <w:rStyle w:val="FootnoteReference"/>
          <w:b w:val="0"/>
          <w:sz w:val="28"/>
          <w:szCs w:val="28"/>
          <w:lang w:val="lv-LV"/>
        </w:rPr>
        <w:footnoteReference w:id="9"/>
      </w:r>
      <w:r w:rsidRPr="00DB28C3">
        <w:rPr>
          <w:b w:val="0"/>
          <w:sz w:val="28"/>
          <w:szCs w:val="28"/>
          <w:lang w:val="lv-LV"/>
        </w:rPr>
        <w:t>. Nozīmīgākie snieguma ietvara rādītāju vērtību sasnieg</w:t>
      </w:r>
      <w:r w:rsidR="00872272" w:rsidRPr="00DB28C3">
        <w:rPr>
          <w:b w:val="0"/>
          <w:sz w:val="28"/>
          <w:szCs w:val="28"/>
          <w:lang w:val="lv-LV"/>
        </w:rPr>
        <w:t xml:space="preserve">umi ir </w:t>
      </w:r>
      <w:r w:rsidR="00B874D4">
        <w:rPr>
          <w:b w:val="0"/>
          <w:sz w:val="28"/>
          <w:szCs w:val="28"/>
          <w:lang w:val="lv-LV"/>
        </w:rPr>
        <w:t>attēloti</w:t>
      </w:r>
      <w:r w:rsidR="00B874D4" w:rsidRPr="00DB28C3">
        <w:rPr>
          <w:b w:val="0"/>
          <w:sz w:val="28"/>
          <w:szCs w:val="28"/>
          <w:lang w:val="lv-LV"/>
        </w:rPr>
        <w:t xml:space="preserve"> </w:t>
      </w:r>
      <w:r w:rsidR="00872272" w:rsidRPr="00DB28C3">
        <w:rPr>
          <w:b w:val="0"/>
          <w:sz w:val="28"/>
          <w:szCs w:val="28"/>
          <w:lang w:val="lv-LV"/>
        </w:rPr>
        <w:t>ilustrācijā Nr. 3</w:t>
      </w:r>
      <w:r w:rsidRPr="00DB28C3">
        <w:rPr>
          <w:b w:val="0"/>
          <w:sz w:val="28"/>
          <w:szCs w:val="28"/>
          <w:lang w:val="lv-LV"/>
        </w:rPr>
        <w:t>.</w:t>
      </w:r>
    </w:p>
    <w:p w14:paraId="4F09A00A" w14:textId="753FB69C" w:rsidR="006A6875" w:rsidRPr="00DB28C3" w:rsidRDefault="006A6875" w:rsidP="006A6875">
      <w:pPr>
        <w:spacing w:before="120" w:after="120" w:line="276" w:lineRule="auto"/>
        <w:jc w:val="both"/>
        <w:rPr>
          <w:rFonts w:cs="Times New Roman"/>
          <w:i/>
          <w:szCs w:val="24"/>
          <w:highlight w:val="yellow"/>
        </w:rPr>
      </w:pPr>
      <w:r w:rsidRPr="00DB28C3">
        <w:rPr>
          <w:rFonts w:cs="Times New Roman"/>
          <w:i/>
          <w:color w:val="000000" w:themeColor="text1"/>
          <w:szCs w:val="24"/>
        </w:rPr>
        <w:t xml:space="preserve">Ilustrācija </w:t>
      </w:r>
      <w:r w:rsidR="00872272" w:rsidRPr="00DB28C3">
        <w:rPr>
          <w:rFonts w:cs="Times New Roman"/>
          <w:i/>
          <w:szCs w:val="24"/>
        </w:rPr>
        <w:t>Nr. 3</w:t>
      </w:r>
      <w:r w:rsidRPr="00DB28C3">
        <w:rPr>
          <w:rFonts w:cs="Times New Roman"/>
          <w:i/>
          <w:szCs w:val="24"/>
        </w:rPr>
        <w:t xml:space="preserve">. </w:t>
      </w:r>
      <w:r w:rsidRPr="00DB28C3">
        <w:rPr>
          <w:rFonts w:cs="Times New Roman"/>
          <w:i/>
          <w:color w:val="000000" w:themeColor="text1"/>
          <w:szCs w:val="24"/>
        </w:rPr>
        <w:t>“ES fondu 2014. – 2020. gada plānošanas perioda 2018.</w:t>
      </w:r>
      <w:r w:rsidR="00153F5E">
        <w:rPr>
          <w:rFonts w:cs="Times New Roman"/>
          <w:i/>
          <w:color w:val="000000" w:themeColor="text1"/>
          <w:szCs w:val="24"/>
        </w:rPr>
        <w:t> </w:t>
      </w:r>
      <w:r w:rsidRPr="00DB28C3">
        <w:rPr>
          <w:rFonts w:cs="Times New Roman"/>
          <w:i/>
          <w:color w:val="000000" w:themeColor="text1"/>
          <w:szCs w:val="24"/>
        </w:rPr>
        <w:t>gada snieguma ietvara rādītāju izpilde (Dati uz 08.04.2019., % no 2018.</w:t>
      </w:r>
      <w:r w:rsidR="00153F5E">
        <w:rPr>
          <w:rFonts w:cs="Times New Roman"/>
          <w:i/>
          <w:color w:val="000000" w:themeColor="text1"/>
          <w:szCs w:val="24"/>
        </w:rPr>
        <w:t> </w:t>
      </w:r>
      <w:r w:rsidRPr="00DB28C3">
        <w:rPr>
          <w:rFonts w:cs="Times New Roman"/>
          <w:i/>
          <w:color w:val="000000" w:themeColor="text1"/>
          <w:szCs w:val="24"/>
        </w:rPr>
        <w:t>gada snieguma ietvara mērķa)”.</w:t>
      </w:r>
    </w:p>
    <w:p w14:paraId="3F4D8C0E" w14:textId="634C6292" w:rsidR="006A6875" w:rsidRPr="00DB28C3" w:rsidRDefault="00DA3E03" w:rsidP="006A6875">
      <w:pPr>
        <w:pStyle w:val="BodyText"/>
        <w:tabs>
          <w:tab w:val="left" w:pos="0"/>
        </w:tabs>
        <w:suppressAutoHyphens/>
        <w:jc w:val="center"/>
        <w:rPr>
          <w:lang w:val="lv-LV"/>
        </w:rPr>
      </w:pPr>
      <w:r>
        <w:rPr>
          <w:noProof/>
          <w:lang w:val="lv-LV" w:eastAsia="lv-LV"/>
        </w:rPr>
        <w:drawing>
          <wp:inline distT="0" distB="0" distL="0" distR="0" wp14:anchorId="046E6E5C" wp14:editId="67A488CD">
            <wp:extent cx="4276725" cy="3282861"/>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4295098" cy="3296964"/>
                    </a:xfrm>
                    <a:prstGeom prst="rect">
                      <a:avLst/>
                    </a:prstGeom>
                  </pic:spPr>
                </pic:pic>
              </a:graphicData>
            </a:graphic>
          </wp:inline>
        </w:drawing>
      </w:r>
    </w:p>
    <w:p w14:paraId="63EB1B59" w14:textId="53191B36" w:rsidR="007514A3" w:rsidRPr="00DB28C3" w:rsidRDefault="007514A3" w:rsidP="00A31082">
      <w:pPr>
        <w:spacing w:before="120" w:after="120" w:line="276" w:lineRule="auto"/>
        <w:ind w:firstLine="720"/>
        <w:jc w:val="both"/>
        <w:rPr>
          <w:rFonts w:eastAsia="Times New Roman" w:cs="Times New Roman"/>
          <w:b/>
          <w:bCs/>
          <w:sz w:val="28"/>
          <w:szCs w:val="28"/>
        </w:rPr>
      </w:pPr>
      <w:r w:rsidRPr="00DB28C3">
        <w:rPr>
          <w:b/>
          <w:sz w:val="28"/>
          <w:szCs w:val="28"/>
        </w:rPr>
        <w:lastRenderedPageBreak/>
        <w:t xml:space="preserve">Lēmumu par projektu iesniegumiem apstrīdēšana </w:t>
      </w:r>
    </w:p>
    <w:p w14:paraId="1E8942EE" w14:textId="729D4FE6" w:rsidR="00BF53C5" w:rsidRPr="00DB28C3" w:rsidRDefault="002F179F" w:rsidP="00953756">
      <w:pPr>
        <w:spacing w:before="120" w:after="120" w:line="276" w:lineRule="auto"/>
        <w:ind w:firstLine="720"/>
        <w:jc w:val="both"/>
        <w:rPr>
          <w:sz w:val="28"/>
          <w:szCs w:val="28"/>
        </w:rPr>
      </w:pPr>
      <w:r w:rsidRPr="00DB28C3">
        <w:rPr>
          <w:rFonts w:cs="Times New Roman"/>
          <w:sz w:val="28"/>
          <w:szCs w:val="28"/>
        </w:rPr>
        <w:t>Tabulā Nr. 2</w:t>
      </w:r>
      <w:r w:rsidR="00EF68C5" w:rsidRPr="00DB28C3">
        <w:rPr>
          <w:rFonts w:cs="Times New Roman"/>
          <w:sz w:val="28"/>
          <w:szCs w:val="28"/>
        </w:rPr>
        <w:t xml:space="preserve"> sniegts kopsavilkums par 2019. gada I pusgadā saņemtiem 1</w:t>
      </w:r>
      <w:r w:rsidR="009C62E1">
        <w:rPr>
          <w:rFonts w:cs="Times New Roman"/>
          <w:sz w:val="28"/>
          <w:szCs w:val="28"/>
        </w:rPr>
        <w:t>3</w:t>
      </w:r>
      <w:r w:rsidR="00EF68C5" w:rsidRPr="00DB28C3">
        <w:rPr>
          <w:rFonts w:cs="Times New Roman"/>
          <w:sz w:val="28"/>
          <w:szCs w:val="28"/>
        </w:rPr>
        <w:t xml:space="preserve"> apstrīdēšanas iesniegumiem par projektu iesniegumu atlases rezultātā CFLA pieņemtajiem lēmumiem. </w:t>
      </w:r>
      <w:r w:rsidR="00EF68C5" w:rsidRPr="00DB28C3">
        <w:rPr>
          <w:sz w:val="28"/>
          <w:szCs w:val="28"/>
        </w:rPr>
        <w:t xml:space="preserve">Apstrīdēšanas procesa ietvaros nav konstatēti būtiski pārkāpumi CFLA darbībā. </w:t>
      </w:r>
    </w:p>
    <w:p w14:paraId="355362A6" w14:textId="5A1A0517" w:rsidR="00EF68C5" w:rsidRPr="00DB28C3" w:rsidRDefault="002F179F" w:rsidP="00A31082">
      <w:pPr>
        <w:spacing w:before="120" w:after="120" w:line="276" w:lineRule="auto"/>
        <w:jc w:val="both"/>
        <w:rPr>
          <w:sz w:val="28"/>
          <w:szCs w:val="28"/>
        </w:rPr>
      </w:pPr>
      <w:r w:rsidRPr="00DB28C3">
        <w:rPr>
          <w:rFonts w:cs="Times New Roman"/>
          <w:i/>
          <w:szCs w:val="24"/>
        </w:rPr>
        <w:t>Tabula Nr.2</w:t>
      </w:r>
      <w:r w:rsidR="00EF68C5" w:rsidRPr="00DB28C3">
        <w:rPr>
          <w:rFonts w:cs="Times New Roman"/>
          <w:i/>
          <w:szCs w:val="24"/>
        </w:rPr>
        <w:t xml:space="preserve"> “Saņemtie apstrīdēšanas iesniegumi par projektu iesniegumu atlases rezultātiem, dati no 2019. gada 1. ja</w:t>
      </w:r>
      <w:r w:rsidR="00F40F0F" w:rsidRPr="00DB28C3">
        <w:rPr>
          <w:rFonts w:cs="Times New Roman"/>
          <w:i/>
          <w:szCs w:val="24"/>
        </w:rPr>
        <w:t>nvāra līdz 2019. gada 1. jūlijam.</w:t>
      </w:r>
      <w:r w:rsidR="00EF68C5" w:rsidRPr="00DB28C3">
        <w:rPr>
          <w:rFonts w:cs="Times New Roman"/>
          <w:i/>
          <w:szCs w:val="24"/>
        </w:rPr>
        <w:t>”</w:t>
      </w:r>
    </w:p>
    <w:tbl>
      <w:tblPr>
        <w:tblStyle w:val="TableGrid"/>
        <w:tblW w:w="9209" w:type="dxa"/>
        <w:tblLayout w:type="fixed"/>
        <w:tblLook w:val="04A0" w:firstRow="1" w:lastRow="0" w:firstColumn="1" w:lastColumn="0" w:noHBand="0" w:noVBand="1"/>
      </w:tblPr>
      <w:tblGrid>
        <w:gridCol w:w="1980"/>
        <w:gridCol w:w="709"/>
        <w:gridCol w:w="992"/>
        <w:gridCol w:w="992"/>
        <w:gridCol w:w="1134"/>
        <w:gridCol w:w="1134"/>
        <w:gridCol w:w="992"/>
        <w:gridCol w:w="1276"/>
      </w:tblGrid>
      <w:tr w:rsidR="00EF68C5" w:rsidRPr="00DB28C3" w14:paraId="6F77463F" w14:textId="77777777" w:rsidTr="007A2DF6">
        <w:trPr>
          <w:trHeight w:val="435"/>
          <w:tblHeader/>
        </w:trPr>
        <w:tc>
          <w:tcPr>
            <w:tcW w:w="1980" w:type="dxa"/>
            <w:vMerge w:val="restart"/>
            <w:vAlign w:val="center"/>
          </w:tcPr>
          <w:p w14:paraId="5AFC4EBF"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SAM/</w:t>
            </w:r>
          </w:p>
          <w:p w14:paraId="1C65EA6D"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pasākums</w:t>
            </w:r>
          </w:p>
        </w:tc>
        <w:tc>
          <w:tcPr>
            <w:tcW w:w="709" w:type="dxa"/>
            <w:vMerge w:val="restart"/>
            <w:vAlign w:val="center"/>
          </w:tcPr>
          <w:p w14:paraId="0CDF26CD"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AI</w:t>
            </w:r>
          </w:p>
        </w:tc>
        <w:tc>
          <w:tcPr>
            <w:tcW w:w="992" w:type="dxa"/>
            <w:vMerge w:val="restart"/>
            <w:vAlign w:val="center"/>
          </w:tcPr>
          <w:p w14:paraId="67E039B9"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Iesniegti</w:t>
            </w:r>
          </w:p>
        </w:tc>
        <w:tc>
          <w:tcPr>
            <w:tcW w:w="992" w:type="dxa"/>
            <w:vMerge w:val="restart"/>
            <w:vAlign w:val="center"/>
          </w:tcPr>
          <w:p w14:paraId="20135157"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Noraidīti</w:t>
            </w:r>
          </w:p>
        </w:tc>
        <w:tc>
          <w:tcPr>
            <w:tcW w:w="1134" w:type="dxa"/>
            <w:vMerge w:val="restart"/>
            <w:vAlign w:val="center"/>
          </w:tcPr>
          <w:p w14:paraId="202435FF"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 xml:space="preserve">Apstrīdēti </w:t>
            </w:r>
          </w:p>
        </w:tc>
        <w:tc>
          <w:tcPr>
            <w:tcW w:w="1134" w:type="dxa"/>
            <w:vMerge w:val="restart"/>
            <w:shd w:val="clear" w:color="auto" w:fill="D9D9D9" w:themeFill="background1" w:themeFillShade="D9"/>
            <w:vAlign w:val="center"/>
          </w:tcPr>
          <w:p w14:paraId="283844BD"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Izskatīšanā</w:t>
            </w:r>
          </w:p>
        </w:tc>
        <w:tc>
          <w:tcPr>
            <w:tcW w:w="2268" w:type="dxa"/>
            <w:gridSpan w:val="2"/>
            <w:vAlign w:val="center"/>
          </w:tcPr>
          <w:p w14:paraId="11B1DCFB"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Rezultāts</w:t>
            </w:r>
          </w:p>
        </w:tc>
      </w:tr>
      <w:tr w:rsidR="00EF68C5" w:rsidRPr="00DB28C3" w14:paraId="14AA4BCA" w14:textId="77777777" w:rsidTr="007A2DF6">
        <w:trPr>
          <w:trHeight w:val="910"/>
          <w:tblHeader/>
        </w:trPr>
        <w:tc>
          <w:tcPr>
            <w:tcW w:w="1980" w:type="dxa"/>
            <w:vMerge/>
            <w:vAlign w:val="center"/>
          </w:tcPr>
          <w:p w14:paraId="4DCEE083" w14:textId="77777777" w:rsidR="00EF68C5" w:rsidRPr="00DB28C3" w:rsidRDefault="00EF68C5" w:rsidP="007A2DF6">
            <w:pPr>
              <w:spacing w:before="120" w:after="120" w:line="276" w:lineRule="auto"/>
              <w:rPr>
                <w:rFonts w:cs="Times New Roman"/>
                <w:sz w:val="20"/>
                <w:szCs w:val="20"/>
              </w:rPr>
            </w:pPr>
          </w:p>
        </w:tc>
        <w:tc>
          <w:tcPr>
            <w:tcW w:w="709" w:type="dxa"/>
            <w:vMerge/>
            <w:vAlign w:val="center"/>
          </w:tcPr>
          <w:p w14:paraId="1487E4B9" w14:textId="77777777" w:rsidR="00EF68C5" w:rsidRPr="00DB28C3" w:rsidRDefault="00EF68C5" w:rsidP="007A2DF6">
            <w:pPr>
              <w:spacing w:before="120" w:after="120" w:line="276" w:lineRule="auto"/>
              <w:rPr>
                <w:rFonts w:cs="Times New Roman"/>
                <w:sz w:val="20"/>
                <w:szCs w:val="20"/>
              </w:rPr>
            </w:pPr>
          </w:p>
        </w:tc>
        <w:tc>
          <w:tcPr>
            <w:tcW w:w="992" w:type="dxa"/>
            <w:vMerge/>
            <w:vAlign w:val="center"/>
          </w:tcPr>
          <w:p w14:paraId="3C5E4C99" w14:textId="77777777" w:rsidR="00EF68C5" w:rsidRPr="00DB28C3" w:rsidRDefault="00EF68C5" w:rsidP="007A2DF6">
            <w:pPr>
              <w:spacing w:before="120" w:after="120" w:line="276" w:lineRule="auto"/>
              <w:rPr>
                <w:rFonts w:cs="Times New Roman"/>
                <w:sz w:val="20"/>
                <w:szCs w:val="20"/>
              </w:rPr>
            </w:pPr>
          </w:p>
        </w:tc>
        <w:tc>
          <w:tcPr>
            <w:tcW w:w="992" w:type="dxa"/>
            <w:vMerge/>
            <w:vAlign w:val="center"/>
          </w:tcPr>
          <w:p w14:paraId="08AD56B0" w14:textId="77777777" w:rsidR="00EF68C5" w:rsidRPr="00DB28C3" w:rsidRDefault="00EF68C5" w:rsidP="007A2DF6">
            <w:pPr>
              <w:spacing w:before="120" w:after="120" w:line="276" w:lineRule="auto"/>
              <w:rPr>
                <w:rFonts w:cs="Times New Roman"/>
                <w:sz w:val="20"/>
                <w:szCs w:val="20"/>
              </w:rPr>
            </w:pPr>
          </w:p>
        </w:tc>
        <w:tc>
          <w:tcPr>
            <w:tcW w:w="1134" w:type="dxa"/>
            <w:vMerge/>
            <w:vAlign w:val="center"/>
          </w:tcPr>
          <w:p w14:paraId="7CE34DE3" w14:textId="77777777" w:rsidR="00EF68C5" w:rsidRPr="00DB28C3" w:rsidRDefault="00EF68C5" w:rsidP="007A2DF6">
            <w:pPr>
              <w:spacing w:before="120" w:after="120" w:line="276" w:lineRule="auto"/>
              <w:rPr>
                <w:rFonts w:cs="Times New Roman"/>
                <w:sz w:val="20"/>
                <w:szCs w:val="20"/>
              </w:rPr>
            </w:pPr>
          </w:p>
        </w:tc>
        <w:tc>
          <w:tcPr>
            <w:tcW w:w="1134" w:type="dxa"/>
            <w:vMerge/>
            <w:shd w:val="clear" w:color="auto" w:fill="D9D9D9" w:themeFill="background1" w:themeFillShade="D9"/>
            <w:vAlign w:val="center"/>
          </w:tcPr>
          <w:p w14:paraId="37300742" w14:textId="77777777" w:rsidR="00EF68C5" w:rsidRPr="00DB28C3" w:rsidRDefault="00EF68C5" w:rsidP="007A2DF6">
            <w:pPr>
              <w:spacing w:before="120" w:after="120" w:line="276" w:lineRule="auto"/>
              <w:jc w:val="center"/>
              <w:rPr>
                <w:rFonts w:cs="Times New Roman"/>
                <w:sz w:val="20"/>
                <w:szCs w:val="20"/>
              </w:rPr>
            </w:pPr>
          </w:p>
        </w:tc>
        <w:tc>
          <w:tcPr>
            <w:tcW w:w="992" w:type="dxa"/>
            <w:vAlign w:val="center"/>
          </w:tcPr>
          <w:p w14:paraId="48934A50"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Atstāts spēkā SI lēmums</w:t>
            </w:r>
          </w:p>
        </w:tc>
        <w:tc>
          <w:tcPr>
            <w:tcW w:w="1276" w:type="dxa"/>
          </w:tcPr>
          <w:p w14:paraId="5596C903"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Atgriezts atkārtotai izskatīšanai</w:t>
            </w:r>
          </w:p>
        </w:tc>
      </w:tr>
      <w:tr w:rsidR="00EF68C5" w:rsidRPr="00DB28C3" w14:paraId="3EF7D23C" w14:textId="77777777" w:rsidTr="007A2DF6">
        <w:trPr>
          <w:trHeight w:val="225"/>
        </w:trPr>
        <w:tc>
          <w:tcPr>
            <w:tcW w:w="1980" w:type="dxa"/>
            <w:vAlign w:val="center"/>
          </w:tcPr>
          <w:p w14:paraId="642A33BC" w14:textId="77777777" w:rsidR="00EF68C5" w:rsidRPr="00DB28C3" w:rsidRDefault="00EF68C5" w:rsidP="007A2DF6">
            <w:pPr>
              <w:spacing w:before="120" w:after="120"/>
              <w:contextualSpacing/>
              <w:rPr>
                <w:rFonts w:cs="Times New Roman"/>
                <w:sz w:val="20"/>
                <w:szCs w:val="20"/>
              </w:rPr>
            </w:pPr>
            <w:r w:rsidRPr="00DB28C3">
              <w:rPr>
                <w:rFonts w:cs="Times New Roman"/>
                <w:sz w:val="20"/>
                <w:szCs w:val="20"/>
              </w:rPr>
              <w:t xml:space="preserve">4.1.1. “Apstrādes rūpniecības uzņēmumu </w:t>
            </w:r>
            <w:proofErr w:type="spellStart"/>
            <w:r w:rsidRPr="00DB28C3">
              <w:rPr>
                <w:rFonts w:cs="Times New Roman"/>
                <w:sz w:val="20"/>
                <w:szCs w:val="20"/>
              </w:rPr>
              <w:t>energo</w:t>
            </w:r>
            <w:proofErr w:type="spellEnd"/>
            <w:r w:rsidRPr="00DB28C3">
              <w:rPr>
                <w:rFonts w:cs="Times New Roman"/>
                <w:sz w:val="20"/>
                <w:szCs w:val="20"/>
              </w:rPr>
              <w:t>-</w:t>
            </w:r>
          </w:p>
          <w:p w14:paraId="420FABB5" w14:textId="77777777" w:rsidR="00EF68C5" w:rsidRPr="00DB28C3" w:rsidRDefault="00EF68C5" w:rsidP="007A2DF6">
            <w:pPr>
              <w:spacing w:before="120" w:after="120"/>
              <w:contextualSpacing/>
              <w:rPr>
                <w:rFonts w:cs="Times New Roman"/>
                <w:sz w:val="20"/>
                <w:szCs w:val="20"/>
              </w:rPr>
            </w:pPr>
            <w:r w:rsidRPr="00DB28C3">
              <w:rPr>
                <w:rFonts w:cs="Times New Roman"/>
                <w:sz w:val="20"/>
                <w:szCs w:val="20"/>
              </w:rPr>
              <w:t>efektivitāte”, 2.kārta</w:t>
            </w:r>
          </w:p>
        </w:tc>
        <w:tc>
          <w:tcPr>
            <w:tcW w:w="709" w:type="dxa"/>
            <w:vAlign w:val="center"/>
          </w:tcPr>
          <w:p w14:paraId="6E3B149F" w14:textId="77777777" w:rsidR="00EF68C5" w:rsidRPr="00DB28C3" w:rsidRDefault="00EF68C5" w:rsidP="007A2DF6">
            <w:pPr>
              <w:spacing w:before="120" w:after="120"/>
              <w:contextualSpacing/>
              <w:rPr>
                <w:rFonts w:cs="Times New Roman"/>
                <w:sz w:val="20"/>
                <w:szCs w:val="20"/>
              </w:rPr>
            </w:pPr>
            <w:r w:rsidRPr="00DB28C3">
              <w:rPr>
                <w:rFonts w:cs="Times New Roman"/>
                <w:sz w:val="20"/>
                <w:szCs w:val="20"/>
              </w:rPr>
              <w:t>EM</w:t>
            </w:r>
          </w:p>
        </w:tc>
        <w:tc>
          <w:tcPr>
            <w:tcW w:w="992" w:type="dxa"/>
            <w:vAlign w:val="center"/>
          </w:tcPr>
          <w:p w14:paraId="6B92F7BE"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41</w:t>
            </w:r>
          </w:p>
        </w:tc>
        <w:tc>
          <w:tcPr>
            <w:tcW w:w="992" w:type="dxa"/>
            <w:vAlign w:val="center"/>
          </w:tcPr>
          <w:p w14:paraId="00372817" w14:textId="4FC9E53E" w:rsidR="00EF68C5" w:rsidRPr="00DB28C3" w:rsidRDefault="00EF68C5" w:rsidP="007A2DF6">
            <w:pPr>
              <w:spacing w:before="120" w:after="120"/>
              <w:contextualSpacing/>
              <w:jc w:val="center"/>
              <w:rPr>
                <w:rFonts w:cs="Times New Roman"/>
                <w:sz w:val="20"/>
                <w:szCs w:val="20"/>
                <w:highlight w:val="yellow"/>
              </w:rPr>
            </w:pPr>
            <w:r w:rsidRPr="00DB28C3">
              <w:rPr>
                <w:rFonts w:cs="Times New Roman"/>
                <w:sz w:val="20"/>
                <w:szCs w:val="20"/>
              </w:rPr>
              <w:t>1</w:t>
            </w:r>
            <w:r w:rsidR="003E6938">
              <w:rPr>
                <w:rFonts w:cs="Times New Roman"/>
                <w:sz w:val="20"/>
                <w:szCs w:val="20"/>
              </w:rPr>
              <w:t>5</w:t>
            </w:r>
          </w:p>
        </w:tc>
        <w:tc>
          <w:tcPr>
            <w:tcW w:w="1134" w:type="dxa"/>
            <w:vAlign w:val="center"/>
          </w:tcPr>
          <w:p w14:paraId="5F09BBC4"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1</w:t>
            </w:r>
          </w:p>
        </w:tc>
        <w:tc>
          <w:tcPr>
            <w:tcW w:w="1134" w:type="dxa"/>
            <w:shd w:val="clear" w:color="auto" w:fill="D9D9D9" w:themeFill="background1" w:themeFillShade="D9"/>
            <w:vAlign w:val="center"/>
          </w:tcPr>
          <w:p w14:paraId="13753E00"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0</w:t>
            </w:r>
          </w:p>
        </w:tc>
        <w:tc>
          <w:tcPr>
            <w:tcW w:w="992" w:type="dxa"/>
            <w:vAlign w:val="center"/>
          </w:tcPr>
          <w:p w14:paraId="13D8482A"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1</w:t>
            </w:r>
          </w:p>
        </w:tc>
        <w:tc>
          <w:tcPr>
            <w:tcW w:w="1276" w:type="dxa"/>
            <w:vAlign w:val="center"/>
          </w:tcPr>
          <w:p w14:paraId="6B5535A4"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0</w:t>
            </w:r>
          </w:p>
        </w:tc>
      </w:tr>
      <w:tr w:rsidR="00EF68C5" w:rsidRPr="00DB28C3" w14:paraId="150A3A7D" w14:textId="77777777" w:rsidTr="007A2DF6">
        <w:trPr>
          <w:trHeight w:val="279"/>
        </w:trPr>
        <w:tc>
          <w:tcPr>
            <w:tcW w:w="1980" w:type="dxa"/>
            <w:vAlign w:val="center"/>
          </w:tcPr>
          <w:p w14:paraId="444912CD" w14:textId="77777777" w:rsidR="00EF68C5" w:rsidRPr="00DB28C3" w:rsidRDefault="00EF68C5" w:rsidP="007A2DF6">
            <w:pPr>
              <w:spacing w:before="120" w:after="120"/>
              <w:contextualSpacing/>
              <w:rPr>
                <w:rFonts w:cs="Times New Roman"/>
                <w:sz w:val="20"/>
                <w:szCs w:val="20"/>
              </w:rPr>
            </w:pPr>
            <w:r w:rsidRPr="00DB28C3">
              <w:rPr>
                <w:rFonts w:cs="Times New Roman"/>
                <w:sz w:val="20"/>
                <w:szCs w:val="20"/>
              </w:rPr>
              <w:t>1.2.1.4. “Jaunu produktu ieviešana”, 2.kārta</w:t>
            </w:r>
          </w:p>
        </w:tc>
        <w:tc>
          <w:tcPr>
            <w:tcW w:w="709" w:type="dxa"/>
            <w:vAlign w:val="center"/>
          </w:tcPr>
          <w:p w14:paraId="4263157E" w14:textId="77777777" w:rsidR="00EF68C5" w:rsidRPr="00DB28C3" w:rsidRDefault="00EF68C5" w:rsidP="007A2DF6">
            <w:pPr>
              <w:spacing w:before="120" w:after="120"/>
              <w:contextualSpacing/>
              <w:rPr>
                <w:rFonts w:cs="Times New Roman"/>
                <w:sz w:val="20"/>
                <w:szCs w:val="20"/>
              </w:rPr>
            </w:pPr>
            <w:r w:rsidRPr="00DB28C3">
              <w:rPr>
                <w:rFonts w:cs="Times New Roman"/>
                <w:sz w:val="20"/>
                <w:szCs w:val="20"/>
              </w:rPr>
              <w:t>EM</w:t>
            </w:r>
          </w:p>
        </w:tc>
        <w:tc>
          <w:tcPr>
            <w:tcW w:w="992" w:type="dxa"/>
            <w:vAlign w:val="center"/>
          </w:tcPr>
          <w:p w14:paraId="6E3C6680"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51</w:t>
            </w:r>
          </w:p>
        </w:tc>
        <w:tc>
          <w:tcPr>
            <w:tcW w:w="992" w:type="dxa"/>
            <w:tcBorders>
              <w:bottom w:val="single" w:sz="12" w:space="0" w:color="auto"/>
            </w:tcBorders>
            <w:vAlign w:val="center"/>
          </w:tcPr>
          <w:p w14:paraId="1E3533A3" w14:textId="77777777" w:rsidR="00EF68C5" w:rsidRPr="00DB28C3" w:rsidRDefault="00EF68C5" w:rsidP="007A2DF6">
            <w:pPr>
              <w:spacing w:before="120" w:after="120"/>
              <w:contextualSpacing/>
              <w:jc w:val="center"/>
              <w:rPr>
                <w:rFonts w:cs="Times New Roman"/>
                <w:sz w:val="20"/>
                <w:szCs w:val="20"/>
                <w:highlight w:val="yellow"/>
              </w:rPr>
            </w:pPr>
            <w:r w:rsidRPr="00DB28C3">
              <w:rPr>
                <w:rFonts w:cs="Times New Roman"/>
                <w:sz w:val="20"/>
                <w:szCs w:val="20"/>
              </w:rPr>
              <w:t>23</w:t>
            </w:r>
          </w:p>
        </w:tc>
        <w:tc>
          <w:tcPr>
            <w:tcW w:w="1134" w:type="dxa"/>
            <w:tcBorders>
              <w:bottom w:val="single" w:sz="12" w:space="0" w:color="auto"/>
            </w:tcBorders>
            <w:vAlign w:val="center"/>
          </w:tcPr>
          <w:p w14:paraId="7A0AC6DC" w14:textId="77777777" w:rsidR="00EF68C5" w:rsidRPr="00DB28C3" w:rsidRDefault="00EF68C5" w:rsidP="007A2DF6">
            <w:pPr>
              <w:spacing w:before="120" w:after="120"/>
              <w:contextualSpacing/>
              <w:jc w:val="center"/>
              <w:rPr>
                <w:rFonts w:cs="Times New Roman"/>
                <w:sz w:val="20"/>
                <w:szCs w:val="20"/>
                <w:highlight w:val="yellow"/>
              </w:rPr>
            </w:pPr>
            <w:r w:rsidRPr="00DB28C3">
              <w:rPr>
                <w:rFonts w:cs="Times New Roman"/>
                <w:sz w:val="20"/>
                <w:szCs w:val="20"/>
              </w:rPr>
              <w:t>5</w:t>
            </w:r>
          </w:p>
        </w:tc>
        <w:tc>
          <w:tcPr>
            <w:tcW w:w="1134" w:type="dxa"/>
            <w:tcBorders>
              <w:bottom w:val="single" w:sz="12" w:space="0" w:color="auto"/>
            </w:tcBorders>
            <w:shd w:val="clear" w:color="auto" w:fill="D9D9D9" w:themeFill="background1" w:themeFillShade="D9"/>
            <w:vAlign w:val="center"/>
          </w:tcPr>
          <w:p w14:paraId="0A7BCD2D" w14:textId="77777777" w:rsidR="00EF68C5" w:rsidRPr="00DB28C3" w:rsidRDefault="00EF68C5" w:rsidP="007A2DF6">
            <w:pPr>
              <w:spacing w:before="120" w:after="120"/>
              <w:contextualSpacing/>
              <w:jc w:val="center"/>
              <w:rPr>
                <w:rFonts w:cs="Times New Roman"/>
                <w:sz w:val="20"/>
                <w:szCs w:val="20"/>
                <w:highlight w:val="yellow"/>
              </w:rPr>
            </w:pPr>
            <w:r w:rsidRPr="00DB28C3">
              <w:rPr>
                <w:rFonts w:cs="Times New Roman"/>
                <w:sz w:val="20"/>
                <w:szCs w:val="20"/>
              </w:rPr>
              <w:t>0</w:t>
            </w:r>
          </w:p>
        </w:tc>
        <w:tc>
          <w:tcPr>
            <w:tcW w:w="992" w:type="dxa"/>
            <w:tcBorders>
              <w:bottom w:val="single" w:sz="12" w:space="0" w:color="auto"/>
            </w:tcBorders>
            <w:vAlign w:val="center"/>
          </w:tcPr>
          <w:p w14:paraId="4A7AF683"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4</w:t>
            </w:r>
          </w:p>
        </w:tc>
        <w:tc>
          <w:tcPr>
            <w:tcW w:w="1276" w:type="dxa"/>
            <w:tcBorders>
              <w:bottom w:val="single" w:sz="12" w:space="0" w:color="auto"/>
            </w:tcBorders>
            <w:vAlign w:val="center"/>
          </w:tcPr>
          <w:p w14:paraId="6A4FDE26"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1</w:t>
            </w:r>
          </w:p>
        </w:tc>
      </w:tr>
      <w:tr w:rsidR="00EF68C5" w:rsidRPr="00DB28C3" w14:paraId="1C39DEA2" w14:textId="77777777" w:rsidTr="007A2DF6">
        <w:trPr>
          <w:trHeight w:val="279"/>
        </w:trPr>
        <w:tc>
          <w:tcPr>
            <w:tcW w:w="1980" w:type="dxa"/>
            <w:vAlign w:val="center"/>
          </w:tcPr>
          <w:p w14:paraId="2CFF7C49" w14:textId="77777777" w:rsidR="00EF68C5" w:rsidRPr="00DB28C3" w:rsidRDefault="00EF68C5" w:rsidP="007A2DF6">
            <w:pPr>
              <w:spacing w:before="120" w:after="120"/>
              <w:contextualSpacing/>
              <w:rPr>
                <w:rFonts w:cs="Times New Roman"/>
                <w:sz w:val="20"/>
                <w:szCs w:val="20"/>
                <w:highlight w:val="yellow"/>
              </w:rPr>
            </w:pPr>
            <w:r w:rsidRPr="00DB28C3">
              <w:rPr>
                <w:rFonts w:cs="Times New Roman"/>
                <w:sz w:val="20"/>
                <w:szCs w:val="20"/>
              </w:rPr>
              <w:t>1.1.1.1. “Praktiskas ievirzes pētījumi”, 2.kārta</w:t>
            </w:r>
          </w:p>
        </w:tc>
        <w:tc>
          <w:tcPr>
            <w:tcW w:w="709" w:type="dxa"/>
            <w:vAlign w:val="center"/>
          </w:tcPr>
          <w:p w14:paraId="604FCA4B" w14:textId="77777777" w:rsidR="00EF68C5" w:rsidRPr="00DB28C3" w:rsidRDefault="00EF68C5" w:rsidP="007A2DF6">
            <w:pPr>
              <w:spacing w:before="120" w:after="120"/>
              <w:contextualSpacing/>
              <w:rPr>
                <w:rFonts w:cs="Times New Roman"/>
                <w:sz w:val="20"/>
                <w:szCs w:val="20"/>
              </w:rPr>
            </w:pPr>
            <w:r w:rsidRPr="00DB28C3">
              <w:rPr>
                <w:rFonts w:cs="Times New Roman"/>
                <w:sz w:val="20"/>
                <w:szCs w:val="20"/>
              </w:rPr>
              <w:t>IZM</w:t>
            </w:r>
          </w:p>
        </w:tc>
        <w:tc>
          <w:tcPr>
            <w:tcW w:w="992" w:type="dxa"/>
            <w:vAlign w:val="center"/>
          </w:tcPr>
          <w:p w14:paraId="70108DEA"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186</w:t>
            </w:r>
          </w:p>
        </w:tc>
        <w:tc>
          <w:tcPr>
            <w:tcW w:w="992" w:type="dxa"/>
            <w:tcBorders>
              <w:bottom w:val="single" w:sz="12" w:space="0" w:color="auto"/>
            </w:tcBorders>
            <w:vAlign w:val="center"/>
          </w:tcPr>
          <w:p w14:paraId="46212EB6"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142</w:t>
            </w:r>
          </w:p>
        </w:tc>
        <w:tc>
          <w:tcPr>
            <w:tcW w:w="1134" w:type="dxa"/>
            <w:tcBorders>
              <w:bottom w:val="single" w:sz="12" w:space="0" w:color="auto"/>
            </w:tcBorders>
            <w:vAlign w:val="center"/>
          </w:tcPr>
          <w:p w14:paraId="0209DAC1"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7</w:t>
            </w:r>
          </w:p>
        </w:tc>
        <w:tc>
          <w:tcPr>
            <w:tcW w:w="1134" w:type="dxa"/>
            <w:tcBorders>
              <w:bottom w:val="single" w:sz="12" w:space="0" w:color="auto"/>
            </w:tcBorders>
            <w:shd w:val="clear" w:color="auto" w:fill="D9D9D9" w:themeFill="background1" w:themeFillShade="D9"/>
            <w:vAlign w:val="center"/>
          </w:tcPr>
          <w:p w14:paraId="4F19E166"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0</w:t>
            </w:r>
          </w:p>
        </w:tc>
        <w:tc>
          <w:tcPr>
            <w:tcW w:w="992" w:type="dxa"/>
            <w:tcBorders>
              <w:bottom w:val="single" w:sz="12" w:space="0" w:color="auto"/>
            </w:tcBorders>
            <w:vAlign w:val="center"/>
          </w:tcPr>
          <w:p w14:paraId="2EE8E43E"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7</w:t>
            </w:r>
          </w:p>
        </w:tc>
        <w:tc>
          <w:tcPr>
            <w:tcW w:w="1276" w:type="dxa"/>
            <w:tcBorders>
              <w:bottom w:val="single" w:sz="12" w:space="0" w:color="auto"/>
            </w:tcBorders>
            <w:vAlign w:val="center"/>
          </w:tcPr>
          <w:p w14:paraId="3788F55E"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0</w:t>
            </w:r>
          </w:p>
        </w:tc>
      </w:tr>
      <w:tr w:rsidR="00EF68C5" w:rsidRPr="00DB28C3" w14:paraId="4C1CB1F4" w14:textId="77777777" w:rsidTr="007A2DF6">
        <w:trPr>
          <w:trHeight w:val="365"/>
        </w:trPr>
        <w:tc>
          <w:tcPr>
            <w:tcW w:w="1980" w:type="dxa"/>
            <w:tcBorders>
              <w:left w:val="nil"/>
              <w:bottom w:val="nil"/>
              <w:right w:val="nil"/>
            </w:tcBorders>
            <w:vAlign w:val="center"/>
          </w:tcPr>
          <w:p w14:paraId="731EAB44" w14:textId="77777777" w:rsidR="00EF68C5" w:rsidRPr="00DB28C3" w:rsidRDefault="00EF68C5" w:rsidP="007A2DF6">
            <w:pPr>
              <w:spacing w:before="120" w:after="120"/>
              <w:contextualSpacing/>
              <w:rPr>
                <w:rFonts w:cs="Times New Roman"/>
                <w:sz w:val="20"/>
                <w:szCs w:val="20"/>
                <w:highlight w:val="yellow"/>
              </w:rPr>
            </w:pPr>
          </w:p>
        </w:tc>
        <w:tc>
          <w:tcPr>
            <w:tcW w:w="709" w:type="dxa"/>
            <w:tcBorders>
              <w:left w:val="nil"/>
              <w:bottom w:val="nil"/>
              <w:right w:val="nil"/>
            </w:tcBorders>
            <w:vAlign w:val="center"/>
          </w:tcPr>
          <w:p w14:paraId="7A9D354D" w14:textId="77777777" w:rsidR="00EF68C5" w:rsidRPr="00DB28C3" w:rsidRDefault="00EF68C5" w:rsidP="007A2DF6">
            <w:pPr>
              <w:spacing w:before="120" w:after="120"/>
              <w:contextualSpacing/>
              <w:rPr>
                <w:rFonts w:cs="Times New Roman"/>
                <w:sz w:val="20"/>
                <w:szCs w:val="20"/>
                <w:highlight w:val="yellow"/>
              </w:rPr>
            </w:pPr>
          </w:p>
        </w:tc>
        <w:tc>
          <w:tcPr>
            <w:tcW w:w="992" w:type="dxa"/>
            <w:tcBorders>
              <w:left w:val="nil"/>
              <w:bottom w:val="nil"/>
              <w:right w:val="single" w:sz="12" w:space="0" w:color="auto"/>
            </w:tcBorders>
            <w:vAlign w:val="center"/>
          </w:tcPr>
          <w:p w14:paraId="7C12D6DC" w14:textId="77777777" w:rsidR="00EF68C5" w:rsidRPr="00DB28C3" w:rsidRDefault="00EF68C5" w:rsidP="007A2DF6">
            <w:pPr>
              <w:spacing w:before="120" w:after="120"/>
              <w:contextualSpacing/>
              <w:jc w:val="center"/>
              <w:rPr>
                <w:rFonts w:cs="Times New Roman"/>
                <w:sz w:val="20"/>
                <w:szCs w:val="20"/>
                <w:highlight w:val="yellow"/>
              </w:rPr>
            </w:pPr>
          </w:p>
        </w:tc>
        <w:tc>
          <w:tcPr>
            <w:tcW w:w="992" w:type="dxa"/>
            <w:tcBorders>
              <w:top w:val="single" w:sz="12" w:space="0" w:color="auto"/>
              <w:left w:val="single" w:sz="12" w:space="0" w:color="auto"/>
              <w:bottom w:val="single" w:sz="12" w:space="0" w:color="auto"/>
              <w:right w:val="single" w:sz="12" w:space="0" w:color="auto"/>
            </w:tcBorders>
            <w:vAlign w:val="center"/>
          </w:tcPr>
          <w:p w14:paraId="79C9BAEB"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Kopā:</w:t>
            </w:r>
          </w:p>
        </w:tc>
        <w:tc>
          <w:tcPr>
            <w:tcW w:w="1134" w:type="dxa"/>
            <w:tcBorders>
              <w:top w:val="single" w:sz="12" w:space="0" w:color="auto"/>
              <w:left w:val="single" w:sz="12" w:space="0" w:color="auto"/>
              <w:bottom w:val="single" w:sz="12" w:space="0" w:color="auto"/>
              <w:right w:val="single" w:sz="12" w:space="0" w:color="auto"/>
            </w:tcBorders>
            <w:vAlign w:val="center"/>
          </w:tcPr>
          <w:p w14:paraId="4B14B318" w14:textId="2AA4233E"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1</w:t>
            </w:r>
            <w:r w:rsidR="003E6938">
              <w:rPr>
                <w:rFonts w:cs="Times New Roman"/>
                <w:sz w:val="20"/>
                <w:szCs w:val="20"/>
              </w:rPr>
              <w:t>3</w:t>
            </w:r>
          </w:p>
        </w:tc>
        <w:tc>
          <w:tcPr>
            <w:tcW w:w="1134"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14:paraId="742784F2"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0</w:t>
            </w:r>
          </w:p>
        </w:tc>
        <w:tc>
          <w:tcPr>
            <w:tcW w:w="992" w:type="dxa"/>
            <w:tcBorders>
              <w:top w:val="single" w:sz="12" w:space="0" w:color="auto"/>
              <w:left w:val="single" w:sz="12" w:space="0" w:color="auto"/>
              <w:bottom w:val="single" w:sz="12" w:space="0" w:color="auto"/>
              <w:right w:val="single" w:sz="12" w:space="0" w:color="auto"/>
            </w:tcBorders>
            <w:vAlign w:val="center"/>
          </w:tcPr>
          <w:p w14:paraId="2B2420F7" w14:textId="775359D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1</w:t>
            </w:r>
            <w:r w:rsidR="003E6938">
              <w:rPr>
                <w:rFonts w:cs="Times New Roman"/>
                <w:sz w:val="20"/>
                <w:szCs w:val="20"/>
              </w:rPr>
              <w:t>2</w:t>
            </w:r>
          </w:p>
        </w:tc>
        <w:tc>
          <w:tcPr>
            <w:tcW w:w="1276" w:type="dxa"/>
            <w:tcBorders>
              <w:top w:val="single" w:sz="12" w:space="0" w:color="auto"/>
              <w:left w:val="single" w:sz="12" w:space="0" w:color="auto"/>
              <w:bottom w:val="single" w:sz="12" w:space="0" w:color="auto"/>
              <w:right w:val="single" w:sz="12" w:space="0" w:color="auto"/>
            </w:tcBorders>
            <w:vAlign w:val="center"/>
          </w:tcPr>
          <w:p w14:paraId="241170AF" w14:textId="77777777" w:rsidR="00EF68C5" w:rsidRPr="00DB28C3" w:rsidRDefault="00EF68C5" w:rsidP="007A2DF6">
            <w:pPr>
              <w:spacing w:before="120" w:after="120"/>
              <w:contextualSpacing/>
              <w:jc w:val="center"/>
              <w:rPr>
                <w:rFonts w:cs="Times New Roman"/>
                <w:sz w:val="20"/>
                <w:szCs w:val="20"/>
              </w:rPr>
            </w:pPr>
            <w:r w:rsidRPr="00DB28C3">
              <w:rPr>
                <w:rFonts w:cs="Times New Roman"/>
                <w:sz w:val="20"/>
                <w:szCs w:val="20"/>
              </w:rPr>
              <w:t>1</w:t>
            </w:r>
          </w:p>
        </w:tc>
      </w:tr>
    </w:tbl>
    <w:p w14:paraId="3D4C72DC" w14:textId="403A5CD2" w:rsidR="00D83CB1" w:rsidRPr="00DB28C3" w:rsidRDefault="007514A3" w:rsidP="00D52152">
      <w:pPr>
        <w:spacing w:before="120" w:after="120" w:line="276" w:lineRule="auto"/>
        <w:ind w:firstLine="720"/>
        <w:jc w:val="both"/>
        <w:rPr>
          <w:b/>
          <w:sz w:val="28"/>
          <w:szCs w:val="28"/>
        </w:rPr>
      </w:pPr>
      <w:r w:rsidRPr="00DB28C3">
        <w:rPr>
          <w:b/>
          <w:sz w:val="28"/>
          <w:szCs w:val="28"/>
        </w:rPr>
        <w:t>Lielie projekti</w:t>
      </w:r>
    </w:p>
    <w:p w14:paraId="67D44B04" w14:textId="20E9B00B" w:rsidR="005278CE" w:rsidRPr="00DB28C3" w:rsidRDefault="009F20B2" w:rsidP="00D52152">
      <w:pPr>
        <w:spacing w:before="120" w:after="120" w:line="276" w:lineRule="auto"/>
        <w:ind w:firstLine="720"/>
        <w:jc w:val="both"/>
        <w:rPr>
          <w:rFonts w:cs="Times New Roman"/>
          <w:sz w:val="28"/>
          <w:szCs w:val="28"/>
          <w:shd w:val="clear" w:color="auto" w:fill="FFFFFF"/>
        </w:rPr>
      </w:pPr>
      <w:r w:rsidRPr="00DB28C3">
        <w:rPr>
          <w:sz w:val="28"/>
          <w:szCs w:val="28"/>
        </w:rPr>
        <w:t>DP paredzēti četri lielie</w:t>
      </w:r>
      <w:r w:rsidR="00514F7A" w:rsidRPr="00DB28C3">
        <w:rPr>
          <w:rFonts w:cs="Times New Roman"/>
          <w:sz w:val="28"/>
          <w:szCs w:val="28"/>
          <w:shd w:val="clear" w:color="auto" w:fill="FFFFFF"/>
        </w:rPr>
        <w:t xml:space="preserve"> </w:t>
      </w:r>
      <w:r w:rsidR="007514A3" w:rsidRPr="00DB28C3">
        <w:rPr>
          <w:rFonts w:cs="Times New Roman"/>
          <w:sz w:val="28"/>
          <w:szCs w:val="28"/>
          <w:shd w:val="clear" w:color="auto" w:fill="FFFFFF"/>
        </w:rPr>
        <w:t>projekt</w:t>
      </w:r>
      <w:r w:rsidRPr="00DB28C3">
        <w:rPr>
          <w:rFonts w:cs="Times New Roman"/>
          <w:sz w:val="28"/>
          <w:szCs w:val="28"/>
          <w:shd w:val="clear" w:color="auto" w:fill="FFFFFF"/>
        </w:rPr>
        <w:t>i</w:t>
      </w:r>
      <w:r w:rsidR="00085E60">
        <w:rPr>
          <w:rStyle w:val="FootnoteReference"/>
          <w:rFonts w:cs="Times New Roman"/>
          <w:sz w:val="28"/>
          <w:szCs w:val="28"/>
          <w:shd w:val="clear" w:color="auto" w:fill="FFFFFF"/>
        </w:rPr>
        <w:footnoteReference w:id="10"/>
      </w:r>
      <w:r w:rsidRPr="00DB28C3">
        <w:rPr>
          <w:rFonts w:cs="Times New Roman"/>
          <w:sz w:val="28"/>
          <w:szCs w:val="28"/>
          <w:shd w:val="clear" w:color="auto" w:fill="FFFFFF"/>
        </w:rPr>
        <w:t xml:space="preserve"> ar</w:t>
      </w:r>
      <w:r w:rsidR="00775266" w:rsidRPr="00DB28C3">
        <w:rPr>
          <w:rFonts w:cs="Times New Roman"/>
          <w:sz w:val="28"/>
          <w:szCs w:val="28"/>
          <w:shd w:val="clear" w:color="auto" w:fill="FFFFFF"/>
        </w:rPr>
        <w:t xml:space="preserve"> </w:t>
      </w:r>
      <w:r w:rsidR="007514A3" w:rsidRPr="00DB28C3">
        <w:rPr>
          <w:rFonts w:cs="Times New Roman"/>
          <w:sz w:val="28"/>
          <w:szCs w:val="28"/>
          <w:shd w:val="clear" w:color="auto" w:fill="FFFFFF"/>
        </w:rPr>
        <w:t>473,5 milj.</w:t>
      </w:r>
      <w:r w:rsidR="007514A3" w:rsidRPr="00DB28C3">
        <w:rPr>
          <w:rFonts w:cs="Times New Roman"/>
          <w:i/>
          <w:sz w:val="28"/>
          <w:szCs w:val="28"/>
          <w:shd w:val="clear" w:color="auto" w:fill="FFFFFF"/>
        </w:rPr>
        <w:t> </w:t>
      </w:r>
      <w:proofErr w:type="spellStart"/>
      <w:r w:rsidR="007514A3" w:rsidRPr="00DB28C3">
        <w:rPr>
          <w:rFonts w:cs="Times New Roman"/>
          <w:i/>
          <w:sz w:val="28"/>
          <w:szCs w:val="28"/>
          <w:shd w:val="clear" w:color="auto" w:fill="FFFFFF"/>
        </w:rPr>
        <w:t>euro</w:t>
      </w:r>
      <w:proofErr w:type="spellEnd"/>
      <w:r w:rsidR="009C6734" w:rsidRPr="00DB28C3">
        <w:rPr>
          <w:rFonts w:cs="Times New Roman"/>
          <w:i/>
          <w:sz w:val="28"/>
          <w:szCs w:val="28"/>
          <w:shd w:val="clear" w:color="auto" w:fill="FFFFFF"/>
        </w:rPr>
        <w:t xml:space="preserve"> </w:t>
      </w:r>
      <w:r w:rsidR="009C6734" w:rsidRPr="00DB28C3">
        <w:rPr>
          <w:rFonts w:cs="Times New Roman"/>
          <w:sz w:val="28"/>
          <w:szCs w:val="28"/>
          <w:shd w:val="clear" w:color="auto" w:fill="FFFFFF"/>
        </w:rPr>
        <w:t>ES fondu līdzfinansējum</w:t>
      </w:r>
      <w:r w:rsidRPr="00DB28C3">
        <w:rPr>
          <w:rFonts w:cs="Times New Roman"/>
          <w:sz w:val="28"/>
          <w:szCs w:val="28"/>
          <w:shd w:val="clear" w:color="auto" w:fill="FFFFFF"/>
        </w:rPr>
        <w:t>u</w:t>
      </w:r>
      <w:r w:rsidR="009C6734" w:rsidRPr="00DB28C3">
        <w:rPr>
          <w:rFonts w:cs="Times New Roman"/>
          <w:i/>
          <w:sz w:val="28"/>
          <w:szCs w:val="28"/>
          <w:shd w:val="clear" w:color="auto" w:fill="FFFFFF"/>
        </w:rPr>
        <w:t>,</w:t>
      </w:r>
      <w:r w:rsidR="007514A3" w:rsidRPr="00DB28C3">
        <w:rPr>
          <w:rFonts w:cs="Times New Roman"/>
          <w:i/>
          <w:sz w:val="28"/>
          <w:szCs w:val="28"/>
          <w:shd w:val="clear" w:color="auto" w:fill="FFFFFF"/>
        </w:rPr>
        <w:t xml:space="preserve"> </w:t>
      </w:r>
      <w:r w:rsidR="007514A3" w:rsidRPr="00DB28C3">
        <w:rPr>
          <w:rFonts w:cs="Times New Roman"/>
          <w:sz w:val="28"/>
          <w:szCs w:val="28"/>
          <w:shd w:val="clear" w:color="auto" w:fill="FFFFFF"/>
        </w:rPr>
        <w:t>jeb</w:t>
      </w:r>
      <w:r w:rsidR="007514A3" w:rsidRPr="00DB28C3">
        <w:rPr>
          <w:rFonts w:cs="Times New Roman"/>
          <w:i/>
          <w:sz w:val="28"/>
          <w:szCs w:val="28"/>
          <w:shd w:val="clear" w:color="auto" w:fill="FFFFFF"/>
        </w:rPr>
        <w:t xml:space="preserve"> </w:t>
      </w:r>
      <w:r w:rsidR="007514A3" w:rsidRPr="00DB28C3">
        <w:rPr>
          <w:rFonts w:cs="Times New Roman"/>
          <w:sz w:val="28"/>
          <w:szCs w:val="28"/>
          <w:shd w:val="clear" w:color="auto" w:fill="FFFFFF"/>
        </w:rPr>
        <w:t>11</w:t>
      </w:r>
      <w:r w:rsidR="00C9565B" w:rsidRPr="00DB28C3">
        <w:rPr>
          <w:rFonts w:cs="Times New Roman"/>
          <w:sz w:val="28"/>
          <w:szCs w:val="28"/>
          <w:shd w:val="clear" w:color="auto" w:fill="FFFFFF"/>
        </w:rPr>
        <w:t>,0</w:t>
      </w:r>
      <w:r w:rsidR="00153F5E">
        <w:rPr>
          <w:rFonts w:cs="Times New Roman"/>
          <w:sz w:val="28"/>
          <w:szCs w:val="28"/>
          <w:shd w:val="clear" w:color="auto" w:fill="FFFFFF"/>
        </w:rPr>
        <w:t> </w:t>
      </w:r>
      <w:r w:rsidR="007514A3" w:rsidRPr="00DB28C3">
        <w:rPr>
          <w:rFonts w:cs="Times New Roman"/>
          <w:sz w:val="28"/>
          <w:szCs w:val="28"/>
          <w:shd w:val="clear" w:color="auto" w:fill="FFFFFF"/>
        </w:rPr>
        <w:t>% no 4,4 mljrd. </w:t>
      </w:r>
      <w:proofErr w:type="spellStart"/>
      <w:r w:rsidR="007514A3" w:rsidRPr="00DB28C3">
        <w:rPr>
          <w:rFonts w:cs="Times New Roman"/>
          <w:i/>
          <w:sz w:val="28"/>
          <w:szCs w:val="28"/>
          <w:shd w:val="clear" w:color="auto" w:fill="FFFFFF"/>
        </w:rPr>
        <w:t>euro</w:t>
      </w:r>
      <w:proofErr w:type="spellEnd"/>
      <w:r w:rsidR="00B874D4" w:rsidRPr="00DB28C3">
        <w:rPr>
          <w:rStyle w:val="FootnoteReference"/>
          <w:rFonts w:cs="Times New Roman"/>
          <w:sz w:val="28"/>
          <w:szCs w:val="28"/>
          <w:shd w:val="clear" w:color="auto" w:fill="FFFFFF"/>
        </w:rPr>
        <w:footnoteReference w:id="11"/>
      </w:r>
      <w:r w:rsidR="007514A3" w:rsidRPr="00DB28C3">
        <w:rPr>
          <w:rFonts w:cs="Times New Roman"/>
          <w:sz w:val="28"/>
          <w:szCs w:val="28"/>
          <w:shd w:val="clear" w:color="auto" w:fill="FFFFFF"/>
        </w:rPr>
        <w:t xml:space="preserve"> ES fondu</w:t>
      </w:r>
      <w:r w:rsidR="00D52152" w:rsidRPr="00DB28C3">
        <w:rPr>
          <w:rFonts w:cs="Times New Roman"/>
          <w:sz w:val="28"/>
          <w:szCs w:val="28"/>
          <w:shd w:val="clear" w:color="auto" w:fill="FFFFFF"/>
        </w:rPr>
        <w:t xml:space="preserve"> kopējā finansējuma</w:t>
      </w:r>
      <w:r w:rsidR="009076DB" w:rsidRPr="00DB28C3">
        <w:rPr>
          <w:rFonts w:cs="Times New Roman"/>
          <w:sz w:val="28"/>
          <w:szCs w:val="28"/>
          <w:shd w:val="clear" w:color="auto" w:fill="FFFFFF"/>
        </w:rPr>
        <w:t xml:space="preserve">. </w:t>
      </w:r>
    </w:p>
    <w:p w14:paraId="5F2668A6" w14:textId="1B285501" w:rsidR="009F20B2" w:rsidRPr="00DB28C3" w:rsidRDefault="0007797F" w:rsidP="009F20B2">
      <w:pPr>
        <w:spacing w:before="120" w:after="120" w:line="276" w:lineRule="auto"/>
        <w:ind w:firstLine="720"/>
        <w:jc w:val="both"/>
        <w:rPr>
          <w:rFonts w:cs="Times New Roman"/>
          <w:color w:val="000000" w:themeColor="text1"/>
          <w:sz w:val="28"/>
          <w:szCs w:val="28"/>
        </w:rPr>
      </w:pPr>
      <w:r w:rsidRPr="00DB28C3">
        <w:rPr>
          <w:rFonts w:cs="Times New Roman"/>
          <w:sz w:val="28"/>
          <w:szCs w:val="28"/>
          <w:shd w:val="clear" w:color="auto" w:fill="FFFFFF"/>
        </w:rPr>
        <w:t xml:space="preserve">1) </w:t>
      </w:r>
      <w:r w:rsidR="009F20B2" w:rsidRPr="00DB28C3">
        <w:rPr>
          <w:sz w:val="28"/>
          <w:szCs w:val="28"/>
        </w:rPr>
        <w:t>2019. gada 12. jūlijā EK apstiprināj</w:t>
      </w:r>
      <w:r w:rsidR="00B874D4">
        <w:rPr>
          <w:sz w:val="28"/>
          <w:szCs w:val="28"/>
        </w:rPr>
        <w:t>a</w:t>
      </w:r>
      <w:r w:rsidR="009F20B2" w:rsidRPr="00DB28C3">
        <w:rPr>
          <w:sz w:val="28"/>
          <w:szCs w:val="28"/>
        </w:rPr>
        <w:t xml:space="preserve"> LDZ lielo projektu</w:t>
      </w:r>
      <w:r w:rsidR="009F20B2" w:rsidRPr="00DB28C3">
        <w:rPr>
          <w:sz w:val="28"/>
          <w:szCs w:val="28"/>
          <w:vertAlign w:val="superscript"/>
        </w:rPr>
        <w:footnoteReference w:id="12"/>
      </w:r>
      <w:r w:rsidR="009F20B2" w:rsidRPr="00DB28C3">
        <w:rPr>
          <w:sz w:val="28"/>
          <w:szCs w:val="28"/>
        </w:rPr>
        <w:t xml:space="preserve">. </w:t>
      </w:r>
      <w:r w:rsidR="00E12322">
        <w:rPr>
          <w:sz w:val="28"/>
          <w:szCs w:val="28"/>
        </w:rPr>
        <w:t xml:space="preserve">Ņemot vērā projekta līdzšinējo sagatavošanas un virzības gaitu nacionālā līmenī, kā arī projekta augsto risku, FM ir aicinājusi CFLA pirms līguma slēgšanas pārliecināties par projekta iepriekšējo pieņēmumu atbilstību aktuālajai situācijai. CFLA ir lūgusi </w:t>
      </w:r>
      <w:r w:rsidR="003F3A07">
        <w:rPr>
          <w:sz w:val="28"/>
          <w:szCs w:val="28"/>
        </w:rPr>
        <w:t xml:space="preserve">(1) </w:t>
      </w:r>
      <w:r w:rsidR="00E12322">
        <w:rPr>
          <w:sz w:val="28"/>
          <w:szCs w:val="28"/>
        </w:rPr>
        <w:t>LDZ sniegt papildus informāciju</w:t>
      </w:r>
      <w:r w:rsidR="003F3A07">
        <w:rPr>
          <w:sz w:val="28"/>
          <w:szCs w:val="28"/>
        </w:rPr>
        <w:t xml:space="preserve"> un (2) </w:t>
      </w:r>
      <w:r w:rsidR="00E12322">
        <w:rPr>
          <w:sz w:val="28"/>
          <w:szCs w:val="28"/>
        </w:rPr>
        <w:t xml:space="preserve">SM sniegt viedokli un apliecinājumu par aktuālo </w:t>
      </w:r>
      <w:r w:rsidR="0086751C">
        <w:rPr>
          <w:sz w:val="28"/>
          <w:szCs w:val="28"/>
        </w:rPr>
        <w:t xml:space="preserve">SM </w:t>
      </w:r>
      <w:r w:rsidR="00E12322">
        <w:rPr>
          <w:sz w:val="28"/>
          <w:szCs w:val="28"/>
        </w:rPr>
        <w:t xml:space="preserve">nostāju par atbalstu lielā projekta līguma slēgšanai. </w:t>
      </w:r>
      <w:r w:rsidR="009F20B2" w:rsidRPr="00DB28C3">
        <w:rPr>
          <w:sz w:val="28"/>
          <w:szCs w:val="28"/>
        </w:rPr>
        <w:t xml:space="preserve">Saskaņā ar projekta īstenotāja LDZ aktuālo 2019. gada jūlija rīcības plānu, pārskatot projekta īstenošanas riskus, t.sk. par iespējamām pārsūdzībām, kā arī nepieciešamo laiku dokumentu ārējās saskaņošanas procesam, </w:t>
      </w:r>
      <w:r w:rsidR="009F20B2" w:rsidRPr="00DB28C3">
        <w:rPr>
          <w:rFonts w:cs="Times New Roman"/>
          <w:sz w:val="28"/>
          <w:szCs w:val="28"/>
        </w:rPr>
        <w:t xml:space="preserve">apvienotā projektēšanas un būvdarbu iepirkuma rezultāti gaidāmi provizoriski </w:t>
      </w:r>
      <w:r w:rsidR="009F20B2" w:rsidRPr="00DB28C3">
        <w:rPr>
          <w:rFonts w:cs="Times New Roman"/>
          <w:sz w:val="28"/>
          <w:szCs w:val="28"/>
        </w:rPr>
        <w:lastRenderedPageBreak/>
        <w:t xml:space="preserve">2019. gada decembrī un iepirkuma līgums 2020. gada martā. </w:t>
      </w:r>
      <w:r w:rsidR="009F20B2" w:rsidRPr="00DB28C3">
        <w:rPr>
          <w:rFonts w:cs="Times New Roman"/>
          <w:color w:val="000000" w:themeColor="text1"/>
          <w:sz w:val="28"/>
          <w:szCs w:val="28"/>
        </w:rPr>
        <w:t xml:space="preserve">Vienlaikus, ņemot vērā būvniecībai nepieciešamos trīs gadus un plānotos risku pārvaldības pasākumus, </w:t>
      </w:r>
      <w:r w:rsidR="009F20B2" w:rsidRPr="00DB28C3">
        <w:rPr>
          <w:color w:val="000000" w:themeColor="text1"/>
          <w:sz w:val="28"/>
          <w:szCs w:val="28"/>
        </w:rPr>
        <w:t xml:space="preserve">LDZ vērtējumā </w:t>
      </w:r>
      <w:r w:rsidR="009F20B2" w:rsidRPr="00DB28C3">
        <w:rPr>
          <w:rFonts w:cs="Times New Roman"/>
          <w:color w:val="000000" w:themeColor="text1"/>
          <w:sz w:val="28"/>
          <w:szCs w:val="28"/>
        </w:rPr>
        <w:t>vairāku mēnešu nobīdes iepirkuma procedūrās vēl nerada nozīmīgu risku neiekļauties projekta realizācijas termiņā līdz 2023. gada beigām.</w:t>
      </w:r>
    </w:p>
    <w:p w14:paraId="638608E3" w14:textId="7551C3FA" w:rsidR="007D178C" w:rsidRPr="00DB28C3" w:rsidRDefault="009F20B2" w:rsidP="009F20B2">
      <w:pPr>
        <w:spacing w:before="120" w:after="120" w:line="276" w:lineRule="auto"/>
        <w:ind w:firstLine="720"/>
        <w:jc w:val="both"/>
        <w:rPr>
          <w:rFonts w:cs="Times New Roman"/>
          <w:sz w:val="28"/>
          <w:szCs w:val="28"/>
          <w:shd w:val="clear" w:color="auto" w:fill="FFFFFF"/>
        </w:rPr>
      </w:pPr>
      <w:r w:rsidRPr="00DB28C3">
        <w:rPr>
          <w:rFonts w:cs="Times New Roman"/>
          <w:color w:val="000000" w:themeColor="text1"/>
          <w:sz w:val="28"/>
          <w:szCs w:val="28"/>
        </w:rPr>
        <w:t xml:space="preserve">2) 2019. gada 16. jūlija MK sēdē pieņemti lēmumi attiecībā uz </w:t>
      </w:r>
      <w:r w:rsidRPr="00DB28C3">
        <w:rPr>
          <w:color w:val="000000" w:themeColor="text1"/>
          <w:sz w:val="28"/>
          <w:szCs w:val="28"/>
        </w:rPr>
        <w:t>SM ziņojumu par ilgtermiņa saistībām jaunu elektrovilcienu iegādei</w:t>
      </w:r>
      <w:r w:rsidRPr="00DB28C3">
        <w:rPr>
          <w:rStyle w:val="FootnoteReference"/>
          <w:color w:val="000000" w:themeColor="text1"/>
          <w:sz w:val="28"/>
          <w:szCs w:val="28"/>
        </w:rPr>
        <w:footnoteReference w:id="13"/>
      </w:r>
      <w:r w:rsidRPr="00DB28C3">
        <w:rPr>
          <w:color w:val="000000" w:themeColor="text1"/>
          <w:sz w:val="28"/>
          <w:szCs w:val="28"/>
        </w:rPr>
        <w:t xml:space="preserve">. Minētie lēmumi paredz SM uzdevumu līdz 2019. gada 29. augustam </w:t>
      </w:r>
      <w:r w:rsidRPr="00DB28C3">
        <w:rPr>
          <w:rFonts w:cs="Times New Roman"/>
          <w:color w:val="000000" w:themeColor="text1"/>
          <w:sz w:val="28"/>
          <w:szCs w:val="28"/>
        </w:rPr>
        <w:t xml:space="preserve">iesniegt </w:t>
      </w:r>
      <w:r w:rsidRPr="00DB28C3">
        <w:rPr>
          <w:color w:val="000000" w:themeColor="text1"/>
          <w:sz w:val="28"/>
          <w:szCs w:val="28"/>
        </w:rPr>
        <w:t>MK ziņojumu par DP 4.prioritārā virzienā atbrīvotā ES fondu finansējuma izmantošanas alternatīvām un izvēlēto risinājumu, kā arī</w:t>
      </w:r>
      <w:r w:rsidRPr="00DB28C3">
        <w:rPr>
          <w:rFonts w:cs="Times New Roman"/>
          <w:color w:val="000000" w:themeColor="text1"/>
          <w:sz w:val="28"/>
          <w:szCs w:val="28"/>
        </w:rPr>
        <w:t xml:space="preserve"> SM iesniegt FM grozījumus DP ES fondu līdzfinansējuma nodrošināšanai jauno elektrovilcienu projektam 2021. - 2023. gadā iesniegšanai EK. Vienlaikus SM jāveic nepieciešamās darbības, lai AS “Pasažieru vilcien</w:t>
      </w:r>
      <w:r w:rsidR="00922530">
        <w:rPr>
          <w:rFonts w:cs="Times New Roman"/>
          <w:color w:val="000000" w:themeColor="text1"/>
          <w:sz w:val="28"/>
          <w:szCs w:val="28"/>
        </w:rPr>
        <w:t>s</w:t>
      </w:r>
      <w:r w:rsidRPr="00DB28C3">
        <w:rPr>
          <w:rFonts w:cs="Times New Roman"/>
          <w:color w:val="000000" w:themeColor="text1"/>
          <w:sz w:val="28"/>
          <w:szCs w:val="28"/>
        </w:rPr>
        <w:t>” projekta izdevumi būtu attiecināmi no ES fond</w:t>
      </w:r>
      <w:r w:rsidR="00B874D4">
        <w:rPr>
          <w:rFonts w:cs="Times New Roman"/>
          <w:color w:val="000000" w:themeColor="text1"/>
          <w:sz w:val="28"/>
          <w:szCs w:val="28"/>
        </w:rPr>
        <w:t>u līdzekļiem</w:t>
      </w:r>
      <w:r w:rsidRPr="00DB28C3">
        <w:rPr>
          <w:rFonts w:cs="Times New Roman"/>
          <w:color w:val="000000" w:themeColor="text1"/>
          <w:sz w:val="28"/>
          <w:szCs w:val="28"/>
        </w:rPr>
        <w:t xml:space="preserve"> pozitīva EK</w:t>
      </w:r>
      <w:r w:rsidRPr="00DB28C3">
        <w:rPr>
          <w:color w:val="000000" w:themeColor="text1"/>
          <w:sz w:val="28"/>
          <w:szCs w:val="28"/>
        </w:rPr>
        <w:t xml:space="preserve"> lēmuma gadījumā.</w:t>
      </w:r>
    </w:p>
    <w:p w14:paraId="45881670" w14:textId="5CD84C00" w:rsidR="005278CE" w:rsidRPr="00DB28C3" w:rsidRDefault="005278CE" w:rsidP="00D52152">
      <w:pPr>
        <w:pStyle w:val="ListParagraph"/>
        <w:spacing w:before="120" w:after="120" w:line="276" w:lineRule="auto"/>
        <w:ind w:left="0" w:right="-1" w:firstLine="720"/>
        <w:contextualSpacing w:val="0"/>
        <w:jc w:val="both"/>
        <w:rPr>
          <w:rFonts w:cs="Times New Roman"/>
          <w:sz w:val="28"/>
          <w:szCs w:val="28"/>
          <w:shd w:val="clear" w:color="auto" w:fill="FFFFFF"/>
        </w:rPr>
      </w:pPr>
      <w:r w:rsidRPr="00DB28C3">
        <w:rPr>
          <w:rFonts w:cs="Times New Roman"/>
          <w:sz w:val="28"/>
          <w:szCs w:val="28"/>
          <w:shd w:val="clear" w:color="auto" w:fill="FFFFFF"/>
        </w:rPr>
        <w:t>3) PSKUS A korpusa būvniecības otrās kārtas</w:t>
      </w:r>
      <w:r w:rsidRPr="00DB28C3">
        <w:rPr>
          <w:rFonts w:cs="Times New Roman"/>
          <w:sz w:val="28"/>
          <w:szCs w:val="28"/>
          <w:shd w:val="clear" w:color="auto" w:fill="FFFFFF"/>
          <w:vertAlign w:val="superscript"/>
        </w:rPr>
        <w:footnoteReference w:id="14"/>
      </w:r>
      <w:r w:rsidRPr="00DB28C3">
        <w:rPr>
          <w:rFonts w:cs="Times New Roman"/>
          <w:sz w:val="28"/>
          <w:szCs w:val="28"/>
          <w:shd w:val="clear" w:color="auto" w:fill="FFFFFF"/>
          <w:vertAlign w:val="superscript"/>
        </w:rPr>
        <w:t xml:space="preserve"> </w:t>
      </w:r>
      <w:r w:rsidRPr="00DB28C3">
        <w:rPr>
          <w:rFonts w:cs="Times New Roman"/>
          <w:sz w:val="28"/>
          <w:szCs w:val="28"/>
          <w:shd w:val="clear" w:color="auto" w:fill="FFFFFF"/>
        </w:rPr>
        <w:t>liel</w:t>
      </w:r>
      <w:r w:rsidR="00B874D4">
        <w:rPr>
          <w:rFonts w:cs="Times New Roman"/>
          <w:sz w:val="28"/>
          <w:szCs w:val="28"/>
          <w:shd w:val="clear" w:color="auto" w:fill="FFFFFF"/>
        </w:rPr>
        <w:t>ā</w:t>
      </w:r>
      <w:r w:rsidRPr="00DB28C3">
        <w:rPr>
          <w:rFonts w:cs="Times New Roman"/>
          <w:sz w:val="28"/>
          <w:szCs w:val="28"/>
          <w:shd w:val="clear" w:color="auto" w:fill="FFFFFF"/>
        </w:rPr>
        <w:t xml:space="preserve"> projekt</w:t>
      </w:r>
      <w:r w:rsidR="00C77614">
        <w:rPr>
          <w:rFonts w:cs="Times New Roman"/>
          <w:sz w:val="28"/>
          <w:szCs w:val="28"/>
          <w:shd w:val="clear" w:color="auto" w:fill="FFFFFF"/>
        </w:rPr>
        <w:t>a ietvaros</w:t>
      </w:r>
      <w:r w:rsidRPr="00DB28C3">
        <w:rPr>
          <w:rFonts w:cs="Times New Roman"/>
          <w:sz w:val="28"/>
          <w:szCs w:val="28"/>
          <w:shd w:val="clear" w:color="auto" w:fill="FFFFFF"/>
        </w:rPr>
        <w:t xml:space="preserve"> </w:t>
      </w:r>
      <w:r w:rsidR="009F20B2" w:rsidRPr="00DB28C3">
        <w:rPr>
          <w:rFonts w:cs="Times New Roman"/>
          <w:sz w:val="28"/>
          <w:szCs w:val="28"/>
          <w:shd w:val="clear" w:color="auto" w:fill="FFFFFF"/>
        </w:rPr>
        <w:t>2019.</w:t>
      </w:r>
      <w:r w:rsidR="009B2BE5">
        <w:rPr>
          <w:rFonts w:cs="Times New Roman"/>
          <w:sz w:val="28"/>
          <w:szCs w:val="28"/>
          <w:shd w:val="clear" w:color="auto" w:fill="FFFFFF"/>
        </w:rPr>
        <w:t> </w:t>
      </w:r>
      <w:r w:rsidR="009F20B2" w:rsidRPr="00DB28C3">
        <w:rPr>
          <w:rFonts w:cs="Times New Roman"/>
          <w:sz w:val="28"/>
          <w:szCs w:val="28"/>
          <w:shd w:val="clear" w:color="auto" w:fill="FFFFFF"/>
        </w:rPr>
        <w:t xml:space="preserve">gada 11. aprīlī ir uzsākta jauna konkursa procedūra. PSKUS sagaida rezultātus provizoriski 2019. gada decembrī. </w:t>
      </w:r>
      <w:r w:rsidRPr="00DB28C3">
        <w:rPr>
          <w:rFonts w:cs="Times New Roman"/>
          <w:sz w:val="28"/>
          <w:szCs w:val="28"/>
          <w:shd w:val="clear" w:color="auto" w:fill="FFFFFF"/>
        </w:rPr>
        <w:t>Pirms būvdarbu līguma slēgšanas</w:t>
      </w:r>
      <w:r w:rsidR="0007163F" w:rsidRPr="00DB28C3">
        <w:rPr>
          <w:rFonts w:cs="Times New Roman"/>
          <w:sz w:val="28"/>
          <w:szCs w:val="28"/>
          <w:shd w:val="clear" w:color="auto" w:fill="FFFFFF"/>
        </w:rPr>
        <w:t xml:space="preserve"> nepieciešamība</w:t>
      </w:r>
      <w:r w:rsidR="00DB28C3" w:rsidRPr="00DB28C3">
        <w:rPr>
          <w:rFonts w:cs="Times New Roman"/>
          <w:sz w:val="28"/>
          <w:szCs w:val="28"/>
          <w:shd w:val="clear" w:color="auto" w:fill="FFFFFF"/>
        </w:rPr>
        <w:t>s</w:t>
      </w:r>
      <w:r w:rsidR="0007163F" w:rsidRPr="00DB28C3">
        <w:rPr>
          <w:rFonts w:cs="Times New Roman"/>
          <w:sz w:val="28"/>
          <w:szCs w:val="28"/>
          <w:shd w:val="clear" w:color="auto" w:fill="FFFFFF"/>
        </w:rPr>
        <w:t xml:space="preserve"> gadījumā </w:t>
      </w:r>
      <w:r w:rsidRPr="00DB28C3">
        <w:rPr>
          <w:rFonts w:cs="Times New Roman"/>
          <w:sz w:val="28"/>
          <w:szCs w:val="28"/>
          <w:shd w:val="clear" w:color="auto" w:fill="FFFFFF"/>
        </w:rPr>
        <w:t xml:space="preserve">VM </w:t>
      </w:r>
      <w:r w:rsidR="0007163F" w:rsidRPr="00DB28C3">
        <w:rPr>
          <w:rFonts w:cs="Times New Roman"/>
          <w:sz w:val="28"/>
          <w:szCs w:val="28"/>
          <w:shd w:val="clear" w:color="auto" w:fill="FFFFFF"/>
        </w:rPr>
        <w:t>jā</w:t>
      </w:r>
      <w:r w:rsidRPr="00DB28C3">
        <w:rPr>
          <w:rFonts w:cs="Times New Roman"/>
          <w:sz w:val="28"/>
          <w:szCs w:val="28"/>
          <w:shd w:val="clear" w:color="auto" w:fill="FFFFFF"/>
        </w:rPr>
        <w:t>informē MK.</w:t>
      </w:r>
    </w:p>
    <w:p w14:paraId="7DD83A73" w14:textId="4D5DDD01" w:rsidR="00787DFE" w:rsidRPr="00DB28C3" w:rsidRDefault="005278CE" w:rsidP="004A3517">
      <w:pPr>
        <w:spacing w:before="120" w:after="120" w:line="276" w:lineRule="auto"/>
        <w:ind w:firstLine="709"/>
        <w:jc w:val="both"/>
        <w:rPr>
          <w:sz w:val="28"/>
          <w:szCs w:val="28"/>
        </w:rPr>
      </w:pPr>
      <w:r w:rsidRPr="00DB28C3">
        <w:rPr>
          <w:rFonts w:cs="Times New Roman"/>
          <w:sz w:val="28"/>
          <w:szCs w:val="28"/>
          <w:shd w:val="clear" w:color="auto" w:fill="FFFFFF"/>
        </w:rPr>
        <w:t xml:space="preserve">4) </w:t>
      </w:r>
      <w:r w:rsidR="00963B1B">
        <w:rPr>
          <w:rFonts w:cs="Times New Roman"/>
          <w:sz w:val="28"/>
          <w:szCs w:val="28"/>
          <w:shd w:val="clear" w:color="auto" w:fill="FFFFFF"/>
        </w:rPr>
        <w:t>Valsts vides dienesta kā v</w:t>
      </w:r>
      <w:r w:rsidR="00963B1B" w:rsidRPr="00DB28C3">
        <w:rPr>
          <w:rFonts w:cs="Times New Roman"/>
          <w:sz w:val="28"/>
          <w:szCs w:val="28"/>
          <w:shd w:val="clear" w:color="auto" w:fill="FFFFFF"/>
        </w:rPr>
        <w:t xml:space="preserve">ēsturiski piesārņoto vietu “Inčukalna </w:t>
      </w:r>
      <w:proofErr w:type="spellStart"/>
      <w:r w:rsidR="00963B1B" w:rsidRPr="00DB28C3">
        <w:rPr>
          <w:rFonts w:cs="Times New Roman"/>
          <w:sz w:val="28"/>
          <w:szCs w:val="28"/>
          <w:shd w:val="clear" w:color="auto" w:fill="FFFFFF"/>
        </w:rPr>
        <w:t>sērskābā</w:t>
      </w:r>
      <w:proofErr w:type="spellEnd"/>
      <w:r w:rsidR="00963B1B" w:rsidRPr="00DB28C3">
        <w:rPr>
          <w:rFonts w:cs="Times New Roman"/>
          <w:sz w:val="28"/>
          <w:szCs w:val="28"/>
          <w:shd w:val="clear" w:color="auto" w:fill="FFFFFF"/>
        </w:rPr>
        <w:t xml:space="preserve"> gudrona dīķi” sanācijas otrā posma</w:t>
      </w:r>
      <w:r w:rsidR="00963B1B" w:rsidRPr="00DB28C3">
        <w:rPr>
          <w:rStyle w:val="FootnoteReference"/>
          <w:rFonts w:cs="Times New Roman"/>
          <w:sz w:val="28"/>
          <w:szCs w:val="28"/>
          <w:shd w:val="clear" w:color="auto" w:fill="FFFFFF"/>
        </w:rPr>
        <w:footnoteReference w:id="15"/>
      </w:r>
      <w:r w:rsidR="00963B1B" w:rsidRPr="00DB28C3">
        <w:rPr>
          <w:rFonts w:cs="Times New Roman"/>
          <w:sz w:val="28"/>
          <w:szCs w:val="28"/>
          <w:shd w:val="clear" w:color="auto" w:fill="FFFFFF"/>
        </w:rPr>
        <w:t xml:space="preserve"> projekt</w:t>
      </w:r>
      <w:r w:rsidR="00963B1B">
        <w:rPr>
          <w:rFonts w:cs="Times New Roman"/>
          <w:sz w:val="28"/>
          <w:szCs w:val="28"/>
          <w:shd w:val="clear" w:color="auto" w:fill="FFFFFF"/>
        </w:rPr>
        <w:t>a</w:t>
      </w:r>
      <w:r w:rsidR="00963B1B" w:rsidRPr="00DB28C3">
        <w:rPr>
          <w:rFonts w:cs="Times New Roman"/>
          <w:sz w:val="28"/>
          <w:szCs w:val="28"/>
          <w:shd w:val="clear" w:color="auto" w:fill="FFFFFF"/>
        </w:rPr>
        <w:t xml:space="preserve"> </w:t>
      </w:r>
      <w:r w:rsidR="00963B1B">
        <w:rPr>
          <w:rFonts w:cs="Times New Roman"/>
          <w:sz w:val="28"/>
          <w:szCs w:val="28"/>
          <w:shd w:val="clear" w:color="auto" w:fill="FFFFFF"/>
        </w:rPr>
        <w:t xml:space="preserve">īstenotāja aktuālajā ikmēneša pārskatā sniegtā informācija liecina, ka </w:t>
      </w:r>
      <w:proofErr w:type="spellStart"/>
      <w:r w:rsidR="00963B1B">
        <w:rPr>
          <w:rFonts w:cs="Times New Roman"/>
          <w:sz w:val="28"/>
          <w:szCs w:val="28"/>
          <w:shd w:val="clear" w:color="auto" w:fill="FFFFFF"/>
        </w:rPr>
        <w:t>projekts</w:t>
      </w:r>
      <w:r w:rsidR="009C316C" w:rsidRPr="00DB28C3">
        <w:rPr>
          <w:rFonts w:cs="Times New Roman"/>
          <w:sz w:val="28"/>
          <w:szCs w:val="28"/>
          <w:shd w:val="clear" w:color="auto" w:fill="FFFFFF"/>
        </w:rPr>
        <w:t>tiek</w:t>
      </w:r>
      <w:proofErr w:type="spellEnd"/>
      <w:r w:rsidR="009C316C" w:rsidRPr="00DB28C3">
        <w:rPr>
          <w:rFonts w:cs="Times New Roman"/>
          <w:sz w:val="28"/>
          <w:szCs w:val="28"/>
          <w:shd w:val="clear" w:color="auto" w:fill="FFFFFF"/>
        </w:rPr>
        <w:t xml:space="preserve"> īstenots kopumā atbilstoši plānotajam, būtiski riski nav konstatēti</w:t>
      </w:r>
      <w:r w:rsidR="003A67EE" w:rsidRPr="00DB28C3">
        <w:rPr>
          <w:rFonts w:cs="Times New Roman"/>
          <w:sz w:val="28"/>
          <w:szCs w:val="28"/>
          <w:shd w:val="clear" w:color="auto" w:fill="FFFFFF"/>
        </w:rPr>
        <w:t xml:space="preserve">. </w:t>
      </w:r>
      <w:r w:rsidR="00E73335" w:rsidRPr="00DB28C3">
        <w:rPr>
          <w:sz w:val="28"/>
          <w:szCs w:val="28"/>
        </w:rPr>
        <w:t xml:space="preserve">Līdz 2019. gada 1. </w:t>
      </w:r>
      <w:r w:rsidR="0016061B">
        <w:rPr>
          <w:sz w:val="28"/>
          <w:szCs w:val="28"/>
        </w:rPr>
        <w:t>augustam</w:t>
      </w:r>
      <w:r w:rsidR="0016061B" w:rsidRPr="00DB28C3">
        <w:rPr>
          <w:sz w:val="28"/>
          <w:szCs w:val="28"/>
        </w:rPr>
        <w:t xml:space="preserve"> </w:t>
      </w:r>
      <w:r w:rsidR="00E73335" w:rsidRPr="00DB28C3">
        <w:rPr>
          <w:sz w:val="28"/>
          <w:szCs w:val="28"/>
        </w:rPr>
        <w:t xml:space="preserve">no kopā projektā plānotā </w:t>
      </w:r>
      <w:proofErr w:type="spellStart"/>
      <w:r w:rsidR="00E73335" w:rsidRPr="00DB28C3">
        <w:rPr>
          <w:sz w:val="28"/>
          <w:szCs w:val="28"/>
        </w:rPr>
        <w:t>ekskavēts</w:t>
      </w:r>
      <w:proofErr w:type="spellEnd"/>
      <w:r w:rsidR="00E73335" w:rsidRPr="00DB28C3">
        <w:rPr>
          <w:sz w:val="28"/>
          <w:szCs w:val="28"/>
        </w:rPr>
        <w:t xml:space="preserve"> un nodots sekundārā kurināmā sagatavošanai </w:t>
      </w:r>
      <w:r w:rsidR="0016061B">
        <w:rPr>
          <w:sz w:val="28"/>
          <w:szCs w:val="28"/>
        </w:rPr>
        <w:t>17 870</w:t>
      </w:r>
      <w:r w:rsidR="00E73335" w:rsidRPr="00DB28C3">
        <w:rPr>
          <w:sz w:val="28"/>
          <w:szCs w:val="28"/>
        </w:rPr>
        <w:t xml:space="preserve"> t </w:t>
      </w:r>
      <w:proofErr w:type="spellStart"/>
      <w:r w:rsidR="00E73335" w:rsidRPr="00DB28C3">
        <w:rPr>
          <w:sz w:val="28"/>
          <w:szCs w:val="28"/>
        </w:rPr>
        <w:t>sērskābā</w:t>
      </w:r>
      <w:proofErr w:type="spellEnd"/>
      <w:r w:rsidR="00E73335" w:rsidRPr="00DB28C3">
        <w:rPr>
          <w:sz w:val="28"/>
          <w:szCs w:val="28"/>
        </w:rPr>
        <w:t xml:space="preserve"> gudrona jeb </w:t>
      </w:r>
      <w:r w:rsidR="008E26A0">
        <w:rPr>
          <w:sz w:val="28"/>
          <w:szCs w:val="28"/>
        </w:rPr>
        <w:t xml:space="preserve">aptuveni </w:t>
      </w:r>
      <w:r w:rsidR="0016061B">
        <w:rPr>
          <w:sz w:val="28"/>
          <w:szCs w:val="28"/>
        </w:rPr>
        <w:t>57</w:t>
      </w:r>
      <w:r w:rsidR="008E26A0">
        <w:rPr>
          <w:sz w:val="28"/>
          <w:szCs w:val="28"/>
        </w:rPr>
        <w:t>,0</w:t>
      </w:r>
      <w:r w:rsidR="00B874D4">
        <w:rPr>
          <w:sz w:val="28"/>
          <w:szCs w:val="28"/>
        </w:rPr>
        <w:t> </w:t>
      </w:r>
      <w:r w:rsidR="00E73335" w:rsidRPr="00DB28C3">
        <w:rPr>
          <w:sz w:val="28"/>
          <w:szCs w:val="28"/>
        </w:rPr>
        <w:t xml:space="preserve">%. Ziemeļu dīķī pabeigta </w:t>
      </w:r>
      <w:r w:rsidR="0016061B">
        <w:rPr>
          <w:sz w:val="28"/>
          <w:szCs w:val="28"/>
        </w:rPr>
        <w:t xml:space="preserve">piesārņotākās smilts/gudrona maisījuma ekskavācija un piesārņojuma ierobežojošās </w:t>
      </w:r>
      <w:proofErr w:type="spellStart"/>
      <w:r w:rsidR="00E73335" w:rsidRPr="00DB28C3">
        <w:rPr>
          <w:sz w:val="28"/>
          <w:szCs w:val="28"/>
        </w:rPr>
        <w:t>rievsienas</w:t>
      </w:r>
      <w:proofErr w:type="spellEnd"/>
      <w:r w:rsidR="00E73335" w:rsidRPr="00DB28C3">
        <w:rPr>
          <w:sz w:val="28"/>
          <w:szCs w:val="28"/>
        </w:rPr>
        <w:t xml:space="preserve"> izbūve, kā arī atsūknēti un attīrīti </w:t>
      </w:r>
      <w:r w:rsidR="0016061B">
        <w:rPr>
          <w:sz w:val="28"/>
          <w:szCs w:val="28"/>
        </w:rPr>
        <w:t>52 528</w:t>
      </w:r>
      <w:r w:rsidR="00E73335" w:rsidRPr="00DB28C3">
        <w:rPr>
          <w:sz w:val="28"/>
          <w:szCs w:val="28"/>
        </w:rPr>
        <w:t xml:space="preserve"> m</w:t>
      </w:r>
      <w:r w:rsidR="00E73335" w:rsidRPr="00DB28C3">
        <w:rPr>
          <w:sz w:val="28"/>
          <w:szCs w:val="28"/>
          <w:vertAlign w:val="superscript"/>
        </w:rPr>
        <w:t>3</w:t>
      </w:r>
      <w:r w:rsidR="00E73335" w:rsidRPr="00DB28C3">
        <w:rPr>
          <w:sz w:val="28"/>
          <w:szCs w:val="28"/>
        </w:rPr>
        <w:t xml:space="preserve"> ūdens jeb aptuveni </w:t>
      </w:r>
      <w:r w:rsidR="0016061B" w:rsidRPr="00C1669B">
        <w:rPr>
          <w:sz w:val="28"/>
          <w:szCs w:val="28"/>
        </w:rPr>
        <w:t>49</w:t>
      </w:r>
      <w:r w:rsidR="00E73335" w:rsidRPr="00C1669B">
        <w:rPr>
          <w:sz w:val="28"/>
          <w:szCs w:val="28"/>
        </w:rPr>
        <w:t>,0</w:t>
      </w:r>
      <w:r w:rsidR="00B874D4" w:rsidRPr="00C1669B">
        <w:rPr>
          <w:sz w:val="28"/>
          <w:szCs w:val="28"/>
        </w:rPr>
        <w:t> </w:t>
      </w:r>
      <w:r w:rsidR="00E73335" w:rsidRPr="00C1669B">
        <w:rPr>
          <w:sz w:val="28"/>
          <w:szCs w:val="28"/>
        </w:rPr>
        <w:t xml:space="preserve">%. </w:t>
      </w:r>
      <w:r w:rsidR="00963B1B" w:rsidRPr="00C1669B">
        <w:rPr>
          <w:sz w:val="28"/>
          <w:szCs w:val="28"/>
        </w:rPr>
        <w:t>M</w:t>
      </w:r>
      <w:r w:rsidR="0067521F" w:rsidRPr="00C1669B">
        <w:rPr>
          <w:sz w:val="28"/>
          <w:szCs w:val="28"/>
        </w:rPr>
        <w:t xml:space="preserve">aksājuma pieprasījumi </w:t>
      </w:r>
      <w:r w:rsidR="00E73335" w:rsidRPr="00C1669B">
        <w:rPr>
          <w:sz w:val="28"/>
          <w:szCs w:val="28"/>
        </w:rPr>
        <w:t>iesni</w:t>
      </w:r>
      <w:r w:rsidR="00D60FB7" w:rsidRPr="00C1669B">
        <w:rPr>
          <w:sz w:val="28"/>
          <w:szCs w:val="28"/>
        </w:rPr>
        <w:t xml:space="preserve">egti </w:t>
      </w:r>
      <w:r w:rsidR="0067521F" w:rsidRPr="00C1669B">
        <w:rPr>
          <w:sz w:val="28"/>
          <w:szCs w:val="28"/>
        </w:rPr>
        <w:t xml:space="preserve">par </w:t>
      </w:r>
      <w:r w:rsidR="0016061B" w:rsidRPr="00C1669B">
        <w:rPr>
          <w:sz w:val="28"/>
          <w:szCs w:val="28"/>
        </w:rPr>
        <w:t xml:space="preserve">13,7 milj. </w:t>
      </w:r>
      <w:proofErr w:type="spellStart"/>
      <w:r w:rsidR="0016061B" w:rsidRPr="00C1669B">
        <w:rPr>
          <w:i/>
          <w:sz w:val="28"/>
          <w:szCs w:val="28"/>
        </w:rPr>
        <w:t>euro</w:t>
      </w:r>
      <w:proofErr w:type="spellEnd"/>
      <w:r w:rsidR="00963B1B" w:rsidRPr="00C1669B">
        <w:rPr>
          <w:i/>
          <w:sz w:val="28"/>
          <w:szCs w:val="28"/>
        </w:rPr>
        <w:t xml:space="preserve"> </w:t>
      </w:r>
      <w:r w:rsidR="00963B1B" w:rsidRPr="00C1669B">
        <w:rPr>
          <w:sz w:val="28"/>
          <w:szCs w:val="28"/>
        </w:rPr>
        <w:t>(visi finansējuma avoti)</w:t>
      </w:r>
      <w:r w:rsidR="00963B1B" w:rsidRPr="00C1669B">
        <w:rPr>
          <w:i/>
          <w:sz w:val="28"/>
          <w:szCs w:val="28"/>
        </w:rPr>
        <w:t xml:space="preserve">, </w:t>
      </w:r>
      <w:r w:rsidR="0067521F" w:rsidRPr="00C1669B">
        <w:rPr>
          <w:sz w:val="28"/>
          <w:szCs w:val="28"/>
        </w:rPr>
        <w:t xml:space="preserve">t.sk. </w:t>
      </w:r>
      <w:r w:rsidR="00963B1B" w:rsidRPr="00C1669B">
        <w:rPr>
          <w:sz w:val="28"/>
          <w:szCs w:val="28"/>
        </w:rPr>
        <w:t xml:space="preserve">CFLA </w:t>
      </w:r>
      <w:r w:rsidR="00D60FB7" w:rsidRPr="00C1669B">
        <w:rPr>
          <w:sz w:val="28"/>
          <w:szCs w:val="28"/>
        </w:rPr>
        <w:t>ap</w:t>
      </w:r>
      <w:r w:rsidR="00963B1B" w:rsidRPr="00C1669B">
        <w:rPr>
          <w:sz w:val="28"/>
          <w:szCs w:val="28"/>
        </w:rPr>
        <w:t xml:space="preserve">stiprinājusi </w:t>
      </w:r>
      <w:r w:rsidR="00E73335" w:rsidRPr="00C1669B">
        <w:rPr>
          <w:sz w:val="28"/>
          <w:szCs w:val="28"/>
        </w:rPr>
        <w:t xml:space="preserve">12,6 milj. </w:t>
      </w:r>
      <w:proofErr w:type="spellStart"/>
      <w:r w:rsidR="00E73335" w:rsidRPr="00C1669B">
        <w:rPr>
          <w:i/>
          <w:sz w:val="28"/>
          <w:szCs w:val="28"/>
        </w:rPr>
        <w:t>euro</w:t>
      </w:r>
      <w:proofErr w:type="spellEnd"/>
      <w:r w:rsidR="00E73335" w:rsidRPr="00C1669B">
        <w:rPr>
          <w:sz w:val="28"/>
          <w:szCs w:val="28"/>
        </w:rPr>
        <w:t xml:space="preserve"> </w:t>
      </w:r>
      <w:r w:rsidR="00963B1B" w:rsidRPr="00C1669B">
        <w:rPr>
          <w:sz w:val="28"/>
          <w:szCs w:val="28"/>
        </w:rPr>
        <w:t xml:space="preserve">(43,0% no kopējām projekta attiecināmām izmaksām) </w:t>
      </w:r>
      <w:r w:rsidR="00E73335" w:rsidRPr="00C1669B">
        <w:rPr>
          <w:sz w:val="28"/>
          <w:szCs w:val="28"/>
        </w:rPr>
        <w:t>.</w:t>
      </w:r>
    </w:p>
    <w:p w14:paraId="27C8161B" w14:textId="732F7BB4" w:rsidR="008B3395" w:rsidRPr="00DB28C3" w:rsidRDefault="006A6875" w:rsidP="00D52152">
      <w:pPr>
        <w:spacing w:before="120" w:after="120" w:line="276" w:lineRule="auto"/>
        <w:ind w:firstLine="709"/>
        <w:jc w:val="both"/>
        <w:rPr>
          <w:b/>
          <w:sz w:val="28"/>
          <w:szCs w:val="28"/>
        </w:rPr>
      </w:pPr>
      <w:r w:rsidRPr="00DB28C3">
        <w:rPr>
          <w:b/>
          <w:sz w:val="28"/>
          <w:szCs w:val="28"/>
        </w:rPr>
        <w:t xml:space="preserve">CFLA aktualitātes, </w:t>
      </w:r>
      <w:r w:rsidR="008D68C0" w:rsidRPr="00DB28C3">
        <w:rPr>
          <w:b/>
          <w:sz w:val="28"/>
          <w:szCs w:val="28"/>
        </w:rPr>
        <w:t>investīciju labās prakses un sasniegumu</w:t>
      </w:r>
      <w:r w:rsidR="002F179F" w:rsidRPr="00DB28C3">
        <w:rPr>
          <w:b/>
          <w:sz w:val="28"/>
          <w:szCs w:val="28"/>
        </w:rPr>
        <w:t xml:space="preserve"> </w:t>
      </w:r>
      <w:r w:rsidR="008B3395" w:rsidRPr="00DB28C3">
        <w:rPr>
          <w:b/>
          <w:sz w:val="28"/>
          <w:szCs w:val="28"/>
        </w:rPr>
        <w:t xml:space="preserve">piemēri </w:t>
      </w:r>
    </w:p>
    <w:p w14:paraId="54F489E5" w14:textId="70E87157" w:rsidR="006A6875" w:rsidRPr="00DB28C3" w:rsidRDefault="006A6875" w:rsidP="006A6875">
      <w:pPr>
        <w:spacing w:before="120" w:after="120" w:line="276" w:lineRule="auto"/>
        <w:jc w:val="both"/>
        <w:rPr>
          <w:sz w:val="28"/>
          <w:szCs w:val="28"/>
        </w:rPr>
      </w:pPr>
      <w:r w:rsidRPr="00DB28C3">
        <w:rPr>
          <w:b/>
          <w:sz w:val="28"/>
        </w:rPr>
        <w:tab/>
      </w:r>
      <w:r w:rsidR="008570AA">
        <w:rPr>
          <w:sz w:val="28"/>
          <w:szCs w:val="28"/>
        </w:rPr>
        <w:t>L</w:t>
      </w:r>
      <w:r w:rsidR="008570AA" w:rsidRPr="00DB28C3">
        <w:rPr>
          <w:sz w:val="28"/>
          <w:szCs w:val="28"/>
        </w:rPr>
        <w:t>īdz 2019.</w:t>
      </w:r>
      <w:r w:rsidR="008570AA">
        <w:rPr>
          <w:sz w:val="28"/>
          <w:szCs w:val="28"/>
        </w:rPr>
        <w:t> </w:t>
      </w:r>
      <w:r w:rsidR="008570AA" w:rsidRPr="00DB28C3">
        <w:rPr>
          <w:sz w:val="28"/>
          <w:szCs w:val="28"/>
        </w:rPr>
        <w:t xml:space="preserve">gada pirmā </w:t>
      </w:r>
      <w:r w:rsidR="008570AA">
        <w:rPr>
          <w:sz w:val="28"/>
          <w:szCs w:val="28"/>
        </w:rPr>
        <w:t xml:space="preserve">pusgada beigām </w:t>
      </w:r>
      <w:r w:rsidRPr="00DB28C3">
        <w:rPr>
          <w:sz w:val="28"/>
          <w:szCs w:val="28"/>
        </w:rPr>
        <w:t>CFLA tika ie</w:t>
      </w:r>
      <w:r w:rsidR="008570AA">
        <w:rPr>
          <w:sz w:val="28"/>
          <w:szCs w:val="28"/>
        </w:rPr>
        <w:t xml:space="preserve">sniegti 312 projekta iesniegumi, bet </w:t>
      </w:r>
      <w:r w:rsidR="008570AA" w:rsidRPr="00DB28C3">
        <w:rPr>
          <w:sz w:val="28"/>
          <w:szCs w:val="28"/>
        </w:rPr>
        <w:t xml:space="preserve">plānošanas periodā </w:t>
      </w:r>
      <w:r w:rsidR="008570AA">
        <w:rPr>
          <w:sz w:val="28"/>
          <w:szCs w:val="28"/>
        </w:rPr>
        <w:t>k</w:t>
      </w:r>
      <w:r w:rsidR="008570AA" w:rsidRPr="00DB28C3">
        <w:rPr>
          <w:sz w:val="28"/>
          <w:szCs w:val="28"/>
        </w:rPr>
        <w:t xml:space="preserve">umulatīvi </w:t>
      </w:r>
      <w:r w:rsidR="008570AA">
        <w:rPr>
          <w:sz w:val="28"/>
          <w:szCs w:val="28"/>
        </w:rPr>
        <w:t>iesniegti 2 </w:t>
      </w:r>
      <w:r w:rsidR="008570AA" w:rsidRPr="00DB28C3">
        <w:rPr>
          <w:sz w:val="28"/>
          <w:szCs w:val="28"/>
        </w:rPr>
        <w:t xml:space="preserve">339 projekta </w:t>
      </w:r>
      <w:r w:rsidR="008570AA" w:rsidRPr="00DB28C3">
        <w:rPr>
          <w:sz w:val="28"/>
          <w:szCs w:val="28"/>
        </w:rPr>
        <w:lastRenderedPageBreak/>
        <w:t xml:space="preserve">iesniegumi. </w:t>
      </w:r>
      <w:r w:rsidRPr="00DB28C3">
        <w:rPr>
          <w:sz w:val="28"/>
          <w:szCs w:val="28"/>
        </w:rPr>
        <w:t>CFLA izvērtēja 284 projekta iesniegumus (bez ITI), no kuriem tikai 75 jeb 26,4</w:t>
      </w:r>
      <w:r w:rsidR="00B874D4">
        <w:rPr>
          <w:sz w:val="28"/>
          <w:szCs w:val="28"/>
        </w:rPr>
        <w:t> </w:t>
      </w:r>
      <w:r w:rsidRPr="00DB28C3">
        <w:rPr>
          <w:sz w:val="28"/>
          <w:szCs w:val="28"/>
        </w:rPr>
        <w:t>% no visiem projekta iesniegumiem tika apstiprināti uzreiz (nebija nepieciešami precizējumi), kas ir par 21,0</w:t>
      </w:r>
      <w:r w:rsidR="00B874D4">
        <w:rPr>
          <w:sz w:val="28"/>
          <w:szCs w:val="28"/>
        </w:rPr>
        <w:t> </w:t>
      </w:r>
      <w:r w:rsidRPr="00DB28C3">
        <w:rPr>
          <w:sz w:val="28"/>
          <w:szCs w:val="28"/>
        </w:rPr>
        <w:t>% labāks rezultāts nekā 2018.</w:t>
      </w:r>
      <w:r w:rsidR="00B874D4">
        <w:rPr>
          <w:sz w:val="28"/>
          <w:szCs w:val="28"/>
        </w:rPr>
        <w:t> </w:t>
      </w:r>
      <w:r w:rsidRPr="00DB28C3">
        <w:rPr>
          <w:sz w:val="28"/>
          <w:szCs w:val="28"/>
        </w:rPr>
        <w:t>gadā (5,4</w:t>
      </w:r>
      <w:r w:rsidR="00B874D4">
        <w:rPr>
          <w:sz w:val="28"/>
          <w:szCs w:val="28"/>
        </w:rPr>
        <w:t> </w:t>
      </w:r>
      <w:r w:rsidRPr="00DB28C3">
        <w:rPr>
          <w:sz w:val="28"/>
          <w:szCs w:val="28"/>
        </w:rPr>
        <w:t>%). 2019.</w:t>
      </w:r>
      <w:r w:rsidR="00B874D4">
        <w:rPr>
          <w:sz w:val="28"/>
          <w:szCs w:val="28"/>
        </w:rPr>
        <w:t> </w:t>
      </w:r>
      <w:r w:rsidRPr="00DB28C3">
        <w:rPr>
          <w:sz w:val="28"/>
          <w:szCs w:val="28"/>
        </w:rPr>
        <w:t>gada pirmajā pusgadā projektu iesniegumu vidējais izvērtēšanas termiņš līdz pirm</w:t>
      </w:r>
      <w:r w:rsidR="00DB28C3" w:rsidRPr="00DB28C3">
        <w:rPr>
          <w:sz w:val="28"/>
          <w:szCs w:val="28"/>
        </w:rPr>
        <w:t>a</w:t>
      </w:r>
      <w:r w:rsidRPr="00DB28C3">
        <w:rPr>
          <w:sz w:val="28"/>
          <w:szCs w:val="28"/>
        </w:rPr>
        <w:t>jam lēmumam bija 38 darba dienas, kas salīdzinājumā ar 2018.</w:t>
      </w:r>
      <w:r w:rsidR="00B874D4">
        <w:rPr>
          <w:sz w:val="28"/>
          <w:szCs w:val="28"/>
        </w:rPr>
        <w:t> </w:t>
      </w:r>
      <w:r w:rsidRPr="00DB28C3">
        <w:rPr>
          <w:sz w:val="28"/>
          <w:szCs w:val="28"/>
        </w:rPr>
        <w:t>gadu ir samazinājies par 17 darba dienām. Saglabājas projektu iesniegumu vidējais 102 darba dienu izvērtēšanas laiks līdz gala lēmuma pieņemšanai, t.sk., kad bija nepieciešami precizējumi projekta iesniegumā.</w:t>
      </w:r>
    </w:p>
    <w:p w14:paraId="2C3E86F4" w14:textId="58DDE311" w:rsidR="006A6875" w:rsidRPr="00DB28C3" w:rsidRDefault="006A6875" w:rsidP="00D60FB7">
      <w:pPr>
        <w:pStyle w:val="BodyText"/>
        <w:tabs>
          <w:tab w:val="left" w:pos="0"/>
        </w:tabs>
        <w:suppressAutoHyphens/>
        <w:ind w:firstLine="709"/>
        <w:jc w:val="both"/>
        <w:rPr>
          <w:b w:val="0"/>
          <w:bCs w:val="0"/>
          <w:sz w:val="28"/>
          <w:lang w:val="lv-LV"/>
        </w:rPr>
      </w:pPr>
      <w:r w:rsidRPr="00DB28C3">
        <w:rPr>
          <w:b w:val="0"/>
          <w:sz w:val="28"/>
          <w:lang w:val="lv-LV"/>
        </w:rPr>
        <w:t xml:space="preserve">2019. gada </w:t>
      </w:r>
      <w:r w:rsidRPr="00DB28C3">
        <w:rPr>
          <w:b w:val="0"/>
          <w:sz w:val="28"/>
          <w:szCs w:val="28"/>
          <w:lang w:val="lv-LV"/>
        </w:rPr>
        <w:t xml:space="preserve">pirmajā pusē </w:t>
      </w:r>
      <w:r w:rsidRPr="00DB28C3">
        <w:rPr>
          <w:b w:val="0"/>
          <w:bCs w:val="0"/>
          <w:sz w:val="28"/>
          <w:lang w:val="lv-LV"/>
        </w:rPr>
        <w:t>CFLA organizēja vairāk kā 70 dažādus ES fondu informatīvos pasākumus, kurus klātienē apmeklējuši vairāk kā 2</w:t>
      </w:r>
      <w:r w:rsidR="00B874D4">
        <w:rPr>
          <w:b w:val="0"/>
          <w:bCs w:val="0"/>
          <w:sz w:val="28"/>
          <w:lang w:val="lv-LV"/>
        </w:rPr>
        <w:t> </w:t>
      </w:r>
      <w:r w:rsidRPr="00DB28C3">
        <w:rPr>
          <w:b w:val="0"/>
          <w:bCs w:val="0"/>
          <w:sz w:val="28"/>
          <w:lang w:val="lv-LV"/>
        </w:rPr>
        <w:t>500 dalībnieku un tiešsaistē seminārus vērojuši ap 4</w:t>
      </w:r>
      <w:r w:rsidR="00B874D4">
        <w:rPr>
          <w:b w:val="0"/>
          <w:bCs w:val="0"/>
          <w:sz w:val="28"/>
          <w:lang w:val="lv-LV"/>
        </w:rPr>
        <w:t> </w:t>
      </w:r>
      <w:r w:rsidRPr="00DB28C3">
        <w:rPr>
          <w:b w:val="0"/>
          <w:bCs w:val="0"/>
          <w:sz w:val="28"/>
          <w:lang w:val="lv-LV"/>
        </w:rPr>
        <w:t>000 skatītāju. Tupinot 2018. gadā uzsākto inic</w:t>
      </w:r>
      <w:r w:rsidR="00DB28C3" w:rsidRPr="00DB28C3">
        <w:rPr>
          <w:b w:val="0"/>
          <w:bCs w:val="0"/>
          <w:sz w:val="28"/>
          <w:lang w:val="lv-LV"/>
        </w:rPr>
        <w:t>i</w:t>
      </w:r>
      <w:r w:rsidRPr="00DB28C3">
        <w:rPr>
          <w:b w:val="0"/>
          <w:bCs w:val="0"/>
          <w:sz w:val="28"/>
          <w:lang w:val="lv-LV"/>
        </w:rPr>
        <w:t>atīvu, CFLA visā Latvijā organizēja semināru ciklu «Labā prakse ES fondu projektu īstenošanā», kuros veiksmīgākie projektu īstenotāji tika aicināti dalīties ar pieredzi projektu īstenošanā</w:t>
      </w:r>
      <w:r w:rsidR="00922530">
        <w:rPr>
          <w:b w:val="0"/>
          <w:bCs w:val="0"/>
          <w:sz w:val="28"/>
          <w:lang w:val="lv-LV"/>
        </w:rPr>
        <w:t>. CFLA</w:t>
      </w:r>
      <w:r w:rsidRPr="00DB28C3">
        <w:rPr>
          <w:b w:val="0"/>
          <w:bCs w:val="0"/>
          <w:sz w:val="28"/>
          <w:lang w:val="lv-LV"/>
        </w:rPr>
        <w:t xml:space="preserve"> </w:t>
      </w:r>
      <w:r w:rsidR="00922530">
        <w:rPr>
          <w:b w:val="0"/>
          <w:bCs w:val="0"/>
          <w:sz w:val="28"/>
          <w:lang w:val="lv-LV"/>
        </w:rPr>
        <w:t xml:space="preserve">sniedza </w:t>
      </w:r>
      <w:r w:rsidRPr="00DB28C3">
        <w:rPr>
          <w:b w:val="0"/>
          <w:bCs w:val="0"/>
          <w:sz w:val="28"/>
          <w:lang w:val="lv-LV"/>
        </w:rPr>
        <w:t>aktuāl</w:t>
      </w:r>
      <w:r w:rsidR="00922530">
        <w:rPr>
          <w:b w:val="0"/>
          <w:bCs w:val="0"/>
          <w:sz w:val="28"/>
          <w:lang w:val="lv-LV"/>
        </w:rPr>
        <w:t>o</w:t>
      </w:r>
      <w:r w:rsidRPr="00DB28C3">
        <w:rPr>
          <w:b w:val="0"/>
          <w:bCs w:val="0"/>
          <w:sz w:val="28"/>
          <w:lang w:val="lv-LV"/>
        </w:rPr>
        <w:t xml:space="preserve"> informācij</w:t>
      </w:r>
      <w:r w:rsidR="00922530">
        <w:rPr>
          <w:b w:val="0"/>
          <w:bCs w:val="0"/>
          <w:sz w:val="28"/>
          <w:lang w:val="lv-LV"/>
        </w:rPr>
        <w:t>u</w:t>
      </w:r>
      <w:r w:rsidRPr="00DB28C3">
        <w:rPr>
          <w:b w:val="0"/>
          <w:bCs w:val="0"/>
          <w:sz w:val="28"/>
          <w:lang w:val="lv-LV"/>
        </w:rPr>
        <w:t xml:space="preserve"> par tādām tēmām</w:t>
      </w:r>
      <w:r w:rsidR="00B874D4">
        <w:rPr>
          <w:b w:val="0"/>
          <w:bCs w:val="0"/>
          <w:sz w:val="28"/>
          <w:lang w:val="lv-LV"/>
        </w:rPr>
        <w:t>,</w:t>
      </w:r>
      <w:r w:rsidRPr="00DB28C3">
        <w:rPr>
          <w:b w:val="0"/>
          <w:bCs w:val="0"/>
          <w:sz w:val="28"/>
          <w:lang w:val="lv-LV"/>
        </w:rPr>
        <w:t xml:space="preserve"> kā iepirkumu jautājumi, finanšu disciplīnas pasākumu ieviešan</w:t>
      </w:r>
      <w:r w:rsidR="00B874D4">
        <w:rPr>
          <w:b w:val="0"/>
          <w:bCs w:val="0"/>
          <w:sz w:val="28"/>
          <w:lang w:val="lv-LV"/>
        </w:rPr>
        <w:t>a</w:t>
      </w:r>
      <w:r w:rsidRPr="00DB28C3">
        <w:rPr>
          <w:b w:val="0"/>
          <w:bCs w:val="0"/>
          <w:sz w:val="28"/>
          <w:lang w:val="lv-LV"/>
        </w:rPr>
        <w:t xml:space="preserve"> u.</w:t>
      </w:r>
      <w:r w:rsidR="00ED45CE">
        <w:rPr>
          <w:b w:val="0"/>
          <w:bCs w:val="0"/>
          <w:sz w:val="28"/>
          <w:lang w:val="lv-LV"/>
        </w:rPr>
        <w:t>c. Semināru satura izstrādē 2019</w:t>
      </w:r>
      <w:r w:rsidRPr="00DB28C3">
        <w:rPr>
          <w:b w:val="0"/>
          <w:bCs w:val="0"/>
          <w:sz w:val="28"/>
          <w:lang w:val="lv-LV"/>
        </w:rPr>
        <w:t>.</w:t>
      </w:r>
      <w:r w:rsidR="00B874D4">
        <w:rPr>
          <w:b w:val="0"/>
          <w:bCs w:val="0"/>
          <w:sz w:val="28"/>
          <w:lang w:val="lv-LV"/>
        </w:rPr>
        <w:t> </w:t>
      </w:r>
      <w:r w:rsidRPr="00DB28C3">
        <w:rPr>
          <w:b w:val="0"/>
          <w:bCs w:val="0"/>
          <w:sz w:val="28"/>
          <w:lang w:val="lv-LV"/>
        </w:rPr>
        <w:t>gada pavasara ciklā CFLA sadarbojās ar EK pārstāvniecību Latvijā, FM, LM un Patērētāju tiesību aizsardzības centru. Semināri bija plaši apmeklēti gan klātienē (~480 dalībnieku), gan tiešsaistē (~880 skatītāju). Tāpat lielu atsaucību un sabiedrības interesi izpelnījās CFLA rīkotā akcija “Satiec klātienē ES fondu labos darbus”. Akcija tika rīkota valsts pārvaldes atvērto durvju dienu un Eiropas dienas pasākumu kontekstā, organizējot skolēnu ekskursijas uz dažādiem objektiem visos Latvijas reģionos, kuru izveidē, atjaunošanā vai labiekārtošanā ir ieguldīts ES fondu finansējums. Akcijas ietvaros CFLA saņēma pieteikumus no 519 klasēm, no kurām iespēja doties ekskursijā bija 22 klasēm.</w:t>
      </w:r>
    </w:p>
    <w:p w14:paraId="74F36B0B" w14:textId="51D612FE" w:rsidR="00955624" w:rsidRPr="00DB28C3" w:rsidRDefault="00F24956" w:rsidP="00872272">
      <w:pPr>
        <w:spacing w:before="120" w:after="120" w:line="276" w:lineRule="auto"/>
        <w:ind w:firstLine="709"/>
        <w:jc w:val="both"/>
        <w:rPr>
          <w:rFonts w:cs="Times New Roman"/>
          <w:szCs w:val="24"/>
        </w:rPr>
      </w:pPr>
      <w:r w:rsidRPr="00DB28C3">
        <w:rPr>
          <w:rFonts w:eastAsia="Calibri"/>
          <w:sz w:val="28"/>
          <w:szCs w:val="28"/>
        </w:rPr>
        <w:t xml:space="preserve">Plānošanas periodā kumulatīvi līdz 2019. gada vidum kopā jau pabeigta </w:t>
      </w:r>
      <w:r w:rsidRPr="00DB28C3">
        <w:rPr>
          <w:color w:val="0D0D0D" w:themeColor="text1" w:themeTint="F2"/>
          <w:sz w:val="28"/>
          <w:szCs w:val="28"/>
        </w:rPr>
        <w:t xml:space="preserve">310 projektu īstenošana </w:t>
      </w:r>
      <w:r w:rsidR="00B874D4">
        <w:rPr>
          <w:color w:val="0D0D0D" w:themeColor="text1" w:themeTint="F2"/>
          <w:sz w:val="28"/>
          <w:szCs w:val="28"/>
        </w:rPr>
        <w:t>p</w:t>
      </w:r>
      <w:r w:rsidRPr="00DB28C3">
        <w:rPr>
          <w:color w:val="0D0D0D" w:themeColor="text1" w:themeTint="F2"/>
          <w:sz w:val="28"/>
          <w:szCs w:val="28"/>
        </w:rPr>
        <w:t xml:space="preserve">ar 454,2 milj. </w:t>
      </w:r>
      <w:proofErr w:type="spellStart"/>
      <w:r w:rsidRPr="00DB28C3">
        <w:rPr>
          <w:i/>
          <w:color w:val="0D0D0D" w:themeColor="text1" w:themeTint="F2"/>
          <w:sz w:val="28"/>
          <w:szCs w:val="28"/>
        </w:rPr>
        <w:t>euro</w:t>
      </w:r>
      <w:proofErr w:type="spellEnd"/>
      <w:r w:rsidRPr="00DB28C3">
        <w:rPr>
          <w:color w:val="0D0D0D" w:themeColor="text1" w:themeTint="F2"/>
          <w:sz w:val="28"/>
          <w:szCs w:val="28"/>
        </w:rPr>
        <w:t xml:space="preserve"> ES līdzfinansējumu ceļu infrastruktūras, ēku energoefektivitātes paaugstināšanas, izglītības iestāžu infrastruktūras uzlabošanas</w:t>
      </w:r>
      <w:r w:rsidR="00922530">
        <w:rPr>
          <w:color w:val="0D0D0D" w:themeColor="text1" w:themeTint="F2"/>
          <w:sz w:val="28"/>
          <w:szCs w:val="28"/>
        </w:rPr>
        <w:t>,</w:t>
      </w:r>
      <w:r w:rsidR="007321E2">
        <w:rPr>
          <w:color w:val="0D0D0D" w:themeColor="text1" w:themeTint="F2"/>
          <w:sz w:val="28"/>
          <w:szCs w:val="28"/>
        </w:rPr>
        <w:t xml:space="preserve"> inovāciju un uzņēmējdarbības atbalsta</w:t>
      </w:r>
      <w:r w:rsidRPr="00DB28C3">
        <w:rPr>
          <w:color w:val="0D0D0D" w:themeColor="text1" w:themeTint="F2"/>
          <w:sz w:val="28"/>
          <w:szCs w:val="28"/>
        </w:rPr>
        <w:t xml:space="preserve"> jomās</w:t>
      </w:r>
      <w:r w:rsidR="00B43FAB">
        <w:rPr>
          <w:color w:val="0D0D0D" w:themeColor="text1" w:themeTint="F2"/>
          <w:sz w:val="28"/>
          <w:szCs w:val="28"/>
        </w:rPr>
        <w:t>,</w:t>
      </w:r>
      <w:r w:rsidRPr="00DB28C3">
        <w:rPr>
          <w:color w:val="0D0D0D" w:themeColor="text1" w:themeTint="F2"/>
          <w:sz w:val="28"/>
          <w:szCs w:val="28"/>
        </w:rPr>
        <w:t xml:space="preserve"> </w:t>
      </w:r>
      <w:r w:rsidR="0081593F">
        <w:rPr>
          <w:color w:val="0D0D0D" w:themeColor="text1" w:themeTint="F2"/>
          <w:sz w:val="28"/>
          <w:szCs w:val="28"/>
        </w:rPr>
        <w:t>kā arī</w:t>
      </w:r>
      <w:r w:rsidR="0081593F" w:rsidRPr="00DB28C3">
        <w:rPr>
          <w:color w:val="0D0D0D" w:themeColor="text1" w:themeTint="F2"/>
          <w:sz w:val="28"/>
          <w:szCs w:val="28"/>
        </w:rPr>
        <w:t xml:space="preserve"> </w:t>
      </w:r>
      <w:r w:rsidRPr="00DB28C3">
        <w:rPr>
          <w:color w:val="0D0D0D" w:themeColor="text1" w:themeTint="F2"/>
          <w:sz w:val="28"/>
          <w:szCs w:val="28"/>
        </w:rPr>
        <w:t>veselības aprūpes pakal</w:t>
      </w:r>
      <w:r w:rsidR="007321E2">
        <w:rPr>
          <w:color w:val="0D0D0D" w:themeColor="text1" w:themeTint="F2"/>
          <w:sz w:val="28"/>
          <w:szCs w:val="28"/>
        </w:rPr>
        <w:t>pojumu pieejamības veicināšanai.</w:t>
      </w:r>
      <w:r w:rsidRPr="00DB28C3">
        <w:rPr>
          <w:color w:val="0D0D0D" w:themeColor="text1" w:themeTint="F2"/>
          <w:sz w:val="28"/>
          <w:szCs w:val="28"/>
        </w:rPr>
        <w:t xml:space="preserve"> </w:t>
      </w:r>
      <w:r w:rsidRPr="00DB28C3">
        <w:rPr>
          <w:rFonts w:cs="Times New Roman"/>
          <w:sz w:val="28"/>
          <w:szCs w:val="28"/>
          <w:shd w:val="clear" w:color="auto" w:fill="FFFFFF"/>
        </w:rPr>
        <w:t>2019. gada pirmajā pusgadā</w:t>
      </w:r>
      <w:r w:rsidR="00955624" w:rsidRPr="00DB28C3">
        <w:rPr>
          <w:rFonts w:cs="Times New Roman"/>
          <w:sz w:val="28"/>
          <w:szCs w:val="28"/>
          <w:shd w:val="clear" w:color="auto" w:fill="FFFFFF"/>
        </w:rPr>
        <w:t xml:space="preserve"> ievērojams skaits projektu (66) pabeigti </w:t>
      </w:r>
      <w:r w:rsidRPr="00DB28C3">
        <w:rPr>
          <w:rFonts w:cs="Times New Roman"/>
          <w:sz w:val="28"/>
          <w:szCs w:val="28"/>
          <w:shd w:val="clear" w:color="auto" w:fill="FFFFFF"/>
        </w:rPr>
        <w:t xml:space="preserve">tieši </w:t>
      </w:r>
      <w:r w:rsidR="00955624" w:rsidRPr="00DB28C3">
        <w:rPr>
          <w:rFonts w:cs="Times New Roman"/>
          <w:sz w:val="28"/>
          <w:szCs w:val="28"/>
          <w:shd w:val="clear" w:color="auto" w:fill="FFFFFF"/>
        </w:rPr>
        <w:t>pārejas uz ekonomiku ar zemu oglekļa emisijas līmeni visās nozarēs prioritārajā virzienā, no kuriem lielākā daļa energoefektivitātes paaugstināšan</w:t>
      </w:r>
      <w:r w:rsidR="00B874D4">
        <w:rPr>
          <w:rFonts w:cs="Times New Roman"/>
          <w:sz w:val="28"/>
          <w:szCs w:val="28"/>
          <w:shd w:val="clear" w:color="auto" w:fill="FFFFFF"/>
        </w:rPr>
        <w:t>a</w:t>
      </w:r>
      <w:r w:rsidR="00955624" w:rsidRPr="00DB28C3">
        <w:rPr>
          <w:rFonts w:cs="Times New Roman"/>
          <w:sz w:val="28"/>
          <w:szCs w:val="28"/>
          <w:shd w:val="clear" w:color="auto" w:fill="FFFFFF"/>
        </w:rPr>
        <w:t xml:space="preserve"> un atjaunojamo energoresursu izmantošan</w:t>
      </w:r>
      <w:r w:rsidR="00B874D4">
        <w:rPr>
          <w:rFonts w:cs="Times New Roman"/>
          <w:sz w:val="28"/>
          <w:szCs w:val="28"/>
          <w:shd w:val="clear" w:color="auto" w:fill="FFFFFF"/>
        </w:rPr>
        <w:t>a bija tieši</w:t>
      </w:r>
      <w:r w:rsidR="00955624" w:rsidRPr="00DB28C3">
        <w:rPr>
          <w:rFonts w:cs="Times New Roman"/>
          <w:sz w:val="28"/>
          <w:szCs w:val="28"/>
          <w:shd w:val="clear" w:color="auto" w:fill="FFFFFF"/>
        </w:rPr>
        <w:t xml:space="preserve"> pašvaldību ēkās. Pabeigti pirmie divi projekti videi draudzīgu sabiedriskā transporta infrastruktūras attīstīšanā Rēzeknē un Jēkabpilī. Projekts “Videi draudzīgu autobusu iegāde Jēkabpils pilsētai” saņēma otro vietu FM organizētajā labāko projektu apbalvošana konkursā REGIOSTARS </w:t>
      </w:r>
      <w:r w:rsidR="00955624" w:rsidRPr="00DB28C3">
        <w:rPr>
          <w:rFonts w:cs="Times New Roman"/>
          <w:sz w:val="28"/>
          <w:szCs w:val="28"/>
          <w:shd w:val="clear" w:color="auto" w:fill="FFFFFF"/>
        </w:rPr>
        <w:lastRenderedPageBreak/>
        <w:t>LATVIJA 2019</w:t>
      </w:r>
      <w:r w:rsidRPr="00DB28C3">
        <w:rPr>
          <w:rStyle w:val="FootnoteReference"/>
          <w:rFonts w:cs="Times New Roman"/>
          <w:sz w:val="28"/>
          <w:szCs w:val="28"/>
          <w:shd w:val="clear" w:color="auto" w:fill="FFFFFF"/>
        </w:rPr>
        <w:footnoteReference w:id="16"/>
      </w:r>
      <w:r w:rsidR="00955624" w:rsidRPr="00DB28C3">
        <w:rPr>
          <w:rFonts w:cs="Times New Roman"/>
          <w:sz w:val="28"/>
          <w:szCs w:val="28"/>
          <w:shd w:val="clear" w:color="auto" w:fill="FFFFFF"/>
        </w:rPr>
        <w:t xml:space="preserve"> kategorijā “Pilsētu attīstība”. </w:t>
      </w:r>
      <w:r w:rsidR="008D68C0" w:rsidRPr="00DB28C3">
        <w:rPr>
          <w:rFonts w:cs="Times New Roman"/>
          <w:sz w:val="28"/>
          <w:szCs w:val="28"/>
          <w:shd w:val="clear" w:color="auto" w:fill="FFFFFF"/>
        </w:rPr>
        <w:t xml:space="preserve">Tāpat </w:t>
      </w:r>
      <w:r w:rsidR="00620C67" w:rsidRPr="00DB28C3">
        <w:rPr>
          <w:sz w:val="28"/>
          <w:szCs w:val="28"/>
        </w:rPr>
        <w:t>daudz projektu pabeigti reģionos, veicot ieguldījumus uzņēmējdarbības attīstībā, izbū</w:t>
      </w:r>
      <w:r w:rsidR="00ED6DD9" w:rsidRPr="00DB28C3">
        <w:rPr>
          <w:sz w:val="28"/>
          <w:szCs w:val="28"/>
        </w:rPr>
        <w:t xml:space="preserve">vējot satiksmes infrastruktūru </w:t>
      </w:r>
      <w:r w:rsidR="00620C67" w:rsidRPr="00DB28C3">
        <w:rPr>
          <w:sz w:val="28"/>
          <w:szCs w:val="28"/>
        </w:rPr>
        <w:t>un inženierkomunikācijas, kā arī izveidojot ap 70 jaunu darba vietu Alūksnes, Dobeles, Jēkabpils u.c. pašvaldībās</w:t>
      </w:r>
      <w:r w:rsidR="008D68C0" w:rsidRPr="00DB28C3">
        <w:rPr>
          <w:sz w:val="28"/>
          <w:szCs w:val="28"/>
        </w:rPr>
        <w:t>. T</w:t>
      </w:r>
      <w:r w:rsidR="00620C67" w:rsidRPr="00DB28C3">
        <w:rPr>
          <w:sz w:val="28"/>
          <w:szCs w:val="28"/>
        </w:rPr>
        <w:t xml:space="preserve">urpinās degradēto teritoriju </w:t>
      </w:r>
      <w:proofErr w:type="spellStart"/>
      <w:r w:rsidR="00620C67" w:rsidRPr="00DB28C3">
        <w:rPr>
          <w:sz w:val="28"/>
          <w:szCs w:val="28"/>
        </w:rPr>
        <w:t>revitalizācija</w:t>
      </w:r>
      <w:proofErr w:type="spellEnd"/>
      <w:r w:rsidR="00620C67" w:rsidRPr="00DB28C3">
        <w:rPr>
          <w:sz w:val="28"/>
          <w:szCs w:val="28"/>
        </w:rPr>
        <w:t xml:space="preserve">, </w:t>
      </w:r>
      <w:r w:rsidR="008D68C0" w:rsidRPr="00DB28C3">
        <w:rPr>
          <w:sz w:val="28"/>
          <w:szCs w:val="28"/>
        </w:rPr>
        <w:t>2019. gada pirmā pusē</w:t>
      </w:r>
      <w:r w:rsidR="00620C67" w:rsidRPr="00DB28C3">
        <w:rPr>
          <w:sz w:val="28"/>
          <w:szCs w:val="28"/>
        </w:rPr>
        <w:t xml:space="preserve"> pabeidzot 10 projektu īstenošanu un atjaunojot degradētās teritorijas 41 ha platībā Ventspilī, Līvānos, Madonā, Smiltenē un Bauskā</w:t>
      </w:r>
      <w:r w:rsidR="0081593F">
        <w:rPr>
          <w:sz w:val="28"/>
          <w:szCs w:val="28"/>
        </w:rPr>
        <w:t>,</w:t>
      </w:r>
      <w:r w:rsidR="00620C67" w:rsidRPr="00DB28C3">
        <w:rPr>
          <w:sz w:val="28"/>
          <w:szCs w:val="28"/>
        </w:rPr>
        <w:t xml:space="preserve"> un izveidojot 207 jaunas darba vietas</w:t>
      </w:r>
      <w:r w:rsidR="008D68C0" w:rsidRPr="00DB28C3">
        <w:rPr>
          <w:sz w:val="28"/>
          <w:szCs w:val="28"/>
        </w:rPr>
        <w:t>. P</w:t>
      </w:r>
      <w:r w:rsidR="00620C67" w:rsidRPr="00DB28C3">
        <w:rPr>
          <w:sz w:val="28"/>
          <w:szCs w:val="28"/>
        </w:rPr>
        <w:t xml:space="preserve">abeigti pirmie trīs projekti ārstniecības iestāžu infrastruktūras attīstībā Bauskā un Rīgā. No tiem kā labās prakses piemērs izceļams SIA "Rīgas Dzemdību nams", </w:t>
      </w:r>
      <w:r w:rsidR="00935EA8">
        <w:rPr>
          <w:sz w:val="28"/>
          <w:szCs w:val="28"/>
        </w:rPr>
        <w:t>kur</w:t>
      </w:r>
      <w:r w:rsidR="0081593F" w:rsidRPr="00DB28C3">
        <w:rPr>
          <w:sz w:val="28"/>
          <w:szCs w:val="28"/>
        </w:rPr>
        <w:t xml:space="preserve"> </w:t>
      </w:r>
      <w:r w:rsidR="00620C67" w:rsidRPr="00DB28C3">
        <w:rPr>
          <w:sz w:val="28"/>
          <w:szCs w:val="28"/>
        </w:rPr>
        <w:t>astoņu mēnešu laikā izveidotas piecas jaunas dzemdību telpas, atjaunotas grūtnieču aprūpes un jaundzimušo intensīvās terapijas nodaļas telpas, nodrošinot mūsdienīgu, drošu, uz mātes un bērna veselību vērstu aprūpes koncepciju.</w:t>
      </w:r>
      <w:r w:rsidR="00247E8C" w:rsidRPr="00247E8C">
        <w:t xml:space="preserve"> </w:t>
      </w:r>
      <w:r w:rsidR="00247E8C">
        <w:rPr>
          <w:sz w:val="28"/>
          <w:szCs w:val="28"/>
        </w:rPr>
        <w:t xml:space="preserve">Labklājības nozarē noslēdzies </w:t>
      </w:r>
      <w:r w:rsidR="002E41BA" w:rsidRPr="002E41BA">
        <w:rPr>
          <w:sz w:val="28"/>
          <w:szCs w:val="28"/>
        </w:rPr>
        <w:t>NVA īstenotais Jauniešu garantijas</w:t>
      </w:r>
      <w:r w:rsidR="002E41BA">
        <w:rPr>
          <w:szCs w:val="24"/>
        </w:rPr>
        <w:t xml:space="preserve"> </w:t>
      </w:r>
      <w:r w:rsidR="00247E8C">
        <w:rPr>
          <w:sz w:val="28"/>
          <w:szCs w:val="28"/>
        </w:rPr>
        <w:t>projekts</w:t>
      </w:r>
      <w:r w:rsidR="00247E8C" w:rsidRPr="00247E8C">
        <w:rPr>
          <w:sz w:val="28"/>
          <w:szCs w:val="28"/>
        </w:rPr>
        <w:t>, kura ietvaros tika dota iespēja vairāk kā 19 000 jauniešiem bezdarbniekiem iesaistīties aktīvās darba tirgus politikas pasākumos, veicinot to nodarbinātību</w:t>
      </w:r>
      <w:r w:rsidR="00247E8C">
        <w:rPr>
          <w:sz w:val="28"/>
          <w:szCs w:val="28"/>
        </w:rPr>
        <w:t>.</w:t>
      </w:r>
      <w:r w:rsidR="009B2A51" w:rsidRPr="009B2A51">
        <w:t xml:space="preserve"> </w:t>
      </w:r>
      <w:r w:rsidR="005C2651">
        <w:rPr>
          <w:sz w:val="28"/>
          <w:szCs w:val="28"/>
        </w:rPr>
        <w:t xml:space="preserve">Tāpat ir pabeigtas investīcijas </w:t>
      </w:r>
      <w:r w:rsidR="00B43FAB">
        <w:rPr>
          <w:sz w:val="28"/>
          <w:szCs w:val="28"/>
        </w:rPr>
        <w:t>a</w:t>
      </w:r>
      <w:r w:rsidR="009B2A51" w:rsidRPr="009B2A51">
        <w:rPr>
          <w:sz w:val="28"/>
          <w:szCs w:val="28"/>
        </w:rPr>
        <w:t>tkritumu dalīt</w:t>
      </w:r>
      <w:r w:rsidR="005C2651">
        <w:rPr>
          <w:sz w:val="28"/>
          <w:szCs w:val="28"/>
        </w:rPr>
        <w:t>as</w:t>
      </w:r>
      <w:r w:rsidR="009B2A51" w:rsidRPr="009B2A51">
        <w:rPr>
          <w:sz w:val="28"/>
          <w:szCs w:val="28"/>
        </w:rPr>
        <w:t xml:space="preserve"> vākšan</w:t>
      </w:r>
      <w:r w:rsidR="005C2651">
        <w:rPr>
          <w:sz w:val="28"/>
          <w:szCs w:val="28"/>
        </w:rPr>
        <w:t>as</w:t>
      </w:r>
      <w:r w:rsidR="009B2A51" w:rsidRPr="009B2A51">
        <w:rPr>
          <w:sz w:val="28"/>
          <w:szCs w:val="28"/>
        </w:rPr>
        <w:t xml:space="preserve"> </w:t>
      </w:r>
      <w:r w:rsidR="00247E8C">
        <w:rPr>
          <w:sz w:val="28"/>
          <w:szCs w:val="28"/>
        </w:rPr>
        <w:t>un</w:t>
      </w:r>
      <w:r w:rsidR="0081593F">
        <w:rPr>
          <w:sz w:val="28"/>
          <w:szCs w:val="28"/>
        </w:rPr>
        <w:t xml:space="preserve"> </w:t>
      </w:r>
      <w:r w:rsidR="00B43FAB">
        <w:rPr>
          <w:sz w:val="28"/>
          <w:szCs w:val="28"/>
        </w:rPr>
        <w:t>infrastruktūr</w:t>
      </w:r>
      <w:r w:rsidR="005C2651">
        <w:rPr>
          <w:sz w:val="28"/>
          <w:szCs w:val="28"/>
        </w:rPr>
        <w:t>as</w:t>
      </w:r>
      <w:r w:rsidR="00B43FAB" w:rsidRPr="00B43FAB">
        <w:rPr>
          <w:sz w:val="28"/>
          <w:szCs w:val="28"/>
        </w:rPr>
        <w:t xml:space="preserve"> </w:t>
      </w:r>
      <w:proofErr w:type="spellStart"/>
      <w:r w:rsidR="00B43FAB" w:rsidRPr="00B43FAB">
        <w:rPr>
          <w:sz w:val="28"/>
          <w:szCs w:val="28"/>
        </w:rPr>
        <w:t>Natura</w:t>
      </w:r>
      <w:proofErr w:type="spellEnd"/>
      <w:r w:rsidR="00B43FAB" w:rsidRPr="00B43FAB">
        <w:rPr>
          <w:sz w:val="28"/>
          <w:szCs w:val="28"/>
        </w:rPr>
        <w:t xml:space="preserve"> 2000 teritorijās</w:t>
      </w:r>
      <w:r w:rsidR="005C2651">
        <w:rPr>
          <w:sz w:val="28"/>
          <w:szCs w:val="28"/>
        </w:rPr>
        <w:t xml:space="preserve"> pasākumos</w:t>
      </w:r>
      <w:r w:rsidR="009B2A51" w:rsidRPr="009B2A51">
        <w:rPr>
          <w:sz w:val="28"/>
          <w:szCs w:val="28"/>
        </w:rPr>
        <w:t>.</w:t>
      </w:r>
    </w:p>
    <w:p w14:paraId="395E8B1E" w14:textId="3D80A2C8" w:rsidR="00955624" w:rsidRPr="00DB28C3" w:rsidRDefault="00955624" w:rsidP="00D52152">
      <w:pPr>
        <w:spacing w:before="120" w:after="120" w:line="276" w:lineRule="auto"/>
        <w:ind w:firstLine="720"/>
        <w:jc w:val="both"/>
        <w:rPr>
          <w:rFonts w:cs="Times New Roman"/>
          <w:sz w:val="28"/>
          <w:szCs w:val="28"/>
          <w:shd w:val="clear" w:color="auto" w:fill="FFFFFF"/>
        </w:rPr>
      </w:pPr>
      <w:r w:rsidRPr="00DB28C3">
        <w:rPr>
          <w:rFonts w:cs="Times New Roman"/>
          <w:sz w:val="28"/>
          <w:szCs w:val="28"/>
          <w:shd w:val="clear" w:color="auto" w:fill="FFFFFF"/>
        </w:rPr>
        <w:t>Pētniecības, tehnoloģiju attīstības un inovācijas prioritārajā virzienā no pabeigtajiem projektiem kā labās prakses piemēri izceļ</w:t>
      </w:r>
      <w:r w:rsidR="0093393C" w:rsidRPr="00DB28C3">
        <w:rPr>
          <w:rFonts w:cs="Times New Roman"/>
          <w:sz w:val="28"/>
          <w:szCs w:val="28"/>
          <w:shd w:val="clear" w:color="auto" w:fill="FFFFFF"/>
        </w:rPr>
        <w:t>ami</w:t>
      </w:r>
      <w:r w:rsidRPr="00DB28C3">
        <w:rPr>
          <w:rFonts w:cs="Times New Roman"/>
          <w:sz w:val="28"/>
          <w:szCs w:val="28"/>
          <w:shd w:val="clear" w:color="auto" w:fill="FFFFFF"/>
        </w:rPr>
        <w:t>:</w:t>
      </w:r>
    </w:p>
    <w:p w14:paraId="7B0BDD21" w14:textId="3AF56E4F" w:rsidR="00955624" w:rsidRPr="00DB28C3" w:rsidRDefault="00955624" w:rsidP="00D52152">
      <w:pPr>
        <w:pStyle w:val="ListParagraph"/>
        <w:numPr>
          <w:ilvl w:val="0"/>
          <w:numId w:val="12"/>
        </w:numPr>
        <w:spacing w:before="120" w:after="120" w:line="276" w:lineRule="auto"/>
        <w:ind w:left="1134" w:hanging="414"/>
        <w:contextualSpacing w:val="0"/>
        <w:jc w:val="both"/>
        <w:rPr>
          <w:rFonts w:cs="Times New Roman"/>
          <w:sz w:val="28"/>
          <w:szCs w:val="28"/>
          <w:shd w:val="clear" w:color="auto" w:fill="FFFFFF"/>
        </w:rPr>
      </w:pPr>
      <w:r w:rsidRPr="00DB28C3">
        <w:rPr>
          <w:rFonts w:cs="Times New Roman"/>
          <w:sz w:val="28"/>
          <w:szCs w:val="28"/>
          <w:shd w:val="clear" w:color="auto" w:fill="FFFFFF"/>
        </w:rPr>
        <w:t xml:space="preserve">Latvijas Universitātes projekts “Portatīva ierīce ādas vēža agrīnai </w:t>
      </w:r>
      <w:proofErr w:type="spellStart"/>
      <w:r w:rsidRPr="00DB28C3">
        <w:rPr>
          <w:rFonts w:cs="Times New Roman"/>
          <w:sz w:val="28"/>
          <w:szCs w:val="28"/>
          <w:shd w:val="clear" w:color="auto" w:fill="FFFFFF"/>
        </w:rPr>
        <w:t>bezkontakta</w:t>
      </w:r>
      <w:proofErr w:type="spellEnd"/>
      <w:r w:rsidRPr="00DB28C3">
        <w:rPr>
          <w:rFonts w:cs="Times New Roman"/>
          <w:sz w:val="28"/>
          <w:szCs w:val="28"/>
          <w:shd w:val="clear" w:color="auto" w:fill="FFFFFF"/>
        </w:rPr>
        <w:t xml:space="preserve"> diagnostikai”, kurā izstrādāta unikāla </w:t>
      </w:r>
      <w:proofErr w:type="spellStart"/>
      <w:r w:rsidRPr="00DB28C3">
        <w:rPr>
          <w:rFonts w:cs="Times New Roman"/>
          <w:sz w:val="28"/>
          <w:szCs w:val="28"/>
          <w:shd w:val="clear" w:color="auto" w:fill="FFFFFF"/>
        </w:rPr>
        <w:t>melanomas</w:t>
      </w:r>
      <w:proofErr w:type="spellEnd"/>
      <w:r w:rsidRPr="00DB28C3">
        <w:rPr>
          <w:rFonts w:cs="Times New Roman"/>
          <w:sz w:val="28"/>
          <w:szCs w:val="28"/>
          <w:shd w:val="clear" w:color="auto" w:fill="FFFFFF"/>
        </w:rPr>
        <w:t xml:space="preserve"> diagnostikas ierīce, kas paredzēta lietošanai ģimenes ārsta praksē, lai veiktu pilna ķermeņa apskati un agrīni atklātu ādas vēzi. Projekts saņēmis pirmo vietu REGIOSTARS LATVIJA 2019 konkursā kategorijā “Veselības aprūpes pakalpojumu modernizēšana”</w:t>
      </w:r>
      <w:r w:rsidR="00620C67" w:rsidRPr="00DB28C3">
        <w:rPr>
          <w:rFonts w:cs="Times New Roman"/>
          <w:sz w:val="28"/>
          <w:szCs w:val="28"/>
          <w:shd w:val="clear" w:color="auto" w:fill="FFFFFF"/>
        </w:rPr>
        <w:t>;</w:t>
      </w:r>
      <w:r w:rsidRPr="00DB28C3">
        <w:rPr>
          <w:rFonts w:cs="Times New Roman"/>
          <w:sz w:val="28"/>
          <w:szCs w:val="28"/>
          <w:shd w:val="clear" w:color="auto" w:fill="FFFFFF"/>
        </w:rPr>
        <w:t xml:space="preserve"> </w:t>
      </w:r>
    </w:p>
    <w:p w14:paraId="58296C01" w14:textId="44577181" w:rsidR="00E53DA7" w:rsidRPr="00DB28C3" w:rsidRDefault="00955624" w:rsidP="00872272">
      <w:pPr>
        <w:pStyle w:val="ListParagraph"/>
        <w:numPr>
          <w:ilvl w:val="0"/>
          <w:numId w:val="12"/>
        </w:numPr>
        <w:spacing w:before="120" w:after="120" w:line="276" w:lineRule="auto"/>
        <w:ind w:left="1134" w:hanging="414"/>
        <w:contextualSpacing w:val="0"/>
        <w:jc w:val="both"/>
        <w:rPr>
          <w:rFonts w:cs="Times New Roman"/>
          <w:sz w:val="28"/>
          <w:szCs w:val="28"/>
          <w:shd w:val="clear" w:color="auto" w:fill="FFFFFF"/>
        </w:rPr>
      </w:pPr>
      <w:r w:rsidRPr="00DB28C3">
        <w:rPr>
          <w:rFonts w:cs="Times New Roman"/>
          <w:sz w:val="28"/>
          <w:szCs w:val="28"/>
          <w:shd w:val="clear" w:color="auto" w:fill="FFFFFF"/>
        </w:rPr>
        <w:t xml:space="preserve">Meža nozares kompetences centra īstenotais projekts, kurā radītas inovatīvas metodes, kas neironu tīklu </w:t>
      </w:r>
      <w:proofErr w:type="spellStart"/>
      <w:r w:rsidRPr="00DB28C3">
        <w:rPr>
          <w:rFonts w:cs="Times New Roman"/>
          <w:sz w:val="28"/>
          <w:szCs w:val="28"/>
          <w:shd w:val="clear" w:color="auto" w:fill="FFFFFF"/>
        </w:rPr>
        <w:t>mašīntulkošanas</w:t>
      </w:r>
      <w:proofErr w:type="spellEnd"/>
      <w:r w:rsidRPr="00DB28C3">
        <w:rPr>
          <w:rFonts w:cs="Times New Roman"/>
          <w:sz w:val="28"/>
          <w:szCs w:val="28"/>
          <w:shd w:val="clear" w:color="auto" w:fill="FFFFFF"/>
        </w:rPr>
        <w:t xml:space="preserve"> sistēmas ļauj pielāgot nozares specifikai, nodrošinot konsekventu terminoloģijas lietojumu un tulkotā teksta </w:t>
      </w:r>
      <w:proofErr w:type="spellStart"/>
      <w:r w:rsidRPr="00DB28C3">
        <w:rPr>
          <w:rFonts w:cs="Times New Roman"/>
          <w:sz w:val="28"/>
          <w:szCs w:val="28"/>
          <w:shd w:val="clear" w:color="auto" w:fill="FFFFFF"/>
        </w:rPr>
        <w:t>plūdenumu</w:t>
      </w:r>
      <w:proofErr w:type="spellEnd"/>
      <w:r w:rsidRPr="00DB28C3">
        <w:rPr>
          <w:rFonts w:cs="Times New Roman"/>
          <w:sz w:val="28"/>
          <w:szCs w:val="28"/>
          <w:shd w:val="clear" w:color="auto" w:fill="FFFFFF"/>
        </w:rPr>
        <w:t xml:space="preserve"> morfoloģiski sarežģītām valodām, t.sk. latviešu valodai. Projektā izveidotās pielāgotās meža nozares </w:t>
      </w:r>
      <w:proofErr w:type="spellStart"/>
      <w:r w:rsidRPr="00DB28C3">
        <w:rPr>
          <w:rFonts w:cs="Times New Roman"/>
          <w:sz w:val="28"/>
          <w:szCs w:val="28"/>
          <w:shd w:val="clear" w:color="auto" w:fill="FFFFFF"/>
        </w:rPr>
        <w:t>mašīntulkošanas</w:t>
      </w:r>
      <w:proofErr w:type="spellEnd"/>
      <w:r w:rsidRPr="00DB28C3">
        <w:rPr>
          <w:rFonts w:cs="Times New Roman"/>
          <w:sz w:val="28"/>
          <w:szCs w:val="28"/>
          <w:shd w:val="clear" w:color="auto" w:fill="FFFFFF"/>
        </w:rPr>
        <w:t xml:space="preserve"> sistēmas būtiski pārspēj gan vispārēja lietojuma </w:t>
      </w:r>
      <w:proofErr w:type="spellStart"/>
      <w:r w:rsidRPr="00DB28C3">
        <w:rPr>
          <w:rFonts w:cs="Times New Roman"/>
          <w:sz w:val="28"/>
          <w:szCs w:val="28"/>
          <w:shd w:val="clear" w:color="auto" w:fill="FFFFFF"/>
        </w:rPr>
        <w:t>mašīntulkošanas</w:t>
      </w:r>
      <w:proofErr w:type="spellEnd"/>
      <w:r w:rsidRPr="00DB28C3">
        <w:rPr>
          <w:rFonts w:cs="Times New Roman"/>
          <w:sz w:val="28"/>
          <w:szCs w:val="28"/>
          <w:shd w:val="clear" w:color="auto" w:fill="FFFFFF"/>
        </w:rPr>
        <w:t xml:space="preserve"> sistēmas, gan citu </w:t>
      </w:r>
      <w:proofErr w:type="spellStart"/>
      <w:r w:rsidRPr="00DB28C3">
        <w:rPr>
          <w:rFonts w:cs="Times New Roman"/>
          <w:sz w:val="28"/>
          <w:szCs w:val="28"/>
          <w:shd w:val="clear" w:color="auto" w:fill="FFFFFF"/>
        </w:rPr>
        <w:t>mašīntulkošanas</w:t>
      </w:r>
      <w:proofErr w:type="spellEnd"/>
      <w:r w:rsidRPr="00DB28C3">
        <w:rPr>
          <w:rFonts w:cs="Times New Roman"/>
          <w:sz w:val="28"/>
          <w:szCs w:val="28"/>
          <w:shd w:val="clear" w:color="auto" w:fill="FFFFFF"/>
        </w:rPr>
        <w:t xml:space="preserve"> pakalpojumu sniedzēju sistēmas, tāpēc projekts saņēmis pirmo vietu REGIOSTARS LATVIJA 2019 konkursā kategorijā “Gudrā izaugsme: Digitālo pārmaiņu veicināšana”.</w:t>
      </w:r>
    </w:p>
    <w:p w14:paraId="04AF2B5D" w14:textId="77777777" w:rsidR="00A06879" w:rsidRDefault="00A06879" w:rsidP="00CC7869">
      <w:pPr>
        <w:spacing w:before="120" w:after="120" w:line="276" w:lineRule="auto"/>
        <w:ind w:firstLine="720"/>
        <w:jc w:val="both"/>
        <w:rPr>
          <w:rFonts w:cs="Times New Roman"/>
          <w:b/>
          <w:sz w:val="28"/>
          <w:szCs w:val="24"/>
        </w:rPr>
      </w:pPr>
    </w:p>
    <w:p w14:paraId="651E91FB" w14:textId="7238B61B" w:rsidR="0020099C" w:rsidRPr="00DB28C3" w:rsidRDefault="00784033" w:rsidP="00CC7869">
      <w:pPr>
        <w:spacing w:before="120" w:after="120" w:line="276" w:lineRule="auto"/>
        <w:ind w:firstLine="720"/>
        <w:jc w:val="both"/>
        <w:rPr>
          <w:rFonts w:cs="Times New Roman"/>
          <w:b/>
          <w:sz w:val="28"/>
          <w:szCs w:val="24"/>
        </w:rPr>
      </w:pPr>
      <w:r w:rsidRPr="00DB28C3">
        <w:rPr>
          <w:rFonts w:cs="Times New Roman"/>
          <w:b/>
          <w:sz w:val="28"/>
          <w:szCs w:val="24"/>
        </w:rPr>
        <w:lastRenderedPageBreak/>
        <w:t>Maksājumu plānu un valsts budžeta ES fondu projektiem izpilde</w:t>
      </w:r>
    </w:p>
    <w:p w14:paraId="6A474CB1" w14:textId="1FD503C5" w:rsidR="00A47CC5" w:rsidRPr="00DB28C3" w:rsidRDefault="005B73D0" w:rsidP="00D52152">
      <w:pPr>
        <w:pStyle w:val="ListParagraph"/>
        <w:tabs>
          <w:tab w:val="left" w:pos="720"/>
          <w:tab w:val="left" w:pos="1985"/>
          <w:tab w:val="left" w:pos="2410"/>
          <w:tab w:val="left" w:pos="3119"/>
          <w:tab w:val="left" w:pos="3969"/>
          <w:tab w:val="left" w:pos="5387"/>
          <w:tab w:val="left" w:pos="7655"/>
        </w:tabs>
        <w:suppressAutoHyphens/>
        <w:spacing w:before="120" w:after="120" w:line="276" w:lineRule="auto"/>
        <w:ind w:left="0"/>
        <w:contextualSpacing w:val="0"/>
        <w:jc w:val="both"/>
        <w:rPr>
          <w:sz w:val="28"/>
          <w:szCs w:val="28"/>
        </w:rPr>
      </w:pPr>
      <w:r w:rsidRPr="00DB28C3">
        <w:rPr>
          <w:sz w:val="28"/>
          <w:szCs w:val="28"/>
        </w:rPr>
        <w:tab/>
      </w:r>
      <w:r w:rsidR="00A47CC5" w:rsidRPr="00DB28C3">
        <w:rPr>
          <w:sz w:val="28"/>
          <w:szCs w:val="28"/>
        </w:rPr>
        <w:t xml:space="preserve">2019. gadā budžeta izdevumu līmenis ir stabils – gada pirmajos </w:t>
      </w:r>
      <w:r w:rsidR="00694516">
        <w:rPr>
          <w:sz w:val="28"/>
          <w:szCs w:val="28"/>
        </w:rPr>
        <w:t>septiņos</w:t>
      </w:r>
      <w:r w:rsidR="00694516" w:rsidRPr="00DB28C3">
        <w:rPr>
          <w:sz w:val="28"/>
          <w:szCs w:val="28"/>
        </w:rPr>
        <w:t xml:space="preserve"> </w:t>
      </w:r>
      <w:r w:rsidR="00A47CC5" w:rsidRPr="00DB28C3">
        <w:rPr>
          <w:sz w:val="28"/>
          <w:szCs w:val="28"/>
        </w:rPr>
        <w:t>mēnešos vidēji</w:t>
      </w:r>
      <w:r w:rsidR="000A7801" w:rsidRPr="00DB28C3">
        <w:rPr>
          <w:sz w:val="28"/>
          <w:szCs w:val="28"/>
        </w:rPr>
        <w:t xml:space="preserve"> katru mēnesi </w:t>
      </w:r>
      <w:r w:rsidR="00A47CC5" w:rsidRPr="00DB28C3">
        <w:rPr>
          <w:sz w:val="28"/>
          <w:szCs w:val="28"/>
        </w:rPr>
        <w:t>investēti 5</w:t>
      </w:r>
      <w:r w:rsidR="00BB626D">
        <w:rPr>
          <w:sz w:val="28"/>
          <w:szCs w:val="28"/>
        </w:rPr>
        <w:t>5</w:t>
      </w:r>
      <w:r w:rsidR="00A47CC5" w:rsidRPr="00DB28C3">
        <w:rPr>
          <w:sz w:val="28"/>
          <w:szCs w:val="28"/>
        </w:rPr>
        <w:t>,0 milj. </w:t>
      </w:r>
      <w:proofErr w:type="spellStart"/>
      <w:r w:rsidR="00A47CC5" w:rsidRPr="00DB28C3">
        <w:rPr>
          <w:i/>
          <w:sz w:val="28"/>
          <w:szCs w:val="28"/>
        </w:rPr>
        <w:t>euro</w:t>
      </w:r>
      <w:proofErr w:type="spellEnd"/>
      <w:r w:rsidR="00A47CC5" w:rsidRPr="00DB28C3">
        <w:rPr>
          <w:sz w:val="28"/>
          <w:szCs w:val="28"/>
        </w:rPr>
        <w:t>. Saglabājo</w:t>
      </w:r>
      <w:r w:rsidR="000A7801" w:rsidRPr="00DB28C3">
        <w:rPr>
          <w:sz w:val="28"/>
          <w:szCs w:val="28"/>
        </w:rPr>
        <w:t>ties šādam investīciju tempam, FM 2019.</w:t>
      </w:r>
      <w:r w:rsidR="00B874D4">
        <w:rPr>
          <w:sz w:val="28"/>
          <w:szCs w:val="28"/>
        </w:rPr>
        <w:t> </w:t>
      </w:r>
      <w:r w:rsidR="000A7801" w:rsidRPr="00DB28C3">
        <w:rPr>
          <w:sz w:val="28"/>
          <w:szCs w:val="28"/>
        </w:rPr>
        <w:t xml:space="preserve">gada izdevumu prognoze </w:t>
      </w:r>
      <w:r w:rsidR="00A47CC5" w:rsidRPr="00DB28C3">
        <w:rPr>
          <w:sz w:val="28"/>
          <w:szCs w:val="28"/>
        </w:rPr>
        <w:t>700,0 milj. </w:t>
      </w:r>
      <w:proofErr w:type="spellStart"/>
      <w:r w:rsidR="00A47CC5" w:rsidRPr="00DB28C3">
        <w:rPr>
          <w:i/>
          <w:sz w:val="28"/>
          <w:szCs w:val="28"/>
        </w:rPr>
        <w:t>euro</w:t>
      </w:r>
      <w:proofErr w:type="spellEnd"/>
      <w:r w:rsidR="00A47CC5" w:rsidRPr="00DB28C3">
        <w:rPr>
          <w:i/>
          <w:sz w:val="28"/>
          <w:szCs w:val="28"/>
        </w:rPr>
        <w:t xml:space="preserve"> </w:t>
      </w:r>
      <w:r w:rsidR="00A47CC5" w:rsidRPr="00DB28C3">
        <w:rPr>
          <w:sz w:val="28"/>
          <w:szCs w:val="28"/>
        </w:rPr>
        <w:t>tiks izpildīta</w:t>
      </w:r>
      <w:r w:rsidR="000A7801" w:rsidRPr="00DB28C3">
        <w:rPr>
          <w:sz w:val="28"/>
          <w:szCs w:val="28"/>
        </w:rPr>
        <w:t xml:space="preserve"> t.sk. pēc pieredzes ņemot vērā,</w:t>
      </w:r>
      <w:r w:rsidR="00A47CC5" w:rsidRPr="00DB28C3">
        <w:rPr>
          <w:sz w:val="28"/>
          <w:szCs w:val="28"/>
        </w:rPr>
        <w:t xml:space="preserve"> ka gada pēdējā ceturksnī ikmēneša izdevumi ievērojami pieaug. </w:t>
      </w:r>
      <w:r w:rsidR="00B874D4">
        <w:rPr>
          <w:sz w:val="28"/>
          <w:szCs w:val="28"/>
        </w:rPr>
        <w:t>B</w:t>
      </w:r>
      <w:r w:rsidR="00A47CC5" w:rsidRPr="00DB28C3">
        <w:rPr>
          <w:sz w:val="28"/>
          <w:szCs w:val="28"/>
        </w:rPr>
        <w:t xml:space="preserve">udžeta 80.00.00 programmā uz 2019. gada </w:t>
      </w:r>
      <w:r w:rsidR="00BB626D">
        <w:rPr>
          <w:sz w:val="28"/>
          <w:szCs w:val="28"/>
        </w:rPr>
        <w:t>8. augustu</w:t>
      </w:r>
      <w:r w:rsidR="00A47CC5" w:rsidRPr="00DB28C3">
        <w:rPr>
          <w:sz w:val="28"/>
          <w:szCs w:val="28"/>
        </w:rPr>
        <w:t xml:space="preserve"> ir </w:t>
      </w:r>
      <w:r w:rsidR="00B874D4">
        <w:rPr>
          <w:sz w:val="28"/>
          <w:szCs w:val="28"/>
        </w:rPr>
        <w:t xml:space="preserve">pieejami </w:t>
      </w:r>
      <w:r w:rsidR="00BB626D">
        <w:rPr>
          <w:sz w:val="28"/>
          <w:szCs w:val="28"/>
        </w:rPr>
        <w:t>14,7</w:t>
      </w:r>
      <w:r w:rsidR="00A47CC5" w:rsidRPr="00DB28C3">
        <w:rPr>
          <w:sz w:val="28"/>
          <w:szCs w:val="28"/>
        </w:rPr>
        <w:t> milj. </w:t>
      </w:r>
      <w:proofErr w:type="spellStart"/>
      <w:r w:rsidR="00A47CC5" w:rsidRPr="00DB28C3">
        <w:rPr>
          <w:i/>
          <w:iCs/>
          <w:sz w:val="28"/>
          <w:szCs w:val="28"/>
        </w:rPr>
        <w:t>euro</w:t>
      </w:r>
      <w:proofErr w:type="spellEnd"/>
      <w:r w:rsidR="00A47CC5" w:rsidRPr="00DB28C3">
        <w:rPr>
          <w:i/>
          <w:iCs/>
          <w:sz w:val="28"/>
          <w:szCs w:val="28"/>
        </w:rPr>
        <w:t xml:space="preserve">, </w:t>
      </w:r>
      <w:r w:rsidR="00A47CC5" w:rsidRPr="00DB28C3">
        <w:rPr>
          <w:iCs/>
          <w:sz w:val="28"/>
          <w:szCs w:val="28"/>
        </w:rPr>
        <w:t xml:space="preserve">kas </w:t>
      </w:r>
      <w:r w:rsidR="0088657B">
        <w:rPr>
          <w:iCs/>
          <w:sz w:val="28"/>
          <w:szCs w:val="28"/>
        </w:rPr>
        <w:t>varētu būt n</w:t>
      </w:r>
      <w:r w:rsidR="00A47CC5" w:rsidRPr="00DB28C3">
        <w:rPr>
          <w:iCs/>
          <w:sz w:val="28"/>
          <w:szCs w:val="28"/>
        </w:rPr>
        <w:t>epietiekami, lai nodrošināt</w:t>
      </w:r>
      <w:r w:rsidR="000A7801" w:rsidRPr="00DB28C3">
        <w:rPr>
          <w:iCs/>
          <w:sz w:val="28"/>
          <w:szCs w:val="28"/>
        </w:rPr>
        <w:t>u</w:t>
      </w:r>
      <w:r w:rsidR="00A47CC5" w:rsidRPr="00DB28C3">
        <w:rPr>
          <w:iCs/>
          <w:sz w:val="28"/>
          <w:szCs w:val="28"/>
        </w:rPr>
        <w:t xml:space="preserve"> investīcijas plānotajā apjomā.</w:t>
      </w:r>
      <w:r w:rsidR="00A47CC5" w:rsidRPr="00DB28C3">
        <w:rPr>
          <w:sz w:val="28"/>
          <w:szCs w:val="28"/>
        </w:rPr>
        <w:t xml:space="preserve"> 2019. gada II pusgadā tiek analizēta situācija par nepieciešamiem budžeta līdzekļiem maksājumu veikšanai ES fondu projektos. Balstoties uz CFLA analīzi un secinājumiem par investīciju progresu, septembrī</w:t>
      </w:r>
      <w:r w:rsidR="0081593F">
        <w:rPr>
          <w:sz w:val="28"/>
          <w:szCs w:val="28"/>
        </w:rPr>
        <w:t> </w:t>
      </w:r>
      <w:r w:rsidR="00A47CC5" w:rsidRPr="00DB28C3">
        <w:rPr>
          <w:sz w:val="28"/>
          <w:szCs w:val="28"/>
        </w:rPr>
        <w:t>-</w:t>
      </w:r>
      <w:r w:rsidR="0081593F">
        <w:rPr>
          <w:sz w:val="28"/>
          <w:szCs w:val="28"/>
        </w:rPr>
        <w:t> </w:t>
      </w:r>
      <w:r w:rsidR="00A47CC5" w:rsidRPr="00DB28C3">
        <w:rPr>
          <w:sz w:val="28"/>
          <w:szCs w:val="28"/>
        </w:rPr>
        <w:t>oktobrī CFLA būs nepieciešami papildus valsts budžeta līdzekļi maksājumu veikšanai esošo līgumu ietvaros un jaunu līgumu par projektu īstenošanu slēgšanai. FM sākotnēji izskatīs iespējas veikt finansējuma pārdali starp resoriem un nepieciešamības gadījumā virzīs jautājumu par iespēju palielināt apropriāciju 80.00.00 programmā, lai nodrošinātu vajadzīgās investīcijas.</w:t>
      </w:r>
    </w:p>
    <w:p w14:paraId="37B7D2F6" w14:textId="3BA23119" w:rsidR="00A47CC5" w:rsidRPr="00DB28C3" w:rsidRDefault="009F3C7E" w:rsidP="00D52152">
      <w:pPr>
        <w:pStyle w:val="ListParagraph"/>
        <w:tabs>
          <w:tab w:val="left" w:pos="720"/>
          <w:tab w:val="left" w:pos="1985"/>
          <w:tab w:val="left" w:pos="2410"/>
          <w:tab w:val="left" w:pos="3119"/>
          <w:tab w:val="left" w:pos="3969"/>
          <w:tab w:val="left" w:pos="5387"/>
          <w:tab w:val="left" w:pos="7655"/>
        </w:tabs>
        <w:suppressAutoHyphens/>
        <w:spacing w:before="120" w:after="120" w:line="276" w:lineRule="auto"/>
        <w:ind w:left="0"/>
        <w:contextualSpacing w:val="0"/>
        <w:jc w:val="both"/>
        <w:rPr>
          <w:color w:val="0D0D0D" w:themeColor="text1" w:themeTint="F2"/>
          <w:sz w:val="28"/>
          <w:szCs w:val="28"/>
        </w:rPr>
      </w:pPr>
      <w:r w:rsidRPr="00DB28C3">
        <w:rPr>
          <w:color w:val="0D0D0D" w:themeColor="text1" w:themeTint="F2"/>
          <w:sz w:val="28"/>
          <w:szCs w:val="28"/>
        </w:rPr>
        <w:tab/>
      </w:r>
      <w:r w:rsidR="00CB5A99" w:rsidRPr="00DB28C3">
        <w:rPr>
          <w:rFonts w:eastAsia="Calibri"/>
          <w:color w:val="0D0D0D" w:themeColor="text1" w:themeTint="F2"/>
          <w:sz w:val="28"/>
          <w:szCs w:val="28"/>
          <w:lang w:eastAsia="ar-SA"/>
        </w:rPr>
        <w:t>Kopumā līdz 2019. gada 1. </w:t>
      </w:r>
      <w:r w:rsidR="00BB626D">
        <w:rPr>
          <w:rFonts w:eastAsia="Calibri"/>
          <w:color w:val="0D0D0D" w:themeColor="text1" w:themeTint="F2"/>
          <w:sz w:val="28"/>
          <w:szCs w:val="28"/>
          <w:lang w:eastAsia="ar-SA"/>
        </w:rPr>
        <w:t>augustam</w:t>
      </w:r>
      <w:r w:rsidR="00BB626D" w:rsidRPr="00DB28C3">
        <w:rPr>
          <w:rFonts w:eastAsia="Calibri"/>
          <w:color w:val="0D0D0D" w:themeColor="text1" w:themeTint="F2"/>
          <w:sz w:val="28"/>
          <w:szCs w:val="28"/>
          <w:lang w:eastAsia="ar-SA"/>
        </w:rPr>
        <w:t xml:space="preserve"> </w:t>
      </w:r>
      <w:r w:rsidR="00CB5A99" w:rsidRPr="00DB28C3">
        <w:rPr>
          <w:rFonts w:eastAsia="Calibri"/>
          <w:color w:val="0D0D0D" w:themeColor="text1" w:themeTint="F2"/>
          <w:sz w:val="28"/>
          <w:szCs w:val="28"/>
          <w:lang w:eastAsia="ar-SA"/>
        </w:rPr>
        <w:t xml:space="preserve">projektu īstenotājiem veikti ES fondu maksājumi </w:t>
      </w:r>
      <w:r w:rsidR="00BB626D">
        <w:rPr>
          <w:rFonts w:eastAsia="Calibri"/>
          <w:color w:val="0D0D0D" w:themeColor="text1" w:themeTint="F2"/>
          <w:sz w:val="28"/>
          <w:szCs w:val="28"/>
          <w:lang w:eastAsia="ar-SA"/>
        </w:rPr>
        <w:t>362,6</w:t>
      </w:r>
      <w:r w:rsidR="00CB5A99" w:rsidRPr="00DB28C3">
        <w:rPr>
          <w:rFonts w:eastAsia="Calibri"/>
          <w:color w:val="0D0D0D" w:themeColor="text1" w:themeTint="F2"/>
          <w:sz w:val="28"/>
          <w:szCs w:val="28"/>
          <w:lang w:eastAsia="ar-SA"/>
        </w:rPr>
        <w:t> milj. </w:t>
      </w:r>
      <w:proofErr w:type="spellStart"/>
      <w:r w:rsidR="00CB5A99" w:rsidRPr="00DB28C3">
        <w:rPr>
          <w:rFonts w:eastAsia="Calibri"/>
          <w:i/>
          <w:color w:val="0D0D0D" w:themeColor="text1" w:themeTint="F2"/>
          <w:sz w:val="28"/>
          <w:szCs w:val="28"/>
          <w:lang w:eastAsia="ar-SA"/>
        </w:rPr>
        <w:t>euro</w:t>
      </w:r>
      <w:proofErr w:type="spellEnd"/>
      <w:r w:rsidR="00CB5A99" w:rsidRPr="00DB28C3">
        <w:rPr>
          <w:rFonts w:eastAsia="Calibri"/>
          <w:i/>
          <w:color w:val="0D0D0D" w:themeColor="text1" w:themeTint="F2"/>
          <w:sz w:val="28"/>
          <w:szCs w:val="28"/>
          <w:lang w:eastAsia="ar-SA"/>
        </w:rPr>
        <w:t xml:space="preserve">, </w:t>
      </w:r>
      <w:r w:rsidR="00CB5A99" w:rsidRPr="00DB28C3">
        <w:rPr>
          <w:rFonts w:eastAsia="Calibri"/>
          <w:color w:val="0D0D0D" w:themeColor="text1" w:themeTint="F2"/>
          <w:sz w:val="28"/>
          <w:szCs w:val="28"/>
          <w:lang w:eastAsia="ar-SA"/>
        </w:rPr>
        <w:t xml:space="preserve">kas ir </w:t>
      </w:r>
      <w:r w:rsidR="00BB626D">
        <w:rPr>
          <w:rFonts w:eastAsia="Calibri"/>
          <w:color w:val="0D0D0D" w:themeColor="text1" w:themeTint="F2"/>
          <w:sz w:val="28"/>
          <w:szCs w:val="28"/>
          <w:lang w:eastAsia="ar-SA"/>
        </w:rPr>
        <w:t>64,2</w:t>
      </w:r>
      <w:r w:rsidR="00B874D4">
        <w:rPr>
          <w:rFonts w:eastAsia="Calibri"/>
          <w:color w:val="0D0D0D" w:themeColor="text1" w:themeTint="F2"/>
          <w:sz w:val="28"/>
          <w:szCs w:val="28"/>
          <w:lang w:eastAsia="ar-SA"/>
        </w:rPr>
        <w:t> </w:t>
      </w:r>
      <w:r w:rsidR="00CB5A99" w:rsidRPr="00DB28C3">
        <w:rPr>
          <w:rFonts w:eastAsia="Calibri"/>
          <w:color w:val="0D0D0D" w:themeColor="text1" w:themeTint="F2"/>
          <w:sz w:val="28"/>
          <w:szCs w:val="28"/>
          <w:lang w:eastAsia="ar-SA"/>
        </w:rPr>
        <w:t>% no gada plāna (565,0 milj. </w:t>
      </w:r>
      <w:proofErr w:type="spellStart"/>
      <w:r w:rsidR="00CB5A99" w:rsidRPr="00DB28C3">
        <w:rPr>
          <w:rFonts w:eastAsia="Calibri"/>
          <w:i/>
          <w:color w:val="0D0D0D" w:themeColor="text1" w:themeTint="F2"/>
          <w:sz w:val="28"/>
          <w:szCs w:val="28"/>
          <w:lang w:eastAsia="ar-SA"/>
        </w:rPr>
        <w:t>euro</w:t>
      </w:r>
      <w:proofErr w:type="spellEnd"/>
      <w:r w:rsidR="00CB5A99" w:rsidRPr="00DB28C3">
        <w:rPr>
          <w:rFonts w:eastAsia="Calibri"/>
          <w:color w:val="0D0D0D" w:themeColor="text1" w:themeTint="F2"/>
          <w:sz w:val="28"/>
          <w:szCs w:val="28"/>
          <w:lang w:eastAsia="ar-SA"/>
        </w:rPr>
        <w:t xml:space="preserve">). Saglabājas pozitīva kopējā tendence – pārskata perioda plāna izpilde </w:t>
      </w:r>
      <w:r w:rsidR="00BB626D">
        <w:rPr>
          <w:rFonts w:eastAsia="Calibri"/>
          <w:color w:val="0D0D0D" w:themeColor="text1" w:themeTint="F2"/>
          <w:sz w:val="28"/>
          <w:szCs w:val="28"/>
          <w:lang w:eastAsia="ar-SA"/>
        </w:rPr>
        <w:t>109,3</w:t>
      </w:r>
      <w:r w:rsidR="00B874D4">
        <w:rPr>
          <w:rFonts w:eastAsia="Calibri"/>
          <w:color w:val="0D0D0D" w:themeColor="text1" w:themeTint="F2"/>
          <w:sz w:val="28"/>
          <w:szCs w:val="28"/>
          <w:lang w:eastAsia="ar-SA"/>
        </w:rPr>
        <w:t> </w:t>
      </w:r>
      <w:r w:rsidR="00CB5A99" w:rsidRPr="00DB28C3">
        <w:rPr>
          <w:rFonts w:eastAsia="Calibri"/>
          <w:color w:val="0D0D0D" w:themeColor="text1" w:themeTint="F2"/>
          <w:sz w:val="28"/>
          <w:szCs w:val="28"/>
          <w:lang w:eastAsia="ar-SA"/>
        </w:rPr>
        <w:t xml:space="preserve">% no plānotā, un tas ir par </w:t>
      </w:r>
      <w:r w:rsidR="00452C55">
        <w:rPr>
          <w:rFonts w:eastAsia="Calibri"/>
          <w:color w:val="0D0D0D" w:themeColor="text1" w:themeTint="F2"/>
          <w:sz w:val="28"/>
          <w:szCs w:val="28"/>
          <w:lang w:eastAsia="ar-SA"/>
        </w:rPr>
        <w:t>74,5</w:t>
      </w:r>
      <w:r w:rsidR="00CB5A99" w:rsidRPr="00DB28C3">
        <w:rPr>
          <w:rFonts w:eastAsia="Calibri"/>
          <w:color w:val="0D0D0D" w:themeColor="text1" w:themeTint="F2"/>
          <w:sz w:val="28"/>
          <w:szCs w:val="28"/>
          <w:lang w:eastAsia="ar-SA"/>
        </w:rPr>
        <w:t> milj. </w:t>
      </w:r>
      <w:proofErr w:type="spellStart"/>
      <w:r w:rsidR="00CB5A99" w:rsidRPr="00DB28C3">
        <w:rPr>
          <w:rFonts w:eastAsia="Calibri"/>
          <w:i/>
          <w:color w:val="0D0D0D" w:themeColor="text1" w:themeTint="F2"/>
          <w:sz w:val="28"/>
          <w:szCs w:val="28"/>
          <w:lang w:eastAsia="ar-SA"/>
        </w:rPr>
        <w:t>euro</w:t>
      </w:r>
      <w:proofErr w:type="spellEnd"/>
      <w:r w:rsidR="00CB5A99" w:rsidRPr="00DB28C3">
        <w:rPr>
          <w:rFonts w:eastAsia="Calibri"/>
          <w:color w:val="0D0D0D" w:themeColor="text1" w:themeTint="F2"/>
          <w:sz w:val="28"/>
          <w:szCs w:val="28"/>
          <w:lang w:eastAsia="ar-SA"/>
        </w:rPr>
        <w:t xml:space="preserve"> vairāk, salīdzinot ar tādu pašu periodu 2018. gadā. Saglabājoties sekmīgai investīciju dinamikai gada otrajā pusē, 2019. gada kopējais maksājumu gada plāns varētu tikt pārsniegts. </w:t>
      </w:r>
      <w:r w:rsidR="00620C67" w:rsidRPr="00DB28C3">
        <w:rPr>
          <w:color w:val="0D0D0D" w:themeColor="text1" w:themeTint="F2"/>
          <w:sz w:val="28"/>
          <w:szCs w:val="28"/>
        </w:rPr>
        <w:t>Sk</w:t>
      </w:r>
      <w:r w:rsidR="00AB23F3" w:rsidRPr="00DB28C3">
        <w:rPr>
          <w:color w:val="0D0D0D" w:themeColor="text1" w:themeTint="F2"/>
          <w:sz w:val="28"/>
          <w:szCs w:val="28"/>
        </w:rPr>
        <w:t>atīt</w:t>
      </w:r>
      <w:r w:rsidR="00620C67" w:rsidRPr="00DB28C3">
        <w:rPr>
          <w:color w:val="0D0D0D" w:themeColor="text1" w:themeTint="F2"/>
          <w:sz w:val="28"/>
          <w:szCs w:val="28"/>
        </w:rPr>
        <w:t xml:space="preserve"> il</w:t>
      </w:r>
      <w:r w:rsidR="00872272" w:rsidRPr="00DB28C3">
        <w:rPr>
          <w:color w:val="0D0D0D" w:themeColor="text1" w:themeTint="F2"/>
          <w:sz w:val="28"/>
          <w:szCs w:val="28"/>
        </w:rPr>
        <w:t>ustrāciju Nr. 4</w:t>
      </w:r>
      <w:r w:rsidR="00620C67" w:rsidRPr="00DB28C3">
        <w:rPr>
          <w:color w:val="0D0D0D" w:themeColor="text1" w:themeTint="F2"/>
          <w:sz w:val="28"/>
          <w:szCs w:val="28"/>
        </w:rPr>
        <w:t>.</w:t>
      </w:r>
    </w:p>
    <w:p w14:paraId="31C3C2B4" w14:textId="16485670" w:rsidR="00741335" w:rsidRPr="00DB28C3" w:rsidRDefault="00741335" w:rsidP="00D52152">
      <w:pPr>
        <w:spacing w:before="120" w:after="120" w:line="276" w:lineRule="auto"/>
        <w:jc w:val="both"/>
        <w:rPr>
          <w:rFonts w:cs="Times New Roman"/>
          <w:i/>
          <w:szCs w:val="24"/>
        </w:rPr>
      </w:pPr>
      <w:r w:rsidRPr="00DB28C3">
        <w:rPr>
          <w:rFonts w:cs="Times New Roman"/>
          <w:i/>
          <w:szCs w:val="24"/>
        </w:rPr>
        <w:t>Ilustrācija Nr. </w:t>
      </w:r>
      <w:r w:rsidR="00872272" w:rsidRPr="00DB28C3">
        <w:rPr>
          <w:rFonts w:cs="Times New Roman"/>
          <w:i/>
          <w:szCs w:val="24"/>
        </w:rPr>
        <w:t>4</w:t>
      </w:r>
      <w:r w:rsidRPr="00DB28C3">
        <w:rPr>
          <w:rFonts w:cs="Times New Roman"/>
          <w:i/>
          <w:szCs w:val="24"/>
        </w:rPr>
        <w:t xml:space="preserve"> “ES fondu 2014. – 2020. gada plānošanas peri</w:t>
      </w:r>
      <w:r w:rsidR="00A47CC5" w:rsidRPr="00DB28C3">
        <w:rPr>
          <w:rFonts w:cs="Times New Roman"/>
          <w:i/>
          <w:szCs w:val="24"/>
        </w:rPr>
        <w:t>oda maksājumu plānu izpilde 2019</w:t>
      </w:r>
      <w:r w:rsidRPr="00DB28C3">
        <w:rPr>
          <w:rFonts w:cs="Times New Roman"/>
          <w:i/>
          <w:szCs w:val="24"/>
        </w:rPr>
        <w:t>. gadā, ES fondu finansējums kumulatīvi, milj. </w:t>
      </w:r>
      <w:proofErr w:type="spellStart"/>
      <w:r w:rsidRPr="00DB28C3">
        <w:rPr>
          <w:rFonts w:cs="Times New Roman"/>
          <w:i/>
          <w:szCs w:val="24"/>
        </w:rPr>
        <w:t>euro</w:t>
      </w:r>
      <w:proofErr w:type="spellEnd"/>
      <w:r w:rsidRPr="00DB28C3">
        <w:rPr>
          <w:rFonts w:cs="Times New Roman"/>
          <w:i/>
          <w:szCs w:val="24"/>
        </w:rPr>
        <w:t>”</w:t>
      </w:r>
    </w:p>
    <w:p w14:paraId="3E113A46" w14:textId="5076D994" w:rsidR="00741335" w:rsidRPr="00452C55" w:rsidRDefault="00A47CC5" w:rsidP="00CC7869">
      <w:pPr>
        <w:spacing w:before="120" w:after="120" w:line="276" w:lineRule="auto"/>
        <w:jc w:val="center"/>
        <w:rPr>
          <w:rFonts w:cs="Times New Roman"/>
          <w:sz w:val="28"/>
          <w:szCs w:val="24"/>
        </w:rPr>
      </w:pPr>
      <w:r w:rsidRPr="00452C55">
        <w:rPr>
          <w:noProof/>
          <w:lang w:eastAsia="lv-LV"/>
        </w:rPr>
        <w:drawing>
          <wp:inline distT="0" distB="0" distL="0" distR="0" wp14:anchorId="7A85D7F5" wp14:editId="7A4756B3">
            <wp:extent cx="5760085" cy="2838450"/>
            <wp:effectExtent l="0" t="0" r="12065"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56A622B" w14:textId="7C703CE5" w:rsidR="006A6875" w:rsidRPr="00DB28C3" w:rsidRDefault="006A6875" w:rsidP="003E6377">
      <w:pPr>
        <w:spacing w:before="120" w:after="120" w:line="276" w:lineRule="auto"/>
        <w:jc w:val="center"/>
        <w:rPr>
          <w:b/>
          <w:sz w:val="28"/>
          <w:szCs w:val="28"/>
        </w:rPr>
      </w:pPr>
      <w:r w:rsidRPr="00452C55">
        <w:rPr>
          <w:b/>
          <w:sz w:val="28"/>
          <w:szCs w:val="28"/>
        </w:rPr>
        <w:lastRenderedPageBreak/>
        <w:t>Projektu ieviešanas un fi</w:t>
      </w:r>
      <w:r w:rsidR="00FF4313" w:rsidRPr="00452C55">
        <w:rPr>
          <w:b/>
          <w:sz w:val="28"/>
          <w:szCs w:val="28"/>
        </w:rPr>
        <w:t>n</w:t>
      </w:r>
      <w:r w:rsidRPr="00452C55">
        <w:rPr>
          <w:b/>
          <w:sz w:val="28"/>
          <w:szCs w:val="28"/>
        </w:rPr>
        <w:t>anšu disciplīnas kvalitāte</w:t>
      </w:r>
    </w:p>
    <w:p w14:paraId="35D39A49" w14:textId="4E5F6FC8" w:rsidR="00CB3BC8" w:rsidRDefault="006A6875" w:rsidP="0067161F">
      <w:pPr>
        <w:pStyle w:val="BodyText"/>
        <w:ind w:firstLine="709"/>
        <w:jc w:val="both"/>
        <w:rPr>
          <w:b w:val="0"/>
          <w:color w:val="0D0D0D" w:themeColor="text1" w:themeTint="F2"/>
          <w:sz w:val="28"/>
          <w:lang w:val="lv-LV"/>
        </w:rPr>
      </w:pPr>
      <w:r w:rsidRPr="00DB28C3">
        <w:rPr>
          <w:rFonts w:eastAsia="Calibri"/>
          <w:b w:val="0"/>
          <w:color w:val="0D0D0D" w:themeColor="text1" w:themeTint="F2"/>
          <w:sz w:val="28"/>
          <w:szCs w:val="28"/>
          <w:lang w:val="lv-LV" w:eastAsia="ar-SA"/>
        </w:rPr>
        <w:t>IPIA</w:t>
      </w:r>
      <w:r w:rsidR="00B20296">
        <w:rPr>
          <w:rFonts w:eastAsia="Calibri"/>
          <w:b w:val="0"/>
          <w:color w:val="0D0D0D" w:themeColor="text1" w:themeTint="F2"/>
          <w:sz w:val="28"/>
          <w:szCs w:val="28"/>
          <w:lang w:val="lv-LV" w:eastAsia="ar-SA"/>
        </w:rPr>
        <w:t xml:space="preserve"> līdz </w:t>
      </w:r>
      <w:r w:rsidRPr="00DB28C3">
        <w:rPr>
          <w:rFonts w:eastAsia="Calibri"/>
          <w:b w:val="0"/>
          <w:color w:val="0D0D0D" w:themeColor="text1" w:themeTint="F2"/>
          <w:sz w:val="28"/>
          <w:szCs w:val="28"/>
          <w:lang w:val="lv-LV" w:eastAsia="ar-SA"/>
        </w:rPr>
        <w:t>2019. gada</w:t>
      </w:r>
      <w:r w:rsidR="00B20296">
        <w:rPr>
          <w:rFonts w:eastAsia="Calibri"/>
          <w:b w:val="0"/>
          <w:color w:val="0D0D0D" w:themeColor="text1" w:themeTint="F2"/>
          <w:sz w:val="28"/>
          <w:szCs w:val="28"/>
          <w:lang w:val="lv-LV" w:eastAsia="ar-SA"/>
        </w:rPr>
        <w:t xml:space="preserve"> 1. augustam</w:t>
      </w:r>
      <w:r w:rsidRPr="00DB28C3">
        <w:rPr>
          <w:rFonts w:eastAsia="Calibri"/>
          <w:b w:val="0"/>
          <w:color w:val="0D0D0D" w:themeColor="text1" w:themeTint="F2"/>
          <w:sz w:val="28"/>
          <w:szCs w:val="28"/>
          <w:lang w:val="lv-LV" w:eastAsia="ar-SA"/>
        </w:rPr>
        <w:t xml:space="preserve"> plānā noteiktajā termiņā nav iesniegti</w:t>
      </w:r>
      <w:r w:rsidR="00553264">
        <w:rPr>
          <w:rFonts w:eastAsia="Calibri"/>
          <w:b w:val="0"/>
          <w:color w:val="0D0D0D" w:themeColor="text1" w:themeTint="F2"/>
          <w:sz w:val="28"/>
          <w:szCs w:val="28"/>
          <w:lang w:val="lv-LV" w:eastAsia="ar-SA"/>
        </w:rPr>
        <w:t xml:space="preserve"> seši </w:t>
      </w:r>
      <w:r w:rsidRPr="00DB28C3">
        <w:rPr>
          <w:rFonts w:eastAsia="Calibri"/>
          <w:b w:val="0"/>
          <w:color w:val="0D0D0D" w:themeColor="text1" w:themeTint="F2"/>
          <w:sz w:val="28"/>
          <w:szCs w:val="28"/>
          <w:lang w:val="lv-LV" w:eastAsia="ar-SA"/>
        </w:rPr>
        <w:t xml:space="preserve">projekti kopā par ES fondu atbalstu </w:t>
      </w:r>
      <w:r w:rsidR="00E30F87">
        <w:rPr>
          <w:rFonts w:eastAsia="Calibri"/>
          <w:b w:val="0"/>
          <w:color w:val="0D0D0D" w:themeColor="text1" w:themeTint="F2"/>
          <w:sz w:val="28"/>
          <w:szCs w:val="28"/>
          <w:lang w:val="lv-LV" w:eastAsia="ar-SA"/>
        </w:rPr>
        <w:t>7,1</w:t>
      </w:r>
      <w:r w:rsidR="003375E5">
        <w:rPr>
          <w:rFonts w:eastAsia="Calibri"/>
          <w:b w:val="0"/>
          <w:color w:val="0D0D0D" w:themeColor="text1" w:themeTint="F2"/>
          <w:sz w:val="28"/>
          <w:szCs w:val="28"/>
          <w:lang w:val="lv-LV" w:eastAsia="ar-SA"/>
        </w:rPr>
        <w:t xml:space="preserve"> </w:t>
      </w:r>
      <w:r w:rsidRPr="00DB28C3">
        <w:rPr>
          <w:rFonts w:eastAsia="Calibri"/>
          <w:b w:val="0"/>
          <w:color w:val="0D0D0D" w:themeColor="text1" w:themeTint="F2"/>
          <w:sz w:val="28"/>
          <w:szCs w:val="28"/>
          <w:lang w:val="lv-LV" w:eastAsia="ar-SA"/>
        </w:rPr>
        <w:t xml:space="preserve">milj. </w:t>
      </w:r>
      <w:proofErr w:type="spellStart"/>
      <w:r w:rsidRPr="00DB28C3">
        <w:rPr>
          <w:rFonts w:eastAsia="Calibri"/>
          <w:b w:val="0"/>
          <w:i/>
          <w:color w:val="0D0D0D" w:themeColor="text1" w:themeTint="F2"/>
          <w:sz w:val="28"/>
          <w:szCs w:val="28"/>
          <w:lang w:val="lv-LV" w:eastAsia="ar-SA"/>
        </w:rPr>
        <w:t>euro</w:t>
      </w:r>
      <w:proofErr w:type="spellEnd"/>
      <w:r w:rsidRPr="00DB28C3">
        <w:rPr>
          <w:rFonts w:eastAsia="Calibri"/>
          <w:b w:val="0"/>
          <w:color w:val="0D0D0D" w:themeColor="text1" w:themeTint="F2"/>
          <w:sz w:val="28"/>
          <w:szCs w:val="28"/>
          <w:lang w:val="lv-LV" w:eastAsia="ar-SA"/>
        </w:rPr>
        <w:t xml:space="preserve"> (par </w:t>
      </w:r>
      <w:r w:rsidR="00553264">
        <w:rPr>
          <w:rFonts w:eastAsia="Calibri"/>
          <w:b w:val="0"/>
          <w:color w:val="0D0D0D" w:themeColor="text1" w:themeTint="F2"/>
          <w:sz w:val="28"/>
          <w:szCs w:val="28"/>
          <w:lang w:val="lv-LV" w:eastAsia="ar-SA"/>
        </w:rPr>
        <w:t>4,3</w:t>
      </w:r>
      <w:r w:rsidRPr="00DB28C3">
        <w:rPr>
          <w:rFonts w:eastAsia="Calibri"/>
          <w:b w:val="0"/>
          <w:color w:val="0D0D0D" w:themeColor="text1" w:themeTint="F2"/>
          <w:sz w:val="28"/>
          <w:szCs w:val="28"/>
          <w:lang w:val="lv-LV" w:eastAsia="ar-SA"/>
        </w:rPr>
        <w:t xml:space="preserve"> milj. </w:t>
      </w:r>
      <w:proofErr w:type="spellStart"/>
      <w:r w:rsidRPr="00DB28C3">
        <w:rPr>
          <w:rFonts w:eastAsia="Calibri"/>
          <w:b w:val="0"/>
          <w:i/>
          <w:color w:val="0D0D0D" w:themeColor="text1" w:themeTint="F2"/>
          <w:sz w:val="28"/>
          <w:szCs w:val="28"/>
          <w:lang w:val="lv-LV" w:eastAsia="ar-SA"/>
        </w:rPr>
        <w:t>euro</w:t>
      </w:r>
      <w:proofErr w:type="spellEnd"/>
      <w:r w:rsidRPr="00DB28C3">
        <w:rPr>
          <w:rFonts w:eastAsia="Calibri"/>
          <w:b w:val="0"/>
          <w:color w:val="0D0D0D" w:themeColor="text1" w:themeTint="F2"/>
          <w:sz w:val="28"/>
          <w:szCs w:val="28"/>
          <w:lang w:val="lv-LV" w:eastAsia="ar-SA"/>
        </w:rPr>
        <w:t xml:space="preserve"> </w:t>
      </w:r>
      <w:r w:rsidR="00553264">
        <w:rPr>
          <w:rFonts w:eastAsia="Calibri"/>
          <w:b w:val="0"/>
          <w:color w:val="0D0D0D" w:themeColor="text1" w:themeTint="F2"/>
          <w:sz w:val="28"/>
          <w:szCs w:val="28"/>
          <w:lang w:val="lv-LV" w:eastAsia="ar-SA"/>
        </w:rPr>
        <w:t>mazāk</w:t>
      </w:r>
      <w:r w:rsidRPr="00DB28C3">
        <w:rPr>
          <w:rFonts w:eastAsia="Calibri"/>
          <w:b w:val="0"/>
          <w:color w:val="0D0D0D" w:themeColor="text1" w:themeTint="F2"/>
          <w:sz w:val="28"/>
          <w:szCs w:val="28"/>
          <w:lang w:val="lv-LV" w:eastAsia="ar-SA"/>
        </w:rPr>
        <w:t xml:space="preserve">, salīdzinot ar iepriekšējo mēnesi), t.sk. </w:t>
      </w:r>
      <w:r w:rsidR="003375E5">
        <w:rPr>
          <w:rFonts w:eastAsia="Calibri"/>
          <w:b w:val="0"/>
          <w:color w:val="0D0D0D" w:themeColor="text1" w:themeTint="F2"/>
          <w:sz w:val="28"/>
          <w:szCs w:val="28"/>
          <w:lang w:val="lv-LV" w:eastAsia="ar-SA"/>
        </w:rPr>
        <w:t>četri</w:t>
      </w:r>
      <w:r w:rsidR="003375E5" w:rsidRPr="00DB28C3">
        <w:rPr>
          <w:rFonts w:eastAsia="Calibri"/>
          <w:b w:val="0"/>
          <w:color w:val="0D0D0D" w:themeColor="text1" w:themeTint="F2"/>
          <w:sz w:val="28"/>
          <w:szCs w:val="28"/>
          <w:lang w:val="lv-LV" w:eastAsia="ar-SA"/>
        </w:rPr>
        <w:t xml:space="preserve"> </w:t>
      </w:r>
      <w:r w:rsidRPr="00DB28C3">
        <w:rPr>
          <w:rFonts w:eastAsia="Calibri"/>
          <w:b w:val="0"/>
          <w:color w:val="0D0D0D" w:themeColor="text1" w:themeTint="F2"/>
          <w:sz w:val="28"/>
          <w:szCs w:val="28"/>
          <w:lang w:val="lv-LV" w:eastAsia="ar-SA"/>
        </w:rPr>
        <w:t>degradēto teritoriju atjaunošanas</w:t>
      </w:r>
      <w:r w:rsidR="00E30F87">
        <w:rPr>
          <w:rFonts w:eastAsia="Calibri"/>
          <w:b w:val="0"/>
          <w:color w:val="0D0D0D" w:themeColor="text1" w:themeTint="F2"/>
          <w:sz w:val="28"/>
          <w:szCs w:val="28"/>
          <w:lang w:val="lv-LV" w:eastAsia="ar-SA"/>
        </w:rPr>
        <w:t>,</w:t>
      </w:r>
      <w:r w:rsidRPr="00DB28C3">
        <w:rPr>
          <w:rFonts w:eastAsia="Calibri"/>
          <w:b w:val="0"/>
          <w:color w:val="0D0D0D" w:themeColor="text1" w:themeTint="F2"/>
          <w:sz w:val="28"/>
          <w:szCs w:val="28"/>
          <w:lang w:val="lv-LV" w:eastAsia="ar-SA"/>
        </w:rPr>
        <w:t xml:space="preserve"> viens valsts</w:t>
      </w:r>
      <w:r w:rsidR="00ED45CE">
        <w:rPr>
          <w:rFonts w:eastAsia="Calibri"/>
          <w:b w:val="0"/>
          <w:color w:val="0D0D0D" w:themeColor="text1" w:themeTint="F2"/>
          <w:sz w:val="28"/>
          <w:szCs w:val="28"/>
          <w:lang w:val="lv-LV" w:eastAsia="ar-SA"/>
        </w:rPr>
        <w:t xml:space="preserve"> ēku</w:t>
      </w:r>
      <w:r w:rsidRPr="00DB28C3">
        <w:rPr>
          <w:rFonts w:eastAsia="Calibri"/>
          <w:b w:val="0"/>
          <w:color w:val="0D0D0D" w:themeColor="text1" w:themeTint="F2"/>
          <w:sz w:val="28"/>
          <w:szCs w:val="28"/>
          <w:lang w:val="lv-LV" w:eastAsia="ar-SA"/>
        </w:rPr>
        <w:t xml:space="preserve"> </w:t>
      </w:r>
      <w:r w:rsidR="00ED45CE">
        <w:rPr>
          <w:rFonts w:eastAsia="Calibri"/>
          <w:b w:val="0"/>
          <w:color w:val="0D0D0D" w:themeColor="text1" w:themeTint="F2"/>
          <w:sz w:val="28"/>
          <w:szCs w:val="28"/>
          <w:lang w:val="lv-LV" w:eastAsia="ar-SA"/>
        </w:rPr>
        <w:t>energoefektivitātes paaugstināšanas</w:t>
      </w:r>
      <w:r w:rsidRPr="00DB28C3">
        <w:rPr>
          <w:rFonts w:eastAsia="Calibri"/>
          <w:b w:val="0"/>
          <w:color w:val="0D0D0D" w:themeColor="text1" w:themeTint="F2"/>
          <w:sz w:val="28"/>
          <w:szCs w:val="28"/>
          <w:lang w:val="lv-LV" w:eastAsia="ar-SA"/>
        </w:rPr>
        <w:t xml:space="preserve"> </w:t>
      </w:r>
      <w:r w:rsidR="00E30F87">
        <w:rPr>
          <w:rFonts w:eastAsia="Calibri"/>
          <w:b w:val="0"/>
          <w:color w:val="0D0D0D" w:themeColor="text1" w:themeTint="F2"/>
          <w:sz w:val="28"/>
          <w:szCs w:val="28"/>
          <w:lang w:val="lv-LV" w:eastAsia="ar-SA"/>
        </w:rPr>
        <w:t xml:space="preserve">un </w:t>
      </w:r>
      <w:r w:rsidR="00553264">
        <w:rPr>
          <w:rFonts w:eastAsia="Calibri"/>
          <w:b w:val="0"/>
          <w:color w:val="0D0D0D" w:themeColor="text1" w:themeTint="F2"/>
          <w:sz w:val="28"/>
          <w:szCs w:val="28"/>
          <w:lang w:val="lv-LV" w:eastAsia="ar-SA"/>
        </w:rPr>
        <w:t xml:space="preserve">viens </w:t>
      </w:r>
      <w:r w:rsidR="00E30F87">
        <w:rPr>
          <w:rFonts w:eastAsia="Calibri"/>
          <w:b w:val="0"/>
          <w:color w:val="0D0D0D" w:themeColor="text1" w:themeTint="F2"/>
          <w:sz w:val="28"/>
          <w:szCs w:val="28"/>
          <w:lang w:val="lv-LV" w:eastAsia="ar-SA"/>
        </w:rPr>
        <w:t>IKT</w:t>
      </w:r>
      <w:r w:rsidR="00E30F87" w:rsidRPr="00DB28C3">
        <w:rPr>
          <w:rFonts w:eastAsia="Calibri"/>
          <w:b w:val="0"/>
          <w:color w:val="0D0D0D" w:themeColor="text1" w:themeTint="F2"/>
          <w:sz w:val="28"/>
          <w:szCs w:val="28"/>
          <w:lang w:val="lv-LV" w:eastAsia="ar-SA"/>
        </w:rPr>
        <w:t xml:space="preserve"> </w:t>
      </w:r>
      <w:r w:rsidRPr="00DB28C3">
        <w:rPr>
          <w:rFonts w:eastAsia="Calibri"/>
          <w:b w:val="0"/>
          <w:color w:val="0D0D0D" w:themeColor="text1" w:themeTint="F2"/>
          <w:sz w:val="28"/>
          <w:szCs w:val="28"/>
          <w:lang w:val="lv-LV" w:eastAsia="ar-SA"/>
        </w:rPr>
        <w:t>projekts</w:t>
      </w:r>
      <w:r w:rsidRPr="00DB28C3">
        <w:rPr>
          <w:rFonts w:eastAsia="Calibri"/>
          <w:b w:val="0"/>
          <w:i/>
          <w:color w:val="0D0D0D" w:themeColor="text1" w:themeTint="F2"/>
          <w:sz w:val="28"/>
          <w:szCs w:val="28"/>
          <w:lang w:val="lv-LV" w:eastAsia="ar-SA"/>
        </w:rPr>
        <w:t xml:space="preserve">. </w:t>
      </w:r>
      <w:r w:rsidRPr="00DB28C3">
        <w:rPr>
          <w:rFonts w:eastAsia="Calibri"/>
          <w:b w:val="0"/>
          <w:color w:val="0D0D0D" w:themeColor="text1" w:themeTint="F2"/>
          <w:sz w:val="28"/>
          <w:szCs w:val="28"/>
          <w:lang w:val="lv-LV" w:eastAsia="ar-SA"/>
        </w:rPr>
        <w:t>S</w:t>
      </w:r>
      <w:r w:rsidRPr="00DB28C3">
        <w:rPr>
          <w:b w:val="0"/>
          <w:color w:val="0D0D0D" w:themeColor="text1" w:themeTint="F2"/>
          <w:sz w:val="28"/>
          <w:lang w:val="lv-LV"/>
        </w:rPr>
        <w:t>katīt ilustrāciju Nr. </w:t>
      </w:r>
      <w:r w:rsidR="00872272" w:rsidRPr="00DB28C3">
        <w:rPr>
          <w:b w:val="0"/>
          <w:color w:val="0D0D0D" w:themeColor="text1" w:themeTint="F2"/>
          <w:sz w:val="28"/>
          <w:lang w:val="lv-LV"/>
        </w:rPr>
        <w:t>5</w:t>
      </w:r>
      <w:r w:rsidRPr="00DB28C3">
        <w:rPr>
          <w:b w:val="0"/>
          <w:color w:val="0D0D0D" w:themeColor="text1" w:themeTint="F2"/>
          <w:sz w:val="28"/>
          <w:lang w:val="lv-LV"/>
        </w:rPr>
        <w:t xml:space="preserve">. </w:t>
      </w:r>
    </w:p>
    <w:p w14:paraId="66B67674" w14:textId="7FAF24DD" w:rsidR="006A6875" w:rsidRPr="00DB28C3" w:rsidRDefault="006A6875" w:rsidP="006A6875">
      <w:pPr>
        <w:spacing w:before="120" w:after="120" w:line="276" w:lineRule="auto"/>
        <w:jc w:val="both"/>
        <w:rPr>
          <w:rFonts w:eastAsia="Times New Roman" w:cs="Times New Roman"/>
          <w:bCs/>
          <w:i/>
          <w:color w:val="0D0D0D" w:themeColor="text1" w:themeTint="F2"/>
          <w:sz w:val="20"/>
          <w:szCs w:val="20"/>
        </w:rPr>
      </w:pPr>
      <w:r w:rsidRPr="00DB28C3">
        <w:rPr>
          <w:i/>
          <w:color w:val="0D0D0D" w:themeColor="text1" w:themeTint="F2"/>
          <w:szCs w:val="20"/>
        </w:rPr>
        <w:t xml:space="preserve">Ilustrācija Nr. </w:t>
      </w:r>
      <w:r w:rsidR="00872272" w:rsidRPr="00DB28C3">
        <w:rPr>
          <w:i/>
          <w:color w:val="0D0D0D" w:themeColor="text1" w:themeTint="F2"/>
          <w:szCs w:val="20"/>
        </w:rPr>
        <w:t>5</w:t>
      </w:r>
      <w:r w:rsidRPr="00DB28C3">
        <w:rPr>
          <w:i/>
          <w:color w:val="0D0D0D" w:themeColor="text1" w:themeTint="F2"/>
          <w:szCs w:val="20"/>
        </w:rPr>
        <w:t xml:space="preserve"> “2014. – 2020. gada plānošanas periods: Projektu iesniegumu 2019. gada plāna izpilde IPIA projektiem līdz 2019. gada 1. </w:t>
      </w:r>
      <w:r w:rsidR="003375E5">
        <w:rPr>
          <w:i/>
          <w:color w:val="0D0D0D" w:themeColor="text1" w:themeTint="F2"/>
          <w:szCs w:val="20"/>
        </w:rPr>
        <w:t>augustam</w:t>
      </w:r>
      <w:r w:rsidRPr="00DB28C3">
        <w:rPr>
          <w:i/>
          <w:color w:val="0D0D0D" w:themeColor="text1" w:themeTint="F2"/>
          <w:szCs w:val="20"/>
        </w:rPr>
        <w:t xml:space="preserve">, kumulatīvi, ES fondi milj. </w:t>
      </w:r>
      <w:proofErr w:type="spellStart"/>
      <w:r w:rsidRPr="00DB28C3">
        <w:rPr>
          <w:i/>
          <w:color w:val="0D0D0D" w:themeColor="text1" w:themeTint="F2"/>
          <w:szCs w:val="20"/>
        </w:rPr>
        <w:t>euro</w:t>
      </w:r>
      <w:proofErr w:type="spellEnd"/>
      <w:r w:rsidRPr="00DB28C3">
        <w:rPr>
          <w:i/>
          <w:color w:val="0D0D0D" w:themeColor="text1" w:themeTint="F2"/>
          <w:szCs w:val="20"/>
        </w:rPr>
        <w:t xml:space="preserve"> (skaits).”</w:t>
      </w:r>
      <w:r w:rsidR="003375E5" w:rsidRPr="003375E5">
        <w:rPr>
          <w:noProof/>
          <w:color w:val="0D0D0D" w:themeColor="text1" w:themeTint="F2"/>
          <w:lang w:eastAsia="lv-LV"/>
        </w:rPr>
        <w:t xml:space="preserve"> </w:t>
      </w:r>
      <w:r w:rsidR="003375E5" w:rsidRPr="00DB28C3">
        <w:rPr>
          <w:noProof/>
          <w:color w:val="0D0D0D" w:themeColor="text1" w:themeTint="F2"/>
          <w:lang w:eastAsia="lv-LV"/>
        </w:rPr>
        <w:drawing>
          <wp:inline distT="0" distB="0" distL="0" distR="0" wp14:anchorId="527EFCBA" wp14:editId="6B15DB02">
            <wp:extent cx="6013450" cy="3352800"/>
            <wp:effectExtent l="0" t="0" r="0" b="8890"/>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56B7FF33" w14:textId="785A6ADB" w:rsidR="006A6875" w:rsidRPr="00DB28C3" w:rsidRDefault="006A6875" w:rsidP="003E6377">
      <w:pPr>
        <w:spacing w:before="120" w:after="120" w:line="276" w:lineRule="auto"/>
        <w:ind w:firstLine="720"/>
        <w:jc w:val="both"/>
        <w:rPr>
          <w:rFonts w:eastAsia="Times New Roman" w:cs="Times New Roman"/>
          <w:bCs/>
          <w:color w:val="0D0D0D" w:themeColor="text1" w:themeTint="F2"/>
          <w:sz w:val="28"/>
          <w:szCs w:val="24"/>
        </w:rPr>
      </w:pPr>
      <w:r w:rsidRPr="00DB28C3">
        <w:rPr>
          <w:rFonts w:eastAsia="Times New Roman" w:cs="Times New Roman"/>
          <w:bCs/>
          <w:color w:val="0D0D0D" w:themeColor="text1" w:themeTint="F2"/>
          <w:sz w:val="28"/>
          <w:szCs w:val="24"/>
        </w:rPr>
        <w:t xml:space="preserve">Pirmā pusgada laikā vairākiem projektu iesniegumiem AI saskaņoja iesniegšanas termiņu pagarinājumus vairākkārt - pat līdz izsludinātās atlases noslēguma termiņam, kas rada risku projektu pabeigšanai termiņā. Kopumā iesniegumu termiņu uzraudzība ir labs instruments projektu ieviešanas disciplīnai, risku pārvaldībai un reālistiskākai resursu un procesu plūsmu plānošanai. </w:t>
      </w:r>
    </w:p>
    <w:p w14:paraId="2E03C209" w14:textId="6FFF8C9F" w:rsidR="00F117FA" w:rsidRPr="00DB28C3" w:rsidRDefault="00F117FA" w:rsidP="003E6377">
      <w:pPr>
        <w:pStyle w:val="BodyText"/>
        <w:ind w:firstLine="709"/>
        <w:jc w:val="both"/>
        <w:rPr>
          <w:rFonts w:eastAsia="Calibri"/>
          <w:b w:val="0"/>
          <w:color w:val="0D0D0D" w:themeColor="text1" w:themeTint="F2"/>
          <w:sz w:val="28"/>
          <w:szCs w:val="28"/>
          <w:lang w:val="lv-LV" w:eastAsia="ar-SA"/>
        </w:rPr>
      </w:pPr>
      <w:r w:rsidRPr="00DB28C3">
        <w:rPr>
          <w:rFonts w:eastAsia="Calibri"/>
          <w:b w:val="0"/>
          <w:color w:val="0D0D0D" w:themeColor="text1" w:themeTint="F2"/>
          <w:sz w:val="28"/>
          <w:szCs w:val="28"/>
          <w:lang w:val="lv-LV" w:eastAsia="ar-SA"/>
        </w:rPr>
        <w:t xml:space="preserve">Projektu maksājumu pieprasījumu plānu izpilde vidēji ir </w:t>
      </w:r>
      <w:r w:rsidR="009952D5">
        <w:rPr>
          <w:rFonts w:eastAsia="Calibri"/>
          <w:b w:val="0"/>
          <w:color w:val="0D0D0D" w:themeColor="text1" w:themeTint="F2"/>
          <w:sz w:val="28"/>
          <w:szCs w:val="28"/>
          <w:lang w:val="lv-LV" w:eastAsia="ar-SA"/>
        </w:rPr>
        <w:t>91</w:t>
      </w:r>
      <w:r w:rsidR="0081593F">
        <w:rPr>
          <w:rFonts w:eastAsia="Calibri"/>
          <w:b w:val="0"/>
          <w:color w:val="0D0D0D" w:themeColor="text1" w:themeTint="F2"/>
          <w:sz w:val="28"/>
          <w:szCs w:val="28"/>
          <w:lang w:val="lv-LV" w:eastAsia="ar-SA"/>
        </w:rPr>
        <w:t>,</w:t>
      </w:r>
      <w:r w:rsidR="009952D5">
        <w:rPr>
          <w:rFonts w:eastAsia="Calibri"/>
          <w:b w:val="0"/>
          <w:color w:val="0D0D0D" w:themeColor="text1" w:themeTint="F2"/>
          <w:sz w:val="28"/>
          <w:szCs w:val="28"/>
          <w:lang w:val="lv-LV" w:eastAsia="ar-SA"/>
        </w:rPr>
        <w:t>1</w:t>
      </w:r>
      <w:r w:rsidR="00B874D4">
        <w:rPr>
          <w:rFonts w:eastAsia="Calibri"/>
          <w:b w:val="0"/>
          <w:color w:val="0D0D0D" w:themeColor="text1" w:themeTint="F2"/>
          <w:sz w:val="28"/>
          <w:szCs w:val="28"/>
          <w:lang w:val="lv-LV" w:eastAsia="ar-SA"/>
        </w:rPr>
        <w:t> </w:t>
      </w:r>
      <w:r w:rsidRPr="00DB28C3">
        <w:rPr>
          <w:rFonts w:eastAsia="Calibri"/>
          <w:b w:val="0"/>
          <w:color w:val="0D0D0D" w:themeColor="text1" w:themeTint="F2"/>
          <w:sz w:val="28"/>
          <w:szCs w:val="28"/>
          <w:lang w:val="lv-LV" w:eastAsia="ar-SA"/>
        </w:rPr>
        <w:t>%. 2</w:t>
      </w:r>
      <w:r w:rsidR="00E30F87">
        <w:rPr>
          <w:rFonts w:eastAsia="Calibri"/>
          <w:b w:val="0"/>
          <w:color w:val="0D0D0D" w:themeColor="text1" w:themeTint="F2"/>
          <w:sz w:val="28"/>
          <w:szCs w:val="28"/>
          <w:lang w:val="lv-LV" w:eastAsia="ar-SA"/>
        </w:rPr>
        <w:t>8</w:t>
      </w:r>
      <w:r w:rsidRPr="00DB28C3">
        <w:rPr>
          <w:rFonts w:eastAsia="Calibri"/>
          <w:b w:val="0"/>
          <w:color w:val="0D0D0D" w:themeColor="text1" w:themeTint="F2"/>
          <w:sz w:val="28"/>
          <w:szCs w:val="28"/>
          <w:lang w:val="lv-LV" w:eastAsia="ar-SA"/>
        </w:rPr>
        <w:t>6 projektos ir negatīvas plāna novirzes lielākas par 25,0</w:t>
      </w:r>
      <w:r w:rsidR="00B874D4">
        <w:rPr>
          <w:rFonts w:eastAsia="Calibri"/>
          <w:b w:val="0"/>
          <w:color w:val="0D0D0D" w:themeColor="text1" w:themeTint="F2"/>
          <w:sz w:val="28"/>
          <w:szCs w:val="28"/>
          <w:lang w:val="lv-LV" w:eastAsia="ar-SA"/>
        </w:rPr>
        <w:t> </w:t>
      </w:r>
      <w:r w:rsidRPr="00DB28C3">
        <w:rPr>
          <w:rFonts w:eastAsia="Calibri"/>
          <w:b w:val="0"/>
          <w:color w:val="0D0D0D" w:themeColor="text1" w:themeTint="F2"/>
          <w:sz w:val="28"/>
          <w:szCs w:val="28"/>
          <w:lang w:val="lv-LV" w:eastAsia="ar-SA"/>
        </w:rPr>
        <w:t xml:space="preserve">%, t.i. </w:t>
      </w:r>
      <w:r w:rsidR="009952D5">
        <w:rPr>
          <w:rFonts w:eastAsia="Calibri"/>
          <w:b w:val="0"/>
          <w:color w:val="0D0D0D" w:themeColor="text1" w:themeTint="F2"/>
          <w:sz w:val="28"/>
          <w:szCs w:val="28"/>
          <w:lang w:val="lv-LV" w:eastAsia="ar-SA"/>
        </w:rPr>
        <w:t>85,0</w:t>
      </w:r>
      <w:r w:rsidRPr="00DB28C3">
        <w:rPr>
          <w:rFonts w:eastAsia="Calibri"/>
          <w:b w:val="0"/>
          <w:color w:val="0D0D0D" w:themeColor="text1" w:themeTint="F2"/>
          <w:sz w:val="28"/>
          <w:szCs w:val="28"/>
          <w:lang w:val="lv-LV" w:eastAsia="ar-SA"/>
        </w:rPr>
        <w:t> milj. </w:t>
      </w:r>
      <w:proofErr w:type="spellStart"/>
      <w:r w:rsidRPr="00DB28C3">
        <w:rPr>
          <w:rFonts w:eastAsia="Calibri"/>
          <w:b w:val="0"/>
          <w:i/>
          <w:color w:val="0D0D0D" w:themeColor="text1" w:themeTint="F2"/>
          <w:sz w:val="28"/>
          <w:szCs w:val="28"/>
          <w:lang w:val="lv-LV" w:eastAsia="ar-SA"/>
        </w:rPr>
        <w:t>euro</w:t>
      </w:r>
      <w:proofErr w:type="spellEnd"/>
      <w:r w:rsidRPr="00DB28C3">
        <w:rPr>
          <w:rFonts w:eastAsia="Calibri"/>
          <w:b w:val="0"/>
          <w:color w:val="0D0D0D" w:themeColor="text1" w:themeTint="F2"/>
          <w:sz w:val="28"/>
          <w:szCs w:val="28"/>
          <w:lang w:val="lv-LV" w:eastAsia="ar-SA"/>
        </w:rPr>
        <w:t xml:space="preserve"> (par </w:t>
      </w:r>
      <w:r w:rsidR="009952D5">
        <w:rPr>
          <w:rFonts w:eastAsia="Calibri"/>
          <w:b w:val="0"/>
          <w:color w:val="0D0D0D" w:themeColor="text1" w:themeTint="F2"/>
          <w:sz w:val="28"/>
          <w:szCs w:val="28"/>
          <w:lang w:val="lv-LV" w:eastAsia="ar-SA"/>
        </w:rPr>
        <w:t>21,8</w:t>
      </w:r>
      <w:r w:rsidRPr="00DB28C3">
        <w:rPr>
          <w:rFonts w:eastAsia="Calibri"/>
          <w:b w:val="0"/>
          <w:color w:val="0D0D0D" w:themeColor="text1" w:themeTint="F2"/>
          <w:sz w:val="28"/>
          <w:szCs w:val="28"/>
          <w:lang w:val="lv-LV" w:eastAsia="ar-SA"/>
        </w:rPr>
        <w:t> milj. </w:t>
      </w:r>
      <w:proofErr w:type="spellStart"/>
      <w:r w:rsidRPr="00DB28C3">
        <w:rPr>
          <w:rFonts w:eastAsia="Calibri"/>
          <w:b w:val="0"/>
          <w:i/>
          <w:color w:val="0D0D0D" w:themeColor="text1" w:themeTint="F2"/>
          <w:sz w:val="28"/>
          <w:szCs w:val="28"/>
          <w:lang w:val="lv-LV" w:eastAsia="ar-SA"/>
        </w:rPr>
        <w:t>euro</w:t>
      </w:r>
      <w:proofErr w:type="spellEnd"/>
      <w:r w:rsidRPr="00DB28C3">
        <w:rPr>
          <w:rFonts w:eastAsia="Calibri"/>
          <w:b w:val="0"/>
          <w:color w:val="0D0D0D" w:themeColor="text1" w:themeTint="F2"/>
          <w:sz w:val="28"/>
          <w:szCs w:val="28"/>
          <w:lang w:val="lv-LV" w:eastAsia="ar-SA"/>
        </w:rPr>
        <w:t xml:space="preserve"> lielāka negatīvā novirze</w:t>
      </w:r>
      <w:r w:rsidR="0081593F">
        <w:rPr>
          <w:rFonts w:eastAsia="Calibri"/>
          <w:b w:val="0"/>
          <w:color w:val="0D0D0D" w:themeColor="text1" w:themeTint="F2"/>
          <w:sz w:val="28"/>
          <w:szCs w:val="28"/>
          <w:lang w:val="lv-LV" w:eastAsia="ar-SA"/>
        </w:rPr>
        <w:t>,</w:t>
      </w:r>
      <w:r w:rsidRPr="00DB28C3">
        <w:rPr>
          <w:rFonts w:eastAsia="Calibri"/>
          <w:b w:val="0"/>
          <w:color w:val="0D0D0D" w:themeColor="text1" w:themeTint="F2"/>
          <w:sz w:val="28"/>
          <w:szCs w:val="28"/>
          <w:lang w:val="lv-LV" w:eastAsia="ar-SA"/>
        </w:rPr>
        <w:t xml:space="preserve"> salīdzinot ar iepriekšējo mēnesi). </w:t>
      </w:r>
      <w:r w:rsidRPr="00DB28C3">
        <w:rPr>
          <w:b w:val="0"/>
          <w:color w:val="0D0D0D"/>
          <w:sz w:val="28"/>
          <w:szCs w:val="28"/>
          <w:lang w:val="lv-LV"/>
        </w:rPr>
        <w:t xml:space="preserve">Lielākās neizpildes (kopā </w:t>
      </w:r>
      <w:r w:rsidR="009952D5">
        <w:rPr>
          <w:b w:val="0"/>
          <w:color w:val="0D0D0D"/>
          <w:sz w:val="28"/>
          <w:szCs w:val="28"/>
          <w:lang w:val="lv-LV"/>
        </w:rPr>
        <w:t>42,8</w:t>
      </w:r>
      <w:r w:rsidRPr="00DB28C3">
        <w:rPr>
          <w:b w:val="0"/>
          <w:color w:val="0D0D0D"/>
          <w:sz w:val="28"/>
          <w:szCs w:val="28"/>
          <w:lang w:val="lv-LV"/>
        </w:rPr>
        <w:t> % no kavējumiem) līdzīgi</w:t>
      </w:r>
      <w:r w:rsidR="0081593F">
        <w:rPr>
          <w:b w:val="0"/>
          <w:color w:val="0D0D0D"/>
          <w:sz w:val="28"/>
          <w:szCs w:val="28"/>
          <w:lang w:val="lv-LV"/>
        </w:rPr>
        <w:t>,</w:t>
      </w:r>
      <w:r w:rsidRPr="00DB28C3">
        <w:rPr>
          <w:b w:val="0"/>
          <w:color w:val="0D0D0D"/>
          <w:sz w:val="28"/>
          <w:szCs w:val="28"/>
          <w:lang w:val="lv-LV"/>
        </w:rPr>
        <w:t xml:space="preserve"> kā iepriekšējā mēnesī ir transporta, vides un teritoriālās attīstības projektos. Savukārt </w:t>
      </w:r>
      <w:r w:rsidR="00B874D4">
        <w:rPr>
          <w:b w:val="0"/>
          <w:color w:val="0D0D0D"/>
          <w:sz w:val="28"/>
          <w:szCs w:val="28"/>
          <w:lang w:val="lv-LV"/>
        </w:rPr>
        <w:t>FS</w:t>
      </w:r>
      <w:r w:rsidR="00B874D4" w:rsidRPr="00DB28C3">
        <w:rPr>
          <w:b w:val="0"/>
          <w:color w:val="0D0D0D"/>
          <w:sz w:val="28"/>
          <w:szCs w:val="28"/>
          <w:lang w:val="lv-LV"/>
        </w:rPr>
        <w:t xml:space="preserve"> </w:t>
      </w:r>
      <w:r w:rsidRPr="00DB28C3">
        <w:rPr>
          <w:b w:val="0"/>
          <w:color w:val="0D0D0D"/>
          <w:sz w:val="28"/>
          <w:szCs w:val="28"/>
          <w:lang w:val="lv-LV"/>
        </w:rPr>
        <w:t>dalījumā lielākās neizpildes - komersantu projektos (</w:t>
      </w:r>
      <w:r w:rsidR="009952D5">
        <w:rPr>
          <w:b w:val="0"/>
          <w:color w:val="0D0D0D"/>
          <w:sz w:val="28"/>
          <w:szCs w:val="28"/>
          <w:lang w:val="lv-LV"/>
        </w:rPr>
        <w:t>42,4</w:t>
      </w:r>
      <w:r w:rsidR="00153F5E">
        <w:rPr>
          <w:b w:val="0"/>
          <w:color w:val="0D0D0D"/>
          <w:sz w:val="28"/>
          <w:szCs w:val="28"/>
          <w:lang w:val="lv-LV"/>
        </w:rPr>
        <w:t> </w:t>
      </w:r>
      <w:r w:rsidRPr="00DB28C3">
        <w:rPr>
          <w:b w:val="0"/>
          <w:color w:val="0D0D0D"/>
          <w:sz w:val="28"/>
          <w:szCs w:val="28"/>
          <w:lang w:val="lv-LV"/>
        </w:rPr>
        <w:t>%), galvenokārt, vides un teritoriālās attīstības (</w:t>
      </w:r>
      <w:r w:rsidR="009952D5">
        <w:rPr>
          <w:b w:val="0"/>
          <w:color w:val="0D0D0D"/>
          <w:sz w:val="28"/>
          <w:szCs w:val="28"/>
          <w:lang w:val="lv-LV"/>
        </w:rPr>
        <w:t>17,3</w:t>
      </w:r>
      <w:r w:rsidRPr="00DB28C3">
        <w:rPr>
          <w:b w:val="0"/>
          <w:color w:val="0D0D0D"/>
          <w:sz w:val="28"/>
          <w:szCs w:val="28"/>
          <w:lang w:val="lv-LV"/>
        </w:rPr>
        <w:t>%) jomā.</w:t>
      </w:r>
      <w:r w:rsidRPr="00DB28C3">
        <w:rPr>
          <w:rFonts w:eastAsia="Calibri"/>
          <w:b w:val="0"/>
          <w:color w:val="0D0D0D" w:themeColor="text1" w:themeTint="F2"/>
          <w:sz w:val="28"/>
          <w:szCs w:val="28"/>
          <w:lang w:val="lv-LV" w:eastAsia="ar-SA"/>
        </w:rPr>
        <w:t xml:space="preserve"> Kopā projektu gada plāns kumulatīvi ir palielinājies par </w:t>
      </w:r>
      <w:r w:rsidR="009952D5">
        <w:rPr>
          <w:rFonts w:eastAsia="Calibri"/>
          <w:b w:val="0"/>
          <w:color w:val="0D0D0D" w:themeColor="text1" w:themeTint="F2"/>
          <w:sz w:val="28"/>
          <w:szCs w:val="28"/>
          <w:lang w:val="lv-LV" w:eastAsia="ar-SA"/>
        </w:rPr>
        <w:t>92,3</w:t>
      </w:r>
      <w:r w:rsidRPr="00DB28C3">
        <w:rPr>
          <w:rFonts w:eastAsia="Calibri"/>
          <w:b w:val="0"/>
          <w:color w:val="0D0D0D" w:themeColor="text1" w:themeTint="F2"/>
          <w:sz w:val="28"/>
          <w:szCs w:val="28"/>
          <w:lang w:val="lv-LV" w:eastAsia="ar-SA"/>
        </w:rPr>
        <w:t> milj. </w:t>
      </w:r>
      <w:proofErr w:type="spellStart"/>
      <w:r w:rsidRPr="00DB28C3">
        <w:rPr>
          <w:rFonts w:eastAsia="Calibri"/>
          <w:b w:val="0"/>
          <w:i/>
          <w:color w:val="0D0D0D" w:themeColor="text1" w:themeTint="F2"/>
          <w:sz w:val="28"/>
          <w:szCs w:val="28"/>
          <w:lang w:val="lv-LV" w:eastAsia="ar-SA"/>
        </w:rPr>
        <w:t>euro</w:t>
      </w:r>
      <w:proofErr w:type="spellEnd"/>
      <w:r w:rsidRPr="00DB28C3">
        <w:rPr>
          <w:rFonts w:eastAsia="Calibri"/>
          <w:b w:val="0"/>
          <w:color w:val="0D0D0D" w:themeColor="text1" w:themeTint="F2"/>
          <w:sz w:val="28"/>
          <w:szCs w:val="28"/>
          <w:lang w:val="lv-LV" w:eastAsia="ar-SA"/>
        </w:rPr>
        <w:t xml:space="preserve"> gan jaunu projektu (</w:t>
      </w:r>
      <w:r w:rsidR="009952D5">
        <w:rPr>
          <w:rFonts w:eastAsia="Calibri"/>
          <w:b w:val="0"/>
          <w:color w:val="0D0D0D" w:themeColor="text1" w:themeTint="F2"/>
          <w:sz w:val="28"/>
          <w:szCs w:val="28"/>
          <w:lang w:val="lv-LV" w:eastAsia="ar-SA"/>
        </w:rPr>
        <w:t>74,5</w:t>
      </w:r>
      <w:r w:rsidRPr="00DB28C3">
        <w:rPr>
          <w:rFonts w:eastAsia="Calibri"/>
          <w:b w:val="0"/>
          <w:color w:val="0D0D0D" w:themeColor="text1" w:themeTint="F2"/>
          <w:sz w:val="28"/>
          <w:szCs w:val="28"/>
          <w:lang w:val="lv-LV" w:eastAsia="ar-SA"/>
        </w:rPr>
        <w:t xml:space="preserve"> milj. </w:t>
      </w:r>
      <w:proofErr w:type="spellStart"/>
      <w:r w:rsidRPr="00DB28C3">
        <w:rPr>
          <w:rFonts w:eastAsia="Calibri"/>
          <w:b w:val="0"/>
          <w:i/>
          <w:color w:val="0D0D0D" w:themeColor="text1" w:themeTint="F2"/>
          <w:sz w:val="28"/>
          <w:szCs w:val="28"/>
          <w:lang w:val="lv-LV" w:eastAsia="ar-SA"/>
        </w:rPr>
        <w:t>euro</w:t>
      </w:r>
      <w:proofErr w:type="spellEnd"/>
      <w:r w:rsidRPr="00DB28C3">
        <w:rPr>
          <w:rFonts w:eastAsia="Calibri"/>
          <w:b w:val="0"/>
          <w:color w:val="0D0D0D" w:themeColor="text1" w:themeTint="F2"/>
          <w:sz w:val="28"/>
          <w:szCs w:val="28"/>
          <w:lang w:val="lv-LV" w:eastAsia="ar-SA"/>
        </w:rPr>
        <w:t xml:space="preserve">), gan esošo plānu aktualizācijas rezultātā. Projektos, kuri samazinājuši gada izpildes </w:t>
      </w:r>
      <w:r w:rsidRPr="00DB28C3">
        <w:rPr>
          <w:rFonts w:eastAsia="Calibri"/>
          <w:b w:val="0"/>
          <w:color w:val="0D0D0D" w:themeColor="text1" w:themeTint="F2"/>
          <w:sz w:val="28"/>
          <w:szCs w:val="28"/>
          <w:lang w:val="lv-LV" w:eastAsia="ar-SA"/>
        </w:rPr>
        <w:lastRenderedPageBreak/>
        <w:t xml:space="preserve">prognozi, kopā negatīva ietekme uz gada plānu ir </w:t>
      </w:r>
      <w:r w:rsidR="009952D5">
        <w:rPr>
          <w:rFonts w:eastAsia="Calibri"/>
          <w:b w:val="0"/>
          <w:color w:val="0D0D0D" w:themeColor="text1" w:themeTint="F2"/>
          <w:sz w:val="28"/>
          <w:szCs w:val="28"/>
          <w:lang w:val="lv-LV" w:eastAsia="ar-SA"/>
        </w:rPr>
        <w:t>45,1</w:t>
      </w:r>
      <w:r w:rsidRPr="00DB28C3">
        <w:rPr>
          <w:rFonts w:eastAsia="Calibri"/>
          <w:b w:val="0"/>
          <w:color w:val="0D0D0D" w:themeColor="text1" w:themeTint="F2"/>
          <w:sz w:val="28"/>
          <w:szCs w:val="28"/>
          <w:lang w:val="lv-LV" w:eastAsia="ar-SA"/>
        </w:rPr>
        <w:t xml:space="preserve"> milj. </w:t>
      </w:r>
      <w:proofErr w:type="spellStart"/>
      <w:r w:rsidRPr="00DB28C3">
        <w:rPr>
          <w:rFonts w:eastAsia="Calibri"/>
          <w:b w:val="0"/>
          <w:i/>
          <w:color w:val="0D0D0D" w:themeColor="text1" w:themeTint="F2"/>
          <w:sz w:val="28"/>
          <w:szCs w:val="28"/>
          <w:lang w:val="lv-LV" w:eastAsia="ar-SA"/>
        </w:rPr>
        <w:t>euro</w:t>
      </w:r>
      <w:proofErr w:type="spellEnd"/>
      <w:r w:rsidRPr="00DB28C3">
        <w:rPr>
          <w:rFonts w:eastAsia="Calibri"/>
          <w:b w:val="0"/>
          <w:i/>
          <w:color w:val="0D0D0D" w:themeColor="text1" w:themeTint="F2"/>
          <w:sz w:val="28"/>
          <w:szCs w:val="28"/>
          <w:lang w:val="lv-LV" w:eastAsia="ar-SA"/>
        </w:rPr>
        <w:t xml:space="preserve">, </w:t>
      </w:r>
      <w:r w:rsidRPr="00DB28C3">
        <w:rPr>
          <w:rFonts w:eastAsia="Calibri"/>
          <w:b w:val="0"/>
          <w:color w:val="0D0D0D" w:themeColor="text1" w:themeTint="F2"/>
          <w:sz w:val="28"/>
          <w:szCs w:val="28"/>
          <w:lang w:val="lv-LV" w:eastAsia="ar-SA"/>
        </w:rPr>
        <w:t>t.sk.</w:t>
      </w:r>
      <w:r w:rsidRPr="00DB28C3">
        <w:rPr>
          <w:rFonts w:eastAsia="Calibri"/>
          <w:b w:val="0"/>
          <w:i/>
          <w:color w:val="0D0D0D" w:themeColor="text1" w:themeTint="F2"/>
          <w:sz w:val="28"/>
          <w:szCs w:val="28"/>
          <w:lang w:val="lv-LV" w:eastAsia="ar-SA"/>
        </w:rPr>
        <w:t xml:space="preserve"> </w:t>
      </w:r>
      <w:r w:rsidR="009952D5">
        <w:rPr>
          <w:rFonts w:eastAsia="Calibri"/>
          <w:b w:val="0"/>
          <w:color w:val="0D0D0D" w:themeColor="text1" w:themeTint="F2"/>
          <w:sz w:val="28"/>
          <w:szCs w:val="28"/>
          <w:lang w:val="lv-LV" w:eastAsia="ar-SA"/>
        </w:rPr>
        <w:t>35</w:t>
      </w:r>
      <w:r w:rsidR="009952D5" w:rsidRPr="00DB28C3">
        <w:rPr>
          <w:rFonts w:eastAsia="Calibri"/>
          <w:b w:val="0"/>
          <w:color w:val="0D0D0D" w:themeColor="text1" w:themeTint="F2"/>
          <w:sz w:val="28"/>
          <w:szCs w:val="28"/>
          <w:lang w:val="lv-LV" w:eastAsia="ar-SA"/>
        </w:rPr>
        <w:t xml:space="preserve"> </w:t>
      </w:r>
      <w:r w:rsidRPr="00DB28C3">
        <w:rPr>
          <w:rFonts w:eastAsia="Calibri"/>
          <w:b w:val="0"/>
          <w:color w:val="0D0D0D" w:themeColor="text1" w:themeTint="F2"/>
          <w:sz w:val="28"/>
          <w:szCs w:val="28"/>
          <w:lang w:val="lv-LV" w:eastAsia="ar-SA"/>
        </w:rPr>
        <w:t>projektos samazinājums ir vairāk kā par 25,0</w:t>
      </w:r>
      <w:r w:rsidR="00B874D4">
        <w:rPr>
          <w:rFonts w:eastAsia="Calibri"/>
          <w:b w:val="0"/>
          <w:color w:val="0D0D0D" w:themeColor="text1" w:themeTint="F2"/>
          <w:sz w:val="28"/>
          <w:szCs w:val="28"/>
          <w:lang w:val="lv-LV" w:eastAsia="ar-SA"/>
        </w:rPr>
        <w:t> </w:t>
      </w:r>
      <w:r w:rsidRPr="00DB28C3">
        <w:rPr>
          <w:rFonts w:eastAsia="Calibri"/>
          <w:b w:val="0"/>
          <w:color w:val="0D0D0D" w:themeColor="text1" w:themeTint="F2"/>
          <w:sz w:val="28"/>
          <w:szCs w:val="28"/>
          <w:lang w:val="lv-LV" w:eastAsia="ar-SA"/>
        </w:rPr>
        <w:t xml:space="preserve">% (kopā </w:t>
      </w:r>
      <w:r w:rsidR="009952D5">
        <w:rPr>
          <w:rFonts w:eastAsia="Calibri"/>
          <w:b w:val="0"/>
          <w:color w:val="0D0D0D" w:themeColor="text1" w:themeTint="F2"/>
          <w:sz w:val="28"/>
          <w:szCs w:val="28"/>
          <w:lang w:val="lv-LV" w:eastAsia="ar-SA"/>
        </w:rPr>
        <w:t>34,5</w:t>
      </w:r>
      <w:r w:rsidRPr="00DB28C3">
        <w:rPr>
          <w:rFonts w:eastAsia="Calibri"/>
          <w:b w:val="0"/>
          <w:color w:val="0D0D0D" w:themeColor="text1" w:themeTint="F2"/>
          <w:sz w:val="28"/>
          <w:szCs w:val="28"/>
          <w:lang w:val="lv-LV" w:eastAsia="ar-SA"/>
        </w:rPr>
        <w:t xml:space="preserve"> milj. </w:t>
      </w:r>
      <w:proofErr w:type="spellStart"/>
      <w:r w:rsidRPr="00DB28C3">
        <w:rPr>
          <w:rFonts w:eastAsia="Calibri"/>
          <w:b w:val="0"/>
          <w:i/>
          <w:color w:val="0D0D0D" w:themeColor="text1" w:themeTint="F2"/>
          <w:sz w:val="28"/>
          <w:szCs w:val="28"/>
          <w:lang w:val="lv-LV" w:eastAsia="ar-SA"/>
        </w:rPr>
        <w:t>euro</w:t>
      </w:r>
      <w:proofErr w:type="spellEnd"/>
      <w:r w:rsidRPr="00DB28C3">
        <w:rPr>
          <w:rFonts w:eastAsia="Calibri"/>
          <w:b w:val="0"/>
          <w:color w:val="0D0D0D" w:themeColor="text1" w:themeTint="F2"/>
          <w:sz w:val="28"/>
          <w:szCs w:val="28"/>
          <w:lang w:val="lv-LV" w:eastAsia="ar-SA"/>
        </w:rPr>
        <w:t>).</w:t>
      </w:r>
    </w:p>
    <w:p w14:paraId="598CF775" w14:textId="6D17F893" w:rsidR="00C95765" w:rsidRPr="00DB28C3" w:rsidRDefault="00F117FA" w:rsidP="003E6377">
      <w:pPr>
        <w:pStyle w:val="BodyText"/>
        <w:ind w:firstLine="709"/>
        <w:jc w:val="both"/>
        <w:rPr>
          <w:rFonts w:eastAsia="Calibri"/>
          <w:b w:val="0"/>
          <w:color w:val="0D0D0D" w:themeColor="text1" w:themeTint="F2"/>
          <w:sz w:val="28"/>
          <w:szCs w:val="28"/>
          <w:lang w:val="lv-LV" w:eastAsia="ar-SA"/>
        </w:rPr>
      </w:pPr>
      <w:r w:rsidRPr="00DB28C3">
        <w:rPr>
          <w:rFonts w:eastAsia="Calibri"/>
          <w:b w:val="0"/>
          <w:color w:val="0D0D0D" w:themeColor="text1" w:themeTint="F2"/>
          <w:sz w:val="28"/>
          <w:szCs w:val="28"/>
          <w:lang w:val="lv-LV" w:eastAsia="ar-SA"/>
        </w:rPr>
        <w:t xml:space="preserve">Individuāliem projektiem palielinās risks neizpildīt gada plānu atbilstoši finanšu disciplīnas nosacījumiem, jo ievērojami pieaug kavējumi </w:t>
      </w:r>
      <w:r w:rsidR="0097488B">
        <w:rPr>
          <w:rFonts w:eastAsia="Calibri"/>
          <w:b w:val="0"/>
          <w:color w:val="0D0D0D" w:themeColor="text1" w:themeTint="F2"/>
          <w:sz w:val="28"/>
          <w:szCs w:val="28"/>
          <w:lang w:val="lv-LV" w:eastAsia="ar-SA"/>
        </w:rPr>
        <w:t xml:space="preserve">četrus un </w:t>
      </w:r>
      <w:r w:rsidRPr="00DB28C3">
        <w:rPr>
          <w:rFonts w:eastAsia="Calibri"/>
          <w:b w:val="0"/>
          <w:color w:val="0D0D0D" w:themeColor="text1" w:themeTint="F2"/>
          <w:sz w:val="28"/>
          <w:szCs w:val="28"/>
          <w:lang w:val="lv-LV" w:eastAsia="ar-SA"/>
        </w:rPr>
        <w:t>vairāk mēnešus pēc kārtas</w:t>
      </w:r>
      <w:r w:rsidR="0081593F">
        <w:rPr>
          <w:rFonts w:eastAsia="Calibri"/>
          <w:b w:val="0"/>
          <w:color w:val="0D0D0D" w:themeColor="text1" w:themeTint="F2"/>
          <w:sz w:val="28"/>
          <w:szCs w:val="28"/>
          <w:lang w:val="lv-LV" w:eastAsia="ar-SA"/>
        </w:rPr>
        <w:t>. J</w:t>
      </w:r>
      <w:r w:rsidRPr="00DB28C3">
        <w:rPr>
          <w:rFonts w:eastAsia="Calibri"/>
          <w:b w:val="0"/>
          <w:color w:val="0D0D0D" w:themeColor="text1" w:themeTint="F2"/>
          <w:sz w:val="28"/>
          <w:szCs w:val="28"/>
          <w:lang w:val="lv-LV" w:eastAsia="ar-SA"/>
        </w:rPr>
        <w:t>a 2019. gada maijā tādi ir 12,0</w:t>
      </w:r>
      <w:r w:rsidR="00B874D4">
        <w:rPr>
          <w:rFonts w:eastAsia="Calibri"/>
          <w:b w:val="0"/>
          <w:color w:val="0D0D0D" w:themeColor="text1" w:themeTint="F2"/>
          <w:sz w:val="28"/>
          <w:szCs w:val="28"/>
          <w:lang w:val="lv-LV" w:eastAsia="ar-SA"/>
        </w:rPr>
        <w:t> </w:t>
      </w:r>
      <w:r w:rsidRPr="00DB28C3">
        <w:rPr>
          <w:rFonts w:eastAsia="Calibri"/>
          <w:b w:val="0"/>
          <w:color w:val="0D0D0D" w:themeColor="text1" w:themeTint="F2"/>
          <w:sz w:val="28"/>
          <w:szCs w:val="28"/>
          <w:lang w:val="lv-LV" w:eastAsia="ar-SA"/>
        </w:rPr>
        <w:t xml:space="preserve">%, </w:t>
      </w:r>
      <w:r w:rsidR="0026363B">
        <w:rPr>
          <w:rFonts w:eastAsia="Calibri"/>
          <w:b w:val="0"/>
          <w:color w:val="0D0D0D" w:themeColor="text1" w:themeTint="F2"/>
          <w:sz w:val="28"/>
          <w:szCs w:val="28"/>
          <w:lang w:val="lv-LV" w:eastAsia="ar-SA"/>
        </w:rPr>
        <w:t>tad jūnijā tie bija 39,5 %, bet</w:t>
      </w:r>
      <w:r w:rsidR="0026363B" w:rsidRPr="00DB28C3">
        <w:rPr>
          <w:rFonts w:eastAsia="Calibri"/>
          <w:b w:val="0"/>
          <w:color w:val="0D0D0D" w:themeColor="text1" w:themeTint="F2"/>
          <w:sz w:val="28"/>
          <w:szCs w:val="28"/>
          <w:lang w:val="lv-LV" w:eastAsia="ar-SA"/>
        </w:rPr>
        <w:t xml:space="preserve"> </w:t>
      </w:r>
      <w:r w:rsidRPr="00DB28C3">
        <w:rPr>
          <w:rFonts w:eastAsia="Calibri"/>
          <w:b w:val="0"/>
          <w:color w:val="0D0D0D" w:themeColor="text1" w:themeTint="F2"/>
          <w:sz w:val="28"/>
          <w:szCs w:val="28"/>
          <w:lang w:val="lv-LV" w:eastAsia="ar-SA"/>
        </w:rPr>
        <w:t>jū</w:t>
      </w:r>
      <w:r w:rsidR="0026363B">
        <w:rPr>
          <w:rFonts w:eastAsia="Calibri"/>
          <w:b w:val="0"/>
          <w:color w:val="0D0D0D" w:themeColor="text1" w:themeTint="F2"/>
          <w:sz w:val="28"/>
          <w:szCs w:val="28"/>
          <w:lang w:val="lv-LV" w:eastAsia="ar-SA"/>
        </w:rPr>
        <w:t>l</w:t>
      </w:r>
      <w:r w:rsidRPr="00DB28C3">
        <w:rPr>
          <w:rFonts w:eastAsia="Calibri"/>
          <w:b w:val="0"/>
          <w:color w:val="0D0D0D" w:themeColor="text1" w:themeTint="F2"/>
          <w:sz w:val="28"/>
          <w:szCs w:val="28"/>
          <w:lang w:val="lv-LV" w:eastAsia="ar-SA"/>
        </w:rPr>
        <w:t xml:space="preserve">ijā jau </w:t>
      </w:r>
      <w:r w:rsidR="00B31041">
        <w:rPr>
          <w:rFonts w:eastAsia="Calibri"/>
          <w:b w:val="0"/>
          <w:color w:val="0D0D0D" w:themeColor="text1" w:themeTint="F2"/>
          <w:sz w:val="28"/>
          <w:szCs w:val="28"/>
          <w:lang w:val="lv-LV" w:eastAsia="ar-SA"/>
        </w:rPr>
        <w:t>54,2</w:t>
      </w:r>
      <w:r w:rsidR="00B874D4">
        <w:rPr>
          <w:rFonts w:eastAsia="Calibri"/>
          <w:b w:val="0"/>
          <w:color w:val="0D0D0D" w:themeColor="text1" w:themeTint="F2"/>
          <w:sz w:val="28"/>
          <w:szCs w:val="28"/>
          <w:lang w:val="lv-LV" w:eastAsia="ar-SA"/>
        </w:rPr>
        <w:t> </w:t>
      </w:r>
      <w:r w:rsidRPr="00DB28C3">
        <w:rPr>
          <w:rFonts w:eastAsia="Calibri"/>
          <w:b w:val="0"/>
          <w:color w:val="0D0D0D" w:themeColor="text1" w:themeTint="F2"/>
          <w:sz w:val="28"/>
          <w:szCs w:val="28"/>
          <w:lang w:val="lv-LV" w:eastAsia="ar-SA"/>
        </w:rPr>
        <w:t xml:space="preserve">% no kopējiem kavējumiem, t.sk </w:t>
      </w:r>
      <w:r w:rsidR="00B20296" w:rsidRPr="00DB28C3">
        <w:rPr>
          <w:rFonts w:eastAsia="Calibri"/>
          <w:b w:val="0"/>
          <w:color w:val="0D0D0D" w:themeColor="text1" w:themeTint="F2"/>
          <w:sz w:val="28"/>
          <w:szCs w:val="28"/>
          <w:lang w:val="lv-LV" w:eastAsia="ar-SA"/>
        </w:rPr>
        <w:t>komersantu</w:t>
      </w:r>
      <w:r w:rsidR="00B20296" w:rsidDel="00B20296">
        <w:rPr>
          <w:rFonts w:eastAsia="Calibri"/>
          <w:b w:val="0"/>
          <w:color w:val="0D0D0D" w:themeColor="text1" w:themeTint="F2"/>
          <w:sz w:val="28"/>
          <w:szCs w:val="28"/>
          <w:lang w:val="lv-LV" w:eastAsia="ar-SA"/>
        </w:rPr>
        <w:t xml:space="preserve"> </w:t>
      </w:r>
      <w:r w:rsidR="00B20296">
        <w:rPr>
          <w:rFonts w:eastAsia="Calibri"/>
          <w:b w:val="0"/>
          <w:color w:val="0D0D0D" w:themeColor="text1" w:themeTint="F2"/>
          <w:sz w:val="28"/>
          <w:szCs w:val="28"/>
          <w:lang w:val="lv-LV" w:eastAsia="ar-SA"/>
        </w:rPr>
        <w:t xml:space="preserve">(24,1 %)  un </w:t>
      </w:r>
      <w:r w:rsidRPr="00DB28C3">
        <w:rPr>
          <w:rFonts w:eastAsia="Calibri"/>
          <w:b w:val="0"/>
          <w:color w:val="0D0D0D" w:themeColor="text1" w:themeTint="F2"/>
          <w:sz w:val="28"/>
          <w:szCs w:val="28"/>
          <w:lang w:val="lv-LV" w:eastAsia="ar-SA"/>
        </w:rPr>
        <w:t>pašvaldību</w:t>
      </w:r>
      <w:r w:rsidR="00B20296">
        <w:rPr>
          <w:rFonts w:eastAsia="Calibri"/>
          <w:b w:val="0"/>
          <w:color w:val="0D0D0D" w:themeColor="text1" w:themeTint="F2"/>
          <w:sz w:val="28"/>
          <w:szCs w:val="28"/>
          <w:lang w:val="lv-LV" w:eastAsia="ar-SA"/>
        </w:rPr>
        <w:t xml:space="preserve"> (15,6 %) </w:t>
      </w:r>
      <w:r w:rsidRPr="00DB28C3">
        <w:rPr>
          <w:rFonts w:eastAsia="Calibri"/>
          <w:b w:val="0"/>
          <w:color w:val="0D0D0D" w:themeColor="text1" w:themeTint="F2"/>
          <w:sz w:val="28"/>
          <w:szCs w:val="28"/>
          <w:lang w:val="lv-LV" w:eastAsia="ar-SA"/>
        </w:rPr>
        <w:t>projektos,</w:t>
      </w:r>
      <w:r w:rsidR="0081593F">
        <w:rPr>
          <w:rFonts w:eastAsia="Calibri"/>
          <w:b w:val="0"/>
          <w:color w:val="0D0D0D" w:themeColor="text1" w:themeTint="F2"/>
          <w:sz w:val="28"/>
          <w:szCs w:val="28"/>
          <w:lang w:val="lv-LV" w:eastAsia="ar-SA"/>
        </w:rPr>
        <w:t xml:space="preserve"> </w:t>
      </w:r>
      <w:r w:rsidRPr="00DB28C3">
        <w:rPr>
          <w:rFonts w:eastAsia="Calibri"/>
          <w:b w:val="0"/>
          <w:color w:val="0D0D0D" w:themeColor="text1" w:themeTint="F2"/>
          <w:sz w:val="28"/>
          <w:szCs w:val="28"/>
          <w:lang w:val="lv-LV" w:eastAsia="ar-SA"/>
        </w:rPr>
        <w:t>galvenokārt</w:t>
      </w:r>
      <w:r w:rsidR="0081593F">
        <w:rPr>
          <w:rFonts w:eastAsia="Calibri"/>
          <w:b w:val="0"/>
          <w:color w:val="0D0D0D" w:themeColor="text1" w:themeTint="F2"/>
          <w:sz w:val="28"/>
          <w:szCs w:val="28"/>
          <w:lang w:val="lv-LV" w:eastAsia="ar-SA"/>
        </w:rPr>
        <w:t>,</w:t>
      </w:r>
      <w:r w:rsidRPr="00DB28C3">
        <w:rPr>
          <w:rFonts w:eastAsia="Calibri"/>
          <w:b w:val="0"/>
          <w:color w:val="0D0D0D" w:themeColor="text1" w:themeTint="F2"/>
          <w:sz w:val="28"/>
          <w:szCs w:val="28"/>
          <w:lang w:val="lv-LV" w:eastAsia="ar-SA"/>
        </w:rPr>
        <w:t xml:space="preserve"> </w:t>
      </w:r>
      <w:r w:rsidR="00B31041" w:rsidRPr="00DB28C3">
        <w:rPr>
          <w:b w:val="0"/>
          <w:color w:val="0D0D0D"/>
          <w:sz w:val="28"/>
          <w:szCs w:val="28"/>
          <w:lang w:val="lv-LV"/>
        </w:rPr>
        <w:t>vides un teritoriālās attīstības (</w:t>
      </w:r>
      <w:r w:rsidR="00B31041">
        <w:rPr>
          <w:b w:val="0"/>
          <w:color w:val="0D0D0D"/>
          <w:sz w:val="28"/>
          <w:szCs w:val="28"/>
          <w:lang w:val="lv-LV"/>
        </w:rPr>
        <w:t>14</w:t>
      </w:r>
      <w:r w:rsidR="00B31041" w:rsidRPr="00DB28C3">
        <w:rPr>
          <w:b w:val="0"/>
          <w:color w:val="0D0D0D"/>
          <w:sz w:val="28"/>
          <w:szCs w:val="28"/>
          <w:lang w:val="lv-LV"/>
        </w:rPr>
        <w:t>,</w:t>
      </w:r>
      <w:r w:rsidR="00B31041">
        <w:rPr>
          <w:b w:val="0"/>
          <w:color w:val="0D0D0D"/>
          <w:sz w:val="28"/>
          <w:szCs w:val="28"/>
          <w:lang w:val="lv-LV"/>
        </w:rPr>
        <w:t>2 </w:t>
      </w:r>
      <w:r w:rsidR="00B31041" w:rsidRPr="00DB28C3">
        <w:rPr>
          <w:b w:val="0"/>
          <w:color w:val="0D0D0D"/>
          <w:sz w:val="28"/>
          <w:szCs w:val="28"/>
          <w:lang w:val="lv-LV"/>
        </w:rPr>
        <w:t>%)</w:t>
      </w:r>
      <w:r w:rsidR="00B31041">
        <w:rPr>
          <w:b w:val="0"/>
          <w:color w:val="0D0D0D"/>
          <w:sz w:val="28"/>
          <w:szCs w:val="28"/>
          <w:lang w:val="lv-LV"/>
        </w:rPr>
        <w:t xml:space="preserve">, </w:t>
      </w:r>
      <w:r w:rsidRPr="00DB28C3">
        <w:rPr>
          <w:rFonts w:eastAsia="Calibri"/>
          <w:b w:val="0"/>
          <w:color w:val="0D0D0D" w:themeColor="text1" w:themeTint="F2"/>
          <w:sz w:val="28"/>
          <w:szCs w:val="28"/>
          <w:lang w:val="lv-LV" w:eastAsia="ar-SA"/>
        </w:rPr>
        <w:t>transporta (</w:t>
      </w:r>
      <w:r w:rsidR="00B31041">
        <w:rPr>
          <w:b w:val="0"/>
          <w:color w:val="0D0D0D"/>
          <w:sz w:val="28"/>
          <w:szCs w:val="28"/>
          <w:lang w:val="lv-LV"/>
        </w:rPr>
        <w:t>8,5</w:t>
      </w:r>
      <w:r w:rsidR="00B874D4">
        <w:rPr>
          <w:b w:val="0"/>
          <w:color w:val="0D0D0D"/>
          <w:sz w:val="28"/>
          <w:szCs w:val="28"/>
          <w:lang w:val="lv-LV"/>
        </w:rPr>
        <w:t> </w:t>
      </w:r>
      <w:r w:rsidRPr="00DB28C3">
        <w:rPr>
          <w:b w:val="0"/>
          <w:color w:val="0D0D0D"/>
          <w:sz w:val="28"/>
          <w:szCs w:val="28"/>
          <w:lang w:val="lv-LV"/>
        </w:rPr>
        <w:t>%)</w:t>
      </w:r>
      <w:r w:rsidR="00B31041">
        <w:rPr>
          <w:b w:val="0"/>
          <w:color w:val="0D0D0D"/>
          <w:sz w:val="28"/>
          <w:szCs w:val="28"/>
          <w:lang w:val="lv-LV"/>
        </w:rPr>
        <w:t xml:space="preserve"> </w:t>
      </w:r>
      <w:r w:rsidR="00B31041" w:rsidRPr="00DB28C3">
        <w:rPr>
          <w:b w:val="0"/>
          <w:color w:val="0D0D0D"/>
          <w:sz w:val="28"/>
          <w:szCs w:val="28"/>
          <w:lang w:val="lv-LV"/>
        </w:rPr>
        <w:t>jomās</w:t>
      </w:r>
      <w:r w:rsidRPr="00DB28C3">
        <w:rPr>
          <w:rFonts w:eastAsia="Calibri"/>
          <w:b w:val="0"/>
          <w:color w:val="0D0D0D" w:themeColor="text1" w:themeTint="F2"/>
          <w:sz w:val="28"/>
          <w:szCs w:val="28"/>
          <w:lang w:val="lv-LV" w:eastAsia="ar-SA"/>
        </w:rPr>
        <w:t>.</w:t>
      </w:r>
      <w:r w:rsidR="00C77614">
        <w:rPr>
          <w:rFonts w:eastAsia="Calibri"/>
          <w:b w:val="0"/>
          <w:color w:val="0D0D0D" w:themeColor="text1" w:themeTint="F2"/>
          <w:sz w:val="28"/>
          <w:szCs w:val="28"/>
          <w:lang w:val="lv-LV" w:eastAsia="ar-SA"/>
        </w:rPr>
        <w:t xml:space="preserve"> </w:t>
      </w:r>
      <w:r w:rsidR="00913512" w:rsidRPr="00DB28C3">
        <w:rPr>
          <w:rFonts w:eastAsia="Calibri"/>
          <w:b w:val="0"/>
          <w:color w:val="0D0D0D" w:themeColor="text1" w:themeTint="F2"/>
          <w:sz w:val="28"/>
          <w:szCs w:val="28"/>
          <w:lang w:val="lv-LV" w:eastAsia="ar-SA"/>
        </w:rPr>
        <w:t>Skatīt</w:t>
      </w:r>
      <w:r w:rsidR="00C95765" w:rsidRPr="00DB28C3">
        <w:rPr>
          <w:rFonts w:eastAsia="Calibri"/>
          <w:b w:val="0"/>
          <w:color w:val="0D0D0D" w:themeColor="text1" w:themeTint="F2"/>
          <w:sz w:val="28"/>
          <w:szCs w:val="28"/>
          <w:lang w:val="lv-LV" w:eastAsia="ar-SA"/>
        </w:rPr>
        <w:t xml:space="preserve"> ilustrācijas </w:t>
      </w:r>
      <w:r w:rsidR="00787DFE" w:rsidRPr="00DB28C3">
        <w:rPr>
          <w:rFonts w:eastAsia="Calibri"/>
          <w:b w:val="0"/>
          <w:color w:val="0D0D0D" w:themeColor="text1" w:themeTint="F2"/>
          <w:sz w:val="28"/>
          <w:szCs w:val="28"/>
          <w:lang w:val="lv-LV" w:eastAsia="ar-SA"/>
        </w:rPr>
        <w:t>Nr. 6 un Nr. 7</w:t>
      </w:r>
      <w:r w:rsidR="00C95765" w:rsidRPr="00DB28C3">
        <w:rPr>
          <w:rFonts w:eastAsia="Calibri"/>
          <w:b w:val="0"/>
          <w:color w:val="0D0D0D" w:themeColor="text1" w:themeTint="F2"/>
          <w:sz w:val="28"/>
          <w:szCs w:val="28"/>
          <w:lang w:val="lv-LV" w:eastAsia="ar-SA"/>
        </w:rPr>
        <w:t>.</w:t>
      </w:r>
    </w:p>
    <w:p w14:paraId="13B6B37E" w14:textId="5154E8F9" w:rsidR="00936BF0" w:rsidRDefault="00936BF0" w:rsidP="00936BF0">
      <w:pPr>
        <w:pStyle w:val="BodyText"/>
        <w:tabs>
          <w:tab w:val="left" w:pos="426"/>
        </w:tabs>
        <w:suppressAutoHyphens/>
        <w:spacing w:line="240" w:lineRule="auto"/>
        <w:jc w:val="both"/>
        <w:rPr>
          <w:b w:val="0"/>
          <w:i/>
          <w:lang w:val="lv-LV" w:eastAsia="ar-SA"/>
        </w:rPr>
      </w:pPr>
      <w:r w:rsidRPr="00DB28C3">
        <w:rPr>
          <w:b w:val="0"/>
          <w:i/>
          <w:lang w:val="lv-LV" w:eastAsia="ar-SA"/>
        </w:rPr>
        <w:t>Ilustrācija Nr. 6 “2019. gada maksājumu pieprasījumu plāni un to aktualizācija/izpilde līdz 2019. gada 1. </w:t>
      </w:r>
      <w:r w:rsidR="00B31041">
        <w:rPr>
          <w:b w:val="0"/>
          <w:i/>
          <w:lang w:val="lv-LV" w:eastAsia="ar-SA"/>
        </w:rPr>
        <w:t>augustam</w:t>
      </w:r>
      <w:r w:rsidRPr="00DB28C3">
        <w:rPr>
          <w:b w:val="0"/>
          <w:i/>
          <w:lang w:val="lv-LV" w:eastAsia="ar-SA"/>
        </w:rPr>
        <w:t>, ES fondu un valsts budžeta līdzfinansējums, milj. </w:t>
      </w:r>
      <w:proofErr w:type="spellStart"/>
      <w:r w:rsidRPr="00DB28C3">
        <w:rPr>
          <w:b w:val="0"/>
          <w:i/>
          <w:lang w:val="lv-LV" w:eastAsia="ar-SA"/>
        </w:rPr>
        <w:t>euro</w:t>
      </w:r>
      <w:proofErr w:type="spellEnd"/>
      <w:r w:rsidRPr="00DB28C3">
        <w:rPr>
          <w:b w:val="0"/>
          <w:i/>
          <w:lang w:val="lv-LV" w:eastAsia="ar-SA"/>
        </w:rPr>
        <w:t>.”</w:t>
      </w:r>
    </w:p>
    <w:p w14:paraId="69191C2C" w14:textId="77777777" w:rsidR="00AA3C60" w:rsidRDefault="00B31041" w:rsidP="00620C67">
      <w:pPr>
        <w:pStyle w:val="BodyText"/>
        <w:jc w:val="both"/>
        <w:rPr>
          <w:b w:val="0"/>
          <w:i/>
          <w:lang w:val="lv-LV" w:eastAsia="ar-SA"/>
        </w:rPr>
      </w:pPr>
      <w:r>
        <w:rPr>
          <w:noProof/>
          <w:lang w:val="lv-LV" w:eastAsia="lv-LV"/>
        </w:rPr>
        <w:drawing>
          <wp:inline distT="0" distB="0" distL="0" distR="0" wp14:anchorId="79DD66F2" wp14:editId="74343365">
            <wp:extent cx="5760085" cy="2733675"/>
            <wp:effectExtent l="0" t="0" r="12065" b="9525"/>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40F9909E" w14:textId="46ACAA96" w:rsidR="00620C67" w:rsidRDefault="00872272" w:rsidP="00620C67">
      <w:pPr>
        <w:pStyle w:val="BodyText"/>
        <w:jc w:val="both"/>
        <w:rPr>
          <w:b w:val="0"/>
          <w:i/>
          <w:lang w:val="lv-LV" w:eastAsia="ar-SA"/>
        </w:rPr>
      </w:pPr>
      <w:r w:rsidRPr="00DB28C3">
        <w:rPr>
          <w:b w:val="0"/>
          <w:i/>
          <w:lang w:val="lv-LV" w:eastAsia="ar-SA"/>
        </w:rPr>
        <w:t>Ilustrācija Nr. 7</w:t>
      </w:r>
      <w:r w:rsidR="00620C67" w:rsidRPr="00DB28C3">
        <w:rPr>
          <w:b w:val="0"/>
          <w:i/>
          <w:lang w:val="lv-LV" w:eastAsia="ar-SA"/>
        </w:rPr>
        <w:t xml:space="preserve"> “2019. gada maksājumu pieprasījumu kumulatīvās plāna neizpildes vairāk kā 25</w:t>
      </w:r>
      <w:r w:rsidR="00B92012" w:rsidRPr="00DB28C3">
        <w:rPr>
          <w:b w:val="0"/>
          <w:i/>
          <w:lang w:val="lv-LV" w:eastAsia="ar-SA"/>
        </w:rPr>
        <w:t>,0</w:t>
      </w:r>
      <w:r w:rsidR="00153F5E">
        <w:rPr>
          <w:b w:val="0"/>
          <w:i/>
          <w:lang w:val="lv-LV" w:eastAsia="ar-SA"/>
        </w:rPr>
        <w:t> </w:t>
      </w:r>
      <w:r w:rsidR="00620C67" w:rsidRPr="00DB28C3">
        <w:rPr>
          <w:b w:val="0"/>
          <w:i/>
          <w:lang w:val="lv-LV" w:eastAsia="ar-SA"/>
        </w:rPr>
        <w:t xml:space="preserve">% </w:t>
      </w:r>
      <w:r w:rsidR="004B43CD">
        <w:rPr>
          <w:b w:val="0"/>
          <w:i/>
          <w:lang w:val="lv-LV" w:eastAsia="ar-SA"/>
        </w:rPr>
        <w:t>kavēto mēnešu skaita dalījumā</w:t>
      </w:r>
      <w:r w:rsidR="004B43CD" w:rsidRPr="00DB28C3">
        <w:rPr>
          <w:b w:val="0"/>
          <w:i/>
          <w:lang w:val="lv-LV" w:eastAsia="ar-SA"/>
        </w:rPr>
        <w:t xml:space="preserve"> </w:t>
      </w:r>
      <w:r w:rsidR="00620C67" w:rsidRPr="00DB28C3">
        <w:rPr>
          <w:b w:val="0"/>
          <w:i/>
          <w:lang w:val="lv-LV" w:eastAsia="ar-SA"/>
        </w:rPr>
        <w:t>līdz 2019. gada 1. </w:t>
      </w:r>
      <w:r w:rsidR="00B31041">
        <w:rPr>
          <w:b w:val="0"/>
          <w:i/>
          <w:lang w:val="lv-LV" w:eastAsia="ar-SA"/>
        </w:rPr>
        <w:t>augustam</w:t>
      </w:r>
      <w:r w:rsidR="00620C67" w:rsidRPr="00DB28C3">
        <w:rPr>
          <w:b w:val="0"/>
          <w:i/>
          <w:lang w:val="lv-LV" w:eastAsia="ar-SA"/>
        </w:rPr>
        <w:t>, ES fondu un valsts budžeta līdzekļi; milj. </w:t>
      </w:r>
      <w:proofErr w:type="spellStart"/>
      <w:r w:rsidR="00620C67" w:rsidRPr="00DB28C3">
        <w:rPr>
          <w:b w:val="0"/>
          <w:i/>
          <w:lang w:val="lv-LV" w:eastAsia="ar-SA"/>
        </w:rPr>
        <w:t>euro</w:t>
      </w:r>
      <w:proofErr w:type="spellEnd"/>
      <w:r w:rsidR="00620C67" w:rsidRPr="00DB28C3">
        <w:rPr>
          <w:b w:val="0"/>
          <w:i/>
          <w:lang w:val="lv-LV" w:eastAsia="ar-SA"/>
        </w:rPr>
        <w:t xml:space="preserve"> (projektu skaits)”</w:t>
      </w:r>
    </w:p>
    <w:p w14:paraId="7F5A98AF" w14:textId="1F201F62" w:rsidR="00B31041" w:rsidRPr="00DB28C3" w:rsidRDefault="00B31041" w:rsidP="00620C67">
      <w:pPr>
        <w:pStyle w:val="BodyText"/>
        <w:jc w:val="both"/>
        <w:rPr>
          <w:b w:val="0"/>
          <w:i/>
          <w:lang w:val="lv-LV" w:eastAsia="ar-SA"/>
        </w:rPr>
      </w:pPr>
      <w:r>
        <w:rPr>
          <w:noProof/>
          <w:lang w:val="lv-LV" w:eastAsia="lv-LV"/>
        </w:rPr>
        <w:drawing>
          <wp:inline distT="0" distB="0" distL="0" distR="0" wp14:anchorId="2E60A721" wp14:editId="43AE8514">
            <wp:extent cx="5760085" cy="2962275"/>
            <wp:effectExtent l="0" t="0" r="12065" b="9525"/>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5AC05F0" w14:textId="765F6E3D" w:rsidR="007F49C4" w:rsidRDefault="00F117FA" w:rsidP="00381540">
      <w:pPr>
        <w:spacing w:before="120" w:after="120" w:line="276" w:lineRule="auto"/>
        <w:ind w:firstLine="851"/>
        <w:jc w:val="both"/>
        <w:rPr>
          <w:sz w:val="28"/>
          <w:szCs w:val="28"/>
        </w:rPr>
      </w:pPr>
      <w:r w:rsidRPr="00DB28C3">
        <w:rPr>
          <w:sz w:val="28"/>
          <w:szCs w:val="28"/>
        </w:rPr>
        <w:lastRenderedPageBreak/>
        <w:t xml:space="preserve">Attiecībā uz finanšu disciplīnas piemērošanu CFLA kā </w:t>
      </w:r>
      <w:r w:rsidR="00145799">
        <w:rPr>
          <w:sz w:val="28"/>
          <w:szCs w:val="28"/>
        </w:rPr>
        <w:t>SI</w:t>
      </w:r>
      <w:r w:rsidRPr="00DB28C3">
        <w:rPr>
          <w:sz w:val="28"/>
          <w:szCs w:val="28"/>
        </w:rPr>
        <w:t xml:space="preserve"> </w:t>
      </w:r>
      <w:r w:rsidR="009B2BE5">
        <w:rPr>
          <w:sz w:val="28"/>
          <w:szCs w:val="28"/>
        </w:rPr>
        <w:t xml:space="preserve">2019. </w:t>
      </w:r>
      <w:r w:rsidRPr="00DB28C3">
        <w:rPr>
          <w:sz w:val="28"/>
          <w:szCs w:val="28"/>
        </w:rPr>
        <w:t>gada beigās vērtēs katru gadījumu, kad iestājušies finanšu disciplīnas piemērošanas nosacījumi</w:t>
      </w:r>
      <w:r w:rsidRPr="00DB28C3">
        <w:rPr>
          <w:color w:val="1F497D"/>
          <w:sz w:val="28"/>
          <w:szCs w:val="28"/>
        </w:rPr>
        <w:t xml:space="preserve"> </w:t>
      </w:r>
      <w:r w:rsidRPr="00DB28C3">
        <w:rPr>
          <w:sz w:val="28"/>
          <w:szCs w:val="28"/>
        </w:rPr>
        <w:t>vai konstatēta atbilstība izņēmuma gadījumiem saskaņā ar normatīvo regulējumu</w:t>
      </w:r>
      <w:r w:rsidRPr="00DB28C3">
        <w:rPr>
          <w:rStyle w:val="FootnoteReference"/>
          <w:sz w:val="28"/>
          <w:szCs w:val="28"/>
        </w:rPr>
        <w:footnoteReference w:id="17"/>
      </w:r>
      <w:r w:rsidRPr="00DB28C3">
        <w:rPr>
          <w:sz w:val="28"/>
          <w:szCs w:val="28"/>
        </w:rPr>
        <w:t xml:space="preserve">, kurā iekļauti nosacījumi par finanšu disciplīnas piemērošanas izņēmuma gadījumiem. Gadījumi, kad </w:t>
      </w:r>
      <w:r w:rsidR="00B874D4">
        <w:rPr>
          <w:sz w:val="28"/>
          <w:szCs w:val="28"/>
        </w:rPr>
        <w:t>FS</w:t>
      </w:r>
      <w:r w:rsidRPr="00DB28C3">
        <w:rPr>
          <w:sz w:val="28"/>
          <w:szCs w:val="28"/>
        </w:rPr>
        <w:t xml:space="preserve"> nav objektīvi varējis paredzēt trešo pušu rīcības ietekmi, var tikt atzīti par pamatotiem izņēmumiem, uz kuriem nav piemērojamas finanšu disciplīnas negatīvas sekas. Šāds izņēmums 2019. gadā varētu būt objektīvi pamatotos gadījumos, kad </w:t>
      </w:r>
      <w:r w:rsidRPr="00DB28C3">
        <w:rPr>
          <w:color w:val="000000"/>
          <w:sz w:val="28"/>
          <w:szCs w:val="28"/>
        </w:rPr>
        <w:t>pašvaldību projektu ieviešanas gaitu negatīvi ietekmēja iepriekš neparedzēti aizdevumu ierobežojumi, kas iepriekš minēto finanšu disciplīnas nosacījumu kontekstā uzskatāmi kā nepārvaramas varas apstākļi</w:t>
      </w:r>
      <w:r w:rsidRPr="00DB28C3">
        <w:rPr>
          <w:sz w:val="28"/>
          <w:szCs w:val="28"/>
        </w:rPr>
        <w:t>.</w:t>
      </w:r>
    </w:p>
    <w:p w14:paraId="787139BB" w14:textId="46151079" w:rsidR="00943D3D" w:rsidRDefault="00943D3D" w:rsidP="00943D3D">
      <w:pPr>
        <w:spacing w:before="120" w:after="120" w:line="276" w:lineRule="auto"/>
        <w:ind w:firstLine="851"/>
        <w:jc w:val="both"/>
        <w:rPr>
          <w:color w:val="000000" w:themeColor="text1"/>
          <w:sz w:val="28"/>
          <w:szCs w:val="28"/>
        </w:rPr>
      </w:pPr>
      <w:r>
        <w:rPr>
          <w:bCs/>
          <w:sz w:val="28"/>
          <w:szCs w:val="28"/>
        </w:rPr>
        <w:t>V</w:t>
      </w:r>
      <w:r>
        <w:rPr>
          <w:sz w:val="28"/>
          <w:szCs w:val="28"/>
        </w:rPr>
        <w:t xml:space="preserve">airākas pašvaldības, LPS un ministrijas ir vērsušās </w:t>
      </w:r>
      <w:r w:rsidR="00041730">
        <w:rPr>
          <w:sz w:val="28"/>
          <w:szCs w:val="28"/>
        </w:rPr>
        <w:t>FM ar lūgumu rast risinājumu</w:t>
      </w:r>
      <w:r>
        <w:rPr>
          <w:sz w:val="28"/>
          <w:szCs w:val="28"/>
        </w:rPr>
        <w:t xml:space="preserve"> neattiecināmām izmaksām, jo ie</w:t>
      </w:r>
      <w:r w:rsidRPr="0022023B">
        <w:rPr>
          <w:sz w:val="28"/>
          <w:szCs w:val="28"/>
        </w:rPr>
        <w:t xml:space="preserve">priekš neparedzēti aizdevumu ierobežojumi pašvaldību projektos var negatīvi ietekmēt ne tikai </w:t>
      </w:r>
      <w:r w:rsidRPr="00F75D03">
        <w:rPr>
          <w:sz w:val="28"/>
          <w:szCs w:val="28"/>
        </w:rPr>
        <w:t>plānot</w:t>
      </w:r>
      <w:r w:rsidRPr="00315698">
        <w:rPr>
          <w:sz w:val="28"/>
          <w:szCs w:val="28"/>
        </w:rPr>
        <w:t>ās naudas plūsmas izpildi</w:t>
      </w:r>
      <w:r w:rsidRPr="0022023B">
        <w:rPr>
          <w:sz w:val="28"/>
          <w:szCs w:val="28"/>
        </w:rPr>
        <w:t>, bet var radīt arī citas negatīvas sekas.</w:t>
      </w:r>
      <w:r w:rsidRPr="00F75D03">
        <w:rPr>
          <w:sz w:val="28"/>
          <w:szCs w:val="28"/>
        </w:rPr>
        <w:t xml:space="preserve"> Piem</w:t>
      </w:r>
      <w:r w:rsidRPr="00315698">
        <w:rPr>
          <w:sz w:val="28"/>
          <w:szCs w:val="28"/>
        </w:rPr>
        <w:t xml:space="preserve">ēram, LM skaidro, ka </w:t>
      </w:r>
      <w:r>
        <w:rPr>
          <w:sz w:val="28"/>
          <w:szCs w:val="28"/>
        </w:rPr>
        <w:t xml:space="preserve">var tikt kavēta </w:t>
      </w:r>
      <w:r w:rsidRPr="00315698">
        <w:rPr>
          <w:sz w:val="28"/>
          <w:szCs w:val="28"/>
        </w:rPr>
        <w:t>p</w:t>
      </w:r>
      <w:r w:rsidRPr="0022023B">
        <w:rPr>
          <w:sz w:val="28"/>
          <w:szCs w:val="28"/>
        </w:rPr>
        <w:t xml:space="preserve">akalpojumu infrastruktūras attīstība </w:t>
      </w:r>
      <w:proofErr w:type="spellStart"/>
      <w:r w:rsidRPr="0022023B">
        <w:rPr>
          <w:sz w:val="28"/>
          <w:szCs w:val="28"/>
        </w:rPr>
        <w:t>deinstitucionalizācijas</w:t>
      </w:r>
      <w:proofErr w:type="spellEnd"/>
      <w:r w:rsidRPr="0022023B">
        <w:rPr>
          <w:sz w:val="28"/>
          <w:szCs w:val="28"/>
        </w:rPr>
        <w:t xml:space="preserve"> plānu īstenošanai projektu uzsākšan</w:t>
      </w:r>
      <w:r>
        <w:rPr>
          <w:sz w:val="28"/>
          <w:szCs w:val="28"/>
        </w:rPr>
        <w:t>a</w:t>
      </w:r>
      <w:r w:rsidRPr="0022023B">
        <w:rPr>
          <w:sz w:val="28"/>
          <w:szCs w:val="28"/>
        </w:rPr>
        <w:t xml:space="preserve"> kopumā</w:t>
      </w:r>
      <w:r w:rsidRPr="00315698">
        <w:rPr>
          <w:sz w:val="28"/>
          <w:szCs w:val="28"/>
        </w:rPr>
        <w:t>, jo pašvaldīb</w:t>
      </w:r>
      <w:r>
        <w:rPr>
          <w:sz w:val="28"/>
          <w:szCs w:val="28"/>
        </w:rPr>
        <w:t>ām būtu jāp</w:t>
      </w:r>
      <w:r w:rsidRPr="0022023B">
        <w:rPr>
          <w:sz w:val="28"/>
          <w:szCs w:val="28"/>
        </w:rPr>
        <w:t>ārskat</w:t>
      </w:r>
      <w:r>
        <w:rPr>
          <w:sz w:val="28"/>
          <w:szCs w:val="28"/>
        </w:rPr>
        <w:t>a</w:t>
      </w:r>
      <w:r w:rsidRPr="0022023B">
        <w:rPr>
          <w:sz w:val="28"/>
          <w:szCs w:val="28"/>
        </w:rPr>
        <w:t xml:space="preserve"> sabiedrībā balstītu sociālo pakalpojumu infrastruktūras attīstības risinājum</w:t>
      </w:r>
      <w:r>
        <w:rPr>
          <w:sz w:val="28"/>
          <w:szCs w:val="28"/>
        </w:rPr>
        <w:t>i</w:t>
      </w:r>
      <w:r w:rsidRPr="0022023B">
        <w:rPr>
          <w:sz w:val="28"/>
          <w:szCs w:val="28"/>
        </w:rPr>
        <w:t xml:space="preserve"> un infrastruktūras objekt</w:t>
      </w:r>
      <w:r>
        <w:rPr>
          <w:sz w:val="28"/>
          <w:szCs w:val="28"/>
        </w:rPr>
        <w:t>i</w:t>
      </w:r>
      <w:r w:rsidRPr="0022023B">
        <w:rPr>
          <w:sz w:val="28"/>
          <w:szCs w:val="28"/>
        </w:rPr>
        <w:t xml:space="preserve">, kuros veicamas investīcijas, pēc iespējas samazinot neattiecināmās izmaksas. </w:t>
      </w:r>
      <w:r>
        <w:rPr>
          <w:sz w:val="28"/>
          <w:szCs w:val="28"/>
        </w:rPr>
        <w:t xml:space="preserve">LM ieskatā ir risks, ka </w:t>
      </w:r>
      <w:r w:rsidRPr="0022023B">
        <w:rPr>
          <w:sz w:val="28"/>
          <w:szCs w:val="28"/>
        </w:rPr>
        <w:t xml:space="preserve">var aktualizēties jautājums par pašvaldību atteikšanos īstenot </w:t>
      </w:r>
      <w:r w:rsidRPr="00B847D0">
        <w:rPr>
          <w:color w:val="000000" w:themeColor="text1"/>
          <w:sz w:val="28"/>
          <w:szCs w:val="28"/>
        </w:rPr>
        <w:t>projektus un rezultātā mērķa grupa (cilvēki ar garīga rakstura traucējumiem, bērni ar funkcionāliem traucējumiem un ārpus</w:t>
      </w:r>
      <w:r w:rsidR="003262F6">
        <w:rPr>
          <w:color w:val="000000" w:themeColor="text1"/>
          <w:sz w:val="28"/>
          <w:szCs w:val="28"/>
        </w:rPr>
        <w:t xml:space="preserve"> </w:t>
      </w:r>
      <w:r w:rsidRPr="00B847D0">
        <w:rPr>
          <w:color w:val="000000" w:themeColor="text1"/>
          <w:sz w:val="28"/>
          <w:szCs w:val="28"/>
        </w:rPr>
        <w:t xml:space="preserve">ģimenes aprūpē esoši bērni), kas ir vismazāk aizsargātākās sabiedrības grupas, nesaņems pakalpojumus. </w:t>
      </w:r>
    </w:p>
    <w:p w14:paraId="2AC0B272" w14:textId="09AED912" w:rsidR="00943D3D" w:rsidRPr="002D675F" w:rsidRDefault="00943D3D" w:rsidP="00943D3D">
      <w:pPr>
        <w:spacing w:before="120" w:after="120" w:line="276" w:lineRule="auto"/>
        <w:ind w:firstLine="851"/>
        <w:jc w:val="both"/>
        <w:rPr>
          <w:sz w:val="28"/>
          <w:szCs w:val="28"/>
        </w:rPr>
      </w:pPr>
      <w:r>
        <w:rPr>
          <w:color w:val="000000" w:themeColor="text1"/>
          <w:sz w:val="28"/>
          <w:szCs w:val="28"/>
        </w:rPr>
        <w:t>FM skaidro, ka p</w:t>
      </w:r>
      <w:r w:rsidRPr="008F4E1B">
        <w:rPr>
          <w:sz w:val="28"/>
          <w:szCs w:val="28"/>
        </w:rPr>
        <w:t>ašvaldību aizņēmumu pieprasījumi</w:t>
      </w:r>
      <w:r>
        <w:rPr>
          <w:sz w:val="28"/>
          <w:szCs w:val="28"/>
        </w:rPr>
        <w:t xml:space="preserve"> </w:t>
      </w:r>
      <w:r w:rsidRPr="008F4E1B">
        <w:rPr>
          <w:sz w:val="28"/>
          <w:szCs w:val="28"/>
        </w:rPr>
        <w:t>tiek nodrošināti tikai gadskārtējā valsts budžeta likumā noteiktā pašvaldību aizņēmumu kopējā palielinājuma ietvaros</w:t>
      </w:r>
      <w:r w:rsidR="00041730">
        <w:rPr>
          <w:sz w:val="28"/>
          <w:szCs w:val="28"/>
        </w:rPr>
        <w:t>,</w:t>
      </w:r>
      <w:r>
        <w:rPr>
          <w:rStyle w:val="FootnoteReference"/>
          <w:sz w:val="28"/>
          <w:szCs w:val="28"/>
        </w:rPr>
        <w:footnoteReference w:id="18"/>
      </w:r>
      <w:r w:rsidRPr="008F4E1B">
        <w:rPr>
          <w:sz w:val="28"/>
          <w:szCs w:val="28"/>
        </w:rPr>
        <w:t xml:space="preserve"> jo pašvaldību aizņēmumi ietekmē vispārējās valdības budžeta deficītu. Izvērtējot pašvaldību iesniegtos aizņēmumu pieprasījumus ES projektu īstenošanai uz 2019.</w:t>
      </w:r>
      <w:r>
        <w:rPr>
          <w:sz w:val="28"/>
          <w:szCs w:val="28"/>
        </w:rPr>
        <w:t xml:space="preserve"> </w:t>
      </w:r>
      <w:r w:rsidRPr="008F4E1B">
        <w:rPr>
          <w:sz w:val="28"/>
          <w:szCs w:val="28"/>
        </w:rPr>
        <w:t xml:space="preserve">gada </w:t>
      </w:r>
      <w:r w:rsidR="00DF35F9">
        <w:rPr>
          <w:sz w:val="28"/>
          <w:szCs w:val="28"/>
        </w:rPr>
        <w:t>16</w:t>
      </w:r>
      <w:r w:rsidRPr="008F4E1B">
        <w:rPr>
          <w:sz w:val="28"/>
          <w:szCs w:val="28"/>
        </w:rPr>
        <w:t>.</w:t>
      </w:r>
      <w:r>
        <w:rPr>
          <w:sz w:val="28"/>
          <w:szCs w:val="28"/>
        </w:rPr>
        <w:t xml:space="preserve"> </w:t>
      </w:r>
      <w:r w:rsidRPr="008F4E1B">
        <w:rPr>
          <w:sz w:val="28"/>
          <w:szCs w:val="28"/>
        </w:rPr>
        <w:t>augustu</w:t>
      </w:r>
      <w:r w:rsidR="00041730">
        <w:rPr>
          <w:sz w:val="28"/>
          <w:szCs w:val="28"/>
        </w:rPr>
        <w:t>,</w:t>
      </w:r>
      <w:r w:rsidRPr="008F4E1B">
        <w:rPr>
          <w:sz w:val="28"/>
          <w:szCs w:val="28"/>
        </w:rPr>
        <w:t xml:space="preserve"> </w:t>
      </w:r>
      <w:r>
        <w:rPr>
          <w:sz w:val="28"/>
          <w:szCs w:val="28"/>
        </w:rPr>
        <w:t>FM konstatē</w:t>
      </w:r>
      <w:r w:rsidRPr="008F4E1B">
        <w:rPr>
          <w:sz w:val="28"/>
          <w:szCs w:val="28"/>
        </w:rPr>
        <w:t xml:space="preserve">, ka aizņēmumi </w:t>
      </w:r>
      <w:r>
        <w:rPr>
          <w:sz w:val="28"/>
          <w:szCs w:val="28"/>
        </w:rPr>
        <w:t>2</w:t>
      </w:r>
      <w:r w:rsidRPr="002D675F">
        <w:rPr>
          <w:sz w:val="28"/>
          <w:szCs w:val="28"/>
        </w:rPr>
        <w:t>019.</w:t>
      </w:r>
      <w:r w:rsidR="009B2BE5">
        <w:rPr>
          <w:sz w:val="28"/>
          <w:szCs w:val="28"/>
        </w:rPr>
        <w:t> </w:t>
      </w:r>
      <w:r w:rsidRPr="002D675F">
        <w:rPr>
          <w:sz w:val="28"/>
          <w:szCs w:val="28"/>
        </w:rPr>
        <w:t>gadā un vidējā termiņā</w:t>
      </w:r>
      <w:r w:rsidRPr="008F4E1B">
        <w:rPr>
          <w:sz w:val="28"/>
          <w:szCs w:val="28"/>
        </w:rPr>
        <w:t xml:space="preserve"> nepieciešami</w:t>
      </w:r>
      <w:r>
        <w:rPr>
          <w:sz w:val="28"/>
          <w:szCs w:val="28"/>
        </w:rPr>
        <w:t xml:space="preserve"> projektiem, </w:t>
      </w:r>
      <w:r w:rsidRPr="002D675F">
        <w:rPr>
          <w:bCs/>
          <w:sz w:val="28"/>
          <w:szCs w:val="28"/>
        </w:rPr>
        <w:t xml:space="preserve">par kuriem ir noslēgta vienošanās ar </w:t>
      </w:r>
      <w:r>
        <w:rPr>
          <w:bCs/>
          <w:sz w:val="28"/>
          <w:szCs w:val="28"/>
        </w:rPr>
        <w:t>CFLA</w:t>
      </w:r>
      <w:r w:rsidRPr="002D675F">
        <w:rPr>
          <w:bCs/>
          <w:sz w:val="28"/>
          <w:szCs w:val="28"/>
        </w:rPr>
        <w:t xml:space="preserve"> par projekta īstenošanu</w:t>
      </w:r>
      <w:r>
        <w:rPr>
          <w:bCs/>
          <w:sz w:val="28"/>
          <w:szCs w:val="28"/>
        </w:rPr>
        <w:t>:</w:t>
      </w:r>
      <w:r w:rsidRPr="008F4E1B">
        <w:rPr>
          <w:sz w:val="28"/>
          <w:szCs w:val="28"/>
        </w:rPr>
        <w:t xml:space="preserve"> </w:t>
      </w:r>
      <w:r>
        <w:rPr>
          <w:sz w:val="28"/>
          <w:szCs w:val="28"/>
        </w:rPr>
        <w:t xml:space="preserve">(1) </w:t>
      </w:r>
      <w:r w:rsidRPr="008F4E1B">
        <w:rPr>
          <w:sz w:val="28"/>
          <w:szCs w:val="28"/>
        </w:rPr>
        <w:t>vispārējās izglītības iestāžu investīciju projektiem, lai skolēniem nodrošinātu kvalitatīvu mācību procesu</w:t>
      </w:r>
      <w:r w:rsidR="00041730">
        <w:rPr>
          <w:sz w:val="28"/>
          <w:szCs w:val="28"/>
        </w:rPr>
        <w:t xml:space="preserve"> un </w:t>
      </w:r>
      <w:r w:rsidR="00041730">
        <w:rPr>
          <w:sz w:val="28"/>
          <w:szCs w:val="28"/>
        </w:rPr>
        <w:lastRenderedPageBreak/>
        <w:t>(2)</w:t>
      </w:r>
      <w:r>
        <w:rPr>
          <w:sz w:val="28"/>
          <w:szCs w:val="28"/>
        </w:rPr>
        <w:t xml:space="preserve"> </w:t>
      </w:r>
      <w:r w:rsidRPr="008F4E1B">
        <w:rPr>
          <w:sz w:val="28"/>
          <w:szCs w:val="28"/>
        </w:rPr>
        <w:t>uzņēmējdarbības attīstības investīciju projekti</w:t>
      </w:r>
      <w:r w:rsidRPr="008F4E1B">
        <w:rPr>
          <w:bCs/>
          <w:sz w:val="28"/>
          <w:szCs w:val="28"/>
        </w:rPr>
        <w:t xml:space="preserve">em, lai varētu </w:t>
      </w:r>
      <w:r w:rsidRPr="008F4E1B">
        <w:rPr>
          <w:sz w:val="28"/>
          <w:szCs w:val="28"/>
        </w:rPr>
        <w:t>palielināt privāto investīciju apjomus, veicot ieguldījumus komercdarbības attīstībai nepieciešamajā infrastruktūrā, kā arī sakārtotu un attīstītu degradētās ražošanas teritorijas.</w:t>
      </w:r>
      <w:r w:rsidR="00041730">
        <w:rPr>
          <w:sz w:val="28"/>
          <w:szCs w:val="28"/>
        </w:rPr>
        <w:t xml:space="preserve"> </w:t>
      </w:r>
      <w:r w:rsidRPr="008F4E1B">
        <w:rPr>
          <w:sz w:val="28"/>
          <w:szCs w:val="28"/>
        </w:rPr>
        <w:t>Informācija par pašvaldību iesniegto ES projektu aizņēmumu</w:t>
      </w:r>
      <w:r w:rsidRPr="002D675F">
        <w:rPr>
          <w:sz w:val="28"/>
          <w:szCs w:val="28"/>
          <w:vertAlign w:val="superscript"/>
        </w:rPr>
        <w:footnoteReference w:id="19"/>
      </w:r>
      <w:r w:rsidR="00041730">
        <w:rPr>
          <w:sz w:val="28"/>
          <w:szCs w:val="28"/>
        </w:rPr>
        <w:t xml:space="preserve"> kopējo </w:t>
      </w:r>
      <w:r w:rsidR="00103434" w:rsidRPr="002D675F">
        <w:rPr>
          <w:sz w:val="28"/>
          <w:szCs w:val="28"/>
        </w:rPr>
        <w:t>pieprasījumu</w:t>
      </w:r>
      <w:r w:rsidR="00103434">
        <w:rPr>
          <w:sz w:val="28"/>
          <w:szCs w:val="28"/>
        </w:rPr>
        <w:t xml:space="preserve"> </w:t>
      </w:r>
      <w:r w:rsidR="00041730">
        <w:rPr>
          <w:sz w:val="28"/>
          <w:szCs w:val="28"/>
        </w:rPr>
        <w:t>apmēru</w:t>
      </w:r>
      <w:r w:rsidRPr="002D675F">
        <w:rPr>
          <w:sz w:val="28"/>
          <w:szCs w:val="28"/>
        </w:rPr>
        <w:t xml:space="preserve">, kam nav saņemti aizņēmumi, apkopota </w:t>
      </w:r>
      <w:r>
        <w:rPr>
          <w:sz w:val="28"/>
          <w:szCs w:val="28"/>
        </w:rPr>
        <w:t>tabulā Nr.3</w:t>
      </w:r>
      <w:r>
        <w:rPr>
          <w:rStyle w:val="FootnoteReference"/>
          <w:sz w:val="28"/>
          <w:szCs w:val="28"/>
        </w:rPr>
        <w:footnoteReference w:id="20"/>
      </w:r>
      <w:r>
        <w:rPr>
          <w:sz w:val="28"/>
          <w:szCs w:val="28"/>
        </w:rPr>
        <w:t>.</w:t>
      </w:r>
      <w:r w:rsidRPr="002D675F">
        <w:rPr>
          <w:sz w:val="28"/>
          <w:szCs w:val="28"/>
        </w:rPr>
        <w:t xml:space="preserve"> </w:t>
      </w:r>
    </w:p>
    <w:p w14:paraId="3D8A8E77" w14:textId="14CA6CC0" w:rsidR="00943D3D" w:rsidRPr="002D675F" w:rsidRDefault="00943D3D" w:rsidP="00943D3D">
      <w:pPr>
        <w:spacing w:before="120" w:after="120" w:line="276" w:lineRule="auto"/>
        <w:jc w:val="both"/>
        <w:rPr>
          <w:rFonts w:cs="Times New Roman"/>
          <w:i/>
          <w:szCs w:val="24"/>
        </w:rPr>
      </w:pPr>
      <w:r w:rsidRPr="002D675F">
        <w:rPr>
          <w:rFonts w:cs="Times New Roman"/>
          <w:i/>
          <w:szCs w:val="24"/>
        </w:rPr>
        <w:t xml:space="preserve">Tabula Nr. 3. Pašvaldību aizņēmumu pieprasījumi ES </w:t>
      </w:r>
      <w:r>
        <w:rPr>
          <w:rFonts w:cs="Times New Roman"/>
          <w:i/>
          <w:szCs w:val="24"/>
        </w:rPr>
        <w:t xml:space="preserve">fondu </w:t>
      </w:r>
      <w:r w:rsidRPr="002D675F">
        <w:rPr>
          <w:rFonts w:cs="Times New Roman"/>
          <w:i/>
          <w:szCs w:val="24"/>
        </w:rPr>
        <w:t>projektiem uz 2019.</w:t>
      </w:r>
      <w:r w:rsidR="009B2BE5">
        <w:rPr>
          <w:rFonts w:cs="Times New Roman"/>
          <w:i/>
          <w:szCs w:val="24"/>
        </w:rPr>
        <w:t xml:space="preserve"> </w:t>
      </w:r>
      <w:r w:rsidRPr="002D675F">
        <w:rPr>
          <w:rFonts w:cs="Times New Roman"/>
          <w:i/>
          <w:szCs w:val="24"/>
        </w:rPr>
        <w:t xml:space="preserve">gada </w:t>
      </w:r>
      <w:r w:rsidR="00DF35F9">
        <w:rPr>
          <w:rFonts w:cs="Times New Roman"/>
          <w:i/>
          <w:szCs w:val="24"/>
        </w:rPr>
        <w:t>16</w:t>
      </w:r>
      <w:r w:rsidRPr="002D675F">
        <w:rPr>
          <w:rFonts w:cs="Times New Roman"/>
          <w:i/>
          <w:szCs w:val="24"/>
        </w:rPr>
        <w:t xml:space="preserve">.augustu, milj. </w:t>
      </w:r>
      <w:proofErr w:type="spellStart"/>
      <w:r w:rsidRPr="002D675F">
        <w:rPr>
          <w:rFonts w:cs="Times New Roman"/>
          <w:i/>
          <w:szCs w:val="24"/>
        </w:rPr>
        <w:t>euro</w:t>
      </w:r>
      <w:proofErr w:type="spellEnd"/>
      <w:r w:rsidRPr="002D675F">
        <w:rPr>
          <w:rFonts w:cs="Times New Roman"/>
          <w:i/>
          <w:szCs w:val="24"/>
        </w:rPr>
        <w:t>.</w:t>
      </w:r>
    </w:p>
    <w:tbl>
      <w:tblPr>
        <w:tblW w:w="9067" w:type="dxa"/>
        <w:tblLook w:val="04A0" w:firstRow="1" w:lastRow="0" w:firstColumn="1" w:lastColumn="0" w:noHBand="0" w:noVBand="1"/>
      </w:tblPr>
      <w:tblGrid>
        <w:gridCol w:w="4390"/>
        <w:gridCol w:w="1134"/>
        <w:gridCol w:w="1134"/>
        <w:gridCol w:w="1134"/>
        <w:gridCol w:w="1275"/>
      </w:tblGrid>
      <w:tr w:rsidR="00943D3D" w:rsidRPr="002D675F" w14:paraId="79F9B959" w14:textId="77777777" w:rsidTr="00943D3D">
        <w:trPr>
          <w:trHeight w:val="330"/>
        </w:trPr>
        <w:tc>
          <w:tcPr>
            <w:tcW w:w="4390" w:type="dxa"/>
            <w:tcBorders>
              <w:top w:val="single" w:sz="4" w:space="0" w:color="auto"/>
              <w:left w:val="single" w:sz="4" w:space="0" w:color="auto"/>
              <w:bottom w:val="single" w:sz="4" w:space="0" w:color="auto"/>
              <w:right w:val="single" w:sz="4" w:space="0" w:color="auto"/>
            </w:tcBorders>
            <w:shd w:val="clear" w:color="000000" w:fill="D9D9D9"/>
            <w:vAlign w:val="center"/>
            <w:hideMark/>
          </w:tcPr>
          <w:p w14:paraId="078836E9" w14:textId="77777777" w:rsidR="00943D3D" w:rsidRPr="002D675F" w:rsidRDefault="00943D3D" w:rsidP="00943D3D">
            <w:pPr>
              <w:spacing w:after="160" w:line="259" w:lineRule="auto"/>
              <w:jc w:val="both"/>
              <w:rPr>
                <w:rFonts w:eastAsia="Calibri" w:cs="Times New Roman"/>
                <w:b/>
                <w:bCs/>
                <w:szCs w:val="24"/>
              </w:rPr>
            </w:pPr>
            <w:r w:rsidRPr="002D675F">
              <w:rPr>
                <w:rFonts w:eastAsia="Calibri" w:cs="Times New Roman"/>
                <w:b/>
                <w:bCs/>
                <w:szCs w:val="24"/>
              </w:rPr>
              <w:t>Mērķis</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0FAF4DA8" w14:textId="77777777" w:rsidR="00943D3D" w:rsidRPr="002D675F" w:rsidRDefault="00943D3D" w:rsidP="00943D3D">
            <w:pPr>
              <w:spacing w:after="160" w:line="259" w:lineRule="auto"/>
              <w:jc w:val="both"/>
              <w:rPr>
                <w:rFonts w:eastAsia="Calibri" w:cs="Times New Roman"/>
                <w:b/>
                <w:bCs/>
                <w:szCs w:val="24"/>
              </w:rPr>
            </w:pPr>
            <w:r w:rsidRPr="002D675F">
              <w:rPr>
                <w:rFonts w:eastAsia="Calibri" w:cs="Times New Roman"/>
                <w:b/>
                <w:bCs/>
                <w:szCs w:val="24"/>
              </w:rPr>
              <w:t>Kopā</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5342E4AC" w14:textId="77777777" w:rsidR="00943D3D" w:rsidRPr="002D675F" w:rsidRDefault="00943D3D" w:rsidP="00943D3D">
            <w:pPr>
              <w:spacing w:after="160" w:line="259" w:lineRule="auto"/>
              <w:jc w:val="both"/>
              <w:rPr>
                <w:rFonts w:eastAsia="Calibri" w:cs="Times New Roman"/>
                <w:b/>
                <w:bCs/>
                <w:szCs w:val="24"/>
              </w:rPr>
            </w:pPr>
            <w:r w:rsidRPr="002D675F">
              <w:rPr>
                <w:rFonts w:eastAsia="Calibri" w:cs="Times New Roman"/>
                <w:b/>
                <w:bCs/>
                <w:szCs w:val="24"/>
              </w:rPr>
              <w:t>2019</w:t>
            </w:r>
          </w:p>
        </w:tc>
        <w:tc>
          <w:tcPr>
            <w:tcW w:w="1134" w:type="dxa"/>
            <w:tcBorders>
              <w:top w:val="single" w:sz="4" w:space="0" w:color="auto"/>
              <w:left w:val="nil"/>
              <w:bottom w:val="single" w:sz="4" w:space="0" w:color="auto"/>
              <w:right w:val="single" w:sz="4" w:space="0" w:color="auto"/>
            </w:tcBorders>
            <w:shd w:val="clear" w:color="000000" w:fill="D9D9D9"/>
            <w:vAlign w:val="center"/>
            <w:hideMark/>
          </w:tcPr>
          <w:p w14:paraId="484B6EA1" w14:textId="77777777" w:rsidR="00943D3D" w:rsidRPr="002D675F" w:rsidRDefault="00943D3D" w:rsidP="00943D3D">
            <w:pPr>
              <w:spacing w:after="160" w:line="259" w:lineRule="auto"/>
              <w:jc w:val="both"/>
              <w:rPr>
                <w:rFonts w:eastAsia="Calibri" w:cs="Times New Roman"/>
                <w:b/>
                <w:bCs/>
                <w:szCs w:val="24"/>
              </w:rPr>
            </w:pPr>
            <w:r w:rsidRPr="002D675F">
              <w:rPr>
                <w:rFonts w:eastAsia="Calibri" w:cs="Times New Roman"/>
                <w:b/>
                <w:bCs/>
                <w:szCs w:val="24"/>
              </w:rPr>
              <w:t>2020</w:t>
            </w:r>
          </w:p>
        </w:tc>
        <w:tc>
          <w:tcPr>
            <w:tcW w:w="1275" w:type="dxa"/>
            <w:tcBorders>
              <w:top w:val="single" w:sz="4" w:space="0" w:color="auto"/>
              <w:left w:val="nil"/>
              <w:bottom w:val="single" w:sz="4" w:space="0" w:color="auto"/>
              <w:right w:val="single" w:sz="4" w:space="0" w:color="auto"/>
            </w:tcBorders>
            <w:shd w:val="clear" w:color="000000" w:fill="D9D9D9"/>
            <w:vAlign w:val="center"/>
            <w:hideMark/>
          </w:tcPr>
          <w:p w14:paraId="10DFEFA8" w14:textId="77777777" w:rsidR="00943D3D" w:rsidRPr="002D675F" w:rsidRDefault="00943D3D" w:rsidP="00943D3D">
            <w:pPr>
              <w:spacing w:after="160" w:line="259" w:lineRule="auto"/>
              <w:jc w:val="both"/>
              <w:rPr>
                <w:rFonts w:eastAsia="Calibri" w:cs="Times New Roman"/>
                <w:b/>
                <w:bCs/>
                <w:szCs w:val="24"/>
              </w:rPr>
            </w:pPr>
            <w:r w:rsidRPr="002D675F">
              <w:rPr>
                <w:rFonts w:eastAsia="Calibri" w:cs="Times New Roman"/>
                <w:b/>
                <w:bCs/>
                <w:szCs w:val="24"/>
              </w:rPr>
              <w:t>2021</w:t>
            </w:r>
          </w:p>
        </w:tc>
      </w:tr>
      <w:tr w:rsidR="00943D3D" w:rsidRPr="002D675F" w14:paraId="55380C31" w14:textId="77777777" w:rsidTr="00943D3D">
        <w:trPr>
          <w:trHeight w:val="33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7C4889CF" w14:textId="77777777" w:rsidR="00943D3D" w:rsidRPr="002D675F" w:rsidRDefault="00943D3D" w:rsidP="00943D3D">
            <w:pPr>
              <w:spacing w:after="160" w:line="259" w:lineRule="auto"/>
              <w:jc w:val="both"/>
              <w:rPr>
                <w:rFonts w:eastAsia="Calibri" w:cs="Times New Roman"/>
                <w:szCs w:val="24"/>
              </w:rPr>
            </w:pPr>
            <w:r w:rsidRPr="002D675F">
              <w:rPr>
                <w:rFonts w:eastAsia="Calibri" w:cs="Times New Roman"/>
                <w:szCs w:val="24"/>
              </w:rPr>
              <w:t>ES izglītības iestāžu investīciju projekti</w:t>
            </w:r>
          </w:p>
        </w:tc>
        <w:tc>
          <w:tcPr>
            <w:tcW w:w="1134" w:type="dxa"/>
            <w:tcBorders>
              <w:top w:val="nil"/>
              <w:left w:val="nil"/>
              <w:bottom w:val="single" w:sz="4" w:space="0" w:color="auto"/>
              <w:right w:val="single" w:sz="4" w:space="0" w:color="auto"/>
            </w:tcBorders>
            <w:shd w:val="clear" w:color="auto" w:fill="auto"/>
            <w:vAlign w:val="center"/>
            <w:hideMark/>
          </w:tcPr>
          <w:p w14:paraId="05DBBB6B" w14:textId="3720A61E" w:rsidR="00943D3D" w:rsidRPr="002D675F" w:rsidRDefault="00DF35F9" w:rsidP="00943D3D">
            <w:pPr>
              <w:spacing w:after="160" w:line="259" w:lineRule="auto"/>
              <w:jc w:val="both"/>
              <w:rPr>
                <w:rFonts w:eastAsia="Calibri" w:cs="Times New Roman"/>
                <w:b/>
                <w:bCs/>
                <w:szCs w:val="24"/>
              </w:rPr>
            </w:pPr>
            <w:r>
              <w:rPr>
                <w:rFonts w:eastAsia="Calibri" w:cs="Times New Roman"/>
                <w:b/>
                <w:bCs/>
                <w:szCs w:val="24"/>
              </w:rPr>
              <w:t>6</w:t>
            </w:r>
            <w:r w:rsidR="00943D3D" w:rsidRPr="002D675F">
              <w:rPr>
                <w:rFonts w:eastAsia="Calibri" w:cs="Times New Roman"/>
                <w:b/>
                <w:bCs/>
                <w:szCs w:val="24"/>
              </w:rPr>
              <w:t>,6</w:t>
            </w:r>
          </w:p>
        </w:tc>
        <w:tc>
          <w:tcPr>
            <w:tcW w:w="1134" w:type="dxa"/>
            <w:tcBorders>
              <w:top w:val="nil"/>
              <w:left w:val="nil"/>
              <w:bottom w:val="single" w:sz="4" w:space="0" w:color="auto"/>
              <w:right w:val="single" w:sz="4" w:space="0" w:color="auto"/>
            </w:tcBorders>
            <w:shd w:val="clear" w:color="auto" w:fill="auto"/>
            <w:vAlign w:val="center"/>
            <w:hideMark/>
          </w:tcPr>
          <w:p w14:paraId="59B1BD07" w14:textId="38F46C98" w:rsidR="00943D3D" w:rsidRPr="002D675F" w:rsidRDefault="00943D3D" w:rsidP="00943D3D">
            <w:pPr>
              <w:spacing w:after="160" w:line="259" w:lineRule="auto"/>
              <w:jc w:val="both"/>
              <w:rPr>
                <w:rFonts w:eastAsia="Calibri" w:cs="Times New Roman"/>
                <w:szCs w:val="24"/>
              </w:rPr>
            </w:pPr>
            <w:r w:rsidRPr="002D675F">
              <w:rPr>
                <w:rFonts w:eastAsia="Calibri" w:cs="Times New Roman"/>
                <w:szCs w:val="24"/>
              </w:rPr>
              <w:t>2,</w:t>
            </w:r>
            <w:r w:rsidR="00DF35F9">
              <w:rPr>
                <w:rFonts w:eastAsia="Calibri" w:cs="Times New Roman"/>
                <w:szCs w:val="24"/>
              </w:rPr>
              <w:t>4</w:t>
            </w:r>
          </w:p>
        </w:tc>
        <w:tc>
          <w:tcPr>
            <w:tcW w:w="1134" w:type="dxa"/>
            <w:tcBorders>
              <w:top w:val="nil"/>
              <w:left w:val="nil"/>
              <w:bottom w:val="single" w:sz="4" w:space="0" w:color="auto"/>
              <w:right w:val="single" w:sz="4" w:space="0" w:color="auto"/>
            </w:tcBorders>
            <w:shd w:val="clear" w:color="auto" w:fill="auto"/>
            <w:vAlign w:val="center"/>
            <w:hideMark/>
          </w:tcPr>
          <w:p w14:paraId="12ADA87C" w14:textId="11E2119F" w:rsidR="00943D3D" w:rsidRPr="002D675F" w:rsidRDefault="00DF35F9" w:rsidP="00943D3D">
            <w:pPr>
              <w:spacing w:after="160" w:line="259" w:lineRule="auto"/>
              <w:jc w:val="both"/>
              <w:rPr>
                <w:rFonts w:eastAsia="Calibri" w:cs="Times New Roman"/>
                <w:szCs w:val="24"/>
              </w:rPr>
            </w:pPr>
            <w:r>
              <w:rPr>
                <w:rFonts w:eastAsia="Calibri" w:cs="Times New Roman"/>
                <w:szCs w:val="24"/>
              </w:rPr>
              <w:t>4,0</w:t>
            </w:r>
          </w:p>
        </w:tc>
        <w:tc>
          <w:tcPr>
            <w:tcW w:w="1275" w:type="dxa"/>
            <w:tcBorders>
              <w:top w:val="nil"/>
              <w:left w:val="nil"/>
              <w:bottom w:val="single" w:sz="4" w:space="0" w:color="auto"/>
              <w:right w:val="single" w:sz="4" w:space="0" w:color="auto"/>
            </w:tcBorders>
            <w:shd w:val="clear" w:color="auto" w:fill="auto"/>
            <w:noWrap/>
            <w:vAlign w:val="bottom"/>
            <w:hideMark/>
          </w:tcPr>
          <w:p w14:paraId="2B2568F3" w14:textId="77777777" w:rsidR="00943D3D" w:rsidRPr="002D675F" w:rsidRDefault="00943D3D" w:rsidP="00943D3D">
            <w:pPr>
              <w:spacing w:after="160" w:line="259" w:lineRule="auto"/>
              <w:jc w:val="both"/>
              <w:rPr>
                <w:rFonts w:eastAsia="Calibri" w:cs="Times New Roman"/>
                <w:szCs w:val="24"/>
              </w:rPr>
            </w:pPr>
            <w:r w:rsidRPr="002D675F">
              <w:rPr>
                <w:rFonts w:eastAsia="Calibri" w:cs="Times New Roman"/>
                <w:szCs w:val="24"/>
              </w:rPr>
              <w:t>0,2</w:t>
            </w:r>
          </w:p>
        </w:tc>
      </w:tr>
      <w:tr w:rsidR="00943D3D" w:rsidRPr="002D675F" w14:paraId="36CF5755" w14:textId="77777777" w:rsidTr="00943D3D">
        <w:trPr>
          <w:trHeight w:val="33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62388C70" w14:textId="77777777" w:rsidR="00943D3D" w:rsidRPr="002D675F" w:rsidRDefault="00943D3D" w:rsidP="00943D3D">
            <w:pPr>
              <w:spacing w:after="160" w:line="259" w:lineRule="auto"/>
              <w:jc w:val="both"/>
              <w:rPr>
                <w:rFonts w:eastAsia="Calibri" w:cs="Times New Roman"/>
                <w:szCs w:val="24"/>
              </w:rPr>
            </w:pPr>
            <w:r w:rsidRPr="002D675F">
              <w:rPr>
                <w:rFonts w:eastAsia="Calibri" w:cs="Times New Roman"/>
                <w:szCs w:val="24"/>
              </w:rPr>
              <w:t xml:space="preserve">ES uzņēmējdarbības attīstības projekti </w:t>
            </w:r>
          </w:p>
        </w:tc>
        <w:tc>
          <w:tcPr>
            <w:tcW w:w="1134" w:type="dxa"/>
            <w:tcBorders>
              <w:top w:val="nil"/>
              <w:left w:val="nil"/>
              <w:bottom w:val="single" w:sz="4" w:space="0" w:color="auto"/>
              <w:right w:val="single" w:sz="4" w:space="0" w:color="auto"/>
            </w:tcBorders>
            <w:shd w:val="clear" w:color="auto" w:fill="auto"/>
            <w:vAlign w:val="center"/>
            <w:hideMark/>
          </w:tcPr>
          <w:p w14:paraId="2E70A052" w14:textId="5E081B66" w:rsidR="00943D3D" w:rsidRPr="002D675F" w:rsidRDefault="00DF35F9" w:rsidP="00943D3D">
            <w:pPr>
              <w:spacing w:after="160" w:line="259" w:lineRule="auto"/>
              <w:jc w:val="both"/>
              <w:rPr>
                <w:rFonts w:eastAsia="Calibri" w:cs="Times New Roman"/>
                <w:b/>
                <w:bCs/>
                <w:szCs w:val="24"/>
              </w:rPr>
            </w:pPr>
            <w:r>
              <w:rPr>
                <w:rFonts w:eastAsia="Calibri" w:cs="Times New Roman"/>
                <w:b/>
                <w:bCs/>
                <w:szCs w:val="24"/>
              </w:rPr>
              <w:t>16,2</w:t>
            </w:r>
          </w:p>
        </w:tc>
        <w:tc>
          <w:tcPr>
            <w:tcW w:w="1134" w:type="dxa"/>
            <w:tcBorders>
              <w:top w:val="nil"/>
              <w:left w:val="nil"/>
              <w:bottom w:val="single" w:sz="4" w:space="0" w:color="auto"/>
              <w:right w:val="single" w:sz="4" w:space="0" w:color="auto"/>
            </w:tcBorders>
            <w:shd w:val="clear" w:color="auto" w:fill="auto"/>
            <w:vAlign w:val="center"/>
            <w:hideMark/>
          </w:tcPr>
          <w:p w14:paraId="31C33864" w14:textId="27C6B584" w:rsidR="00943D3D" w:rsidRPr="002D675F" w:rsidRDefault="00943D3D" w:rsidP="00943D3D">
            <w:pPr>
              <w:spacing w:after="160" w:line="259" w:lineRule="auto"/>
              <w:jc w:val="both"/>
              <w:rPr>
                <w:rFonts w:eastAsia="Calibri" w:cs="Times New Roman"/>
                <w:szCs w:val="24"/>
              </w:rPr>
            </w:pPr>
            <w:r w:rsidRPr="002D675F">
              <w:rPr>
                <w:rFonts w:eastAsia="Calibri" w:cs="Times New Roman"/>
                <w:szCs w:val="24"/>
              </w:rPr>
              <w:t>5,</w:t>
            </w:r>
            <w:r w:rsidR="00DF35F9">
              <w:rPr>
                <w:rFonts w:eastAsia="Calibri" w:cs="Times New Roman"/>
                <w:szCs w:val="24"/>
              </w:rPr>
              <w:t>2</w:t>
            </w:r>
          </w:p>
        </w:tc>
        <w:tc>
          <w:tcPr>
            <w:tcW w:w="1134" w:type="dxa"/>
            <w:tcBorders>
              <w:top w:val="nil"/>
              <w:left w:val="nil"/>
              <w:bottom w:val="single" w:sz="4" w:space="0" w:color="auto"/>
              <w:right w:val="single" w:sz="4" w:space="0" w:color="auto"/>
            </w:tcBorders>
            <w:shd w:val="clear" w:color="auto" w:fill="auto"/>
            <w:vAlign w:val="center"/>
            <w:hideMark/>
          </w:tcPr>
          <w:p w14:paraId="29571C90" w14:textId="4F1F8CBE" w:rsidR="00943D3D" w:rsidRPr="002D675F" w:rsidRDefault="00DF35F9" w:rsidP="00943D3D">
            <w:pPr>
              <w:spacing w:after="160" w:line="259" w:lineRule="auto"/>
              <w:jc w:val="both"/>
              <w:rPr>
                <w:rFonts w:eastAsia="Calibri" w:cs="Times New Roman"/>
                <w:szCs w:val="24"/>
              </w:rPr>
            </w:pPr>
            <w:r>
              <w:rPr>
                <w:rFonts w:eastAsia="Calibri" w:cs="Times New Roman"/>
                <w:szCs w:val="24"/>
              </w:rPr>
              <w:t>9,2</w:t>
            </w:r>
          </w:p>
        </w:tc>
        <w:tc>
          <w:tcPr>
            <w:tcW w:w="1275" w:type="dxa"/>
            <w:tcBorders>
              <w:top w:val="nil"/>
              <w:left w:val="nil"/>
              <w:bottom w:val="single" w:sz="4" w:space="0" w:color="auto"/>
              <w:right w:val="single" w:sz="4" w:space="0" w:color="auto"/>
            </w:tcBorders>
            <w:shd w:val="clear" w:color="auto" w:fill="auto"/>
            <w:noWrap/>
            <w:vAlign w:val="bottom"/>
            <w:hideMark/>
          </w:tcPr>
          <w:p w14:paraId="0DEF77B0" w14:textId="4C7BEC1E" w:rsidR="00943D3D" w:rsidRPr="002D675F" w:rsidRDefault="00943D3D" w:rsidP="00943D3D">
            <w:pPr>
              <w:spacing w:after="160" w:line="259" w:lineRule="auto"/>
              <w:jc w:val="both"/>
              <w:rPr>
                <w:rFonts w:eastAsia="Calibri" w:cs="Times New Roman"/>
                <w:szCs w:val="24"/>
              </w:rPr>
            </w:pPr>
            <w:r w:rsidRPr="002D675F">
              <w:rPr>
                <w:rFonts w:eastAsia="Calibri" w:cs="Times New Roman"/>
                <w:szCs w:val="24"/>
              </w:rPr>
              <w:t> </w:t>
            </w:r>
            <w:r w:rsidR="00DF35F9">
              <w:rPr>
                <w:rFonts w:eastAsia="Calibri" w:cs="Times New Roman"/>
                <w:szCs w:val="24"/>
              </w:rPr>
              <w:t>1,8</w:t>
            </w:r>
          </w:p>
        </w:tc>
      </w:tr>
      <w:tr w:rsidR="00943D3D" w:rsidRPr="002D675F" w14:paraId="6184E2B8" w14:textId="77777777" w:rsidTr="00943D3D">
        <w:trPr>
          <w:trHeight w:val="33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B561ACA" w14:textId="77777777" w:rsidR="00943D3D" w:rsidRPr="002D675F" w:rsidRDefault="00943D3D" w:rsidP="00943D3D">
            <w:pPr>
              <w:spacing w:after="160" w:line="259" w:lineRule="auto"/>
              <w:jc w:val="both"/>
              <w:rPr>
                <w:rFonts w:eastAsia="Calibri" w:cs="Times New Roman"/>
                <w:szCs w:val="24"/>
              </w:rPr>
            </w:pPr>
            <w:r w:rsidRPr="002D675F">
              <w:rPr>
                <w:rFonts w:eastAsia="Calibri" w:cs="Times New Roman"/>
                <w:szCs w:val="24"/>
              </w:rPr>
              <w:t>ES pārējie projekti</w:t>
            </w:r>
          </w:p>
        </w:tc>
        <w:tc>
          <w:tcPr>
            <w:tcW w:w="1134" w:type="dxa"/>
            <w:tcBorders>
              <w:top w:val="nil"/>
              <w:left w:val="nil"/>
              <w:bottom w:val="single" w:sz="4" w:space="0" w:color="auto"/>
              <w:right w:val="single" w:sz="4" w:space="0" w:color="auto"/>
            </w:tcBorders>
            <w:shd w:val="clear" w:color="auto" w:fill="auto"/>
            <w:vAlign w:val="center"/>
            <w:hideMark/>
          </w:tcPr>
          <w:p w14:paraId="414E9917" w14:textId="77777777" w:rsidR="00943D3D" w:rsidRPr="002D675F" w:rsidRDefault="00943D3D" w:rsidP="00943D3D">
            <w:pPr>
              <w:spacing w:after="160" w:line="259" w:lineRule="auto"/>
              <w:jc w:val="both"/>
              <w:rPr>
                <w:rFonts w:eastAsia="Calibri" w:cs="Times New Roman"/>
                <w:b/>
                <w:bCs/>
                <w:szCs w:val="24"/>
              </w:rPr>
            </w:pPr>
            <w:r w:rsidRPr="002D675F">
              <w:rPr>
                <w:rFonts w:eastAsia="Calibri" w:cs="Times New Roman"/>
                <w:b/>
                <w:bCs/>
                <w:szCs w:val="24"/>
              </w:rPr>
              <w:t>43,5</w:t>
            </w:r>
          </w:p>
        </w:tc>
        <w:tc>
          <w:tcPr>
            <w:tcW w:w="1134" w:type="dxa"/>
            <w:tcBorders>
              <w:top w:val="nil"/>
              <w:left w:val="nil"/>
              <w:bottom w:val="single" w:sz="4" w:space="0" w:color="auto"/>
              <w:right w:val="single" w:sz="4" w:space="0" w:color="auto"/>
            </w:tcBorders>
            <w:shd w:val="clear" w:color="auto" w:fill="auto"/>
            <w:vAlign w:val="center"/>
            <w:hideMark/>
          </w:tcPr>
          <w:p w14:paraId="7F53DBCC" w14:textId="5B73330C" w:rsidR="00943D3D" w:rsidRPr="002D675F" w:rsidRDefault="00DF35F9" w:rsidP="00943D3D">
            <w:pPr>
              <w:spacing w:after="160" w:line="259" w:lineRule="auto"/>
              <w:jc w:val="both"/>
              <w:rPr>
                <w:rFonts w:eastAsia="Calibri" w:cs="Times New Roman"/>
                <w:szCs w:val="24"/>
              </w:rPr>
            </w:pPr>
            <w:r>
              <w:rPr>
                <w:rFonts w:eastAsia="Calibri" w:cs="Times New Roman"/>
                <w:szCs w:val="24"/>
              </w:rPr>
              <w:t>25,5</w:t>
            </w:r>
          </w:p>
        </w:tc>
        <w:tc>
          <w:tcPr>
            <w:tcW w:w="1134" w:type="dxa"/>
            <w:tcBorders>
              <w:top w:val="nil"/>
              <w:left w:val="nil"/>
              <w:bottom w:val="single" w:sz="4" w:space="0" w:color="auto"/>
              <w:right w:val="single" w:sz="4" w:space="0" w:color="auto"/>
            </w:tcBorders>
            <w:shd w:val="clear" w:color="auto" w:fill="auto"/>
            <w:vAlign w:val="center"/>
            <w:hideMark/>
          </w:tcPr>
          <w:p w14:paraId="4F241626" w14:textId="7B2563BD" w:rsidR="00943D3D" w:rsidRPr="002D675F" w:rsidRDefault="00DF35F9" w:rsidP="00943D3D">
            <w:pPr>
              <w:spacing w:after="160" w:line="259" w:lineRule="auto"/>
              <w:jc w:val="both"/>
              <w:rPr>
                <w:rFonts w:eastAsia="Calibri" w:cs="Times New Roman"/>
                <w:szCs w:val="24"/>
              </w:rPr>
            </w:pPr>
            <w:r>
              <w:rPr>
                <w:rFonts w:eastAsia="Calibri" w:cs="Times New Roman"/>
                <w:szCs w:val="24"/>
              </w:rPr>
              <w:t>18,0</w:t>
            </w:r>
          </w:p>
        </w:tc>
        <w:tc>
          <w:tcPr>
            <w:tcW w:w="1275" w:type="dxa"/>
            <w:tcBorders>
              <w:top w:val="nil"/>
              <w:left w:val="nil"/>
              <w:bottom w:val="single" w:sz="4" w:space="0" w:color="auto"/>
              <w:right w:val="single" w:sz="4" w:space="0" w:color="auto"/>
            </w:tcBorders>
            <w:shd w:val="clear" w:color="auto" w:fill="auto"/>
            <w:noWrap/>
            <w:vAlign w:val="bottom"/>
            <w:hideMark/>
          </w:tcPr>
          <w:p w14:paraId="36727F28" w14:textId="77777777" w:rsidR="00943D3D" w:rsidRPr="002D675F" w:rsidRDefault="00943D3D" w:rsidP="00943D3D">
            <w:pPr>
              <w:spacing w:after="160" w:line="259" w:lineRule="auto"/>
              <w:jc w:val="both"/>
              <w:rPr>
                <w:rFonts w:eastAsia="Calibri" w:cs="Times New Roman"/>
                <w:szCs w:val="24"/>
              </w:rPr>
            </w:pPr>
            <w:r w:rsidRPr="002D675F">
              <w:rPr>
                <w:rFonts w:eastAsia="Calibri" w:cs="Times New Roman"/>
                <w:szCs w:val="24"/>
              </w:rPr>
              <w:t> </w:t>
            </w:r>
          </w:p>
        </w:tc>
      </w:tr>
      <w:tr w:rsidR="00943D3D" w:rsidRPr="002D675F" w14:paraId="5CBCD1B5" w14:textId="77777777" w:rsidTr="00943D3D">
        <w:trPr>
          <w:trHeight w:val="330"/>
        </w:trPr>
        <w:tc>
          <w:tcPr>
            <w:tcW w:w="4390" w:type="dxa"/>
            <w:tcBorders>
              <w:top w:val="nil"/>
              <w:left w:val="single" w:sz="4" w:space="0" w:color="auto"/>
              <w:bottom w:val="single" w:sz="4" w:space="0" w:color="auto"/>
              <w:right w:val="single" w:sz="4" w:space="0" w:color="auto"/>
            </w:tcBorders>
            <w:shd w:val="clear" w:color="auto" w:fill="auto"/>
            <w:vAlign w:val="center"/>
            <w:hideMark/>
          </w:tcPr>
          <w:p w14:paraId="41FA87BB" w14:textId="77777777" w:rsidR="00943D3D" w:rsidRPr="002D675F" w:rsidRDefault="00943D3D" w:rsidP="00943D3D">
            <w:pPr>
              <w:spacing w:after="160" w:line="259" w:lineRule="auto"/>
              <w:jc w:val="both"/>
              <w:rPr>
                <w:rFonts w:eastAsia="Calibri" w:cs="Times New Roman"/>
                <w:b/>
                <w:bCs/>
                <w:szCs w:val="24"/>
              </w:rPr>
            </w:pPr>
            <w:r w:rsidRPr="002D675F">
              <w:rPr>
                <w:rFonts w:eastAsia="Calibri" w:cs="Times New Roman"/>
                <w:b/>
                <w:bCs/>
                <w:szCs w:val="24"/>
              </w:rPr>
              <w:t xml:space="preserve">Kopā: </w:t>
            </w:r>
          </w:p>
        </w:tc>
        <w:tc>
          <w:tcPr>
            <w:tcW w:w="1134" w:type="dxa"/>
            <w:tcBorders>
              <w:top w:val="nil"/>
              <w:left w:val="nil"/>
              <w:bottom w:val="single" w:sz="4" w:space="0" w:color="auto"/>
              <w:right w:val="single" w:sz="4" w:space="0" w:color="auto"/>
            </w:tcBorders>
            <w:shd w:val="clear" w:color="auto" w:fill="auto"/>
            <w:vAlign w:val="center"/>
            <w:hideMark/>
          </w:tcPr>
          <w:p w14:paraId="4335F770" w14:textId="2EF418B1" w:rsidR="00943D3D" w:rsidRPr="002D675F" w:rsidRDefault="00DF35F9" w:rsidP="00943D3D">
            <w:pPr>
              <w:spacing w:after="160" w:line="259" w:lineRule="auto"/>
              <w:jc w:val="both"/>
              <w:rPr>
                <w:rFonts w:eastAsia="Calibri" w:cs="Times New Roman"/>
                <w:b/>
                <w:bCs/>
                <w:szCs w:val="24"/>
              </w:rPr>
            </w:pPr>
            <w:r>
              <w:rPr>
                <w:rFonts w:eastAsia="Calibri" w:cs="Times New Roman"/>
                <w:b/>
                <w:bCs/>
                <w:szCs w:val="24"/>
              </w:rPr>
              <w:t>66,3</w:t>
            </w:r>
          </w:p>
        </w:tc>
        <w:tc>
          <w:tcPr>
            <w:tcW w:w="1134" w:type="dxa"/>
            <w:tcBorders>
              <w:top w:val="nil"/>
              <w:left w:val="nil"/>
              <w:bottom w:val="single" w:sz="4" w:space="0" w:color="auto"/>
              <w:right w:val="single" w:sz="4" w:space="0" w:color="auto"/>
            </w:tcBorders>
            <w:shd w:val="clear" w:color="auto" w:fill="auto"/>
            <w:vAlign w:val="center"/>
            <w:hideMark/>
          </w:tcPr>
          <w:p w14:paraId="086249C0" w14:textId="253C927B" w:rsidR="00943D3D" w:rsidRPr="002D675F" w:rsidRDefault="00943D3D" w:rsidP="00DF35F9">
            <w:pPr>
              <w:spacing w:after="160" w:line="259" w:lineRule="auto"/>
              <w:jc w:val="both"/>
              <w:rPr>
                <w:rFonts w:eastAsia="Calibri" w:cs="Times New Roman"/>
                <w:b/>
                <w:bCs/>
                <w:szCs w:val="24"/>
              </w:rPr>
            </w:pPr>
            <w:r w:rsidRPr="002D675F">
              <w:rPr>
                <w:rFonts w:eastAsia="Calibri" w:cs="Times New Roman"/>
                <w:b/>
                <w:bCs/>
                <w:szCs w:val="24"/>
              </w:rPr>
              <w:t>3</w:t>
            </w:r>
            <w:r w:rsidR="00DF35F9">
              <w:rPr>
                <w:rFonts w:eastAsia="Calibri" w:cs="Times New Roman"/>
                <w:b/>
                <w:bCs/>
                <w:szCs w:val="24"/>
              </w:rPr>
              <w:t>33,1</w:t>
            </w:r>
          </w:p>
        </w:tc>
        <w:tc>
          <w:tcPr>
            <w:tcW w:w="1134" w:type="dxa"/>
            <w:tcBorders>
              <w:top w:val="nil"/>
              <w:left w:val="nil"/>
              <w:bottom w:val="single" w:sz="4" w:space="0" w:color="auto"/>
              <w:right w:val="single" w:sz="4" w:space="0" w:color="auto"/>
            </w:tcBorders>
            <w:shd w:val="clear" w:color="auto" w:fill="auto"/>
            <w:vAlign w:val="center"/>
            <w:hideMark/>
          </w:tcPr>
          <w:p w14:paraId="3DB3F7DB" w14:textId="33513EE8" w:rsidR="00943D3D" w:rsidRPr="002D675F" w:rsidRDefault="00DF35F9" w:rsidP="00943D3D">
            <w:pPr>
              <w:spacing w:after="160" w:line="259" w:lineRule="auto"/>
              <w:jc w:val="both"/>
              <w:rPr>
                <w:rFonts w:eastAsia="Calibri" w:cs="Times New Roman"/>
                <w:b/>
                <w:bCs/>
                <w:szCs w:val="24"/>
              </w:rPr>
            </w:pPr>
            <w:r>
              <w:rPr>
                <w:rFonts w:eastAsia="Calibri" w:cs="Times New Roman"/>
                <w:b/>
                <w:bCs/>
                <w:szCs w:val="24"/>
              </w:rPr>
              <w:t>31,2</w:t>
            </w:r>
          </w:p>
        </w:tc>
        <w:tc>
          <w:tcPr>
            <w:tcW w:w="1275" w:type="dxa"/>
            <w:tcBorders>
              <w:top w:val="nil"/>
              <w:left w:val="nil"/>
              <w:bottom w:val="single" w:sz="4" w:space="0" w:color="auto"/>
              <w:right w:val="single" w:sz="4" w:space="0" w:color="auto"/>
            </w:tcBorders>
            <w:shd w:val="clear" w:color="auto" w:fill="auto"/>
            <w:noWrap/>
            <w:vAlign w:val="bottom"/>
            <w:hideMark/>
          </w:tcPr>
          <w:p w14:paraId="3C3873BC" w14:textId="316CE128" w:rsidR="00943D3D" w:rsidRPr="002D675F" w:rsidRDefault="00943D3D" w:rsidP="00DF35F9">
            <w:pPr>
              <w:spacing w:after="160" w:line="259" w:lineRule="auto"/>
              <w:jc w:val="both"/>
              <w:rPr>
                <w:rFonts w:eastAsia="Calibri" w:cs="Times New Roman"/>
                <w:b/>
                <w:bCs/>
                <w:szCs w:val="24"/>
              </w:rPr>
            </w:pPr>
            <w:r w:rsidRPr="002D675F">
              <w:rPr>
                <w:rFonts w:eastAsia="Calibri" w:cs="Times New Roman"/>
                <w:b/>
                <w:bCs/>
                <w:szCs w:val="24"/>
              </w:rPr>
              <w:t>0</w:t>
            </w:r>
            <w:r w:rsidR="00DF35F9">
              <w:rPr>
                <w:rFonts w:eastAsia="Calibri" w:cs="Times New Roman"/>
                <w:b/>
                <w:bCs/>
                <w:szCs w:val="24"/>
              </w:rPr>
              <w:t>2,0</w:t>
            </w:r>
          </w:p>
        </w:tc>
      </w:tr>
    </w:tbl>
    <w:p w14:paraId="1947ADDB" w14:textId="6DD1C951" w:rsidR="0086522B" w:rsidRPr="00E32683" w:rsidRDefault="00943D3D" w:rsidP="00943D3D">
      <w:pPr>
        <w:spacing w:before="120" w:after="120" w:line="276" w:lineRule="auto"/>
        <w:ind w:firstLine="851"/>
        <w:jc w:val="both"/>
        <w:rPr>
          <w:b/>
          <w:bCs/>
          <w:color w:val="000000" w:themeColor="text1"/>
          <w:sz w:val="28"/>
          <w:szCs w:val="28"/>
        </w:rPr>
      </w:pPr>
      <w:r w:rsidRPr="00E32683">
        <w:rPr>
          <w:bCs/>
          <w:sz w:val="28"/>
          <w:szCs w:val="28"/>
        </w:rPr>
        <w:t>Jautājums par aizņemšanās nosacījumiem un kritērijiem 2020. gadam un vidējā termiņā pašvaldību kopējā pieļaujamā aizņēmuma limita ietvaros tiks izskatīts FM un LPS sarunās likumprojekta “Par valsts budžetu 2020.</w:t>
      </w:r>
      <w:r w:rsidR="009B2BE5" w:rsidRPr="00E32683">
        <w:rPr>
          <w:bCs/>
          <w:sz w:val="28"/>
          <w:szCs w:val="28"/>
        </w:rPr>
        <w:t xml:space="preserve"> </w:t>
      </w:r>
      <w:r w:rsidRPr="00E32683">
        <w:rPr>
          <w:bCs/>
          <w:sz w:val="28"/>
          <w:szCs w:val="28"/>
        </w:rPr>
        <w:t>gadam” izstrādes procesā. Atbilstoši MK 2019. gada 11. jūnija sēdes lēmumam pie aizņēmumu nosacījumu izstrādes 2020. </w:t>
      </w:r>
      <w:r w:rsidR="00041730" w:rsidRPr="00E32683">
        <w:rPr>
          <w:bCs/>
          <w:sz w:val="28"/>
          <w:szCs w:val="28"/>
        </w:rPr>
        <w:t xml:space="preserve">gadā un vidējā termiņā </w:t>
      </w:r>
      <w:r w:rsidRPr="00E32683">
        <w:rPr>
          <w:bCs/>
          <w:sz w:val="28"/>
          <w:szCs w:val="28"/>
        </w:rPr>
        <w:t>kā prioritāte ir noteikta saglabāt aizņēmumus ES projektu attiecināmo izmaksu apjomā. Vienlaicīgi MK ir uzdevis ministrijām un CFLA, izvērtējot pašvaldību ES projektu iesniegumus, ņem</w:t>
      </w:r>
      <w:r w:rsidR="00893103">
        <w:rPr>
          <w:bCs/>
          <w:sz w:val="28"/>
          <w:szCs w:val="28"/>
        </w:rPr>
        <w:t>o</w:t>
      </w:r>
      <w:r w:rsidRPr="00E32683">
        <w:rPr>
          <w:bCs/>
          <w:sz w:val="28"/>
          <w:szCs w:val="28"/>
        </w:rPr>
        <w:t xml:space="preserve">t vērā noteikto ierobežojumu uz projekta neattecināmajam izmaksām un iespēju pašvaldībām tās finansēt no sava budžeta līdzekļiem. </w:t>
      </w:r>
      <w:r w:rsidRPr="00E32683">
        <w:rPr>
          <w:bCs/>
          <w:color w:val="000000" w:themeColor="text1"/>
          <w:sz w:val="28"/>
          <w:szCs w:val="28"/>
        </w:rPr>
        <w:t>FM ir aicinājusi pašvaldības stingri ievērot finanšu disciplīnu un fiskāli atbildīgi plānot savus investīciju projektus, vērtējot projekta izmaksu pamatotību, samērīgumu un to finansēšanas avotus, neuzņemoties saistības bez seguma un neradot negatīvu ietekmi uz vispārējās valdības bilanci.</w:t>
      </w:r>
    </w:p>
    <w:p w14:paraId="424E7D3F" w14:textId="4E3189A4" w:rsidR="006D46FF" w:rsidRPr="00DB28C3" w:rsidRDefault="00426694">
      <w:pPr>
        <w:pStyle w:val="1lmenis"/>
      </w:pPr>
      <w:bookmarkStart w:id="10" w:name="_Toc17468208"/>
      <w:r>
        <w:t>4</w:t>
      </w:r>
      <w:r w:rsidR="001F7BCC" w:rsidRPr="00DB28C3">
        <w:t xml:space="preserve">. </w:t>
      </w:r>
      <w:r w:rsidR="009C0862" w:rsidRPr="00DB28C3">
        <w:t xml:space="preserve">EEZ/Norvēģijas </w:t>
      </w:r>
      <w:r w:rsidR="00DF4D36" w:rsidRPr="00DB28C3">
        <w:t>finanšu</w:t>
      </w:r>
      <w:r w:rsidR="00E503CC" w:rsidRPr="00DB28C3">
        <w:t xml:space="preserve"> </w:t>
      </w:r>
      <w:r w:rsidR="009C0862" w:rsidRPr="00DB28C3">
        <w:t xml:space="preserve">instrumentu </w:t>
      </w:r>
      <w:r w:rsidR="00EA1ED5" w:rsidRPr="00DB28C3">
        <w:t>investīciju progress</w:t>
      </w:r>
      <w:r w:rsidR="009C0862" w:rsidRPr="00DB28C3">
        <w:rPr>
          <w:rStyle w:val="FootnoteReference"/>
        </w:rPr>
        <w:footnoteReference w:id="21"/>
      </w:r>
      <w:bookmarkEnd w:id="10"/>
    </w:p>
    <w:p w14:paraId="6E3B21AE" w14:textId="5530C72F" w:rsidR="00C22314" w:rsidRPr="00DB28C3" w:rsidRDefault="00B554AA" w:rsidP="00C1237C">
      <w:pPr>
        <w:spacing w:before="120" w:after="120" w:line="276" w:lineRule="auto"/>
        <w:ind w:firstLine="709"/>
        <w:jc w:val="both"/>
        <w:rPr>
          <w:rFonts w:eastAsia="Calibri" w:cs="Times New Roman"/>
          <w:sz w:val="28"/>
          <w:szCs w:val="28"/>
        </w:rPr>
      </w:pPr>
      <w:r w:rsidRPr="00DB28C3">
        <w:rPr>
          <w:sz w:val="28"/>
          <w:szCs w:val="28"/>
        </w:rPr>
        <w:t xml:space="preserve">EEZ/Norvēģijas </w:t>
      </w:r>
      <w:r w:rsidR="00103434">
        <w:rPr>
          <w:sz w:val="28"/>
          <w:szCs w:val="28"/>
        </w:rPr>
        <w:t>FI</w:t>
      </w:r>
      <w:r w:rsidRPr="00DB28C3">
        <w:rPr>
          <w:sz w:val="28"/>
          <w:szCs w:val="28"/>
        </w:rPr>
        <w:t xml:space="preserve"> 85,4 milj. </w:t>
      </w:r>
      <w:proofErr w:type="spellStart"/>
      <w:r w:rsidRPr="00DB28C3">
        <w:rPr>
          <w:i/>
          <w:sz w:val="28"/>
          <w:szCs w:val="28"/>
        </w:rPr>
        <w:t>euro</w:t>
      </w:r>
      <w:proofErr w:type="spellEnd"/>
      <w:r w:rsidRPr="00DB28C3">
        <w:rPr>
          <w:sz w:val="28"/>
          <w:szCs w:val="28"/>
        </w:rPr>
        <w:t xml:space="preserve"> atbalsta piesaistē sešām programmām, vienojoti</w:t>
      </w:r>
      <w:r w:rsidR="00381540" w:rsidRPr="00DB28C3">
        <w:rPr>
          <w:sz w:val="28"/>
          <w:szCs w:val="28"/>
        </w:rPr>
        <w:t>e</w:t>
      </w:r>
      <w:r w:rsidRPr="00DB28C3">
        <w:rPr>
          <w:sz w:val="28"/>
          <w:szCs w:val="28"/>
        </w:rPr>
        <w:t xml:space="preserve">s ar </w:t>
      </w:r>
      <w:proofErr w:type="spellStart"/>
      <w:r w:rsidRPr="00DB28C3">
        <w:rPr>
          <w:sz w:val="28"/>
          <w:szCs w:val="28"/>
        </w:rPr>
        <w:t>donorvalstīm</w:t>
      </w:r>
      <w:proofErr w:type="spellEnd"/>
      <w:r w:rsidRPr="00DB28C3">
        <w:rPr>
          <w:sz w:val="28"/>
          <w:szCs w:val="28"/>
        </w:rPr>
        <w:t xml:space="preserve"> par investīciju saturu, 2019.</w:t>
      </w:r>
      <w:r w:rsidR="00153F5E">
        <w:rPr>
          <w:sz w:val="28"/>
          <w:szCs w:val="28"/>
        </w:rPr>
        <w:t> </w:t>
      </w:r>
      <w:r w:rsidRPr="00DB28C3">
        <w:rPr>
          <w:sz w:val="28"/>
          <w:szCs w:val="28"/>
        </w:rPr>
        <w:t xml:space="preserve">gadā ir nozīmīgs progress. Ar </w:t>
      </w:r>
      <w:proofErr w:type="spellStart"/>
      <w:r w:rsidRPr="00DB28C3">
        <w:rPr>
          <w:sz w:val="28"/>
          <w:szCs w:val="28"/>
        </w:rPr>
        <w:t>donorv</w:t>
      </w:r>
      <w:r w:rsidR="001E430D" w:rsidRPr="00DB28C3">
        <w:rPr>
          <w:sz w:val="28"/>
          <w:szCs w:val="28"/>
        </w:rPr>
        <w:t>alstīm</w:t>
      </w:r>
      <w:proofErr w:type="spellEnd"/>
      <w:r w:rsidR="001E430D" w:rsidRPr="00DB28C3">
        <w:rPr>
          <w:sz w:val="28"/>
          <w:szCs w:val="28"/>
        </w:rPr>
        <w:t xml:space="preserve"> ir parakstīti pirmie</w:t>
      </w:r>
      <w:r w:rsidRPr="00DB28C3">
        <w:rPr>
          <w:sz w:val="28"/>
          <w:szCs w:val="28"/>
        </w:rPr>
        <w:t xml:space="preserve"> līgumi </w:t>
      </w:r>
      <w:r w:rsidRPr="00DB28C3">
        <w:rPr>
          <w:rFonts w:eastAsia="Calibri"/>
          <w:sz w:val="28"/>
          <w:szCs w:val="28"/>
        </w:rPr>
        <w:t xml:space="preserve">programmām </w:t>
      </w:r>
      <w:r w:rsidRPr="00DB28C3">
        <w:rPr>
          <w:sz w:val="28"/>
          <w:szCs w:val="28"/>
        </w:rPr>
        <w:t>“Korekcijas dienesti” un “Klimata pārmaiņu mazināšana, pielāgošanās tām un vide”</w:t>
      </w:r>
      <w:r w:rsidRPr="00DB28C3">
        <w:rPr>
          <w:rFonts w:eastAsia="Calibri"/>
          <w:sz w:val="28"/>
          <w:szCs w:val="28"/>
        </w:rPr>
        <w:t xml:space="preserve">. Pārējās programmās saskaņošanas process ar </w:t>
      </w:r>
      <w:proofErr w:type="spellStart"/>
      <w:r w:rsidRPr="00DB28C3">
        <w:rPr>
          <w:rFonts w:eastAsia="Calibri"/>
          <w:sz w:val="28"/>
          <w:szCs w:val="28"/>
        </w:rPr>
        <w:t>donorvalstīm</w:t>
      </w:r>
      <w:proofErr w:type="spellEnd"/>
      <w:r w:rsidRPr="00DB28C3">
        <w:rPr>
          <w:rFonts w:eastAsia="Calibri"/>
          <w:sz w:val="28"/>
          <w:szCs w:val="28"/>
        </w:rPr>
        <w:t xml:space="preserve"> turpinās.</w:t>
      </w:r>
      <w:r w:rsidR="00B53504" w:rsidRPr="00DB28C3">
        <w:rPr>
          <w:rFonts w:eastAsia="Calibri"/>
          <w:sz w:val="28"/>
          <w:szCs w:val="28"/>
        </w:rPr>
        <w:t xml:space="preserve"> </w:t>
      </w:r>
      <w:r w:rsidR="00103434">
        <w:rPr>
          <w:rFonts w:eastAsia="Calibri"/>
          <w:sz w:val="28"/>
          <w:szCs w:val="28"/>
        </w:rPr>
        <w:t>N</w:t>
      </w:r>
      <w:r w:rsidR="00B53504" w:rsidRPr="00DB28C3">
        <w:rPr>
          <w:rFonts w:eastAsia="Calibri" w:cs="Times New Roman"/>
          <w:sz w:val="28"/>
          <w:szCs w:val="28"/>
        </w:rPr>
        <w:t xml:space="preserve">otiek līgumu izstrāde un saskaņošana ar </w:t>
      </w:r>
      <w:proofErr w:type="spellStart"/>
      <w:r w:rsidR="00B53504" w:rsidRPr="00DB28C3">
        <w:rPr>
          <w:rFonts w:eastAsia="Calibri" w:cs="Times New Roman"/>
          <w:sz w:val="28"/>
          <w:szCs w:val="28"/>
        </w:rPr>
        <w:t>donorvalstīm</w:t>
      </w:r>
      <w:proofErr w:type="spellEnd"/>
      <w:r w:rsidR="00B53504" w:rsidRPr="00DB28C3">
        <w:rPr>
          <w:rFonts w:eastAsia="Calibri" w:cs="Times New Roman"/>
          <w:sz w:val="28"/>
          <w:szCs w:val="28"/>
        </w:rPr>
        <w:t xml:space="preserve"> </w:t>
      </w:r>
      <w:r w:rsidR="00103434">
        <w:rPr>
          <w:rFonts w:eastAsia="Calibri" w:cs="Times New Roman"/>
          <w:sz w:val="28"/>
          <w:szCs w:val="28"/>
        </w:rPr>
        <w:t>t</w:t>
      </w:r>
      <w:r w:rsidR="00103434" w:rsidRPr="00DB28C3">
        <w:rPr>
          <w:rFonts w:eastAsia="Calibri" w:cs="Times New Roman"/>
          <w:sz w:val="28"/>
          <w:szCs w:val="28"/>
        </w:rPr>
        <w:t xml:space="preserve">rīs programmās </w:t>
      </w:r>
      <w:r w:rsidR="00B53504" w:rsidRPr="00DB28C3">
        <w:rPr>
          <w:rFonts w:eastAsia="Calibri" w:cs="Times New Roman"/>
          <w:sz w:val="28"/>
          <w:szCs w:val="28"/>
        </w:rPr>
        <w:t xml:space="preserve">“Starptautiskā policijas </w:t>
      </w:r>
      <w:r w:rsidR="00B53504" w:rsidRPr="00DB28C3">
        <w:rPr>
          <w:rFonts w:eastAsia="Calibri" w:cs="Times New Roman"/>
          <w:sz w:val="28"/>
          <w:szCs w:val="28"/>
        </w:rPr>
        <w:lastRenderedPageBreak/>
        <w:t xml:space="preserve">sadarbība un noziedzības apkarošana”, “Pētniecība un izglītība” un “Vietējā attīstība, nabadzības mazināšana un kultūras sadarbība”. Programmas “Uzņēmējdarbības attīstība, inovācijas un mazie un vidējie uzņēmumi” saturs ir konceptuāli saskaņots ar </w:t>
      </w:r>
      <w:proofErr w:type="spellStart"/>
      <w:r w:rsidR="00B53504" w:rsidRPr="00DB28C3">
        <w:rPr>
          <w:rFonts w:eastAsia="Calibri" w:cs="Times New Roman"/>
          <w:sz w:val="28"/>
          <w:szCs w:val="28"/>
        </w:rPr>
        <w:t>donorvalstīm</w:t>
      </w:r>
      <w:proofErr w:type="spellEnd"/>
      <w:r w:rsidR="00B53504" w:rsidRPr="00DB28C3">
        <w:rPr>
          <w:rFonts w:eastAsia="Calibri" w:cs="Times New Roman"/>
          <w:sz w:val="28"/>
          <w:szCs w:val="28"/>
        </w:rPr>
        <w:t xml:space="preserve"> (EM virza MK apstiprināšanai 2019. gada trešajā ceturksnī). </w:t>
      </w:r>
      <w:r w:rsidR="008A6570" w:rsidRPr="00DB28C3">
        <w:rPr>
          <w:rFonts w:eastAsia="Calibri" w:cs="Times New Roman"/>
          <w:sz w:val="28"/>
          <w:szCs w:val="28"/>
        </w:rPr>
        <w:t xml:space="preserve">2019. gadā plānota visu sešu programmu līgumu noslēgšana ar </w:t>
      </w:r>
      <w:proofErr w:type="spellStart"/>
      <w:r w:rsidR="008A6570" w:rsidRPr="00DB28C3">
        <w:rPr>
          <w:rFonts w:eastAsia="Calibri" w:cs="Times New Roman"/>
          <w:sz w:val="28"/>
          <w:szCs w:val="28"/>
        </w:rPr>
        <w:t>donorvalstīm</w:t>
      </w:r>
      <w:proofErr w:type="spellEnd"/>
      <w:r w:rsidR="008A6570" w:rsidRPr="00DB28C3">
        <w:rPr>
          <w:rFonts w:eastAsia="Calibri" w:cs="Times New Roman"/>
          <w:sz w:val="28"/>
          <w:szCs w:val="28"/>
        </w:rPr>
        <w:t xml:space="preserve">, programmu un projektu ieviešanas tiesiskās bāzes izstrāde, lai attiecīgi varētu uzsākties projektu atlases un investīcijas. TM </w:t>
      </w:r>
      <w:r w:rsidR="00103434" w:rsidRPr="00DB28C3">
        <w:rPr>
          <w:rFonts w:eastAsia="Calibri" w:cs="Times New Roman"/>
          <w:sz w:val="28"/>
          <w:szCs w:val="28"/>
        </w:rPr>
        <w:t xml:space="preserve">programmai </w:t>
      </w:r>
      <w:r w:rsidR="00103434">
        <w:rPr>
          <w:rFonts w:eastAsia="Calibri" w:cs="Times New Roman"/>
          <w:sz w:val="28"/>
          <w:szCs w:val="28"/>
        </w:rPr>
        <w:t>“</w:t>
      </w:r>
      <w:r w:rsidR="005E5D64" w:rsidRPr="00DB28C3">
        <w:rPr>
          <w:rFonts w:eastAsia="Calibri" w:cs="Times New Roman"/>
          <w:sz w:val="28"/>
          <w:szCs w:val="28"/>
        </w:rPr>
        <w:t>Korekcijas dienest</w:t>
      </w:r>
      <w:r w:rsidR="00103434">
        <w:rPr>
          <w:rFonts w:eastAsia="Calibri" w:cs="Times New Roman"/>
          <w:sz w:val="28"/>
          <w:szCs w:val="28"/>
        </w:rPr>
        <w:t>i”</w:t>
      </w:r>
      <w:r w:rsidR="005E5D64" w:rsidRPr="00DB28C3">
        <w:rPr>
          <w:rFonts w:eastAsia="Calibri" w:cs="Times New Roman"/>
          <w:sz w:val="28"/>
          <w:szCs w:val="28"/>
        </w:rPr>
        <w:t xml:space="preserve"> </w:t>
      </w:r>
      <w:r w:rsidR="005E5D64">
        <w:rPr>
          <w:rFonts w:eastAsia="Calibri" w:cs="Times New Roman"/>
          <w:sz w:val="28"/>
          <w:szCs w:val="28"/>
        </w:rPr>
        <w:t xml:space="preserve">2019. gada 2. aprīļa </w:t>
      </w:r>
      <w:r w:rsidR="008A6570" w:rsidRPr="00DB28C3">
        <w:rPr>
          <w:rFonts w:eastAsia="Calibri" w:cs="Times New Roman"/>
          <w:sz w:val="28"/>
          <w:szCs w:val="28"/>
        </w:rPr>
        <w:t>MK noteikumi</w:t>
      </w:r>
      <w:r w:rsidR="002B4E05">
        <w:rPr>
          <w:rFonts w:eastAsia="Calibri" w:cs="Times New Roman"/>
          <w:sz w:val="28"/>
          <w:szCs w:val="28"/>
        </w:rPr>
        <w:t xml:space="preserve"> Nr.</w:t>
      </w:r>
      <w:r w:rsidR="00BA10E4">
        <w:rPr>
          <w:rFonts w:eastAsia="Calibri" w:cs="Times New Roman"/>
          <w:sz w:val="28"/>
          <w:szCs w:val="28"/>
        </w:rPr>
        <w:t xml:space="preserve"> </w:t>
      </w:r>
      <w:r w:rsidR="002B4E05">
        <w:rPr>
          <w:rFonts w:eastAsia="Calibri" w:cs="Times New Roman"/>
          <w:sz w:val="28"/>
          <w:szCs w:val="28"/>
        </w:rPr>
        <w:t>140</w:t>
      </w:r>
      <w:r w:rsidR="008A6570" w:rsidRPr="00DB28C3">
        <w:rPr>
          <w:rFonts w:eastAsia="Calibri" w:cs="Times New Roman"/>
          <w:sz w:val="28"/>
          <w:szCs w:val="28"/>
        </w:rPr>
        <w:t xml:space="preserve"> jau ir stājušies spēkā, kā arī parakstīts TM programmas iepriekš noteiktā projekta "Mācību centra infrastruktūras un apmācībai paredzēta ieslodzījuma vietas </w:t>
      </w:r>
      <w:proofErr w:type="spellStart"/>
      <w:r w:rsidR="008A6570" w:rsidRPr="00DB28C3">
        <w:rPr>
          <w:rFonts w:eastAsia="Calibri" w:cs="Times New Roman"/>
          <w:sz w:val="28"/>
          <w:szCs w:val="28"/>
        </w:rPr>
        <w:t>paraugkorpusa</w:t>
      </w:r>
      <w:proofErr w:type="spellEnd"/>
      <w:r w:rsidR="008A6570" w:rsidRPr="00DB28C3">
        <w:rPr>
          <w:rFonts w:eastAsia="Calibri" w:cs="Times New Roman"/>
          <w:sz w:val="28"/>
          <w:szCs w:val="28"/>
        </w:rPr>
        <w:t xml:space="preserve"> izveide Olaines cietuma teritorijā" līgums. IZM ir izsludinājusi VSS </w:t>
      </w:r>
      <w:r w:rsidR="008D076A">
        <w:rPr>
          <w:rFonts w:eastAsia="Calibri" w:cs="Times New Roman"/>
          <w:sz w:val="28"/>
          <w:szCs w:val="28"/>
        </w:rPr>
        <w:t>“</w:t>
      </w:r>
      <w:r w:rsidR="008A6570" w:rsidRPr="00DB28C3">
        <w:rPr>
          <w:rFonts w:eastAsia="Calibri" w:cs="Times New Roman"/>
          <w:sz w:val="28"/>
          <w:szCs w:val="28"/>
        </w:rPr>
        <w:t>Pētniecība un izglītība</w:t>
      </w:r>
      <w:r w:rsidR="008D076A">
        <w:rPr>
          <w:rFonts w:eastAsia="Calibri" w:cs="Times New Roman"/>
          <w:sz w:val="28"/>
          <w:szCs w:val="28"/>
        </w:rPr>
        <w:t>”</w:t>
      </w:r>
      <w:r w:rsidR="008A6570" w:rsidRPr="00DB28C3">
        <w:rPr>
          <w:rFonts w:eastAsia="Calibri" w:cs="Times New Roman"/>
          <w:sz w:val="28"/>
          <w:szCs w:val="28"/>
        </w:rPr>
        <w:t xml:space="preserve"> programmas MK noteikumu projektu</w:t>
      </w:r>
      <w:r w:rsidR="002B4E05">
        <w:rPr>
          <w:rFonts w:eastAsia="Calibri" w:cs="Times New Roman"/>
          <w:sz w:val="28"/>
          <w:szCs w:val="28"/>
        </w:rPr>
        <w:t xml:space="preserve"> “</w:t>
      </w:r>
      <w:r w:rsidR="002B4E05" w:rsidRPr="002B4E05">
        <w:rPr>
          <w:rFonts w:eastAsia="Calibri" w:cs="Times New Roman"/>
          <w:sz w:val="28"/>
          <w:szCs w:val="28"/>
        </w:rPr>
        <w:t>Eiropas Ekonomikas zonas finanšu instrumenta un Norvēģijas finanšu instrumenta 2014.-2021.</w:t>
      </w:r>
      <w:r w:rsidR="009B2BE5">
        <w:rPr>
          <w:rFonts w:eastAsia="Calibri" w:cs="Times New Roman"/>
          <w:sz w:val="28"/>
          <w:szCs w:val="28"/>
        </w:rPr>
        <w:t xml:space="preserve"> </w:t>
      </w:r>
      <w:r w:rsidR="002B4E05" w:rsidRPr="002B4E05">
        <w:rPr>
          <w:rFonts w:eastAsia="Calibri" w:cs="Times New Roman"/>
          <w:sz w:val="28"/>
          <w:szCs w:val="28"/>
        </w:rPr>
        <w:t>gada perioda programmas "Pētniecība un izglītība" aktivitātes "Inovācija</w:t>
      </w:r>
      <w:r w:rsidR="002B4E05">
        <w:rPr>
          <w:rFonts w:eastAsia="Calibri" w:cs="Times New Roman"/>
          <w:sz w:val="28"/>
          <w:szCs w:val="28"/>
        </w:rPr>
        <w:t>s centri" īstenošanas noteikumi”</w:t>
      </w:r>
      <w:r w:rsidR="008A6570" w:rsidRPr="00DB28C3">
        <w:rPr>
          <w:rFonts w:eastAsia="Calibri" w:cs="Times New Roman"/>
          <w:sz w:val="28"/>
          <w:szCs w:val="28"/>
        </w:rPr>
        <w:t xml:space="preserve"> </w:t>
      </w:r>
      <w:r w:rsidR="009A0D96">
        <w:rPr>
          <w:rFonts w:eastAsia="Calibri" w:cs="Times New Roman"/>
          <w:sz w:val="28"/>
          <w:szCs w:val="28"/>
        </w:rPr>
        <w:t>saskaņošanai</w:t>
      </w:r>
      <w:r w:rsidR="008A6570" w:rsidRPr="00DB28C3">
        <w:rPr>
          <w:rFonts w:eastAsia="Calibri" w:cs="Times New Roman"/>
          <w:sz w:val="28"/>
          <w:szCs w:val="28"/>
        </w:rPr>
        <w:t>. Detalizētāku programmu progresa informāciju skatīt tīmekļa vietnē</w:t>
      </w:r>
      <w:r w:rsidR="008A6570" w:rsidRPr="00DB28C3">
        <w:rPr>
          <w:rStyle w:val="FootnoteReference"/>
          <w:rFonts w:eastAsia="Calibri" w:cs="Times New Roman"/>
          <w:sz w:val="28"/>
          <w:szCs w:val="28"/>
        </w:rPr>
        <w:footnoteReference w:id="22"/>
      </w:r>
      <w:r w:rsidR="008A6570" w:rsidRPr="00DB28C3">
        <w:rPr>
          <w:rFonts w:eastAsia="Calibri" w:cs="Times New Roman"/>
          <w:sz w:val="28"/>
          <w:szCs w:val="28"/>
        </w:rPr>
        <w:t>.</w:t>
      </w:r>
    </w:p>
    <w:p w14:paraId="3E6DA966" w14:textId="0A76A9A7" w:rsidR="00BF080D" w:rsidRPr="00DB28C3" w:rsidRDefault="00B53504" w:rsidP="00C1237C">
      <w:pPr>
        <w:spacing w:before="120" w:after="120" w:line="276" w:lineRule="auto"/>
        <w:ind w:firstLine="709"/>
        <w:jc w:val="both"/>
        <w:rPr>
          <w:rFonts w:eastAsia="Calibri" w:cs="Times New Roman"/>
          <w:sz w:val="28"/>
          <w:szCs w:val="28"/>
        </w:rPr>
      </w:pPr>
      <w:r w:rsidRPr="00DB28C3">
        <w:rPr>
          <w:rFonts w:eastAsia="Calibri" w:cs="Times New Roman"/>
          <w:sz w:val="28"/>
          <w:szCs w:val="28"/>
        </w:rPr>
        <w:t xml:space="preserve">Līdz 2019. gada vidum 0,9 milj. </w:t>
      </w:r>
      <w:proofErr w:type="spellStart"/>
      <w:r w:rsidRPr="00DB28C3">
        <w:rPr>
          <w:rFonts w:eastAsia="Calibri" w:cs="Times New Roman"/>
          <w:i/>
          <w:sz w:val="28"/>
          <w:szCs w:val="28"/>
        </w:rPr>
        <w:t>euro</w:t>
      </w:r>
      <w:proofErr w:type="spellEnd"/>
      <w:r w:rsidRPr="00DB28C3">
        <w:rPr>
          <w:rFonts w:eastAsia="Calibri" w:cs="Times New Roman"/>
          <w:i/>
          <w:sz w:val="28"/>
          <w:szCs w:val="28"/>
        </w:rPr>
        <w:t xml:space="preserve"> </w:t>
      </w:r>
      <w:r w:rsidRPr="00DB28C3">
        <w:rPr>
          <w:rFonts w:eastAsia="Calibri" w:cs="Times New Roman"/>
          <w:sz w:val="28"/>
          <w:szCs w:val="28"/>
        </w:rPr>
        <w:t xml:space="preserve">ir </w:t>
      </w:r>
      <w:proofErr w:type="spellStart"/>
      <w:r w:rsidRPr="00DB28C3">
        <w:rPr>
          <w:rFonts w:eastAsia="Calibri" w:cs="Times New Roman"/>
          <w:sz w:val="28"/>
          <w:szCs w:val="28"/>
        </w:rPr>
        <w:t>priekšfinansēts</w:t>
      </w:r>
      <w:proofErr w:type="spellEnd"/>
      <w:r w:rsidRPr="00DB28C3">
        <w:rPr>
          <w:rFonts w:eastAsia="Calibri" w:cs="Times New Roman"/>
          <w:sz w:val="28"/>
          <w:szCs w:val="28"/>
        </w:rPr>
        <w:t xml:space="preserve"> no valsts budžeta (t.sk., </w:t>
      </w:r>
      <w:proofErr w:type="spellStart"/>
      <w:r w:rsidRPr="00DB28C3">
        <w:rPr>
          <w:rFonts w:eastAsia="Calibri" w:cs="Times New Roman"/>
          <w:sz w:val="28"/>
          <w:szCs w:val="28"/>
        </w:rPr>
        <w:t>granta</w:t>
      </w:r>
      <w:proofErr w:type="spellEnd"/>
      <w:r w:rsidRPr="00DB28C3">
        <w:rPr>
          <w:rFonts w:eastAsia="Calibri" w:cs="Times New Roman"/>
          <w:sz w:val="28"/>
          <w:szCs w:val="28"/>
        </w:rPr>
        <w:t xml:space="preserve"> daļa 0,7 milj. </w:t>
      </w:r>
      <w:proofErr w:type="spellStart"/>
      <w:r w:rsidRPr="00DB28C3">
        <w:rPr>
          <w:rFonts w:eastAsia="Calibri" w:cs="Times New Roman"/>
          <w:i/>
          <w:sz w:val="28"/>
          <w:szCs w:val="28"/>
        </w:rPr>
        <w:t>euro</w:t>
      </w:r>
      <w:proofErr w:type="spellEnd"/>
      <w:r w:rsidRPr="00DB28C3">
        <w:rPr>
          <w:rFonts w:eastAsia="Calibri" w:cs="Times New Roman"/>
          <w:i/>
          <w:sz w:val="28"/>
          <w:szCs w:val="28"/>
        </w:rPr>
        <w:t xml:space="preserve">) </w:t>
      </w:r>
      <w:r w:rsidRPr="00DB28C3">
        <w:rPr>
          <w:rFonts w:eastAsia="Calibri" w:cs="Times New Roman"/>
          <w:sz w:val="28"/>
          <w:szCs w:val="28"/>
        </w:rPr>
        <w:t xml:space="preserve">programmu </w:t>
      </w:r>
      <w:proofErr w:type="spellStart"/>
      <w:r w:rsidRPr="00DB28C3">
        <w:rPr>
          <w:rFonts w:eastAsia="Calibri" w:cs="Times New Roman"/>
          <w:sz w:val="28"/>
          <w:szCs w:val="28"/>
        </w:rPr>
        <w:t>apsaimniekotājiem</w:t>
      </w:r>
      <w:proofErr w:type="spellEnd"/>
      <w:r w:rsidRPr="00DB28C3">
        <w:rPr>
          <w:rFonts w:eastAsia="Calibri" w:cs="Times New Roman"/>
          <w:sz w:val="28"/>
          <w:szCs w:val="28"/>
        </w:rPr>
        <w:t xml:space="preserve">, lai nodrošinātu programmu koncepciju sagatavošanu, iesniegšanu MK un </w:t>
      </w:r>
      <w:proofErr w:type="spellStart"/>
      <w:r w:rsidRPr="00DB28C3">
        <w:rPr>
          <w:rFonts w:eastAsia="Calibri" w:cs="Times New Roman"/>
          <w:sz w:val="28"/>
          <w:szCs w:val="28"/>
        </w:rPr>
        <w:t>donorvalstīm</w:t>
      </w:r>
      <w:proofErr w:type="spellEnd"/>
      <w:r w:rsidRPr="00DB28C3">
        <w:rPr>
          <w:rFonts w:eastAsia="Calibri" w:cs="Times New Roman"/>
          <w:sz w:val="28"/>
          <w:szCs w:val="28"/>
        </w:rPr>
        <w:t xml:space="preserve">, programmu līgumu nepieciešamās informācijas sagatavošanu un saskaņošanu, kā arī veicinātu divpusējo sadarbību ar </w:t>
      </w:r>
      <w:proofErr w:type="spellStart"/>
      <w:r w:rsidRPr="00DB28C3">
        <w:rPr>
          <w:rFonts w:eastAsia="Calibri" w:cs="Times New Roman"/>
          <w:sz w:val="28"/>
          <w:szCs w:val="28"/>
        </w:rPr>
        <w:t>donorvalstīm</w:t>
      </w:r>
      <w:proofErr w:type="spellEnd"/>
      <w:r w:rsidRPr="00DB28C3">
        <w:rPr>
          <w:rFonts w:eastAsia="Calibri" w:cs="Times New Roman"/>
          <w:sz w:val="28"/>
          <w:szCs w:val="28"/>
        </w:rPr>
        <w:t>.</w:t>
      </w:r>
    </w:p>
    <w:p w14:paraId="027E4B9D" w14:textId="530239BB" w:rsidR="00C22314" w:rsidRPr="00DB28C3" w:rsidRDefault="00426694" w:rsidP="00C22314">
      <w:pPr>
        <w:pStyle w:val="Heading1"/>
        <w:spacing w:before="120" w:after="120" w:line="276" w:lineRule="auto"/>
        <w:jc w:val="center"/>
        <w:rPr>
          <w:rFonts w:ascii="Times New Roman" w:hAnsi="Times New Roman" w:cs="Times New Roman"/>
          <w:b/>
          <w:color w:val="auto"/>
          <w:sz w:val="28"/>
          <w:szCs w:val="28"/>
        </w:rPr>
      </w:pPr>
      <w:bookmarkStart w:id="11" w:name="_Toc17468209"/>
      <w:r>
        <w:rPr>
          <w:rFonts w:ascii="Times New Roman" w:hAnsi="Times New Roman" w:cs="Times New Roman"/>
          <w:b/>
          <w:color w:val="auto"/>
          <w:sz w:val="28"/>
          <w:szCs w:val="28"/>
        </w:rPr>
        <w:t>5</w:t>
      </w:r>
      <w:r w:rsidR="00B0511C" w:rsidRPr="00DB28C3">
        <w:rPr>
          <w:rFonts w:ascii="Times New Roman" w:hAnsi="Times New Roman" w:cs="Times New Roman"/>
          <w:b/>
          <w:color w:val="auto"/>
          <w:sz w:val="28"/>
          <w:szCs w:val="28"/>
        </w:rPr>
        <w:t>. P</w:t>
      </w:r>
      <w:r w:rsidR="00514C36" w:rsidRPr="00DB28C3">
        <w:rPr>
          <w:rFonts w:ascii="Times New Roman" w:hAnsi="Times New Roman" w:cs="Times New Roman"/>
          <w:b/>
          <w:color w:val="auto"/>
          <w:sz w:val="28"/>
          <w:szCs w:val="28"/>
        </w:rPr>
        <w:t>rojektos konstatētie pārkāpumi ar finansiālu ietekmi</w:t>
      </w:r>
      <w:r w:rsidR="00514C36" w:rsidRPr="00DB28C3">
        <w:rPr>
          <w:rStyle w:val="FootnoteReference"/>
          <w:rFonts w:ascii="Times New Roman" w:hAnsi="Times New Roman" w:cs="Times New Roman"/>
          <w:b/>
          <w:color w:val="auto"/>
          <w:sz w:val="28"/>
          <w:szCs w:val="28"/>
        </w:rPr>
        <w:footnoteReference w:id="23"/>
      </w:r>
      <w:bookmarkStart w:id="12" w:name="_Toc472690743"/>
      <w:bookmarkEnd w:id="11"/>
    </w:p>
    <w:p w14:paraId="19D3E503" w14:textId="5928FFDD" w:rsidR="00BD5BEB" w:rsidRPr="00DB28C3" w:rsidRDefault="00BD5BEB" w:rsidP="003C32D5">
      <w:pPr>
        <w:spacing w:before="120" w:after="120" w:line="276" w:lineRule="auto"/>
        <w:ind w:firstLine="709"/>
        <w:rPr>
          <w:b/>
          <w:sz w:val="28"/>
          <w:szCs w:val="28"/>
        </w:rPr>
      </w:pPr>
      <w:r w:rsidRPr="00DB28C3">
        <w:rPr>
          <w:b/>
          <w:sz w:val="28"/>
          <w:szCs w:val="28"/>
        </w:rPr>
        <w:t>ES fondu 2014. – 2020. gada plānošanas period</w:t>
      </w:r>
      <w:r w:rsidR="00E20AD2" w:rsidRPr="00DB28C3">
        <w:rPr>
          <w:b/>
          <w:sz w:val="28"/>
          <w:szCs w:val="28"/>
        </w:rPr>
        <w:t>s</w:t>
      </w:r>
    </w:p>
    <w:p w14:paraId="1D2EDCBE" w14:textId="4B563921" w:rsidR="00C22314" w:rsidRPr="00DB28C3" w:rsidRDefault="00C22314" w:rsidP="004122DD">
      <w:pPr>
        <w:spacing w:before="120" w:after="120" w:line="276" w:lineRule="auto"/>
        <w:ind w:firstLine="709"/>
        <w:jc w:val="both"/>
        <w:rPr>
          <w:rFonts w:eastAsia="Times New Roman" w:cs="Times New Roman"/>
          <w:color w:val="000000"/>
          <w:sz w:val="28"/>
          <w:szCs w:val="28"/>
          <w:lang w:eastAsia="lv-LV"/>
        </w:rPr>
      </w:pPr>
      <w:r w:rsidRPr="00DB28C3">
        <w:rPr>
          <w:rFonts w:eastAsia="Calibri" w:cs="Times New Roman"/>
          <w:sz w:val="28"/>
          <w:szCs w:val="28"/>
        </w:rPr>
        <w:t>2019.</w:t>
      </w:r>
      <w:r w:rsidR="00153F5E">
        <w:rPr>
          <w:rFonts w:eastAsia="Calibri" w:cs="Times New Roman"/>
          <w:sz w:val="28"/>
          <w:szCs w:val="28"/>
        </w:rPr>
        <w:t> </w:t>
      </w:r>
      <w:r w:rsidRPr="00DB28C3">
        <w:rPr>
          <w:rFonts w:eastAsia="Calibri" w:cs="Times New Roman"/>
          <w:sz w:val="28"/>
          <w:szCs w:val="28"/>
        </w:rPr>
        <w:t xml:space="preserve">gada I pusgadā kopā konstatētas 188 neatbilstības 2,1 milj. </w:t>
      </w:r>
      <w:proofErr w:type="spellStart"/>
      <w:r w:rsidRPr="00DB28C3">
        <w:rPr>
          <w:rFonts w:eastAsia="Calibri" w:cs="Times New Roman"/>
          <w:i/>
          <w:sz w:val="28"/>
          <w:szCs w:val="28"/>
        </w:rPr>
        <w:t>euro</w:t>
      </w:r>
      <w:proofErr w:type="spellEnd"/>
      <w:r w:rsidRPr="00DB28C3">
        <w:rPr>
          <w:rFonts w:eastAsia="Calibri" w:cs="Times New Roman"/>
          <w:sz w:val="28"/>
          <w:szCs w:val="28"/>
        </w:rPr>
        <w:t xml:space="preserve"> </w:t>
      </w:r>
      <w:r w:rsidR="00FE22B7">
        <w:rPr>
          <w:rFonts w:eastAsia="Calibri" w:cs="Times New Roman"/>
          <w:sz w:val="28"/>
          <w:szCs w:val="28"/>
        </w:rPr>
        <w:t xml:space="preserve">no </w:t>
      </w:r>
      <w:r w:rsidRPr="00DB28C3">
        <w:rPr>
          <w:rFonts w:eastAsia="Calibri" w:cs="Times New Roman"/>
          <w:sz w:val="28"/>
          <w:szCs w:val="28"/>
        </w:rPr>
        <w:t>publiskā finansējuma, kas, salīdzinot ar datiem uz 2018.</w:t>
      </w:r>
      <w:r w:rsidR="00FE22B7">
        <w:rPr>
          <w:rFonts w:eastAsia="Calibri" w:cs="Times New Roman"/>
          <w:sz w:val="28"/>
          <w:szCs w:val="28"/>
        </w:rPr>
        <w:t> </w:t>
      </w:r>
      <w:r w:rsidRPr="00DB28C3">
        <w:rPr>
          <w:rFonts w:eastAsia="Calibri" w:cs="Times New Roman"/>
          <w:sz w:val="28"/>
          <w:szCs w:val="28"/>
        </w:rPr>
        <w:t>gada II pusgada beigām, kopējo neatbilstoši veikto izdevumu summu ir palielinājušas par 25,0</w:t>
      </w:r>
      <w:r w:rsidR="00FE22B7">
        <w:rPr>
          <w:rFonts w:eastAsia="Calibri" w:cs="Times New Roman"/>
          <w:sz w:val="28"/>
          <w:szCs w:val="28"/>
        </w:rPr>
        <w:t> </w:t>
      </w:r>
      <w:r w:rsidRPr="00DB28C3">
        <w:rPr>
          <w:rFonts w:eastAsia="Calibri" w:cs="Times New Roman"/>
          <w:sz w:val="28"/>
          <w:szCs w:val="28"/>
        </w:rPr>
        <w:t xml:space="preserve">%. 141 no 188 neatbilstībām konstatējusi CFLA, veicot FS iesniegto maksājumu pieprasījumu un to pamatojošo dokumentu pārbaudes. </w:t>
      </w:r>
      <w:r w:rsidR="00103434">
        <w:rPr>
          <w:rFonts w:eastAsia="Calibri" w:cs="Times New Roman"/>
          <w:sz w:val="28"/>
          <w:szCs w:val="28"/>
        </w:rPr>
        <w:t>F</w:t>
      </w:r>
      <w:r w:rsidRPr="00DB28C3">
        <w:rPr>
          <w:rFonts w:eastAsia="Calibri" w:cs="Times New Roman"/>
          <w:sz w:val="28"/>
          <w:szCs w:val="28"/>
        </w:rPr>
        <w:t xml:space="preserve">inansiālā izteiksmē lielāko daļu, t.i. 1,4 milj. </w:t>
      </w:r>
      <w:proofErr w:type="spellStart"/>
      <w:r w:rsidRPr="00DB28C3">
        <w:rPr>
          <w:rFonts w:eastAsia="Calibri" w:cs="Times New Roman"/>
          <w:i/>
          <w:sz w:val="28"/>
          <w:szCs w:val="28"/>
        </w:rPr>
        <w:t>euro</w:t>
      </w:r>
      <w:proofErr w:type="spellEnd"/>
      <w:r w:rsidRPr="00DB28C3">
        <w:rPr>
          <w:rFonts w:eastAsia="Calibri" w:cs="Times New Roman"/>
          <w:sz w:val="28"/>
          <w:szCs w:val="28"/>
        </w:rPr>
        <w:t xml:space="preserve"> jeb 66,0</w:t>
      </w:r>
      <w:r w:rsidR="00FE22B7">
        <w:rPr>
          <w:rFonts w:eastAsia="Calibri" w:cs="Times New Roman"/>
          <w:sz w:val="28"/>
          <w:szCs w:val="28"/>
        </w:rPr>
        <w:t> </w:t>
      </w:r>
      <w:r w:rsidRPr="00DB28C3">
        <w:rPr>
          <w:rFonts w:eastAsia="Calibri" w:cs="Times New Roman"/>
          <w:sz w:val="28"/>
          <w:szCs w:val="28"/>
        </w:rPr>
        <w:t xml:space="preserve">%, veido SI konstatētie neatbilstoši veiktie izdevumi. Līdz pārskata perioda beigām nav atgūti neatbilstoši veiktie izdevumi </w:t>
      </w:r>
      <w:r w:rsidRPr="00DB28C3">
        <w:rPr>
          <w:rFonts w:eastAsia="Calibri" w:cs="Times New Roman"/>
          <w:sz w:val="28"/>
          <w:szCs w:val="28"/>
        </w:rPr>
        <w:lastRenderedPageBreak/>
        <w:t xml:space="preserve">kopā par 203,2 tūkst. </w:t>
      </w:r>
      <w:proofErr w:type="spellStart"/>
      <w:r w:rsidRPr="00DB28C3">
        <w:rPr>
          <w:rFonts w:eastAsia="Calibri" w:cs="Times New Roman"/>
          <w:i/>
          <w:sz w:val="28"/>
          <w:szCs w:val="28"/>
        </w:rPr>
        <w:t>euro</w:t>
      </w:r>
      <w:proofErr w:type="spellEnd"/>
      <w:r w:rsidRPr="00DB28C3">
        <w:rPr>
          <w:rFonts w:eastAsia="Calibri" w:cs="Times New Roman"/>
          <w:sz w:val="28"/>
          <w:szCs w:val="28"/>
        </w:rPr>
        <w:t>, kas ir par (1) aizdomu par krāpšanu vai organizēto noziedzību un (2) iepirkumu normu pārkāpumu gadījumiem.</w:t>
      </w:r>
    </w:p>
    <w:p w14:paraId="31756AAF" w14:textId="6B4ACE26" w:rsidR="00C22314" w:rsidRPr="00DB28C3" w:rsidRDefault="00C22314" w:rsidP="004122DD">
      <w:pPr>
        <w:spacing w:before="120" w:after="120" w:line="276" w:lineRule="auto"/>
        <w:ind w:firstLine="709"/>
        <w:jc w:val="both"/>
        <w:rPr>
          <w:rFonts w:eastAsia="Calibri" w:cs="Times New Roman"/>
          <w:sz w:val="28"/>
          <w:szCs w:val="28"/>
        </w:rPr>
      </w:pPr>
      <w:r w:rsidRPr="00DB28C3">
        <w:rPr>
          <w:rFonts w:eastAsia="Calibri" w:cs="Times New Roman"/>
          <w:sz w:val="28"/>
          <w:szCs w:val="28"/>
        </w:rPr>
        <w:t xml:space="preserve">Pārskata perioda neatbilstoši veikto izdevumu sadalījumu pa neatbilstību veidiem un projektu iesniedzēju grupām </w:t>
      </w:r>
      <w:r w:rsidR="00872272" w:rsidRPr="00DB28C3">
        <w:rPr>
          <w:rFonts w:eastAsia="Calibri" w:cs="Times New Roman"/>
          <w:sz w:val="28"/>
          <w:szCs w:val="28"/>
        </w:rPr>
        <w:t>skatīt ilustrācijā Nr.8</w:t>
      </w:r>
      <w:r w:rsidRPr="00DB28C3">
        <w:rPr>
          <w:rFonts w:eastAsia="Calibri" w:cs="Times New Roman"/>
          <w:sz w:val="28"/>
          <w:szCs w:val="28"/>
        </w:rPr>
        <w:t xml:space="preserve"> un</w:t>
      </w:r>
      <w:r w:rsidR="00872272" w:rsidRPr="00DB28C3">
        <w:rPr>
          <w:rFonts w:eastAsia="Calibri" w:cs="Times New Roman"/>
          <w:sz w:val="28"/>
          <w:szCs w:val="28"/>
        </w:rPr>
        <w:t xml:space="preserve"> Nr.9</w:t>
      </w:r>
      <w:r w:rsidRPr="00DB28C3">
        <w:rPr>
          <w:rFonts w:eastAsia="Calibri" w:cs="Times New Roman"/>
          <w:sz w:val="28"/>
          <w:szCs w:val="28"/>
        </w:rPr>
        <w:t>.</w:t>
      </w:r>
    </w:p>
    <w:p w14:paraId="5DC12A21" w14:textId="27C85377" w:rsidR="00C22314" w:rsidRPr="00DB28C3" w:rsidRDefault="00C22314" w:rsidP="004122DD">
      <w:pPr>
        <w:spacing w:before="120" w:after="120" w:line="276" w:lineRule="auto"/>
        <w:jc w:val="both"/>
        <w:rPr>
          <w:rFonts w:cs="Times New Roman"/>
          <w:i/>
          <w:color w:val="000000" w:themeColor="text1"/>
          <w:szCs w:val="24"/>
        </w:rPr>
      </w:pPr>
      <w:r w:rsidRPr="00DB28C3">
        <w:rPr>
          <w:rFonts w:cs="Times New Roman"/>
          <w:i/>
          <w:color w:val="000000" w:themeColor="text1"/>
          <w:szCs w:val="24"/>
        </w:rPr>
        <w:t>Ilustrācija Nr.</w:t>
      </w:r>
      <w:r w:rsidR="00872272" w:rsidRPr="00DB28C3">
        <w:rPr>
          <w:rFonts w:cs="Times New Roman"/>
          <w:i/>
          <w:color w:val="000000" w:themeColor="text1"/>
          <w:szCs w:val="24"/>
        </w:rPr>
        <w:t>8</w:t>
      </w:r>
      <w:r w:rsidRPr="00DB28C3">
        <w:rPr>
          <w:rFonts w:cs="Times New Roman"/>
          <w:i/>
          <w:color w:val="000000" w:themeColor="text1"/>
          <w:szCs w:val="24"/>
        </w:rPr>
        <w:t xml:space="preserve"> </w:t>
      </w:r>
      <w:r w:rsidR="004122DD" w:rsidRPr="00DB28C3">
        <w:rPr>
          <w:rFonts w:cs="Times New Roman"/>
          <w:i/>
          <w:color w:val="000000" w:themeColor="text1"/>
          <w:szCs w:val="24"/>
        </w:rPr>
        <w:t>“</w:t>
      </w:r>
      <w:r w:rsidRPr="00DB28C3">
        <w:rPr>
          <w:rFonts w:cs="Times New Roman"/>
          <w:i/>
          <w:color w:val="000000" w:themeColor="text1"/>
          <w:szCs w:val="24"/>
        </w:rPr>
        <w:t>Neatbilstoši veiktie izdevumi 2019.</w:t>
      </w:r>
      <w:r w:rsidR="00FE22B7">
        <w:rPr>
          <w:rFonts w:cs="Times New Roman"/>
          <w:i/>
          <w:color w:val="000000" w:themeColor="text1"/>
          <w:szCs w:val="24"/>
        </w:rPr>
        <w:t> </w:t>
      </w:r>
      <w:r w:rsidRPr="00DB28C3">
        <w:rPr>
          <w:rFonts w:cs="Times New Roman"/>
          <w:i/>
          <w:color w:val="000000" w:themeColor="text1"/>
          <w:szCs w:val="24"/>
        </w:rPr>
        <w:t xml:space="preserve">gada I pusgadā, </w:t>
      </w:r>
      <w:proofErr w:type="spellStart"/>
      <w:r w:rsidRPr="00DB28C3">
        <w:rPr>
          <w:rFonts w:cs="Times New Roman"/>
          <w:i/>
          <w:color w:val="000000" w:themeColor="text1"/>
          <w:szCs w:val="24"/>
        </w:rPr>
        <w:t>euro</w:t>
      </w:r>
      <w:proofErr w:type="spellEnd"/>
      <w:r w:rsidR="004122DD" w:rsidRPr="00DB28C3">
        <w:rPr>
          <w:rFonts w:cs="Times New Roman"/>
          <w:i/>
          <w:color w:val="000000" w:themeColor="text1"/>
          <w:szCs w:val="24"/>
        </w:rPr>
        <w:t>”.</w:t>
      </w:r>
    </w:p>
    <w:p w14:paraId="14ECB9EC" w14:textId="165A348C" w:rsidR="00C22314" w:rsidRPr="00DB28C3" w:rsidRDefault="00C22314" w:rsidP="00D52152">
      <w:pPr>
        <w:spacing w:before="120" w:after="120" w:line="276" w:lineRule="auto"/>
        <w:rPr>
          <w:b/>
          <w:sz w:val="28"/>
          <w:szCs w:val="28"/>
          <w:highlight w:val="yellow"/>
        </w:rPr>
      </w:pPr>
      <w:r w:rsidRPr="00DB28C3">
        <w:rPr>
          <w:noProof/>
          <w:sz w:val="28"/>
          <w:szCs w:val="28"/>
          <w:lang w:eastAsia="lv-LV"/>
        </w:rPr>
        <w:drawing>
          <wp:inline distT="0" distB="0" distL="0" distR="0" wp14:anchorId="1D9EA8E4" wp14:editId="14935A37">
            <wp:extent cx="5772150" cy="2667000"/>
            <wp:effectExtent l="0" t="0" r="0" b="0"/>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7E8F49F" w14:textId="527B968D" w:rsidR="00C22314" w:rsidRPr="00DB28C3" w:rsidRDefault="00872272" w:rsidP="00666CEE">
      <w:pPr>
        <w:jc w:val="both"/>
        <w:rPr>
          <w:rFonts w:eastAsia="Times New Roman" w:cs="Times New Roman"/>
          <w:bCs/>
          <w:i/>
          <w:color w:val="000000"/>
          <w:szCs w:val="24"/>
          <w:lang w:eastAsia="lv-LV"/>
        </w:rPr>
      </w:pPr>
      <w:r w:rsidRPr="00DB28C3">
        <w:rPr>
          <w:rFonts w:eastAsia="Times New Roman" w:cs="Times New Roman"/>
          <w:bCs/>
          <w:i/>
          <w:color w:val="000000"/>
          <w:szCs w:val="24"/>
          <w:lang w:eastAsia="lv-LV"/>
        </w:rPr>
        <w:t>Ilustrācija Nr.9</w:t>
      </w:r>
      <w:r w:rsidR="00C22314" w:rsidRPr="00DB28C3">
        <w:rPr>
          <w:rFonts w:eastAsia="Times New Roman" w:cs="Times New Roman"/>
          <w:bCs/>
          <w:i/>
          <w:color w:val="000000"/>
          <w:szCs w:val="24"/>
          <w:lang w:eastAsia="lv-LV"/>
        </w:rPr>
        <w:t xml:space="preserve"> “2019.</w:t>
      </w:r>
      <w:r w:rsidR="00153F5E">
        <w:rPr>
          <w:rFonts w:eastAsia="Times New Roman" w:cs="Times New Roman"/>
          <w:bCs/>
          <w:i/>
          <w:color w:val="000000"/>
          <w:szCs w:val="24"/>
          <w:lang w:eastAsia="lv-LV"/>
        </w:rPr>
        <w:t> </w:t>
      </w:r>
      <w:r w:rsidR="00C22314" w:rsidRPr="00DB28C3">
        <w:rPr>
          <w:rFonts w:eastAsia="Times New Roman" w:cs="Times New Roman"/>
          <w:bCs/>
          <w:i/>
          <w:color w:val="000000"/>
          <w:szCs w:val="24"/>
          <w:lang w:eastAsia="lv-LV"/>
        </w:rPr>
        <w:t xml:space="preserve">gada I pusgadā projektu iesniedzēju grupās konstatētie neatbilstoši veiktie izdevumi, publiskais finansējums, </w:t>
      </w:r>
      <w:proofErr w:type="spellStart"/>
      <w:r w:rsidR="00C22314" w:rsidRPr="00DB28C3">
        <w:rPr>
          <w:rFonts w:eastAsia="Times New Roman" w:cs="Times New Roman"/>
          <w:bCs/>
          <w:i/>
          <w:color w:val="000000"/>
          <w:szCs w:val="24"/>
          <w:lang w:eastAsia="lv-LV"/>
        </w:rPr>
        <w:t>euro</w:t>
      </w:r>
      <w:proofErr w:type="spellEnd"/>
      <w:r w:rsidR="00C22314" w:rsidRPr="00DB28C3">
        <w:rPr>
          <w:rFonts w:eastAsia="Times New Roman" w:cs="Times New Roman"/>
          <w:bCs/>
          <w:i/>
          <w:color w:val="000000"/>
          <w:szCs w:val="24"/>
          <w:lang w:eastAsia="lv-LV"/>
        </w:rPr>
        <w:t>”</w:t>
      </w:r>
      <w:r w:rsidR="004122DD" w:rsidRPr="00DB28C3">
        <w:rPr>
          <w:rFonts w:eastAsia="Times New Roman" w:cs="Times New Roman"/>
          <w:bCs/>
          <w:i/>
          <w:color w:val="000000"/>
          <w:szCs w:val="24"/>
          <w:lang w:eastAsia="lv-LV"/>
        </w:rPr>
        <w:t>.</w:t>
      </w:r>
    </w:p>
    <w:p w14:paraId="70A6B50B" w14:textId="343C595B" w:rsidR="00C22314" w:rsidRPr="00DB28C3" w:rsidRDefault="00C22314" w:rsidP="00D52152">
      <w:pPr>
        <w:spacing w:before="120" w:after="120" w:line="276" w:lineRule="auto"/>
        <w:rPr>
          <w:b/>
          <w:sz w:val="28"/>
          <w:szCs w:val="28"/>
          <w:highlight w:val="yellow"/>
        </w:rPr>
      </w:pPr>
      <w:r w:rsidRPr="00DB28C3">
        <w:rPr>
          <w:noProof/>
          <w:sz w:val="28"/>
          <w:szCs w:val="28"/>
          <w:lang w:eastAsia="lv-LV"/>
        </w:rPr>
        <w:drawing>
          <wp:inline distT="0" distB="0" distL="0" distR="0" wp14:anchorId="0A3CBDF8" wp14:editId="0F7B154D">
            <wp:extent cx="5810250" cy="2943225"/>
            <wp:effectExtent l="0" t="0" r="0" b="9525"/>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DDC2C18" w14:textId="4F72C92D" w:rsidR="00C22314" w:rsidRPr="00DB28C3" w:rsidRDefault="00C22314" w:rsidP="004122DD">
      <w:pPr>
        <w:spacing w:before="120" w:after="120" w:line="276" w:lineRule="auto"/>
        <w:ind w:firstLine="709"/>
        <w:jc w:val="both"/>
        <w:rPr>
          <w:rFonts w:eastAsia="Calibri" w:cs="Times New Roman"/>
          <w:sz w:val="28"/>
          <w:szCs w:val="28"/>
        </w:rPr>
      </w:pPr>
      <w:r w:rsidRPr="00DB28C3">
        <w:rPr>
          <w:rFonts w:eastAsia="Calibri" w:cs="Times New Roman"/>
          <w:sz w:val="28"/>
          <w:szCs w:val="28"/>
        </w:rPr>
        <w:t xml:space="preserve">Analizējot neatbilstību veidus, secināms, ka, salīdzinot ar iepriekšējo pārskata periodu, iepirkuma vai konkurences normu pārkāpumi finansiālā ziņā ir mazinājušies par 77,0 tūkst. </w:t>
      </w:r>
      <w:proofErr w:type="spellStart"/>
      <w:r w:rsidRPr="00DB28C3">
        <w:rPr>
          <w:rFonts w:eastAsia="Calibri" w:cs="Times New Roman"/>
          <w:i/>
          <w:sz w:val="28"/>
          <w:szCs w:val="28"/>
        </w:rPr>
        <w:t>euro</w:t>
      </w:r>
      <w:proofErr w:type="spellEnd"/>
      <w:r w:rsidRPr="00DB28C3">
        <w:rPr>
          <w:rFonts w:eastAsia="Calibri" w:cs="Times New Roman"/>
          <w:sz w:val="28"/>
          <w:szCs w:val="28"/>
        </w:rPr>
        <w:t>. Vienlaikus jāatzīmē, ka šis neatbilstību veids vēl joprojām ir biežāk atklātais neatbilstību vei</w:t>
      </w:r>
      <w:r w:rsidR="00516F20" w:rsidRPr="00DB28C3">
        <w:rPr>
          <w:rFonts w:eastAsia="Calibri" w:cs="Times New Roman"/>
          <w:sz w:val="28"/>
          <w:szCs w:val="28"/>
        </w:rPr>
        <w:t>ds, kas finansiālā ziņā ir 62,0</w:t>
      </w:r>
      <w:r w:rsidR="00FE22B7">
        <w:rPr>
          <w:rFonts w:eastAsia="Calibri" w:cs="Times New Roman"/>
          <w:sz w:val="28"/>
          <w:szCs w:val="28"/>
        </w:rPr>
        <w:t> </w:t>
      </w:r>
      <w:r w:rsidRPr="00DB28C3">
        <w:rPr>
          <w:rFonts w:eastAsia="Calibri" w:cs="Times New Roman"/>
          <w:sz w:val="28"/>
          <w:szCs w:val="28"/>
        </w:rPr>
        <w:t xml:space="preserve">% no visiem pārskata perioda neatbilstoši veiktajiem izdevumiem. Visvairāk pārkāpumu saistīti ar darbu, pakalpojuma, piegāžu līguma mākslīgu sadalīšanu. </w:t>
      </w:r>
      <w:r w:rsidRPr="00DB28C3">
        <w:rPr>
          <w:rFonts w:eastAsia="Calibri" w:cs="Times New Roman"/>
          <w:sz w:val="28"/>
          <w:szCs w:val="28"/>
        </w:rPr>
        <w:lastRenderedPageBreak/>
        <w:t>Otrs nozīmīgākais neatbilstību veids ir “Aizdomas par krāpšanu vai organizēto noziedzību (ar finan</w:t>
      </w:r>
      <w:r w:rsidR="00516F20" w:rsidRPr="00DB28C3">
        <w:rPr>
          <w:rFonts w:eastAsia="Calibri" w:cs="Times New Roman"/>
          <w:sz w:val="28"/>
          <w:szCs w:val="28"/>
        </w:rPr>
        <w:t>siālu ietekmi)”, kas veido 21,0</w:t>
      </w:r>
      <w:r w:rsidR="00FE22B7">
        <w:rPr>
          <w:rFonts w:eastAsia="Calibri" w:cs="Times New Roman"/>
          <w:sz w:val="28"/>
          <w:szCs w:val="28"/>
        </w:rPr>
        <w:t> </w:t>
      </w:r>
      <w:r w:rsidRPr="00DB28C3">
        <w:rPr>
          <w:rFonts w:eastAsia="Calibri" w:cs="Times New Roman"/>
          <w:sz w:val="28"/>
          <w:szCs w:val="28"/>
        </w:rPr>
        <w:t>% no kopējiem pārskata periodā neatbilstoši veiktajiem izdevumiem.</w:t>
      </w:r>
    </w:p>
    <w:p w14:paraId="07A3A4C3" w14:textId="7AD7F946" w:rsidR="00C22314" w:rsidRPr="00DB28C3" w:rsidRDefault="00C22314" w:rsidP="004122DD">
      <w:pPr>
        <w:spacing w:before="120" w:after="120" w:line="276" w:lineRule="auto"/>
        <w:ind w:firstLine="709"/>
        <w:jc w:val="both"/>
        <w:rPr>
          <w:rFonts w:eastAsia="Calibri" w:cs="Times New Roman"/>
          <w:sz w:val="28"/>
          <w:szCs w:val="28"/>
        </w:rPr>
      </w:pPr>
      <w:r w:rsidRPr="00DB28C3">
        <w:rPr>
          <w:rFonts w:eastAsia="Calibri" w:cs="Times New Roman"/>
          <w:sz w:val="28"/>
          <w:szCs w:val="28"/>
        </w:rPr>
        <w:t>65,0</w:t>
      </w:r>
      <w:r w:rsidR="00FE22B7">
        <w:rPr>
          <w:rFonts w:eastAsia="Calibri" w:cs="Times New Roman"/>
          <w:sz w:val="28"/>
          <w:szCs w:val="28"/>
        </w:rPr>
        <w:t> </w:t>
      </w:r>
      <w:r w:rsidRPr="00DB28C3">
        <w:rPr>
          <w:rFonts w:eastAsia="Calibri" w:cs="Times New Roman"/>
          <w:sz w:val="28"/>
          <w:szCs w:val="28"/>
        </w:rPr>
        <w:t>% no visiem 2019.</w:t>
      </w:r>
      <w:r w:rsidR="00FE22B7">
        <w:rPr>
          <w:rFonts w:eastAsia="Calibri" w:cs="Times New Roman"/>
          <w:sz w:val="28"/>
          <w:szCs w:val="28"/>
        </w:rPr>
        <w:t> </w:t>
      </w:r>
      <w:r w:rsidRPr="00DB28C3">
        <w:rPr>
          <w:rFonts w:eastAsia="Calibri" w:cs="Times New Roman"/>
          <w:sz w:val="28"/>
          <w:szCs w:val="28"/>
        </w:rPr>
        <w:t>gada I pusgadā neatbilstoši veiktajiem izdevumiem konstatēti pašvaldību projektos, galvenokārt (t.i. 49,2</w:t>
      </w:r>
      <w:r w:rsidR="00FE22B7">
        <w:rPr>
          <w:rFonts w:eastAsia="Calibri" w:cs="Times New Roman"/>
          <w:sz w:val="28"/>
          <w:szCs w:val="28"/>
        </w:rPr>
        <w:t> </w:t>
      </w:r>
      <w:r w:rsidRPr="00DB28C3">
        <w:rPr>
          <w:rFonts w:eastAsia="Calibri" w:cs="Times New Roman"/>
          <w:sz w:val="28"/>
          <w:szCs w:val="28"/>
        </w:rPr>
        <w:t xml:space="preserve">% no pašvaldību grupas neatbilstošiem izdevumiem) par iepirkumu normu pārkāpumiem. Pārskata periodā lielākā kopējā </w:t>
      </w:r>
      <w:r w:rsidR="00666CEE" w:rsidRPr="00DB28C3">
        <w:rPr>
          <w:rFonts w:eastAsia="Calibri" w:cs="Times New Roman"/>
          <w:sz w:val="28"/>
          <w:szCs w:val="28"/>
        </w:rPr>
        <w:t xml:space="preserve">neatbilstību summa </w:t>
      </w:r>
      <w:r w:rsidRPr="00DB28C3">
        <w:rPr>
          <w:rFonts w:eastAsia="Calibri" w:cs="Times New Roman"/>
          <w:sz w:val="28"/>
          <w:szCs w:val="28"/>
        </w:rPr>
        <w:t xml:space="preserve">556,6 tūkst. </w:t>
      </w:r>
      <w:proofErr w:type="spellStart"/>
      <w:r w:rsidRPr="00DB28C3">
        <w:rPr>
          <w:rFonts w:eastAsia="Calibri" w:cs="Times New Roman"/>
          <w:i/>
          <w:sz w:val="28"/>
          <w:szCs w:val="28"/>
        </w:rPr>
        <w:t>euro</w:t>
      </w:r>
      <w:proofErr w:type="spellEnd"/>
      <w:r w:rsidRPr="00DB28C3">
        <w:rPr>
          <w:rFonts w:eastAsia="Calibri" w:cs="Times New Roman"/>
          <w:sz w:val="28"/>
          <w:szCs w:val="28"/>
        </w:rPr>
        <w:t xml:space="preserve"> ir </w:t>
      </w:r>
      <w:r w:rsidR="00CA20A1">
        <w:rPr>
          <w:rFonts w:eastAsia="Calibri" w:cs="Times New Roman"/>
          <w:sz w:val="28"/>
          <w:szCs w:val="28"/>
        </w:rPr>
        <w:t xml:space="preserve">vienā </w:t>
      </w:r>
      <w:r w:rsidRPr="00DB28C3">
        <w:rPr>
          <w:rFonts w:eastAsia="Calibri" w:cs="Times New Roman"/>
          <w:sz w:val="28"/>
          <w:szCs w:val="28"/>
        </w:rPr>
        <w:t xml:space="preserve">Jelgavas novada pašvaldības īstenotajā projektā </w:t>
      </w:r>
      <w:r w:rsidR="0001174E">
        <w:rPr>
          <w:rFonts w:eastAsia="Calibri" w:cs="Times New Roman"/>
          <w:sz w:val="28"/>
          <w:szCs w:val="28"/>
        </w:rPr>
        <w:t xml:space="preserve">par </w:t>
      </w:r>
      <w:r w:rsidRPr="00DB28C3">
        <w:rPr>
          <w:rFonts w:eastAsia="Calibri" w:cs="Times New Roman"/>
          <w:sz w:val="28"/>
          <w:szCs w:val="28"/>
        </w:rPr>
        <w:t>iepirkumu normu pārkāpumi</w:t>
      </w:r>
      <w:r w:rsidR="0001174E">
        <w:rPr>
          <w:rFonts w:eastAsia="Calibri" w:cs="Times New Roman"/>
          <w:sz w:val="28"/>
          <w:szCs w:val="28"/>
        </w:rPr>
        <w:t>em</w:t>
      </w:r>
      <w:r w:rsidRPr="00DB28C3">
        <w:rPr>
          <w:rFonts w:eastAsia="Calibri" w:cs="Times New Roman"/>
          <w:sz w:val="28"/>
          <w:szCs w:val="28"/>
        </w:rPr>
        <w:t xml:space="preserve">. </w:t>
      </w:r>
    </w:p>
    <w:p w14:paraId="2BF47275" w14:textId="44E173CA" w:rsidR="00C22314" w:rsidRPr="00DB28C3" w:rsidRDefault="00C22314" w:rsidP="004122DD">
      <w:pPr>
        <w:spacing w:before="120" w:after="120" w:line="276" w:lineRule="auto"/>
        <w:ind w:firstLine="709"/>
        <w:jc w:val="both"/>
        <w:rPr>
          <w:rFonts w:eastAsia="Calibri" w:cs="Times New Roman"/>
          <w:sz w:val="28"/>
          <w:szCs w:val="28"/>
        </w:rPr>
      </w:pPr>
      <w:r w:rsidRPr="00DB28C3">
        <w:rPr>
          <w:rFonts w:eastAsia="Calibri" w:cs="Times New Roman"/>
          <w:sz w:val="28"/>
          <w:szCs w:val="28"/>
        </w:rPr>
        <w:t>Skaita ziņā lielākā daļa (104 no 188) no 2019.</w:t>
      </w:r>
      <w:r w:rsidR="00153F5E">
        <w:rPr>
          <w:rFonts w:eastAsia="Calibri" w:cs="Times New Roman"/>
          <w:sz w:val="28"/>
          <w:szCs w:val="28"/>
        </w:rPr>
        <w:t> </w:t>
      </w:r>
      <w:r w:rsidRPr="00DB28C3">
        <w:rPr>
          <w:rFonts w:eastAsia="Calibri" w:cs="Times New Roman"/>
          <w:sz w:val="28"/>
          <w:szCs w:val="28"/>
        </w:rPr>
        <w:t>gada I pusgada neatbilstībām konstatētas tieši pašvaldību projektos:</w:t>
      </w:r>
    </w:p>
    <w:p w14:paraId="5BD7AD06" w14:textId="733051AA" w:rsidR="00C22314" w:rsidRPr="00DB28C3" w:rsidRDefault="00C22314" w:rsidP="008E34C2">
      <w:pPr>
        <w:pStyle w:val="ListParagraph"/>
        <w:numPr>
          <w:ilvl w:val="0"/>
          <w:numId w:val="18"/>
        </w:numPr>
        <w:spacing w:before="120" w:after="120" w:line="276" w:lineRule="auto"/>
        <w:ind w:left="426" w:hanging="426"/>
        <w:jc w:val="both"/>
        <w:rPr>
          <w:rFonts w:eastAsia="Calibri" w:cs="Times New Roman"/>
          <w:sz w:val="28"/>
          <w:szCs w:val="28"/>
        </w:rPr>
      </w:pPr>
      <w:r w:rsidRPr="00DB28C3">
        <w:rPr>
          <w:rFonts w:eastAsia="Calibri" w:cs="Times New Roman"/>
          <w:sz w:val="28"/>
          <w:szCs w:val="28"/>
        </w:rPr>
        <w:t>Visvairāk par iepirkumu normu pārkāpumiem (78 neatbilstības, kas ve</w:t>
      </w:r>
      <w:r w:rsidR="00F36794" w:rsidRPr="00DB28C3">
        <w:rPr>
          <w:rFonts w:eastAsia="Calibri" w:cs="Times New Roman"/>
          <w:sz w:val="28"/>
          <w:szCs w:val="28"/>
        </w:rPr>
        <w:t>ido 76,0</w:t>
      </w:r>
      <w:r w:rsidR="00FE22B7">
        <w:rPr>
          <w:rFonts w:eastAsia="Calibri" w:cs="Times New Roman"/>
          <w:sz w:val="28"/>
          <w:szCs w:val="28"/>
        </w:rPr>
        <w:t> </w:t>
      </w:r>
      <w:r w:rsidR="00F36794" w:rsidRPr="00DB28C3">
        <w:rPr>
          <w:rFonts w:eastAsia="Calibri" w:cs="Times New Roman"/>
          <w:sz w:val="28"/>
          <w:szCs w:val="28"/>
        </w:rPr>
        <w:t xml:space="preserve">% no pašvaldību grupas </w:t>
      </w:r>
      <w:r w:rsidRPr="00DB28C3">
        <w:rPr>
          <w:rFonts w:eastAsia="Calibri" w:cs="Times New Roman"/>
          <w:sz w:val="28"/>
          <w:szCs w:val="28"/>
        </w:rPr>
        <w:t xml:space="preserve">neatbilstošiem izdevumiem). Šajā neatbilstības veidā finansiāli apjomīgākā neatbilstība ir </w:t>
      </w:r>
      <w:r w:rsidR="00FE22B7">
        <w:rPr>
          <w:rFonts w:eastAsia="Calibri" w:cs="Times New Roman"/>
          <w:sz w:val="28"/>
          <w:szCs w:val="28"/>
        </w:rPr>
        <w:t xml:space="preserve">vienā </w:t>
      </w:r>
      <w:r w:rsidRPr="00DB28C3">
        <w:rPr>
          <w:rFonts w:eastAsia="Calibri" w:cs="Times New Roman"/>
          <w:sz w:val="28"/>
          <w:szCs w:val="28"/>
        </w:rPr>
        <w:t>pašvaldības projekt</w:t>
      </w:r>
      <w:r w:rsidR="00FE22B7">
        <w:rPr>
          <w:rFonts w:eastAsia="Calibri" w:cs="Times New Roman"/>
          <w:sz w:val="28"/>
          <w:szCs w:val="28"/>
        </w:rPr>
        <w:t xml:space="preserve">ā, kurā konstatēta </w:t>
      </w:r>
      <w:r w:rsidR="00F36794" w:rsidRPr="00DB28C3">
        <w:rPr>
          <w:rFonts w:eastAsia="Calibri" w:cs="Times New Roman"/>
          <w:sz w:val="28"/>
          <w:szCs w:val="28"/>
        </w:rPr>
        <w:t>neatbilstība 138,1 tūkst. </w:t>
      </w:r>
      <w:proofErr w:type="spellStart"/>
      <w:r w:rsidRPr="00DB28C3">
        <w:rPr>
          <w:rFonts w:eastAsia="Calibri" w:cs="Times New Roman"/>
          <w:i/>
          <w:sz w:val="28"/>
          <w:szCs w:val="28"/>
        </w:rPr>
        <w:t>euro</w:t>
      </w:r>
      <w:proofErr w:type="spellEnd"/>
      <w:r w:rsidR="003C32D5" w:rsidRPr="00DB28C3">
        <w:rPr>
          <w:rFonts w:eastAsia="Calibri" w:cs="Times New Roman"/>
          <w:sz w:val="28"/>
          <w:szCs w:val="28"/>
        </w:rPr>
        <w:t xml:space="preserve"> par</w:t>
      </w:r>
      <w:r w:rsidRPr="00DB28C3">
        <w:rPr>
          <w:rFonts w:eastAsia="Calibri" w:cs="Times New Roman"/>
          <w:sz w:val="28"/>
          <w:szCs w:val="28"/>
        </w:rPr>
        <w:t xml:space="preserve"> iepirkumu normas pārkāpumu;</w:t>
      </w:r>
    </w:p>
    <w:p w14:paraId="7C1593B2" w14:textId="0E59A238" w:rsidR="00C22314" w:rsidRPr="00DB28C3" w:rsidRDefault="00C22314" w:rsidP="008E34C2">
      <w:pPr>
        <w:pStyle w:val="ListParagraph"/>
        <w:numPr>
          <w:ilvl w:val="0"/>
          <w:numId w:val="18"/>
        </w:numPr>
        <w:spacing w:before="120" w:after="120" w:line="276" w:lineRule="auto"/>
        <w:ind w:left="426" w:hanging="426"/>
        <w:jc w:val="both"/>
        <w:rPr>
          <w:rFonts w:eastAsia="Calibri" w:cs="Times New Roman"/>
          <w:sz w:val="28"/>
          <w:szCs w:val="28"/>
        </w:rPr>
      </w:pPr>
      <w:r w:rsidRPr="00DB28C3">
        <w:rPr>
          <w:rFonts w:eastAsia="Calibri" w:cs="Times New Roman"/>
          <w:sz w:val="28"/>
          <w:szCs w:val="28"/>
        </w:rPr>
        <w:t>23 pārkāpumi saistībā ar “Noteikto ievieš</w:t>
      </w:r>
      <w:r w:rsidR="00516F20" w:rsidRPr="00DB28C3">
        <w:rPr>
          <w:rFonts w:eastAsia="Calibri" w:cs="Times New Roman"/>
          <w:sz w:val="28"/>
          <w:szCs w:val="28"/>
        </w:rPr>
        <w:t>anas nosacījumu neizpildi” (5,0</w:t>
      </w:r>
      <w:r w:rsidR="00FE22B7">
        <w:rPr>
          <w:rFonts w:eastAsia="Calibri" w:cs="Times New Roman"/>
          <w:sz w:val="28"/>
          <w:szCs w:val="28"/>
        </w:rPr>
        <w:t> </w:t>
      </w:r>
      <w:r w:rsidRPr="00DB28C3">
        <w:rPr>
          <w:rFonts w:eastAsia="Calibri" w:cs="Times New Roman"/>
          <w:sz w:val="28"/>
          <w:szCs w:val="28"/>
        </w:rPr>
        <w:t>% no pašvaldību grupas neatbilstoši veiktiem izdevumiem);</w:t>
      </w:r>
    </w:p>
    <w:p w14:paraId="62D00FAB" w14:textId="57B4555E" w:rsidR="00C22314" w:rsidRPr="00DB28C3" w:rsidRDefault="00C22314" w:rsidP="008E34C2">
      <w:pPr>
        <w:pStyle w:val="ListParagraph"/>
        <w:numPr>
          <w:ilvl w:val="0"/>
          <w:numId w:val="18"/>
        </w:numPr>
        <w:spacing w:before="120" w:after="120" w:line="276" w:lineRule="auto"/>
        <w:ind w:left="426" w:hanging="426"/>
        <w:jc w:val="both"/>
        <w:rPr>
          <w:rFonts w:eastAsia="Calibri" w:cs="Times New Roman"/>
          <w:sz w:val="28"/>
          <w:szCs w:val="28"/>
        </w:rPr>
      </w:pPr>
      <w:r w:rsidRPr="00DB28C3">
        <w:rPr>
          <w:rFonts w:eastAsia="Calibri" w:cs="Times New Roman"/>
          <w:sz w:val="28"/>
          <w:szCs w:val="28"/>
        </w:rPr>
        <w:t>Divi pārkāpumi saistībā ar “Aizdomas par krāpšanu vai organizēto noziedz</w:t>
      </w:r>
      <w:r w:rsidR="00F36794" w:rsidRPr="00DB28C3">
        <w:rPr>
          <w:rFonts w:eastAsia="Calibri" w:cs="Times New Roman"/>
          <w:sz w:val="28"/>
          <w:szCs w:val="28"/>
        </w:rPr>
        <w:t xml:space="preserve">ību” </w:t>
      </w:r>
      <w:r w:rsidRPr="00DB28C3">
        <w:rPr>
          <w:rFonts w:eastAsia="Calibri" w:cs="Times New Roman"/>
          <w:sz w:val="28"/>
          <w:szCs w:val="28"/>
        </w:rPr>
        <w:t xml:space="preserve">(253,6 tūkst. </w:t>
      </w:r>
      <w:proofErr w:type="spellStart"/>
      <w:r w:rsidRPr="00DB28C3">
        <w:rPr>
          <w:rFonts w:eastAsia="Calibri" w:cs="Times New Roman"/>
          <w:i/>
          <w:sz w:val="28"/>
          <w:szCs w:val="28"/>
        </w:rPr>
        <w:t>euro</w:t>
      </w:r>
      <w:proofErr w:type="spellEnd"/>
      <w:r w:rsidR="00516F20" w:rsidRPr="00DB28C3">
        <w:rPr>
          <w:rFonts w:eastAsia="Calibri" w:cs="Times New Roman"/>
          <w:sz w:val="28"/>
          <w:szCs w:val="28"/>
        </w:rPr>
        <w:t>, kas ir 18,8</w:t>
      </w:r>
      <w:r w:rsidR="00FE22B7">
        <w:rPr>
          <w:rFonts w:eastAsia="Calibri" w:cs="Times New Roman"/>
          <w:sz w:val="28"/>
          <w:szCs w:val="28"/>
        </w:rPr>
        <w:t> </w:t>
      </w:r>
      <w:r w:rsidRPr="00DB28C3">
        <w:rPr>
          <w:rFonts w:eastAsia="Calibri" w:cs="Times New Roman"/>
          <w:sz w:val="28"/>
          <w:szCs w:val="28"/>
        </w:rPr>
        <w:t>% no pašvaldību grupas neatbilstoši veiktajiem izdevumiem);</w:t>
      </w:r>
    </w:p>
    <w:p w14:paraId="7360C34F" w14:textId="65BDA717" w:rsidR="00C22314" w:rsidRPr="00DB28C3" w:rsidRDefault="00C22314" w:rsidP="008E34C2">
      <w:pPr>
        <w:pStyle w:val="ListParagraph"/>
        <w:numPr>
          <w:ilvl w:val="0"/>
          <w:numId w:val="18"/>
        </w:numPr>
        <w:spacing w:before="120" w:after="120" w:line="276" w:lineRule="auto"/>
        <w:ind w:left="426" w:hanging="426"/>
        <w:jc w:val="both"/>
        <w:rPr>
          <w:rFonts w:eastAsia="Calibri" w:cs="Times New Roman"/>
          <w:sz w:val="28"/>
          <w:szCs w:val="28"/>
        </w:rPr>
      </w:pPr>
      <w:r w:rsidRPr="00DB28C3">
        <w:rPr>
          <w:rFonts w:eastAsia="Calibri" w:cs="Times New Roman"/>
          <w:sz w:val="28"/>
          <w:szCs w:val="28"/>
        </w:rPr>
        <w:t xml:space="preserve">Pārkāpums “Interešu konflikts” (135,8 </w:t>
      </w:r>
      <w:proofErr w:type="spellStart"/>
      <w:r w:rsidRPr="00DB28C3">
        <w:rPr>
          <w:rFonts w:eastAsia="Calibri" w:cs="Times New Roman"/>
          <w:i/>
          <w:sz w:val="28"/>
          <w:szCs w:val="28"/>
        </w:rPr>
        <w:t>euro</w:t>
      </w:r>
      <w:proofErr w:type="spellEnd"/>
      <w:r w:rsidR="00516F20" w:rsidRPr="00DB28C3">
        <w:rPr>
          <w:rFonts w:eastAsia="Calibri" w:cs="Times New Roman"/>
          <w:sz w:val="28"/>
          <w:szCs w:val="28"/>
        </w:rPr>
        <w:t>, kas ir 0,01</w:t>
      </w:r>
      <w:r w:rsidR="00FE22B7">
        <w:rPr>
          <w:rFonts w:eastAsia="Calibri" w:cs="Times New Roman"/>
          <w:sz w:val="28"/>
          <w:szCs w:val="28"/>
        </w:rPr>
        <w:t> </w:t>
      </w:r>
      <w:r w:rsidRPr="00DB28C3">
        <w:rPr>
          <w:rFonts w:eastAsia="Calibri" w:cs="Times New Roman"/>
          <w:sz w:val="28"/>
          <w:szCs w:val="28"/>
        </w:rPr>
        <w:t>% no pašvaldību grupas neatbilstoši veiktajiem izdevumiem).</w:t>
      </w:r>
    </w:p>
    <w:p w14:paraId="62FB6EE4" w14:textId="1DB6F62F" w:rsidR="001D75DE" w:rsidRPr="00DB28C3" w:rsidRDefault="001D75DE" w:rsidP="001D75DE">
      <w:pPr>
        <w:spacing w:before="120" w:after="120" w:line="276" w:lineRule="auto"/>
        <w:ind w:firstLine="709"/>
        <w:jc w:val="both"/>
        <w:rPr>
          <w:rFonts w:cs="Times New Roman"/>
          <w:sz w:val="28"/>
          <w:szCs w:val="28"/>
        </w:rPr>
      </w:pPr>
      <w:r w:rsidRPr="00DB28C3">
        <w:rPr>
          <w:sz w:val="28"/>
          <w:szCs w:val="28"/>
        </w:rPr>
        <w:t>Pamatojoties uz RI revīzijas ziņojumu, konstatējot pārkāpumus, CFLA 2018.</w:t>
      </w:r>
      <w:r w:rsidR="00FE22B7">
        <w:rPr>
          <w:sz w:val="28"/>
          <w:szCs w:val="28"/>
        </w:rPr>
        <w:t> </w:t>
      </w:r>
      <w:r w:rsidRPr="00DB28C3">
        <w:rPr>
          <w:sz w:val="28"/>
          <w:szCs w:val="28"/>
        </w:rPr>
        <w:t>gada 19.</w:t>
      </w:r>
      <w:r w:rsidR="00FE22B7">
        <w:rPr>
          <w:sz w:val="28"/>
          <w:szCs w:val="28"/>
        </w:rPr>
        <w:t> </w:t>
      </w:r>
      <w:r w:rsidRPr="00DB28C3">
        <w:rPr>
          <w:sz w:val="28"/>
          <w:szCs w:val="28"/>
        </w:rPr>
        <w:t>janvārī pieņēma lēmumu Kohēzijas fonda projektā “Valsts galvenā autoceļa A13 Krievijas robeža (Grebņeva) – Rēzekne – Daugavpils – Lietuvas robeža (</w:t>
      </w:r>
      <w:proofErr w:type="spellStart"/>
      <w:r w:rsidRPr="00DB28C3">
        <w:rPr>
          <w:sz w:val="28"/>
          <w:szCs w:val="28"/>
        </w:rPr>
        <w:t>Medumi</w:t>
      </w:r>
      <w:proofErr w:type="spellEnd"/>
      <w:r w:rsidRPr="00DB28C3">
        <w:rPr>
          <w:sz w:val="28"/>
          <w:szCs w:val="28"/>
        </w:rPr>
        <w:t xml:space="preserve">), km 113,12 – 134,70 segas pārbūve”, atzīstot 14 859,11 </w:t>
      </w:r>
      <w:proofErr w:type="spellStart"/>
      <w:r w:rsidRPr="00DB28C3">
        <w:rPr>
          <w:i/>
          <w:iCs/>
          <w:sz w:val="28"/>
          <w:szCs w:val="28"/>
        </w:rPr>
        <w:t>euro</w:t>
      </w:r>
      <w:proofErr w:type="spellEnd"/>
      <w:r w:rsidRPr="00DB28C3">
        <w:rPr>
          <w:sz w:val="28"/>
          <w:szCs w:val="28"/>
        </w:rPr>
        <w:t xml:space="preserve"> par neatbilstoši veiktiem izdevumiem, jo būvdarbu veikšanai tika izmantoti iepirkuma tehniskajam piedāvājumam neatbilstoši materiāli.</w:t>
      </w:r>
    </w:p>
    <w:p w14:paraId="0501B902" w14:textId="54FD9ED1" w:rsidR="001D75DE" w:rsidRDefault="001D75DE" w:rsidP="001D75DE">
      <w:pPr>
        <w:spacing w:before="120" w:after="120" w:line="276" w:lineRule="auto"/>
        <w:ind w:firstLine="709"/>
        <w:jc w:val="both"/>
        <w:rPr>
          <w:sz w:val="28"/>
          <w:szCs w:val="28"/>
        </w:rPr>
      </w:pPr>
      <w:r w:rsidRPr="00DB28C3">
        <w:rPr>
          <w:sz w:val="28"/>
          <w:szCs w:val="28"/>
        </w:rPr>
        <w:t>Pēc FM lūguma SM veikt situācijas un atbildības par zaudējumiem valsts budžetam izvērtēšanu, SM izveidotās dienesta pārbaudes komisijas pārbaudes ietvaros tika secināts, ka, īstenojot projektu, LVC nav apstiprinājis specifikācijām neatbilstošus materiālus, bet komersants, kas ir veicis projekta būvniecības darbu būvuzraudzību, pieļāvis ar LVC noslēgtā līguma pārkāpumu, projekta būvniecības ietvaros atļaujot pielietot cementu, kas neatbilda iepirkuma specifikācijās noteiktajām prasībām. SM izskatīja projekta ietvaros noslēgtā būvuzraudzības līguma konstatēto pārkāpumu un</w:t>
      </w:r>
      <w:r w:rsidR="00326FEE">
        <w:rPr>
          <w:sz w:val="28"/>
          <w:szCs w:val="28"/>
        </w:rPr>
        <w:t xml:space="preserve"> aicināja LVC</w:t>
      </w:r>
      <w:r w:rsidRPr="00DB28C3">
        <w:rPr>
          <w:sz w:val="28"/>
          <w:szCs w:val="28"/>
        </w:rPr>
        <w:t xml:space="preserve"> ar pretenziju vērs</w:t>
      </w:r>
      <w:r w:rsidR="00326FEE">
        <w:rPr>
          <w:sz w:val="28"/>
          <w:szCs w:val="28"/>
        </w:rPr>
        <w:t>ties</w:t>
      </w:r>
      <w:r w:rsidRPr="00DB28C3">
        <w:rPr>
          <w:sz w:val="28"/>
          <w:szCs w:val="28"/>
        </w:rPr>
        <w:t xml:space="preserve"> pie būvuzrauga par 14 859,11 </w:t>
      </w:r>
      <w:proofErr w:type="spellStart"/>
      <w:r w:rsidRPr="00DB28C3">
        <w:rPr>
          <w:i/>
          <w:iCs/>
          <w:sz w:val="28"/>
          <w:szCs w:val="28"/>
        </w:rPr>
        <w:t>euro</w:t>
      </w:r>
      <w:proofErr w:type="spellEnd"/>
      <w:r w:rsidRPr="00DB28C3">
        <w:rPr>
          <w:sz w:val="28"/>
          <w:szCs w:val="28"/>
        </w:rPr>
        <w:t xml:space="preserve"> valsts budžetam radīto zaudē</w:t>
      </w:r>
      <w:r w:rsidR="00C77614">
        <w:rPr>
          <w:sz w:val="28"/>
          <w:szCs w:val="28"/>
        </w:rPr>
        <w:t>jumu atlīdzību.</w:t>
      </w:r>
      <w:r w:rsidRPr="00DB28C3">
        <w:rPr>
          <w:sz w:val="28"/>
          <w:szCs w:val="28"/>
        </w:rPr>
        <w:t xml:space="preserve"> Papildus SM informē - lai turpmāk novērstu neatbilstību rašanos, LVC </w:t>
      </w:r>
      <w:r w:rsidRPr="00DB28C3">
        <w:rPr>
          <w:sz w:val="28"/>
          <w:szCs w:val="28"/>
        </w:rPr>
        <w:lastRenderedPageBreak/>
        <w:t>organizēja informatīvus seminārus būvuzraudzības veicējiem, kuros īpaši informēja par specifiskiem tehniskiem jautājumiem, lai pēc iespējas novērstu izpildītāju atšķirīgu izpratni par noslēgto līgumu un tajos ietverto prasību izpildi. Papildus tam LVC ti</w:t>
      </w:r>
      <w:r w:rsidR="00326FEE">
        <w:rPr>
          <w:sz w:val="28"/>
          <w:szCs w:val="28"/>
        </w:rPr>
        <w:t>ek</w:t>
      </w:r>
      <w:r w:rsidRPr="00DB28C3">
        <w:rPr>
          <w:sz w:val="28"/>
          <w:szCs w:val="28"/>
        </w:rPr>
        <w:t xml:space="preserve"> pilnveidoti projektu kontroles procesi, nodrošinot savlaicīgas kontroles attiecībā uz tehniskajās specifikācijās noteikto prasību ievērošanu projektu īstenošanas laikā, kā arī ti</w:t>
      </w:r>
      <w:r w:rsidR="00326FEE">
        <w:rPr>
          <w:sz w:val="28"/>
          <w:szCs w:val="28"/>
        </w:rPr>
        <w:t>ek</w:t>
      </w:r>
      <w:r w:rsidRPr="00DB28C3">
        <w:rPr>
          <w:sz w:val="28"/>
          <w:szCs w:val="28"/>
        </w:rPr>
        <w:t xml:space="preserve"> veikti attiecīgie uzlabojumi iekšējās procedūrās. Arī turpmāk ar cementa īpašībām saistītie tehniskie jautājumi tiks uzsvērti gan LVC rīkotajās iekšējās speciālistu apmācībās, gan nozares ārējos pasākumos. </w:t>
      </w:r>
    </w:p>
    <w:p w14:paraId="7DF1EF44" w14:textId="60D87B72" w:rsidR="00FA2590" w:rsidRPr="00DB28C3" w:rsidRDefault="00FA2590">
      <w:pPr>
        <w:spacing w:before="120" w:after="120" w:line="276" w:lineRule="auto"/>
        <w:ind w:firstLine="567"/>
        <w:rPr>
          <w:b/>
          <w:sz w:val="28"/>
        </w:rPr>
      </w:pPr>
      <w:r w:rsidRPr="00DB28C3">
        <w:rPr>
          <w:b/>
          <w:sz w:val="28"/>
        </w:rPr>
        <w:t>Lēmumu par neatbilstībām apstrīdēšana VI</w:t>
      </w:r>
    </w:p>
    <w:p w14:paraId="5DE17E7C" w14:textId="5016C02B" w:rsidR="00EF68C5" w:rsidRPr="00DB28C3" w:rsidRDefault="00EF68C5" w:rsidP="00D52152">
      <w:pPr>
        <w:spacing w:before="120" w:after="120" w:line="276" w:lineRule="auto"/>
        <w:ind w:firstLine="709"/>
        <w:jc w:val="both"/>
        <w:rPr>
          <w:rFonts w:eastAsia="Calibri" w:cs="Times New Roman"/>
          <w:sz w:val="28"/>
          <w:szCs w:val="28"/>
        </w:rPr>
      </w:pPr>
      <w:r w:rsidRPr="00DB28C3">
        <w:rPr>
          <w:sz w:val="28"/>
        </w:rPr>
        <w:t xml:space="preserve">FS, kas ir publiska persona, var apstrīdēt SI pieņemto lēmumu VI par piešķirto finanšu līdzekļu izmaksāšanu, izmaksāšanas turpināšanu vai citu lēmumu, ja vienošanās nav panākta sarunu ceļā. </w:t>
      </w:r>
      <w:r w:rsidRPr="00DB28C3">
        <w:rPr>
          <w:sz w:val="28"/>
          <w:szCs w:val="28"/>
        </w:rPr>
        <w:t xml:space="preserve">2019. gada I pusgadā VI ir saņemti 7 apstrīdēšanas iesniegumi. </w:t>
      </w:r>
      <w:r w:rsidRPr="00DB28C3">
        <w:rPr>
          <w:rFonts w:eastAsia="Calibri" w:cs="Times New Roman"/>
          <w:sz w:val="28"/>
          <w:szCs w:val="28"/>
        </w:rPr>
        <w:t>Detalizē</w:t>
      </w:r>
      <w:r w:rsidR="00E822E1" w:rsidRPr="00DB28C3">
        <w:rPr>
          <w:rFonts w:eastAsia="Calibri" w:cs="Times New Roman"/>
          <w:sz w:val="28"/>
          <w:szCs w:val="28"/>
        </w:rPr>
        <w:t>tāka informācija ir tabulā Nr. 3</w:t>
      </w:r>
      <w:r w:rsidRPr="00DB28C3">
        <w:rPr>
          <w:rFonts w:eastAsia="Calibri" w:cs="Times New Roman"/>
          <w:sz w:val="28"/>
          <w:szCs w:val="28"/>
        </w:rPr>
        <w:t>.</w:t>
      </w:r>
    </w:p>
    <w:p w14:paraId="53642A19" w14:textId="273432C5" w:rsidR="00EF68C5" w:rsidRPr="00DB28C3" w:rsidRDefault="009F3C7E" w:rsidP="00D52152">
      <w:pPr>
        <w:spacing w:before="120" w:after="120" w:line="276" w:lineRule="auto"/>
        <w:rPr>
          <w:rFonts w:eastAsia="Calibri" w:cs="Times New Roman"/>
          <w:sz w:val="28"/>
          <w:szCs w:val="28"/>
        </w:rPr>
      </w:pPr>
      <w:r w:rsidRPr="00DB28C3">
        <w:rPr>
          <w:rFonts w:eastAsia="Calibri" w:cs="Times New Roman"/>
          <w:i/>
          <w:szCs w:val="24"/>
        </w:rPr>
        <w:t>T</w:t>
      </w:r>
      <w:r w:rsidR="00E822E1" w:rsidRPr="00DB28C3">
        <w:rPr>
          <w:rFonts w:eastAsia="Calibri" w:cs="Times New Roman"/>
          <w:i/>
          <w:szCs w:val="24"/>
        </w:rPr>
        <w:t>abula Nr. 3</w:t>
      </w:r>
      <w:r w:rsidR="00EF68C5" w:rsidRPr="00DB28C3">
        <w:rPr>
          <w:rFonts w:eastAsia="Calibri" w:cs="Times New Roman"/>
          <w:i/>
          <w:szCs w:val="24"/>
        </w:rPr>
        <w:t xml:space="preserve"> “Saņemtie apstrīdēšanas iesniegumi par neatbilstību lēmumiem, dati no 2019. gada 1. jan</w:t>
      </w:r>
      <w:r w:rsidR="00F40F0F" w:rsidRPr="00DB28C3">
        <w:rPr>
          <w:rFonts w:eastAsia="Calibri" w:cs="Times New Roman"/>
          <w:i/>
          <w:szCs w:val="24"/>
        </w:rPr>
        <w:t>vārim līdz 2019. gada 1. jūlijam</w:t>
      </w:r>
      <w:r w:rsidR="00EF68C5" w:rsidRPr="00DB28C3">
        <w:rPr>
          <w:rFonts w:eastAsia="Calibri" w:cs="Times New Roman"/>
          <w:i/>
          <w:szCs w:val="24"/>
        </w:rPr>
        <w:t>”</w:t>
      </w:r>
    </w:p>
    <w:tbl>
      <w:tblPr>
        <w:tblStyle w:val="TableGrid"/>
        <w:tblW w:w="8926" w:type="dxa"/>
        <w:tblLayout w:type="fixed"/>
        <w:tblLook w:val="04A0" w:firstRow="1" w:lastRow="0" w:firstColumn="1" w:lastColumn="0" w:noHBand="0" w:noVBand="1"/>
      </w:tblPr>
      <w:tblGrid>
        <w:gridCol w:w="2830"/>
        <w:gridCol w:w="993"/>
        <w:gridCol w:w="1134"/>
        <w:gridCol w:w="1134"/>
        <w:gridCol w:w="1276"/>
        <w:gridCol w:w="1559"/>
      </w:tblGrid>
      <w:tr w:rsidR="00EF68C5" w:rsidRPr="00DB28C3" w14:paraId="7D36BDFC" w14:textId="77777777" w:rsidTr="00781F28">
        <w:trPr>
          <w:trHeight w:val="70"/>
        </w:trPr>
        <w:tc>
          <w:tcPr>
            <w:tcW w:w="2830" w:type="dxa"/>
            <w:vMerge w:val="restart"/>
            <w:vAlign w:val="center"/>
          </w:tcPr>
          <w:p w14:paraId="44AFF48C" w14:textId="77777777" w:rsidR="00EF68C5" w:rsidRPr="00DB28C3" w:rsidRDefault="00EF68C5" w:rsidP="007A2DF6">
            <w:pPr>
              <w:spacing w:before="120" w:after="120" w:line="276" w:lineRule="auto"/>
              <w:jc w:val="center"/>
              <w:rPr>
                <w:rFonts w:cs="Times New Roman"/>
                <w:sz w:val="20"/>
                <w:szCs w:val="24"/>
              </w:rPr>
            </w:pPr>
            <w:r w:rsidRPr="00DB28C3">
              <w:rPr>
                <w:rFonts w:cs="Times New Roman"/>
                <w:sz w:val="20"/>
                <w:szCs w:val="24"/>
              </w:rPr>
              <w:t>SAM/</w:t>
            </w:r>
          </w:p>
          <w:p w14:paraId="2D45752E" w14:textId="77777777" w:rsidR="00EF68C5" w:rsidRPr="00DB28C3" w:rsidRDefault="00EF68C5" w:rsidP="007A2DF6">
            <w:pPr>
              <w:spacing w:before="120" w:after="120" w:line="276" w:lineRule="auto"/>
              <w:jc w:val="center"/>
              <w:rPr>
                <w:rFonts w:cs="Times New Roman"/>
                <w:szCs w:val="24"/>
              </w:rPr>
            </w:pPr>
            <w:r w:rsidRPr="00DB28C3">
              <w:rPr>
                <w:rFonts w:cs="Times New Roman"/>
                <w:sz w:val="20"/>
                <w:szCs w:val="24"/>
              </w:rPr>
              <w:t>pasākums</w:t>
            </w:r>
          </w:p>
        </w:tc>
        <w:tc>
          <w:tcPr>
            <w:tcW w:w="993" w:type="dxa"/>
            <w:vMerge w:val="restart"/>
            <w:vAlign w:val="center"/>
          </w:tcPr>
          <w:p w14:paraId="5CAD22C7" w14:textId="77777777" w:rsidR="00EF68C5" w:rsidRPr="00DB28C3" w:rsidRDefault="00EF68C5" w:rsidP="007A2DF6">
            <w:pPr>
              <w:spacing w:before="120" w:after="120" w:line="276" w:lineRule="auto"/>
              <w:jc w:val="center"/>
              <w:rPr>
                <w:rFonts w:cs="Times New Roman"/>
                <w:szCs w:val="24"/>
              </w:rPr>
            </w:pPr>
            <w:r w:rsidRPr="00DB28C3">
              <w:rPr>
                <w:rFonts w:cs="Times New Roman"/>
                <w:szCs w:val="24"/>
              </w:rPr>
              <w:t>AI</w:t>
            </w:r>
          </w:p>
        </w:tc>
        <w:tc>
          <w:tcPr>
            <w:tcW w:w="1134" w:type="dxa"/>
            <w:vMerge w:val="restart"/>
            <w:vAlign w:val="center"/>
          </w:tcPr>
          <w:p w14:paraId="791C078D" w14:textId="77777777" w:rsidR="00EF68C5" w:rsidRPr="00DB28C3" w:rsidRDefault="00EF68C5" w:rsidP="007A2DF6">
            <w:pPr>
              <w:spacing w:before="120" w:after="120" w:line="276" w:lineRule="auto"/>
              <w:jc w:val="center"/>
              <w:rPr>
                <w:rFonts w:cs="Times New Roman"/>
                <w:sz w:val="20"/>
                <w:szCs w:val="24"/>
              </w:rPr>
            </w:pPr>
            <w:r w:rsidRPr="00DB28C3">
              <w:rPr>
                <w:rFonts w:cs="Times New Roman"/>
                <w:sz w:val="20"/>
                <w:szCs w:val="24"/>
              </w:rPr>
              <w:t>Apstrīdēto SI lēmumu skaits</w:t>
            </w:r>
          </w:p>
        </w:tc>
        <w:tc>
          <w:tcPr>
            <w:tcW w:w="1134" w:type="dxa"/>
            <w:vMerge w:val="restart"/>
            <w:shd w:val="clear" w:color="auto" w:fill="D9D9D9" w:themeFill="background1" w:themeFillShade="D9"/>
            <w:vAlign w:val="center"/>
          </w:tcPr>
          <w:p w14:paraId="435AB591" w14:textId="77777777" w:rsidR="00EF68C5" w:rsidRPr="00DB28C3" w:rsidRDefault="00EF68C5" w:rsidP="007A2DF6">
            <w:pPr>
              <w:spacing w:before="120" w:after="120" w:line="276" w:lineRule="auto"/>
              <w:jc w:val="center"/>
              <w:rPr>
                <w:rFonts w:cs="Times New Roman"/>
                <w:sz w:val="20"/>
                <w:szCs w:val="24"/>
              </w:rPr>
            </w:pPr>
            <w:r w:rsidRPr="00DB28C3">
              <w:rPr>
                <w:rFonts w:cs="Times New Roman"/>
                <w:sz w:val="20"/>
                <w:szCs w:val="24"/>
              </w:rPr>
              <w:t>Izskatīšanā</w:t>
            </w:r>
          </w:p>
        </w:tc>
        <w:tc>
          <w:tcPr>
            <w:tcW w:w="2835" w:type="dxa"/>
            <w:gridSpan w:val="2"/>
            <w:vAlign w:val="center"/>
          </w:tcPr>
          <w:p w14:paraId="09F45392" w14:textId="77777777" w:rsidR="00EF68C5" w:rsidRPr="00DB28C3" w:rsidRDefault="00EF68C5" w:rsidP="007A2DF6">
            <w:pPr>
              <w:spacing w:before="120" w:after="120" w:line="276" w:lineRule="auto"/>
              <w:jc w:val="center"/>
              <w:rPr>
                <w:rFonts w:cs="Times New Roman"/>
                <w:sz w:val="20"/>
                <w:szCs w:val="24"/>
              </w:rPr>
            </w:pPr>
            <w:r w:rsidRPr="00DB28C3">
              <w:rPr>
                <w:rFonts w:cs="Times New Roman"/>
                <w:sz w:val="20"/>
                <w:szCs w:val="24"/>
              </w:rPr>
              <w:t>Rezultāts</w:t>
            </w:r>
          </w:p>
        </w:tc>
      </w:tr>
      <w:tr w:rsidR="00EF68C5" w:rsidRPr="00DB28C3" w14:paraId="5EB6D89A" w14:textId="77777777" w:rsidTr="00781F28">
        <w:trPr>
          <w:trHeight w:val="614"/>
        </w:trPr>
        <w:tc>
          <w:tcPr>
            <w:tcW w:w="2830" w:type="dxa"/>
            <w:vMerge/>
            <w:vAlign w:val="center"/>
          </w:tcPr>
          <w:p w14:paraId="3823645C" w14:textId="77777777" w:rsidR="00EF68C5" w:rsidRPr="00DB28C3" w:rsidRDefault="00EF68C5" w:rsidP="007A2DF6">
            <w:pPr>
              <w:spacing w:before="120" w:after="120" w:line="276" w:lineRule="auto"/>
              <w:rPr>
                <w:rFonts w:cs="Times New Roman"/>
                <w:szCs w:val="24"/>
              </w:rPr>
            </w:pPr>
          </w:p>
        </w:tc>
        <w:tc>
          <w:tcPr>
            <w:tcW w:w="993" w:type="dxa"/>
            <w:vMerge/>
            <w:vAlign w:val="center"/>
          </w:tcPr>
          <w:p w14:paraId="40CDE1FB" w14:textId="77777777" w:rsidR="00EF68C5" w:rsidRPr="00DB28C3" w:rsidRDefault="00EF68C5" w:rsidP="007A2DF6">
            <w:pPr>
              <w:spacing w:before="120" w:after="120" w:line="276" w:lineRule="auto"/>
              <w:rPr>
                <w:rFonts w:cs="Times New Roman"/>
                <w:szCs w:val="24"/>
              </w:rPr>
            </w:pPr>
          </w:p>
        </w:tc>
        <w:tc>
          <w:tcPr>
            <w:tcW w:w="1134" w:type="dxa"/>
            <w:vMerge/>
            <w:vAlign w:val="center"/>
          </w:tcPr>
          <w:p w14:paraId="35633BBE" w14:textId="77777777" w:rsidR="00EF68C5" w:rsidRPr="00DB28C3" w:rsidRDefault="00EF68C5" w:rsidP="007A2DF6">
            <w:pPr>
              <w:spacing w:before="120" w:after="120" w:line="276" w:lineRule="auto"/>
              <w:rPr>
                <w:rFonts w:cs="Times New Roman"/>
                <w:sz w:val="20"/>
                <w:szCs w:val="24"/>
              </w:rPr>
            </w:pPr>
          </w:p>
        </w:tc>
        <w:tc>
          <w:tcPr>
            <w:tcW w:w="1134" w:type="dxa"/>
            <w:vMerge/>
            <w:shd w:val="clear" w:color="auto" w:fill="D9D9D9" w:themeFill="background1" w:themeFillShade="D9"/>
            <w:vAlign w:val="center"/>
          </w:tcPr>
          <w:p w14:paraId="3AF7AE88" w14:textId="77777777" w:rsidR="00EF68C5" w:rsidRPr="00DB28C3" w:rsidRDefault="00EF68C5" w:rsidP="007A2DF6">
            <w:pPr>
              <w:spacing w:before="120" w:after="120" w:line="276" w:lineRule="auto"/>
              <w:jc w:val="center"/>
              <w:rPr>
                <w:rFonts w:cs="Times New Roman"/>
                <w:sz w:val="20"/>
                <w:szCs w:val="24"/>
              </w:rPr>
            </w:pPr>
          </w:p>
        </w:tc>
        <w:tc>
          <w:tcPr>
            <w:tcW w:w="1276" w:type="dxa"/>
            <w:vAlign w:val="center"/>
          </w:tcPr>
          <w:p w14:paraId="4AEF6E53" w14:textId="77777777" w:rsidR="00EF68C5" w:rsidRPr="00DB28C3" w:rsidRDefault="00EF68C5" w:rsidP="007A2DF6">
            <w:pPr>
              <w:spacing w:before="120" w:after="120" w:line="276" w:lineRule="auto"/>
              <w:jc w:val="center"/>
              <w:rPr>
                <w:rFonts w:cs="Times New Roman"/>
                <w:sz w:val="20"/>
                <w:szCs w:val="24"/>
              </w:rPr>
            </w:pPr>
            <w:r w:rsidRPr="00DB28C3">
              <w:rPr>
                <w:rFonts w:cs="Times New Roman"/>
                <w:sz w:val="20"/>
                <w:szCs w:val="24"/>
              </w:rPr>
              <w:t>Atstāts spēkā SI lēmums</w:t>
            </w:r>
          </w:p>
        </w:tc>
        <w:tc>
          <w:tcPr>
            <w:tcW w:w="1559" w:type="dxa"/>
          </w:tcPr>
          <w:p w14:paraId="5E68349A" w14:textId="77777777" w:rsidR="00EF68C5" w:rsidRPr="00DB28C3" w:rsidRDefault="00EF68C5" w:rsidP="007A2DF6">
            <w:pPr>
              <w:spacing w:before="120" w:after="120" w:line="276" w:lineRule="auto"/>
              <w:jc w:val="center"/>
              <w:rPr>
                <w:rFonts w:cs="Times New Roman"/>
                <w:sz w:val="20"/>
                <w:szCs w:val="24"/>
              </w:rPr>
            </w:pPr>
            <w:r w:rsidRPr="00DB28C3">
              <w:rPr>
                <w:rFonts w:cs="Times New Roman"/>
                <w:sz w:val="20"/>
                <w:szCs w:val="24"/>
              </w:rPr>
              <w:t>Atgriezts atkārtotai izskatīšanai</w:t>
            </w:r>
          </w:p>
        </w:tc>
      </w:tr>
      <w:tr w:rsidR="00EF68C5" w:rsidRPr="00DB28C3" w14:paraId="4DBEE1E5" w14:textId="77777777" w:rsidTr="00781F28">
        <w:trPr>
          <w:trHeight w:val="545"/>
        </w:trPr>
        <w:tc>
          <w:tcPr>
            <w:tcW w:w="2830" w:type="dxa"/>
            <w:vAlign w:val="center"/>
          </w:tcPr>
          <w:p w14:paraId="27A071ED" w14:textId="77777777" w:rsidR="00EF68C5" w:rsidRPr="00DB28C3" w:rsidRDefault="00EF68C5" w:rsidP="007A2DF6">
            <w:pPr>
              <w:spacing w:before="120" w:after="120" w:line="276" w:lineRule="auto"/>
              <w:rPr>
                <w:rFonts w:cs="Times New Roman"/>
                <w:sz w:val="20"/>
                <w:szCs w:val="20"/>
              </w:rPr>
            </w:pPr>
            <w:r w:rsidRPr="00DB28C3">
              <w:rPr>
                <w:rFonts w:cs="Times New Roman"/>
                <w:sz w:val="20"/>
                <w:szCs w:val="20"/>
              </w:rPr>
              <w:t>5.6.2. Degradēto teritoriju atjaunošana</w:t>
            </w:r>
          </w:p>
        </w:tc>
        <w:tc>
          <w:tcPr>
            <w:tcW w:w="993" w:type="dxa"/>
            <w:vAlign w:val="center"/>
          </w:tcPr>
          <w:p w14:paraId="513F4CBD"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VARAM</w:t>
            </w:r>
          </w:p>
        </w:tc>
        <w:tc>
          <w:tcPr>
            <w:tcW w:w="1134" w:type="dxa"/>
            <w:vAlign w:val="center"/>
          </w:tcPr>
          <w:p w14:paraId="046FDEFB"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1</w:t>
            </w:r>
          </w:p>
        </w:tc>
        <w:tc>
          <w:tcPr>
            <w:tcW w:w="1134" w:type="dxa"/>
            <w:shd w:val="clear" w:color="auto" w:fill="D9D9D9" w:themeFill="background1" w:themeFillShade="D9"/>
            <w:vAlign w:val="center"/>
          </w:tcPr>
          <w:p w14:paraId="52CA0160"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0</w:t>
            </w:r>
          </w:p>
        </w:tc>
        <w:tc>
          <w:tcPr>
            <w:tcW w:w="1276" w:type="dxa"/>
            <w:vAlign w:val="center"/>
          </w:tcPr>
          <w:p w14:paraId="2AA39093"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1</w:t>
            </w:r>
          </w:p>
        </w:tc>
        <w:tc>
          <w:tcPr>
            <w:tcW w:w="1559" w:type="dxa"/>
            <w:vAlign w:val="center"/>
          </w:tcPr>
          <w:p w14:paraId="5FEE22EE"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0</w:t>
            </w:r>
          </w:p>
        </w:tc>
      </w:tr>
      <w:tr w:rsidR="00EF68C5" w:rsidRPr="00DB28C3" w14:paraId="1DE902ED" w14:textId="77777777" w:rsidTr="00781F28">
        <w:trPr>
          <w:trHeight w:val="626"/>
        </w:trPr>
        <w:tc>
          <w:tcPr>
            <w:tcW w:w="2830" w:type="dxa"/>
            <w:vAlign w:val="center"/>
          </w:tcPr>
          <w:p w14:paraId="2EECFB70" w14:textId="77777777" w:rsidR="00EF68C5" w:rsidRPr="00DB28C3" w:rsidRDefault="00EF68C5" w:rsidP="007A2DF6">
            <w:pPr>
              <w:spacing w:before="120" w:after="120" w:line="276" w:lineRule="auto"/>
              <w:rPr>
                <w:rFonts w:cs="Times New Roman"/>
                <w:sz w:val="20"/>
                <w:szCs w:val="20"/>
              </w:rPr>
            </w:pPr>
            <w:r w:rsidRPr="00DB28C3">
              <w:rPr>
                <w:rFonts w:cs="Times New Roman"/>
                <w:sz w:val="20"/>
                <w:szCs w:val="20"/>
              </w:rPr>
              <w:t>8.1.2. Vispārējās izglītības infrastruktūra</w:t>
            </w:r>
          </w:p>
        </w:tc>
        <w:tc>
          <w:tcPr>
            <w:tcW w:w="993" w:type="dxa"/>
            <w:vAlign w:val="center"/>
          </w:tcPr>
          <w:p w14:paraId="5476CB15"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IZM</w:t>
            </w:r>
          </w:p>
        </w:tc>
        <w:tc>
          <w:tcPr>
            <w:tcW w:w="1134" w:type="dxa"/>
            <w:vAlign w:val="center"/>
          </w:tcPr>
          <w:p w14:paraId="6C59C4D6"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1</w:t>
            </w:r>
          </w:p>
        </w:tc>
        <w:tc>
          <w:tcPr>
            <w:tcW w:w="1134" w:type="dxa"/>
            <w:shd w:val="clear" w:color="auto" w:fill="D9D9D9" w:themeFill="background1" w:themeFillShade="D9"/>
            <w:vAlign w:val="center"/>
          </w:tcPr>
          <w:p w14:paraId="4AE12846"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0</w:t>
            </w:r>
          </w:p>
        </w:tc>
        <w:tc>
          <w:tcPr>
            <w:tcW w:w="1276" w:type="dxa"/>
            <w:vAlign w:val="center"/>
          </w:tcPr>
          <w:p w14:paraId="3AD2D9E0"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1</w:t>
            </w:r>
          </w:p>
        </w:tc>
        <w:tc>
          <w:tcPr>
            <w:tcW w:w="1559" w:type="dxa"/>
            <w:vAlign w:val="center"/>
          </w:tcPr>
          <w:p w14:paraId="45FD350D"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0</w:t>
            </w:r>
          </w:p>
        </w:tc>
      </w:tr>
      <w:tr w:rsidR="00EF68C5" w:rsidRPr="00DB28C3" w14:paraId="6E8BCF23" w14:textId="77777777" w:rsidTr="00781F28">
        <w:trPr>
          <w:trHeight w:val="695"/>
        </w:trPr>
        <w:tc>
          <w:tcPr>
            <w:tcW w:w="2830" w:type="dxa"/>
            <w:tcBorders>
              <w:bottom w:val="single" w:sz="4" w:space="0" w:color="auto"/>
            </w:tcBorders>
            <w:vAlign w:val="center"/>
          </w:tcPr>
          <w:p w14:paraId="0F21F15A" w14:textId="77777777" w:rsidR="00EF68C5" w:rsidRPr="00DB28C3" w:rsidRDefault="00EF68C5" w:rsidP="007A2DF6">
            <w:pPr>
              <w:spacing w:before="120" w:after="120" w:line="276" w:lineRule="auto"/>
              <w:rPr>
                <w:rFonts w:cs="Times New Roman"/>
                <w:sz w:val="20"/>
                <w:szCs w:val="20"/>
              </w:rPr>
            </w:pPr>
            <w:r w:rsidRPr="00DB28C3">
              <w:rPr>
                <w:rFonts w:cs="Times New Roman"/>
                <w:sz w:val="20"/>
                <w:szCs w:val="20"/>
              </w:rPr>
              <w:t>3.4.2 Valsts pārvaldes profesionālā pilnveide un sociālā dialoga attīstība</w:t>
            </w:r>
          </w:p>
        </w:tc>
        <w:tc>
          <w:tcPr>
            <w:tcW w:w="993" w:type="dxa"/>
            <w:tcBorders>
              <w:bottom w:val="single" w:sz="4" w:space="0" w:color="auto"/>
            </w:tcBorders>
            <w:vAlign w:val="center"/>
          </w:tcPr>
          <w:p w14:paraId="2434C677"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VK</w:t>
            </w:r>
          </w:p>
        </w:tc>
        <w:tc>
          <w:tcPr>
            <w:tcW w:w="1134" w:type="dxa"/>
            <w:tcBorders>
              <w:bottom w:val="single" w:sz="4" w:space="0" w:color="auto"/>
            </w:tcBorders>
            <w:vAlign w:val="center"/>
          </w:tcPr>
          <w:p w14:paraId="17AE829F"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1</w:t>
            </w:r>
          </w:p>
        </w:tc>
        <w:tc>
          <w:tcPr>
            <w:tcW w:w="1134" w:type="dxa"/>
            <w:tcBorders>
              <w:bottom w:val="single" w:sz="4" w:space="0" w:color="auto"/>
            </w:tcBorders>
            <w:shd w:val="clear" w:color="auto" w:fill="D9D9D9" w:themeFill="background1" w:themeFillShade="D9"/>
            <w:vAlign w:val="center"/>
          </w:tcPr>
          <w:p w14:paraId="1CD5DADE"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0</w:t>
            </w:r>
          </w:p>
        </w:tc>
        <w:tc>
          <w:tcPr>
            <w:tcW w:w="1276" w:type="dxa"/>
            <w:tcBorders>
              <w:bottom w:val="single" w:sz="4" w:space="0" w:color="auto"/>
            </w:tcBorders>
            <w:vAlign w:val="center"/>
          </w:tcPr>
          <w:p w14:paraId="533A269A"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1</w:t>
            </w:r>
          </w:p>
        </w:tc>
        <w:tc>
          <w:tcPr>
            <w:tcW w:w="1559" w:type="dxa"/>
            <w:tcBorders>
              <w:bottom w:val="single" w:sz="4" w:space="0" w:color="auto"/>
            </w:tcBorders>
            <w:vAlign w:val="center"/>
          </w:tcPr>
          <w:p w14:paraId="78E7C55F" w14:textId="77777777" w:rsidR="00EF68C5" w:rsidRPr="00DB28C3" w:rsidRDefault="00EF68C5" w:rsidP="007A2DF6">
            <w:pPr>
              <w:spacing w:before="120" w:after="120" w:line="276" w:lineRule="auto"/>
              <w:jc w:val="center"/>
              <w:rPr>
                <w:rFonts w:cs="Times New Roman"/>
                <w:sz w:val="20"/>
                <w:szCs w:val="20"/>
              </w:rPr>
            </w:pPr>
            <w:r w:rsidRPr="00DB28C3">
              <w:rPr>
                <w:rFonts w:cs="Times New Roman"/>
                <w:sz w:val="20"/>
                <w:szCs w:val="20"/>
              </w:rPr>
              <w:t>0</w:t>
            </w:r>
          </w:p>
        </w:tc>
      </w:tr>
      <w:tr w:rsidR="00BF080D" w:rsidRPr="00DB28C3" w14:paraId="3359FCFE" w14:textId="77777777" w:rsidTr="00AB23F3">
        <w:trPr>
          <w:trHeight w:val="511"/>
        </w:trPr>
        <w:tc>
          <w:tcPr>
            <w:tcW w:w="2830" w:type="dxa"/>
            <w:tcBorders>
              <w:bottom w:val="single" w:sz="4" w:space="0" w:color="auto"/>
            </w:tcBorders>
            <w:vAlign w:val="center"/>
          </w:tcPr>
          <w:p w14:paraId="4AB45ADF" w14:textId="77777777" w:rsidR="00BF080D" w:rsidRPr="00DB28C3" w:rsidRDefault="00BF080D" w:rsidP="00AB23F3">
            <w:pPr>
              <w:spacing w:before="120" w:after="120" w:line="276" w:lineRule="auto"/>
              <w:rPr>
                <w:rFonts w:cs="Times New Roman"/>
                <w:sz w:val="20"/>
                <w:szCs w:val="20"/>
              </w:rPr>
            </w:pPr>
            <w:r w:rsidRPr="00DB28C3">
              <w:rPr>
                <w:rFonts w:cs="Times New Roman"/>
                <w:sz w:val="20"/>
                <w:szCs w:val="20"/>
              </w:rPr>
              <w:t>8.3.6.1 Dalība starptautiskos pētījumos</w:t>
            </w:r>
          </w:p>
        </w:tc>
        <w:tc>
          <w:tcPr>
            <w:tcW w:w="993" w:type="dxa"/>
            <w:tcBorders>
              <w:bottom w:val="single" w:sz="4" w:space="0" w:color="auto"/>
            </w:tcBorders>
            <w:vAlign w:val="center"/>
          </w:tcPr>
          <w:p w14:paraId="040F06BD"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IZM</w:t>
            </w:r>
          </w:p>
        </w:tc>
        <w:tc>
          <w:tcPr>
            <w:tcW w:w="1134" w:type="dxa"/>
            <w:tcBorders>
              <w:bottom w:val="single" w:sz="4" w:space="0" w:color="auto"/>
            </w:tcBorders>
            <w:vAlign w:val="center"/>
          </w:tcPr>
          <w:p w14:paraId="4F823F73"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1</w:t>
            </w:r>
          </w:p>
        </w:tc>
        <w:tc>
          <w:tcPr>
            <w:tcW w:w="1134" w:type="dxa"/>
            <w:tcBorders>
              <w:bottom w:val="single" w:sz="4" w:space="0" w:color="auto"/>
            </w:tcBorders>
            <w:shd w:val="clear" w:color="auto" w:fill="D9D9D9" w:themeFill="background1" w:themeFillShade="D9"/>
            <w:vAlign w:val="center"/>
          </w:tcPr>
          <w:p w14:paraId="52C900DC"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0</w:t>
            </w:r>
          </w:p>
        </w:tc>
        <w:tc>
          <w:tcPr>
            <w:tcW w:w="1276" w:type="dxa"/>
            <w:tcBorders>
              <w:bottom w:val="single" w:sz="4" w:space="0" w:color="auto"/>
            </w:tcBorders>
            <w:vAlign w:val="center"/>
          </w:tcPr>
          <w:p w14:paraId="0432C8D9"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1</w:t>
            </w:r>
          </w:p>
        </w:tc>
        <w:tc>
          <w:tcPr>
            <w:tcW w:w="1559" w:type="dxa"/>
            <w:tcBorders>
              <w:bottom w:val="single" w:sz="4" w:space="0" w:color="auto"/>
            </w:tcBorders>
            <w:vAlign w:val="center"/>
          </w:tcPr>
          <w:p w14:paraId="2B4FE6E7"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0</w:t>
            </w:r>
          </w:p>
        </w:tc>
      </w:tr>
      <w:tr w:rsidR="00BF080D" w:rsidRPr="00DB28C3" w14:paraId="7EA8B876" w14:textId="77777777" w:rsidTr="00AB23F3">
        <w:trPr>
          <w:trHeight w:val="720"/>
        </w:trPr>
        <w:tc>
          <w:tcPr>
            <w:tcW w:w="2830" w:type="dxa"/>
            <w:tcBorders>
              <w:bottom w:val="single" w:sz="4" w:space="0" w:color="auto"/>
            </w:tcBorders>
            <w:vAlign w:val="center"/>
          </w:tcPr>
          <w:p w14:paraId="1E4B6448" w14:textId="77777777" w:rsidR="00BF080D" w:rsidRPr="00DB28C3" w:rsidRDefault="00BF080D" w:rsidP="00AB23F3">
            <w:pPr>
              <w:spacing w:before="120" w:after="120" w:line="276" w:lineRule="auto"/>
              <w:rPr>
                <w:rFonts w:cs="Times New Roman"/>
                <w:sz w:val="20"/>
                <w:szCs w:val="20"/>
              </w:rPr>
            </w:pPr>
            <w:r w:rsidRPr="00DB28C3">
              <w:rPr>
                <w:rFonts w:cs="Times New Roman"/>
                <w:sz w:val="20"/>
                <w:szCs w:val="20"/>
              </w:rPr>
              <w:t>3.3.1. Publiskā infrastruktūra uzņēmējdarbībai</w:t>
            </w:r>
          </w:p>
        </w:tc>
        <w:tc>
          <w:tcPr>
            <w:tcW w:w="993" w:type="dxa"/>
            <w:tcBorders>
              <w:bottom w:val="single" w:sz="4" w:space="0" w:color="auto"/>
            </w:tcBorders>
            <w:vAlign w:val="center"/>
          </w:tcPr>
          <w:p w14:paraId="4D52E6FC"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VARAM</w:t>
            </w:r>
          </w:p>
        </w:tc>
        <w:tc>
          <w:tcPr>
            <w:tcW w:w="1134" w:type="dxa"/>
            <w:tcBorders>
              <w:bottom w:val="single" w:sz="4" w:space="0" w:color="auto"/>
            </w:tcBorders>
            <w:vAlign w:val="center"/>
          </w:tcPr>
          <w:p w14:paraId="007440AB"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1</w:t>
            </w:r>
          </w:p>
        </w:tc>
        <w:tc>
          <w:tcPr>
            <w:tcW w:w="1134" w:type="dxa"/>
            <w:tcBorders>
              <w:bottom w:val="single" w:sz="4" w:space="0" w:color="auto"/>
            </w:tcBorders>
            <w:shd w:val="clear" w:color="auto" w:fill="D9D9D9" w:themeFill="background1" w:themeFillShade="D9"/>
            <w:vAlign w:val="center"/>
          </w:tcPr>
          <w:p w14:paraId="06E1A1E9"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0</w:t>
            </w:r>
          </w:p>
        </w:tc>
        <w:tc>
          <w:tcPr>
            <w:tcW w:w="1276" w:type="dxa"/>
            <w:tcBorders>
              <w:bottom w:val="single" w:sz="4" w:space="0" w:color="auto"/>
            </w:tcBorders>
            <w:vAlign w:val="center"/>
          </w:tcPr>
          <w:p w14:paraId="190D2D8E"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1</w:t>
            </w:r>
          </w:p>
        </w:tc>
        <w:tc>
          <w:tcPr>
            <w:tcW w:w="1559" w:type="dxa"/>
            <w:tcBorders>
              <w:bottom w:val="single" w:sz="4" w:space="0" w:color="auto"/>
            </w:tcBorders>
            <w:vAlign w:val="center"/>
          </w:tcPr>
          <w:p w14:paraId="2999719F"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0</w:t>
            </w:r>
          </w:p>
        </w:tc>
      </w:tr>
      <w:tr w:rsidR="00BF080D" w:rsidRPr="00DB28C3" w14:paraId="4F5722ED" w14:textId="77777777" w:rsidTr="00AB23F3">
        <w:trPr>
          <w:trHeight w:val="279"/>
        </w:trPr>
        <w:tc>
          <w:tcPr>
            <w:tcW w:w="2830" w:type="dxa"/>
            <w:tcBorders>
              <w:bottom w:val="single" w:sz="4" w:space="0" w:color="auto"/>
            </w:tcBorders>
            <w:vAlign w:val="center"/>
          </w:tcPr>
          <w:p w14:paraId="29B98B4E" w14:textId="77777777" w:rsidR="00BF080D" w:rsidRPr="00DB28C3" w:rsidRDefault="00BF080D" w:rsidP="00AB23F3">
            <w:pPr>
              <w:spacing w:before="120" w:after="120" w:line="276" w:lineRule="auto"/>
              <w:rPr>
                <w:rFonts w:cs="Times New Roman"/>
                <w:sz w:val="20"/>
                <w:szCs w:val="20"/>
              </w:rPr>
            </w:pPr>
            <w:r w:rsidRPr="00DB28C3">
              <w:rPr>
                <w:rFonts w:cs="Times New Roman"/>
                <w:sz w:val="20"/>
                <w:szCs w:val="20"/>
              </w:rPr>
              <w:t>5.1.1. Plūdu risku samazināšana blīvi apdzīvotās teritorijās</w:t>
            </w:r>
          </w:p>
        </w:tc>
        <w:tc>
          <w:tcPr>
            <w:tcW w:w="993" w:type="dxa"/>
            <w:tcBorders>
              <w:bottom w:val="single" w:sz="4" w:space="0" w:color="auto"/>
            </w:tcBorders>
            <w:vAlign w:val="center"/>
          </w:tcPr>
          <w:p w14:paraId="4E21F7F1"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VARAM</w:t>
            </w:r>
          </w:p>
        </w:tc>
        <w:tc>
          <w:tcPr>
            <w:tcW w:w="1134" w:type="dxa"/>
            <w:tcBorders>
              <w:bottom w:val="single" w:sz="4" w:space="0" w:color="auto"/>
            </w:tcBorders>
            <w:vAlign w:val="center"/>
          </w:tcPr>
          <w:p w14:paraId="0831B2C5"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1</w:t>
            </w:r>
          </w:p>
        </w:tc>
        <w:tc>
          <w:tcPr>
            <w:tcW w:w="1134" w:type="dxa"/>
            <w:tcBorders>
              <w:bottom w:val="single" w:sz="4" w:space="0" w:color="auto"/>
            </w:tcBorders>
            <w:shd w:val="clear" w:color="auto" w:fill="D9D9D9" w:themeFill="background1" w:themeFillShade="D9"/>
            <w:vAlign w:val="center"/>
          </w:tcPr>
          <w:p w14:paraId="75A3D75A"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0</w:t>
            </w:r>
          </w:p>
        </w:tc>
        <w:tc>
          <w:tcPr>
            <w:tcW w:w="1276" w:type="dxa"/>
            <w:tcBorders>
              <w:bottom w:val="single" w:sz="4" w:space="0" w:color="auto"/>
            </w:tcBorders>
            <w:vAlign w:val="center"/>
          </w:tcPr>
          <w:p w14:paraId="298982D8"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1</w:t>
            </w:r>
          </w:p>
        </w:tc>
        <w:tc>
          <w:tcPr>
            <w:tcW w:w="1559" w:type="dxa"/>
            <w:tcBorders>
              <w:bottom w:val="single" w:sz="4" w:space="0" w:color="auto"/>
            </w:tcBorders>
            <w:vAlign w:val="center"/>
          </w:tcPr>
          <w:p w14:paraId="1B6D68B8"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0</w:t>
            </w:r>
          </w:p>
        </w:tc>
      </w:tr>
      <w:tr w:rsidR="00BF080D" w:rsidRPr="00DB28C3" w14:paraId="265669FD" w14:textId="77777777" w:rsidTr="00AB23F3">
        <w:trPr>
          <w:trHeight w:val="552"/>
        </w:trPr>
        <w:tc>
          <w:tcPr>
            <w:tcW w:w="2830" w:type="dxa"/>
            <w:tcBorders>
              <w:bottom w:val="single" w:sz="4" w:space="0" w:color="auto"/>
            </w:tcBorders>
            <w:vAlign w:val="center"/>
          </w:tcPr>
          <w:p w14:paraId="5CE3ADE5" w14:textId="77777777" w:rsidR="00BF080D" w:rsidRPr="00DB28C3" w:rsidRDefault="00BF080D" w:rsidP="00AB23F3">
            <w:pPr>
              <w:spacing w:before="120" w:after="120" w:line="276" w:lineRule="auto"/>
              <w:rPr>
                <w:rFonts w:cs="Times New Roman"/>
                <w:sz w:val="20"/>
                <w:szCs w:val="20"/>
              </w:rPr>
            </w:pPr>
            <w:r w:rsidRPr="00DB28C3">
              <w:rPr>
                <w:rFonts w:cs="Times New Roman"/>
                <w:sz w:val="20"/>
                <w:szCs w:val="20"/>
              </w:rPr>
              <w:t>4.2.2. Pašvaldību ēku energoefektivitāte</w:t>
            </w:r>
          </w:p>
        </w:tc>
        <w:tc>
          <w:tcPr>
            <w:tcW w:w="993" w:type="dxa"/>
            <w:tcBorders>
              <w:bottom w:val="single" w:sz="4" w:space="0" w:color="auto"/>
            </w:tcBorders>
            <w:vAlign w:val="center"/>
          </w:tcPr>
          <w:p w14:paraId="25931531"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VARAM</w:t>
            </w:r>
          </w:p>
        </w:tc>
        <w:tc>
          <w:tcPr>
            <w:tcW w:w="1134" w:type="dxa"/>
            <w:tcBorders>
              <w:bottom w:val="single" w:sz="4" w:space="0" w:color="auto"/>
            </w:tcBorders>
            <w:vAlign w:val="center"/>
          </w:tcPr>
          <w:p w14:paraId="16A0BAF7"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1</w:t>
            </w:r>
          </w:p>
        </w:tc>
        <w:tc>
          <w:tcPr>
            <w:tcW w:w="1134" w:type="dxa"/>
            <w:tcBorders>
              <w:bottom w:val="single" w:sz="4" w:space="0" w:color="auto"/>
            </w:tcBorders>
            <w:shd w:val="clear" w:color="auto" w:fill="D9D9D9" w:themeFill="background1" w:themeFillShade="D9"/>
            <w:vAlign w:val="center"/>
          </w:tcPr>
          <w:p w14:paraId="2F31581E"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0</w:t>
            </w:r>
          </w:p>
        </w:tc>
        <w:tc>
          <w:tcPr>
            <w:tcW w:w="1276" w:type="dxa"/>
            <w:tcBorders>
              <w:bottom w:val="single" w:sz="4" w:space="0" w:color="auto"/>
            </w:tcBorders>
            <w:vAlign w:val="center"/>
          </w:tcPr>
          <w:p w14:paraId="130E4E31"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1</w:t>
            </w:r>
          </w:p>
        </w:tc>
        <w:tc>
          <w:tcPr>
            <w:tcW w:w="1559" w:type="dxa"/>
            <w:tcBorders>
              <w:bottom w:val="single" w:sz="4" w:space="0" w:color="auto"/>
            </w:tcBorders>
            <w:vAlign w:val="center"/>
          </w:tcPr>
          <w:p w14:paraId="26DA78BB"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0</w:t>
            </w:r>
          </w:p>
        </w:tc>
      </w:tr>
      <w:tr w:rsidR="00BF080D" w:rsidRPr="00DB28C3" w14:paraId="53B9D0CC" w14:textId="77777777" w:rsidTr="00AB23F3">
        <w:trPr>
          <w:trHeight w:val="365"/>
        </w:trPr>
        <w:tc>
          <w:tcPr>
            <w:tcW w:w="2830" w:type="dxa"/>
            <w:tcBorders>
              <w:top w:val="single" w:sz="4" w:space="0" w:color="auto"/>
              <w:left w:val="nil"/>
              <w:bottom w:val="nil"/>
              <w:right w:val="nil"/>
            </w:tcBorders>
            <w:vAlign w:val="center"/>
          </w:tcPr>
          <w:p w14:paraId="5C2CD065" w14:textId="77777777" w:rsidR="00BF080D" w:rsidRPr="00DB28C3" w:rsidRDefault="00BF080D" w:rsidP="00AB23F3">
            <w:pPr>
              <w:spacing w:before="120" w:after="120" w:line="276" w:lineRule="auto"/>
              <w:rPr>
                <w:rFonts w:cs="Times New Roman"/>
                <w:sz w:val="20"/>
                <w:szCs w:val="20"/>
              </w:rPr>
            </w:pPr>
          </w:p>
        </w:tc>
        <w:tc>
          <w:tcPr>
            <w:tcW w:w="993" w:type="dxa"/>
            <w:tcBorders>
              <w:top w:val="single" w:sz="4" w:space="0" w:color="auto"/>
              <w:left w:val="nil"/>
              <w:bottom w:val="nil"/>
              <w:right w:val="nil"/>
            </w:tcBorders>
            <w:vAlign w:val="center"/>
          </w:tcPr>
          <w:p w14:paraId="3E43A974" w14:textId="77777777" w:rsidR="00BF080D" w:rsidRPr="00DB28C3" w:rsidRDefault="00BF080D" w:rsidP="00AB23F3">
            <w:pPr>
              <w:spacing w:before="120" w:after="120" w:line="276" w:lineRule="auto"/>
              <w:rPr>
                <w:rFonts w:cs="Times New Roman"/>
                <w:sz w:val="20"/>
                <w:szCs w:val="20"/>
              </w:rPr>
            </w:pPr>
          </w:p>
        </w:tc>
        <w:tc>
          <w:tcPr>
            <w:tcW w:w="1134" w:type="dxa"/>
            <w:tcBorders>
              <w:top w:val="single" w:sz="4" w:space="0" w:color="auto"/>
              <w:left w:val="single" w:sz="12" w:space="0" w:color="auto"/>
              <w:bottom w:val="single" w:sz="12" w:space="0" w:color="auto"/>
              <w:right w:val="single" w:sz="12" w:space="0" w:color="auto"/>
            </w:tcBorders>
            <w:vAlign w:val="center"/>
          </w:tcPr>
          <w:p w14:paraId="44C89D29"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7</w:t>
            </w:r>
          </w:p>
        </w:tc>
        <w:tc>
          <w:tcPr>
            <w:tcW w:w="1134" w:type="dxa"/>
            <w:tcBorders>
              <w:top w:val="single" w:sz="4" w:space="0" w:color="auto"/>
              <w:left w:val="single" w:sz="12" w:space="0" w:color="auto"/>
              <w:bottom w:val="single" w:sz="12" w:space="0" w:color="auto"/>
              <w:right w:val="single" w:sz="12" w:space="0" w:color="auto"/>
            </w:tcBorders>
            <w:shd w:val="clear" w:color="auto" w:fill="D9D9D9" w:themeFill="background1" w:themeFillShade="D9"/>
            <w:vAlign w:val="center"/>
          </w:tcPr>
          <w:p w14:paraId="5F41F573"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0</w:t>
            </w:r>
          </w:p>
        </w:tc>
        <w:tc>
          <w:tcPr>
            <w:tcW w:w="1276" w:type="dxa"/>
            <w:tcBorders>
              <w:top w:val="single" w:sz="4" w:space="0" w:color="auto"/>
              <w:left w:val="single" w:sz="12" w:space="0" w:color="auto"/>
              <w:bottom w:val="single" w:sz="12" w:space="0" w:color="auto"/>
              <w:right w:val="single" w:sz="12" w:space="0" w:color="auto"/>
            </w:tcBorders>
            <w:vAlign w:val="center"/>
          </w:tcPr>
          <w:p w14:paraId="00722887"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7</w:t>
            </w:r>
          </w:p>
        </w:tc>
        <w:tc>
          <w:tcPr>
            <w:tcW w:w="1559" w:type="dxa"/>
            <w:tcBorders>
              <w:top w:val="single" w:sz="4" w:space="0" w:color="auto"/>
              <w:left w:val="single" w:sz="12" w:space="0" w:color="auto"/>
              <w:bottom w:val="single" w:sz="12" w:space="0" w:color="auto"/>
              <w:right w:val="single" w:sz="12" w:space="0" w:color="auto"/>
            </w:tcBorders>
            <w:vAlign w:val="center"/>
          </w:tcPr>
          <w:p w14:paraId="36897E2A" w14:textId="77777777" w:rsidR="00BF080D" w:rsidRPr="00DB28C3" w:rsidRDefault="00BF080D" w:rsidP="00AB23F3">
            <w:pPr>
              <w:spacing w:before="120" w:after="120" w:line="276" w:lineRule="auto"/>
              <w:jc w:val="center"/>
              <w:rPr>
                <w:rFonts w:cs="Times New Roman"/>
                <w:sz w:val="20"/>
                <w:szCs w:val="20"/>
              </w:rPr>
            </w:pPr>
            <w:r w:rsidRPr="00DB28C3">
              <w:rPr>
                <w:rFonts w:cs="Times New Roman"/>
                <w:sz w:val="20"/>
                <w:szCs w:val="20"/>
              </w:rPr>
              <w:t>0</w:t>
            </w:r>
          </w:p>
        </w:tc>
      </w:tr>
    </w:tbl>
    <w:p w14:paraId="318DDC0E" w14:textId="3BC45146" w:rsidR="002D2F24" w:rsidRDefault="00EF68C5" w:rsidP="00D50707">
      <w:pPr>
        <w:spacing w:before="120" w:after="120" w:line="276" w:lineRule="auto"/>
        <w:ind w:firstLine="709"/>
        <w:jc w:val="both"/>
        <w:rPr>
          <w:sz w:val="28"/>
          <w:szCs w:val="28"/>
        </w:rPr>
      </w:pPr>
      <w:r w:rsidRPr="00DB28C3">
        <w:rPr>
          <w:sz w:val="28"/>
          <w:szCs w:val="28"/>
        </w:rPr>
        <w:lastRenderedPageBreak/>
        <w:t>Apstrīdēšanas procesa ietvaros nav konstatēti pārkāpumi CFLA darbībā - SI pieņemtie lēmumi ir tiesiski un pamatoti.</w:t>
      </w:r>
      <w:bookmarkEnd w:id="12"/>
    </w:p>
    <w:p w14:paraId="3BF03E7A" w14:textId="0E589C7A" w:rsidR="008A6570" w:rsidRPr="00DB28C3" w:rsidRDefault="008A6570" w:rsidP="008A6570">
      <w:pPr>
        <w:spacing w:before="120" w:after="120" w:line="276" w:lineRule="auto"/>
        <w:ind w:firstLine="709"/>
        <w:jc w:val="both"/>
        <w:rPr>
          <w:rFonts w:eastAsia="Calibri" w:cs="Times New Roman"/>
          <w:b/>
          <w:sz w:val="28"/>
          <w:szCs w:val="28"/>
        </w:rPr>
      </w:pPr>
      <w:r w:rsidRPr="00DB28C3">
        <w:rPr>
          <w:rFonts w:eastAsia="Calibri" w:cs="Times New Roman"/>
          <w:b/>
          <w:sz w:val="28"/>
          <w:szCs w:val="28"/>
        </w:rPr>
        <w:t>EEZ/Norvēģijas finanšu instrumentu 2009.-2014. gada perioda atmak</w:t>
      </w:r>
      <w:r w:rsidR="003A4199">
        <w:rPr>
          <w:rFonts w:eastAsia="Calibri" w:cs="Times New Roman"/>
          <w:b/>
          <w:sz w:val="28"/>
          <w:szCs w:val="28"/>
        </w:rPr>
        <w:t>s</w:t>
      </w:r>
      <w:r w:rsidR="00FE22B7">
        <w:rPr>
          <w:rFonts w:eastAsia="Calibri" w:cs="Times New Roman"/>
          <w:b/>
          <w:sz w:val="28"/>
          <w:szCs w:val="28"/>
        </w:rPr>
        <w:t>a</w:t>
      </w:r>
      <w:r w:rsidRPr="00DB28C3">
        <w:rPr>
          <w:rFonts w:eastAsia="Calibri" w:cs="Times New Roman"/>
          <w:b/>
          <w:sz w:val="28"/>
          <w:szCs w:val="28"/>
        </w:rPr>
        <w:t xml:space="preserve">s </w:t>
      </w:r>
      <w:proofErr w:type="spellStart"/>
      <w:r w:rsidRPr="00DB28C3">
        <w:rPr>
          <w:rFonts w:eastAsia="Calibri" w:cs="Times New Roman"/>
          <w:b/>
          <w:sz w:val="28"/>
          <w:szCs w:val="28"/>
        </w:rPr>
        <w:t>donorvalstīm</w:t>
      </w:r>
      <w:proofErr w:type="spellEnd"/>
    </w:p>
    <w:p w14:paraId="7333C2D8" w14:textId="232D0ECB" w:rsidR="00FE22B7" w:rsidRPr="00DB28C3" w:rsidRDefault="00FE22B7" w:rsidP="007C36A9">
      <w:pPr>
        <w:spacing w:before="120" w:after="120" w:line="276" w:lineRule="auto"/>
        <w:ind w:firstLine="709"/>
        <w:jc w:val="both"/>
        <w:rPr>
          <w:rStyle w:val="Strong"/>
          <w:rFonts w:eastAsia="Calibri" w:cs="Times New Roman"/>
          <w:b w:val="0"/>
          <w:bCs w:val="0"/>
          <w:iCs/>
          <w:sz w:val="28"/>
          <w:szCs w:val="28"/>
        </w:rPr>
      </w:pPr>
      <w:r w:rsidRPr="00DB28C3">
        <w:rPr>
          <w:rFonts w:eastAsia="Calibri" w:cs="Times New Roman"/>
          <w:iCs/>
          <w:sz w:val="28"/>
          <w:szCs w:val="28"/>
        </w:rPr>
        <w:t xml:space="preserve">Pārskata periodā </w:t>
      </w:r>
      <w:r w:rsidRPr="00DB28C3">
        <w:rPr>
          <w:rFonts w:cs="Times New Roman"/>
          <w:sz w:val="28"/>
          <w:szCs w:val="28"/>
        </w:rPr>
        <w:t>EEZ/Norvēģijas</w:t>
      </w:r>
      <w:r w:rsidRPr="00DB28C3">
        <w:rPr>
          <w:rFonts w:eastAsia="Calibri" w:cs="Times New Roman"/>
          <w:iCs/>
          <w:sz w:val="28"/>
          <w:szCs w:val="28"/>
        </w:rPr>
        <w:t xml:space="preserve"> 2009. - 2014. gada programmās nav konstatētas neattiecināmās izmaksas</w:t>
      </w:r>
      <w:r w:rsidR="00B73256">
        <w:rPr>
          <w:rStyle w:val="FootnoteReference"/>
          <w:rFonts w:eastAsia="Calibri" w:cs="Times New Roman"/>
          <w:iCs/>
          <w:sz w:val="28"/>
          <w:szCs w:val="28"/>
        </w:rPr>
        <w:footnoteReference w:id="24"/>
      </w:r>
      <w:r w:rsidRPr="00DB28C3">
        <w:rPr>
          <w:rFonts w:eastAsia="Calibri" w:cs="Times New Roman"/>
          <w:iCs/>
          <w:sz w:val="28"/>
          <w:szCs w:val="28"/>
        </w:rPr>
        <w:t>.</w:t>
      </w:r>
    </w:p>
    <w:p w14:paraId="0C3D85E5" w14:textId="4EB1CC1A" w:rsidR="008A6570" w:rsidRDefault="008A6570" w:rsidP="00A93A46">
      <w:pPr>
        <w:spacing w:before="120" w:after="120" w:line="276" w:lineRule="auto"/>
        <w:ind w:firstLine="709"/>
        <w:jc w:val="both"/>
        <w:rPr>
          <w:rFonts w:eastAsia="Calibri" w:cs="Times New Roman"/>
          <w:sz w:val="28"/>
          <w:szCs w:val="28"/>
        </w:rPr>
      </w:pPr>
      <w:r w:rsidRPr="00DB28C3">
        <w:rPr>
          <w:rFonts w:eastAsia="Calibri" w:cs="Times New Roman"/>
          <w:sz w:val="28"/>
          <w:szCs w:val="28"/>
        </w:rPr>
        <w:t xml:space="preserve">Saskaņā ar </w:t>
      </w:r>
      <w:r w:rsidR="00520C0D" w:rsidRPr="00204057">
        <w:rPr>
          <w:rFonts w:eastAsia="Calibri" w:cs="Times New Roman"/>
          <w:sz w:val="28"/>
          <w:szCs w:val="28"/>
        </w:rPr>
        <w:t xml:space="preserve">MK </w:t>
      </w:r>
      <w:r w:rsidR="00204057" w:rsidRPr="00204057">
        <w:rPr>
          <w:rFonts w:eastAsia="Calibri" w:cs="Times New Roman"/>
          <w:sz w:val="28"/>
          <w:szCs w:val="28"/>
        </w:rPr>
        <w:t>noteikum</w:t>
      </w:r>
      <w:r w:rsidR="00A93A46">
        <w:rPr>
          <w:rFonts w:eastAsia="Calibri" w:cs="Times New Roman"/>
          <w:sz w:val="28"/>
          <w:szCs w:val="28"/>
        </w:rPr>
        <w:t>u</w:t>
      </w:r>
      <w:r w:rsidR="00AD3439">
        <w:rPr>
          <w:rFonts w:eastAsia="Calibri" w:cs="Times New Roman"/>
          <w:sz w:val="28"/>
          <w:szCs w:val="28"/>
        </w:rPr>
        <w:t xml:space="preserve"> </w:t>
      </w:r>
      <w:r w:rsidR="00204057" w:rsidRPr="00204057">
        <w:rPr>
          <w:rFonts w:eastAsia="Calibri" w:cs="Times New Roman"/>
          <w:sz w:val="28"/>
          <w:szCs w:val="28"/>
        </w:rPr>
        <w:t>Nr. 67</w:t>
      </w:r>
      <w:r w:rsidR="00520C0D">
        <w:rPr>
          <w:rFonts w:eastAsia="Calibri" w:cs="Times New Roman"/>
          <w:sz w:val="28"/>
          <w:szCs w:val="28"/>
        </w:rPr>
        <w:t xml:space="preserve"> </w:t>
      </w:r>
      <w:r w:rsidRPr="00DB28C3">
        <w:rPr>
          <w:rFonts w:eastAsia="Calibri" w:cs="Times New Roman"/>
          <w:sz w:val="28"/>
          <w:szCs w:val="28"/>
        </w:rPr>
        <w:t>59.</w:t>
      </w:r>
      <w:r w:rsidR="00015B93">
        <w:rPr>
          <w:rFonts w:eastAsia="Calibri" w:cs="Times New Roman"/>
          <w:sz w:val="28"/>
          <w:szCs w:val="28"/>
        </w:rPr>
        <w:t xml:space="preserve"> </w:t>
      </w:r>
      <w:r w:rsidRPr="00DB28C3">
        <w:rPr>
          <w:rFonts w:eastAsia="Calibri" w:cs="Times New Roman"/>
          <w:sz w:val="28"/>
          <w:szCs w:val="28"/>
        </w:rPr>
        <w:t xml:space="preserve">punktu </w:t>
      </w:r>
      <w:r w:rsidR="00AD67B8" w:rsidRPr="00DB28C3">
        <w:rPr>
          <w:rFonts w:eastAsia="Calibri" w:cs="Times New Roman"/>
          <w:sz w:val="28"/>
          <w:szCs w:val="28"/>
        </w:rPr>
        <w:t xml:space="preserve">FM </w:t>
      </w:r>
      <w:r w:rsidRPr="00DB28C3">
        <w:rPr>
          <w:rFonts w:eastAsia="Calibri" w:cs="Times New Roman"/>
          <w:sz w:val="28"/>
          <w:szCs w:val="28"/>
        </w:rPr>
        <w:t xml:space="preserve">informē par nepieciešamību novirzīt </w:t>
      </w:r>
      <w:r w:rsidR="00A93A46" w:rsidRPr="00DB28C3">
        <w:rPr>
          <w:color w:val="000000" w:themeColor="text1"/>
          <w:sz w:val="28"/>
          <w:szCs w:val="28"/>
        </w:rPr>
        <w:t>1 204</w:t>
      </w:r>
      <w:r w:rsidR="00A93A46">
        <w:rPr>
          <w:color w:val="000000" w:themeColor="text1"/>
          <w:sz w:val="28"/>
          <w:szCs w:val="28"/>
        </w:rPr>
        <w:t> </w:t>
      </w:r>
      <w:r w:rsidR="00A93A46" w:rsidRPr="00DB28C3">
        <w:rPr>
          <w:color w:val="000000" w:themeColor="text1"/>
          <w:sz w:val="28"/>
          <w:szCs w:val="28"/>
        </w:rPr>
        <w:t>150 </w:t>
      </w:r>
      <w:proofErr w:type="spellStart"/>
      <w:r w:rsidR="0040427B" w:rsidRPr="00DB28C3">
        <w:rPr>
          <w:rFonts w:eastAsia="Calibri" w:cs="Times New Roman"/>
          <w:i/>
          <w:sz w:val="28"/>
          <w:szCs w:val="28"/>
        </w:rPr>
        <w:t>euro</w:t>
      </w:r>
      <w:proofErr w:type="spellEnd"/>
      <w:r w:rsidR="0040427B" w:rsidRPr="00DB28C3">
        <w:rPr>
          <w:rFonts w:eastAsia="Calibri" w:cs="Times New Roman"/>
          <w:sz w:val="28"/>
          <w:szCs w:val="28"/>
        </w:rPr>
        <w:t xml:space="preserve"> (finanšu instrumenta daļa) </w:t>
      </w:r>
      <w:r w:rsidRPr="00DB28C3">
        <w:rPr>
          <w:rFonts w:eastAsia="Calibri" w:cs="Times New Roman"/>
          <w:sz w:val="28"/>
          <w:szCs w:val="28"/>
        </w:rPr>
        <w:t xml:space="preserve">valsts budžeta līdzekļu atmaksas nodrošināšanai </w:t>
      </w:r>
      <w:proofErr w:type="spellStart"/>
      <w:r w:rsidR="00D8484A">
        <w:rPr>
          <w:rFonts w:eastAsia="Calibri" w:cs="Times New Roman"/>
          <w:sz w:val="28"/>
          <w:szCs w:val="28"/>
        </w:rPr>
        <w:t>donorvalstīm</w:t>
      </w:r>
      <w:proofErr w:type="spellEnd"/>
      <w:r w:rsidR="00D8484A" w:rsidRPr="00DB28C3">
        <w:rPr>
          <w:rFonts w:eastAsia="Calibri" w:cs="Times New Roman"/>
          <w:sz w:val="28"/>
          <w:szCs w:val="28"/>
        </w:rPr>
        <w:t xml:space="preserve"> </w:t>
      </w:r>
      <w:r w:rsidR="00AD67B8" w:rsidRPr="00DB28C3">
        <w:rPr>
          <w:rFonts w:eastAsia="Calibri" w:cs="Times New Roman"/>
          <w:sz w:val="28"/>
          <w:szCs w:val="28"/>
        </w:rPr>
        <w:t xml:space="preserve">par </w:t>
      </w:r>
      <w:r w:rsidRPr="00DB28C3">
        <w:rPr>
          <w:rFonts w:eastAsia="Calibri" w:cs="Times New Roman"/>
          <w:sz w:val="28"/>
          <w:szCs w:val="28"/>
        </w:rPr>
        <w:t xml:space="preserve">KM </w:t>
      </w:r>
      <w:r w:rsidR="00AD67B8" w:rsidRPr="00DB28C3">
        <w:rPr>
          <w:rFonts w:eastAsia="Calibri" w:cs="Times New Roman"/>
          <w:sz w:val="28"/>
          <w:szCs w:val="28"/>
        </w:rPr>
        <w:t xml:space="preserve">EEZ </w:t>
      </w:r>
      <w:r w:rsidRPr="00DB28C3">
        <w:rPr>
          <w:rFonts w:eastAsia="Calibri" w:cs="Times New Roman"/>
          <w:sz w:val="28"/>
          <w:szCs w:val="28"/>
        </w:rPr>
        <w:t>programmā “Kultūras un dabas mantojuma saglabāšana un atjaunināšana”</w:t>
      </w:r>
      <w:r w:rsidR="00AD67B8" w:rsidRPr="00DB28C3">
        <w:rPr>
          <w:rFonts w:eastAsia="Calibri" w:cs="Times New Roman"/>
          <w:sz w:val="28"/>
          <w:szCs w:val="28"/>
        </w:rPr>
        <w:t xml:space="preserve"> neizmantoto </w:t>
      </w:r>
      <w:r w:rsidR="00096354" w:rsidRPr="00DB28C3">
        <w:rPr>
          <w:color w:val="000000" w:themeColor="text1"/>
          <w:sz w:val="28"/>
          <w:szCs w:val="28"/>
        </w:rPr>
        <w:t>1 204 150 </w:t>
      </w:r>
      <w:proofErr w:type="spellStart"/>
      <w:r w:rsidR="00096354" w:rsidRPr="00DB28C3">
        <w:rPr>
          <w:i/>
          <w:color w:val="000000" w:themeColor="text1"/>
          <w:sz w:val="28"/>
          <w:szCs w:val="28"/>
        </w:rPr>
        <w:t>euro</w:t>
      </w:r>
      <w:proofErr w:type="spellEnd"/>
      <w:r w:rsidRPr="00DB28C3">
        <w:rPr>
          <w:rFonts w:eastAsia="Calibri" w:cs="Times New Roman"/>
          <w:sz w:val="28"/>
          <w:szCs w:val="28"/>
        </w:rPr>
        <w:t>. Programmas ietvaros 2013.</w:t>
      </w:r>
      <w:r w:rsidR="007E471A" w:rsidRPr="00DB28C3">
        <w:rPr>
          <w:rFonts w:eastAsia="Calibri" w:cs="Times New Roman"/>
          <w:sz w:val="28"/>
          <w:szCs w:val="28"/>
        </w:rPr>
        <w:t xml:space="preserve"> </w:t>
      </w:r>
      <w:r w:rsidRPr="00DB28C3">
        <w:rPr>
          <w:rFonts w:eastAsia="Calibri" w:cs="Times New Roman"/>
          <w:sz w:val="28"/>
          <w:szCs w:val="28"/>
        </w:rPr>
        <w:t>gada decembrī tika uzsākta Rakstnie</w:t>
      </w:r>
      <w:r w:rsidR="006A5A45" w:rsidRPr="00DB28C3">
        <w:rPr>
          <w:rFonts w:eastAsia="Calibri" w:cs="Times New Roman"/>
          <w:sz w:val="28"/>
          <w:szCs w:val="28"/>
        </w:rPr>
        <w:t>cības un mūzikas muzeja projekta</w:t>
      </w:r>
      <w:r w:rsidRPr="00DB28C3">
        <w:rPr>
          <w:rFonts w:eastAsia="Calibri" w:cs="Times New Roman"/>
          <w:sz w:val="28"/>
          <w:szCs w:val="28"/>
        </w:rPr>
        <w:t xml:space="preserve"> īstenošana un daļa no izdevumiem tika nodeklarēti FIB un saņemtas atmaksas no FIB, kas tālāk tika ieskaitītas valsts budžeta ieņēmumos. Ņemot vērā, ka Rakstniecības un mūzikas </w:t>
      </w:r>
      <w:r w:rsidR="00735160" w:rsidRPr="00DB28C3">
        <w:rPr>
          <w:rFonts w:eastAsia="Calibri" w:cs="Times New Roman"/>
          <w:sz w:val="28"/>
          <w:szCs w:val="28"/>
        </w:rPr>
        <w:t>muzeja projekts tika pārtraukts</w:t>
      </w:r>
      <w:r w:rsidRPr="00DB28C3">
        <w:rPr>
          <w:rFonts w:eastAsia="Calibri" w:cs="Times New Roman"/>
          <w:sz w:val="28"/>
          <w:szCs w:val="28"/>
        </w:rPr>
        <w:t xml:space="preserve"> dēļ sarežģījumiem gan iepirkumos, gan būvniecības procesā</w:t>
      </w:r>
      <w:r w:rsidRPr="00DB28C3">
        <w:rPr>
          <w:rStyle w:val="FootnoteReference"/>
          <w:rFonts w:eastAsia="Calibri" w:cs="Times New Roman"/>
          <w:sz w:val="28"/>
          <w:szCs w:val="28"/>
        </w:rPr>
        <w:footnoteReference w:id="25"/>
      </w:r>
      <w:r w:rsidRPr="00DB28C3">
        <w:rPr>
          <w:rFonts w:eastAsia="Calibri" w:cs="Times New Roman"/>
          <w:sz w:val="28"/>
          <w:szCs w:val="28"/>
        </w:rPr>
        <w:t>, projekta īstenotājs</w:t>
      </w:r>
      <w:r w:rsidR="00433418" w:rsidRPr="00DB28C3">
        <w:rPr>
          <w:rFonts w:eastAsia="Calibri" w:cs="Times New Roman"/>
          <w:sz w:val="28"/>
          <w:szCs w:val="28"/>
        </w:rPr>
        <w:t xml:space="preserve"> -</w:t>
      </w:r>
      <w:r w:rsidRPr="00DB28C3">
        <w:rPr>
          <w:rFonts w:eastAsia="Calibri" w:cs="Times New Roman"/>
          <w:sz w:val="28"/>
          <w:szCs w:val="28"/>
        </w:rPr>
        <w:t xml:space="preserve"> VAS "Valsts nekustamie īpašumi” </w:t>
      </w:r>
      <w:r w:rsidR="00433418" w:rsidRPr="00DB28C3">
        <w:rPr>
          <w:rFonts w:eastAsia="Calibri" w:cs="Times New Roman"/>
          <w:sz w:val="28"/>
          <w:szCs w:val="28"/>
        </w:rPr>
        <w:t xml:space="preserve">- </w:t>
      </w:r>
      <w:r w:rsidRPr="00DB28C3">
        <w:rPr>
          <w:rFonts w:eastAsia="Calibri" w:cs="Times New Roman"/>
          <w:sz w:val="28"/>
          <w:szCs w:val="28"/>
        </w:rPr>
        <w:t>līdz 2017.</w:t>
      </w:r>
      <w:r w:rsidR="00F80039" w:rsidRPr="00DB28C3">
        <w:rPr>
          <w:rFonts w:eastAsia="Calibri" w:cs="Times New Roman"/>
          <w:sz w:val="28"/>
          <w:szCs w:val="28"/>
        </w:rPr>
        <w:t xml:space="preserve"> </w:t>
      </w:r>
      <w:r w:rsidRPr="00DB28C3">
        <w:rPr>
          <w:rFonts w:eastAsia="Calibri" w:cs="Times New Roman"/>
          <w:sz w:val="28"/>
          <w:szCs w:val="28"/>
        </w:rPr>
        <w:t>gada 22.</w:t>
      </w:r>
      <w:r w:rsidR="00F80039" w:rsidRPr="00DB28C3">
        <w:rPr>
          <w:rFonts w:eastAsia="Calibri" w:cs="Times New Roman"/>
          <w:sz w:val="28"/>
          <w:szCs w:val="28"/>
        </w:rPr>
        <w:t xml:space="preserve"> </w:t>
      </w:r>
      <w:r w:rsidRPr="00DB28C3">
        <w:rPr>
          <w:rFonts w:eastAsia="Calibri" w:cs="Times New Roman"/>
          <w:sz w:val="28"/>
          <w:szCs w:val="28"/>
        </w:rPr>
        <w:t>decembrim atmaksāja KM visu saņemto Rakstniecības un mūzi</w:t>
      </w:r>
      <w:r w:rsidR="00735160" w:rsidRPr="00DB28C3">
        <w:rPr>
          <w:rFonts w:eastAsia="Calibri" w:cs="Times New Roman"/>
          <w:sz w:val="28"/>
          <w:szCs w:val="28"/>
        </w:rPr>
        <w:t>kas muzeja projekta finansējumu 1,7 milj. </w:t>
      </w:r>
      <w:proofErr w:type="spellStart"/>
      <w:r w:rsidRPr="00DB28C3">
        <w:rPr>
          <w:rFonts w:eastAsia="Calibri" w:cs="Times New Roman"/>
          <w:i/>
          <w:sz w:val="28"/>
          <w:szCs w:val="28"/>
        </w:rPr>
        <w:t>euro</w:t>
      </w:r>
      <w:proofErr w:type="spellEnd"/>
      <w:r w:rsidRPr="00DB28C3">
        <w:rPr>
          <w:rFonts w:eastAsia="Calibri" w:cs="Times New Roman"/>
          <w:sz w:val="28"/>
          <w:szCs w:val="28"/>
        </w:rPr>
        <w:t xml:space="preserve"> (tai skaitā valsts budžeta finansējums 15</w:t>
      </w:r>
      <w:r w:rsidR="00516F20" w:rsidRPr="00DB28C3">
        <w:rPr>
          <w:rFonts w:eastAsia="Calibri" w:cs="Times New Roman"/>
          <w:sz w:val="28"/>
          <w:szCs w:val="28"/>
        </w:rPr>
        <w:t>,0</w:t>
      </w:r>
      <w:r w:rsidR="00153F5E">
        <w:rPr>
          <w:rFonts w:eastAsia="Calibri" w:cs="Times New Roman"/>
          <w:sz w:val="28"/>
          <w:szCs w:val="28"/>
        </w:rPr>
        <w:t> </w:t>
      </w:r>
      <w:r w:rsidRPr="00DB28C3">
        <w:rPr>
          <w:rFonts w:eastAsia="Calibri" w:cs="Times New Roman"/>
          <w:sz w:val="28"/>
          <w:szCs w:val="28"/>
        </w:rPr>
        <w:t>%</w:t>
      </w:r>
      <w:r w:rsidR="004176E2">
        <w:rPr>
          <w:rFonts w:eastAsia="Calibri" w:cs="Times New Roman"/>
          <w:sz w:val="28"/>
          <w:szCs w:val="28"/>
        </w:rPr>
        <w:t> </w:t>
      </w:r>
      <w:r w:rsidRPr="00DB28C3">
        <w:rPr>
          <w:rFonts w:eastAsia="Calibri" w:cs="Times New Roman"/>
          <w:sz w:val="28"/>
          <w:szCs w:val="28"/>
        </w:rPr>
        <w:t xml:space="preserve">- 0,2 milj. </w:t>
      </w:r>
      <w:proofErr w:type="spellStart"/>
      <w:r w:rsidRPr="00DB28C3">
        <w:rPr>
          <w:rFonts w:eastAsia="Calibri" w:cs="Times New Roman"/>
          <w:i/>
          <w:sz w:val="28"/>
          <w:szCs w:val="28"/>
        </w:rPr>
        <w:t>euro</w:t>
      </w:r>
      <w:proofErr w:type="spellEnd"/>
      <w:r w:rsidRPr="00DB28C3">
        <w:rPr>
          <w:rFonts w:eastAsia="Calibri" w:cs="Times New Roman"/>
          <w:sz w:val="28"/>
          <w:szCs w:val="28"/>
        </w:rPr>
        <w:t xml:space="preserve"> un </w:t>
      </w:r>
      <w:r w:rsidR="00FE22B7">
        <w:rPr>
          <w:rFonts w:eastAsia="Calibri" w:cs="Times New Roman"/>
          <w:sz w:val="28"/>
          <w:szCs w:val="28"/>
        </w:rPr>
        <w:t>EEZ</w:t>
      </w:r>
      <w:r w:rsidRPr="00DB28C3">
        <w:rPr>
          <w:rFonts w:eastAsia="Calibri" w:cs="Times New Roman"/>
          <w:sz w:val="28"/>
          <w:szCs w:val="28"/>
        </w:rPr>
        <w:t xml:space="preserve"> </w:t>
      </w:r>
      <w:r w:rsidR="004176E2">
        <w:rPr>
          <w:rFonts w:eastAsia="Calibri" w:cs="Times New Roman"/>
          <w:sz w:val="28"/>
          <w:szCs w:val="28"/>
        </w:rPr>
        <w:t>FI</w:t>
      </w:r>
      <w:r w:rsidRPr="00DB28C3">
        <w:rPr>
          <w:rFonts w:eastAsia="Calibri" w:cs="Times New Roman"/>
          <w:sz w:val="28"/>
          <w:szCs w:val="28"/>
        </w:rPr>
        <w:t xml:space="preserve"> </w:t>
      </w:r>
      <w:r w:rsidR="00735160" w:rsidRPr="00DB28C3">
        <w:rPr>
          <w:rFonts w:eastAsia="Calibri" w:cs="Times New Roman"/>
          <w:sz w:val="28"/>
          <w:szCs w:val="28"/>
        </w:rPr>
        <w:t>līdzfinansējums 85</w:t>
      </w:r>
      <w:r w:rsidR="00516F20" w:rsidRPr="00DB28C3">
        <w:rPr>
          <w:rFonts w:eastAsia="Calibri" w:cs="Times New Roman"/>
          <w:sz w:val="28"/>
          <w:szCs w:val="28"/>
        </w:rPr>
        <w:t>,0</w:t>
      </w:r>
      <w:r w:rsidR="00153F5E">
        <w:rPr>
          <w:rFonts w:eastAsia="Calibri" w:cs="Times New Roman"/>
          <w:sz w:val="28"/>
          <w:szCs w:val="28"/>
        </w:rPr>
        <w:t> </w:t>
      </w:r>
      <w:r w:rsidR="00735160" w:rsidRPr="00DB28C3">
        <w:rPr>
          <w:rFonts w:eastAsia="Calibri" w:cs="Times New Roman"/>
          <w:sz w:val="28"/>
          <w:szCs w:val="28"/>
        </w:rPr>
        <w:t>% - 1,5 milj. </w:t>
      </w:r>
      <w:proofErr w:type="spellStart"/>
      <w:r w:rsidRPr="00DB28C3">
        <w:rPr>
          <w:rFonts w:eastAsia="Calibri" w:cs="Times New Roman"/>
          <w:i/>
          <w:sz w:val="28"/>
          <w:szCs w:val="28"/>
        </w:rPr>
        <w:t>euro</w:t>
      </w:r>
      <w:proofErr w:type="spellEnd"/>
      <w:r w:rsidRPr="00DB28C3">
        <w:rPr>
          <w:rFonts w:eastAsia="Calibri" w:cs="Times New Roman"/>
          <w:sz w:val="28"/>
          <w:szCs w:val="28"/>
        </w:rPr>
        <w:t>). KM atmaksātos finanšu līdzekļus 2017.</w:t>
      </w:r>
      <w:r w:rsidR="00735160" w:rsidRPr="00DB28C3">
        <w:rPr>
          <w:rFonts w:eastAsia="Calibri" w:cs="Times New Roman"/>
          <w:sz w:val="28"/>
          <w:szCs w:val="28"/>
        </w:rPr>
        <w:t> </w:t>
      </w:r>
      <w:r w:rsidRPr="00DB28C3">
        <w:rPr>
          <w:rFonts w:eastAsia="Calibri" w:cs="Times New Roman"/>
          <w:sz w:val="28"/>
          <w:szCs w:val="28"/>
        </w:rPr>
        <w:t>gada</w:t>
      </w:r>
      <w:r w:rsidR="00735160" w:rsidRPr="00DB28C3">
        <w:rPr>
          <w:rFonts w:eastAsia="Calibri" w:cs="Times New Roman"/>
          <w:sz w:val="28"/>
          <w:szCs w:val="28"/>
        </w:rPr>
        <w:t> </w:t>
      </w:r>
      <w:r w:rsidRPr="00DB28C3">
        <w:rPr>
          <w:rFonts w:eastAsia="Calibri" w:cs="Times New Roman"/>
          <w:sz w:val="28"/>
          <w:szCs w:val="28"/>
        </w:rPr>
        <w:t>28.</w:t>
      </w:r>
      <w:r w:rsidR="00735160" w:rsidRPr="00DB28C3">
        <w:rPr>
          <w:rFonts w:eastAsia="Calibri" w:cs="Times New Roman"/>
          <w:sz w:val="28"/>
          <w:szCs w:val="28"/>
        </w:rPr>
        <w:t> </w:t>
      </w:r>
      <w:r w:rsidRPr="00DB28C3">
        <w:rPr>
          <w:rFonts w:eastAsia="Calibri" w:cs="Times New Roman"/>
          <w:sz w:val="28"/>
          <w:szCs w:val="28"/>
        </w:rPr>
        <w:t>decembrī pārskaitīja valsts budžeta ieņēmumos. 2019.</w:t>
      </w:r>
      <w:r w:rsidR="008A0E7E" w:rsidRPr="00DB28C3">
        <w:rPr>
          <w:rFonts w:eastAsia="Calibri" w:cs="Times New Roman"/>
          <w:sz w:val="28"/>
          <w:szCs w:val="28"/>
        </w:rPr>
        <w:t xml:space="preserve"> </w:t>
      </w:r>
      <w:r w:rsidRPr="00DB28C3">
        <w:rPr>
          <w:rFonts w:eastAsia="Calibri" w:cs="Times New Roman"/>
          <w:sz w:val="28"/>
          <w:szCs w:val="28"/>
        </w:rPr>
        <w:t>gada 17.</w:t>
      </w:r>
      <w:r w:rsidR="008A0E7E" w:rsidRPr="00DB28C3">
        <w:rPr>
          <w:rFonts w:eastAsia="Calibri" w:cs="Times New Roman"/>
          <w:sz w:val="28"/>
          <w:szCs w:val="28"/>
        </w:rPr>
        <w:t xml:space="preserve"> </w:t>
      </w:r>
      <w:r w:rsidRPr="00DB28C3">
        <w:rPr>
          <w:rFonts w:eastAsia="Calibri" w:cs="Times New Roman"/>
          <w:sz w:val="28"/>
          <w:szCs w:val="28"/>
        </w:rPr>
        <w:t>jūnijā FIB apstiprināja KM programmas noslēguma pārskatu un ar 2019.</w:t>
      </w:r>
      <w:r w:rsidR="008A0E7E" w:rsidRPr="00DB28C3">
        <w:rPr>
          <w:rFonts w:eastAsia="Calibri" w:cs="Times New Roman"/>
          <w:sz w:val="28"/>
          <w:szCs w:val="28"/>
        </w:rPr>
        <w:t xml:space="preserve"> </w:t>
      </w:r>
      <w:r w:rsidRPr="00DB28C3">
        <w:rPr>
          <w:rFonts w:eastAsia="Calibri" w:cs="Times New Roman"/>
          <w:sz w:val="28"/>
          <w:szCs w:val="28"/>
        </w:rPr>
        <w:t>gada 18.</w:t>
      </w:r>
      <w:r w:rsidR="008A0E7E" w:rsidRPr="00DB28C3">
        <w:rPr>
          <w:rFonts w:eastAsia="Calibri" w:cs="Times New Roman"/>
          <w:sz w:val="28"/>
          <w:szCs w:val="28"/>
        </w:rPr>
        <w:t xml:space="preserve"> </w:t>
      </w:r>
      <w:r w:rsidRPr="00DB28C3">
        <w:rPr>
          <w:rFonts w:eastAsia="Calibri" w:cs="Times New Roman"/>
          <w:sz w:val="28"/>
          <w:szCs w:val="28"/>
        </w:rPr>
        <w:t>jūnija atmaksas pieprasījumu “</w:t>
      </w:r>
      <w:proofErr w:type="spellStart"/>
      <w:r w:rsidRPr="00DB28C3">
        <w:rPr>
          <w:rFonts w:eastAsia="Calibri" w:cs="Times New Roman"/>
          <w:sz w:val="28"/>
          <w:szCs w:val="28"/>
        </w:rPr>
        <w:t>Debit</w:t>
      </w:r>
      <w:proofErr w:type="spellEnd"/>
      <w:r w:rsidRPr="00DB28C3">
        <w:rPr>
          <w:rFonts w:eastAsia="Calibri" w:cs="Times New Roman"/>
          <w:sz w:val="28"/>
          <w:szCs w:val="28"/>
        </w:rPr>
        <w:t xml:space="preserve"> </w:t>
      </w:r>
      <w:proofErr w:type="spellStart"/>
      <w:r w:rsidRPr="00DB28C3">
        <w:rPr>
          <w:rFonts w:eastAsia="Calibri" w:cs="Times New Roman"/>
          <w:sz w:val="28"/>
          <w:szCs w:val="28"/>
        </w:rPr>
        <w:t>Note</w:t>
      </w:r>
      <w:proofErr w:type="spellEnd"/>
      <w:r w:rsidRPr="00DB28C3">
        <w:rPr>
          <w:rFonts w:eastAsia="Calibri" w:cs="Times New Roman"/>
          <w:sz w:val="28"/>
          <w:szCs w:val="28"/>
        </w:rPr>
        <w:t xml:space="preserve">” lūdza atmaksāt </w:t>
      </w:r>
      <w:r w:rsidR="00D8484A" w:rsidRPr="00D8484A">
        <w:rPr>
          <w:rFonts w:eastAsia="Calibri" w:cs="Times New Roman"/>
          <w:sz w:val="28"/>
          <w:szCs w:val="28"/>
        </w:rPr>
        <w:t xml:space="preserve">1 204 150 </w:t>
      </w:r>
      <w:proofErr w:type="spellStart"/>
      <w:r w:rsidRPr="00DB28C3">
        <w:rPr>
          <w:rFonts w:eastAsia="Calibri" w:cs="Times New Roman"/>
          <w:i/>
          <w:sz w:val="28"/>
          <w:szCs w:val="28"/>
        </w:rPr>
        <w:t>euro</w:t>
      </w:r>
      <w:proofErr w:type="spellEnd"/>
      <w:r w:rsidRPr="00DB28C3">
        <w:rPr>
          <w:rFonts w:eastAsia="Calibri" w:cs="Times New Roman"/>
          <w:sz w:val="28"/>
          <w:szCs w:val="28"/>
        </w:rPr>
        <w:t xml:space="preserve"> </w:t>
      </w:r>
      <w:r w:rsidR="00A46421" w:rsidRPr="00DB28C3">
        <w:rPr>
          <w:rFonts w:eastAsia="Calibri" w:cs="Times New Roman"/>
          <w:sz w:val="28"/>
          <w:szCs w:val="28"/>
        </w:rPr>
        <w:t xml:space="preserve">Rakstniecības un mūzikas muzeja </w:t>
      </w:r>
      <w:r w:rsidR="00744EA0" w:rsidRPr="00DB28C3">
        <w:rPr>
          <w:rFonts w:eastAsia="Calibri" w:cs="Times New Roman"/>
          <w:sz w:val="28"/>
          <w:szCs w:val="28"/>
        </w:rPr>
        <w:t xml:space="preserve">projektā </w:t>
      </w:r>
      <w:r w:rsidRPr="00DB28C3">
        <w:rPr>
          <w:rFonts w:eastAsia="Calibri" w:cs="Times New Roman"/>
          <w:sz w:val="28"/>
          <w:szCs w:val="28"/>
        </w:rPr>
        <w:t>ne</w:t>
      </w:r>
      <w:r w:rsidR="00964F14" w:rsidRPr="00DB28C3">
        <w:rPr>
          <w:rFonts w:eastAsia="Calibri" w:cs="Times New Roman"/>
          <w:sz w:val="28"/>
          <w:szCs w:val="28"/>
        </w:rPr>
        <w:t>at</w:t>
      </w:r>
      <w:r w:rsidRPr="00DB28C3">
        <w:rPr>
          <w:rFonts w:eastAsia="Calibri" w:cs="Times New Roman"/>
          <w:sz w:val="28"/>
          <w:szCs w:val="28"/>
        </w:rPr>
        <w:t>bilstoši veiktos izdevumus, k</w:t>
      </w:r>
      <w:r w:rsidR="00A46421" w:rsidRPr="00DB28C3">
        <w:rPr>
          <w:rFonts w:eastAsia="Calibri" w:cs="Times New Roman"/>
          <w:sz w:val="28"/>
          <w:szCs w:val="28"/>
        </w:rPr>
        <w:t>uri</w:t>
      </w:r>
      <w:r w:rsidRPr="00DB28C3">
        <w:rPr>
          <w:rFonts w:eastAsia="Calibri" w:cs="Times New Roman"/>
          <w:sz w:val="28"/>
          <w:szCs w:val="28"/>
        </w:rPr>
        <w:t xml:space="preserve"> radās </w:t>
      </w:r>
      <w:r w:rsidR="00624C1D" w:rsidRPr="00DB28C3">
        <w:rPr>
          <w:rFonts w:eastAsia="Calibri" w:cs="Times New Roman"/>
          <w:sz w:val="28"/>
          <w:szCs w:val="28"/>
        </w:rPr>
        <w:t xml:space="preserve">dēļ </w:t>
      </w:r>
      <w:r w:rsidRPr="00DB28C3">
        <w:rPr>
          <w:rFonts w:eastAsia="Calibri" w:cs="Times New Roman"/>
          <w:sz w:val="28"/>
          <w:szCs w:val="28"/>
        </w:rPr>
        <w:t>projekt</w:t>
      </w:r>
      <w:r w:rsidR="00624C1D" w:rsidRPr="00DB28C3">
        <w:rPr>
          <w:rFonts w:eastAsia="Calibri" w:cs="Times New Roman"/>
          <w:sz w:val="28"/>
          <w:szCs w:val="28"/>
        </w:rPr>
        <w:t xml:space="preserve">a pārtraukšanas </w:t>
      </w:r>
      <w:r w:rsidR="00744EA0" w:rsidRPr="00DB28C3">
        <w:rPr>
          <w:rFonts w:eastAsia="Calibri" w:cs="Times New Roman"/>
          <w:sz w:val="28"/>
          <w:szCs w:val="28"/>
        </w:rPr>
        <w:t xml:space="preserve">un </w:t>
      </w:r>
      <w:r w:rsidR="006C0C5B" w:rsidRPr="00DB28C3">
        <w:rPr>
          <w:rFonts w:eastAsia="Calibri" w:cs="Times New Roman"/>
          <w:sz w:val="28"/>
          <w:szCs w:val="28"/>
        </w:rPr>
        <w:t xml:space="preserve">līdz ar to </w:t>
      </w:r>
      <w:r w:rsidR="00624C1D" w:rsidRPr="00DB28C3">
        <w:rPr>
          <w:rFonts w:eastAsia="Calibri" w:cs="Times New Roman"/>
          <w:sz w:val="28"/>
          <w:szCs w:val="28"/>
        </w:rPr>
        <w:t>tā mērķa</w:t>
      </w:r>
      <w:r w:rsidR="00744EA0" w:rsidRPr="00DB28C3">
        <w:rPr>
          <w:rFonts w:eastAsia="Calibri" w:cs="Times New Roman"/>
          <w:sz w:val="28"/>
          <w:szCs w:val="28"/>
        </w:rPr>
        <w:t xml:space="preserve"> un </w:t>
      </w:r>
      <w:r w:rsidR="00624C1D" w:rsidRPr="00DB28C3">
        <w:rPr>
          <w:rFonts w:eastAsia="Calibri" w:cs="Times New Roman"/>
          <w:sz w:val="28"/>
          <w:szCs w:val="28"/>
        </w:rPr>
        <w:t>plānoto</w:t>
      </w:r>
      <w:r w:rsidR="00F113F4" w:rsidRPr="00DB28C3">
        <w:rPr>
          <w:rFonts w:eastAsia="Calibri" w:cs="Times New Roman"/>
          <w:sz w:val="28"/>
          <w:szCs w:val="28"/>
        </w:rPr>
        <w:t xml:space="preserve"> </w:t>
      </w:r>
      <w:r w:rsidR="00624C1D" w:rsidRPr="00DB28C3">
        <w:rPr>
          <w:rFonts w:eastAsia="Calibri" w:cs="Times New Roman"/>
          <w:sz w:val="28"/>
          <w:szCs w:val="28"/>
        </w:rPr>
        <w:t>rezultātu</w:t>
      </w:r>
      <w:r w:rsidR="00F113F4" w:rsidRPr="00DB28C3">
        <w:rPr>
          <w:rFonts w:eastAsia="Calibri" w:cs="Times New Roman"/>
          <w:sz w:val="28"/>
          <w:szCs w:val="28"/>
        </w:rPr>
        <w:t xml:space="preserve"> </w:t>
      </w:r>
      <w:r w:rsidR="00624C1D" w:rsidRPr="00DB28C3">
        <w:rPr>
          <w:rFonts w:eastAsia="Calibri" w:cs="Times New Roman"/>
          <w:sz w:val="28"/>
          <w:szCs w:val="28"/>
        </w:rPr>
        <w:t>nesasniegšanas</w:t>
      </w:r>
      <w:r w:rsidRPr="00DB28C3">
        <w:rPr>
          <w:rFonts w:eastAsia="Calibri" w:cs="Times New Roman"/>
          <w:sz w:val="28"/>
          <w:szCs w:val="28"/>
        </w:rPr>
        <w:t>.</w:t>
      </w:r>
      <w:r w:rsidR="00E25FCC" w:rsidRPr="00DB28C3">
        <w:rPr>
          <w:rFonts w:eastAsia="Calibri" w:cs="Times New Roman"/>
          <w:sz w:val="28"/>
          <w:szCs w:val="28"/>
        </w:rPr>
        <w:t xml:space="preserve"> </w:t>
      </w:r>
      <w:r w:rsidRPr="00DB28C3">
        <w:rPr>
          <w:rFonts w:eastAsia="Calibri" w:cs="Times New Roman"/>
          <w:sz w:val="28"/>
          <w:szCs w:val="28"/>
        </w:rPr>
        <w:t>Sa</w:t>
      </w:r>
      <w:r w:rsidR="00735160" w:rsidRPr="00DB28C3">
        <w:rPr>
          <w:rFonts w:eastAsia="Calibri" w:cs="Times New Roman"/>
          <w:sz w:val="28"/>
          <w:szCs w:val="28"/>
        </w:rPr>
        <w:t>skaņā ar 2018.</w:t>
      </w:r>
      <w:r w:rsidR="008A0E7E" w:rsidRPr="00DB28C3">
        <w:rPr>
          <w:rFonts w:eastAsia="Calibri" w:cs="Times New Roman"/>
          <w:sz w:val="28"/>
          <w:szCs w:val="28"/>
        </w:rPr>
        <w:t xml:space="preserve"> </w:t>
      </w:r>
      <w:r w:rsidR="00735160" w:rsidRPr="00DB28C3">
        <w:rPr>
          <w:rFonts w:eastAsia="Calibri" w:cs="Times New Roman"/>
          <w:sz w:val="28"/>
          <w:szCs w:val="28"/>
        </w:rPr>
        <w:t>gada 17.</w:t>
      </w:r>
      <w:r w:rsidR="008A0E7E" w:rsidRPr="00DB28C3">
        <w:rPr>
          <w:rFonts w:eastAsia="Calibri" w:cs="Times New Roman"/>
          <w:sz w:val="28"/>
          <w:szCs w:val="28"/>
        </w:rPr>
        <w:t xml:space="preserve"> </w:t>
      </w:r>
      <w:r w:rsidR="00735160" w:rsidRPr="00DB28C3">
        <w:rPr>
          <w:rFonts w:eastAsia="Calibri" w:cs="Times New Roman"/>
          <w:sz w:val="28"/>
          <w:szCs w:val="28"/>
        </w:rPr>
        <w:t>jūlija MK</w:t>
      </w:r>
      <w:r w:rsidR="00015B93">
        <w:rPr>
          <w:rFonts w:eastAsia="Calibri" w:cs="Times New Roman"/>
          <w:sz w:val="28"/>
          <w:szCs w:val="28"/>
        </w:rPr>
        <w:t xml:space="preserve"> noteikumu</w:t>
      </w:r>
      <w:r w:rsidR="00735160" w:rsidRPr="00DB28C3">
        <w:rPr>
          <w:rFonts w:eastAsia="Calibri" w:cs="Times New Roman"/>
          <w:sz w:val="28"/>
          <w:szCs w:val="28"/>
        </w:rPr>
        <w:t xml:space="preserve"> </w:t>
      </w:r>
      <w:r w:rsidRPr="00DB28C3">
        <w:rPr>
          <w:rFonts w:eastAsia="Calibri" w:cs="Times New Roman"/>
          <w:sz w:val="28"/>
          <w:szCs w:val="28"/>
        </w:rPr>
        <w:t>Nr. 421 24.5.punktu, l</w:t>
      </w:r>
      <w:r w:rsidRPr="00DB28C3">
        <w:rPr>
          <w:sz w:val="28"/>
          <w:szCs w:val="28"/>
        </w:rPr>
        <w:t xml:space="preserve">ai nodrošinātu atmaksu </w:t>
      </w:r>
      <w:proofErr w:type="spellStart"/>
      <w:r w:rsidR="00175433">
        <w:rPr>
          <w:sz w:val="28"/>
          <w:szCs w:val="28"/>
        </w:rPr>
        <w:t>donorvalstīm</w:t>
      </w:r>
      <w:proofErr w:type="spellEnd"/>
      <w:r w:rsidR="00175433" w:rsidRPr="00DB28C3">
        <w:rPr>
          <w:sz w:val="28"/>
          <w:szCs w:val="28"/>
        </w:rPr>
        <w:t xml:space="preserve"> </w:t>
      </w:r>
      <w:r w:rsidRPr="00DB28C3">
        <w:rPr>
          <w:sz w:val="28"/>
          <w:szCs w:val="28"/>
        </w:rPr>
        <w:t xml:space="preserve">par </w:t>
      </w:r>
      <w:r w:rsidR="00FE22B7">
        <w:rPr>
          <w:sz w:val="28"/>
          <w:szCs w:val="28"/>
        </w:rPr>
        <w:t>EEZ</w:t>
      </w:r>
      <w:r w:rsidR="00FD2D39" w:rsidRPr="00DB28C3">
        <w:rPr>
          <w:sz w:val="28"/>
          <w:szCs w:val="28"/>
        </w:rPr>
        <w:t xml:space="preserve"> </w:t>
      </w:r>
      <w:r w:rsidR="004176E2">
        <w:rPr>
          <w:sz w:val="28"/>
          <w:szCs w:val="28"/>
        </w:rPr>
        <w:t>FI</w:t>
      </w:r>
      <w:r w:rsidR="00FD2D39" w:rsidRPr="00DB28C3">
        <w:rPr>
          <w:sz w:val="28"/>
          <w:szCs w:val="28"/>
        </w:rPr>
        <w:t xml:space="preserve"> 2009. -</w:t>
      </w:r>
      <w:r w:rsidRPr="00DB28C3">
        <w:rPr>
          <w:sz w:val="28"/>
          <w:szCs w:val="28"/>
        </w:rPr>
        <w:t xml:space="preserve"> 2014.</w:t>
      </w:r>
      <w:r w:rsidR="00153F5E">
        <w:rPr>
          <w:sz w:val="28"/>
          <w:szCs w:val="28"/>
        </w:rPr>
        <w:t> </w:t>
      </w:r>
      <w:r w:rsidRPr="00DB28C3">
        <w:rPr>
          <w:sz w:val="28"/>
          <w:szCs w:val="28"/>
        </w:rPr>
        <w:t>gada programmas „Kultūras un dabas mantojuma</w:t>
      </w:r>
      <w:r w:rsidR="00ED6DD9" w:rsidRPr="00DB28C3">
        <w:rPr>
          <w:sz w:val="28"/>
          <w:szCs w:val="28"/>
        </w:rPr>
        <w:t xml:space="preserve"> saglabāšana un atjaunināšana” </w:t>
      </w:r>
      <w:r w:rsidRPr="00DB28C3">
        <w:rPr>
          <w:sz w:val="28"/>
          <w:szCs w:val="28"/>
        </w:rPr>
        <w:t xml:space="preserve">Rakstniecības un mūzikas muzeja projektu, jāveic </w:t>
      </w:r>
      <w:r w:rsidR="00175433" w:rsidRPr="00175433">
        <w:rPr>
          <w:sz w:val="28"/>
          <w:szCs w:val="28"/>
        </w:rPr>
        <w:t xml:space="preserve">1 204 150 </w:t>
      </w:r>
      <w:proofErr w:type="spellStart"/>
      <w:r w:rsidR="0040427B" w:rsidRPr="00DB28C3">
        <w:rPr>
          <w:i/>
          <w:sz w:val="28"/>
          <w:szCs w:val="28"/>
        </w:rPr>
        <w:t>euro</w:t>
      </w:r>
      <w:proofErr w:type="spellEnd"/>
      <w:r w:rsidR="0040427B" w:rsidRPr="00DB28C3">
        <w:rPr>
          <w:i/>
          <w:sz w:val="28"/>
          <w:szCs w:val="28"/>
        </w:rPr>
        <w:t xml:space="preserve"> </w:t>
      </w:r>
      <w:r w:rsidRPr="00DB28C3">
        <w:rPr>
          <w:sz w:val="28"/>
          <w:szCs w:val="28"/>
        </w:rPr>
        <w:t xml:space="preserve">finansējuma pārdale no 80.00.00 </w:t>
      </w:r>
      <w:r w:rsidR="00EE7AEB" w:rsidRPr="00DB28C3">
        <w:rPr>
          <w:sz w:val="28"/>
          <w:szCs w:val="28"/>
        </w:rPr>
        <w:t xml:space="preserve">programmas </w:t>
      </w:r>
      <w:r w:rsidRPr="00DB28C3">
        <w:rPr>
          <w:sz w:val="28"/>
          <w:szCs w:val="28"/>
        </w:rPr>
        <w:t xml:space="preserve">uz KM budžeta apakšprogrammu 71.06.00 “Eiropas Ekonomikas zonas finanšu instrumenta un Norvēģijas valdības divpusējā finanšu instrumenta finansēto projektu un pasākumu īstenošana”. KM, </w:t>
      </w:r>
      <w:r w:rsidRPr="00DB28C3">
        <w:rPr>
          <w:sz w:val="28"/>
          <w:szCs w:val="28"/>
        </w:rPr>
        <w:lastRenderedPageBreak/>
        <w:t>lai nodrošinātu iepriekš minēt</w:t>
      </w:r>
      <w:r w:rsidR="0091612A" w:rsidRPr="00DB28C3">
        <w:rPr>
          <w:sz w:val="28"/>
          <w:szCs w:val="28"/>
        </w:rPr>
        <w:t>ās</w:t>
      </w:r>
      <w:r w:rsidRPr="00DB28C3">
        <w:rPr>
          <w:sz w:val="28"/>
          <w:szCs w:val="28"/>
        </w:rPr>
        <w:t xml:space="preserve"> izdevumu </w:t>
      </w:r>
      <w:r w:rsidR="0091612A" w:rsidRPr="00DB28C3">
        <w:rPr>
          <w:sz w:val="28"/>
          <w:szCs w:val="28"/>
        </w:rPr>
        <w:t xml:space="preserve">summas </w:t>
      </w:r>
      <w:r w:rsidRPr="00DB28C3">
        <w:rPr>
          <w:sz w:val="28"/>
          <w:szCs w:val="28"/>
        </w:rPr>
        <w:t>atmaksu</w:t>
      </w:r>
      <w:r w:rsidR="00E25FCC" w:rsidRPr="00DB28C3">
        <w:rPr>
          <w:rFonts w:eastAsia="Calibri" w:cs="Times New Roman"/>
          <w:sz w:val="28"/>
          <w:szCs w:val="28"/>
        </w:rPr>
        <w:t xml:space="preserve"> pēc iespējas ātrākā laikā</w:t>
      </w:r>
      <w:r w:rsidRPr="00DB28C3">
        <w:rPr>
          <w:sz w:val="28"/>
          <w:szCs w:val="28"/>
        </w:rPr>
        <w:t>, normatīvajos aktos noteiktā kārtībā jāsagat</w:t>
      </w:r>
      <w:r w:rsidR="00301A3B" w:rsidRPr="00DB28C3">
        <w:rPr>
          <w:sz w:val="28"/>
          <w:szCs w:val="28"/>
        </w:rPr>
        <w:t>a</w:t>
      </w:r>
      <w:r w:rsidRPr="00DB28C3">
        <w:rPr>
          <w:sz w:val="28"/>
          <w:szCs w:val="28"/>
        </w:rPr>
        <w:t xml:space="preserve">vo un jāiesniedz </w:t>
      </w:r>
      <w:r w:rsidR="00304CC9" w:rsidRPr="00DB28C3">
        <w:rPr>
          <w:sz w:val="28"/>
          <w:szCs w:val="28"/>
        </w:rPr>
        <w:t>FM</w:t>
      </w:r>
      <w:r w:rsidRPr="00DB28C3">
        <w:rPr>
          <w:sz w:val="28"/>
          <w:szCs w:val="28"/>
        </w:rPr>
        <w:t xml:space="preserve"> pieprasījums par apropriācijas izmaiņām</w:t>
      </w:r>
      <w:r w:rsidRPr="00DB28C3">
        <w:rPr>
          <w:rFonts w:eastAsia="Calibri" w:cs="Arial Unicode MS"/>
          <w:sz w:val="28"/>
          <w:szCs w:val="28"/>
          <w:lang w:bidi="lo-LA"/>
        </w:rPr>
        <w:t xml:space="preserve"> </w:t>
      </w:r>
      <w:r w:rsidR="00ED6DD9" w:rsidRPr="00DB28C3">
        <w:rPr>
          <w:sz w:val="28"/>
          <w:szCs w:val="28"/>
        </w:rPr>
        <w:t>ne vēlāk kā vienas</w:t>
      </w:r>
      <w:r w:rsidRPr="00DB28C3">
        <w:rPr>
          <w:sz w:val="28"/>
          <w:szCs w:val="28"/>
        </w:rPr>
        <w:t xml:space="preserve"> nedēļas laikā pēc </w:t>
      </w:r>
      <w:r w:rsidR="0048428D" w:rsidRPr="00DB28C3">
        <w:rPr>
          <w:sz w:val="28"/>
          <w:szCs w:val="28"/>
        </w:rPr>
        <w:t>MK lēmuma pieņemšanas</w:t>
      </w:r>
      <w:r w:rsidRPr="00DB28C3">
        <w:rPr>
          <w:sz w:val="28"/>
          <w:szCs w:val="28"/>
        </w:rPr>
        <w:t xml:space="preserve">. KM pēc finansējuma saņemšanas jānodrošina līdzekļu pārskaitīšana </w:t>
      </w:r>
      <w:proofErr w:type="spellStart"/>
      <w:r w:rsidR="00175433">
        <w:rPr>
          <w:sz w:val="28"/>
          <w:szCs w:val="28"/>
        </w:rPr>
        <w:t>donorvalstīm</w:t>
      </w:r>
      <w:proofErr w:type="spellEnd"/>
      <w:r w:rsidR="00175433" w:rsidRPr="00DB28C3">
        <w:rPr>
          <w:rFonts w:eastAsia="Calibri" w:cs="Arial Unicode MS"/>
          <w:sz w:val="28"/>
          <w:szCs w:val="28"/>
          <w:lang w:bidi="lo-LA"/>
        </w:rPr>
        <w:t xml:space="preserve"> </w:t>
      </w:r>
      <w:r w:rsidR="00E25FCC" w:rsidRPr="00DB28C3">
        <w:rPr>
          <w:rFonts w:eastAsia="Calibri" w:cs="Times New Roman"/>
          <w:sz w:val="28"/>
          <w:szCs w:val="28"/>
        </w:rPr>
        <w:t>nekavējoties</w:t>
      </w:r>
      <w:r w:rsidR="00FF3932" w:rsidRPr="00DB28C3">
        <w:rPr>
          <w:rFonts w:eastAsia="Calibri" w:cs="Times New Roman"/>
          <w:sz w:val="28"/>
          <w:szCs w:val="28"/>
        </w:rPr>
        <w:t xml:space="preserve">, bet </w:t>
      </w:r>
      <w:r w:rsidR="00735160" w:rsidRPr="00DB28C3">
        <w:rPr>
          <w:sz w:val="28"/>
          <w:szCs w:val="28"/>
        </w:rPr>
        <w:t>ne vēlāk kā viena</w:t>
      </w:r>
      <w:r w:rsidRPr="00DB28C3">
        <w:rPr>
          <w:sz w:val="28"/>
          <w:szCs w:val="28"/>
        </w:rPr>
        <w:t xml:space="preserve"> mēneša laikā pēc </w:t>
      </w:r>
      <w:r w:rsidR="004B459E" w:rsidRPr="00DB28C3">
        <w:rPr>
          <w:sz w:val="28"/>
          <w:szCs w:val="28"/>
        </w:rPr>
        <w:t>MK lēmuma pieņemšanas</w:t>
      </w:r>
      <w:r w:rsidR="00096354" w:rsidRPr="00DB28C3">
        <w:rPr>
          <w:sz w:val="28"/>
          <w:szCs w:val="28"/>
        </w:rPr>
        <w:t xml:space="preserve">. </w:t>
      </w:r>
      <w:r w:rsidR="009A1DD1" w:rsidRPr="00DC32AA">
        <w:rPr>
          <w:rFonts w:eastAsia="Calibri" w:cs="Times New Roman"/>
          <w:sz w:val="28"/>
          <w:szCs w:val="28"/>
        </w:rPr>
        <w:t xml:space="preserve">Atbilstoši </w:t>
      </w:r>
      <w:proofErr w:type="spellStart"/>
      <w:r w:rsidR="009A1DD1" w:rsidRPr="00DC32AA">
        <w:rPr>
          <w:rFonts w:eastAsia="Calibri" w:cs="Times New Roman"/>
          <w:sz w:val="28"/>
          <w:szCs w:val="28"/>
        </w:rPr>
        <w:t>donorvalstu</w:t>
      </w:r>
      <w:proofErr w:type="spellEnd"/>
      <w:r w:rsidR="009A1DD1" w:rsidRPr="00DC32AA">
        <w:rPr>
          <w:rFonts w:eastAsia="Calibri" w:cs="Times New Roman"/>
          <w:sz w:val="28"/>
          <w:szCs w:val="28"/>
        </w:rPr>
        <w:t xml:space="preserve"> noteikumu</w:t>
      </w:r>
      <w:r w:rsidR="009A1DD1" w:rsidRPr="00DC32AA">
        <w:rPr>
          <w:rStyle w:val="FootnoteReference"/>
          <w:rFonts w:eastAsia="Calibri" w:cs="Times New Roman"/>
          <w:sz w:val="28"/>
          <w:szCs w:val="28"/>
        </w:rPr>
        <w:footnoteReference w:id="26"/>
      </w:r>
      <w:r w:rsidR="009A1DD1" w:rsidRPr="00DC32AA">
        <w:rPr>
          <w:rFonts w:eastAsia="Calibri" w:cs="Times New Roman"/>
          <w:sz w:val="28"/>
          <w:szCs w:val="28"/>
        </w:rPr>
        <w:t xml:space="preserve"> 12.5.</w:t>
      </w:r>
      <w:r w:rsidR="009A1DD1">
        <w:rPr>
          <w:rFonts w:eastAsia="Calibri" w:cs="Times New Roman"/>
          <w:sz w:val="28"/>
          <w:szCs w:val="28"/>
        </w:rPr>
        <w:t xml:space="preserve"> </w:t>
      </w:r>
      <w:r w:rsidR="00685186">
        <w:rPr>
          <w:rFonts w:eastAsia="Calibri" w:cs="Times New Roman"/>
          <w:sz w:val="28"/>
          <w:szCs w:val="28"/>
        </w:rPr>
        <w:t>panta</w:t>
      </w:r>
      <w:r w:rsidR="009A1DD1">
        <w:rPr>
          <w:rFonts w:eastAsia="Calibri" w:cs="Times New Roman"/>
          <w:sz w:val="28"/>
          <w:szCs w:val="28"/>
        </w:rPr>
        <w:t xml:space="preserve"> 5.</w:t>
      </w:r>
      <w:r w:rsidR="007E3594">
        <w:rPr>
          <w:rFonts w:eastAsia="Calibri" w:cs="Times New Roman"/>
          <w:sz w:val="28"/>
          <w:szCs w:val="28"/>
        </w:rPr>
        <w:t xml:space="preserve"> </w:t>
      </w:r>
      <w:r w:rsidR="009A1DD1" w:rsidRPr="00DC32AA">
        <w:rPr>
          <w:rFonts w:eastAsia="Calibri" w:cs="Times New Roman"/>
          <w:sz w:val="28"/>
          <w:szCs w:val="28"/>
        </w:rPr>
        <w:t>punktam</w:t>
      </w:r>
      <w:r w:rsidR="009A1DD1" w:rsidRPr="00DC32AA">
        <w:rPr>
          <w:rStyle w:val="FootnoteReference"/>
          <w:rFonts w:eastAsia="Calibri" w:cs="Times New Roman"/>
          <w:sz w:val="28"/>
          <w:szCs w:val="28"/>
        </w:rPr>
        <w:footnoteReference w:id="27"/>
      </w:r>
      <w:r w:rsidR="009A1DD1" w:rsidRPr="00DC32AA">
        <w:rPr>
          <w:rFonts w:eastAsia="Calibri" w:cs="Times New Roman"/>
          <w:sz w:val="28"/>
          <w:szCs w:val="28"/>
        </w:rPr>
        <w:t xml:space="preserve"> </w:t>
      </w:r>
      <w:proofErr w:type="spellStart"/>
      <w:r w:rsidR="009A1DD1">
        <w:rPr>
          <w:sz w:val="28"/>
          <w:szCs w:val="28"/>
        </w:rPr>
        <w:t>d</w:t>
      </w:r>
      <w:r w:rsidR="00096354" w:rsidRPr="00DB28C3">
        <w:rPr>
          <w:sz w:val="28"/>
          <w:szCs w:val="28"/>
        </w:rPr>
        <w:t>onorvalstis</w:t>
      </w:r>
      <w:proofErr w:type="spellEnd"/>
      <w:r w:rsidR="00096354" w:rsidRPr="00DB28C3">
        <w:rPr>
          <w:sz w:val="28"/>
          <w:szCs w:val="28"/>
        </w:rPr>
        <w:t xml:space="preserve"> </w:t>
      </w:r>
      <w:r w:rsidR="00096354" w:rsidRPr="00DB28C3">
        <w:rPr>
          <w:rFonts w:eastAsia="Calibri" w:cs="Times New Roman"/>
          <w:sz w:val="28"/>
          <w:szCs w:val="28"/>
        </w:rPr>
        <w:t xml:space="preserve">var lemt par </w:t>
      </w:r>
      <w:r w:rsidR="0039007B" w:rsidRPr="00B731A5">
        <w:rPr>
          <w:rFonts w:eastAsia="Calibri" w:cs="Times New Roman"/>
          <w:sz w:val="28"/>
          <w:szCs w:val="28"/>
        </w:rPr>
        <w:t xml:space="preserve">nokavējuma </w:t>
      </w:r>
      <w:r w:rsidR="00096354" w:rsidRPr="00DB28C3">
        <w:rPr>
          <w:rFonts w:eastAsia="Calibri" w:cs="Times New Roman"/>
          <w:sz w:val="28"/>
          <w:szCs w:val="28"/>
        </w:rPr>
        <w:t>naudas piemērošanu,</w:t>
      </w:r>
      <w:r w:rsidR="00E25FCC" w:rsidRPr="00DB28C3">
        <w:rPr>
          <w:rFonts w:eastAsia="Calibri" w:cs="Times New Roman"/>
          <w:sz w:val="28"/>
          <w:szCs w:val="28"/>
        </w:rPr>
        <w:t xml:space="preserve"> nepamatoti kavējot atmaksu. </w:t>
      </w:r>
    </w:p>
    <w:p w14:paraId="45CA5FDF" w14:textId="3A7F7564" w:rsidR="009C0862" w:rsidRPr="00DB28C3" w:rsidRDefault="00426694">
      <w:pPr>
        <w:pStyle w:val="1lmenis"/>
      </w:pPr>
      <w:bookmarkStart w:id="13" w:name="_Toc17468210"/>
      <w:r>
        <w:t>6</w:t>
      </w:r>
      <w:r w:rsidR="00D76642" w:rsidRPr="00DB28C3">
        <w:t xml:space="preserve">. </w:t>
      </w:r>
      <w:r w:rsidR="009C0862" w:rsidRPr="00DB28C3">
        <w:t>ES fondu vadības</w:t>
      </w:r>
      <w:r w:rsidR="00D76642" w:rsidRPr="00DB28C3">
        <w:t xml:space="preserve"> un </w:t>
      </w:r>
      <w:r w:rsidR="009C0862" w:rsidRPr="00DB28C3">
        <w:t>kontroles sistēma</w:t>
      </w:r>
      <w:bookmarkEnd w:id="13"/>
      <w:r w:rsidR="00787823" w:rsidRPr="00DB28C3">
        <w:t xml:space="preserve"> </w:t>
      </w:r>
    </w:p>
    <w:p w14:paraId="73C44693" w14:textId="3CB68C4D" w:rsidR="00AF71B0" w:rsidRPr="00DB28C3" w:rsidRDefault="009C0862" w:rsidP="00CC7869">
      <w:pPr>
        <w:autoSpaceDE w:val="0"/>
        <w:autoSpaceDN w:val="0"/>
        <w:adjustRightInd w:val="0"/>
        <w:spacing w:before="120" w:after="120" w:line="276" w:lineRule="auto"/>
        <w:ind w:firstLine="720"/>
        <w:jc w:val="both"/>
        <w:rPr>
          <w:rFonts w:cs="Times New Roman"/>
          <w:b/>
          <w:bCs/>
          <w:sz w:val="28"/>
          <w:szCs w:val="28"/>
        </w:rPr>
      </w:pPr>
      <w:r w:rsidRPr="00DB28C3">
        <w:rPr>
          <w:rFonts w:cs="Times New Roman"/>
          <w:b/>
          <w:bCs/>
          <w:sz w:val="28"/>
          <w:szCs w:val="28"/>
        </w:rPr>
        <w:t>ES fondu 2014.</w:t>
      </w:r>
      <w:r w:rsidR="006E73E8" w:rsidRPr="00DB28C3">
        <w:rPr>
          <w:rFonts w:cs="Times New Roman"/>
          <w:b/>
          <w:bCs/>
          <w:sz w:val="28"/>
          <w:szCs w:val="28"/>
        </w:rPr>
        <w:t> </w:t>
      </w:r>
      <w:r w:rsidR="00AA1A78" w:rsidRPr="00DB28C3">
        <w:rPr>
          <w:rFonts w:cs="Times New Roman"/>
          <w:b/>
          <w:bCs/>
          <w:sz w:val="28"/>
          <w:szCs w:val="28"/>
        </w:rPr>
        <w:t>–</w:t>
      </w:r>
      <w:r w:rsidR="006E73E8" w:rsidRPr="00DB28C3">
        <w:rPr>
          <w:rFonts w:cs="Times New Roman"/>
          <w:b/>
          <w:bCs/>
          <w:sz w:val="28"/>
          <w:szCs w:val="28"/>
        </w:rPr>
        <w:t> </w:t>
      </w:r>
      <w:r w:rsidRPr="00DB28C3">
        <w:rPr>
          <w:rFonts w:cs="Times New Roman"/>
          <w:b/>
          <w:bCs/>
          <w:sz w:val="28"/>
          <w:szCs w:val="28"/>
        </w:rPr>
        <w:t>2020</w:t>
      </w:r>
      <w:r w:rsidR="000870FE" w:rsidRPr="00DB28C3">
        <w:rPr>
          <w:rFonts w:cs="Times New Roman"/>
          <w:b/>
          <w:bCs/>
          <w:sz w:val="28"/>
          <w:szCs w:val="28"/>
        </w:rPr>
        <w:t>. gad</w:t>
      </w:r>
      <w:r w:rsidRPr="00DB28C3">
        <w:rPr>
          <w:rFonts w:cs="Times New Roman"/>
          <w:b/>
          <w:bCs/>
          <w:sz w:val="28"/>
          <w:szCs w:val="28"/>
        </w:rPr>
        <w:t>a plānošanas period</w:t>
      </w:r>
      <w:r w:rsidR="00966EDC" w:rsidRPr="00DB28C3">
        <w:rPr>
          <w:rFonts w:cs="Times New Roman"/>
          <w:b/>
          <w:bCs/>
          <w:sz w:val="28"/>
          <w:szCs w:val="28"/>
        </w:rPr>
        <w:t xml:space="preserve">s </w:t>
      </w:r>
    </w:p>
    <w:p w14:paraId="5EA7D996" w14:textId="4146A480" w:rsidR="00A01863" w:rsidRPr="00DB28C3" w:rsidRDefault="008F030C" w:rsidP="00CC7869">
      <w:pPr>
        <w:autoSpaceDE w:val="0"/>
        <w:autoSpaceDN w:val="0"/>
        <w:adjustRightInd w:val="0"/>
        <w:spacing w:before="120" w:after="120" w:line="276" w:lineRule="auto"/>
        <w:ind w:firstLine="720"/>
        <w:jc w:val="both"/>
        <w:rPr>
          <w:rStyle w:val="Hyperlink"/>
          <w:rFonts w:cs="Times New Roman"/>
          <w:color w:val="auto"/>
          <w:sz w:val="28"/>
          <w:szCs w:val="28"/>
          <w:highlight w:val="yellow"/>
          <w:u w:val="none"/>
        </w:rPr>
      </w:pPr>
      <w:r w:rsidRPr="00DB28C3">
        <w:rPr>
          <w:rFonts w:cs="Times New Roman"/>
          <w:bCs/>
          <w:sz w:val="28"/>
          <w:szCs w:val="28"/>
        </w:rPr>
        <w:t>2019. gada I pusgadā VI</w:t>
      </w:r>
      <w:r w:rsidRPr="00DB28C3">
        <w:rPr>
          <w:rFonts w:cs="Times New Roman"/>
          <w:b/>
          <w:bCs/>
          <w:sz w:val="28"/>
          <w:szCs w:val="28"/>
        </w:rPr>
        <w:t xml:space="preserve"> </w:t>
      </w:r>
      <w:r w:rsidR="00666CEE" w:rsidRPr="00DB28C3">
        <w:rPr>
          <w:rStyle w:val="Hyperlink"/>
          <w:rFonts w:cs="Times New Roman"/>
          <w:color w:val="auto"/>
          <w:sz w:val="28"/>
          <w:szCs w:val="28"/>
          <w:u w:val="none"/>
        </w:rPr>
        <w:t>kopumā ir veikusi 56</w:t>
      </w:r>
      <w:r w:rsidRPr="00DB28C3">
        <w:rPr>
          <w:rStyle w:val="Hyperlink"/>
          <w:rFonts w:cs="Times New Roman"/>
          <w:color w:val="auto"/>
          <w:sz w:val="28"/>
          <w:szCs w:val="28"/>
          <w:u w:val="none"/>
        </w:rPr>
        <w:t xml:space="preserve"> deleģēto funkciju pārbaudes, izmantojot uz risku balstītu pieeju, lai gūtu pārliecību par starpniekinstitūcijai deleģēto funkciju (projektu iesniegumu vērtēšana, līgumu slēgšana/ līgumu grozījumu izvērtēšana, iepirkumu </w:t>
      </w:r>
      <w:proofErr w:type="spellStart"/>
      <w:r w:rsidRPr="00DB28C3">
        <w:rPr>
          <w:rStyle w:val="Hyperlink"/>
          <w:rFonts w:cs="Times New Roman"/>
          <w:color w:val="auto"/>
          <w:sz w:val="28"/>
          <w:szCs w:val="28"/>
          <w:u w:val="none"/>
        </w:rPr>
        <w:t>pirmspārbaudes</w:t>
      </w:r>
      <w:proofErr w:type="spellEnd"/>
      <w:r w:rsidRPr="00DB28C3">
        <w:rPr>
          <w:rStyle w:val="Hyperlink"/>
          <w:rFonts w:cs="Times New Roman"/>
          <w:color w:val="auto"/>
          <w:sz w:val="28"/>
          <w:szCs w:val="28"/>
          <w:u w:val="none"/>
        </w:rPr>
        <w:t xml:space="preserve">, maksājumu pieprasījumu pārbaudes, neatbilstību administrēšana, pārbaudes </w:t>
      </w:r>
      <w:r w:rsidR="00B10D32" w:rsidRPr="00DB28C3">
        <w:rPr>
          <w:rStyle w:val="Hyperlink"/>
          <w:rFonts w:cs="Times New Roman"/>
          <w:color w:val="auto"/>
          <w:sz w:val="28"/>
          <w:szCs w:val="28"/>
          <w:u w:val="none"/>
        </w:rPr>
        <w:t>projektu īstenošanas vietās, KP</w:t>
      </w:r>
      <w:r w:rsidRPr="00DB28C3">
        <w:rPr>
          <w:rStyle w:val="Hyperlink"/>
          <w:rFonts w:cs="Times New Roman"/>
          <w:color w:val="auto"/>
          <w:sz w:val="28"/>
          <w:szCs w:val="28"/>
          <w:u w:val="none"/>
        </w:rPr>
        <w:t xml:space="preserve">VIS administrēšana) atbilstošu nodrošināšanu, tai skaitā pabeigta </w:t>
      </w:r>
      <w:r w:rsidR="00666CEE" w:rsidRPr="00DB28C3">
        <w:rPr>
          <w:rStyle w:val="Hyperlink"/>
          <w:rFonts w:cs="Times New Roman"/>
          <w:color w:val="auto"/>
          <w:sz w:val="28"/>
          <w:szCs w:val="28"/>
          <w:u w:val="none"/>
        </w:rPr>
        <w:t>FI</w:t>
      </w:r>
      <w:r w:rsidRPr="00DB28C3">
        <w:rPr>
          <w:rStyle w:val="Hyperlink"/>
          <w:rFonts w:cs="Times New Roman"/>
          <w:color w:val="auto"/>
          <w:sz w:val="28"/>
          <w:szCs w:val="28"/>
          <w:u w:val="none"/>
        </w:rPr>
        <w:t xml:space="preserve"> uzraudzības </w:t>
      </w:r>
      <w:proofErr w:type="spellStart"/>
      <w:r w:rsidRPr="00DB28C3">
        <w:rPr>
          <w:rStyle w:val="Hyperlink"/>
          <w:rFonts w:cs="Times New Roman"/>
          <w:color w:val="auto"/>
          <w:sz w:val="28"/>
          <w:szCs w:val="28"/>
          <w:u w:val="none"/>
        </w:rPr>
        <w:t>virspārbaude</w:t>
      </w:r>
      <w:proofErr w:type="spellEnd"/>
      <w:r w:rsidRPr="00DB28C3">
        <w:rPr>
          <w:rStyle w:val="Hyperlink"/>
          <w:rFonts w:cs="Times New Roman"/>
          <w:color w:val="auto"/>
          <w:sz w:val="28"/>
          <w:szCs w:val="28"/>
          <w:u w:val="none"/>
        </w:rPr>
        <w:t>. Trūkumiem, kas ir konstatēti deleģēto funkciju pārbaudēs, nav būtiskas ietekmes uz kopējo deleģēto funkciju izpildes kvalitāti, kā arī tie nav ar tādām pazīmēm, kas varētu ietekmēt atbilstošu vadības un kontroles sistēmas darbību. Par konstatēto trūkumu novēršanu ir sagatavoti rīcības plāni, kas tiek pildīti, ievērojot saskaņotos termiņus. VI ir guvusi pārliecību, ka kopumā starpniekinstitūcija deleģētās funkcijas pilda pietiekamā kvalitātē, t.sk. vadības un kontroles sistēma kopumā darbojas atbilstoši.</w:t>
      </w:r>
      <w:r w:rsidR="00A01863" w:rsidRPr="00DB28C3">
        <w:rPr>
          <w:rStyle w:val="Hyperlink"/>
          <w:rFonts w:cs="Times New Roman"/>
          <w:color w:val="auto"/>
          <w:sz w:val="28"/>
          <w:szCs w:val="28"/>
          <w:highlight w:val="yellow"/>
          <w:u w:val="none"/>
        </w:rPr>
        <w:t xml:space="preserve"> </w:t>
      </w:r>
    </w:p>
    <w:p w14:paraId="3E66A922" w14:textId="6554A079" w:rsidR="00781C6C" w:rsidRPr="00DB28C3" w:rsidRDefault="00A01863" w:rsidP="00CC7869">
      <w:pPr>
        <w:autoSpaceDE w:val="0"/>
        <w:autoSpaceDN w:val="0"/>
        <w:adjustRightInd w:val="0"/>
        <w:spacing w:before="120" w:after="120" w:line="276" w:lineRule="auto"/>
        <w:ind w:firstLine="720"/>
        <w:jc w:val="both"/>
        <w:rPr>
          <w:rStyle w:val="Hyperlink"/>
          <w:rFonts w:cs="Times New Roman"/>
          <w:color w:val="auto"/>
          <w:sz w:val="28"/>
          <w:szCs w:val="28"/>
          <w:u w:val="none"/>
        </w:rPr>
      </w:pPr>
      <w:r w:rsidRPr="00DB28C3">
        <w:rPr>
          <w:rStyle w:val="Hyperlink"/>
          <w:rFonts w:cs="Times New Roman"/>
          <w:color w:val="auto"/>
          <w:sz w:val="28"/>
          <w:szCs w:val="28"/>
          <w:u w:val="none"/>
        </w:rPr>
        <w:t>Ņemot vērā gan pārbaudēs konstatētos trūkumus, gan st</w:t>
      </w:r>
      <w:r w:rsidR="005219CE">
        <w:rPr>
          <w:rStyle w:val="Hyperlink"/>
          <w:rFonts w:cs="Times New Roman"/>
          <w:color w:val="auto"/>
          <w:sz w:val="28"/>
          <w:szCs w:val="28"/>
          <w:u w:val="none"/>
        </w:rPr>
        <w:t>ar</w:t>
      </w:r>
      <w:r w:rsidRPr="00DB28C3">
        <w:rPr>
          <w:rStyle w:val="Hyperlink"/>
          <w:rFonts w:cs="Times New Roman"/>
          <w:color w:val="auto"/>
          <w:sz w:val="28"/>
          <w:szCs w:val="28"/>
          <w:u w:val="none"/>
        </w:rPr>
        <w:t>pniekinstitūciju uzdotos jautājumus, VI pēc pieprasījuma sniedz metodisko un skaidrojošo informāciju, tai skaitā pēc nepieciešamības tiek precizētas un papildinātas jau izstrādātās vadlīnijas, ar mērķi veicināt vienotu izpratni par procesiem un mazināt neatbilstoši veikto izdevumu rašanās risku.</w:t>
      </w:r>
    </w:p>
    <w:p w14:paraId="1B8C2391" w14:textId="7B764DCA" w:rsidR="008A6570" w:rsidRPr="00143C4A" w:rsidRDefault="008A6570" w:rsidP="008A6570">
      <w:pPr>
        <w:spacing w:before="120" w:after="120" w:line="276" w:lineRule="auto"/>
        <w:ind w:firstLine="709"/>
        <w:jc w:val="both"/>
        <w:rPr>
          <w:rFonts w:cs="Times New Roman"/>
          <w:sz w:val="28"/>
          <w:szCs w:val="28"/>
        </w:rPr>
      </w:pPr>
      <w:r w:rsidRPr="00DB28C3">
        <w:rPr>
          <w:rFonts w:cs="Times New Roman"/>
          <w:sz w:val="28"/>
          <w:szCs w:val="28"/>
        </w:rPr>
        <w:t xml:space="preserve">Pārskata periodā CFLA turpināja darbu pie KPVIS procesu vienkāršošanas un sasaistes ar valsts datu bāzēm (piemēram, </w:t>
      </w:r>
      <w:r w:rsidR="003C32D5" w:rsidRPr="00DB28C3">
        <w:rPr>
          <w:rFonts w:cs="Times New Roman"/>
          <w:sz w:val="28"/>
          <w:szCs w:val="28"/>
        </w:rPr>
        <w:t>Valsts ieņēmumu dienesta</w:t>
      </w:r>
      <w:r w:rsidRPr="00DB28C3">
        <w:rPr>
          <w:rFonts w:cs="Times New Roman"/>
          <w:sz w:val="28"/>
          <w:szCs w:val="28"/>
        </w:rPr>
        <w:t>, Veselības un darbspēju ekspertīzes ārstu valsts komisijas, Nodarbinātības valsts aģentūras, Pilsonības un migrāciju lietu pārvaldes informācijas sistēmām u.c.), lai panāktu automātisk</w:t>
      </w:r>
      <w:r w:rsidR="00ED6DD9" w:rsidRPr="00DB28C3">
        <w:rPr>
          <w:rFonts w:cs="Times New Roman"/>
          <w:sz w:val="28"/>
          <w:szCs w:val="28"/>
        </w:rPr>
        <w:t xml:space="preserve">u </w:t>
      </w:r>
      <w:r w:rsidRPr="00DB28C3">
        <w:rPr>
          <w:rFonts w:cs="Times New Roman"/>
          <w:sz w:val="28"/>
          <w:szCs w:val="28"/>
        </w:rPr>
        <w:t xml:space="preserve">dalībnieku datu augšupielādi KPVIS. Tāpat uzsākts darbs </w:t>
      </w:r>
      <w:r w:rsidRPr="00DB28C3">
        <w:rPr>
          <w:rFonts w:cs="Times New Roman"/>
          <w:sz w:val="28"/>
          <w:szCs w:val="28"/>
        </w:rPr>
        <w:lastRenderedPageBreak/>
        <w:t>pie KPVIS e-vides lietojamības uzlabošanas. Ir nodrošināta dalībnieku saraksta “E-sadaļa” datu iesniegšana atsevišķi no maksājuma pieprasījuma un iespēja autentificēties KPVIS e-vidē</w:t>
      </w:r>
      <w:r w:rsidR="008D03CF">
        <w:rPr>
          <w:rFonts w:cs="Times New Roman"/>
          <w:sz w:val="28"/>
          <w:szCs w:val="28"/>
        </w:rPr>
        <w:t>,</w:t>
      </w:r>
      <w:r w:rsidRPr="00DB28C3">
        <w:rPr>
          <w:rFonts w:cs="Times New Roman"/>
          <w:sz w:val="28"/>
          <w:szCs w:val="28"/>
        </w:rPr>
        <w:t xml:space="preserve"> izmantojot portālu Latvija.lv. Kā būtisks KPVIS uzlabojums jāizceļ "Ziņojuma dēļa" (</w:t>
      </w:r>
      <w:proofErr w:type="spellStart"/>
      <w:r w:rsidRPr="00DB28C3">
        <w:rPr>
          <w:rFonts w:cs="Times New Roman"/>
          <w:i/>
          <w:sz w:val="28"/>
          <w:szCs w:val="28"/>
        </w:rPr>
        <w:t>dashboard</w:t>
      </w:r>
      <w:proofErr w:type="spellEnd"/>
      <w:r w:rsidRPr="00DB28C3">
        <w:rPr>
          <w:rFonts w:cs="Times New Roman"/>
          <w:sz w:val="28"/>
          <w:szCs w:val="28"/>
        </w:rPr>
        <w:t xml:space="preserve">) izstrāde, kas atvieglo projekta administrēšanas procesu gan CFLA darbiniekiem, gan FS, jo atspoguļo uzsāktos procesus, to plānotos un faktiskos izpildes </w:t>
      </w:r>
      <w:r w:rsidRPr="00143C4A">
        <w:rPr>
          <w:rFonts w:cs="Times New Roman"/>
          <w:sz w:val="28"/>
          <w:szCs w:val="28"/>
        </w:rPr>
        <w:t>termiņus, statusus, kopīgo darbu apjomu katram lietotājam individuāli un apkopotā veidā.</w:t>
      </w:r>
      <w:r w:rsidR="00B54196" w:rsidRPr="00143C4A">
        <w:rPr>
          <w:rFonts w:cs="Times New Roman"/>
          <w:sz w:val="28"/>
          <w:szCs w:val="28"/>
        </w:rPr>
        <w:t xml:space="preserve"> </w:t>
      </w:r>
      <w:r w:rsidR="00143C4A">
        <w:rPr>
          <w:rFonts w:cs="Times New Roman"/>
          <w:sz w:val="28"/>
          <w:szCs w:val="28"/>
        </w:rPr>
        <w:t>KPVIS procesu vienkāršošanas ieviešanas sākuma posmā tiek konstatētas arī tehniskas sistēmas darbības nepilnības</w:t>
      </w:r>
      <w:r w:rsidR="00143C4A">
        <w:rPr>
          <w:rStyle w:val="FootnoteReference"/>
          <w:rFonts w:cs="Times New Roman"/>
          <w:sz w:val="28"/>
          <w:szCs w:val="28"/>
        </w:rPr>
        <w:footnoteReference w:id="28"/>
      </w:r>
      <w:r w:rsidR="00143C4A">
        <w:rPr>
          <w:rFonts w:cs="Times New Roman"/>
          <w:sz w:val="28"/>
          <w:szCs w:val="28"/>
        </w:rPr>
        <w:t xml:space="preserve">. CFLA sadarbībā ar iesaistītām pusēm dara visu iespējamo, lai rastu labāko risinājumu iespējami ātri. </w:t>
      </w:r>
    </w:p>
    <w:p w14:paraId="128444A8" w14:textId="7E914211" w:rsidR="008A6570" w:rsidRDefault="00ED6DD9" w:rsidP="008A6570">
      <w:pPr>
        <w:spacing w:before="120" w:after="120" w:line="276" w:lineRule="auto"/>
        <w:ind w:firstLine="709"/>
        <w:jc w:val="both"/>
        <w:rPr>
          <w:rFonts w:cs="Times New Roman"/>
          <w:sz w:val="28"/>
          <w:szCs w:val="28"/>
        </w:rPr>
      </w:pPr>
      <w:r w:rsidRPr="00143C4A">
        <w:rPr>
          <w:rFonts w:cs="Times New Roman"/>
          <w:sz w:val="28"/>
          <w:szCs w:val="28"/>
        </w:rPr>
        <w:t xml:space="preserve">Tiek turpināts darbs pie </w:t>
      </w:r>
      <w:r w:rsidR="008A6570" w:rsidRPr="00143C4A">
        <w:rPr>
          <w:rFonts w:cs="Times New Roman"/>
          <w:sz w:val="28"/>
          <w:szCs w:val="28"/>
        </w:rPr>
        <w:t>ES fondu projektu ieviešanas vienkāršošanas</w:t>
      </w:r>
      <w:r w:rsidR="008A6570" w:rsidRPr="00DB28C3">
        <w:rPr>
          <w:rFonts w:cs="Times New Roman"/>
          <w:sz w:val="28"/>
          <w:szCs w:val="28"/>
        </w:rPr>
        <w:t xml:space="preserve"> - pārskatīts un mazināts no FS pieprasāmo dokumentu saturs un apjoms, izstrādāta mērķtiecīgāka izlašu veidošana un maksājuma pieprasījumu informācijas pārbaude. Būtiski samazināts algas izmaksu pārbaudes apjoms valsts iestāžu īstenojamajos projektos un infrastruktūras projektos, un lielākajā daļā projektu paredzēta retāka maksājuma pieprasījumu iesniegšana, pagarinot maksimālo periodu no trīs uz sešiem mēnešiem. Lai paātrinātu informācijas apriti par maksājuma pieprasījuma apstiprināšanu (avansa un starpposma maksājumiem bez neatbilstoši veiktiem izdevumiem), vēstules vietā FS tiek nosūtīts automātisks apstiprinājums KPVIS e-vidē.</w:t>
      </w:r>
      <w:r w:rsidR="005E205F" w:rsidRPr="00DB28C3">
        <w:rPr>
          <w:rFonts w:cs="Times New Roman"/>
          <w:sz w:val="28"/>
          <w:szCs w:val="28"/>
        </w:rPr>
        <w:t xml:space="preserve"> </w:t>
      </w:r>
      <w:r w:rsidR="008A6570" w:rsidRPr="00DB28C3">
        <w:rPr>
          <w:rFonts w:cs="Times New Roman"/>
          <w:sz w:val="28"/>
          <w:szCs w:val="28"/>
        </w:rPr>
        <w:t>Sadarbībā ar AI un VI pārskata periodā izstrādāta vienas vienības izmaksu standarta likmes aprēķina un piemērošanas metodika iekšzemes komandējumu izmaksām.</w:t>
      </w:r>
    </w:p>
    <w:p w14:paraId="636A0AE3" w14:textId="0C8122A7" w:rsidR="009C0862" w:rsidRPr="00DB28C3" w:rsidRDefault="00987C44" w:rsidP="00E50243">
      <w:pPr>
        <w:spacing w:before="120" w:after="120" w:line="276" w:lineRule="auto"/>
        <w:ind w:firstLine="709"/>
        <w:rPr>
          <w:rFonts w:cs="Times New Roman"/>
          <w:b/>
          <w:sz w:val="28"/>
          <w:szCs w:val="28"/>
        </w:rPr>
      </w:pPr>
      <w:r w:rsidRPr="00DB28C3">
        <w:rPr>
          <w:rFonts w:cs="Times New Roman"/>
          <w:b/>
          <w:sz w:val="28"/>
          <w:szCs w:val="28"/>
        </w:rPr>
        <w:t>S</w:t>
      </w:r>
      <w:r w:rsidR="00CF7E85" w:rsidRPr="00DB28C3">
        <w:rPr>
          <w:rFonts w:cs="Times New Roman"/>
          <w:b/>
          <w:sz w:val="28"/>
          <w:szCs w:val="28"/>
        </w:rPr>
        <w:t xml:space="preserve">tiprināta normatīvā bāze </w:t>
      </w:r>
      <w:r w:rsidR="001254DC" w:rsidRPr="00DB28C3">
        <w:rPr>
          <w:rFonts w:cs="Times New Roman"/>
          <w:b/>
          <w:sz w:val="28"/>
          <w:szCs w:val="28"/>
        </w:rPr>
        <w:t xml:space="preserve">un metodikas </w:t>
      </w:r>
      <w:r w:rsidR="00CF7E85" w:rsidRPr="00DB28C3">
        <w:rPr>
          <w:rFonts w:cs="Times New Roman"/>
          <w:b/>
          <w:sz w:val="28"/>
          <w:szCs w:val="28"/>
        </w:rPr>
        <w:t>ES fondu ieviešanā</w:t>
      </w:r>
    </w:p>
    <w:p w14:paraId="3B4A7193" w14:textId="641807B6" w:rsidR="00735160" w:rsidRPr="00DB28C3" w:rsidRDefault="00482BF4" w:rsidP="00735160">
      <w:pPr>
        <w:tabs>
          <w:tab w:val="left" w:pos="851"/>
        </w:tabs>
        <w:spacing w:before="120" w:after="120" w:line="276" w:lineRule="auto"/>
        <w:ind w:firstLine="709"/>
        <w:jc w:val="both"/>
        <w:rPr>
          <w:rFonts w:cs="Times New Roman"/>
          <w:i/>
          <w:sz w:val="28"/>
          <w:szCs w:val="28"/>
        </w:rPr>
      </w:pPr>
      <w:r w:rsidRPr="00DB28C3">
        <w:rPr>
          <w:rFonts w:cs="Times New Roman"/>
          <w:sz w:val="28"/>
          <w:szCs w:val="28"/>
        </w:rPr>
        <w:t>20</w:t>
      </w:r>
      <w:r w:rsidR="000A3942" w:rsidRPr="00DB28C3">
        <w:rPr>
          <w:rFonts w:cs="Times New Roman"/>
          <w:sz w:val="28"/>
          <w:szCs w:val="28"/>
        </w:rPr>
        <w:t>19</w:t>
      </w:r>
      <w:r w:rsidRPr="00DB28C3">
        <w:rPr>
          <w:rFonts w:cs="Times New Roman"/>
          <w:sz w:val="28"/>
          <w:szCs w:val="28"/>
        </w:rPr>
        <w:t>. gada </w:t>
      </w:r>
      <w:r w:rsidR="000A3942" w:rsidRPr="00DB28C3">
        <w:rPr>
          <w:rFonts w:cs="Times New Roman"/>
          <w:sz w:val="28"/>
          <w:szCs w:val="28"/>
        </w:rPr>
        <w:t>2</w:t>
      </w:r>
      <w:r w:rsidR="007A2DF6" w:rsidRPr="00DB28C3">
        <w:rPr>
          <w:rFonts w:cs="Times New Roman"/>
          <w:sz w:val="28"/>
          <w:szCs w:val="28"/>
        </w:rPr>
        <w:t>9</w:t>
      </w:r>
      <w:r w:rsidR="000A3942" w:rsidRPr="00DB28C3">
        <w:rPr>
          <w:rFonts w:cs="Times New Roman"/>
          <w:sz w:val="28"/>
          <w:szCs w:val="28"/>
        </w:rPr>
        <w:t>.</w:t>
      </w:r>
      <w:r w:rsidR="00FE22B7">
        <w:rPr>
          <w:rFonts w:cs="Times New Roman"/>
          <w:sz w:val="28"/>
          <w:szCs w:val="28"/>
        </w:rPr>
        <w:t> </w:t>
      </w:r>
      <w:r w:rsidR="000A3942" w:rsidRPr="00DB28C3">
        <w:rPr>
          <w:rFonts w:cs="Times New Roman"/>
          <w:sz w:val="28"/>
          <w:szCs w:val="28"/>
        </w:rPr>
        <w:t>martā</w:t>
      </w:r>
      <w:r w:rsidR="004F7B5C" w:rsidRPr="00DB28C3">
        <w:rPr>
          <w:rFonts w:cs="Times New Roman"/>
          <w:sz w:val="28"/>
          <w:szCs w:val="28"/>
        </w:rPr>
        <w:t xml:space="preserve"> </w:t>
      </w:r>
      <w:r w:rsidR="000A3942" w:rsidRPr="00DB28C3">
        <w:rPr>
          <w:rFonts w:cs="Times New Roman"/>
          <w:sz w:val="28"/>
          <w:szCs w:val="28"/>
        </w:rPr>
        <w:t>stājās spē</w:t>
      </w:r>
      <w:r w:rsidR="00735160" w:rsidRPr="00DB28C3">
        <w:rPr>
          <w:rFonts w:cs="Times New Roman"/>
          <w:sz w:val="28"/>
          <w:szCs w:val="28"/>
        </w:rPr>
        <w:t>kā</w:t>
      </w:r>
      <w:r w:rsidRPr="00DB28C3">
        <w:rPr>
          <w:rFonts w:cs="Times New Roman"/>
          <w:sz w:val="28"/>
          <w:szCs w:val="28"/>
        </w:rPr>
        <w:t xml:space="preserve"> </w:t>
      </w:r>
      <w:r w:rsidR="00FE22B7">
        <w:rPr>
          <w:rFonts w:cs="Times New Roman"/>
          <w:sz w:val="28"/>
          <w:szCs w:val="28"/>
        </w:rPr>
        <w:t>MK</w:t>
      </w:r>
      <w:r w:rsidR="00AA6658" w:rsidRPr="00DB28C3">
        <w:rPr>
          <w:rFonts w:cs="Times New Roman"/>
          <w:sz w:val="28"/>
          <w:szCs w:val="28"/>
        </w:rPr>
        <w:t xml:space="preserve"> noteikumi </w:t>
      </w:r>
      <w:r w:rsidR="00015DAF">
        <w:rPr>
          <w:rFonts w:cs="Times New Roman"/>
          <w:sz w:val="28"/>
          <w:szCs w:val="28"/>
        </w:rPr>
        <w:t>Nr.</w:t>
      </w:r>
      <w:r w:rsidR="00BA10E4">
        <w:rPr>
          <w:rFonts w:cs="Times New Roman"/>
          <w:sz w:val="28"/>
          <w:szCs w:val="28"/>
        </w:rPr>
        <w:t xml:space="preserve"> </w:t>
      </w:r>
      <w:r w:rsidR="00015DAF">
        <w:rPr>
          <w:rFonts w:cs="Times New Roman"/>
          <w:sz w:val="28"/>
          <w:szCs w:val="28"/>
        </w:rPr>
        <w:t>129</w:t>
      </w:r>
      <w:r w:rsidRPr="00DB28C3">
        <w:rPr>
          <w:rFonts w:cs="Times New Roman"/>
          <w:sz w:val="28"/>
          <w:szCs w:val="28"/>
        </w:rPr>
        <w:t>,</w:t>
      </w:r>
      <w:r w:rsidR="00AA6658" w:rsidRPr="00DB28C3">
        <w:rPr>
          <w:rFonts w:cs="Times New Roman"/>
          <w:sz w:val="28"/>
          <w:szCs w:val="28"/>
        </w:rPr>
        <w:t xml:space="preserve"> kuri paredz</w:t>
      </w:r>
      <w:r w:rsidRPr="00DB28C3">
        <w:rPr>
          <w:rFonts w:cs="Times New Roman"/>
          <w:i/>
          <w:sz w:val="28"/>
          <w:szCs w:val="28"/>
        </w:rPr>
        <w:t xml:space="preserve"> </w:t>
      </w:r>
      <w:r w:rsidR="00C41505" w:rsidRPr="00DB28C3">
        <w:rPr>
          <w:rFonts w:cs="Times New Roman"/>
          <w:sz w:val="28"/>
          <w:szCs w:val="28"/>
        </w:rPr>
        <w:t xml:space="preserve">svītrot no maksājuma pieprasījuma </w:t>
      </w:r>
      <w:r w:rsidR="00B34399">
        <w:rPr>
          <w:rFonts w:cs="Times New Roman"/>
          <w:sz w:val="28"/>
          <w:szCs w:val="28"/>
        </w:rPr>
        <w:t>“</w:t>
      </w:r>
      <w:r w:rsidR="00C41505" w:rsidRPr="00DB28C3">
        <w:rPr>
          <w:rFonts w:cs="Times New Roman"/>
          <w:sz w:val="28"/>
          <w:szCs w:val="28"/>
        </w:rPr>
        <w:t>E</w:t>
      </w:r>
      <w:r w:rsidR="00B34399">
        <w:rPr>
          <w:rFonts w:cs="Times New Roman"/>
          <w:sz w:val="28"/>
          <w:szCs w:val="28"/>
        </w:rPr>
        <w:t>-</w:t>
      </w:r>
      <w:r w:rsidR="00C41505" w:rsidRPr="00DB28C3">
        <w:rPr>
          <w:rFonts w:cs="Times New Roman"/>
          <w:sz w:val="28"/>
          <w:szCs w:val="28"/>
        </w:rPr>
        <w:t>sadaļa</w:t>
      </w:r>
      <w:r w:rsidR="00B34399">
        <w:rPr>
          <w:rFonts w:cs="Times New Roman"/>
          <w:sz w:val="28"/>
          <w:szCs w:val="28"/>
        </w:rPr>
        <w:t>”</w:t>
      </w:r>
      <w:r w:rsidR="00C41505" w:rsidRPr="00DB28C3">
        <w:rPr>
          <w:rFonts w:cs="Times New Roman"/>
          <w:sz w:val="28"/>
          <w:szCs w:val="28"/>
        </w:rPr>
        <w:t xml:space="preserve"> datu laukus, kuros noteiktās informā</w:t>
      </w:r>
      <w:r w:rsidR="00FE1C7A" w:rsidRPr="00DB28C3">
        <w:rPr>
          <w:rFonts w:cs="Times New Roman"/>
          <w:sz w:val="28"/>
          <w:szCs w:val="28"/>
        </w:rPr>
        <w:t xml:space="preserve">cijas uzkrāšanu vairs neparedz </w:t>
      </w:r>
      <w:r w:rsidR="00C41505" w:rsidRPr="00DB28C3">
        <w:rPr>
          <w:rFonts w:cs="Times New Roman"/>
          <w:sz w:val="28"/>
          <w:szCs w:val="28"/>
        </w:rPr>
        <w:t>gr</w:t>
      </w:r>
      <w:r w:rsidR="00EA2F2F" w:rsidRPr="00DB28C3">
        <w:rPr>
          <w:rFonts w:cs="Times New Roman"/>
          <w:sz w:val="28"/>
          <w:szCs w:val="28"/>
        </w:rPr>
        <w:t>o</w:t>
      </w:r>
      <w:r w:rsidR="00C41505" w:rsidRPr="00DB28C3">
        <w:rPr>
          <w:rFonts w:cs="Times New Roman"/>
          <w:sz w:val="28"/>
          <w:szCs w:val="28"/>
        </w:rPr>
        <w:t xml:space="preserve">zījumi </w:t>
      </w:r>
      <w:r w:rsidR="00B34399">
        <w:rPr>
          <w:rFonts w:cs="Times New Roman"/>
          <w:sz w:val="28"/>
          <w:szCs w:val="28"/>
        </w:rPr>
        <w:t>r</w:t>
      </w:r>
      <w:r w:rsidR="00C41505" w:rsidRPr="00DB28C3">
        <w:rPr>
          <w:rFonts w:cs="Times New Roman"/>
          <w:sz w:val="28"/>
          <w:szCs w:val="28"/>
        </w:rPr>
        <w:t>egulā Nr. 1304/2013. Papildus, lai nekavētu ES fondu atbalsta izsniegšanu, ar grozījumiem minētā maksājuma pieprasījuma sadaļa tiek izdalīta kā atsevišķ</w:t>
      </w:r>
      <w:r w:rsidR="00EA2F2F" w:rsidRPr="00DB28C3">
        <w:rPr>
          <w:rFonts w:cs="Times New Roman"/>
          <w:sz w:val="28"/>
          <w:szCs w:val="28"/>
        </w:rPr>
        <w:t>s</w:t>
      </w:r>
      <w:r w:rsidR="00C41505" w:rsidRPr="00DB28C3">
        <w:rPr>
          <w:rFonts w:cs="Times New Roman"/>
          <w:sz w:val="28"/>
          <w:szCs w:val="28"/>
        </w:rPr>
        <w:t xml:space="preserve"> pielikums, papildinot noteikumus ar kārtību, kādā </w:t>
      </w:r>
      <w:r w:rsidR="00616D7C" w:rsidRPr="00DB28C3">
        <w:rPr>
          <w:rFonts w:cs="Times New Roman"/>
          <w:sz w:val="28"/>
          <w:szCs w:val="28"/>
        </w:rPr>
        <w:t>FS</w:t>
      </w:r>
      <w:r w:rsidR="00C41505" w:rsidRPr="00DB28C3">
        <w:rPr>
          <w:rFonts w:cs="Times New Roman"/>
          <w:sz w:val="28"/>
          <w:szCs w:val="28"/>
        </w:rPr>
        <w:t xml:space="preserve"> iesniegs</w:t>
      </w:r>
      <w:r w:rsidR="008D7CA9" w:rsidRPr="00DB28C3">
        <w:rPr>
          <w:rFonts w:cs="Times New Roman"/>
          <w:sz w:val="28"/>
          <w:szCs w:val="28"/>
        </w:rPr>
        <w:t xml:space="preserve"> un</w:t>
      </w:r>
      <w:r w:rsidR="00C41505" w:rsidRPr="00DB28C3">
        <w:rPr>
          <w:rFonts w:cs="Times New Roman"/>
          <w:sz w:val="28"/>
          <w:szCs w:val="28"/>
        </w:rPr>
        <w:t xml:space="preserve"> SI pārbaudīs minēto pielikumu.</w:t>
      </w:r>
      <w:r w:rsidR="00AA6658" w:rsidRPr="00DB28C3">
        <w:rPr>
          <w:rFonts w:cs="Times New Roman"/>
          <w:sz w:val="28"/>
          <w:szCs w:val="28"/>
        </w:rPr>
        <w:t xml:space="preserve"> </w:t>
      </w:r>
      <w:r w:rsidR="007A2DF6" w:rsidRPr="00DB28C3">
        <w:rPr>
          <w:rFonts w:cs="Times New Roman"/>
          <w:sz w:val="28"/>
          <w:szCs w:val="28"/>
        </w:rPr>
        <w:t xml:space="preserve">Papildus noteikumu projektam pievienots MK </w:t>
      </w:r>
      <w:r w:rsidR="00015DAF">
        <w:rPr>
          <w:rFonts w:cs="Times New Roman"/>
          <w:sz w:val="28"/>
          <w:szCs w:val="28"/>
        </w:rPr>
        <w:t>2019.</w:t>
      </w:r>
      <w:r w:rsidR="009B2BE5">
        <w:rPr>
          <w:rFonts w:cs="Times New Roman"/>
          <w:sz w:val="28"/>
          <w:szCs w:val="28"/>
        </w:rPr>
        <w:t xml:space="preserve"> </w:t>
      </w:r>
      <w:r w:rsidR="00015DAF">
        <w:rPr>
          <w:rFonts w:cs="Times New Roman"/>
          <w:sz w:val="28"/>
          <w:szCs w:val="28"/>
        </w:rPr>
        <w:t xml:space="preserve">gada 26. marta </w:t>
      </w:r>
      <w:r w:rsidR="007A2DF6" w:rsidRPr="00DB28C3">
        <w:rPr>
          <w:rFonts w:cs="Times New Roman"/>
          <w:sz w:val="28"/>
          <w:szCs w:val="28"/>
        </w:rPr>
        <w:t xml:space="preserve">sēdes </w:t>
      </w:r>
      <w:proofErr w:type="spellStart"/>
      <w:r w:rsidR="007A2DF6" w:rsidRPr="00DB28C3">
        <w:rPr>
          <w:rFonts w:cs="Times New Roman"/>
          <w:sz w:val="28"/>
          <w:szCs w:val="28"/>
        </w:rPr>
        <w:t>protokollēmum</w:t>
      </w:r>
      <w:r w:rsidR="00015DAF">
        <w:rPr>
          <w:rFonts w:cs="Times New Roman"/>
          <w:sz w:val="28"/>
          <w:szCs w:val="28"/>
        </w:rPr>
        <w:t>s</w:t>
      </w:r>
      <w:proofErr w:type="spellEnd"/>
      <w:r w:rsidR="00912B2C">
        <w:rPr>
          <w:rStyle w:val="FootnoteReference"/>
          <w:rFonts w:cs="Times New Roman"/>
          <w:sz w:val="28"/>
          <w:szCs w:val="28"/>
        </w:rPr>
        <w:footnoteReference w:id="29"/>
      </w:r>
      <w:r w:rsidR="007A2DF6" w:rsidRPr="00DB28C3">
        <w:rPr>
          <w:rFonts w:cs="Times New Roman"/>
          <w:sz w:val="28"/>
          <w:szCs w:val="28"/>
        </w:rPr>
        <w:t xml:space="preserve">, kurā noteikti uzdevumi </w:t>
      </w:r>
      <w:r w:rsidR="00955FB4" w:rsidRPr="00DB28C3">
        <w:rPr>
          <w:rFonts w:cs="Times New Roman"/>
          <w:sz w:val="28"/>
          <w:szCs w:val="28"/>
        </w:rPr>
        <w:t>CFLA</w:t>
      </w:r>
      <w:r w:rsidR="00B10D32" w:rsidRPr="00DB28C3">
        <w:rPr>
          <w:rFonts w:cs="Times New Roman"/>
          <w:sz w:val="28"/>
          <w:szCs w:val="28"/>
        </w:rPr>
        <w:t xml:space="preserve"> kā KP</w:t>
      </w:r>
      <w:r w:rsidR="007A2DF6" w:rsidRPr="00DB28C3">
        <w:rPr>
          <w:rFonts w:cs="Times New Roman"/>
          <w:sz w:val="28"/>
          <w:szCs w:val="28"/>
        </w:rPr>
        <w:t>VIS pārzinim un valsts informāciju sistēmu pārziņi</w:t>
      </w:r>
      <w:r w:rsidR="00ED6DD9" w:rsidRPr="00DB28C3">
        <w:rPr>
          <w:rFonts w:cs="Times New Roman"/>
          <w:sz w:val="28"/>
          <w:szCs w:val="28"/>
        </w:rPr>
        <w:t>em nodrošināt</w:t>
      </w:r>
      <w:r w:rsidR="007A2DF6" w:rsidRPr="00DB28C3">
        <w:rPr>
          <w:rFonts w:cs="Times New Roman"/>
          <w:sz w:val="28"/>
          <w:szCs w:val="28"/>
        </w:rPr>
        <w:t xml:space="preserve"> darboties spējīgus integrācijas servisus attiecīgajās sistēmās</w:t>
      </w:r>
      <w:r w:rsidR="00B10D32" w:rsidRPr="00DB28C3">
        <w:rPr>
          <w:rFonts w:cs="Times New Roman"/>
          <w:sz w:val="28"/>
          <w:szCs w:val="28"/>
        </w:rPr>
        <w:t xml:space="preserve"> automātiskai datu iegūšanai KP</w:t>
      </w:r>
      <w:r w:rsidR="007A2DF6" w:rsidRPr="00DB28C3">
        <w:rPr>
          <w:rFonts w:cs="Times New Roman"/>
          <w:sz w:val="28"/>
          <w:szCs w:val="28"/>
        </w:rPr>
        <w:t>VIS.</w:t>
      </w:r>
    </w:p>
    <w:p w14:paraId="448F0759" w14:textId="7E29C542" w:rsidR="00F70FC3" w:rsidRPr="00DB28C3" w:rsidRDefault="00CC0D7A" w:rsidP="00735160">
      <w:pPr>
        <w:tabs>
          <w:tab w:val="left" w:pos="851"/>
        </w:tabs>
        <w:spacing w:before="120" w:after="120" w:line="276" w:lineRule="auto"/>
        <w:ind w:firstLine="709"/>
        <w:jc w:val="both"/>
        <w:rPr>
          <w:rFonts w:cs="Times New Roman"/>
          <w:i/>
          <w:sz w:val="28"/>
          <w:szCs w:val="28"/>
        </w:rPr>
      </w:pPr>
      <w:r w:rsidRPr="00DB28C3">
        <w:rPr>
          <w:rFonts w:cs="Times New Roman"/>
          <w:sz w:val="28"/>
          <w:szCs w:val="28"/>
        </w:rPr>
        <w:lastRenderedPageBreak/>
        <w:t>VI s</w:t>
      </w:r>
      <w:r w:rsidR="004C47C8" w:rsidRPr="00DB28C3">
        <w:rPr>
          <w:rFonts w:cs="Times New Roman"/>
          <w:sz w:val="28"/>
          <w:szCs w:val="28"/>
        </w:rPr>
        <w:t>askaņo</w:t>
      </w:r>
      <w:r w:rsidRPr="00DB28C3">
        <w:rPr>
          <w:rFonts w:cs="Times New Roman"/>
          <w:sz w:val="28"/>
          <w:szCs w:val="28"/>
        </w:rPr>
        <w:t>jusi</w:t>
      </w:r>
      <w:r w:rsidR="004C47C8" w:rsidRPr="00DB28C3">
        <w:rPr>
          <w:rFonts w:cs="Times New Roman"/>
          <w:sz w:val="28"/>
          <w:szCs w:val="28"/>
        </w:rPr>
        <w:t xml:space="preserve"> </w:t>
      </w:r>
      <w:r w:rsidR="00777908" w:rsidRPr="00DB28C3">
        <w:rPr>
          <w:rFonts w:cs="Times New Roman"/>
          <w:sz w:val="28"/>
          <w:szCs w:val="28"/>
        </w:rPr>
        <w:t xml:space="preserve">vienu jaunu </w:t>
      </w:r>
      <w:r w:rsidR="00E92323" w:rsidRPr="00DB28C3">
        <w:rPr>
          <w:rFonts w:cs="Times New Roman"/>
          <w:sz w:val="28"/>
          <w:szCs w:val="28"/>
        </w:rPr>
        <w:t xml:space="preserve">un </w:t>
      </w:r>
      <w:r w:rsidR="00777908" w:rsidRPr="00DB28C3">
        <w:rPr>
          <w:rFonts w:cs="Times New Roman"/>
          <w:sz w:val="28"/>
          <w:szCs w:val="28"/>
        </w:rPr>
        <w:t xml:space="preserve">divas </w:t>
      </w:r>
      <w:r w:rsidR="00E92323" w:rsidRPr="00DB28C3">
        <w:rPr>
          <w:rFonts w:cs="Times New Roman"/>
          <w:sz w:val="28"/>
          <w:szCs w:val="28"/>
        </w:rPr>
        <w:t>aktualizētas</w:t>
      </w:r>
      <w:r w:rsidR="00987C44" w:rsidRPr="00DB28C3">
        <w:rPr>
          <w:rFonts w:cs="Times New Roman"/>
          <w:sz w:val="28"/>
          <w:szCs w:val="28"/>
        </w:rPr>
        <w:t xml:space="preserve"> </w:t>
      </w:r>
      <w:r w:rsidR="004C47C8" w:rsidRPr="00DB28C3">
        <w:rPr>
          <w:rFonts w:cs="Times New Roman"/>
          <w:sz w:val="28"/>
          <w:szCs w:val="28"/>
        </w:rPr>
        <w:t>vienas vienības izmaksu metodikas</w:t>
      </w:r>
      <w:r w:rsidR="00777908" w:rsidRPr="00DB28C3">
        <w:rPr>
          <w:rFonts w:cs="Times New Roman"/>
          <w:sz w:val="28"/>
          <w:szCs w:val="28"/>
        </w:rPr>
        <w:t>, kā arī saskaņojusi vienu jaunu vien</w:t>
      </w:r>
      <w:r w:rsidR="00034E77" w:rsidRPr="00DB28C3">
        <w:rPr>
          <w:rFonts w:cs="Times New Roman"/>
          <w:sz w:val="28"/>
          <w:szCs w:val="28"/>
        </w:rPr>
        <w:t>r</w:t>
      </w:r>
      <w:r w:rsidR="00777908" w:rsidRPr="00DB28C3">
        <w:rPr>
          <w:rFonts w:cs="Times New Roman"/>
          <w:sz w:val="28"/>
          <w:szCs w:val="28"/>
        </w:rPr>
        <w:t>eizējā maksājuma metodiku</w:t>
      </w:r>
      <w:r w:rsidR="004C47C8" w:rsidRPr="00DB28C3">
        <w:rPr>
          <w:rFonts w:cs="Times New Roman"/>
          <w:sz w:val="28"/>
          <w:szCs w:val="28"/>
        </w:rPr>
        <w:t>, kas samazinās administratīvo slog</w:t>
      </w:r>
      <w:r w:rsidR="00987C44" w:rsidRPr="00DB28C3">
        <w:rPr>
          <w:rFonts w:cs="Times New Roman"/>
          <w:sz w:val="28"/>
          <w:szCs w:val="28"/>
        </w:rPr>
        <w:t>u projektu ietvaros</w:t>
      </w:r>
      <w:r w:rsidR="004C47C8" w:rsidRPr="00DB28C3">
        <w:rPr>
          <w:rFonts w:cs="Times New Roman"/>
          <w:sz w:val="28"/>
          <w:szCs w:val="28"/>
        </w:rPr>
        <w:t>.</w:t>
      </w:r>
      <w:r w:rsidR="006C3681" w:rsidRPr="00DB28C3">
        <w:rPr>
          <w:rFonts w:cs="Times New Roman"/>
          <w:sz w:val="28"/>
          <w:szCs w:val="28"/>
        </w:rPr>
        <w:t xml:space="preserve"> </w:t>
      </w:r>
      <w:r w:rsidR="00777908" w:rsidRPr="00DB28C3">
        <w:rPr>
          <w:rFonts w:cs="Times New Roman"/>
          <w:sz w:val="28"/>
          <w:szCs w:val="28"/>
        </w:rPr>
        <w:t>2019.</w:t>
      </w:r>
      <w:r w:rsidR="00FE22B7">
        <w:rPr>
          <w:rFonts w:cs="Times New Roman"/>
          <w:sz w:val="28"/>
          <w:szCs w:val="28"/>
        </w:rPr>
        <w:t> </w:t>
      </w:r>
      <w:r w:rsidR="00777908" w:rsidRPr="00DB28C3">
        <w:rPr>
          <w:rFonts w:cs="Times New Roman"/>
          <w:sz w:val="28"/>
          <w:szCs w:val="28"/>
        </w:rPr>
        <w:t>gada</w:t>
      </w:r>
      <w:r w:rsidR="00FB3017" w:rsidRPr="00DB28C3">
        <w:rPr>
          <w:rFonts w:cs="Times New Roman"/>
          <w:sz w:val="28"/>
          <w:szCs w:val="28"/>
        </w:rPr>
        <w:t> </w:t>
      </w:r>
      <w:r w:rsidR="00777908" w:rsidRPr="00DB28C3">
        <w:rPr>
          <w:rFonts w:cs="Times New Roman"/>
          <w:sz w:val="28"/>
          <w:szCs w:val="28"/>
        </w:rPr>
        <w:t>3.</w:t>
      </w:r>
      <w:r w:rsidR="00FE22B7">
        <w:rPr>
          <w:rFonts w:cs="Times New Roman"/>
          <w:sz w:val="28"/>
          <w:szCs w:val="28"/>
        </w:rPr>
        <w:t> </w:t>
      </w:r>
      <w:r w:rsidR="00034E77" w:rsidRPr="00DB28C3">
        <w:rPr>
          <w:rFonts w:cs="Times New Roman"/>
          <w:sz w:val="28"/>
          <w:szCs w:val="28"/>
        </w:rPr>
        <w:t>a</w:t>
      </w:r>
      <w:r w:rsidR="00777908" w:rsidRPr="00DB28C3">
        <w:rPr>
          <w:rFonts w:cs="Times New Roman"/>
          <w:sz w:val="28"/>
          <w:szCs w:val="28"/>
        </w:rPr>
        <w:t xml:space="preserve">prīlī tika apstiprināta VI izstrādātā horizontālā iekšzemes komandējumu izmaksu vienas vienības izmaksu metodika, kas nosaka dienas naudas un naktsmītņu likmes Rīgā un ārpus Rīgas teritorijas. </w:t>
      </w:r>
      <w:r w:rsidR="00E92323" w:rsidRPr="00DB28C3">
        <w:rPr>
          <w:rFonts w:cs="Times New Roman"/>
          <w:sz w:val="28"/>
          <w:szCs w:val="28"/>
        </w:rPr>
        <w:t xml:space="preserve">Papildus turpinās </w:t>
      </w:r>
      <w:r w:rsidR="00C02C36" w:rsidRPr="00DB28C3">
        <w:rPr>
          <w:rFonts w:cs="Times New Roman"/>
          <w:sz w:val="28"/>
          <w:szCs w:val="28"/>
        </w:rPr>
        <w:t xml:space="preserve">darbs pie </w:t>
      </w:r>
      <w:r w:rsidR="00E92323" w:rsidRPr="00DB28C3">
        <w:rPr>
          <w:rFonts w:cs="Times New Roman"/>
          <w:sz w:val="28"/>
          <w:szCs w:val="28"/>
        </w:rPr>
        <w:t>jaunu</w:t>
      </w:r>
      <w:r w:rsidR="00C02C36" w:rsidRPr="00DB28C3">
        <w:rPr>
          <w:rFonts w:cs="Times New Roman"/>
          <w:sz w:val="28"/>
          <w:szCs w:val="28"/>
        </w:rPr>
        <w:t xml:space="preserve"> metodiku</w:t>
      </w:r>
      <w:r w:rsidR="005B16D4" w:rsidRPr="00DB28C3">
        <w:rPr>
          <w:rFonts w:cs="Times New Roman"/>
          <w:sz w:val="28"/>
          <w:szCs w:val="28"/>
        </w:rPr>
        <w:t xml:space="preserve"> </w:t>
      </w:r>
      <w:r w:rsidR="00C02C36" w:rsidRPr="00DB28C3">
        <w:rPr>
          <w:rFonts w:cs="Times New Roman"/>
          <w:sz w:val="28"/>
          <w:szCs w:val="28"/>
        </w:rPr>
        <w:t>izstrādes.</w:t>
      </w:r>
      <w:r w:rsidR="00777908" w:rsidRPr="00DB28C3">
        <w:t xml:space="preserve"> </w:t>
      </w:r>
      <w:r w:rsidR="00034E77" w:rsidRPr="00DB28C3">
        <w:rPr>
          <w:sz w:val="28"/>
        </w:rPr>
        <w:t>2019.</w:t>
      </w:r>
      <w:r w:rsidR="00FE22B7">
        <w:rPr>
          <w:sz w:val="28"/>
        </w:rPr>
        <w:t> </w:t>
      </w:r>
      <w:r w:rsidR="00034E77" w:rsidRPr="00DB28C3">
        <w:rPr>
          <w:sz w:val="28"/>
        </w:rPr>
        <w:t>gad</w:t>
      </w:r>
      <w:r w:rsidR="00ED6DD9" w:rsidRPr="00DB28C3">
        <w:rPr>
          <w:sz w:val="28"/>
        </w:rPr>
        <w:t>a 12.</w:t>
      </w:r>
      <w:r w:rsidR="00FE22B7">
        <w:rPr>
          <w:sz w:val="28"/>
        </w:rPr>
        <w:t> </w:t>
      </w:r>
      <w:r w:rsidR="00ED6DD9" w:rsidRPr="00DB28C3">
        <w:rPr>
          <w:sz w:val="28"/>
        </w:rPr>
        <w:t xml:space="preserve">aprīlī </w:t>
      </w:r>
      <w:r w:rsidR="00034E77" w:rsidRPr="00DB28C3">
        <w:rPr>
          <w:sz w:val="28"/>
        </w:rPr>
        <w:t>aktualizēt</w:t>
      </w:r>
      <w:r w:rsidR="0009320C">
        <w:rPr>
          <w:sz w:val="28"/>
        </w:rPr>
        <w:t>a</w:t>
      </w:r>
      <w:r w:rsidR="00034E77" w:rsidRPr="00DB28C3">
        <w:rPr>
          <w:sz w:val="28"/>
        </w:rPr>
        <w:t>s</w:t>
      </w:r>
      <w:r w:rsidR="00341344">
        <w:rPr>
          <w:sz w:val="28"/>
        </w:rPr>
        <w:t xml:space="preserve"> VI </w:t>
      </w:r>
      <w:r w:rsidR="00CB4E60">
        <w:rPr>
          <w:sz w:val="28"/>
        </w:rPr>
        <w:t>hori</w:t>
      </w:r>
      <w:r w:rsidR="00341344">
        <w:rPr>
          <w:sz w:val="28"/>
        </w:rPr>
        <w:t xml:space="preserve">zontālās </w:t>
      </w:r>
      <w:r w:rsidR="00034E77" w:rsidRPr="00DB28C3">
        <w:rPr>
          <w:sz w:val="28"/>
        </w:rPr>
        <w:t>vienkāršoto izmaksu metodikas</w:t>
      </w:r>
      <w:r w:rsidR="005C78EC">
        <w:rPr>
          <w:rStyle w:val="FootnoteReference"/>
          <w:sz w:val="28"/>
        </w:rPr>
        <w:footnoteReference w:id="30"/>
      </w:r>
      <w:r w:rsidR="00034E77" w:rsidRPr="00DB28C3">
        <w:rPr>
          <w:sz w:val="22"/>
        </w:rPr>
        <w:t xml:space="preserve"> </w:t>
      </w:r>
      <w:r w:rsidR="0009320C">
        <w:rPr>
          <w:rFonts w:cs="Times New Roman"/>
          <w:sz w:val="28"/>
          <w:szCs w:val="28"/>
        </w:rPr>
        <w:t xml:space="preserve">par </w:t>
      </w:r>
      <w:r w:rsidR="00777908" w:rsidRPr="00DB28C3">
        <w:rPr>
          <w:rFonts w:cs="Times New Roman"/>
          <w:sz w:val="28"/>
          <w:szCs w:val="28"/>
        </w:rPr>
        <w:t xml:space="preserve"> </w:t>
      </w:r>
      <w:r w:rsidR="0009320C" w:rsidRPr="00DB28C3">
        <w:rPr>
          <w:rFonts w:cs="Times New Roman"/>
          <w:sz w:val="28"/>
          <w:szCs w:val="28"/>
        </w:rPr>
        <w:t>vienības</w:t>
      </w:r>
      <w:r w:rsidR="0009320C">
        <w:rPr>
          <w:rFonts w:cs="Times New Roman"/>
          <w:sz w:val="28"/>
          <w:szCs w:val="28"/>
        </w:rPr>
        <w:t xml:space="preserve"> </w:t>
      </w:r>
      <w:r w:rsidR="00777908" w:rsidRPr="00DB28C3">
        <w:rPr>
          <w:rFonts w:cs="Times New Roman"/>
          <w:sz w:val="28"/>
          <w:szCs w:val="28"/>
        </w:rPr>
        <w:t>izmaksas standarta likmes</w:t>
      </w:r>
      <w:r w:rsidR="0009320C">
        <w:rPr>
          <w:rFonts w:cs="Times New Roman"/>
          <w:sz w:val="28"/>
          <w:szCs w:val="28"/>
        </w:rPr>
        <w:t xml:space="preserve">, </w:t>
      </w:r>
      <w:r w:rsidR="00777908" w:rsidRPr="00DB28C3">
        <w:rPr>
          <w:rFonts w:cs="Times New Roman"/>
          <w:sz w:val="28"/>
          <w:szCs w:val="28"/>
        </w:rPr>
        <w:t xml:space="preserve"> par vienotās likmes </w:t>
      </w:r>
      <w:r w:rsidR="0009320C">
        <w:rPr>
          <w:rFonts w:cs="Times New Roman"/>
          <w:sz w:val="28"/>
          <w:szCs w:val="28"/>
        </w:rPr>
        <w:t xml:space="preserve">un </w:t>
      </w:r>
      <w:r w:rsidR="00777908" w:rsidRPr="00DB28C3">
        <w:rPr>
          <w:rFonts w:cs="Times New Roman"/>
          <w:sz w:val="28"/>
          <w:szCs w:val="28"/>
        </w:rPr>
        <w:t>vienreizējā maksājuma piemērošanu 2014. - 2020.</w:t>
      </w:r>
      <w:r w:rsidR="00153F5E">
        <w:rPr>
          <w:rFonts w:cs="Times New Roman"/>
          <w:sz w:val="28"/>
          <w:szCs w:val="28"/>
        </w:rPr>
        <w:t> </w:t>
      </w:r>
      <w:r w:rsidR="00777908" w:rsidRPr="00DB28C3">
        <w:rPr>
          <w:rFonts w:cs="Times New Roman"/>
          <w:sz w:val="28"/>
          <w:szCs w:val="28"/>
        </w:rPr>
        <w:t>gada plānošanas periodā.</w:t>
      </w:r>
      <w:r w:rsidR="0009320C">
        <w:rPr>
          <w:rFonts w:cs="Times New Roman"/>
          <w:sz w:val="28"/>
          <w:szCs w:val="28"/>
        </w:rPr>
        <w:t xml:space="preserve"> </w:t>
      </w:r>
      <w:r w:rsidR="00A85F18">
        <w:rPr>
          <w:rFonts w:cs="Times New Roman"/>
          <w:sz w:val="28"/>
          <w:szCs w:val="28"/>
        </w:rPr>
        <w:t>Metodikās grozījumi pamatā veikti atbilstoši 2018. gada 18. jūlija Eiropas Parlamenta un Padomes regulas Nr. 2018/1046 ietvertajiem papildinājumiem un precizējumiem, kas attiecas uz vienkāršoto izmaksu izmantošanas iespējām</w:t>
      </w:r>
      <w:r w:rsidR="006A21AE">
        <w:rPr>
          <w:rFonts w:cs="Times New Roman"/>
          <w:sz w:val="28"/>
          <w:szCs w:val="28"/>
        </w:rPr>
        <w:t>. Kā būtiskākās izmaiņas, kas tika iestrādātas</w:t>
      </w:r>
      <w:r w:rsidR="006A21AE" w:rsidRPr="006A21AE">
        <w:t xml:space="preserve"> </w:t>
      </w:r>
      <w:r w:rsidR="006A21AE">
        <w:rPr>
          <w:rFonts w:cs="Times New Roman"/>
          <w:sz w:val="28"/>
          <w:szCs w:val="28"/>
        </w:rPr>
        <w:t>VI horizontālajās</w:t>
      </w:r>
      <w:r w:rsidR="006A21AE" w:rsidRPr="006A21AE">
        <w:rPr>
          <w:rFonts w:cs="Times New Roman"/>
          <w:sz w:val="28"/>
          <w:szCs w:val="28"/>
        </w:rPr>
        <w:t xml:space="preserve"> </w:t>
      </w:r>
      <w:r w:rsidR="006A21AE">
        <w:rPr>
          <w:rFonts w:cs="Times New Roman"/>
          <w:sz w:val="28"/>
          <w:szCs w:val="28"/>
        </w:rPr>
        <w:t>vienkāršoto izmaksu metodikā</w:t>
      </w:r>
      <w:r w:rsidR="006A21AE" w:rsidRPr="006A21AE">
        <w:rPr>
          <w:rFonts w:cs="Times New Roman"/>
          <w:sz w:val="28"/>
          <w:szCs w:val="28"/>
        </w:rPr>
        <w:t>s</w:t>
      </w:r>
      <w:r w:rsidR="006A21AE">
        <w:rPr>
          <w:rFonts w:cs="Times New Roman"/>
          <w:sz w:val="28"/>
          <w:szCs w:val="28"/>
        </w:rPr>
        <w:t xml:space="preserve"> ir, ka ekspertu slēdzienus var izmantot kā aprēķina un datu pamatošanas metodi</w:t>
      </w:r>
      <w:r w:rsidR="00BD74C8">
        <w:rPr>
          <w:rFonts w:cs="Times New Roman"/>
          <w:sz w:val="28"/>
          <w:szCs w:val="28"/>
        </w:rPr>
        <w:t>.</w:t>
      </w:r>
      <w:r w:rsidR="006A21AE">
        <w:rPr>
          <w:rFonts w:cs="Times New Roman"/>
          <w:sz w:val="28"/>
          <w:szCs w:val="28"/>
        </w:rPr>
        <w:t xml:space="preserve"> </w:t>
      </w:r>
      <w:r w:rsidR="00BD74C8">
        <w:rPr>
          <w:rFonts w:cs="Times New Roman"/>
          <w:sz w:val="28"/>
          <w:szCs w:val="28"/>
        </w:rPr>
        <w:t>T</w:t>
      </w:r>
      <w:r w:rsidR="006A21AE">
        <w:rPr>
          <w:rFonts w:cs="Times New Roman"/>
          <w:sz w:val="28"/>
          <w:szCs w:val="28"/>
        </w:rPr>
        <w:t>ika dzēsts iepriekš EK noteiktais vienreizējā ma</w:t>
      </w:r>
      <w:r w:rsidR="00CB4E60">
        <w:rPr>
          <w:rFonts w:cs="Times New Roman"/>
          <w:sz w:val="28"/>
          <w:szCs w:val="28"/>
        </w:rPr>
        <w:t>ks</w:t>
      </w:r>
      <w:r w:rsidR="006A21AE">
        <w:rPr>
          <w:rFonts w:cs="Times New Roman"/>
          <w:sz w:val="28"/>
          <w:szCs w:val="28"/>
        </w:rPr>
        <w:t xml:space="preserve">ājuma maksimālais limits, kā arī projektos līdz 100 000 EUR obligāta prasība ir vienkāršoto </w:t>
      </w:r>
      <w:r w:rsidR="00BD74C8">
        <w:rPr>
          <w:rFonts w:cs="Times New Roman"/>
          <w:sz w:val="28"/>
          <w:szCs w:val="28"/>
        </w:rPr>
        <w:t>iz</w:t>
      </w:r>
      <w:r w:rsidR="006A21AE">
        <w:rPr>
          <w:rFonts w:cs="Times New Roman"/>
          <w:sz w:val="28"/>
          <w:szCs w:val="28"/>
        </w:rPr>
        <w:t>ma</w:t>
      </w:r>
      <w:r w:rsidR="00BD74C8">
        <w:rPr>
          <w:rFonts w:cs="Times New Roman"/>
          <w:sz w:val="28"/>
          <w:szCs w:val="28"/>
        </w:rPr>
        <w:t>ks</w:t>
      </w:r>
      <w:r w:rsidR="006A21AE">
        <w:rPr>
          <w:rFonts w:cs="Times New Roman"/>
          <w:sz w:val="28"/>
          <w:szCs w:val="28"/>
        </w:rPr>
        <w:t xml:space="preserve">u izmantošana. </w:t>
      </w:r>
      <w:r w:rsidR="00956FCE">
        <w:rPr>
          <w:rFonts w:cs="Times New Roman"/>
          <w:sz w:val="28"/>
          <w:szCs w:val="28"/>
        </w:rPr>
        <w:t xml:space="preserve">AI, </w:t>
      </w:r>
      <w:r w:rsidR="006A21AE">
        <w:rPr>
          <w:rFonts w:cs="Times New Roman"/>
          <w:sz w:val="28"/>
          <w:szCs w:val="28"/>
        </w:rPr>
        <w:t>izstrādājot vienkāršoto izmaksu metodikas, kas par</w:t>
      </w:r>
      <w:r w:rsidR="00F33AC2">
        <w:rPr>
          <w:rFonts w:cs="Times New Roman"/>
          <w:sz w:val="28"/>
          <w:szCs w:val="28"/>
        </w:rPr>
        <w:t xml:space="preserve">edzētas konkrētu SAM vajadzībām, </w:t>
      </w:r>
      <w:r w:rsidR="00C56613">
        <w:rPr>
          <w:rFonts w:cs="Times New Roman"/>
          <w:sz w:val="28"/>
          <w:szCs w:val="28"/>
        </w:rPr>
        <w:t xml:space="preserve">ir iespēja </w:t>
      </w:r>
      <w:r w:rsidR="00F33AC2">
        <w:rPr>
          <w:rFonts w:cs="Times New Roman"/>
          <w:sz w:val="28"/>
          <w:szCs w:val="28"/>
        </w:rPr>
        <w:t>izmanto</w:t>
      </w:r>
      <w:r w:rsidR="00C56613">
        <w:rPr>
          <w:rFonts w:cs="Times New Roman"/>
          <w:sz w:val="28"/>
          <w:szCs w:val="28"/>
        </w:rPr>
        <w:t>t</w:t>
      </w:r>
      <w:r w:rsidR="00F33AC2">
        <w:rPr>
          <w:rFonts w:cs="Times New Roman"/>
          <w:sz w:val="28"/>
          <w:szCs w:val="28"/>
        </w:rPr>
        <w:t xml:space="preserve"> VI horizontālās metodikas kā </w:t>
      </w:r>
      <w:r w:rsidR="00C56613">
        <w:rPr>
          <w:rFonts w:cs="Times New Roman"/>
          <w:sz w:val="28"/>
          <w:szCs w:val="28"/>
        </w:rPr>
        <w:t>skaidrojošo palīg</w:t>
      </w:r>
      <w:r w:rsidR="00F33AC2">
        <w:rPr>
          <w:rFonts w:cs="Times New Roman"/>
          <w:sz w:val="28"/>
          <w:szCs w:val="28"/>
        </w:rPr>
        <w:t>materiālu.</w:t>
      </w:r>
      <w:r w:rsidR="00A85F18">
        <w:rPr>
          <w:rFonts w:cs="Times New Roman"/>
          <w:sz w:val="28"/>
          <w:szCs w:val="28"/>
        </w:rPr>
        <w:t>.</w:t>
      </w:r>
    </w:p>
    <w:p w14:paraId="26A0A72D" w14:textId="6B7E72B6" w:rsidR="00616D7C" w:rsidRPr="00DB28C3" w:rsidRDefault="00426694">
      <w:pPr>
        <w:pStyle w:val="1lmenis"/>
      </w:pPr>
      <w:bookmarkStart w:id="14" w:name="_Toc17468211"/>
      <w:r>
        <w:t>7</w:t>
      </w:r>
      <w:r w:rsidR="00616D7C" w:rsidRPr="00DB28C3">
        <w:t>.</w:t>
      </w:r>
      <w:r w:rsidR="008320B8" w:rsidRPr="00DB28C3">
        <w:t> </w:t>
      </w:r>
      <w:r w:rsidR="00616D7C" w:rsidRPr="00DB28C3">
        <w:t xml:space="preserve">Kohēzijas </w:t>
      </w:r>
      <w:r w:rsidR="00FE1C7A" w:rsidRPr="00DB28C3">
        <w:t>politika pēc 2020. gada (2021. </w:t>
      </w:r>
      <w:r w:rsidR="00C0666F" w:rsidRPr="00DB28C3">
        <w:t>- </w:t>
      </w:r>
      <w:r w:rsidR="00616D7C" w:rsidRPr="00DB28C3">
        <w:t>2027. gada plānošanas periods)</w:t>
      </w:r>
      <w:bookmarkEnd w:id="14"/>
    </w:p>
    <w:p w14:paraId="4EC9587F" w14:textId="3A4B8643" w:rsidR="00114763" w:rsidRPr="00DB28C3" w:rsidRDefault="00114763" w:rsidP="00114763">
      <w:pPr>
        <w:spacing w:before="120" w:after="120" w:line="276" w:lineRule="auto"/>
        <w:ind w:firstLine="720"/>
        <w:jc w:val="both"/>
        <w:rPr>
          <w:rFonts w:cs="Times New Roman"/>
          <w:sz w:val="28"/>
          <w:szCs w:val="28"/>
        </w:rPr>
      </w:pPr>
      <w:bookmarkStart w:id="15" w:name="_Toc346541587"/>
      <w:bookmarkStart w:id="16" w:name="_Toc348033089"/>
      <w:r w:rsidRPr="00DB28C3">
        <w:rPr>
          <w:sz w:val="28"/>
          <w:szCs w:val="28"/>
        </w:rPr>
        <w:t xml:space="preserve">Turpinot </w:t>
      </w:r>
      <w:r w:rsidR="00FE22B7">
        <w:rPr>
          <w:sz w:val="28"/>
          <w:szCs w:val="28"/>
        </w:rPr>
        <w:t>f</w:t>
      </w:r>
      <w:r w:rsidRPr="00DB28C3">
        <w:rPr>
          <w:sz w:val="28"/>
          <w:szCs w:val="28"/>
        </w:rPr>
        <w:t xml:space="preserve">inanšu ministra vairākkārtējās tikšanās ar ES budžeta un cilvēkresursu komisāru Ginteru </w:t>
      </w:r>
      <w:proofErr w:type="spellStart"/>
      <w:r w:rsidRPr="00DB28C3">
        <w:rPr>
          <w:sz w:val="28"/>
          <w:szCs w:val="28"/>
        </w:rPr>
        <w:t>Etingeru</w:t>
      </w:r>
      <w:proofErr w:type="spellEnd"/>
      <w:r w:rsidR="00FE22B7">
        <w:rPr>
          <w:sz w:val="28"/>
          <w:szCs w:val="28"/>
        </w:rPr>
        <w:t>,</w:t>
      </w:r>
      <w:r w:rsidRPr="00DB28C3">
        <w:rPr>
          <w:sz w:val="28"/>
          <w:szCs w:val="28"/>
        </w:rPr>
        <w:t xml:space="preserve"> 2019. gada maijā un jūnijā stingri paust</w:t>
      </w:r>
      <w:r w:rsidR="00FE22B7">
        <w:rPr>
          <w:sz w:val="28"/>
          <w:szCs w:val="28"/>
        </w:rPr>
        <w:t>a</w:t>
      </w:r>
      <w:r w:rsidRPr="00DB28C3">
        <w:rPr>
          <w:sz w:val="28"/>
          <w:szCs w:val="28"/>
        </w:rPr>
        <w:t xml:space="preserve"> Latvijas prasīb</w:t>
      </w:r>
      <w:r w:rsidR="00FE22B7">
        <w:rPr>
          <w:sz w:val="28"/>
          <w:szCs w:val="28"/>
        </w:rPr>
        <w:t>a</w:t>
      </w:r>
      <w:r w:rsidRPr="00DB28C3">
        <w:rPr>
          <w:sz w:val="28"/>
          <w:szCs w:val="28"/>
        </w:rPr>
        <w:t xml:space="preserve"> rast risinājumus, t.sk., lai nodrošinātu atbilstošu finansējumu </w:t>
      </w:r>
      <w:proofErr w:type="spellStart"/>
      <w:r w:rsidRPr="00DB28C3">
        <w:rPr>
          <w:sz w:val="28"/>
          <w:szCs w:val="28"/>
        </w:rPr>
        <w:t>depopulāc</w:t>
      </w:r>
      <w:r w:rsidR="00C77614">
        <w:rPr>
          <w:sz w:val="28"/>
          <w:szCs w:val="28"/>
        </w:rPr>
        <w:t>ijas</w:t>
      </w:r>
      <w:proofErr w:type="spellEnd"/>
      <w:r w:rsidR="00C77614">
        <w:rPr>
          <w:sz w:val="28"/>
          <w:szCs w:val="28"/>
        </w:rPr>
        <w:t xml:space="preserve"> radītajiem izaicinājumiem</w:t>
      </w:r>
      <w:r w:rsidR="00FE22B7">
        <w:rPr>
          <w:sz w:val="28"/>
          <w:szCs w:val="28"/>
        </w:rPr>
        <w:t>.</w:t>
      </w:r>
      <w:r w:rsidRPr="00DB28C3">
        <w:rPr>
          <w:sz w:val="28"/>
          <w:szCs w:val="28"/>
        </w:rPr>
        <w:t xml:space="preserve"> </w:t>
      </w:r>
      <w:r w:rsidR="00FE22B7">
        <w:rPr>
          <w:sz w:val="28"/>
          <w:szCs w:val="28"/>
        </w:rPr>
        <w:t>Š</w:t>
      </w:r>
      <w:r w:rsidRPr="00DB28C3">
        <w:rPr>
          <w:sz w:val="28"/>
          <w:szCs w:val="28"/>
        </w:rPr>
        <w:t>ī Latvijas nostāja, kā arī attiecībā uz nepieņemamo Kohēzijas politikas piešķīruma samazinājumu un nepieciešamību nodrošināt lielāku elastību darbīb</w:t>
      </w:r>
      <w:r w:rsidR="00ED45CE">
        <w:rPr>
          <w:sz w:val="28"/>
          <w:szCs w:val="28"/>
        </w:rPr>
        <w:t>as programmu izstrādes procesā i</w:t>
      </w:r>
      <w:r w:rsidRPr="00DB28C3">
        <w:rPr>
          <w:sz w:val="28"/>
          <w:szCs w:val="28"/>
        </w:rPr>
        <w:t xml:space="preserve">zrunāta arī 2019. gada 25. jūnija Vispārējo lietu Padomes sanāksmē. Tāpat FM turpina aizstāvēt Latvijas intereses ES Padomes darba grupās, kurās izskata Kohēzijas politikas regulējumu un saistītos ES daudzgadu budžeta jautājumus. Rumānijas prezidentūras laikā ir noslēdzies darbs pie galvenajiem saturiskajiem Kohēzijas politikas regulējuma elementiem, par kuriem ir apstiprinātas ES Padomes nostājas. Savukārt ienākošā Somijas prezidentūra ir uzsākusi gatavošanos </w:t>
      </w:r>
      <w:proofErr w:type="spellStart"/>
      <w:r w:rsidRPr="00DB28C3">
        <w:rPr>
          <w:sz w:val="28"/>
          <w:szCs w:val="28"/>
        </w:rPr>
        <w:t>trialogu</w:t>
      </w:r>
      <w:proofErr w:type="spellEnd"/>
      <w:r w:rsidRPr="00DB28C3">
        <w:rPr>
          <w:sz w:val="28"/>
          <w:szCs w:val="28"/>
        </w:rPr>
        <w:t xml:space="preserve"> procesam starp EK, ES Padomi un Eiropas Parlamentu.</w:t>
      </w:r>
    </w:p>
    <w:p w14:paraId="1D54F0C2" w14:textId="2F14B451" w:rsidR="00114763" w:rsidRDefault="00114763" w:rsidP="00114763">
      <w:pPr>
        <w:spacing w:before="120" w:after="120" w:line="276" w:lineRule="auto"/>
        <w:ind w:firstLine="720"/>
        <w:jc w:val="both"/>
        <w:rPr>
          <w:sz w:val="28"/>
          <w:szCs w:val="28"/>
        </w:rPr>
      </w:pPr>
      <w:r w:rsidRPr="00DB28C3">
        <w:rPr>
          <w:sz w:val="28"/>
          <w:szCs w:val="28"/>
        </w:rPr>
        <w:lastRenderedPageBreak/>
        <w:t xml:space="preserve">Nacionāli, lai notiktu koordinēts gatavošanās process efektīvā partnerībā, 2019. gada 20. jūnijā FM organizēja kārtējo Kohēzijas politikas nākotnes darba grupas sanāksmi ar nozaru ministrijām un sociālajiem partneriem. Tika apspriests FM redzējums par ES fondu plānošanas dokumentu izstrādi 2021. - 2027. gada periodam. Tāpat tika apspriestas </w:t>
      </w:r>
      <w:proofErr w:type="spellStart"/>
      <w:r w:rsidRPr="00DB28C3">
        <w:rPr>
          <w:sz w:val="28"/>
          <w:szCs w:val="28"/>
        </w:rPr>
        <w:t>Pārresoru</w:t>
      </w:r>
      <w:proofErr w:type="spellEnd"/>
      <w:r w:rsidRPr="00DB28C3">
        <w:rPr>
          <w:sz w:val="28"/>
          <w:szCs w:val="28"/>
        </w:rPr>
        <w:t xml:space="preserve"> koordinācijas centra vadībā turpinātās Nacionālā attīstības plāna 2021. - 2027. gadam izstrādes aktualitātes, apzinoties, ka tas būs pamats Latvijas </w:t>
      </w:r>
      <w:proofErr w:type="spellStart"/>
      <w:r w:rsidRPr="00DB28C3">
        <w:rPr>
          <w:sz w:val="28"/>
          <w:szCs w:val="28"/>
        </w:rPr>
        <w:t>nostājai</w:t>
      </w:r>
      <w:proofErr w:type="spellEnd"/>
      <w:r w:rsidRPr="00DB28C3">
        <w:rPr>
          <w:sz w:val="28"/>
          <w:szCs w:val="28"/>
        </w:rPr>
        <w:t xml:space="preserve"> sarunās ar EK par Latvijas investīciju saturu ES fondu darbības programmā</w:t>
      </w:r>
      <w:r w:rsidRPr="00DB28C3">
        <w:rPr>
          <w:rStyle w:val="FootnoteReference"/>
          <w:rFonts w:cs="Times New Roman"/>
          <w:bCs/>
          <w:sz w:val="28"/>
          <w:szCs w:val="28"/>
        </w:rPr>
        <w:footnoteReference w:id="31"/>
      </w:r>
      <w:r w:rsidRPr="00DB28C3">
        <w:rPr>
          <w:sz w:val="28"/>
          <w:szCs w:val="28"/>
        </w:rPr>
        <w:t>.</w:t>
      </w:r>
    </w:p>
    <w:p w14:paraId="48565C65" w14:textId="77777777" w:rsidR="00341344" w:rsidRPr="00DB28C3" w:rsidRDefault="00341344" w:rsidP="00114763">
      <w:pPr>
        <w:spacing w:before="120" w:after="120" w:line="276" w:lineRule="auto"/>
        <w:ind w:firstLine="720"/>
        <w:jc w:val="both"/>
        <w:rPr>
          <w:sz w:val="28"/>
          <w:szCs w:val="28"/>
        </w:rPr>
      </w:pPr>
    </w:p>
    <w:bookmarkEnd w:id="15"/>
    <w:bookmarkEnd w:id="16"/>
    <w:p w14:paraId="42577C0B" w14:textId="488603E9" w:rsidR="00F302E5" w:rsidRPr="00CB72DC" w:rsidRDefault="00CB72DC" w:rsidP="00F8287B">
      <w:pPr>
        <w:tabs>
          <w:tab w:val="right" w:pos="8647"/>
        </w:tabs>
        <w:rPr>
          <w:rFonts w:cs="Times New Roman"/>
          <w:spacing w:val="6"/>
          <w:sz w:val="28"/>
          <w:szCs w:val="28"/>
        </w:rPr>
      </w:pPr>
      <w:r>
        <w:rPr>
          <w:rFonts w:cs="Times New Roman"/>
          <w:spacing w:val="6"/>
          <w:sz w:val="28"/>
          <w:szCs w:val="28"/>
        </w:rPr>
        <w:t>Finanšu ministrs</w:t>
      </w:r>
      <w:r>
        <w:rPr>
          <w:rFonts w:cs="Times New Roman"/>
          <w:spacing w:val="6"/>
          <w:sz w:val="28"/>
          <w:szCs w:val="28"/>
        </w:rPr>
        <w:tab/>
        <w:t>J. Reirs</w:t>
      </w:r>
    </w:p>
    <w:p w14:paraId="07D0435C" w14:textId="77777777" w:rsidR="00893103" w:rsidRDefault="00893103" w:rsidP="00916CD9">
      <w:pPr>
        <w:tabs>
          <w:tab w:val="right" w:pos="8647"/>
        </w:tabs>
        <w:rPr>
          <w:rFonts w:cs="Times New Roman"/>
          <w:spacing w:val="6"/>
          <w:szCs w:val="24"/>
        </w:rPr>
      </w:pPr>
    </w:p>
    <w:p w14:paraId="72469F7B" w14:textId="77777777" w:rsidR="00213459" w:rsidRDefault="00213459" w:rsidP="00916CD9">
      <w:pPr>
        <w:tabs>
          <w:tab w:val="right" w:pos="8647"/>
        </w:tabs>
        <w:rPr>
          <w:rFonts w:cs="Times New Roman"/>
          <w:spacing w:val="6"/>
          <w:sz w:val="20"/>
          <w:szCs w:val="24"/>
        </w:rPr>
      </w:pPr>
    </w:p>
    <w:p w14:paraId="578B4120" w14:textId="77777777" w:rsidR="00213459" w:rsidRDefault="00213459" w:rsidP="00916CD9">
      <w:pPr>
        <w:tabs>
          <w:tab w:val="right" w:pos="8647"/>
        </w:tabs>
        <w:rPr>
          <w:rFonts w:cs="Times New Roman"/>
          <w:spacing w:val="6"/>
          <w:sz w:val="20"/>
          <w:szCs w:val="24"/>
        </w:rPr>
      </w:pPr>
    </w:p>
    <w:p w14:paraId="09E75B8F" w14:textId="77777777" w:rsidR="00213459" w:rsidRDefault="00213459" w:rsidP="00916CD9">
      <w:pPr>
        <w:tabs>
          <w:tab w:val="right" w:pos="8647"/>
        </w:tabs>
        <w:rPr>
          <w:rFonts w:cs="Times New Roman"/>
          <w:spacing w:val="6"/>
          <w:sz w:val="20"/>
          <w:szCs w:val="24"/>
        </w:rPr>
      </w:pPr>
    </w:p>
    <w:p w14:paraId="53354E7C" w14:textId="77777777" w:rsidR="00213459" w:rsidRDefault="00213459" w:rsidP="00916CD9">
      <w:pPr>
        <w:tabs>
          <w:tab w:val="right" w:pos="8647"/>
        </w:tabs>
        <w:rPr>
          <w:rFonts w:cs="Times New Roman"/>
          <w:spacing w:val="6"/>
          <w:sz w:val="20"/>
          <w:szCs w:val="24"/>
        </w:rPr>
      </w:pPr>
    </w:p>
    <w:p w14:paraId="4C70DF18" w14:textId="77777777" w:rsidR="00213459" w:rsidRDefault="00213459" w:rsidP="00916CD9">
      <w:pPr>
        <w:tabs>
          <w:tab w:val="right" w:pos="8647"/>
        </w:tabs>
        <w:rPr>
          <w:rFonts w:cs="Times New Roman"/>
          <w:spacing w:val="6"/>
          <w:sz w:val="20"/>
          <w:szCs w:val="24"/>
        </w:rPr>
      </w:pPr>
    </w:p>
    <w:p w14:paraId="03D80E0D" w14:textId="77777777" w:rsidR="00213459" w:rsidRDefault="00213459" w:rsidP="00916CD9">
      <w:pPr>
        <w:tabs>
          <w:tab w:val="right" w:pos="8647"/>
        </w:tabs>
        <w:rPr>
          <w:rFonts w:cs="Times New Roman"/>
          <w:spacing w:val="6"/>
          <w:sz w:val="20"/>
          <w:szCs w:val="24"/>
        </w:rPr>
      </w:pPr>
    </w:p>
    <w:p w14:paraId="4433AC60" w14:textId="77777777" w:rsidR="00213459" w:rsidRDefault="00213459" w:rsidP="00916CD9">
      <w:pPr>
        <w:tabs>
          <w:tab w:val="right" w:pos="8647"/>
        </w:tabs>
        <w:rPr>
          <w:rFonts w:cs="Times New Roman"/>
          <w:spacing w:val="6"/>
          <w:sz w:val="20"/>
          <w:szCs w:val="24"/>
        </w:rPr>
      </w:pPr>
    </w:p>
    <w:p w14:paraId="1C01E50F" w14:textId="77777777" w:rsidR="00213459" w:rsidRDefault="00213459" w:rsidP="00916CD9">
      <w:pPr>
        <w:tabs>
          <w:tab w:val="right" w:pos="8647"/>
        </w:tabs>
        <w:rPr>
          <w:rFonts w:cs="Times New Roman"/>
          <w:spacing w:val="6"/>
          <w:sz w:val="20"/>
          <w:szCs w:val="24"/>
        </w:rPr>
      </w:pPr>
    </w:p>
    <w:p w14:paraId="6FCE642F" w14:textId="77777777" w:rsidR="00213459" w:rsidRDefault="00213459" w:rsidP="00916CD9">
      <w:pPr>
        <w:tabs>
          <w:tab w:val="right" w:pos="8647"/>
        </w:tabs>
        <w:rPr>
          <w:rFonts w:cs="Times New Roman"/>
          <w:spacing w:val="6"/>
          <w:sz w:val="20"/>
          <w:szCs w:val="24"/>
        </w:rPr>
      </w:pPr>
    </w:p>
    <w:p w14:paraId="081F2101" w14:textId="77777777" w:rsidR="00213459" w:rsidRDefault="00213459" w:rsidP="00916CD9">
      <w:pPr>
        <w:tabs>
          <w:tab w:val="right" w:pos="8647"/>
        </w:tabs>
        <w:rPr>
          <w:rFonts w:cs="Times New Roman"/>
          <w:spacing w:val="6"/>
          <w:sz w:val="20"/>
          <w:szCs w:val="24"/>
        </w:rPr>
      </w:pPr>
    </w:p>
    <w:p w14:paraId="525DB2CD" w14:textId="3265D813" w:rsidR="00916CD9" w:rsidRPr="00893103" w:rsidRDefault="00893103" w:rsidP="00916CD9">
      <w:pPr>
        <w:tabs>
          <w:tab w:val="right" w:pos="8647"/>
        </w:tabs>
        <w:rPr>
          <w:rFonts w:cs="Times New Roman"/>
          <w:spacing w:val="6"/>
          <w:sz w:val="20"/>
          <w:szCs w:val="24"/>
        </w:rPr>
      </w:pPr>
      <w:r w:rsidRPr="00893103">
        <w:rPr>
          <w:rFonts w:cs="Times New Roman"/>
          <w:spacing w:val="6"/>
          <w:sz w:val="20"/>
          <w:szCs w:val="24"/>
        </w:rPr>
        <w:t>R</w:t>
      </w:r>
      <w:r w:rsidR="00916CD9" w:rsidRPr="00893103">
        <w:rPr>
          <w:rFonts w:cs="Times New Roman"/>
          <w:spacing w:val="6"/>
          <w:sz w:val="20"/>
          <w:szCs w:val="24"/>
        </w:rPr>
        <w:t>ūdolfa, 67083925</w:t>
      </w:r>
    </w:p>
    <w:p w14:paraId="299E9FA4" w14:textId="6FA13CE9" w:rsidR="00942AB5" w:rsidRPr="00893103" w:rsidRDefault="00916CD9" w:rsidP="00916CD9">
      <w:pPr>
        <w:tabs>
          <w:tab w:val="right" w:pos="8647"/>
        </w:tabs>
        <w:rPr>
          <w:rFonts w:cs="Times New Roman"/>
          <w:sz w:val="20"/>
          <w:szCs w:val="24"/>
        </w:rPr>
      </w:pPr>
      <w:r w:rsidRPr="00893103">
        <w:rPr>
          <w:rFonts w:cs="Times New Roman"/>
          <w:spacing w:val="6"/>
          <w:sz w:val="20"/>
          <w:szCs w:val="24"/>
        </w:rPr>
        <w:t>Astra.Rudolfa@fm.gov.lv</w:t>
      </w:r>
    </w:p>
    <w:sectPr w:rsidR="00942AB5" w:rsidRPr="00893103" w:rsidSect="00364730">
      <w:pgSz w:w="11906" w:h="16838" w:code="9"/>
      <w:pgMar w:top="1418" w:right="1134" w:bottom="1134"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9F01EF4" w14:textId="77777777" w:rsidR="00D81B5A" w:rsidRDefault="00D81B5A" w:rsidP="009C0862">
      <w:r>
        <w:separator/>
      </w:r>
    </w:p>
  </w:endnote>
  <w:endnote w:type="continuationSeparator" w:id="0">
    <w:p w14:paraId="436BBF2C" w14:textId="77777777" w:rsidR="00D81B5A" w:rsidRDefault="00D81B5A" w:rsidP="009C0862">
      <w:r>
        <w:continuationSeparator/>
      </w:r>
    </w:p>
  </w:endnote>
  <w:endnote w:type="continuationNotice" w:id="1">
    <w:p w14:paraId="4FE67C9A" w14:textId="77777777" w:rsidR="00D81B5A" w:rsidRDefault="00D81B5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0002A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BA"/>
    <w:family w:val="swiss"/>
    <w:pitch w:val="variable"/>
    <w:sig w:usb0="E0002AFF" w:usb1="C0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EUAlbertina">
    <w:altName w:val="Times New Roman"/>
    <w:panose1 w:val="00000000000000000000"/>
    <w:charset w:val="00"/>
    <w:family w:val="roman"/>
    <w:notTrueType/>
    <w:pitch w:val="default"/>
    <w:sig w:usb0="00000003" w:usb1="00000000" w:usb2="00000000" w:usb3="00000000" w:csb0="00000001" w:csb1="00000000"/>
  </w:font>
  <w:font w:name="Consolas">
    <w:panose1 w:val="020B0609020204030204"/>
    <w:charset w:val="BA"/>
    <w:family w:val="modern"/>
    <w:pitch w:val="fixed"/>
    <w:sig w:usb0="E00006FF" w:usb1="0000FCFF" w:usb2="00000001" w:usb3="00000000" w:csb0="0000019F" w:csb1="00000000"/>
  </w:font>
  <w:font w:name="EUAlbertina-Bold-Identity-H">
    <w:altName w:val="MS Mincho"/>
    <w:panose1 w:val="00000000000000000000"/>
    <w:charset w:val="80"/>
    <w:family w:val="auto"/>
    <w:notTrueType/>
    <w:pitch w:val="default"/>
    <w:sig w:usb0="00000001" w:usb1="08070000" w:usb2="00000010" w:usb3="00000000" w:csb0="00020000" w:csb1="00000000"/>
  </w:font>
  <w:font w:name="DokChampa">
    <w:altName w:val="Leelawadee UI"/>
    <w:charset w:val="00"/>
    <w:family w:val="swiss"/>
    <w:pitch w:val="variable"/>
    <w:sig w:usb0="03000003" w:usb1="00000000" w:usb2="00000000" w:usb3="00000000" w:csb0="00010001" w:csb1="00000000"/>
  </w:font>
  <w:font w:name="Verdana">
    <w:panose1 w:val="020B0604030504040204"/>
    <w:charset w:val="BA"/>
    <w:family w:val="swiss"/>
    <w:pitch w:val="variable"/>
    <w:sig w:usb0="A10006FF" w:usb1="4000205B" w:usb2="00000010" w:usb3="00000000" w:csb0="0000019F" w:csb1="00000000"/>
  </w:font>
  <w:font w:name="Arial Unicode MS">
    <w:panose1 w:val="020B0604020202020204"/>
    <w:charset w:val="80"/>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D5AE8D" w14:textId="7A9BE9FE" w:rsidR="00D81B5A" w:rsidRPr="00C147F0" w:rsidRDefault="00D81B5A" w:rsidP="00B13216">
    <w:pPr>
      <w:pStyle w:val="Footer"/>
      <w:jc w:val="both"/>
      <w:rPr>
        <w:sz w:val="20"/>
      </w:rPr>
    </w:pPr>
    <w:r>
      <w:rPr>
        <w:sz w:val="20"/>
      </w:rPr>
      <w:t>FMzin_2</w:t>
    </w:r>
    <w:r w:rsidR="00FA5129">
      <w:rPr>
        <w:sz w:val="20"/>
      </w:rPr>
      <w:t>9</w:t>
    </w:r>
    <w:r>
      <w:rPr>
        <w:sz w:val="20"/>
      </w:rPr>
      <w:t>0819_ES_fondi</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6E156C9" w14:textId="77777777" w:rsidR="00D81B5A" w:rsidRDefault="00D81B5A" w:rsidP="009C0862">
      <w:r>
        <w:separator/>
      </w:r>
    </w:p>
  </w:footnote>
  <w:footnote w:type="continuationSeparator" w:id="0">
    <w:p w14:paraId="75134979" w14:textId="77777777" w:rsidR="00D81B5A" w:rsidRDefault="00D81B5A" w:rsidP="009C0862">
      <w:r>
        <w:continuationSeparator/>
      </w:r>
    </w:p>
  </w:footnote>
  <w:footnote w:type="continuationNotice" w:id="1">
    <w:p w14:paraId="353B18D9" w14:textId="77777777" w:rsidR="00D81B5A" w:rsidRDefault="00D81B5A"/>
  </w:footnote>
  <w:footnote w:id="2">
    <w:p w14:paraId="511A9820" w14:textId="6D7B32EF" w:rsidR="00D81B5A" w:rsidRDefault="00D81B5A" w:rsidP="006D547B">
      <w:pPr>
        <w:pStyle w:val="FootnoteText"/>
        <w:jc w:val="both"/>
      </w:pPr>
      <w:r>
        <w:rPr>
          <w:rStyle w:val="FootnoteReference"/>
        </w:rPr>
        <w:footnoteRef/>
      </w:r>
      <w:r>
        <w:t xml:space="preserve"> </w:t>
      </w:r>
      <w:r w:rsidRPr="00A42821">
        <w:rPr>
          <w:color w:val="000000"/>
        </w:rPr>
        <w:t xml:space="preserve">Regulas </w:t>
      </w:r>
      <w:r>
        <w:rPr>
          <w:color w:val="000000"/>
        </w:rPr>
        <w:t>N</w:t>
      </w:r>
      <w:r w:rsidRPr="00A42821">
        <w:rPr>
          <w:color w:val="000000"/>
        </w:rPr>
        <w:t>r. 1303/2013</w:t>
      </w:r>
      <w:r>
        <w:rPr>
          <w:color w:val="000000"/>
          <w:sz w:val="28"/>
          <w:szCs w:val="28"/>
        </w:rPr>
        <w:t xml:space="preserve"> </w:t>
      </w:r>
      <w:r w:rsidRPr="007C6DBE">
        <w:t xml:space="preserve">136.panta 1.punkts: </w:t>
      </w:r>
      <w:r>
        <w:t>EK</w:t>
      </w:r>
      <w:r w:rsidRPr="007C6DBE">
        <w:t xml:space="preserve"> atceļ saistības jebkurai darbības programmas summas daļai, kas nav izmantota avansa un starpposma maksājumiem vai par kuru līdz 31. decembrim trešajā gadā pēc programmas budžeta saistību gada nav sagatavots maksājuma pieteikums saskaņā ar 131. pantu, vai par kuru nav iesniegts maksājuma pieteikums saskaņā ar 135. pantu (N+3 princips)</w:t>
      </w:r>
    </w:p>
  </w:footnote>
  <w:footnote w:id="3">
    <w:p w14:paraId="0D090F08" w14:textId="1B1B5AEA" w:rsidR="00B26C73" w:rsidRPr="00B26C73" w:rsidRDefault="00B26C73">
      <w:pPr>
        <w:pStyle w:val="FootnoteText"/>
        <w:rPr>
          <w:rFonts w:cs="Times New Roman"/>
          <w:color w:val="000000"/>
          <w:shd w:val="clear" w:color="auto" w:fill="FFFFFF"/>
        </w:rPr>
      </w:pPr>
      <w:r>
        <w:rPr>
          <w:rStyle w:val="FootnoteReference"/>
        </w:rPr>
        <w:footnoteRef/>
      </w:r>
      <w:r>
        <w:t xml:space="preserve"> </w:t>
      </w:r>
      <w:r w:rsidRPr="00B26C73">
        <w:rPr>
          <w:rFonts w:cs="Times New Roman"/>
        </w:rPr>
        <w:t xml:space="preserve">Pusgada ziņojums </w:t>
      </w:r>
      <w:r w:rsidRPr="00B26C73">
        <w:rPr>
          <w:rFonts w:cs="Times New Roman"/>
          <w:color w:val="000000"/>
          <w:shd w:val="clear" w:color="auto" w:fill="FFFFFF"/>
        </w:rPr>
        <w:t>par Eiropas Savienības struktūrfondu un Kohēzijas fonda, Eiropas Ekonomikas zonas finanšu instrumenta, Norvēģijas finanšu instrumenta un Latvijas un Šveices sadarbības programmas investīciju progresu tiek iesniegts pamatojoties uz MK 16.09.2014. sēdes protokola Nr.49, 57.§ 4.punktu;</w:t>
      </w:r>
    </w:p>
  </w:footnote>
  <w:footnote w:id="4">
    <w:p w14:paraId="706F9C6C" w14:textId="77777777" w:rsidR="008855BD" w:rsidRDefault="008855BD" w:rsidP="008855BD">
      <w:pPr>
        <w:pStyle w:val="FootnoteText"/>
      </w:pPr>
      <w:r w:rsidRPr="00B26C73">
        <w:rPr>
          <w:rStyle w:val="FootnoteReference"/>
          <w:rFonts w:cs="Times New Roman"/>
        </w:rPr>
        <w:footnoteRef/>
      </w:r>
      <w:r w:rsidRPr="00B26C73">
        <w:rPr>
          <w:rFonts w:cs="Times New Roman"/>
        </w:rPr>
        <w:t xml:space="preserve"> Ikmēneša ziņojums </w:t>
      </w:r>
      <w:r w:rsidRPr="00B26C73">
        <w:rPr>
          <w:rFonts w:cs="Times New Roman"/>
          <w:color w:val="000000"/>
          <w:shd w:val="clear" w:color="auto" w:fill="FFFFFF"/>
        </w:rPr>
        <w:t>par ES struktūrfondu un Kohēzijas fonda investīciju ieviešanas statusu tiek iesniegts pamatojoties uz MK 10.03.2015. sēdes protokola Nr.14, 27.§ 11.punktu;</w:t>
      </w:r>
    </w:p>
  </w:footnote>
  <w:footnote w:id="5">
    <w:p w14:paraId="143F2E0E" w14:textId="7391EB94" w:rsidR="00D81B5A" w:rsidRPr="004C6AC4" w:rsidRDefault="00D81B5A" w:rsidP="00B17E47">
      <w:pPr>
        <w:jc w:val="both"/>
      </w:pPr>
      <w:r>
        <w:rPr>
          <w:rStyle w:val="FootnoteReference"/>
        </w:rPr>
        <w:footnoteRef/>
      </w:r>
      <w:r>
        <w:rPr>
          <w:rFonts w:cs="Times New Roman"/>
          <w:sz w:val="20"/>
          <w:szCs w:val="20"/>
        </w:rPr>
        <w:t xml:space="preserve"> Z</w:t>
      </w:r>
      <w:r w:rsidRPr="00D369EF">
        <w:rPr>
          <w:rFonts w:cs="Times New Roman"/>
          <w:sz w:val="20"/>
          <w:szCs w:val="20"/>
        </w:rPr>
        <w:t>iņojum</w:t>
      </w:r>
      <w:r>
        <w:rPr>
          <w:rFonts w:cs="Times New Roman"/>
          <w:sz w:val="20"/>
          <w:szCs w:val="20"/>
        </w:rPr>
        <w:t>ā</w:t>
      </w:r>
      <w:r w:rsidRPr="00D369EF">
        <w:rPr>
          <w:rFonts w:cs="Times New Roman"/>
          <w:sz w:val="20"/>
          <w:szCs w:val="20"/>
        </w:rPr>
        <w:t xml:space="preserve"> </w:t>
      </w:r>
      <w:r>
        <w:rPr>
          <w:rFonts w:cs="Times New Roman"/>
          <w:sz w:val="20"/>
          <w:szCs w:val="20"/>
        </w:rPr>
        <w:t>ir</w:t>
      </w:r>
      <w:r w:rsidRPr="00D369EF">
        <w:rPr>
          <w:rFonts w:cs="Times New Roman"/>
          <w:sz w:val="20"/>
          <w:szCs w:val="20"/>
        </w:rPr>
        <w:t xml:space="preserve"> apskats par makroekonomiskās situācijas </w:t>
      </w:r>
      <w:r>
        <w:rPr>
          <w:rFonts w:cs="Times New Roman"/>
          <w:sz w:val="20"/>
          <w:szCs w:val="20"/>
        </w:rPr>
        <w:t>attīstību, ietverot 2019. gada I</w:t>
      </w:r>
      <w:r w:rsidRPr="00D369EF">
        <w:rPr>
          <w:rFonts w:cs="Times New Roman"/>
          <w:sz w:val="20"/>
          <w:szCs w:val="20"/>
        </w:rPr>
        <w:t xml:space="preserve"> ceturksni un </w:t>
      </w:r>
      <w:r>
        <w:rPr>
          <w:rFonts w:cs="Times New Roman"/>
          <w:sz w:val="20"/>
          <w:szCs w:val="20"/>
        </w:rPr>
        <w:t>pēdējos pieejamos datus par 2019</w:t>
      </w:r>
      <w:r w:rsidRPr="00D369EF">
        <w:rPr>
          <w:rFonts w:cs="Times New Roman"/>
          <w:sz w:val="20"/>
          <w:szCs w:val="20"/>
        </w:rPr>
        <w:t xml:space="preserve">. gada </w:t>
      </w:r>
      <w:r>
        <w:rPr>
          <w:rFonts w:cs="Times New Roman"/>
          <w:sz w:val="20"/>
          <w:szCs w:val="20"/>
        </w:rPr>
        <w:t>II</w:t>
      </w:r>
      <w:r w:rsidRPr="00D369EF">
        <w:rPr>
          <w:rFonts w:cs="Times New Roman"/>
          <w:sz w:val="20"/>
          <w:szCs w:val="20"/>
        </w:rPr>
        <w:t xml:space="preserve"> ceturksni. </w:t>
      </w:r>
      <w:r w:rsidRPr="004C6AC4">
        <w:rPr>
          <w:sz w:val="20"/>
          <w:szCs w:val="20"/>
        </w:rPr>
        <w:t>ES fondu ietekmes analīze</w:t>
      </w:r>
      <w:r>
        <w:rPr>
          <w:sz w:val="20"/>
          <w:szCs w:val="20"/>
        </w:rPr>
        <w:t xml:space="preserve"> </w:t>
      </w:r>
      <w:r w:rsidRPr="007C5BA6">
        <w:rPr>
          <w:sz w:val="20"/>
          <w:szCs w:val="20"/>
        </w:rPr>
        <w:t>balst</w:t>
      </w:r>
      <w:r>
        <w:rPr>
          <w:sz w:val="20"/>
          <w:szCs w:val="20"/>
        </w:rPr>
        <w:t>ās</w:t>
      </w:r>
      <w:r w:rsidRPr="007C5BA6">
        <w:rPr>
          <w:sz w:val="20"/>
          <w:szCs w:val="20"/>
        </w:rPr>
        <w:t xml:space="preserve"> uz 2010. gada salīdzināmajām cenām</w:t>
      </w:r>
      <w:r>
        <w:rPr>
          <w:sz w:val="20"/>
          <w:szCs w:val="20"/>
        </w:rPr>
        <w:t xml:space="preserve"> un veikta ar</w:t>
      </w:r>
      <w:r w:rsidRPr="004C6AC4">
        <w:rPr>
          <w:sz w:val="20"/>
          <w:szCs w:val="20"/>
        </w:rPr>
        <w:t xml:space="preserve"> FM modeli uz SIA “Projektu un kvalitātes vadība” pētījuma par izspiešanas efektu un publiskā kapitāla elastību Latvijā rezultāt</w:t>
      </w:r>
      <w:r>
        <w:rPr>
          <w:sz w:val="20"/>
          <w:szCs w:val="20"/>
        </w:rPr>
        <w:t xml:space="preserve">u pamata </w:t>
      </w:r>
      <w:r w:rsidRPr="007C5BA6">
        <w:rPr>
          <w:sz w:val="20"/>
          <w:szCs w:val="20"/>
        </w:rPr>
        <w:t>(</w:t>
      </w:r>
      <w:hyperlink r:id="rId1" w:history="1">
        <w:r w:rsidRPr="00760AE3">
          <w:rPr>
            <w:rStyle w:val="Hyperlink"/>
            <w:sz w:val="20"/>
            <w:szCs w:val="20"/>
          </w:rPr>
          <w:t>http://www.esfondi.lv/page.php?id=1104</w:t>
        </w:r>
      </w:hyperlink>
      <w:r>
        <w:rPr>
          <w:sz w:val="20"/>
          <w:szCs w:val="20"/>
        </w:rPr>
        <w:t xml:space="preserve"> </w:t>
      </w:r>
      <w:r w:rsidRPr="007C5BA6">
        <w:rPr>
          <w:sz w:val="20"/>
          <w:szCs w:val="20"/>
        </w:rPr>
        <w:t>)</w:t>
      </w:r>
      <w:r>
        <w:rPr>
          <w:sz w:val="20"/>
          <w:szCs w:val="20"/>
        </w:rPr>
        <w:t xml:space="preserve">. </w:t>
      </w:r>
    </w:p>
  </w:footnote>
  <w:footnote w:id="6">
    <w:p w14:paraId="7CE4A88C" w14:textId="640DF387" w:rsidR="00D81B5A" w:rsidRDefault="00D81B5A" w:rsidP="007514F4">
      <w:pPr>
        <w:pStyle w:val="FootnoteText"/>
        <w:jc w:val="both"/>
      </w:pPr>
      <w:r>
        <w:rPr>
          <w:rStyle w:val="FootnoteReference"/>
        </w:rPr>
        <w:footnoteRef/>
      </w:r>
      <w:r>
        <w:t xml:space="preserve"> SAM pasākumi: 3.1.1.1. “Aizdevuma garantijas”; 3.1.1.2. “</w:t>
      </w:r>
      <w:proofErr w:type="spellStart"/>
      <w:r>
        <w:t>Mezanīna</w:t>
      </w:r>
      <w:proofErr w:type="spellEnd"/>
      <w:r>
        <w:t xml:space="preserve"> aizdevumi”; 3.1.1.4. “</w:t>
      </w:r>
      <w:proofErr w:type="spellStart"/>
      <w:r>
        <w:t>Mikrokreditēšana</w:t>
      </w:r>
      <w:proofErr w:type="spellEnd"/>
      <w:r>
        <w:t xml:space="preserve"> un aizdevumi biznesa uzsācējiem”; 3.1.2.1. “Riska kapitāls”; 3.1.2.2. “Tehnoloģiju akselerators”; 4.2.1.1 “Veicināt energoefektivitātes paaugstināšanai dzīvojamās ēkās”</w:t>
      </w:r>
    </w:p>
  </w:footnote>
  <w:footnote w:id="7">
    <w:p w14:paraId="4199DEF4" w14:textId="0D36E57A" w:rsidR="00D81B5A" w:rsidRPr="00AA1158" w:rsidRDefault="00D81B5A" w:rsidP="006A6875">
      <w:pPr>
        <w:pStyle w:val="FootnoteText"/>
        <w:jc w:val="both"/>
      </w:pPr>
      <w:r>
        <w:rPr>
          <w:rStyle w:val="FootnoteReference"/>
        </w:rPr>
        <w:footnoteRef/>
      </w:r>
      <w:r>
        <w:t xml:space="preserve"> </w:t>
      </w:r>
      <w:r w:rsidRPr="00AA1158">
        <w:t>Pēdējais maksājumu pieteikums EK par apstiprinātajiem maksājuma pieprasījumiem līdz 2018. gada 31. </w:t>
      </w:r>
      <w:r>
        <w:t>decembrim, iesniegts EK 2019</w:t>
      </w:r>
      <w:r w:rsidRPr="00AA1158">
        <w:t xml:space="preserve">. gada </w:t>
      </w:r>
      <w:r>
        <w:t>3. jūnijā</w:t>
      </w:r>
    </w:p>
  </w:footnote>
  <w:footnote w:id="8">
    <w:p w14:paraId="470B06BD" w14:textId="2126E105" w:rsidR="00D81B5A" w:rsidRPr="007D27FF" w:rsidRDefault="00D81B5A" w:rsidP="006A6875">
      <w:pPr>
        <w:pStyle w:val="FootnoteText"/>
        <w:jc w:val="both"/>
      </w:pPr>
      <w:r w:rsidRPr="007D27FF">
        <w:rPr>
          <w:rStyle w:val="FootnoteReference"/>
        </w:rPr>
        <w:footnoteRef/>
      </w:r>
      <w:r w:rsidRPr="007D27FF">
        <w:t xml:space="preserve"> Ministru kabineta 2019.</w:t>
      </w:r>
      <w:r>
        <w:t> </w:t>
      </w:r>
      <w:r w:rsidRPr="007D27FF">
        <w:t>gada 23.</w:t>
      </w:r>
      <w:r>
        <w:t> </w:t>
      </w:r>
      <w:r w:rsidRPr="007D27FF">
        <w:t xml:space="preserve">aprīļa sēdes </w:t>
      </w:r>
      <w:proofErr w:type="spellStart"/>
      <w:r w:rsidRPr="007D27FF">
        <w:t>protokollēmums</w:t>
      </w:r>
      <w:proofErr w:type="spellEnd"/>
      <w:r w:rsidRPr="007D27FF">
        <w:t xml:space="preserve"> Nr.21 23.§ “Informatīvais ziņojums “Par Kohēzijas politikas Eiropas Savienības fondu investīciju aktualitātēm līdz 2018.</w:t>
      </w:r>
      <w:r>
        <w:t xml:space="preserve"> </w:t>
      </w:r>
      <w:r w:rsidRPr="007D27FF">
        <w:t>gada 31.decembrim un 2019.</w:t>
      </w:r>
      <w:r>
        <w:t xml:space="preserve"> </w:t>
      </w:r>
      <w:r w:rsidRPr="007D27FF">
        <w:t>gada februāra ikmēneša operatīvā informācija””.</w:t>
      </w:r>
    </w:p>
  </w:footnote>
  <w:footnote w:id="9">
    <w:p w14:paraId="499916D2" w14:textId="77777777" w:rsidR="00D81B5A" w:rsidRDefault="00D81B5A" w:rsidP="006A6875">
      <w:pPr>
        <w:pStyle w:val="FootnoteText"/>
        <w:jc w:val="both"/>
      </w:pPr>
      <w:r>
        <w:rPr>
          <w:rStyle w:val="FootnoteReference"/>
        </w:rPr>
        <w:footnoteRef/>
      </w:r>
      <w:r>
        <w:t xml:space="preserve"> Gada ziņojums - </w:t>
      </w:r>
      <w:hyperlink r:id="rId2" w:history="1">
        <w:r w:rsidRPr="00D02419">
          <w:rPr>
            <w:rStyle w:val="Hyperlink"/>
          </w:rPr>
          <w:t>https://www.esfondi.lv/gadskartejie-ieviesanas-zinojumi</w:t>
        </w:r>
      </w:hyperlink>
      <w:r>
        <w:t xml:space="preserve"> “2018.gada ziņojums”, Rādītāju vērtības - </w:t>
      </w:r>
      <w:hyperlink r:id="rId3" w:history="1">
        <w:r w:rsidRPr="00D02419">
          <w:rPr>
            <w:rStyle w:val="Hyperlink"/>
          </w:rPr>
          <w:t>https://www.esfondi.lv/2018.gads</w:t>
        </w:r>
      </w:hyperlink>
      <w:r>
        <w:t xml:space="preserve"> 4.sadaļa “Snieguma ietvara izpilde un rādītāju sasniegtās vērtības”, fails “</w:t>
      </w:r>
      <w:r w:rsidRPr="003451FD">
        <w:t>Rādītāju ziņotās vērtības darbības programmas "Izaugsme un nodarbinātība" 2018.gada ziņojumā</w:t>
      </w:r>
      <w:r>
        <w:t xml:space="preserve">” </w:t>
      </w:r>
    </w:p>
  </w:footnote>
  <w:footnote w:id="10">
    <w:p w14:paraId="40135576" w14:textId="337BF10A" w:rsidR="00D81B5A" w:rsidRDefault="00D81B5A">
      <w:pPr>
        <w:pStyle w:val="FootnoteText"/>
      </w:pPr>
      <w:r>
        <w:rPr>
          <w:rStyle w:val="FootnoteReference"/>
        </w:rPr>
        <w:footnoteRef/>
      </w:r>
      <w:r>
        <w:t xml:space="preserve"> Viena p</w:t>
      </w:r>
      <w:r w:rsidRPr="00085E60">
        <w:t xml:space="preserve">rojekta attiecināmās izmaksas lielākas par 50 milj. </w:t>
      </w:r>
      <w:proofErr w:type="spellStart"/>
      <w:r w:rsidRPr="007F49C4">
        <w:rPr>
          <w:i/>
        </w:rPr>
        <w:t>euro</w:t>
      </w:r>
      <w:proofErr w:type="spellEnd"/>
      <w:r w:rsidRPr="00085E60">
        <w:t xml:space="preserve"> un par kuru gala lēmumu pieņem EK</w:t>
      </w:r>
    </w:p>
  </w:footnote>
  <w:footnote w:id="11">
    <w:p w14:paraId="4C4ED202" w14:textId="77777777" w:rsidR="00D81B5A" w:rsidRPr="00CE5E7D" w:rsidRDefault="00D81B5A" w:rsidP="00B874D4">
      <w:pPr>
        <w:pStyle w:val="FootnoteText"/>
        <w:jc w:val="both"/>
      </w:pPr>
      <w:r>
        <w:rPr>
          <w:rStyle w:val="FootnoteReference"/>
        </w:rPr>
        <w:footnoteRef/>
      </w:r>
      <w:r>
        <w:t xml:space="preserve"> P</w:t>
      </w:r>
      <w:r w:rsidRPr="007D178C">
        <w:t>rojektos pieejamais finansējums, t.sk. valsts budžeta “</w:t>
      </w:r>
      <w:proofErr w:type="spellStart"/>
      <w:r w:rsidRPr="007D178C">
        <w:t>virssaistības</w:t>
      </w:r>
      <w:proofErr w:type="spellEnd"/>
      <w:r w:rsidRPr="007D178C">
        <w:t xml:space="preserve">” 13,3 milj. </w:t>
      </w:r>
      <w:proofErr w:type="spellStart"/>
      <w:r w:rsidRPr="00A47458">
        <w:rPr>
          <w:i/>
        </w:rPr>
        <w:t>euro</w:t>
      </w:r>
      <w:proofErr w:type="spellEnd"/>
      <w:r w:rsidRPr="007D178C">
        <w:t xml:space="preserve">. Pēc </w:t>
      </w:r>
      <w:proofErr w:type="spellStart"/>
      <w:r w:rsidRPr="007D178C">
        <w:t>vidusposma</w:t>
      </w:r>
      <w:proofErr w:type="spellEnd"/>
      <w:r w:rsidRPr="007D178C">
        <w:t xml:space="preserve"> rezultātiem iespējams papildus rezerves finansējums 32,4 milj. </w:t>
      </w:r>
      <w:proofErr w:type="spellStart"/>
      <w:r w:rsidRPr="00A47458">
        <w:rPr>
          <w:i/>
        </w:rPr>
        <w:t>euro</w:t>
      </w:r>
      <w:proofErr w:type="spellEnd"/>
      <w:r>
        <w:rPr>
          <w:i/>
        </w:rPr>
        <w:t xml:space="preserve">. </w:t>
      </w:r>
    </w:p>
  </w:footnote>
  <w:footnote w:id="12">
    <w:p w14:paraId="732206ED" w14:textId="20D0A400" w:rsidR="00D81B5A" w:rsidRDefault="00D81B5A" w:rsidP="009F20B2">
      <w:pPr>
        <w:pStyle w:val="FootnoteText"/>
        <w:jc w:val="both"/>
      </w:pPr>
      <w:r>
        <w:rPr>
          <w:rStyle w:val="FootnoteReference"/>
        </w:rPr>
        <w:footnoteRef/>
      </w:r>
      <w:r>
        <w:t xml:space="preserve"> </w:t>
      </w:r>
      <w:r>
        <w:rPr>
          <w:szCs w:val="24"/>
        </w:rPr>
        <w:t>Noklusējuma procedūrā</w:t>
      </w:r>
      <w:r w:rsidRPr="00DD0324">
        <w:rPr>
          <w:szCs w:val="24"/>
        </w:rPr>
        <w:t xml:space="preserve"> atbilstoši regulas Nr. 1303/2013</w:t>
      </w:r>
      <w:r>
        <w:rPr>
          <w:rStyle w:val="FootnoteReference"/>
          <w:szCs w:val="24"/>
        </w:rPr>
        <w:footnoteRef/>
      </w:r>
      <w:r>
        <w:rPr>
          <w:szCs w:val="24"/>
        </w:rPr>
        <w:t xml:space="preserve"> 102. panta 1. </w:t>
      </w:r>
      <w:r w:rsidRPr="00DD0324">
        <w:rPr>
          <w:szCs w:val="24"/>
        </w:rPr>
        <w:t>punkta otrajā daļā noteiktaj</w:t>
      </w:r>
      <w:r>
        <w:rPr>
          <w:szCs w:val="24"/>
        </w:rPr>
        <w:t xml:space="preserve">am. </w:t>
      </w:r>
      <w:r>
        <w:t xml:space="preserve">Projekta </w:t>
      </w:r>
      <w:r w:rsidRPr="00CB7918">
        <w:t>kopē</w:t>
      </w:r>
      <w:r>
        <w:t>jās attiecināmās izmaksas 439,</w:t>
      </w:r>
      <w:r w:rsidRPr="00AB0FF7">
        <w:t>7</w:t>
      </w:r>
      <w:r>
        <w:t> </w:t>
      </w:r>
      <w:r w:rsidRPr="00AB0FF7">
        <w:t>milj</w:t>
      </w:r>
      <w:r>
        <w:t>. </w:t>
      </w:r>
      <w:proofErr w:type="spellStart"/>
      <w:r w:rsidRPr="00B92163">
        <w:rPr>
          <w:i/>
        </w:rPr>
        <w:t>euro</w:t>
      </w:r>
      <w:proofErr w:type="spellEnd"/>
      <w:r w:rsidRPr="00CB7918">
        <w:t xml:space="preserve">, t.sk. KF 318,6 milj. </w:t>
      </w:r>
      <w:proofErr w:type="spellStart"/>
      <w:r w:rsidRPr="00B92163">
        <w:rPr>
          <w:i/>
        </w:rPr>
        <w:t>euro</w:t>
      </w:r>
      <w:proofErr w:type="spellEnd"/>
      <w:r>
        <w:rPr>
          <w:i/>
        </w:rPr>
        <w:t xml:space="preserve">. </w:t>
      </w:r>
      <w:r w:rsidRPr="000C6193">
        <w:t xml:space="preserve">Pēc </w:t>
      </w:r>
      <w:proofErr w:type="spellStart"/>
      <w:r w:rsidRPr="000C6193">
        <w:t>vidusposma</w:t>
      </w:r>
      <w:proofErr w:type="spellEnd"/>
      <w:r w:rsidRPr="000C6193">
        <w:t xml:space="preserve"> </w:t>
      </w:r>
      <w:proofErr w:type="spellStart"/>
      <w:r w:rsidRPr="000C6193">
        <w:t>izvērtējuma</w:t>
      </w:r>
      <w:proofErr w:type="spellEnd"/>
      <w:r w:rsidRPr="000C6193">
        <w:t xml:space="preserve"> papildus iespējama KF rezerve </w:t>
      </w:r>
      <w:r>
        <w:t>28</w:t>
      </w:r>
      <w:r w:rsidRPr="000C6193">
        <w:t>,</w:t>
      </w:r>
      <w:r>
        <w:t>1</w:t>
      </w:r>
      <w:r w:rsidRPr="000C6193">
        <w:t xml:space="preserve"> milj.</w:t>
      </w:r>
      <w:r w:rsidRPr="00F93C35">
        <w:rPr>
          <w:i/>
        </w:rPr>
        <w:t xml:space="preserve"> </w:t>
      </w:r>
      <w:proofErr w:type="spellStart"/>
      <w:r w:rsidRPr="00F93C35">
        <w:rPr>
          <w:i/>
        </w:rPr>
        <w:t>euro</w:t>
      </w:r>
      <w:proofErr w:type="spellEnd"/>
      <w:r w:rsidRPr="00F93C35">
        <w:rPr>
          <w:i/>
        </w:rPr>
        <w:t>.</w:t>
      </w:r>
      <w:r>
        <w:rPr>
          <w:i/>
        </w:rPr>
        <w:t xml:space="preserve"> </w:t>
      </w:r>
      <w:r w:rsidRPr="007525D2">
        <w:t xml:space="preserve">EK </w:t>
      </w:r>
      <w:proofErr w:type="spellStart"/>
      <w:r w:rsidRPr="007525D2">
        <w:t>relīz</w:t>
      </w:r>
      <w:r>
        <w:t>e</w:t>
      </w:r>
      <w:proofErr w:type="spellEnd"/>
      <w:r w:rsidRPr="007525D2">
        <w:t>:</w:t>
      </w:r>
      <w:r>
        <w:rPr>
          <w:szCs w:val="24"/>
        </w:rPr>
        <w:t xml:space="preserve"> </w:t>
      </w:r>
      <w:hyperlink r:id="rId4" w:history="1">
        <w:r w:rsidRPr="0088216B">
          <w:rPr>
            <w:rStyle w:val="Hyperlink"/>
          </w:rPr>
          <w:t>http://europa.eu/rapid/press-release_MEX-19-4109_en.htm</w:t>
        </w:r>
      </w:hyperlink>
    </w:p>
  </w:footnote>
  <w:footnote w:id="13">
    <w:p w14:paraId="7B70B79E" w14:textId="4321F6A2" w:rsidR="00D81B5A" w:rsidRPr="00C65B56" w:rsidRDefault="00D81B5A" w:rsidP="009F20B2">
      <w:pPr>
        <w:pStyle w:val="FootnoteText"/>
        <w:jc w:val="both"/>
      </w:pPr>
      <w:r w:rsidRPr="00C65B56">
        <w:rPr>
          <w:rStyle w:val="FootnoteReference"/>
        </w:rPr>
        <w:footnoteRef/>
      </w:r>
      <w:r w:rsidRPr="00C65B56">
        <w:t xml:space="preserve"> MK </w:t>
      </w:r>
      <w:r>
        <w:t xml:space="preserve">2019. gada 16. jūlija sēdes darba </w:t>
      </w:r>
      <w:r w:rsidRPr="00674AB5">
        <w:rPr>
          <w:rFonts w:cs="Times New Roman"/>
        </w:rPr>
        <w:t>kārtības</w:t>
      </w:r>
      <w:r>
        <w:rPr>
          <w:rFonts w:cs="Times New Roman"/>
        </w:rPr>
        <w:t xml:space="preserve"> jautājums Nr.4.8.</w:t>
      </w:r>
      <w:r w:rsidRPr="00674AB5">
        <w:rPr>
          <w:rFonts w:cs="Times New Roman"/>
        </w:rPr>
        <w:t xml:space="preserve"> “</w:t>
      </w:r>
      <w:r>
        <w:rPr>
          <w:rFonts w:cs="Times New Roman"/>
        </w:rPr>
        <w:t>Informatīvais ziņojums “</w:t>
      </w:r>
      <w:r w:rsidRPr="00674AB5">
        <w:rPr>
          <w:rFonts w:cs="Times New Roman"/>
        </w:rPr>
        <w:t xml:space="preserve">Par jauno elektrovilcienu </w:t>
      </w:r>
      <w:r>
        <w:rPr>
          <w:rFonts w:cs="Times New Roman"/>
        </w:rPr>
        <w:t>projektu” un rīkojuma projekts “</w:t>
      </w:r>
      <w:r w:rsidRPr="00674AB5">
        <w:rPr>
          <w:rFonts w:cs="Times New Roman"/>
        </w:rPr>
        <w:t xml:space="preserve">Par Satiksmes ministrijas ilgtermiņa saistībām </w:t>
      </w:r>
      <w:r>
        <w:rPr>
          <w:rFonts w:cs="Times New Roman"/>
        </w:rPr>
        <w:t>jauno elektrovilcienu projektam</w:t>
      </w:r>
      <w:r w:rsidRPr="00674AB5">
        <w:rPr>
          <w:rFonts w:cs="Times New Roman"/>
        </w:rPr>
        <w:t>”</w:t>
      </w:r>
      <w:r>
        <w:rPr>
          <w:rFonts w:cs="Times New Roman"/>
        </w:rPr>
        <w:t>”:</w:t>
      </w:r>
      <w:r w:rsidRPr="00A120DB">
        <w:rPr>
          <w:sz w:val="24"/>
          <w:szCs w:val="22"/>
        </w:rPr>
        <w:t xml:space="preserve"> </w:t>
      </w:r>
      <w:hyperlink r:id="rId5" w:history="1">
        <w:r w:rsidRPr="00A120DB">
          <w:rPr>
            <w:rStyle w:val="Hyperlink"/>
            <w:rFonts w:cs="Times New Roman"/>
          </w:rPr>
          <w:t>http://tap.mk.gov.lv/lv/mk/tap/?pid=40475566&amp;mode=mk&amp;date=2019-07-16</w:t>
        </w:r>
      </w:hyperlink>
    </w:p>
  </w:footnote>
  <w:footnote w:id="14">
    <w:p w14:paraId="10D19AE9" w14:textId="77777777" w:rsidR="00D81B5A" w:rsidRDefault="00D81B5A" w:rsidP="00BA282C">
      <w:pPr>
        <w:pStyle w:val="FootnoteText"/>
        <w:jc w:val="both"/>
      </w:pPr>
      <w:r>
        <w:rPr>
          <w:rStyle w:val="FootnoteReference"/>
        </w:rPr>
        <w:footnoteRef/>
      </w:r>
      <w:r>
        <w:t xml:space="preserve"> Projekta </w:t>
      </w:r>
      <w:r w:rsidRPr="00A63A8B">
        <w:t xml:space="preserve">kopējās attiecināmās izmaksas 91,1 milj. </w:t>
      </w:r>
      <w:proofErr w:type="spellStart"/>
      <w:r w:rsidRPr="00A63A8B">
        <w:rPr>
          <w:i/>
        </w:rPr>
        <w:t>euro</w:t>
      </w:r>
      <w:proofErr w:type="spellEnd"/>
      <w:r w:rsidRPr="00A63A8B">
        <w:t xml:space="preserve">, t.sk. ERAF 64,3 milj. </w:t>
      </w:r>
      <w:proofErr w:type="spellStart"/>
      <w:r w:rsidRPr="00A63A8B">
        <w:rPr>
          <w:i/>
        </w:rPr>
        <w:t>euro</w:t>
      </w:r>
      <w:proofErr w:type="spellEnd"/>
    </w:p>
  </w:footnote>
  <w:footnote w:id="15">
    <w:p w14:paraId="23D0060A" w14:textId="77777777" w:rsidR="00D81B5A" w:rsidRPr="00D50107" w:rsidRDefault="00D81B5A" w:rsidP="00963B1B">
      <w:pPr>
        <w:pStyle w:val="FootnoteText"/>
        <w:jc w:val="both"/>
      </w:pPr>
      <w:r>
        <w:rPr>
          <w:rStyle w:val="FootnoteReference"/>
        </w:rPr>
        <w:footnoteRef/>
      </w:r>
      <w:r>
        <w:t xml:space="preserve"> Projekta </w:t>
      </w:r>
      <w:r w:rsidRPr="00091FCF">
        <w:rPr>
          <w:rFonts w:cs="Times New Roman"/>
          <w:shd w:val="clear" w:color="auto" w:fill="FFFFFF"/>
        </w:rPr>
        <w:t>kopējās attiecināmās izmaksas 29,3 milj.</w:t>
      </w:r>
      <w:r w:rsidRPr="00091FCF">
        <w:rPr>
          <w:rFonts w:cs="Times New Roman"/>
          <w:i/>
          <w:shd w:val="clear" w:color="auto" w:fill="FFFFFF"/>
        </w:rPr>
        <w:t> </w:t>
      </w:r>
      <w:proofErr w:type="spellStart"/>
      <w:r w:rsidRPr="00091FCF">
        <w:rPr>
          <w:rFonts w:cs="Times New Roman"/>
          <w:i/>
          <w:shd w:val="clear" w:color="auto" w:fill="FFFFFF"/>
        </w:rPr>
        <w:t>euro</w:t>
      </w:r>
      <w:proofErr w:type="spellEnd"/>
      <w:r w:rsidRPr="00091FCF">
        <w:rPr>
          <w:rFonts w:cs="Times New Roman"/>
          <w:shd w:val="clear" w:color="auto" w:fill="FFFFFF"/>
        </w:rPr>
        <w:t>, t.sk. ERAF 11,6 milj.</w:t>
      </w:r>
      <w:r w:rsidRPr="00091FCF">
        <w:rPr>
          <w:rFonts w:cs="Times New Roman"/>
          <w:i/>
          <w:shd w:val="clear" w:color="auto" w:fill="FFFFFF"/>
        </w:rPr>
        <w:t> </w:t>
      </w:r>
      <w:proofErr w:type="spellStart"/>
      <w:r w:rsidRPr="00091FCF">
        <w:rPr>
          <w:rFonts w:cs="Times New Roman"/>
          <w:i/>
          <w:shd w:val="clear" w:color="auto" w:fill="FFFFFF"/>
        </w:rPr>
        <w:t>euro</w:t>
      </w:r>
      <w:proofErr w:type="spellEnd"/>
      <w:r w:rsidRPr="00091FCF">
        <w:rPr>
          <w:rFonts w:cs="Times New Roman"/>
          <w:i/>
          <w:shd w:val="clear" w:color="auto" w:fill="FFFFFF"/>
        </w:rPr>
        <w:t xml:space="preserve"> </w:t>
      </w:r>
      <w:r w:rsidRPr="00091FCF">
        <w:rPr>
          <w:rFonts w:cs="Times New Roman"/>
          <w:shd w:val="clear" w:color="auto" w:fill="FFFFFF"/>
        </w:rPr>
        <w:t>un valsts budžeta “</w:t>
      </w:r>
      <w:proofErr w:type="spellStart"/>
      <w:r w:rsidRPr="00091FCF">
        <w:rPr>
          <w:rFonts w:cs="Times New Roman"/>
          <w:shd w:val="clear" w:color="auto" w:fill="FFFFFF"/>
        </w:rPr>
        <w:t>virssaistības</w:t>
      </w:r>
      <w:proofErr w:type="spellEnd"/>
      <w:r w:rsidRPr="00091FCF">
        <w:rPr>
          <w:rFonts w:cs="Times New Roman"/>
          <w:shd w:val="clear" w:color="auto" w:fill="FFFFFF"/>
        </w:rPr>
        <w:t>” 13,3 milj. </w:t>
      </w:r>
      <w:proofErr w:type="spellStart"/>
      <w:r w:rsidRPr="00091FCF">
        <w:rPr>
          <w:rFonts w:cs="Times New Roman"/>
          <w:i/>
          <w:shd w:val="clear" w:color="auto" w:fill="FFFFFF"/>
        </w:rPr>
        <w:t>euro</w:t>
      </w:r>
      <w:proofErr w:type="spellEnd"/>
    </w:p>
  </w:footnote>
  <w:footnote w:id="16">
    <w:p w14:paraId="5003EA44" w14:textId="104A9DA7" w:rsidR="00D81B5A" w:rsidRDefault="00D81B5A">
      <w:pPr>
        <w:pStyle w:val="FootnoteText"/>
      </w:pPr>
      <w:r>
        <w:rPr>
          <w:rStyle w:val="FootnoteReference"/>
        </w:rPr>
        <w:footnoteRef/>
      </w:r>
      <w:r>
        <w:t xml:space="preserve"> </w:t>
      </w:r>
      <w:r w:rsidRPr="00D62B55">
        <w:rPr>
          <w:rFonts w:cs="Times New Roman"/>
          <w:color w:val="262626"/>
        </w:rPr>
        <w:t xml:space="preserve">Informāciju par konkursa laureātiem, kā arī pasākuma foto galeriju, skatīt: </w:t>
      </w:r>
      <w:hyperlink r:id="rId6" w:history="1">
        <w:r w:rsidRPr="00D62B55">
          <w:rPr>
            <w:rStyle w:val="Hyperlink"/>
            <w:rFonts w:cs="Times New Roman"/>
          </w:rPr>
          <w:t>https://regiostars.lv/laureati</w:t>
        </w:r>
      </w:hyperlink>
    </w:p>
  </w:footnote>
  <w:footnote w:id="17">
    <w:p w14:paraId="4B99CF20" w14:textId="0FADD8E3" w:rsidR="00D81B5A" w:rsidRPr="00695A21" w:rsidRDefault="00D81B5A" w:rsidP="00F117FA">
      <w:pPr>
        <w:pStyle w:val="FootnoteText"/>
        <w:jc w:val="both"/>
      </w:pPr>
      <w:r w:rsidRPr="00695A21">
        <w:rPr>
          <w:rStyle w:val="FootnoteReference"/>
        </w:rPr>
        <w:footnoteRef/>
      </w:r>
      <w:r w:rsidRPr="00695A21">
        <w:t xml:space="preserve"> </w:t>
      </w:r>
      <w:r w:rsidRPr="00F52B7D">
        <w:t>MK noteikumi Nr.784</w:t>
      </w:r>
    </w:p>
  </w:footnote>
  <w:footnote w:id="18">
    <w:p w14:paraId="2728B1A8" w14:textId="08D6DEAA" w:rsidR="00D81B5A" w:rsidRDefault="00D81B5A" w:rsidP="00943D3D">
      <w:pPr>
        <w:pStyle w:val="FootnoteText"/>
        <w:jc w:val="both"/>
      </w:pPr>
      <w:r>
        <w:rPr>
          <w:rStyle w:val="FootnoteReference"/>
        </w:rPr>
        <w:footnoteRef/>
      </w:r>
      <w:r>
        <w:t xml:space="preserve"> </w:t>
      </w:r>
      <w:r w:rsidRPr="00514E70">
        <w:t>Aizņēmumi ES projektu attiecināmo izmaksu apjomā ir noteikti kā prioritāte likumā “Par valsts budžetu 2019.</w:t>
      </w:r>
      <w:r>
        <w:t> </w:t>
      </w:r>
      <w:r w:rsidRPr="00514E70">
        <w:t>gadam” (turpmāk – Likums), MK un LPS domstarpību un vienošanās protokolā par 2019. gada budžetu un MK 2019. gada 11. jūnija sēdes lēmumā. Par pašvaldību aizņemšanās kārtību un nosacījumiem vienošanās ar pašvaldībām tika panākta LPS Domes 2019. gada 5. marta sēdē, parakstot minēto protokolu. Pamatojoties uz panākto vienošanos un Likumā noteikto, prioritāri pieejamā aizņēmuma limita (pašvaldību pirmstermiņa aizņēmumu atmaksu) ietvaros tiek izskatīti aizņēmumi ES projektu attiecināmo izmaksu apjomā.</w:t>
      </w:r>
    </w:p>
  </w:footnote>
  <w:footnote w:id="19">
    <w:p w14:paraId="5F342EC7" w14:textId="496F7E49" w:rsidR="00D81B5A" w:rsidRPr="00F52B7D" w:rsidRDefault="00D81B5A" w:rsidP="00943D3D">
      <w:pPr>
        <w:pStyle w:val="BodyText2"/>
        <w:tabs>
          <w:tab w:val="left" w:pos="-5387"/>
          <w:tab w:val="left" w:pos="284"/>
          <w:tab w:val="left" w:pos="851"/>
        </w:tabs>
        <w:spacing w:after="0" w:line="240" w:lineRule="auto"/>
        <w:ind w:right="-1"/>
        <w:jc w:val="both"/>
        <w:rPr>
          <w:sz w:val="20"/>
          <w:szCs w:val="20"/>
        </w:rPr>
      </w:pPr>
      <w:r w:rsidRPr="007C36A9">
        <w:rPr>
          <w:rStyle w:val="FootnoteReference"/>
          <w:sz w:val="20"/>
          <w:szCs w:val="20"/>
        </w:rPr>
        <w:footnoteRef/>
      </w:r>
      <w:r w:rsidRPr="007C36A9">
        <w:rPr>
          <w:sz w:val="20"/>
          <w:szCs w:val="20"/>
          <w:lang w:eastAsia="lv-LV"/>
        </w:rPr>
        <w:t>aizņēmuma apm</w:t>
      </w:r>
      <w:r w:rsidRPr="007C36A9">
        <w:rPr>
          <w:sz w:val="20"/>
          <w:szCs w:val="20"/>
        </w:rPr>
        <w:t xml:space="preserve">ērs, kas </w:t>
      </w:r>
      <w:r w:rsidRPr="007C36A9">
        <w:rPr>
          <w:rFonts w:eastAsia="Calibri"/>
          <w:sz w:val="20"/>
          <w:szCs w:val="20"/>
        </w:rPr>
        <w:t>nepārsniedz projekta attiecināmo izmaksu kopsummu.</w:t>
      </w:r>
    </w:p>
  </w:footnote>
  <w:footnote w:id="20">
    <w:p w14:paraId="6FF383B2" w14:textId="77777777" w:rsidR="00D81B5A" w:rsidRPr="00BF08DB" w:rsidRDefault="00D81B5A" w:rsidP="00943D3D">
      <w:pPr>
        <w:pStyle w:val="FootnoteText"/>
        <w:jc w:val="both"/>
      </w:pPr>
      <w:r w:rsidRPr="00BF08DB">
        <w:rPr>
          <w:rStyle w:val="FootnoteReference"/>
        </w:rPr>
        <w:footnoteRef/>
      </w:r>
      <w:r w:rsidRPr="00BF08DB">
        <w:t xml:space="preserve"> </w:t>
      </w:r>
      <w:r w:rsidRPr="0022023B">
        <w:t xml:space="preserve">FM ir iesniegusi MK izskatīšanai </w:t>
      </w:r>
      <w:r>
        <w:t xml:space="preserve">noteiktā kārtībā </w:t>
      </w:r>
      <w:r w:rsidRPr="0022023B">
        <w:t>attiecīgu informāciju un priekšlikumus aizdevumu nodrošināšanai iepriekš minētajiem mērķiem.</w:t>
      </w:r>
    </w:p>
  </w:footnote>
  <w:footnote w:id="21">
    <w:p w14:paraId="6BB90123" w14:textId="291F6264" w:rsidR="00D81B5A" w:rsidRPr="00A6600F" w:rsidRDefault="00D81B5A" w:rsidP="00B10D32">
      <w:pPr>
        <w:pStyle w:val="FootnoteText"/>
        <w:jc w:val="both"/>
        <w:rPr>
          <w:color w:val="000000" w:themeColor="text1"/>
        </w:rPr>
      </w:pPr>
      <w:r>
        <w:rPr>
          <w:rStyle w:val="FootnoteReference"/>
        </w:rPr>
        <w:footnoteRef/>
      </w:r>
      <w:r>
        <w:rPr>
          <w:rFonts w:eastAsia="Calibri" w:cs="Times New Roman"/>
          <w:color w:val="000000"/>
        </w:rPr>
        <w:t xml:space="preserve"> Aktuālā informācija un saistošie dokumenti pieejami </w:t>
      </w:r>
      <w:r w:rsidRPr="009D5478">
        <w:rPr>
          <w:rFonts w:eastAsia="Calibri" w:cs="Times New Roman"/>
          <w:color w:val="000000"/>
        </w:rPr>
        <w:t>tīmekļa vietn</w:t>
      </w:r>
      <w:r>
        <w:rPr>
          <w:rFonts w:eastAsia="Calibri" w:cs="Times New Roman"/>
          <w:color w:val="000000"/>
        </w:rPr>
        <w:t>ēs</w:t>
      </w:r>
      <w:r w:rsidRPr="009D5478">
        <w:rPr>
          <w:rFonts w:eastAsia="Calibri" w:cs="Times New Roman"/>
          <w:color w:val="000000"/>
        </w:rPr>
        <w:t xml:space="preserve">: </w:t>
      </w:r>
      <w:hyperlink r:id="rId7" w:history="1">
        <w:r w:rsidRPr="006E1D16">
          <w:rPr>
            <w:rStyle w:val="Hyperlink"/>
            <w:rFonts w:eastAsia="Calibri" w:cs="Times New Roman"/>
          </w:rPr>
          <w:t>https://www.eeagrants.lv/?id=96</w:t>
        </w:r>
      </w:hyperlink>
    </w:p>
  </w:footnote>
  <w:footnote w:id="22">
    <w:p w14:paraId="148F3689" w14:textId="2D0B8D3A" w:rsidR="00D81B5A" w:rsidRPr="003C32D5" w:rsidRDefault="00D81B5A" w:rsidP="00B10D32">
      <w:pPr>
        <w:pStyle w:val="FootnoteText"/>
        <w:jc w:val="both"/>
      </w:pPr>
      <w:r w:rsidRPr="003C32D5">
        <w:rPr>
          <w:rStyle w:val="FootnoteReference"/>
        </w:rPr>
        <w:footnoteRef/>
      </w:r>
      <w:r w:rsidRPr="003C32D5">
        <w:t xml:space="preserve"> </w:t>
      </w:r>
      <w:hyperlink r:id="rId8" w:history="1">
        <w:r w:rsidRPr="003C32D5">
          <w:t>https://www.eeagrants.lv/?id=105</w:t>
        </w:r>
      </w:hyperlink>
      <w:r w:rsidRPr="003C32D5">
        <w:t>, sadaļā “Informatīvie materiāli”.</w:t>
      </w:r>
    </w:p>
  </w:footnote>
  <w:footnote w:id="23">
    <w:p w14:paraId="390CB19A" w14:textId="2B472C06" w:rsidR="00D81B5A" w:rsidRPr="00804913" w:rsidRDefault="00D81B5A" w:rsidP="00514C36">
      <w:pPr>
        <w:jc w:val="both"/>
        <w:rPr>
          <w:sz w:val="20"/>
          <w:szCs w:val="20"/>
        </w:rPr>
      </w:pPr>
      <w:r w:rsidRPr="003C32D5">
        <w:rPr>
          <w:rStyle w:val="FootnoteReference"/>
          <w:sz w:val="20"/>
          <w:szCs w:val="20"/>
        </w:rPr>
        <w:footnoteRef/>
      </w:r>
      <w:r w:rsidRPr="003C32D5">
        <w:rPr>
          <w:sz w:val="20"/>
          <w:szCs w:val="20"/>
        </w:rPr>
        <w:t xml:space="preserve"> Pārskata periods līdz 2019.</w:t>
      </w:r>
      <w:r>
        <w:rPr>
          <w:sz w:val="20"/>
          <w:szCs w:val="20"/>
        </w:rPr>
        <w:t xml:space="preserve"> </w:t>
      </w:r>
      <w:r w:rsidRPr="003C32D5">
        <w:rPr>
          <w:sz w:val="20"/>
          <w:szCs w:val="20"/>
        </w:rPr>
        <w:t xml:space="preserve">gada 30.jūnijam. Saskaņā ar Regulas Nr.1303/2013 </w:t>
      </w:r>
      <w:r>
        <w:rPr>
          <w:sz w:val="20"/>
          <w:szCs w:val="20"/>
        </w:rPr>
        <w:t xml:space="preserve">2.panta </w:t>
      </w:r>
      <w:r w:rsidRPr="003C32D5">
        <w:rPr>
          <w:sz w:val="20"/>
          <w:szCs w:val="20"/>
        </w:rPr>
        <w:t xml:space="preserve">36.punktu. Metodoloģiskā un cita neatbilstību informācija pieejama tīmekļa vietnē: sadaļā </w:t>
      </w:r>
      <w:hyperlink r:id="rId9" w:history="1">
        <w:r w:rsidRPr="003C32D5">
          <w:rPr>
            <w:rStyle w:val="Hyperlink"/>
            <w:sz w:val="20"/>
            <w:szCs w:val="20"/>
          </w:rPr>
          <w:t>http://www.esfondi.lv/vadlinijas--skaidrojumi</w:t>
        </w:r>
      </w:hyperlink>
      <w:r w:rsidRPr="003C32D5">
        <w:rPr>
          <w:rStyle w:val="Hyperlink"/>
          <w:sz w:val="20"/>
          <w:szCs w:val="20"/>
        </w:rPr>
        <w:t xml:space="preserve"> un </w:t>
      </w:r>
      <w:hyperlink r:id="rId10" w:history="1">
        <w:r w:rsidRPr="003C32D5">
          <w:rPr>
            <w:rStyle w:val="Hyperlink"/>
            <w:sz w:val="20"/>
            <w:szCs w:val="20"/>
          </w:rPr>
          <w:t>http://www.esfondi.lv/konstatetas-neatbilstibas</w:t>
        </w:r>
      </w:hyperlink>
      <w:r w:rsidRPr="003C32D5">
        <w:rPr>
          <w:sz w:val="20"/>
          <w:szCs w:val="20"/>
        </w:rPr>
        <w:t xml:space="preserve">. </w:t>
      </w:r>
      <w:r w:rsidRPr="003C32D5">
        <w:rPr>
          <w:rFonts w:eastAsia="Times New Roman" w:cs="Times New Roman"/>
          <w:sz w:val="20"/>
          <w:szCs w:val="20"/>
        </w:rPr>
        <w:t>Ziņojumā analizēti pārkāpumi (neatbilstības) ar finansiālu ietekmi (</w:t>
      </w:r>
      <w:r w:rsidRPr="003C32D5">
        <w:rPr>
          <w:sz w:val="20"/>
          <w:szCs w:val="20"/>
        </w:rPr>
        <w:t>publiskais finansējums (ES fondu finansējums, valsts budžeta daļa un valsts budžeta dotācijas)</w:t>
      </w:r>
      <w:r w:rsidRPr="003C32D5">
        <w:rPr>
          <w:rFonts w:eastAsia="Times New Roman" w:cs="Times New Roman"/>
          <w:sz w:val="20"/>
          <w:szCs w:val="20"/>
        </w:rPr>
        <w:t> – pārkāpumi, kuru rezultātā radušies neatbilstoši veikti izdevumi, kam piemērota kāda no atgūšanas procedūrām (piemēram, izdevumu ieturēšana no kārtējā vai nākamā maksājuma pieprasījuma, atprasīšana, norakstīšana u.c.).</w:t>
      </w:r>
    </w:p>
  </w:footnote>
  <w:footnote w:id="24">
    <w:p w14:paraId="129D5226" w14:textId="0011BBF0" w:rsidR="00D81B5A" w:rsidRDefault="00D81B5A" w:rsidP="0012571D">
      <w:pPr>
        <w:pStyle w:val="FootnoteText"/>
        <w:jc w:val="both"/>
      </w:pPr>
      <w:r>
        <w:rPr>
          <w:rStyle w:val="FootnoteReference"/>
        </w:rPr>
        <w:footnoteRef/>
      </w:r>
      <w:r>
        <w:t xml:space="preserve"> </w:t>
      </w:r>
      <w:r w:rsidRPr="00DC32AA">
        <w:t>EEZ finanšu instrumenta 2009.-2014.</w:t>
      </w:r>
      <w:r>
        <w:t xml:space="preserve"> </w:t>
      </w:r>
      <w:r w:rsidRPr="00DC32AA">
        <w:t>gada perioda VARAM programmā “Nacionālā klimata politika” RI audita ietvaros vienā projektā ir konstatētas iespējamas neattiecināmās izmaksas, ņemot vērā komercdarbības atbalsta nosacījumus. VARAM un VRAA vērtē situāciju. FM informēs par jautājuma risināšanu turpmākajos ziņ</w:t>
      </w:r>
      <w:r>
        <w:t>o</w:t>
      </w:r>
      <w:r w:rsidRPr="00DC32AA">
        <w:t>jumos.</w:t>
      </w:r>
    </w:p>
  </w:footnote>
  <w:footnote w:id="25">
    <w:p w14:paraId="6EEAB408" w14:textId="77777777" w:rsidR="00D81B5A" w:rsidRDefault="00D81B5A" w:rsidP="008A6570">
      <w:pPr>
        <w:pStyle w:val="FootnoteText"/>
        <w:jc w:val="both"/>
      </w:pPr>
      <w:r>
        <w:rPr>
          <w:rStyle w:val="FootnoteReference"/>
        </w:rPr>
        <w:footnoteRef/>
      </w:r>
      <w:r>
        <w:t xml:space="preserve"> Informatīvajā ziņojumā par Kohēzijas politikas Eiropas Savienības fondu investīciju progresu līdz 2017. gada 31. decembrim, jau tiks sniegta informācija par Rakstniecības un mūzikas muzeja projekta nozīmīgiem sarežģījumiem gan iepirkumos, gan būvniecības darbos, kā rezultātā projekta mērķis netika sasniegts projekta īstenošanas termiņā līdz 2017. gada 30. aprīlim: </w:t>
      </w:r>
      <w:hyperlink r:id="rId11" w:history="1">
        <w:r>
          <w:rPr>
            <w:rStyle w:val="Hyperlink"/>
          </w:rPr>
          <w:t>https://www.esfondi.lv/upload/00-informativie-zinojumi/fmzin_230218_es_fondi.pdf</w:t>
        </w:r>
      </w:hyperlink>
      <w:r>
        <w:t xml:space="preserve">. </w:t>
      </w:r>
    </w:p>
  </w:footnote>
  <w:footnote w:id="26">
    <w:p w14:paraId="0E9C4BAD" w14:textId="0BFCE8F5" w:rsidR="00D81B5A" w:rsidRPr="00DC32AA" w:rsidRDefault="00D81B5A" w:rsidP="009A1DD1">
      <w:pPr>
        <w:pStyle w:val="FootnoteText"/>
        <w:jc w:val="both"/>
      </w:pPr>
      <w:r w:rsidRPr="00DC32AA">
        <w:rPr>
          <w:rStyle w:val="FootnoteReference"/>
        </w:rPr>
        <w:footnoteRef/>
      </w:r>
      <w:r w:rsidRPr="00DC32AA">
        <w:t xml:space="preserve"> 2011.</w:t>
      </w:r>
      <w:r>
        <w:t xml:space="preserve"> </w:t>
      </w:r>
      <w:r w:rsidRPr="00DC32AA">
        <w:t>gada 13.</w:t>
      </w:r>
      <w:r>
        <w:t xml:space="preserve"> </w:t>
      </w:r>
      <w:r w:rsidRPr="00DC32AA">
        <w:t>janvāra Noteikumi par EEZ finanšu instrumenta ieviešanu 2009. – 2014.</w:t>
      </w:r>
      <w:r>
        <w:t xml:space="preserve"> </w:t>
      </w:r>
      <w:r w:rsidRPr="00DC32AA">
        <w:t>gadā</w:t>
      </w:r>
    </w:p>
  </w:footnote>
  <w:footnote w:id="27">
    <w:p w14:paraId="1D0FD210" w14:textId="2D2BF23B" w:rsidR="00D81B5A" w:rsidRPr="00402199" w:rsidRDefault="00D81B5A" w:rsidP="009A1DD1">
      <w:pPr>
        <w:pStyle w:val="FootnoteText"/>
        <w:jc w:val="both"/>
      </w:pPr>
      <w:r w:rsidRPr="00DC32AA">
        <w:rPr>
          <w:rStyle w:val="FootnoteReference"/>
        </w:rPr>
        <w:footnoteRef/>
      </w:r>
      <w:r w:rsidRPr="00DC32AA">
        <w:t xml:space="preserve"> </w:t>
      </w:r>
      <w:r>
        <w:t>“</w:t>
      </w:r>
      <w:r w:rsidRPr="00402199">
        <w:t>Jebkura atmaksas kavējuma rezultātā uzkrājas maksājumu nokavējuma procenti, kuru aprēķināšana sākas noteiktajā termiņā un beid</w:t>
      </w:r>
      <w:r>
        <w:t>zas faktiskā maksājuma datumā.”</w:t>
      </w:r>
    </w:p>
    <w:p w14:paraId="02FA7BB8" w14:textId="77777777" w:rsidR="00D81B5A" w:rsidRDefault="00D81B5A" w:rsidP="009A1DD1">
      <w:pPr>
        <w:pStyle w:val="FootnoteText"/>
      </w:pPr>
    </w:p>
  </w:footnote>
  <w:footnote w:id="28">
    <w:p w14:paraId="18583DFC" w14:textId="3F0D8C39" w:rsidR="00D81B5A" w:rsidRPr="00143C4A" w:rsidRDefault="00D81B5A" w:rsidP="008F4E1B">
      <w:pPr>
        <w:pStyle w:val="FootnoteText"/>
        <w:jc w:val="both"/>
      </w:pPr>
      <w:r>
        <w:rPr>
          <w:rStyle w:val="FootnoteReference"/>
        </w:rPr>
        <w:footnoteRef/>
      </w:r>
      <w:r>
        <w:t xml:space="preserve"> Piemēram, sarežģījumi ar iepriekš ievadīto datu pieejamību rodas, </w:t>
      </w:r>
      <w:r w:rsidRPr="008F4E1B">
        <w:t>nodrošinot automātisku datu ielasīšanu no atbilstošajām valsts datu bāzēm</w:t>
      </w:r>
      <w:r>
        <w:t>.</w:t>
      </w:r>
    </w:p>
  </w:footnote>
  <w:footnote w:id="29">
    <w:p w14:paraId="7D1C634C" w14:textId="35BE623B" w:rsidR="00D81B5A" w:rsidRDefault="00D81B5A">
      <w:pPr>
        <w:pStyle w:val="FootnoteText"/>
      </w:pPr>
      <w:r>
        <w:rPr>
          <w:rStyle w:val="FootnoteReference"/>
        </w:rPr>
        <w:footnoteRef/>
      </w:r>
      <w:r>
        <w:t xml:space="preserve"> </w:t>
      </w:r>
      <w:r w:rsidRPr="00912B2C">
        <w:t>MK 2019.</w:t>
      </w:r>
      <w:r>
        <w:t xml:space="preserve"> </w:t>
      </w:r>
      <w:r w:rsidRPr="00912B2C">
        <w:t xml:space="preserve">gada 26. marta sēdes </w:t>
      </w:r>
      <w:proofErr w:type="spellStart"/>
      <w:r w:rsidRPr="00912B2C">
        <w:t>protokollēmums</w:t>
      </w:r>
      <w:proofErr w:type="spellEnd"/>
      <w:r w:rsidRPr="00912B2C">
        <w:t xml:space="preserve"> Nr. 16 3. § “Noteikumu projekts "Grozījumi Ministru kabineta 2015.</w:t>
      </w:r>
      <w:r>
        <w:t xml:space="preserve"> </w:t>
      </w:r>
      <w:r w:rsidRPr="00912B2C">
        <w:t>gada 10.</w:t>
      </w:r>
      <w:r>
        <w:t xml:space="preserve"> </w:t>
      </w:r>
      <w:r w:rsidRPr="00912B2C">
        <w:t>februāra noteikumos Nr.77 "Eiropas Savienības struktūrfondu un Kohēzijas fonda projektu pārbaužu veikšanas kārtība 2014.-2020.</w:t>
      </w:r>
      <w:r>
        <w:t xml:space="preserve"> </w:t>
      </w:r>
      <w:r w:rsidRPr="00912B2C">
        <w:t>gada plānošanas periodā””</w:t>
      </w:r>
    </w:p>
  </w:footnote>
  <w:footnote w:id="30">
    <w:p w14:paraId="4A3887FB" w14:textId="77076883" w:rsidR="00D81B5A" w:rsidRDefault="00D81B5A" w:rsidP="00AA3C60">
      <w:pPr>
        <w:pStyle w:val="FootnoteText"/>
      </w:pPr>
      <w:r>
        <w:rPr>
          <w:rStyle w:val="FootnoteReference"/>
        </w:rPr>
        <w:footnoteRef/>
      </w:r>
      <w:r>
        <w:t xml:space="preserve"> Nr. 4.2. Metodika par vienreizējā maksājuma piemērošanu 2014.-2020.gada plānošanas periodā; </w:t>
      </w:r>
    </w:p>
    <w:p w14:paraId="75C585D7" w14:textId="77777777" w:rsidR="00D81B5A" w:rsidRDefault="00D81B5A" w:rsidP="00AA3C60">
      <w:pPr>
        <w:pStyle w:val="FootnoteText"/>
      </w:pPr>
      <w:r w:rsidRPr="00A23CEC">
        <w:t>Nr. 4.3. Metodika par vienotās likmes piemērošanu projekta izmaksu atzīšanā 2014.-2020.gada plānošanas periodā</w:t>
      </w:r>
      <w:r>
        <w:t xml:space="preserve">; </w:t>
      </w:r>
    </w:p>
    <w:p w14:paraId="35AC8B42" w14:textId="77777777" w:rsidR="00D81B5A" w:rsidRDefault="00D81B5A" w:rsidP="00AA3C60">
      <w:pPr>
        <w:pStyle w:val="FootnoteText"/>
      </w:pPr>
      <w:r w:rsidRPr="00A23CEC">
        <w:t>Nr.</w:t>
      </w:r>
      <w:r>
        <w:t xml:space="preserve"> </w:t>
      </w:r>
      <w:r w:rsidRPr="00A23CEC">
        <w:t>4.4. Metodika par vienības izmaksas standarta likmes piemērošanu 2014.-2020.gada plānošanas periodā</w:t>
      </w:r>
      <w:r>
        <w:t>.</w:t>
      </w:r>
    </w:p>
    <w:p w14:paraId="37672A16" w14:textId="77777777" w:rsidR="00D81B5A" w:rsidRDefault="00D81B5A" w:rsidP="00AA3C60">
      <w:pPr>
        <w:pStyle w:val="FootnoteText"/>
      </w:pPr>
      <w:r>
        <w:t xml:space="preserve">Vienkāršoto izmaksu metodikas pieejamas: </w:t>
      </w:r>
      <w:hyperlink r:id="rId12" w:history="1">
        <w:r>
          <w:rPr>
            <w:rStyle w:val="Hyperlink"/>
          </w:rPr>
          <w:t>https://www.esfondi.lv/vadlinijas--skaidrojumi</w:t>
        </w:r>
      </w:hyperlink>
    </w:p>
    <w:p w14:paraId="0E259445" w14:textId="38EC4D22" w:rsidR="00D81B5A" w:rsidRDefault="00D81B5A">
      <w:pPr>
        <w:pStyle w:val="FootnoteText"/>
      </w:pPr>
    </w:p>
  </w:footnote>
  <w:footnote w:id="31">
    <w:p w14:paraId="5EA4F62D" w14:textId="240FB207" w:rsidR="00D81B5A" w:rsidRPr="00CB2144" w:rsidRDefault="00D81B5A" w:rsidP="00114763">
      <w:pPr>
        <w:pStyle w:val="FootnoteText"/>
        <w:jc w:val="both"/>
      </w:pPr>
      <w:r w:rsidRPr="00807758">
        <w:rPr>
          <w:rStyle w:val="FootnoteReference"/>
        </w:rPr>
        <w:footnoteRef/>
      </w:r>
      <w:r w:rsidRPr="00807758">
        <w:t xml:space="preserve"> </w:t>
      </w:r>
      <w:r>
        <w:t>Kohēzijas politikas</w:t>
      </w:r>
      <w:r w:rsidRPr="006C6820">
        <w:t xml:space="preserve"> </w:t>
      </w:r>
      <w:r w:rsidRPr="00CB2144">
        <w:t>2021. - 2027. gada plānošanas periodam</w:t>
      </w:r>
      <w:r>
        <w:t xml:space="preserve"> aktualitātes: </w:t>
      </w:r>
      <w:hyperlink r:id="rId13" w:history="1">
        <w:r w:rsidRPr="005B0214">
          <w:rPr>
            <w:rStyle w:val="Hyperlink"/>
          </w:rPr>
          <w:t>http://www.esfondi.lv</w:t>
        </w:r>
      </w:hyperlink>
      <w:r w:rsidRPr="005B0214">
        <w:t xml:space="preserve"> </w:t>
      </w:r>
      <w:r w:rsidRPr="005B0214">
        <w:rPr>
          <w:rFonts w:eastAsia="EUAlbertina-Bold-Identity-H" w:cs="Times New Roman"/>
          <w:color w:val="000000"/>
          <w:lang w:eastAsia="lv-LV"/>
        </w:rPr>
        <w:t>sadaļ</w:t>
      </w:r>
      <w:r>
        <w:rPr>
          <w:rFonts w:eastAsia="EUAlbertina-Bold-Identity-H" w:cs="Times New Roman"/>
          <w:color w:val="000000"/>
          <w:lang w:eastAsia="lv-LV"/>
        </w:rPr>
        <w:t>ā</w:t>
      </w:r>
      <w:r w:rsidRPr="005B0214">
        <w:rPr>
          <w:rFonts w:eastAsia="EUAlbertina-Bold-Identity-H" w:cs="Times New Roman"/>
          <w:color w:val="000000"/>
          <w:lang w:eastAsia="lv-LV"/>
        </w:rPr>
        <w:t xml:space="preserve"> ES fondi 20</w:t>
      </w:r>
      <w:r>
        <w:rPr>
          <w:rFonts w:eastAsia="EUAlbertina-Bold-Identity-H" w:cs="Times New Roman"/>
          <w:color w:val="000000"/>
          <w:lang w:eastAsia="lv-LV"/>
        </w:rPr>
        <w:t>21</w:t>
      </w:r>
      <w:r w:rsidRPr="005B0214">
        <w:rPr>
          <w:rFonts w:eastAsia="EUAlbertina-Bold-Identity-H" w:cs="Times New Roman"/>
          <w:color w:val="000000"/>
          <w:lang w:eastAsia="lv-LV"/>
        </w:rPr>
        <w:t xml:space="preserve"> </w:t>
      </w:r>
      <w:r>
        <w:rPr>
          <w:rFonts w:eastAsia="EUAlbertina-Bold-Identity-H" w:cs="Times New Roman"/>
          <w:color w:val="000000"/>
          <w:lang w:eastAsia="lv-LV"/>
        </w:rPr>
        <w:t>–</w:t>
      </w:r>
      <w:r w:rsidRPr="005B0214">
        <w:rPr>
          <w:rFonts w:eastAsia="EUAlbertina-Bold-Identity-H" w:cs="Times New Roman"/>
          <w:color w:val="000000"/>
          <w:lang w:eastAsia="lv-LV"/>
        </w:rPr>
        <w:t xml:space="preserve"> 202</w:t>
      </w:r>
      <w:r>
        <w:rPr>
          <w:rFonts w:eastAsia="EUAlbertina-Bold-Identity-H" w:cs="Times New Roman"/>
          <w:color w:val="000000"/>
          <w:lang w:eastAsia="lv-LV"/>
        </w:rPr>
        <w:t>7.</w:t>
      </w:r>
      <w:r>
        <w:t xml:space="preserve"> EK</w:t>
      </w:r>
      <w:r w:rsidRPr="00807758">
        <w:t xml:space="preserve"> un </w:t>
      </w:r>
      <w:r>
        <w:t>FM</w:t>
      </w:r>
      <w:r w:rsidRPr="00807758">
        <w:t xml:space="preserve"> prezentācijas </w:t>
      </w:r>
      <w:r>
        <w:t xml:space="preserve">pieejamas </w:t>
      </w:r>
      <w:hyperlink r:id="rId14" w:history="1">
        <w:r w:rsidRPr="00CB2144">
          <w:rPr>
            <w:rStyle w:val="Hyperlink"/>
          </w:rPr>
          <w:t>https://www.esfondi.lv/prezentacijas</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08284081"/>
      <w:docPartObj>
        <w:docPartGallery w:val="Page Numbers (Top of Page)"/>
        <w:docPartUnique/>
      </w:docPartObj>
    </w:sdtPr>
    <w:sdtEndPr>
      <w:rPr>
        <w:noProof/>
      </w:rPr>
    </w:sdtEndPr>
    <w:sdtContent>
      <w:p w14:paraId="11098D96" w14:textId="533CBF30" w:rsidR="00D81B5A" w:rsidRDefault="00D81B5A" w:rsidP="00F302E5">
        <w:pPr>
          <w:pStyle w:val="Header"/>
          <w:tabs>
            <w:tab w:val="left" w:pos="1407"/>
            <w:tab w:val="center" w:pos="4450"/>
          </w:tabs>
          <w:jc w:val="center"/>
        </w:pPr>
        <w:r>
          <w:fldChar w:fldCharType="begin"/>
        </w:r>
        <w:r>
          <w:instrText xml:space="preserve"> PAGE   \* MERGEFORMAT </w:instrText>
        </w:r>
        <w:r>
          <w:fldChar w:fldCharType="separate"/>
        </w:r>
        <w:r w:rsidR="008B7DAF">
          <w:rPr>
            <w:noProof/>
          </w:rPr>
          <w:t>7</w:t>
        </w:r>
        <w:r>
          <w:rPr>
            <w:noProof/>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34467E"/>
    <w:multiLevelType w:val="hybridMultilevel"/>
    <w:tmpl w:val="CFC2E9BC"/>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 w15:restartNumberingAfterBreak="0">
    <w:nsid w:val="06255CDE"/>
    <w:multiLevelType w:val="hybridMultilevel"/>
    <w:tmpl w:val="0C4C1240"/>
    <w:lvl w:ilvl="0" w:tplc="4342A52C">
      <w:start w:val="1"/>
      <w:numFmt w:val="decimal"/>
      <w:lvlText w:val="%1."/>
      <w:lvlJc w:val="left"/>
      <w:pPr>
        <w:ind w:left="1080" w:hanging="360"/>
      </w:pPr>
      <w:rPr>
        <w:rFonts w:hint="default"/>
      </w:rPr>
    </w:lvl>
    <w:lvl w:ilvl="1" w:tplc="04260019">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2" w15:restartNumberingAfterBreak="0">
    <w:nsid w:val="06BD3DAD"/>
    <w:multiLevelType w:val="hybridMultilevel"/>
    <w:tmpl w:val="532AF1CE"/>
    <w:lvl w:ilvl="0" w:tplc="F4BEC980">
      <w:start w:val="1"/>
      <w:numFmt w:val="decimal"/>
      <w:lvlText w:val="%1)"/>
      <w:lvlJc w:val="left"/>
      <w:pPr>
        <w:ind w:left="1080" w:hanging="360"/>
      </w:pPr>
      <w:rPr>
        <w:rFonts w:ascii="Times New Roman" w:eastAsiaTheme="minorHAnsi" w:hAnsi="Times New Roman" w:cstheme="minorBidi"/>
      </w:rPr>
    </w:lvl>
    <w:lvl w:ilvl="1" w:tplc="04260019" w:tentative="1">
      <w:start w:val="1"/>
      <w:numFmt w:val="lowerLetter"/>
      <w:lvlText w:val="%2."/>
      <w:lvlJc w:val="left"/>
      <w:pPr>
        <w:ind w:left="1800" w:hanging="360"/>
      </w:pPr>
    </w:lvl>
    <w:lvl w:ilvl="2" w:tplc="0426001B" w:tentative="1">
      <w:start w:val="1"/>
      <w:numFmt w:val="lowerRoman"/>
      <w:lvlText w:val="%3."/>
      <w:lvlJc w:val="right"/>
      <w:pPr>
        <w:ind w:left="2520" w:hanging="180"/>
      </w:pPr>
    </w:lvl>
    <w:lvl w:ilvl="3" w:tplc="0426000F" w:tentative="1">
      <w:start w:val="1"/>
      <w:numFmt w:val="decimal"/>
      <w:lvlText w:val="%4."/>
      <w:lvlJc w:val="left"/>
      <w:pPr>
        <w:ind w:left="3240" w:hanging="360"/>
      </w:pPr>
    </w:lvl>
    <w:lvl w:ilvl="4" w:tplc="04260019" w:tentative="1">
      <w:start w:val="1"/>
      <w:numFmt w:val="lowerLetter"/>
      <w:lvlText w:val="%5."/>
      <w:lvlJc w:val="left"/>
      <w:pPr>
        <w:ind w:left="3960" w:hanging="360"/>
      </w:pPr>
    </w:lvl>
    <w:lvl w:ilvl="5" w:tplc="0426001B" w:tentative="1">
      <w:start w:val="1"/>
      <w:numFmt w:val="lowerRoman"/>
      <w:lvlText w:val="%6."/>
      <w:lvlJc w:val="right"/>
      <w:pPr>
        <w:ind w:left="4680" w:hanging="180"/>
      </w:pPr>
    </w:lvl>
    <w:lvl w:ilvl="6" w:tplc="0426000F" w:tentative="1">
      <w:start w:val="1"/>
      <w:numFmt w:val="decimal"/>
      <w:lvlText w:val="%7."/>
      <w:lvlJc w:val="left"/>
      <w:pPr>
        <w:ind w:left="5400" w:hanging="360"/>
      </w:pPr>
    </w:lvl>
    <w:lvl w:ilvl="7" w:tplc="04260019" w:tentative="1">
      <w:start w:val="1"/>
      <w:numFmt w:val="lowerLetter"/>
      <w:lvlText w:val="%8."/>
      <w:lvlJc w:val="left"/>
      <w:pPr>
        <w:ind w:left="6120" w:hanging="360"/>
      </w:pPr>
    </w:lvl>
    <w:lvl w:ilvl="8" w:tplc="0426001B" w:tentative="1">
      <w:start w:val="1"/>
      <w:numFmt w:val="lowerRoman"/>
      <w:lvlText w:val="%9."/>
      <w:lvlJc w:val="right"/>
      <w:pPr>
        <w:ind w:left="6840" w:hanging="180"/>
      </w:pPr>
    </w:lvl>
  </w:abstractNum>
  <w:abstractNum w:abstractNumId="3" w15:restartNumberingAfterBreak="0">
    <w:nsid w:val="116B701A"/>
    <w:multiLevelType w:val="hybridMultilevel"/>
    <w:tmpl w:val="86526300"/>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12F91480"/>
    <w:multiLevelType w:val="multilevel"/>
    <w:tmpl w:val="7B747DA2"/>
    <w:lvl w:ilvl="0">
      <w:start w:val="1"/>
      <w:numFmt w:val="decimal"/>
      <w:lvlText w:val="%1."/>
      <w:lvlJc w:val="left"/>
      <w:pPr>
        <w:ind w:left="360" w:hanging="360"/>
      </w:pPr>
      <w:rPr>
        <w:rFonts w:ascii="Times New Roman" w:hAnsi="Times New Roman" w:hint="default"/>
        <w:sz w:val="24"/>
      </w:rPr>
    </w:lvl>
    <w:lvl w:ilvl="1">
      <w:start w:val="1"/>
      <w:numFmt w:val="decimal"/>
      <w:pStyle w:val="FDUKam"/>
      <w:isLgl/>
      <w:lvlText w:val="%1.%2."/>
      <w:lvlJc w:val="left"/>
      <w:pPr>
        <w:ind w:left="502" w:hanging="360"/>
      </w:pPr>
      <w:rPr>
        <w:rFonts w:ascii="Times New Roman" w:hAnsi="Times New Roman" w:cs="Times New Roman" w:hint="default"/>
        <w:b w:val="0"/>
        <w:sz w:val="22"/>
        <w:szCs w:val="22"/>
      </w:rPr>
    </w:lvl>
    <w:lvl w:ilvl="2">
      <w:start w:val="1"/>
      <w:numFmt w:val="decimal"/>
      <w:lvlText w:val="%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 w15:restartNumberingAfterBreak="0">
    <w:nsid w:val="224B51A3"/>
    <w:multiLevelType w:val="multilevel"/>
    <w:tmpl w:val="C97E7336"/>
    <w:lvl w:ilvl="0">
      <w:start w:val="1"/>
      <w:numFmt w:val="decimal"/>
      <w:lvlText w:val="%1."/>
      <w:lvlJc w:val="left"/>
      <w:pPr>
        <w:ind w:left="5606" w:hanging="360"/>
      </w:pPr>
    </w:lvl>
    <w:lvl w:ilvl="1">
      <w:start w:val="1"/>
      <w:numFmt w:val="decimal"/>
      <w:isLgl/>
      <w:lvlText w:val="%1.%2."/>
      <w:lvlJc w:val="left"/>
      <w:pPr>
        <w:ind w:left="1440" w:hanging="360"/>
      </w:pPr>
      <w:rPr>
        <w:rFonts w:hint="default"/>
        <w:b/>
      </w:rPr>
    </w:lvl>
    <w:lvl w:ilvl="2">
      <w:start w:val="1"/>
      <w:numFmt w:val="decimal"/>
      <w:pStyle w:val="3lmenis"/>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6" w15:restartNumberingAfterBreak="0">
    <w:nsid w:val="22EA35DB"/>
    <w:multiLevelType w:val="hybridMultilevel"/>
    <w:tmpl w:val="BC1CF9A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7" w15:restartNumberingAfterBreak="0">
    <w:nsid w:val="3457381B"/>
    <w:multiLevelType w:val="hybridMultilevel"/>
    <w:tmpl w:val="703AF5A0"/>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0426001B">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8" w15:restartNumberingAfterBreak="0">
    <w:nsid w:val="35577DC5"/>
    <w:multiLevelType w:val="hybridMultilevel"/>
    <w:tmpl w:val="7486D6BC"/>
    <w:lvl w:ilvl="0" w:tplc="04260011">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9" w15:restartNumberingAfterBreak="0">
    <w:nsid w:val="394D7950"/>
    <w:multiLevelType w:val="hybridMultilevel"/>
    <w:tmpl w:val="FC2CBBEC"/>
    <w:lvl w:ilvl="0" w:tplc="04260011">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43AF65CD"/>
    <w:multiLevelType w:val="hybridMultilevel"/>
    <w:tmpl w:val="56BCE2E6"/>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1" w15:restartNumberingAfterBreak="0">
    <w:nsid w:val="485A61F7"/>
    <w:multiLevelType w:val="hybridMultilevel"/>
    <w:tmpl w:val="08760298"/>
    <w:lvl w:ilvl="0" w:tplc="04260011">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2" w15:restartNumberingAfterBreak="0">
    <w:nsid w:val="56B9469F"/>
    <w:multiLevelType w:val="hybridMultilevel"/>
    <w:tmpl w:val="F5FA2D7E"/>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3" w15:restartNumberingAfterBreak="0">
    <w:nsid w:val="597943E5"/>
    <w:multiLevelType w:val="multilevel"/>
    <w:tmpl w:val="8528DD10"/>
    <w:styleLink w:val="WWNum1"/>
    <w:lvl w:ilvl="0">
      <w:start w:val="1"/>
      <w:numFmt w:val="decimal"/>
      <w:lvlText w:val="%1."/>
      <w:lvlJc w:val="left"/>
      <w:pPr>
        <w:ind w:left="360" w:hanging="360"/>
      </w:pPr>
      <w:rPr>
        <w:b/>
        <w:i w:val="0"/>
      </w:rPr>
    </w:lvl>
    <w:lvl w:ilvl="1">
      <w:start w:val="1"/>
      <w:numFmt w:val="decimal"/>
      <w:lvlText w:val="%1.%2."/>
      <w:lvlJc w:val="left"/>
      <w:pPr>
        <w:ind w:left="720" w:hanging="720"/>
      </w:p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14" w15:restartNumberingAfterBreak="0">
    <w:nsid w:val="5BBC0168"/>
    <w:multiLevelType w:val="hybridMultilevel"/>
    <w:tmpl w:val="B16637EE"/>
    <w:lvl w:ilvl="0" w:tplc="04260011">
      <w:start w:val="2"/>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5" w15:restartNumberingAfterBreak="0">
    <w:nsid w:val="61913828"/>
    <w:multiLevelType w:val="hybridMultilevel"/>
    <w:tmpl w:val="D55A98B4"/>
    <w:lvl w:ilvl="0" w:tplc="0426000F">
      <w:start w:val="1"/>
      <w:numFmt w:val="decimal"/>
      <w:lvlText w:val="%1."/>
      <w:lvlJc w:val="left"/>
      <w:pPr>
        <w:ind w:left="1440" w:hanging="360"/>
      </w:pPr>
    </w:lvl>
    <w:lvl w:ilvl="1" w:tplc="04260019">
      <w:start w:val="1"/>
      <w:numFmt w:val="lowerLetter"/>
      <w:lvlText w:val="%2."/>
      <w:lvlJc w:val="left"/>
      <w:pPr>
        <w:ind w:left="2160" w:hanging="360"/>
      </w:pPr>
    </w:lvl>
    <w:lvl w:ilvl="2" w:tplc="DDE4F232">
      <w:start w:val="1"/>
      <w:numFmt w:val="decimal"/>
      <w:lvlText w:val="%3)"/>
      <w:lvlJc w:val="left"/>
      <w:pPr>
        <w:ind w:left="2880" w:hanging="180"/>
      </w:pPr>
      <w:rPr>
        <w:rFonts w:ascii="Times New Roman" w:eastAsiaTheme="minorHAnsi" w:hAnsi="Times New Roman" w:cstheme="minorBidi"/>
      </w:r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6" w15:restartNumberingAfterBreak="0">
    <w:nsid w:val="65664826"/>
    <w:multiLevelType w:val="hybridMultilevel"/>
    <w:tmpl w:val="0A50130C"/>
    <w:lvl w:ilvl="0" w:tplc="2E746752">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17" w15:restartNumberingAfterBreak="0">
    <w:nsid w:val="6CF55008"/>
    <w:multiLevelType w:val="multilevel"/>
    <w:tmpl w:val="5B263EF6"/>
    <w:lvl w:ilvl="0">
      <w:start w:val="1"/>
      <w:numFmt w:val="decimal"/>
      <w:lvlText w:val="%1."/>
      <w:lvlJc w:val="left"/>
      <w:pPr>
        <w:ind w:left="360" w:hanging="360"/>
      </w:pPr>
      <w:rPr>
        <w:rFonts w:ascii="Times New Roman" w:hAnsi="Times New Roman" w:cs="Times New Roman" w:hint="default"/>
        <w:b w:val="0"/>
        <w:i w:val="0"/>
      </w:rPr>
    </w:lvl>
    <w:lvl w:ilvl="1">
      <w:start w:val="1"/>
      <w:numFmt w:val="decimal"/>
      <w:isLgl/>
      <w:lvlText w:val="%1.%2."/>
      <w:lvlJc w:val="left"/>
      <w:pPr>
        <w:ind w:left="1288" w:hanging="720"/>
      </w:pPr>
      <w:rPr>
        <w:rFonts w:hint="default"/>
        <w:i w:val="0"/>
      </w:rPr>
    </w:lvl>
    <w:lvl w:ilvl="2">
      <w:start w:val="1"/>
      <w:numFmt w:val="decimal"/>
      <w:isLgl/>
      <w:lvlText w:val="%1.%2.%3."/>
      <w:lvlJc w:val="left"/>
      <w:pPr>
        <w:ind w:left="1560" w:hanging="720"/>
      </w:pPr>
      <w:rPr>
        <w:rFonts w:hint="default"/>
      </w:rPr>
    </w:lvl>
    <w:lvl w:ilvl="3">
      <w:start w:val="1"/>
      <w:numFmt w:val="decimal"/>
      <w:isLgl/>
      <w:lvlText w:val="%1.%2.%3.%4."/>
      <w:lvlJc w:val="left"/>
      <w:pPr>
        <w:ind w:left="2127" w:hanging="1080"/>
      </w:pPr>
      <w:rPr>
        <w:rFonts w:hint="default"/>
      </w:rPr>
    </w:lvl>
    <w:lvl w:ilvl="4">
      <w:start w:val="1"/>
      <w:numFmt w:val="decimal"/>
      <w:isLgl/>
      <w:lvlText w:val="%1.%2.%3.%4.%5."/>
      <w:lvlJc w:val="left"/>
      <w:pPr>
        <w:ind w:left="2334" w:hanging="1080"/>
      </w:pPr>
      <w:rPr>
        <w:rFonts w:hint="default"/>
      </w:rPr>
    </w:lvl>
    <w:lvl w:ilvl="5">
      <w:start w:val="1"/>
      <w:numFmt w:val="decimal"/>
      <w:isLgl/>
      <w:lvlText w:val="%1.%2.%3.%4.%5.%6."/>
      <w:lvlJc w:val="left"/>
      <w:pPr>
        <w:ind w:left="2901" w:hanging="1440"/>
      </w:pPr>
      <w:rPr>
        <w:rFonts w:hint="default"/>
      </w:rPr>
    </w:lvl>
    <w:lvl w:ilvl="6">
      <w:start w:val="1"/>
      <w:numFmt w:val="decimal"/>
      <w:isLgl/>
      <w:lvlText w:val="%1.%2.%3.%4.%5.%6.%7."/>
      <w:lvlJc w:val="left"/>
      <w:pPr>
        <w:ind w:left="3468" w:hanging="1800"/>
      </w:pPr>
      <w:rPr>
        <w:rFonts w:hint="default"/>
      </w:rPr>
    </w:lvl>
    <w:lvl w:ilvl="7">
      <w:start w:val="1"/>
      <w:numFmt w:val="decimal"/>
      <w:isLgl/>
      <w:lvlText w:val="%1.%2.%3.%4.%5.%6.%7.%8."/>
      <w:lvlJc w:val="left"/>
      <w:pPr>
        <w:ind w:left="3675" w:hanging="1800"/>
      </w:pPr>
      <w:rPr>
        <w:rFonts w:hint="default"/>
      </w:rPr>
    </w:lvl>
    <w:lvl w:ilvl="8">
      <w:start w:val="1"/>
      <w:numFmt w:val="decimal"/>
      <w:isLgl/>
      <w:lvlText w:val="%1.%2.%3.%4.%5.%6.%7.%8.%9."/>
      <w:lvlJc w:val="left"/>
      <w:pPr>
        <w:ind w:left="4242" w:hanging="2160"/>
      </w:pPr>
      <w:rPr>
        <w:rFonts w:hint="default"/>
      </w:rPr>
    </w:lvl>
  </w:abstractNum>
  <w:abstractNum w:abstractNumId="18" w15:restartNumberingAfterBreak="0">
    <w:nsid w:val="727B359C"/>
    <w:multiLevelType w:val="hybridMultilevel"/>
    <w:tmpl w:val="C4E076AC"/>
    <w:lvl w:ilvl="0" w:tplc="04260011">
      <w:start w:val="1"/>
      <w:numFmt w:val="decimal"/>
      <w:lvlText w:val="%1)"/>
      <w:lvlJc w:val="left"/>
      <w:pPr>
        <w:ind w:left="1080" w:hanging="360"/>
      </w:pPr>
      <w:rPr>
        <w:rFonts w:hint="default"/>
      </w:rPr>
    </w:lvl>
    <w:lvl w:ilvl="1" w:tplc="04260003" w:tentative="1">
      <w:start w:val="1"/>
      <w:numFmt w:val="bullet"/>
      <w:lvlText w:val="o"/>
      <w:lvlJc w:val="left"/>
      <w:pPr>
        <w:ind w:left="1800" w:hanging="360"/>
      </w:pPr>
      <w:rPr>
        <w:rFonts w:ascii="Courier New" w:hAnsi="Courier New" w:cs="Courier New" w:hint="default"/>
      </w:rPr>
    </w:lvl>
    <w:lvl w:ilvl="2" w:tplc="04260005" w:tentative="1">
      <w:start w:val="1"/>
      <w:numFmt w:val="bullet"/>
      <w:lvlText w:val=""/>
      <w:lvlJc w:val="left"/>
      <w:pPr>
        <w:ind w:left="2520" w:hanging="360"/>
      </w:pPr>
      <w:rPr>
        <w:rFonts w:ascii="Wingdings" w:hAnsi="Wingdings" w:hint="default"/>
      </w:rPr>
    </w:lvl>
    <w:lvl w:ilvl="3" w:tplc="04260001" w:tentative="1">
      <w:start w:val="1"/>
      <w:numFmt w:val="bullet"/>
      <w:lvlText w:val=""/>
      <w:lvlJc w:val="left"/>
      <w:pPr>
        <w:ind w:left="3240" w:hanging="360"/>
      </w:pPr>
      <w:rPr>
        <w:rFonts w:ascii="Symbol" w:hAnsi="Symbol" w:hint="default"/>
      </w:rPr>
    </w:lvl>
    <w:lvl w:ilvl="4" w:tplc="04260003" w:tentative="1">
      <w:start w:val="1"/>
      <w:numFmt w:val="bullet"/>
      <w:lvlText w:val="o"/>
      <w:lvlJc w:val="left"/>
      <w:pPr>
        <w:ind w:left="3960" w:hanging="360"/>
      </w:pPr>
      <w:rPr>
        <w:rFonts w:ascii="Courier New" w:hAnsi="Courier New" w:cs="Courier New" w:hint="default"/>
      </w:rPr>
    </w:lvl>
    <w:lvl w:ilvl="5" w:tplc="04260005" w:tentative="1">
      <w:start w:val="1"/>
      <w:numFmt w:val="bullet"/>
      <w:lvlText w:val=""/>
      <w:lvlJc w:val="left"/>
      <w:pPr>
        <w:ind w:left="4680" w:hanging="360"/>
      </w:pPr>
      <w:rPr>
        <w:rFonts w:ascii="Wingdings" w:hAnsi="Wingdings" w:hint="default"/>
      </w:rPr>
    </w:lvl>
    <w:lvl w:ilvl="6" w:tplc="04260001" w:tentative="1">
      <w:start w:val="1"/>
      <w:numFmt w:val="bullet"/>
      <w:lvlText w:val=""/>
      <w:lvlJc w:val="left"/>
      <w:pPr>
        <w:ind w:left="5400" w:hanging="360"/>
      </w:pPr>
      <w:rPr>
        <w:rFonts w:ascii="Symbol" w:hAnsi="Symbol" w:hint="default"/>
      </w:rPr>
    </w:lvl>
    <w:lvl w:ilvl="7" w:tplc="04260003" w:tentative="1">
      <w:start w:val="1"/>
      <w:numFmt w:val="bullet"/>
      <w:lvlText w:val="o"/>
      <w:lvlJc w:val="left"/>
      <w:pPr>
        <w:ind w:left="6120" w:hanging="360"/>
      </w:pPr>
      <w:rPr>
        <w:rFonts w:ascii="Courier New" w:hAnsi="Courier New" w:cs="Courier New" w:hint="default"/>
      </w:rPr>
    </w:lvl>
    <w:lvl w:ilvl="8" w:tplc="04260005" w:tentative="1">
      <w:start w:val="1"/>
      <w:numFmt w:val="bullet"/>
      <w:lvlText w:val=""/>
      <w:lvlJc w:val="left"/>
      <w:pPr>
        <w:ind w:left="6840" w:hanging="360"/>
      </w:pPr>
      <w:rPr>
        <w:rFonts w:ascii="Wingdings" w:hAnsi="Wingdings" w:hint="default"/>
      </w:rPr>
    </w:lvl>
  </w:abstractNum>
  <w:abstractNum w:abstractNumId="19" w15:restartNumberingAfterBreak="0">
    <w:nsid w:val="73781078"/>
    <w:multiLevelType w:val="hybridMultilevel"/>
    <w:tmpl w:val="7E2AA3BA"/>
    <w:lvl w:ilvl="0" w:tplc="B55ACF1C">
      <w:start w:val="1"/>
      <w:numFmt w:val="bullet"/>
      <w:lvlText w:val=""/>
      <w:lvlJc w:val="left"/>
      <w:pPr>
        <w:ind w:left="720" w:hanging="360"/>
      </w:pPr>
      <w:rPr>
        <w:rFonts w:ascii="Symbol" w:hAnsi="Symbol" w:hint="default"/>
        <w:color w:val="auto"/>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20" w15:restartNumberingAfterBreak="0">
    <w:nsid w:val="7E704FC8"/>
    <w:multiLevelType w:val="hybridMultilevel"/>
    <w:tmpl w:val="29D63E30"/>
    <w:lvl w:ilvl="0" w:tplc="330CE27C">
      <w:start w:val="1"/>
      <w:numFmt w:val="decimal"/>
      <w:lvlText w:val="%1)"/>
      <w:lvlJc w:val="left"/>
      <w:pPr>
        <w:ind w:left="1360" w:hanging="360"/>
      </w:pPr>
      <w:rPr>
        <w:rFonts w:hint="default"/>
      </w:rPr>
    </w:lvl>
    <w:lvl w:ilvl="1" w:tplc="04260019" w:tentative="1">
      <w:start w:val="1"/>
      <w:numFmt w:val="lowerLetter"/>
      <w:lvlText w:val="%2."/>
      <w:lvlJc w:val="left"/>
      <w:pPr>
        <w:ind w:left="2080" w:hanging="360"/>
      </w:pPr>
    </w:lvl>
    <w:lvl w:ilvl="2" w:tplc="0426001B" w:tentative="1">
      <w:start w:val="1"/>
      <w:numFmt w:val="lowerRoman"/>
      <w:lvlText w:val="%3."/>
      <w:lvlJc w:val="right"/>
      <w:pPr>
        <w:ind w:left="2800" w:hanging="180"/>
      </w:pPr>
    </w:lvl>
    <w:lvl w:ilvl="3" w:tplc="0426000F" w:tentative="1">
      <w:start w:val="1"/>
      <w:numFmt w:val="decimal"/>
      <w:lvlText w:val="%4."/>
      <w:lvlJc w:val="left"/>
      <w:pPr>
        <w:ind w:left="3520" w:hanging="360"/>
      </w:pPr>
    </w:lvl>
    <w:lvl w:ilvl="4" w:tplc="04260019" w:tentative="1">
      <w:start w:val="1"/>
      <w:numFmt w:val="lowerLetter"/>
      <w:lvlText w:val="%5."/>
      <w:lvlJc w:val="left"/>
      <w:pPr>
        <w:ind w:left="4240" w:hanging="360"/>
      </w:pPr>
    </w:lvl>
    <w:lvl w:ilvl="5" w:tplc="0426001B" w:tentative="1">
      <w:start w:val="1"/>
      <w:numFmt w:val="lowerRoman"/>
      <w:lvlText w:val="%6."/>
      <w:lvlJc w:val="right"/>
      <w:pPr>
        <w:ind w:left="4960" w:hanging="180"/>
      </w:pPr>
    </w:lvl>
    <w:lvl w:ilvl="6" w:tplc="0426000F" w:tentative="1">
      <w:start w:val="1"/>
      <w:numFmt w:val="decimal"/>
      <w:lvlText w:val="%7."/>
      <w:lvlJc w:val="left"/>
      <w:pPr>
        <w:ind w:left="5680" w:hanging="360"/>
      </w:pPr>
    </w:lvl>
    <w:lvl w:ilvl="7" w:tplc="04260019" w:tentative="1">
      <w:start w:val="1"/>
      <w:numFmt w:val="lowerLetter"/>
      <w:lvlText w:val="%8."/>
      <w:lvlJc w:val="left"/>
      <w:pPr>
        <w:ind w:left="6400" w:hanging="360"/>
      </w:pPr>
    </w:lvl>
    <w:lvl w:ilvl="8" w:tplc="0426001B" w:tentative="1">
      <w:start w:val="1"/>
      <w:numFmt w:val="lowerRoman"/>
      <w:lvlText w:val="%9."/>
      <w:lvlJc w:val="right"/>
      <w:pPr>
        <w:ind w:left="7120" w:hanging="180"/>
      </w:pPr>
    </w:lvl>
  </w:abstractNum>
  <w:abstractNum w:abstractNumId="21" w15:restartNumberingAfterBreak="0">
    <w:nsid w:val="7F1761BD"/>
    <w:multiLevelType w:val="hybridMultilevel"/>
    <w:tmpl w:val="61F20A16"/>
    <w:lvl w:ilvl="0" w:tplc="37ECC15A">
      <w:start w:val="1"/>
      <w:numFmt w:val="decimal"/>
      <w:lvlText w:val="%1)"/>
      <w:lvlJc w:val="left"/>
      <w:pPr>
        <w:ind w:left="1440" w:hanging="360"/>
      </w:pPr>
      <w:rPr>
        <w:rFonts w:ascii="Times New Roman" w:eastAsiaTheme="minorHAnsi" w:hAnsi="Times New Roman" w:cs="Times New Roman"/>
        <w:i w:val="0"/>
      </w:r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num w:numId="1">
    <w:abstractNumId w:val="4"/>
  </w:num>
  <w:num w:numId="2">
    <w:abstractNumId w:val="13"/>
  </w:num>
  <w:num w:numId="3">
    <w:abstractNumId w:val="5"/>
  </w:num>
  <w:num w:numId="4">
    <w:abstractNumId w:val="21"/>
  </w:num>
  <w:num w:numId="5">
    <w:abstractNumId w:val="3"/>
  </w:num>
  <w:num w:numId="6">
    <w:abstractNumId w:val="2"/>
  </w:num>
  <w:num w:numId="7">
    <w:abstractNumId w:val="16"/>
  </w:num>
  <w:num w:numId="8">
    <w:abstractNumId w:val="19"/>
  </w:num>
  <w:num w:numId="9">
    <w:abstractNumId w:val="12"/>
  </w:num>
  <w:num w:numId="10">
    <w:abstractNumId w:val="6"/>
  </w:num>
  <w:num w:numId="11">
    <w:abstractNumId w:val="18"/>
  </w:num>
  <w:num w:numId="12">
    <w:abstractNumId w:val="8"/>
  </w:num>
  <w:num w:numId="13">
    <w:abstractNumId w:val="0"/>
  </w:num>
  <w:num w:numId="14">
    <w:abstractNumId w:val="7"/>
  </w:num>
  <w:num w:numId="15">
    <w:abstractNumId w:val="15"/>
  </w:num>
  <w:num w:numId="16">
    <w:abstractNumId w:val="10"/>
  </w:num>
  <w:num w:numId="17">
    <w:abstractNumId w:val="20"/>
  </w:num>
  <w:num w:numId="18">
    <w:abstractNumId w:val="11"/>
  </w:num>
  <w:num w:numId="19">
    <w:abstractNumId w:val="17"/>
  </w:num>
  <w:num w:numId="20">
    <w:abstractNumId w:val="14"/>
  </w:num>
  <w:num w:numId="21">
    <w:abstractNumId w:val="9"/>
  </w:num>
  <w:num w:numId="22">
    <w:abstractNumId w:val="1"/>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fr-FR" w:vendorID="64" w:dllVersion="131078" w:nlCheck="1" w:checkStyle="0"/>
  <w:activeWritingStyle w:appName="MSWord" w:lang="en-US" w:vendorID="64" w:dllVersion="131078" w:nlCheck="1" w:checkStyle="0"/>
  <w:activeWritingStyle w:appName="MSWord" w:lang="en-GB" w:vendorID="64" w:dllVersion="131078" w:nlCheck="1" w:checkStyle="1"/>
  <w:proofState w:spelling="clean" w:grammar="clean"/>
  <w:defaultTabStop w:val="720"/>
  <w:characterSpacingControl w:val="doNotCompress"/>
  <w:hdrShapeDefaults>
    <o:shapedefaults v:ext="edit" spidmax="42803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0862"/>
    <w:rsid w:val="00000052"/>
    <w:rsid w:val="000000B6"/>
    <w:rsid w:val="00000174"/>
    <w:rsid w:val="0000025B"/>
    <w:rsid w:val="0000057D"/>
    <w:rsid w:val="00000687"/>
    <w:rsid w:val="00000BE1"/>
    <w:rsid w:val="00000F72"/>
    <w:rsid w:val="0000116D"/>
    <w:rsid w:val="000011A7"/>
    <w:rsid w:val="00001327"/>
    <w:rsid w:val="00001357"/>
    <w:rsid w:val="00001444"/>
    <w:rsid w:val="00001730"/>
    <w:rsid w:val="000017CC"/>
    <w:rsid w:val="0000208A"/>
    <w:rsid w:val="0000223B"/>
    <w:rsid w:val="000022B9"/>
    <w:rsid w:val="0000240D"/>
    <w:rsid w:val="0000244C"/>
    <w:rsid w:val="0000286F"/>
    <w:rsid w:val="00002A10"/>
    <w:rsid w:val="00002A9F"/>
    <w:rsid w:val="00002F4F"/>
    <w:rsid w:val="000039EE"/>
    <w:rsid w:val="0000470D"/>
    <w:rsid w:val="00004824"/>
    <w:rsid w:val="00005D75"/>
    <w:rsid w:val="00006CA1"/>
    <w:rsid w:val="00007030"/>
    <w:rsid w:val="0001025F"/>
    <w:rsid w:val="000102B2"/>
    <w:rsid w:val="00010450"/>
    <w:rsid w:val="00010998"/>
    <w:rsid w:val="00010D16"/>
    <w:rsid w:val="00011355"/>
    <w:rsid w:val="000113A9"/>
    <w:rsid w:val="00011530"/>
    <w:rsid w:val="0001174E"/>
    <w:rsid w:val="00011970"/>
    <w:rsid w:val="00011D1C"/>
    <w:rsid w:val="00012284"/>
    <w:rsid w:val="000125A8"/>
    <w:rsid w:val="000126D4"/>
    <w:rsid w:val="00012872"/>
    <w:rsid w:val="000128E6"/>
    <w:rsid w:val="00012974"/>
    <w:rsid w:val="00012C98"/>
    <w:rsid w:val="000130C6"/>
    <w:rsid w:val="000133E5"/>
    <w:rsid w:val="0001358C"/>
    <w:rsid w:val="000135A6"/>
    <w:rsid w:val="00013895"/>
    <w:rsid w:val="00013C64"/>
    <w:rsid w:val="00013DEE"/>
    <w:rsid w:val="000142F0"/>
    <w:rsid w:val="00014916"/>
    <w:rsid w:val="00014E1F"/>
    <w:rsid w:val="00014F49"/>
    <w:rsid w:val="00015069"/>
    <w:rsid w:val="000151DB"/>
    <w:rsid w:val="00015503"/>
    <w:rsid w:val="00015B93"/>
    <w:rsid w:val="00015CBD"/>
    <w:rsid w:val="00015D1F"/>
    <w:rsid w:val="00015DAF"/>
    <w:rsid w:val="00015F2E"/>
    <w:rsid w:val="000160E1"/>
    <w:rsid w:val="0001658A"/>
    <w:rsid w:val="00016F64"/>
    <w:rsid w:val="0001742F"/>
    <w:rsid w:val="00017609"/>
    <w:rsid w:val="0001782F"/>
    <w:rsid w:val="00017BF5"/>
    <w:rsid w:val="00017E92"/>
    <w:rsid w:val="00020C34"/>
    <w:rsid w:val="00020E6E"/>
    <w:rsid w:val="00020ECC"/>
    <w:rsid w:val="0002110F"/>
    <w:rsid w:val="00021A13"/>
    <w:rsid w:val="00021CB8"/>
    <w:rsid w:val="00021CEC"/>
    <w:rsid w:val="00021D6A"/>
    <w:rsid w:val="00021EC5"/>
    <w:rsid w:val="00022418"/>
    <w:rsid w:val="00022A98"/>
    <w:rsid w:val="0002302E"/>
    <w:rsid w:val="000230A2"/>
    <w:rsid w:val="0002320F"/>
    <w:rsid w:val="0002380F"/>
    <w:rsid w:val="00023A82"/>
    <w:rsid w:val="00023BE6"/>
    <w:rsid w:val="0002427C"/>
    <w:rsid w:val="00024684"/>
    <w:rsid w:val="00024979"/>
    <w:rsid w:val="00024C13"/>
    <w:rsid w:val="00024C37"/>
    <w:rsid w:val="00024E43"/>
    <w:rsid w:val="00024EBB"/>
    <w:rsid w:val="00025360"/>
    <w:rsid w:val="00025BAB"/>
    <w:rsid w:val="00026A38"/>
    <w:rsid w:val="00026B09"/>
    <w:rsid w:val="00026B4A"/>
    <w:rsid w:val="00026E33"/>
    <w:rsid w:val="00027C90"/>
    <w:rsid w:val="00027F93"/>
    <w:rsid w:val="00027FC5"/>
    <w:rsid w:val="000300A2"/>
    <w:rsid w:val="000304ED"/>
    <w:rsid w:val="0003079B"/>
    <w:rsid w:val="00030D6F"/>
    <w:rsid w:val="00030E49"/>
    <w:rsid w:val="00031001"/>
    <w:rsid w:val="00031127"/>
    <w:rsid w:val="0003117C"/>
    <w:rsid w:val="00031D79"/>
    <w:rsid w:val="00031FB5"/>
    <w:rsid w:val="0003254D"/>
    <w:rsid w:val="00032662"/>
    <w:rsid w:val="00032760"/>
    <w:rsid w:val="00032DF9"/>
    <w:rsid w:val="00033009"/>
    <w:rsid w:val="00033507"/>
    <w:rsid w:val="000335DB"/>
    <w:rsid w:val="00033C56"/>
    <w:rsid w:val="00033D4E"/>
    <w:rsid w:val="00033E4C"/>
    <w:rsid w:val="000343B7"/>
    <w:rsid w:val="00034464"/>
    <w:rsid w:val="000346B2"/>
    <w:rsid w:val="00034BD9"/>
    <w:rsid w:val="00034E77"/>
    <w:rsid w:val="000353E9"/>
    <w:rsid w:val="0003569F"/>
    <w:rsid w:val="000359A5"/>
    <w:rsid w:val="00035FAB"/>
    <w:rsid w:val="0003684E"/>
    <w:rsid w:val="000368BE"/>
    <w:rsid w:val="00036DE2"/>
    <w:rsid w:val="00036E4D"/>
    <w:rsid w:val="00037124"/>
    <w:rsid w:val="00037500"/>
    <w:rsid w:val="00037B3D"/>
    <w:rsid w:val="00037B9A"/>
    <w:rsid w:val="0004000D"/>
    <w:rsid w:val="0004010B"/>
    <w:rsid w:val="00040666"/>
    <w:rsid w:val="000407EC"/>
    <w:rsid w:val="00040BFD"/>
    <w:rsid w:val="00040EE8"/>
    <w:rsid w:val="00041730"/>
    <w:rsid w:val="000419C6"/>
    <w:rsid w:val="00041EBF"/>
    <w:rsid w:val="0004233C"/>
    <w:rsid w:val="0004237B"/>
    <w:rsid w:val="00042740"/>
    <w:rsid w:val="00042745"/>
    <w:rsid w:val="00042948"/>
    <w:rsid w:val="00042F51"/>
    <w:rsid w:val="00043111"/>
    <w:rsid w:val="00043231"/>
    <w:rsid w:val="00043533"/>
    <w:rsid w:val="00043DBE"/>
    <w:rsid w:val="00044035"/>
    <w:rsid w:val="0004464B"/>
    <w:rsid w:val="000449BC"/>
    <w:rsid w:val="00044ADA"/>
    <w:rsid w:val="00044AEE"/>
    <w:rsid w:val="00044EEC"/>
    <w:rsid w:val="00044F03"/>
    <w:rsid w:val="0004512A"/>
    <w:rsid w:val="0004566C"/>
    <w:rsid w:val="00045E3A"/>
    <w:rsid w:val="0004664A"/>
    <w:rsid w:val="000468E1"/>
    <w:rsid w:val="00046913"/>
    <w:rsid w:val="00046EAF"/>
    <w:rsid w:val="00050059"/>
    <w:rsid w:val="00050500"/>
    <w:rsid w:val="0005123E"/>
    <w:rsid w:val="00051626"/>
    <w:rsid w:val="00051CD5"/>
    <w:rsid w:val="00051E3B"/>
    <w:rsid w:val="00053D69"/>
    <w:rsid w:val="00053DF5"/>
    <w:rsid w:val="000541CB"/>
    <w:rsid w:val="000543DC"/>
    <w:rsid w:val="0005470F"/>
    <w:rsid w:val="0005473D"/>
    <w:rsid w:val="0005487E"/>
    <w:rsid w:val="00054C21"/>
    <w:rsid w:val="00055097"/>
    <w:rsid w:val="00055A14"/>
    <w:rsid w:val="000564A3"/>
    <w:rsid w:val="00056705"/>
    <w:rsid w:val="00056769"/>
    <w:rsid w:val="00056EC4"/>
    <w:rsid w:val="0005711D"/>
    <w:rsid w:val="00057D45"/>
    <w:rsid w:val="00057E3C"/>
    <w:rsid w:val="00060183"/>
    <w:rsid w:val="00060855"/>
    <w:rsid w:val="00060A20"/>
    <w:rsid w:val="00060CC3"/>
    <w:rsid w:val="0006141A"/>
    <w:rsid w:val="00061793"/>
    <w:rsid w:val="0006196A"/>
    <w:rsid w:val="00062126"/>
    <w:rsid w:val="0006280B"/>
    <w:rsid w:val="00062C02"/>
    <w:rsid w:val="00062EEB"/>
    <w:rsid w:val="0006309F"/>
    <w:rsid w:val="00063619"/>
    <w:rsid w:val="00063916"/>
    <w:rsid w:val="0006391F"/>
    <w:rsid w:val="00063C59"/>
    <w:rsid w:val="000648C7"/>
    <w:rsid w:val="00064BC1"/>
    <w:rsid w:val="00064CEE"/>
    <w:rsid w:val="00064EEC"/>
    <w:rsid w:val="00064F0A"/>
    <w:rsid w:val="000658A7"/>
    <w:rsid w:val="00066056"/>
    <w:rsid w:val="00066468"/>
    <w:rsid w:val="00066537"/>
    <w:rsid w:val="00066680"/>
    <w:rsid w:val="00066BC5"/>
    <w:rsid w:val="00066CF3"/>
    <w:rsid w:val="00067CA5"/>
    <w:rsid w:val="0007077A"/>
    <w:rsid w:val="0007094C"/>
    <w:rsid w:val="00070961"/>
    <w:rsid w:val="00070B60"/>
    <w:rsid w:val="00071043"/>
    <w:rsid w:val="0007163F"/>
    <w:rsid w:val="000718E2"/>
    <w:rsid w:val="00071AF5"/>
    <w:rsid w:val="00071E8C"/>
    <w:rsid w:val="0007217D"/>
    <w:rsid w:val="000723AE"/>
    <w:rsid w:val="0007251A"/>
    <w:rsid w:val="000726FC"/>
    <w:rsid w:val="00072B8B"/>
    <w:rsid w:val="00072D47"/>
    <w:rsid w:val="00072EEC"/>
    <w:rsid w:val="00073283"/>
    <w:rsid w:val="000735FC"/>
    <w:rsid w:val="00073CCD"/>
    <w:rsid w:val="000742BC"/>
    <w:rsid w:val="00074472"/>
    <w:rsid w:val="00074F74"/>
    <w:rsid w:val="0007530A"/>
    <w:rsid w:val="00075B1B"/>
    <w:rsid w:val="0007627D"/>
    <w:rsid w:val="0007636C"/>
    <w:rsid w:val="00076E4C"/>
    <w:rsid w:val="00077420"/>
    <w:rsid w:val="0007797F"/>
    <w:rsid w:val="000779C6"/>
    <w:rsid w:val="00077BFD"/>
    <w:rsid w:val="00077DD0"/>
    <w:rsid w:val="00077F2C"/>
    <w:rsid w:val="00080087"/>
    <w:rsid w:val="00080137"/>
    <w:rsid w:val="000801B7"/>
    <w:rsid w:val="0008084F"/>
    <w:rsid w:val="00080B73"/>
    <w:rsid w:val="00080F80"/>
    <w:rsid w:val="000810A3"/>
    <w:rsid w:val="00081525"/>
    <w:rsid w:val="0008177F"/>
    <w:rsid w:val="00082754"/>
    <w:rsid w:val="00082977"/>
    <w:rsid w:val="00082CB9"/>
    <w:rsid w:val="00083235"/>
    <w:rsid w:val="00083328"/>
    <w:rsid w:val="0008336A"/>
    <w:rsid w:val="0008354E"/>
    <w:rsid w:val="00083E7E"/>
    <w:rsid w:val="00084025"/>
    <w:rsid w:val="0008459D"/>
    <w:rsid w:val="00084DB1"/>
    <w:rsid w:val="00085744"/>
    <w:rsid w:val="00085E60"/>
    <w:rsid w:val="00086054"/>
    <w:rsid w:val="0008641F"/>
    <w:rsid w:val="0008664D"/>
    <w:rsid w:val="000870FE"/>
    <w:rsid w:val="000873A8"/>
    <w:rsid w:val="00087414"/>
    <w:rsid w:val="0008783F"/>
    <w:rsid w:val="000878A3"/>
    <w:rsid w:val="00090423"/>
    <w:rsid w:val="00090561"/>
    <w:rsid w:val="0009099A"/>
    <w:rsid w:val="00090AB1"/>
    <w:rsid w:val="00090ACE"/>
    <w:rsid w:val="00090F78"/>
    <w:rsid w:val="000910CF"/>
    <w:rsid w:val="000913A8"/>
    <w:rsid w:val="00091609"/>
    <w:rsid w:val="00091DE7"/>
    <w:rsid w:val="00091FCF"/>
    <w:rsid w:val="000920A7"/>
    <w:rsid w:val="000922D1"/>
    <w:rsid w:val="0009279D"/>
    <w:rsid w:val="00092989"/>
    <w:rsid w:val="000929F0"/>
    <w:rsid w:val="00092E89"/>
    <w:rsid w:val="000931FD"/>
    <w:rsid w:val="0009320C"/>
    <w:rsid w:val="00094190"/>
    <w:rsid w:val="00094233"/>
    <w:rsid w:val="00094BC4"/>
    <w:rsid w:val="000952CB"/>
    <w:rsid w:val="00095B25"/>
    <w:rsid w:val="0009605A"/>
    <w:rsid w:val="000960C0"/>
    <w:rsid w:val="00096354"/>
    <w:rsid w:val="000966CA"/>
    <w:rsid w:val="00096FA4"/>
    <w:rsid w:val="00097044"/>
    <w:rsid w:val="000973D8"/>
    <w:rsid w:val="000974B0"/>
    <w:rsid w:val="000976EF"/>
    <w:rsid w:val="00097978"/>
    <w:rsid w:val="00097B4B"/>
    <w:rsid w:val="00097E5C"/>
    <w:rsid w:val="000A0895"/>
    <w:rsid w:val="000A098A"/>
    <w:rsid w:val="000A0F2E"/>
    <w:rsid w:val="000A105C"/>
    <w:rsid w:val="000A1528"/>
    <w:rsid w:val="000A17D6"/>
    <w:rsid w:val="000A2114"/>
    <w:rsid w:val="000A2174"/>
    <w:rsid w:val="000A21CC"/>
    <w:rsid w:val="000A255B"/>
    <w:rsid w:val="000A2999"/>
    <w:rsid w:val="000A2ACC"/>
    <w:rsid w:val="000A2CBF"/>
    <w:rsid w:val="000A2E1C"/>
    <w:rsid w:val="000A325A"/>
    <w:rsid w:val="000A32CB"/>
    <w:rsid w:val="000A358E"/>
    <w:rsid w:val="000A3942"/>
    <w:rsid w:val="000A3DE9"/>
    <w:rsid w:val="000A3FCD"/>
    <w:rsid w:val="000A45E4"/>
    <w:rsid w:val="000A4653"/>
    <w:rsid w:val="000A471D"/>
    <w:rsid w:val="000A50BC"/>
    <w:rsid w:val="000A5257"/>
    <w:rsid w:val="000A5510"/>
    <w:rsid w:val="000A573F"/>
    <w:rsid w:val="000A5900"/>
    <w:rsid w:val="000A5B2E"/>
    <w:rsid w:val="000A5CEF"/>
    <w:rsid w:val="000A6200"/>
    <w:rsid w:val="000A6266"/>
    <w:rsid w:val="000A6AEA"/>
    <w:rsid w:val="000A6EE7"/>
    <w:rsid w:val="000A723F"/>
    <w:rsid w:val="000A770C"/>
    <w:rsid w:val="000A7801"/>
    <w:rsid w:val="000A7A39"/>
    <w:rsid w:val="000A7FFC"/>
    <w:rsid w:val="000B068D"/>
    <w:rsid w:val="000B0AF4"/>
    <w:rsid w:val="000B0D1C"/>
    <w:rsid w:val="000B13A1"/>
    <w:rsid w:val="000B1ABA"/>
    <w:rsid w:val="000B1F8B"/>
    <w:rsid w:val="000B225F"/>
    <w:rsid w:val="000B2492"/>
    <w:rsid w:val="000B2764"/>
    <w:rsid w:val="000B2914"/>
    <w:rsid w:val="000B2919"/>
    <w:rsid w:val="000B3027"/>
    <w:rsid w:val="000B3654"/>
    <w:rsid w:val="000B39B6"/>
    <w:rsid w:val="000B3C71"/>
    <w:rsid w:val="000B3CAB"/>
    <w:rsid w:val="000B3D19"/>
    <w:rsid w:val="000B4A58"/>
    <w:rsid w:val="000B5717"/>
    <w:rsid w:val="000B574D"/>
    <w:rsid w:val="000B5809"/>
    <w:rsid w:val="000B620C"/>
    <w:rsid w:val="000B6351"/>
    <w:rsid w:val="000B64A7"/>
    <w:rsid w:val="000B6A8E"/>
    <w:rsid w:val="000B6EF0"/>
    <w:rsid w:val="000B6F9E"/>
    <w:rsid w:val="000B700B"/>
    <w:rsid w:val="000B7F2C"/>
    <w:rsid w:val="000C0697"/>
    <w:rsid w:val="000C0850"/>
    <w:rsid w:val="000C1234"/>
    <w:rsid w:val="000C1951"/>
    <w:rsid w:val="000C22D6"/>
    <w:rsid w:val="000C2D2A"/>
    <w:rsid w:val="000C3511"/>
    <w:rsid w:val="000C3AA1"/>
    <w:rsid w:val="000C3EEA"/>
    <w:rsid w:val="000C4479"/>
    <w:rsid w:val="000C4B8A"/>
    <w:rsid w:val="000C4BA6"/>
    <w:rsid w:val="000C4E54"/>
    <w:rsid w:val="000C611F"/>
    <w:rsid w:val="000C6821"/>
    <w:rsid w:val="000C686F"/>
    <w:rsid w:val="000C6C99"/>
    <w:rsid w:val="000C76F1"/>
    <w:rsid w:val="000C79DA"/>
    <w:rsid w:val="000C7CAB"/>
    <w:rsid w:val="000C7ECA"/>
    <w:rsid w:val="000D0732"/>
    <w:rsid w:val="000D0F3A"/>
    <w:rsid w:val="000D10BA"/>
    <w:rsid w:val="000D12B1"/>
    <w:rsid w:val="000D15AD"/>
    <w:rsid w:val="000D16CB"/>
    <w:rsid w:val="000D1C84"/>
    <w:rsid w:val="000D1CD9"/>
    <w:rsid w:val="000D1F6E"/>
    <w:rsid w:val="000D2887"/>
    <w:rsid w:val="000D2991"/>
    <w:rsid w:val="000D2C8E"/>
    <w:rsid w:val="000D2E21"/>
    <w:rsid w:val="000D35DD"/>
    <w:rsid w:val="000D3772"/>
    <w:rsid w:val="000D38F2"/>
    <w:rsid w:val="000D3B56"/>
    <w:rsid w:val="000D3D83"/>
    <w:rsid w:val="000D46EF"/>
    <w:rsid w:val="000D49FA"/>
    <w:rsid w:val="000D4C68"/>
    <w:rsid w:val="000D4D31"/>
    <w:rsid w:val="000D52E6"/>
    <w:rsid w:val="000D5828"/>
    <w:rsid w:val="000D58CC"/>
    <w:rsid w:val="000D5CB2"/>
    <w:rsid w:val="000D6617"/>
    <w:rsid w:val="000D6C9B"/>
    <w:rsid w:val="000D6F01"/>
    <w:rsid w:val="000D7342"/>
    <w:rsid w:val="000D74A4"/>
    <w:rsid w:val="000D7922"/>
    <w:rsid w:val="000D796E"/>
    <w:rsid w:val="000D7B8A"/>
    <w:rsid w:val="000E028B"/>
    <w:rsid w:val="000E0CA0"/>
    <w:rsid w:val="000E0D68"/>
    <w:rsid w:val="000E0F2E"/>
    <w:rsid w:val="000E1574"/>
    <w:rsid w:val="000E160D"/>
    <w:rsid w:val="000E1878"/>
    <w:rsid w:val="000E24D2"/>
    <w:rsid w:val="000E24D7"/>
    <w:rsid w:val="000E33B8"/>
    <w:rsid w:val="000E34EC"/>
    <w:rsid w:val="000E3757"/>
    <w:rsid w:val="000E3E7B"/>
    <w:rsid w:val="000E4155"/>
    <w:rsid w:val="000E41DC"/>
    <w:rsid w:val="000E449A"/>
    <w:rsid w:val="000E4859"/>
    <w:rsid w:val="000E49B4"/>
    <w:rsid w:val="000E49D1"/>
    <w:rsid w:val="000E5169"/>
    <w:rsid w:val="000E55D7"/>
    <w:rsid w:val="000E58CE"/>
    <w:rsid w:val="000E5A94"/>
    <w:rsid w:val="000E5D48"/>
    <w:rsid w:val="000E6614"/>
    <w:rsid w:val="000E681A"/>
    <w:rsid w:val="000E6BCF"/>
    <w:rsid w:val="000E7338"/>
    <w:rsid w:val="000E78D2"/>
    <w:rsid w:val="000E7A9D"/>
    <w:rsid w:val="000E7C83"/>
    <w:rsid w:val="000F0596"/>
    <w:rsid w:val="000F0CC2"/>
    <w:rsid w:val="000F107A"/>
    <w:rsid w:val="000F1CDD"/>
    <w:rsid w:val="000F1D58"/>
    <w:rsid w:val="000F1F95"/>
    <w:rsid w:val="000F22FC"/>
    <w:rsid w:val="000F26F4"/>
    <w:rsid w:val="000F2756"/>
    <w:rsid w:val="000F29D6"/>
    <w:rsid w:val="000F2E9A"/>
    <w:rsid w:val="000F3444"/>
    <w:rsid w:val="000F3545"/>
    <w:rsid w:val="000F38A8"/>
    <w:rsid w:val="000F3BC7"/>
    <w:rsid w:val="000F3EBA"/>
    <w:rsid w:val="000F3F0B"/>
    <w:rsid w:val="000F403C"/>
    <w:rsid w:val="000F4449"/>
    <w:rsid w:val="000F4FC7"/>
    <w:rsid w:val="000F5489"/>
    <w:rsid w:val="000F578C"/>
    <w:rsid w:val="000F5A16"/>
    <w:rsid w:val="000F5C62"/>
    <w:rsid w:val="000F5D2F"/>
    <w:rsid w:val="000F6DC6"/>
    <w:rsid w:val="000F6E03"/>
    <w:rsid w:val="000F701A"/>
    <w:rsid w:val="000F7204"/>
    <w:rsid w:val="000F744F"/>
    <w:rsid w:val="000F79BB"/>
    <w:rsid w:val="000F79DA"/>
    <w:rsid w:val="000F7E6B"/>
    <w:rsid w:val="001005C3"/>
    <w:rsid w:val="00100BC4"/>
    <w:rsid w:val="001022CB"/>
    <w:rsid w:val="00102559"/>
    <w:rsid w:val="001027D7"/>
    <w:rsid w:val="00102885"/>
    <w:rsid w:val="00102FA8"/>
    <w:rsid w:val="00103434"/>
    <w:rsid w:val="0010387C"/>
    <w:rsid w:val="001039CE"/>
    <w:rsid w:val="00104001"/>
    <w:rsid w:val="0010417B"/>
    <w:rsid w:val="00104DA8"/>
    <w:rsid w:val="00105155"/>
    <w:rsid w:val="001059D8"/>
    <w:rsid w:val="00105A2D"/>
    <w:rsid w:val="00106905"/>
    <w:rsid w:val="00106F3A"/>
    <w:rsid w:val="00107088"/>
    <w:rsid w:val="001071AE"/>
    <w:rsid w:val="001074E4"/>
    <w:rsid w:val="00107737"/>
    <w:rsid w:val="00110681"/>
    <w:rsid w:val="00110F74"/>
    <w:rsid w:val="0011128E"/>
    <w:rsid w:val="001115EE"/>
    <w:rsid w:val="001119A3"/>
    <w:rsid w:val="00111AE0"/>
    <w:rsid w:val="00111BC9"/>
    <w:rsid w:val="00111DD3"/>
    <w:rsid w:val="0011225B"/>
    <w:rsid w:val="00112416"/>
    <w:rsid w:val="00112578"/>
    <w:rsid w:val="0011279F"/>
    <w:rsid w:val="00112970"/>
    <w:rsid w:val="00112AEE"/>
    <w:rsid w:val="00112E1D"/>
    <w:rsid w:val="00112FCE"/>
    <w:rsid w:val="001138A4"/>
    <w:rsid w:val="00113A7E"/>
    <w:rsid w:val="00113C8B"/>
    <w:rsid w:val="00113F03"/>
    <w:rsid w:val="00114078"/>
    <w:rsid w:val="001140C0"/>
    <w:rsid w:val="00114572"/>
    <w:rsid w:val="00114763"/>
    <w:rsid w:val="001148F7"/>
    <w:rsid w:val="00114D66"/>
    <w:rsid w:val="001153F9"/>
    <w:rsid w:val="0011543C"/>
    <w:rsid w:val="0011563A"/>
    <w:rsid w:val="00115E00"/>
    <w:rsid w:val="00115E35"/>
    <w:rsid w:val="00116087"/>
    <w:rsid w:val="001160CE"/>
    <w:rsid w:val="00116209"/>
    <w:rsid w:val="00116564"/>
    <w:rsid w:val="00116672"/>
    <w:rsid w:val="00116BB1"/>
    <w:rsid w:val="00116CF8"/>
    <w:rsid w:val="00117267"/>
    <w:rsid w:val="00117D96"/>
    <w:rsid w:val="00117E15"/>
    <w:rsid w:val="00120427"/>
    <w:rsid w:val="00120492"/>
    <w:rsid w:val="001207F2"/>
    <w:rsid w:val="00120933"/>
    <w:rsid w:val="001209EE"/>
    <w:rsid w:val="00121369"/>
    <w:rsid w:val="0012147E"/>
    <w:rsid w:val="0012180E"/>
    <w:rsid w:val="00121C73"/>
    <w:rsid w:val="00121DE8"/>
    <w:rsid w:val="00122D8C"/>
    <w:rsid w:val="00122E95"/>
    <w:rsid w:val="0012328A"/>
    <w:rsid w:val="00123472"/>
    <w:rsid w:val="00123EB1"/>
    <w:rsid w:val="00123F39"/>
    <w:rsid w:val="00123FD6"/>
    <w:rsid w:val="001240C5"/>
    <w:rsid w:val="00124165"/>
    <w:rsid w:val="0012419D"/>
    <w:rsid w:val="001241BD"/>
    <w:rsid w:val="001242E0"/>
    <w:rsid w:val="001243EF"/>
    <w:rsid w:val="0012455A"/>
    <w:rsid w:val="001247CF"/>
    <w:rsid w:val="00125146"/>
    <w:rsid w:val="00125401"/>
    <w:rsid w:val="001254DC"/>
    <w:rsid w:val="0012571D"/>
    <w:rsid w:val="00125C71"/>
    <w:rsid w:val="001261D7"/>
    <w:rsid w:val="001265BB"/>
    <w:rsid w:val="00126665"/>
    <w:rsid w:val="0012680B"/>
    <w:rsid w:val="0012695E"/>
    <w:rsid w:val="00126EDF"/>
    <w:rsid w:val="001273CC"/>
    <w:rsid w:val="001276F1"/>
    <w:rsid w:val="00127769"/>
    <w:rsid w:val="00127C74"/>
    <w:rsid w:val="00127DD9"/>
    <w:rsid w:val="00127F6E"/>
    <w:rsid w:val="001304AA"/>
    <w:rsid w:val="00130836"/>
    <w:rsid w:val="00130D7C"/>
    <w:rsid w:val="00130FCD"/>
    <w:rsid w:val="00131549"/>
    <w:rsid w:val="00131E9B"/>
    <w:rsid w:val="0013261D"/>
    <w:rsid w:val="001329B1"/>
    <w:rsid w:val="0013344E"/>
    <w:rsid w:val="001336ED"/>
    <w:rsid w:val="001338BD"/>
    <w:rsid w:val="00133A1A"/>
    <w:rsid w:val="0013439B"/>
    <w:rsid w:val="001344B6"/>
    <w:rsid w:val="001344DE"/>
    <w:rsid w:val="0013456E"/>
    <w:rsid w:val="001350E3"/>
    <w:rsid w:val="0013510F"/>
    <w:rsid w:val="00135300"/>
    <w:rsid w:val="00135974"/>
    <w:rsid w:val="001359A8"/>
    <w:rsid w:val="00135A7F"/>
    <w:rsid w:val="00135B21"/>
    <w:rsid w:val="001366F7"/>
    <w:rsid w:val="00136F2E"/>
    <w:rsid w:val="00136FBB"/>
    <w:rsid w:val="00137281"/>
    <w:rsid w:val="001373D5"/>
    <w:rsid w:val="00137789"/>
    <w:rsid w:val="00137F8E"/>
    <w:rsid w:val="001401EF"/>
    <w:rsid w:val="001407F6"/>
    <w:rsid w:val="0014087C"/>
    <w:rsid w:val="00140961"/>
    <w:rsid w:val="001409D5"/>
    <w:rsid w:val="00140DBE"/>
    <w:rsid w:val="00141D21"/>
    <w:rsid w:val="00141E05"/>
    <w:rsid w:val="0014212F"/>
    <w:rsid w:val="0014214E"/>
    <w:rsid w:val="00142288"/>
    <w:rsid w:val="001422AE"/>
    <w:rsid w:val="00142A2F"/>
    <w:rsid w:val="00142D53"/>
    <w:rsid w:val="00142DFB"/>
    <w:rsid w:val="00142E3E"/>
    <w:rsid w:val="00142FF7"/>
    <w:rsid w:val="001432F8"/>
    <w:rsid w:val="00143C4A"/>
    <w:rsid w:val="00143F7E"/>
    <w:rsid w:val="00144298"/>
    <w:rsid w:val="00144311"/>
    <w:rsid w:val="00144867"/>
    <w:rsid w:val="00144AB6"/>
    <w:rsid w:val="00144F0C"/>
    <w:rsid w:val="00144F2E"/>
    <w:rsid w:val="0014506D"/>
    <w:rsid w:val="001450E4"/>
    <w:rsid w:val="00145799"/>
    <w:rsid w:val="001459CC"/>
    <w:rsid w:val="00145B95"/>
    <w:rsid w:val="00145BFE"/>
    <w:rsid w:val="00147092"/>
    <w:rsid w:val="0014747F"/>
    <w:rsid w:val="001474E3"/>
    <w:rsid w:val="00147ED0"/>
    <w:rsid w:val="001503A2"/>
    <w:rsid w:val="00150741"/>
    <w:rsid w:val="0015100B"/>
    <w:rsid w:val="001512A9"/>
    <w:rsid w:val="00151481"/>
    <w:rsid w:val="00151FF7"/>
    <w:rsid w:val="00152013"/>
    <w:rsid w:val="001520E1"/>
    <w:rsid w:val="00152600"/>
    <w:rsid w:val="0015277B"/>
    <w:rsid w:val="00152E7B"/>
    <w:rsid w:val="001530F4"/>
    <w:rsid w:val="00153110"/>
    <w:rsid w:val="00153570"/>
    <w:rsid w:val="00153F5E"/>
    <w:rsid w:val="00154212"/>
    <w:rsid w:val="001543DF"/>
    <w:rsid w:val="001545CE"/>
    <w:rsid w:val="001546CB"/>
    <w:rsid w:val="001556FB"/>
    <w:rsid w:val="0015574B"/>
    <w:rsid w:val="00155AC6"/>
    <w:rsid w:val="0015627B"/>
    <w:rsid w:val="001562D3"/>
    <w:rsid w:val="00157095"/>
    <w:rsid w:val="00157731"/>
    <w:rsid w:val="00157851"/>
    <w:rsid w:val="00157A93"/>
    <w:rsid w:val="00157C3A"/>
    <w:rsid w:val="00157DBD"/>
    <w:rsid w:val="00157FA9"/>
    <w:rsid w:val="0016061B"/>
    <w:rsid w:val="00160CF9"/>
    <w:rsid w:val="001611FA"/>
    <w:rsid w:val="0016135D"/>
    <w:rsid w:val="001613DD"/>
    <w:rsid w:val="001614BF"/>
    <w:rsid w:val="00161F83"/>
    <w:rsid w:val="00162833"/>
    <w:rsid w:val="001630AE"/>
    <w:rsid w:val="00163489"/>
    <w:rsid w:val="00163901"/>
    <w:rsid w:val="0016453B"/>
    <w:rsid w:val="00164DD8"/>
    <w:rsid w:val="001667EE"/>
    <w:rsid w:val="001672FE"/>
    <w:rsid w:val="0016752C"/>
    <w:rsid w:val="00167574"/>
    <w:rsid w:val="00170134"/>
    <w:rsid w:val="00170374"/>
    <w:rsid w:val="00170610"/>
    <w:rsid w:val="0017082E"/>
    <w:rsid w:val="00170855"/>
    <w:rsid w:val="001708A1"/>
    <w:rsid w:val="00170A9E"/>
    <w:rsid w:val="00171449"/>
    <w:rsid w:val="0017157D"/>
    <w:rsid w:val="0017160F"/>
    <w:rsid w:val="00171696"/>
    <w:rsid w:val="001719D2"/>
    <w:rsid w:val="00171BE7"/>
    <w:rsid w:val="00172ABE"/>
    <w:rsid w:val="00173073"/>
    <w:rsid w:val="00173436"/>
    <w:rsid w:val="001737D3"/>
    <w:rsid w:val="00173CF9"/>
    <w:rsid w:val="00173D1C"/>
    <w:rsid w:val="00173D64"/>
    <w:rsid w:val="00173E9F"/>
    <w:rsid w:val="001742AB"/>
    <w:rsid w:val="00174491"/>
    <w:rsid w:val="001744A6"/>
    <w:rsid w:val="00174C2B"/>
    <w:rsid w:val="00174D2F"/>
    <w:rsid w:val="00175316"/>
    <w:rsid w:val="00175433"/>
    <w:rsid w:val="0017568B"/>
    <w:rsid w:val="0017586A"/>
    <w:rsid w:val="00175ED9"/>
    <w:rsid w:val="00175F66"/>
    <w:rsid w:val="00176291"/>
    <w:rsid w:val="0017638C"/>
    <w:rsid w:val="00176B21"/>
    <w:rsid w:val="001772A9"/>
    <w:rsid w:val="0017734F"/>
    <w:rsid w:val="00177745"/>
    <w:rsid w:val="00177B2E"/>
    <w:rsid w:val="00177DD3"/>
    <w:rsid w:val="00180424"/>
    <w:rsid w:val="001808EC"/>
    <w:rsid w:val="00180D5E"/>
    <w:rsid w:val="00181071"/>
    <w:rsid w:val="00181751"/>
    <w:rsid w:val="00181A14"/>
    <w:rsid w:val="00181B75"/>
    <w:rsid w:val="00182114"/>
    <w:rsid w:val="001829B8"/>
    <w:rsid w:val="00182D0B"/>
    <w:rsid w:val="00183150"/>
    <w:rsid w:val="001833C2"/>
    <w:rsid w:val="001847AA"/>
    <w:rsid w:val="00184884"/>
    <w:rsid w:val="00185026"/>
    <w:rsid w:val="001854D7"/>
    <w:rsid w:val="00185846"/>
    <w:rsid w:val="00185E05"/>
    <w:rsid w:val="00185F5D"/>
    <w:rsid w:val="0018623F"/>
    <w:rsid w:val="001867B8"/>
    <w:rsid w:val="00186DBE"/>
    <w:rsid w:val="001870F3"/>
    <w:rsid w:val="00187DA6"/>
    <w:rsid w:val="00190973"/>
    <w:rsid w:val="00190DE1"/>
    <w:rsid w:val="0019100E"/>
    <w:rsid w:val="00191026"/>
    <w:rsid w:val="0019112C"/>
    <w:rsid w:val="0019128C"/>
    <w:rsid w:val="001913EC"/>
    <w:rsid w:val="001914D2"/>
    <w:rsid w:val="00192033"/>
    <w:rsid w:val="00192492"/>
    <w:rsid w:val="00192C2E"/>
    <w:rsid w:val="00192C6C"/>
    <w:rsid w:val="00192E25"/>
    <w:rsid w:val="0019328F"/>
    <w:rsid w:val="001938C7"/>
    <w:rsid w:val="00193B1C"/>
    <w:rsid w:val="00193E86"/>
    <w:rsid w:val="0019471C"/>
    <w:rsid w:val="00195048"/>
    <w:rsid w:val="00195517"/>
    <w:rsid w:val="00195C84"/>
    <w:rsid w:val="00195D02"/>
    <w:rsid w:val="00196160"/>
    <w:rsid w:val="00196595"/>
    <w:rsid w:val="001966F8"/>
    <w:rsid w:val="00196AFC"/>
    <w:rsid w:val="001975ED"/>
    <w:rsid w:val="00197A3B"/>
    <w:rsid w:val="00197CE8"/>
    <w:rsid w:val="001A0489"/>
    <w:rsid w:val="001A04EB"/>
    <w:rsid w:val="001A2518"/>
    <w:rsid w:val="001A261F"/>
    <w:rsid w:val="001A271A"/>
    <w:rsid w:val="001A2D84"/>
    <w:rsid w:val="001A2EA4"/>
    <w:rsid w:val="001A31C3"/>
    <w:rsid w:val="001A3BF4"/>
    <w:rsid w:val="001A4599"/>
    <w:rsid w:val="001A4683"/>
    <w:rsid w:val="001A4AFE"/>
    <w:rsid w:val="001A513A"/>
    <w:rsid w:val="001A5AF0"/>
    <w:rsid w:val="001A5C3E"/>
    <w:rsid w:val="001A605D"/>
    <w:rsid w:val="001A60C3"/>
    <w:rsid w:val="001A67AD"/>
    <w:rsid w:val="001A6802"/>
    <w:rsid w:val="001A70DF"/>
    <w:rsid w:val="001A724F"/>
    <w:rsid w:val="001A7326"/>
    <w:rsid w:val="001A7881"/>
    <w:rsid w:val="001A7EE6"/>
    <w:rsid w:val="001B00CB"/>
    <w:rsid w:val="001B0137"/>
    <w:rsid w:val="001B0EF1"/>
    <w:rsid w:val="001B198E"/>
    <w:rsid w:val="001B1E40"/>
    <w:rsid w:val="001B211E"/>
    <w:rsid w:val="001B2186"/>
    <w:rsid w:val="001B25A3"/>
    <w:rsid w:val="001B2DD7"/>
    <w:rsid w:val="001B2EF6"/>
    <w:rsid w:val="001B3012"/>
    <w:rsid w:val="001B304A"/>
    <w:rsid w:val="001B32E6"/>
    <w:rsid w:val="001B4163"/>
    <w:rsid w:val="001B4526"/>
    <w:rsid w:val="001B4B55"/>
    <w:rsid w:val="001B4D58"/>
    <w:rsid w:val="001B4F3B"/>
    <w:rsid w:val="001B5041"/>
    <w:rsid w:val="001B51F4"/>
    <w:rsid w:val="001B5DE7"/>
    <w:rsid w:val="001B6011"/>
    <w:rsid w:val="001B60C5"/>
    <w:rsid w:val="001B613A"/>
    <w:rsid w:val="001B6D49"/>
    <w:rsid w:val="001B742A"/>
    <w:rsid w:val="001B791D"/>
    <w:rsid w:val="001C08BD"/>
    <w:rsid w:val="001C0E00"/>
    <w:rsid w:val="001C16A2"/>
    <w:rsid w:val="001C171B"/>
    <w:rsid w:val="001C21E1"/>
    <w:rsid w:val="001C22CC"/>
    <w:rsid w:val="001C2A71"/>
    <w:rsid w:val="001C2BBC"/>
    <w:rsid w:val="001C3026"/>
    <w:rsid w:val="001C3960"/>
    <w:rsid w:val="001C3B75"/>
    <w:rsid w:val="001C430D"/>
    <w:rsid w:val="001C44EB"/>
    <w:rsid w:val="001C4A9A"/>
    <w:rsid w:val="001C4BD9"/>
    <w:rsid w:val="001C5347"/>
    <w:rsid w:val="001C59F1"/>
    <w:rsid w:val="001C5AF9"/>
    <w:rsid w:val="001C604E"/>
    <w:rsid w:val="001C6D42"/>
    <w:rsid w:val="001C6FA1"/>
    <w:rsid w:val="001C7264"/>
    <w:rsid w:val="001C761A"/>
    <w:rsid w:val="001C77C7"/>
    <w:rsid w:val="001D00E2"/>
    <w:rsid w:val="001D064A"/>
    <w:rsid w:val="001D0EE8"/>
    <w:rsid w:val="001D1B1B"/>
    <w:rsid w:val="001D1D31"/>
    <w:rsid w:val="001D2150"/>
    <w:rsid w:val="001D24C5"/>
    <w:rsid w:val="001D25AE"/>
    <w:rsid w:val="001D294A"/>
    <w:rsid w:val="001D2C8E"/>
    <w:rsid w:val="001D3237"/>
    <w:rsid w:val="001D34E8"/>
    <w:rsid w:val="001D3A8F"/>
    <w:rsid w:val="001D3B78"/>
    <w:rsid w:val="001D3ECB"/>
    <w:rsid w:val="001D44CD"/>
    <w:rsid w:val="001D48F5"/>
    <w:rsid w:val="001D49C4"/>
    <w:rsid w:val="001D5359"/>
    <w:rsid w:val="001D548D"/>
    <w:rsid w:val="001D5CF2"/>
    <w:rsid w:val="001D5E52"/>
    <w:rsid w:val="001D6218"/>
    <w:rsid w:val="001D6540"/>
    <w:rsid w:val="001D6622"/>
    <w:rsid w:val="001D6651"/>
    <w:rsid w:val="001D66F5"/>
    <w:rsid w:val="001D6B9A"/>
    <w:rsid w:val="001D723B"/>
    <w:rsid w:val="001D75C7"/>
    <w:rsid w:val="001D75DE"/>
    <w:rsid w:val="001D7D3C"/>
    <w:rsid w:val="001D7F0F"/>
    <w:rsid w:val="001E082F"/>
    <w:rsid w:val="001E09F0"/>
    <w:rsid w:val="001E158A"/>
    <w:rsid w:val="001E1814"/>
    <w:rsid w:val="001E182C"/>
    <w:rsid w:val="001E197A"/>
    <w:rsid w:val="001E20BF"/>
    <w:rsid w:val="001E2315"/>
    <w:rsid w:val="001E247D"/>
    <w:rsid w:val="001E255C"/>
    <w:rsid w:val="001E2656"/>
    <w:rsid w:val="001E273A"/>
    <w:rsid w:val="001E275C"/>
    <w:rsid w:val="001E2E9F"/>
    <w:rsid w:val="001E3100"/>
    <w:rsid w:val="001E35DC"/>
    <w:rsid w:val="001E3866"/>
    <w:rsid w:val="001E430D"/>
    <w:rsid w:val="001E466C"/>
    <w:rsid w:val="001E4929"/>
    <w:rsid w:val="001E499E"/>
    <w:rsid w:val="001E4C59"/>
    <w:rsid w:val="001E4F53"/>
    <w:rsid w:val="001E5389"/>
    <w:rsid w:val="001E550B"/>
    <w:rsid w:val="001E5635"/>
    <w:rsid w:val="001E5725"/>
    <w:rsid w:val="001E5E03"/>
    <w:rsid w:val="001E5F50"/>
    <w:rsid w:val="001E6128"/>
    <w:rsid w:val="001E615A"/>
    <w:rsid w:val="001E630B"/>
    <w:rsid w:val="001E6328"/>
    <w:rsid w:val="001E68B5"/>
    <w:rsid w:val="001E6A6D"/>
    <w:rsid w:val="001E714F"/>
    <w:rsid w:val="001E7385"/>
    <w:rsid w:val="001E7D6E"/>
    <w:rsid w:val="001F020B"/>
    <w:rsid w:val="001F0498"/>
    <w:rsid w:val="001F05C3"/>
    <w:rsid w:val="001F0980"/>
    <w:rsid w:val="001F0AF6"/>
    <w:rsid w:val="001F0CE5"/>
    <w:rsid w:val="001F0FCB"/>
    <w:rsid w:val="001F101D"/>
    <w:rsid w:val="001F1215"/>
    <w:rsid w:val="001F148E"/>
    <w:rsid w:val="001F1635"/>
    <w:rsid w:val="001F1ACC"/>
    <w:rsid w:val="001F1B2A"/>
    <w:rsid w:val="001F21F8"/>
    <w:rsid w:val="001F23A7"/>
    <w:rsid w:val="001F2827"/>
    <w:rsid w:val="001F29BB"/>
    <w:rsid w:val="001F2E07"/>
    <w:rsid w:val="001F324C"/>
    <w:rsid w:val="001F3389"/>
    <w:rsid w:val="001F38C1"/>
    <w:rsid w:val="001F3F60"/>
    <w:rsid w:val="001F499C"/>
    <w:rsid w:val="001F4B2B"/>
    <w:rsid w:val="001F4BBA"/>
    <w:rsid w:val="001F50A2"/>
    <w:rsid w:val="001F5157"/>
    <w:rsid w:val="001F5860"/>
    <w:rsid w:val="001F6E1B"/>
    <w:rsid w:val="001F70D5"/>
    <w:rsid w:val="001F7759"/>
    <w:rsid w:val="001F781B"/>
    <w:rsid w:val="001F7A2B"/>
    <w:rsid w:val="001F7BCC"/>
    <w:rsid w:val="00200112"/>
    <w:rsid w:val="0020071B"/>
    <w:rsid w:val="0020099C"/>
    <w:rsid w:val="00200D49"/>
    <w:rsid w:val="00200E71"/>
    <w:rsid w:val="002010EA"/>
    <w:rsid w:val="002015BF"/>
    <w:rsid w:val="002016F2"/>
    <w:rsid w:val="00202078"/>
    <w:rsid w:val="0020221E"/>
    <w:rsid w:val="00202349"/>
    <w:rsid w:val="00203920"/>
    <w:rsid w:val="00203FC7"/>
    <w:rsid w:val="00204057"/>
    <w:rsid w:val="00204097"/>
    <w:rsid w:val="002043EA"/>
    <w:rsid w:val="00204472"/>
    <w:rsid w:val="0020469C"/>
    <w:rsid w:val="002046BD"/>
    <w:rsid w:val="00204762"/>
    <w:rsid w:val="00204EE7"/>
    <w:rsid w:val="00205967"/>
    <w:rsid w:val="00205E4E"/>
    <w:rsid w:val="0020618B"/>
    <w:rsid w:val="00206429"/>
    <w:rsid w:val="00206CC6"/>
    <w:rsid w:val="00206D5C"/>
    <w:rsid w:val="002071FF"/>
    <w:rsid w:val="00207260"/>
    <w:rsid w:val="0020735B"/>
    <w:rsid w:val="0020750A"/>
    <w:rsid w:val="0020794D"/>
    <w:rsid w:val="00210133"/>
    <w:rsid w:val="0021014D"/>
    <w:rsid w:val="002105E5"/>
    <w:rsid w:val="00210F21"/>
    <w:rsid w:val="002110E9"/>
    <w:rsid w:val="002111A3"/>
    <w:rsid w:val="0021165F"/>
    <w:rsid w:val="00211766"/>
    <w:rsid w:val="002118E5"/>
    <w:rsid w:val="00211DF4"/>
    <w:rsid w:val="002126A3"/>
    <w:rsid w:val="00212E67"/>
    <w:rsid w:val="00213459"/>
    <w:rsid w:val="002134E8"/>
    <w:rsid w:val="00213635"/>
    <w:rsid w:val="002137D3"/>
    <w:rsid w:val="00213849"/>
    <w:rsid w:val="00214236"/>
    <w:rsid w:val="0021431B"/>
    <w:rsid w:val="00214BED"/>
    <w:rsid w:val="002153CF"/>
    <w:rsid w:val="00215482"/>
    <w:rsid w:val="0021564B"/>
    <w:rsid w:val="0021576B"/>
    <w:rsid w:val="00215A61"/>
    <w:rsid w:val="00215C24"/>
    <w:rsid w:val="00216112"/>
    <w:rsid w:val="00216A5F"/>
    <w:rsid w:val="00216BAC"/>
    <w:rsid w:val="00216C61"/>
    <w:rsid w:val="00216F68"/>
    <w:rsid w:val="00217376"/>
    <w:rsid w:val="0021742F"/>
    <w:rsid w:val="002176A7"/>
    <w:rsid w:val="00217851"/>
    <w:rsid w:val="00217C6F"/>
    <w:rsid w:val="00217F5E"/>
    <w:rsid w:val="0022055E"/>
    <w:rsid w:val="002205F8"/>
    <w:rsid w:val="00220687"/>
    <w:rsid w:val="00220A88"/>
    <w:rsid w:val="00220E4D"/>
    <w:rsid w:val="0022146B"/>
    <w:rsid w:val="002214B0"/>
    <w:rsid w:val="002217D6"/>
    <w:rsid w:val="00221B42"/>
    <w:rsid w:val="00222121"/>
    <w:rsid w:val="00222C67"/>
    <w:rsid w:val="00222EDD"/>
    <w:rsid w:val="00223975"/>
    <w:rsid w:val="002242E4"/>
    <w:rsid w:val="002245AB"/>
    <w:rsid w:val="00224A38"/>
    <w:rsid w:val="00224C47"/>
    <w:rsid w:val="00224EA2"/>
    <w:rsid w:val="002251F1"/>
    <w:rsid w:val="00225BC6"/>
    <w:rsid w:val="00225C55"/>
    <w:rsid w:val="00225F97"/>
    <w:rsid w:val="002267E1"/>
    <w:rsid w:val="00226AF0"/>
    <w:rsid w:val="00227817"/>
    <w:rsid w:val="002279BA"/>
    <w:rsid w:val="00227A9D"/>
    <w:rsid w:val="00227CAA"/>
    <w:rsid w:val="00227EE8"/>
    <w:rsid w:val="0023012A"/>
    <w:rsid w:val="0023017A"/>
    <w:rsid w:val="002302C9"/>
    <w:rsid w:val="00230BCE"/>
    <w:rsid w:val="00230CF5"/>
    <w:rsid w:val="00230E91"/>
    <w:rsid w:val="00230E9B"/>
    <w:rsid w:val="00231561"/>
    <w:rsid w:val="00231732"/>
    <w:rsid w:val="002317A4"/>
    <w:rsid w:val="00231B7F"/>
    <w:rsid w:val="00231B89"/>
    <w:rsid w:val="00231DD2"/>
    <w:rsid w:val="00231E12"/>
    <w:rsid w:val="00231E86"/>
    <w:rsid w:val="00231FAC"/>
    <w:rsid w:val="0023235D"/>
    <w:rsid w:val="00232563"/>
    <w:rsid w:val="00232D13"/>
    <w:rsid w:val="0023314E"/>
    <w:rsid w:val="0023324F"/>
    <w:rsid w:val="00233D29"/>
    <w:rsid w:val="002350C0"/>
    <w:rsid w:val="00235819"/>
    <w:rsid w:val="00236184"/>
    <w:rsid w:val="00236AE4"/>
    <w:rsid w:val="00236CB7"/>
    <w:rsid w:val="0023714E"/>
    <w:rsid w:val="002400EA"/>
    <w:rsid w:val="00240451"/>
    <w:rsid w:val="002404DB"/>
    <w:rsid w:val="0024161E"/>
    <w:rsid w:val="00241CC3"/>
    <w:rsid w:val="00241D60"/>
    <w:rsid w:val="00242C2D"/>
    <w:rsid w:val="00242F73"/>
    <w:rsid w:val="00242FCD"/>
    <w:rsid w:val="0024338E"/>
    <w:rsid w:val="00243D3C"/>
    <w:rsid w:val="00243D8F"/>
    <w:rsid w:val="00243F54"/>
    <w:rsid w:val="00244A16"/>
    <w:rsid w:val="00246475"/>
    <w:rsid w:val="0024653A"/>
    <w:rsid w:val="00246789"/>
    <w:rsid w:val="00246887"/>
    <w:rsid w:val="002468F5"/>
    <w:rsid w:val="00246C8D"/>
    <w:rsid w:val="00246F48"/>
    <w:rsid w:val="002470F5"/>
    <w:rsid w:val="002471B7"/>
    <w:rsid w:val="0024778B"/>
    <w:rsid w:val="00247AC7"/>
    <w:rsid w:val="00247D86"/>
    <w:rsid w:val="00247D95"/>
    <w:rsid w:val="00247E8C"/>
    <w:rsid w:val="00250614"/>
    <w:rsid w:val="00250660"/>
    <w:rsid w:val="00250882"/>
    <w:rsid w:val="00250EAB"/>
    <w:rsid w:val="002510D0"/>
    <w:rsid w:val="0025127C"/>
    <w:rsid w:val="00251B61"/>
    <w:rsid w:val="002520B1"/>
    <w:rsid w:val="00252864"/>
    <w:rsid w:val="00252B6F"/>
    <w:rsid w:val="00252D1A"/>
    <w:rsid w:val="00252D82"/>
    <w:rsid w:val="00252E28"/>
    <w:rsid w:val="002531CD"/>
    <w:rsid w:val="0025328C"/>
    <w:rsid w:val="002538AE"/>
    <w:rsid w:val="00253ABC"/>
    <w:rsid w:val="00253C64"/>
    <w:rsid w:val="0025436D"/>
    <w:rsid w:val="002543D1"/>
    <w:rsid w:val="00254404"/>
    <w:rsid w:val="00254C21"/>
    <w:rsid w:val="002552DA"/>
    <w:rsid w:val="00255B18"/>
    <w:rsid w:val="002571DE"/>
    <w:rsid w:val="002572A5"/>
    <w:rsid w:val="002603D2"/>
    <w:rsid w:val="002606F5"/>
    <w:rsid w:val="00260F87"/>
    <w:rsid w:val="002615BB"/>
    <w:rsid w:val="0026198E"/>
    <w:rsid w:val="002629F7"/>
    <w:rsid w:val="00262A6F"/>
    <w:rsid w:val="00262CA5"/>
    <w:rsid w:val="00262E72"/>
    <w:rsid w:val="00262F71"/>
    <w:rsid w:val="0026308B"/>
    <w:rsid w:val="00263178"/>
    <w:rsid w:val="0026357A"/>
    <w:rsid w:val="002635D1"/>
    <w:rsid w:val="0026363B"/>
    <w:rsid w:val="00263A8F"/>
    <w:rsid w:val="00263B41"/>
    <w:rsid w:val="00263D13"/>
    <w:rsid w:val="00263D31"/>
    <w:rsid w:val="002640A5"/>
    <w:rsid w:val="002640F4"/>
    <w:rsid w:val="002643C9"/>
    <w:rsid w:val="002645D6"/>
    <w:rsid w:val="00265029"/>
    <w:rsid w:val="002651EF"/>
    <w:rsid w:val="002653F4"/>
    <w:rsid w:val="00265B41"/>
    <w:rsid w:val="00265CEB"/>
    <w:rsid w:val="00265F73"/>
    <w:rsid w:val="00266123"/>
    <w:rsid w:val="002665EC"/>
    <w:rsid w:val="00266A52"/>
    <w:rsid w:val="00266ED2"/>
    <w:rsid w:val="00266F5C"/>
    <w:rsid w:val="0026781B"/>
    <w:rsid w:val="00267873"/>
    <w:rsid w:val="002701D0"/>
    <w:rsid w:val="002703F0"/>
    <w:rsid w:val="00270616"/>
    <w:rsid w:val="00270646"/>
    <w:rsid w:val="00270688"/>
    <w:rsid w:val="002709A7"/>
    <w:rsid w:val="002709E0"/>
    <w:rsid w:val="00271414"/>
    <w:rsid w:val="002718EF"/>
    <w:rsid w:val="00272038"/>
    <w:rsid w:val="0027227D"/>
    <w:rsid w:val="002724AF"/>
    <w:rsid w:val="00272C25"/>
    <w:rsid w:val="00272CFE"/>
    <w:rsid w:val="00272F28"/>
    <w:rsid w:val="002735F4"/>
    <w:rsid w:val="00273870"/>
    <w:rsid w:val="00273A96"/>
    <w:rsid w:val="00273B89"/>
    <w:rsid w:val="00273F6A"/>
    <w:rsid w:val="0027401C"/>
    <w:rsid w:val="002741F8"/>
    <w:rsid w:val="002743F5"/>
    <w:rsid w:val="00274A4F"/>
    <w:rsid w:val="00275521"/>
    <w:rsid w:val="0027574C"/>
    <w:rsid w:val="00275801"/>
    <w:rsid w:val="00276085"/>
    <w:rsid w:val="00276429"/>
    <w:rsid w:val="002771C7"/>
    <w:rsid w:val="00277299"/>
    <w:rsid w:val="002778A4"/>
    <w:rsid w:val="002802FC"/>
    <w:rsid w:val="00280BC9"/>
    <w:rsid w:val="00281281"/>
    <w:rsid w:val="002812BF"/>
    <w:rsid w:val="00281DCD"/>
    <w:rsid w:val="002820FB"/>
    <w:rsid w:val="0028227F"/>
    <w:rsid w:val="00282C26"/>
    <w:rsid w:val="00283328"/>
    <w:rsid w:val="00283BDC"/>
    <w:rsid w:val="002845AF"/>
    <w:rsid w:val="00284736"/>
    <w:rsid w:val="00284DDB"/>
    <w:rsid w:val="00285085"/>
    <w:rsid w:val="00285484"/>
    <w:rsid w:val="002855E3"/>
    <w:rsid w:val="00286096"/>
    <w:rsid w:val="00286694"/>
    <w:rsid w:val="002867DD"/>
    <w:rsid w:val="00286AC3"/>
    <w:rsid w:val="00286DDC"/>
    <w:rsid w:val="00286F2F"/>
    <w:rsid w:val="00287551"/>
    <w:rsid w:val="00287596"/>
    <w:rsid w:val="002878D1"/>
    <w:rsid w:val="00287A3C"/>
    <w:rsid w:val="00287ABA"/>
    <w:rsid w:val="00290BDB"/>
    <w:rsid w:val="00290E09"/>
    <w:rsid w:val="00291696"/>
    <w:rsid w:val="00291EAA"/>
    <w:rsid w:val="00292422"/>
    <w:rsid w:val="00292627"/>
    <w:rsid w:val="0029281A"/>
    <w:rsid w:val="002933E7"/>
    <w:rsid w:val="00293BEF"/>
    <w:rsid w:val="00293D6B"/>
    <w:rsid w:val="00293D7E"/>
    <w:rsid w:val="00293DF2"/>
    <w:rsid w:val="00293E14"/>
    <w:rsid w:val="002945BC"/>
    <w:rsid w:val="002946D5"/>
    <w:rsid w:val="0029497E"/>
    <w:rsid w:val="00294A6C"/>
    <w:rsid w:val="00294F8C"/>
    <w:rsid w:val="002954EE"/>
    <w:rsid w:val="0029581A"/>
    <w:rsid w:val="002960C4"/>
    <w:rsid w:val="0029612C"/>
    <w:rsid w:val="00296696"/>
    <w:rsid w:val="00296DA7"/>
    <w:rsid w:val="002971EC"/>
    <w:rsid w:val="0029754A"/>
    <w:rsid w:val="0029791D"/>
    <w:rsid w:val="002979BD"/>
    <w:rsid w:val="002A004B"/>
    <w:rsid w:val="002A0148"/>
    <w:rsid w:val="002A04A5"/>
    <w:rsid w:val="002A06A5"/>
    <w:rsid w:val="002A08C0"/>
    <w:rsid w:val="002A0B23"/>
    <w:rsid w:val="002A10B3"/>
    <w:rsid w:val="002A10C9"/>
    <w:rsid w:val="002A1288"/>
    <w:rsid w:val="002A13CF"/>
    <w:rsid w:val="002A1BC1"/>
    <w:rsid w:val="002A1CA8"/>
    <w:rsid w:val="002A1EB4"/>
    <w:rsid w:val="002A1EFA"/>
    <w:rsid w:val="002A2845"/>
    <w:rsid w:val="002A2F29"/>
    <w:rsid w:val="002A3A41"/>
    <w:rsid w:val="002A3E62"/>
    <w:rsid w:val="002A4318"/>
    <w:rsid w:val="002A4513"/>
    <w:rsid w:val="002A4605"/>
    <w:rsid w:val="002A60DC"/>
    <w:rsid w:val="002A650D"/>
    <w:rsid w:val="002A681E"/>
    <w:rsid w:val="002A6A57"/>
    <w:rsid w:val="002A6F37"/>
    <w:rsid w:val="002A704F"/>
    <w:rsid w:val="002A71B1"/>
    <w:rsid w:val="002A7A2D"/>
    <w:rsid w:val="002A7C03"/>
    <w:rsid w:val="002A7E7F"/>
    <w:rsid w:val="002B0BAF"/>
    <w:rsid w:val="002B0E3B"/>
    <w:rsid w:val="002B15B2"/>
    <w:rsid w:val="002B18DC"/>
    <w:rsid w:val="002B1F88"/>
    <w:rsid w:val="002B209C"/>
    <w:rsid w:val="002B2A2E"/>
    <w:rsid w:val="002B36A8"/>
    <w:rsid w:val="002B3B6B"/>
    <w:rsid w:val="002B3D3A"/>
    <w:rsid w:val="002B44AF"/>
    <w:rsid w:val="002B46FF"/>
    <w:rsid w:val="002B4AEB"/>
    <w:rsid w:val="002B4C3A"/>
    <w:rsid w:val="002B4E05"/>
    <w:rsid w:val="002B5051"/>
    <w:rsid w:val="002B54CF"/>
    <w:rsid w:val="002B5C10"/>
    <w:rsid w:val="002B5DEB"/>
    <w:rsid w:val="002B6111"/>
    <w:rsid w:val="002B6525"/>
    <w:rsid w:val="002B69A1"/>
    <w:rsid w:val="002B731B"/>
    <w:rsid w:val="002B77EA"/>
    <w:rsid w:val="002B78D9"/>
    <w:rsid w:val="002B7A34"/>
    <w:rsid w:val="002C01C1"/>
    <w:rsid w:val="002C0654"/>
    <w:rsid w:val="002C095D"/>
    <w:rsid w:val="002C0CD7"/>
    <w:rsid w:val="002C0F13"/>
    <w:rsid w:val="002C13D7"/>
    <w:rsid w:val="002C15A6"/>
    <w:rsid w:val="002C171C"/>
    <w:rsid w:val="002C17D0"/>
    <w:rsid w:val="002C190F"/>
    <w:rsid w:val="002C2789"/>
    <w:rsid w:val="002C2A24"/>
    <w:rsid w:val="002C2C6C"/>
    <w:rsid w:val="002C2E49"/>
    <w:rsid w:val="002C31F1"/>
    <w:rsid w:val="002C3766"/>
    <w:rsid w:val="002C3AE0"/>
    <w:rsid w:val="002C3E5C"/>
    <w:rsid w:val="002C4086"/>
    <w:rsid w:val="002C408D"/>
    <w:rsid w:val="002C4537"/>
    <w:rsid w:val="002C4935"/>
    <w:rsid w:val="002C4CD3"/>
    <w:rsid w:val="002C4EAB"/>
    <w:rsid w:val="002C5163"/>
    <w:rsid w:val="002C51C2"/>
    <w:rsid w:val="002C558D"/>
    <w:rsid w:val="002C55B6"/>
    <w:rsid w:val="002C66B0"/>
    <w:rsid w:val="002C682A"/>
    <w:rsid w:val="002C6A3A"/>
    <w:rsid w:val="002C6E59"/>
    <w:rsid w:val="002C6F65"/>
    <w:rsid w:val="002C70C2"/>
    <w:rsid w:val="002C7AAC"/>
    <w:rsid w:val="002C7BFA"/>
    <w:rsid w:val="002C7D0C"/>
    <w:rsid w:val="002C7E01"/>
    <w:rsid w:val="002C7F4C"/>
    <w:rsid w:val="002D0088"/>
    <w:rsid w:val="002D0487"/>
    <w:rsid w:val="002D04AA"/>
    <w:rsid w:val="002D1011"/>
    <w:rsid w:val="002D196B"/>
    <w:rsid w:val="002D24A4"/>
    <w:rsid w:val="002D2554"/>
    <w:rsid w:val="002D2C37"/>
    <w:rsid w:val="002D2F24"/>
    <w:rsid w:val="002D310B"/>
    <w:rsid w:val="002D3187"/>
    <w:rsid w:val="002D3351"/>
    <w:rsid w:val="002D33C2"/>
    <w:rsid w:val="002D379F"/>
    <w:rsid w:val="002D3B33"/>
    <w:rsid w:val="002D4515"/>
    <w:rsid w:val="002D4632"/>
    <w:rsid w:val="002D4934"/>
    <w:rsid w:val="002D4A49"/>
    <w:rsid w:val="002D4B40"/>
    <w:rsid w:val="002D4FAD"/>
    <w:rsid w:val="002D590D"/>
    <w:rsid w:val="002D5D79"/>
    <w:rsid w:val="002D5DC9"/>
    <w:rsid w:val="002D5E28"/>
    <w:rsid w:val="002D6352"/>
    <w:rsid w:val="002D675F"/>
    <w:rsid w:val="002D692C"/>
    <w:rsid w:val="002D6DE3"/>
    <w:rsid w:val="002D6F7B"/>
    <w:rsid w:val="002D7ED7"/>
    <w:rsid w:val="002D7F24"/>
    <w:rsid w:val="002E063F"/>
    <w:rsid w:val="002E067F"/>
    <w:rsid w:val="002E072A"/>
    <w:rsid w:val="002E075B"/>
    <w:rsid w:val="002E079C"/>
    <w:rsid w:val="002E0A28"/>
    <w:rsid w:val="002E0A8F"/>
    <w:rsid w:val="002E197B"/>
    <w:rsid w:val="002E2292"/>
    <w:rsid w:val="002E244F"/>
    <w:rsid w:val="002E2618"/>
    <w:rsid w:val="002E2708"/>
    <w:rsid w:val="002E2ACF"/>
    <w:rsid w:val="002E2B47"/>
    <w:rsid w:val="002E2D17"/>
    <w:rsid w:val="002E34C3"/>
    <w:rsid w:val="002E37A0"/>
    <w:rsid w:val="002E3940"/>
    <w:rsid w:val="002E3CE5"/>
    <w:rsid w:val="002E4099"/>
    <w:rsid w:val="002E40E0"/>
    <w:rsid w:val="002E41BA"/>
    <w:rsid w:val="002E440B"/>
    <w:rsid w:val="002E4447"/>
    <w:rsid w:val="002E4473"/>
    <w:rsid w:val="002E4503"/>
    <w:rsid w:val="002E46A1"/>
    <w:rsid w:val="002E47F6"/>
    <w:rsid w:val="002E4A71"/>
    <w:rsid w:val="002E4AF1"/>
    <w:rsid w:val="002E4D75"/>
    <w:rsid w:val="002E5F75"/>
    <w:rsid w:val="002E5F9A"/>
    <w:rsid w:val="002E604E"/>
    <w:rsid w:val="002E6092"/>
    <w:rsid w:val="002E64D3"/>
    <w:rsid w:val="002E6641"/>
    <w:rsid w:val="002E6710"/>
    <w:rsid w:val="002E6874"/>
    <w:rsid w:val="002E6AA4"/>
    <w:rsid w:val="002E6F49"/>
    <w:rsid w:val="002E7138"/>
    <w:rsid w:val="002E7CBE"/>
    <w:rsid w:val="002E7E79"/>
    <w:rsid w:val="002F03ED"/>
    <w:rsid w:val="002F044C"/>
    <w:rsid w:val="002F04D3"/>
    <w:rsid w:val="002F09BF"/>
    <w:rsid w:val="002F0A14"/>
    <w:rsid w:val="002F0A48"/>
    <w:rsid w:val="002F0AF0"/>
    <w:rsid w:val="002F179F"/>
    <w:rsid w:val="002F1C18"/>
    <w:rsid w:val="002F24CE"/>
    <w:rsid w:val="002F25C6"/>
    <w:rsid w:val="002F2928"/>
    <w:rsid w:val="002F2A14"/>
    <w:rsid w:val="002F2A69"/>
    <w:rsid w:val="002F2E0F"/>
    <w:rsid w:val="002F3369"/>
    <w:rsid w:val="002F3841"/>
    <w:rsid w:val="002F3E4B"/>
    <w:rsid w:val="002F4166"/>
    <w:rsid w:val="002F41F1"/>
    <w:rsid w:val="002F4509"/>
    <w:rsid w:val="002F48F4"/>
    <w:rsid w:val="002F5460"/>
    <w:rsid w:val="002F58D7"/>
    <w:rsid w:val="002F5B68"/>
    <w:rsid w:val="002F600E"/>
    <w:rsid w:val="002F6B40"/>
    <w:rsid w:val="002F6B78"/>
    <w:rsid w:val="002F6CFF"/>
    <w:rsid w:val="002F7608"/>
    <w:rsid w:val="002F780A"/>
    <w:rsid w:val="002F784D"/>
    <w:rsid w:val="002F7AB7"/>
    <w:rsid w:val="002F7E4B"/>
    <w:rsid w:val="003002B2"/>
    <w:rsid w:val="00300659"/>
    <w:rsid w:val="003006AD"/>
    <w:rsid w:val="00300862"/>
    <w:rsid w:val="00300976"/>
    <w:rsid w:val="00300B58"/>
    <w:rsid w:val="00300F11"/>
    <w:rsid w:val="003016DF"/>
    <w:rsid w:val="00301A3B"/>
    <w:rsid w:val="00301F94"/>
    <w:rsid w:val="00302DA2"/>
    <w:rsid w:val="00303595"/>
    <w:rsid w:val="003036C8"/>
    <w:rsid w:val="003036F8"/>
    <w:rsid w:val="00304389"/>
    <w:rsid w:val="0030457F"/>
    <w:rsid w:val="003048C8"/>
    <w:rsid w:val="00304CC9"/>
    <w:rsid w:val="00304D85"/>
    <w:rsid w:val="0030592B"/>
    <w:rsid w:val="00305C77"/>
    <w:rsid w:val="00305F7F"/>
    <w:rsid w:val="00306639"/>
    <w:rsid w:val="00306CF2"/>
    <w:rsid w:val="00307126"/>
    <w:rsid w:val="00310B1B"/>
    <w:rsid w:val="00310E14"/>
    <w:rsid w:val="00311226"/>
    <w:rsid w:val="00311A25"/>
    <w:rsid w:val="00311AD2"/>
    <w:rsid w:val="00311D2E"/>
    <w:rsid w:val="00311EDA"/>
    <w:rsid w:val="0031207D"/>
    <w:rsid w:val="00312A3E"/>
    <w:rsid w:val="00312F89"/>
    <w:rsid w:val="0031344B"/>
    <w:rsid w:val="00313C67"/>
    <w:rsid w:val="00313E60"/>
    <w:rsid w:val="00314560"/>
    <w:rsid w:val="00314984"/>
    <w:rsid w:val="00314AAE"/>
    <w:rsid w:val="00314E3F"/>
    <w:rsid w:val="0031554A"/>
    <w:rsid w:val="00315698"/>
    <w:rsid w:val="00315D79"/>
    <w:rsid w:val="00315E5B"/>
    <w:rsid w:val="00315FAC"/>
    <w:rsid w:val="00316065"/>
    <w:rsid w:val="0031617A"/>
    <w:rsid w:val="003167D9"/>
    <w:rsid w:val="003168C5"/>
    <w:rsid w:val="00316C68"/>
    <w:rsid w:val="00316C81"/>
    <w:rsid w:val="0031746C"/>
    <w:rsid w:val="00317B1F"/>
    <w:rsid w:val="00317EBE"/>
    <w:rsid w:val="0032001C"/>
    <w:rsid w:val="00320640"/>
    <w:rsid w:val="00320793"/>
    <w:rsid w:val="00320936"/>
    <w:rsid w:val="003210F5"/>
    <w:rsid w:val="003211E7"/>
    <w:rsid w:val="003212E7"/>
    <w:rsid w:val="00321555"/>
    <w:rsid w:val="00321792"/>
    <w:rsid w:val="00321BBA"/>
    <w:rsid w:val="00321BDD"/>
    <w:rsid w:val="00321C16"/>
    <w:rsid w:val="00321CE9"/>
    <w:rsid w:val="0032208E"/>
    <w:rsid w:val="00322990"/>
    <w:rsid w:val="00323040"/>
    <w:rsid w:val="0032304A"/>
    <w:rsid w:val="003230F6"/>
    <w:rsid w:val="003231DF"/>
    <w:rsid w:val="0032330E"/>
    <w:rsid w:val="0032358E"/>
    <w:rsid w:val="00324724"/>
    <w:rsid w:val="00324865"/>
    <w:rsid w:val="00324CC5"/>
    <w:rsid w:val="00324E00"/>
    <w:rsid w:val="0032549A"/>
    <w:rsid w:val="00325675"/>
    <w:rsid w:val="00325711"/>
    <w:rsid w:val="00325C50"/>
    <w:rsid w:val="00325DDD"/>
    <w:rsid w:val="00325DED"/>
    <w:rsid w:val="00325E00"/>
    <w:rsid w:val="00326016"/>
    <w:rsid w:val="00326190"/>
    <w:rsid w:val="003262F6"/>
    <w:rsid w:val="003267DF"/>
    <w:rsid w:val="00326AFA"/>
    <w:rsid w:val="00326B87"/>
    <w:rsid w:val="00326FEE"/>
    <w:rsid w:val="003278E2"/>
    <w:rsid w:val="00327EC8"/>
    <w:rsid w:val="00330768"/>
    <w:rsid w:val="003307CE"/>
    <w:rsid w:val="00330C5A"/>
    <w:rsid w:val="00330CF8"/>
    <w:rsid w:val="00330DC5"/>
    <w:rsid w:val="00330E9A"/>
    <w:rsid w:val="00331055"/>
    <w:rsid w:val="003312CB"/>
    <w:rsid w:val="003313A6"/>
    <w:rsid w:val="00331B8D"/>
    <w:rsid w:val="00331B95"/>
    <w:rsid w:val="00331E39"/>
    <w:rsid w:val="00331EBB"/>
    <w:rsid w:val="00332777"/>
    <w:rsid w:val="003327B3"/>
    <w:rsid w:val="0033296A"/>
    <w:rsid w:val="00332F17"/>
    <w:rsid w:val="00332FA7"/>
    <w:rsid w:val="003333A8"/>
    <w:rsid w:val="003336B3"/>
    <w:rsid w:val="00333773"/>
    <w:rsid w:val="00333B15"/>
    <w:rsid w:val="00333E6E"/>
    <w:rsid w:val="00333F1B"/>
    <w:rsid w:val="003340F5"/>
    <w:rsid w:val="003342B4"/>
    <w:rsid w:val="00334AD9"/>
    <w:rsid w:val="00335439"/>
    <w:rsid w:val="003355F9"/>
    <w:rsid w:val="003357A6"/>
    <w:rsid w:val="00335B7A"/>
    <w:rsid w:val="0033609C"/>
    <w:rsid w:val="003360CA"/>
    <w:rsid w:val="00336615"/>
    <w:rsid w:val="00336E7A"/>
    <w:rsid w:val="003375E5"/>
    <w:rsid w:val="00337617"/>
    <w:rsid w:val="00340633"/>
    <w:rsid w:val="00340A09"/>
    <w:rsid w:val="00341344"/>
    <w:rsid w:val="00341362"/>
    <w:rsid w:val="00341782"/>
    <w:rsid w:val="00341999"/>
    <w:rsid w:val="00341CC4"/>
    <w:rsid w:val="00341EB2"/>
    <w:rsid w:val="0034254F"/>
    <w:rsid w:val="003425BD"/>
    <w:rsid w:val="00342A4A"/>
    <w:rsid w:val="00342A55"/>
    <w:rsid w:val="003430AD"/>
    <w:rsid w:val="0034326B"/>
    <w:rsid w:val="003433C9"/>
    <w:rsid w:val="003446AF"/>
    <w:rsid w:val="00344813"/>
    <w:rsid w:val="003466CA"/>
    <w:rsid w:val="00346B34"/>
    <w:rsid w:val="00346F4E"/>
    <w:rsid w:val="00346F73"/>
    <w:rsid w:val="00347718"/>
    <w:rsid w:val="00347F13"/>
    <w:rsid w:val="00347F3A"/>
    <w:rsid w:val="0035008F"/>
    <w:rsid w:val="003503E7"/>
    <w:rsid w:val="003504A6"/>
    <w:rsid w:val="003504A8"/>
    <w:rsid w:val="00350726"/>
    <w:rsid w:val="003507F2"/>
    <w:rsid w:val="003509B0"/>
    <w:rsid w:val="00350D78"/>
    <w:rsid w:val="003510B5"/>
    <w:rsid w:val="003516BD"/>
    <w:rsid w:val="0035198D"/>
    <w:rsid w:val="00351B80"/>
    <w:rsid w:val="00351CC9"/>
    <w:rsid w:val="00351CDE"/>
    <w:rsid w:val="00351D04"/>
    <w:rsid w:val="00351F0E"/>
    <w:rsid w:val="003523F1"/>
    <w:rsid w:val="00352853"/>
    <w:rsid w:val="0035297C"/>
    <w:rsid w:val="00352B4D"/>
    <w:rsid w:val="00352BA4"/>
    <w:rsid w:val="00352FC3"/>
    <w:rsid w:val="00354567"/>
    <w:rsid w:val="00354DFD"/>
    <w:rsid w:val="003551F1"/>
    <w:rsid w:val="003553A9"/>
    <w:rsid w:val="003557BB"/>
    <w:rsid w:val="00355BC0"/>
    <w:rsid w:val="00355C93"/>
    <w:rsid w:val="003560FD"/>
    <w:rsid w:val="003562A8"/>
    <w:rsid w:val="003569C9"/>
    <w:rsid w:val="003575DB"/>
    <w:rsid w:val="00357DF7"/>
    <w:rsid w:val="00357E01"/>
    <w:rsid w:val="00357E94"/>
    <w:rsid w:val="0036098D"/>
    <w:rsid w:val="00361550"/>
    <w:rsid w:val="00361990"/>
    <w:rsid w:val="00361A10"/>
    <w:rsid w:val="003628F1"/>
    <w:rsid w:val="00362B2F"/>
    <w:rsid w:val="00362B6E"/>
    <w:rsid w:val="00362B8D"/>
    <w:rsid w:val="00362CBE"/>
    <w:rsid w:val="00362DE2"/>
    <w:rsid w:val="00363E0D"/>
    <w:rsid w:val="0036429A"/>
    <w:rsid w:val="00364338"/>
    <w:rsid w:val="003645C0"/>
    <w:rsid w:val="00364730"/>
    <w:rsid w:val="00364A6D"/>
    <w:rsid w:val="00365786"/>
    <w:rsid w:val="00365995"/>
    <w:rsid w:val="003659B7"/>
    <w:rsid w:val="00365DA8"/>
    <w:rsid w:val="00365FF2"/>
    <w:rsid w:val="00366148"/>
    <w:rsid w:val="003662DC"/>
    <w:rsid w:val="0036644D"/>
    <w:rsid w:val="003665E7"/>
    <w:rsid w:val="00366C08"/>
    <w:rsid w:val="00366D77"/>
    <w:rsid w:val="00366F7C"/>
    <w:rsid w:val="00367480"/>
    <w:rsid w:val="00367B7A"/>
    <w:rsid w:val="00367E6F"/>
    <w:rsid w:val="003702CA"/>
    <w:rsid w:val="00370720"/>
    <w:rsid w:val="003709AD"/>
    <w:rsid w:val="00370BD2"/>
    <w:rsid w:val="00370ED7"/>
    <w:rsid w:val="003711A6"/>
    <w:rsid w:val="00371476"/>
    <w:rsid w:val="0037162D"/>
    <w:rsid w:val="0037197D"/>
    <w:rsid w:val="00372A99"/>
    <w:rsid w:val="003732B2"/>
    <w:rsid w:val="00373913"/>
    <w:rsid w:val="00373F0A"/>
    <w:rsid w:val="0037443E"/>
    <w:rsid w:val="00374470"/>
    <w:rsid w:val="00374DC9"/>
    <w:rsid w:val="003758EF"/>
    <w:rsid w:val="00375FC5"/>
    <w:rsid w:val="00376946"/>
    <w:rsid w:val="00376A31"/>
    <w:rsid w:val="00376C9E"/>
    <w:rsid w:val="0037702B"/>
    <w:rsid w:val="0037731C"/>
    <w:rsid w:val="003774A8"/>
    <w:rsid w:val="0037756D"/>
    <w:rsid w:val="00377A2A"/>
    <w:rsid w:val="00377AC3"/>
    <w:rsid w:val="00377BF2"/>
    <w:rsid w:val="00377E26"/>
    <w:rsid w:val="00377E39"/>
    <w:rsid w:val="00380F8D"/>
    <w:rsid w:val="003810B0"/>
    <w:rsid w:val="0038143D"/>
    <w:rsid w:val="00381540"/>
    <w:rsid w:val="0038168C"/>
    <w:rsid w:val="00381841"/>
    <w:rsid w:val="00381995"/>
    <w:rsid w:val="003819BD"/>
    <w:rsid w:val="003820FA"/>
    <w:rsid w:val="003827EB"/>
    <w:rsid w:val="00382B8C"/>
    <w:rsid w:val="00382DF0"/>
    <w:rsid w:val="00382E07"/>
    <w:rsid w:val="00382F07"/>
    <w:rsid w:val="00383EC8"/>
    <w:rsid w:val="00384CE5"/>
    <w:rsid w:val="00384D1B"/>
    <w:rsid w:val="00384D44"/>
    <w:rsid w:val="00385233"/>
    <w:rsid w:val="00385383"/>
    <w:rsid w:val="00385596"/>
    <w:rsid w:val="003856AA"/>
    <w:rsid w:val="00385B09"/>
    <w:rsid w:val="00385EBA"/>
    <w:rsid w:val="003861A0"/>
    <w:rsid w:val="00386629"/>
    <w:rsid w:val="00386CA8"/>
    <w:rsid w:val="00386D25"/>
    <w:rsid w:val="0039007B"/>
    <w:rsid w:val="003900FE"/>
    <w:rsid w:val="00390723"/>
    <w:rsid w:val="003908AE"/>
    <w:rsid w:val="00390F56"/>
    <w:rsid w:val="00392314"/>
    <w:rsid w:val="003923E6"/>
    <w:rsid w:val="00392A9E"/>
    <w:rsid w:val="00392D1F"/>
    <w:rsid w:val="00392E5B"/>
    <w:rsid w:val="00392E91"/>
    <w:rsid w:val="00393B44"/>
    <w:rsid w:val="00393E8F"/>
    <w:rsid w:val="003943A4"/>
    <w:rsid w:val="00394B40"/>
    <w:rsid w:val="00394FF8"/>
    <w:rsid w:val="00395039"/>
    <w:rsid w:val="00395341"/>
    <w:rsid w:val="00395522"/>
    <w:rsid w:val="0039694B"/>
    <w:rsid w:val="00396B72"/>
    <w:rsid w:val="00396C55"/>
    <w:rsid w:val="00397BBE"/>
    <w:rsid w:val="00397C77"/>
    <w:rsid w:val="00397CB0"/>
    <w:rsid w:val="003A04CB"/>
    <w:rsid w:val="003A0A82"/>
    <w:rsid w:val="003A1158"/>
    <w:rsid w:val="003A1244"/>
    <w:rsid w:val="003A19D3"/>
    <w:rsid w:val="003A1ACB"/>
    <w:rsid w:val="003A1ECF"/>
    <w:rsid w:val="003A2440"/>
    <w:rsid w:val="003A282D"/>
    <w:rsid w:val="003A3216"/>
    <w:rsid w:val="003A3B1D"/>
    <w:rsid w:val="003A3B4F"/>
    <w:rsid w:val="003A3B9E"/>
    <w:rsid w:val="003A4199"/>
    <w:rsid w:val="003A4871"/>
    <w:rsid w:val="003A495E"/>
    <w:rsid w:val="003A55A9"/>
    <w:rsid w:val="003A578A"/>
    <w:rsid w:val="003A57D5"/>
    <w:rsid w:val="003A5FCA"/>
    <w:rsid w:val="003A67EE"/>
    <w:rsid w:val="003A685D"/>
    <w:rsid w:val="003A6A6D"/>
    <w:rsid w:val="003A6C8B"/>
    <w:rsid w:val="003A7071"/>
    <w:rsid w:val="003A73FE"/>
    <w:rsid w:val="003A7618"/>
    <w:rsid w:val="003A7974"/>
    <w:rsid w:val="003A7AA2"/>
    <w:rsid w:val="003B0599"/>
    <w:rsid w:val="003B063F"/>
    <w:rsid w:val="003B0B3F"/>
    <w:rsid w:val="003B0D15"/>
    <w:rsid w:val="003B0FF3"/>
    <w:rsid w:val="003B107A"/>
    <w:rsid w:val="003B1A59"/>
    <w:rsid w:val="003B25E0"/>
    <w:rsid w:val="003B2D18"/>
    <w:rsid w:val="003B3BA0"/>
    <w:rsid w:val="003B43F8"/>
    <w:rsid w:val="003B45DC"/>
    <w:rsid w:val="003B47AC"/>
    <w:rsid w:val="003B4B8B"/>
    <w:rsid w:val="003B5107"/>
    <w:rsid w:val="003B54D8"/>
    <w:rsid w:val="003B56EC"/>
    <w:rsid w:val="003B5E15"/>
    <w:rsid w:val="003B5F19"/>
    <w:rsid w:val="003B605E"/>
    <w:rsid w:val="003B6074"/>
    <w:rsid w:val="003B658D"/>
    <w:rsid w:val="003B6CBB"/>
    <w:rsid w:val="003B6FD9"/>
    <w:rsid w:val="003B70D7"/>
    <w:rsid w:val="003B71C1"/>
    <w:rsid w:val="003B762F"/>
    <w:rsid w:val="003B7BD4"/>
    <w:rsid w:val="003B7DE4"/>
    <w:rsid w:val="003B7DF6"/>
    <w:rsid w:val="003B7F86"/>
    <w:rsid w:val="003B7F90"/>
    <w:rsid w:val="003C066F"/>
    <w:rsid w:val="003C06E4"/>
    <w:rsid w:val="003C0884"/>
    <w:rsid w:val="003C0921"/>
    <w:rsid w:val="003C0A8F"/>
    <w:rsid w:val="003C0B7B"/>
    <w:rsid w:val="003C0BDC"/>
    <w:rsid w:val="003C12CF"/>
    <w:rsid w:val="003C1658"/>
    <w:rsid w:val="003C1770"/>
    <w:rsid w:val="003C180D"/>
    <w:rsid w:val="003C1B19"/>
    <w:rsid w:val="003C1E99"/>
    <w:rsid w:val="003C2569"/>
    <w:rsid w:val="003C32D5"/>
    <w:rsid w:val="003C3374"/>
    <w:rsid w:val="003C3903"/>
    <w:rsid w:val="003C3B39"/>
    <w:rsid w:val="003C3BAE"/>
    <w:rsid w:val="003C493C"/>
    <w:rsid w:val="003C4D3E"/>
    <w:rsid w:val="003C5C46"/>
    <w:rsid w:val="003C6120"/>
    <w:rsid w:val="003C66A0"/>
    <w:rsid w:val="003C6937"/>
    <w:rsid w:val="003C6BF9"/>
    <w:rsid w:val="003C6D1A"/>
    <w:rsid w:val="003C73C7"/>
    <w:rsid w:val="003C7914"/>
    <w:rsid w:val="003D0179"/>
    <w:rsid w:val="003D0A3D"/>
    <w:rsid w:val="003D0D52"/>
    <w:rsid w:val="003D1370"/>
    <w:rsid w:val="003D1A99"/>
    <w:rsid w:val="003D1AAF"/>
    <w:rsid w:val="003D1E71"/>
    <w:rsid w:val="003D2E83"/>
    <w:rsid w:val="003D2F44"/>
    <w:rsid w:val="003D30F1"/>
    <w:rsid w:val="003D3D3E"/>
    <w:rsid w:val="003D3F60"/>
    <w:rsid w:val="003D423D"/>
    <w:rsid w:val="003D438C"/>
    <w:rsid w:val="003D4393"/>
    <w:rsid w:val="003D4555"/>
    <w:rsid w:val="003D567D"/>
    <w:rsid w:val="003D58E7"/>
    <w:rsid w:val="003D5A0A"/>
    <w:rsid w:val="003D5C2B"/>
    <w:rsid w:val="003D5C3B"/>
    <w:rsid w:val="003D5C75"/>
    <w:rsid w:val="003D5C9B"/>
    <w:rsid w:val="003D5DF9"/>
    <w:rsid w:val="003D6215"/>
    <w:rsid w:val="003D6492"/>
    <w:rsid w:val="003D6526"/>
    <w:rsid w:val="003D677C"/>
    <w:rsid w:val="003D70A3"/>
    <w:rsid w:val="003D7467"/>
    <w:rsid w:val="003D7739"/>
    <w:rsid w:val="003D7B6A"/>
    <w:rsid w:val="003E03B3"/>
    <w:rsid w:val="003E09C2"/>
    <w:rsid w:val="003E0CF6"/>
    <w:rsid w:val="003E0E26"/>
    <w:rsid w:val="003E1949"/>
    <w:rsid w:val="003E29B4"/>
    <w:rsid w:val="003E2FDC"/>
    <w:rsid w:val="003E309B"/>
    <w:rsid w:val="003E323B"/>
    <w:rsid w:val="003E32CF"/>
    <w:rsid w:val="003E3524"/>
    <w:rsid w:val="003E3667"/>
    <w:rsid w:val="003E4027"/>
    <w:rsid w:val="003E405C"/>
    <w:rsid w:val="003E4758"/>
    <w:rsid w:val="003E50BF"/>
    <w:rsid w:val="003E5182"/>
    <w:rsid w:val="003E53E4"/>
    <w:rsid w:val="003E566F"/>
    <w:rsid w:val="003E58B9"/>
    <w:rsid w:val="003E5B8E"/>
    <w:rsid w:val="003E5C3B"/>
    <w:rsid w:val="003E5CFA"/>
    <w:rsid w:val="003E5DD7"/>
    <w:rsid w:val="003E6377"/>
    <w:rsid w:val="003E6493"/>
    <w:rsid w:val="003E6540"/>
    <w:rsid w:val="003E65D5"/>
    <w:rsid w:val="003E6827"/>
    <w:rsid w:val="003E6938"/>
    <w:rsid w:val="003E6B47"/>
    <w:rsid w:val="003E6BAB"/>
    <w:rsid w:val="003E6E98"/>
    <w:rsid w:val="003E6FAC"/>
    <w:rsid w:val="003E7124"/>
    <w:rsid w:val="003E7493"/>
    <w:rsid w:val="003E77CD"/>
    <w:rsid w:val="003E77F4"/>
    <w:rsid w:val="003E7930"/>
    <w:rsid w:val="003E7E4D"/>
    <w:rsid w:val="003F03D8"/>
    <w:rsid w:val="003F07F2"/>
    <w:rsid w:val="003F1685"/>
    <w:rsid w:val="003F1828"/>
    <w:rsid w:val="003F20BB"/>
    <w:rsid w:val="003F252E"/>
    <w:rsid w:val="003F27D6"/>
    <w:rsid w:val="003F2B43"/>
    <w:rsid w:val="003F318B"/>
    <w:rsid w:val="003F3636"/>
    <w:rsid w:val="003F3815"/>
    <w:rsid w:val="003F3A07"/>
    <w:rsid w:val="003F3C0A"/>
    <w:rsid w:val="003F3D21"/>
    <w:rsid w:val="003F4B75"/>
    <w:rsid w:val="003F4FEA"/>
    <w:rsid w:val="003F50C1"/>
    <w:rsid w:val="003F525B"/>
    <w:rsid w:val="003F5C00"/>
    <w:rsid w:val="003F6222"/>
    <w:rsid w:val="003F62BB"/>
    <w:rsid w:val="003F688A"/>
    <w:rsid w:val="003F6AC2"/>
    <w:rsid w:val="003F6FA7"/>
    <w:rsid w:val="003F757F"/>
    <w:rsid w:val="003F76BB"/>
    <w:rsid w:val="003F79DF"/>
    <w:rsid w:val="00400037"/>
    <w:rsid w:val="00400217"/>
    <w:rsid w:val="004002B5"/>
    <w:rsid w:val="004003A3"/>
    <w:rsid w:val="00400714"/>
    <w:rsid w:val="004008EE"/>
    <w:rsid w:val="00400A29"/>
    <w:rsid w:val="00400AA9"/>
    <w:rsid w:val="00400F33"/>
    <w:rsid w:val="0040128C"/>
    <w:rsid w:val="00401491"/>
    <w:rsid w:val="00401F7C"/>
    <w:rsid w:val="00402199"/>
    <w:rsid w:val="0040260E"/>
    <w:rsid w:val="004030FF"/>
    <w:rsid w:val="0040354E"/>
    <w:rsid w:val="0040358F"/>
    <w:rsid w:val="00403774"/>
    <w:rsid w:val="0040377E"/>
    <w:rsid w:val="00403C26"/>
    <w:rsid w:val="00403CB1"/>
    <w:rsid w:val="00404200"/>
    <w:rsid w:val="0040427B"/>
    <w:rsid w:val="004045F7"/>
    <w:rsid w:val="00404636"/>
    <w:rsid w:val="004047EA"/>
    <w:rsid w:val="00404856"/>
    <w:rsid w:val="00404A61"/>
    <w:rsid w:val="00404B3F"/>
    <w:rsid w:val="00404F9B"/>
    <w:rsid w:val="0040569A"/>
    <w:rsid w:val="004056A9"/>
    <w:rsid w:val="004056D0"/>
    <w:rsid w:val="00405866"/>
    <w:rsid w:val="00405BE3"/>
    <w:rsid w:val="00406229"/>
    <w:rsid w:val="0040653E"/>
    <w:rsid w:val="004068CE"/>
    <w:rsid w:val="00406C53"/>
    <w:rsid w:val="00406E1A"/>
    <w:rsid w:val="00407042"/>
    <w:rsid w:val="00407186"/>
    <w:rsid w:val="004071BA"/>
    <w:rsid w:val="0040766D"/>
    <w:rsid w:val="0040775C"/>
    <w:rsid w:val="00407788"/>
    <w:rsid w:val="004078D0"/>
    <w:rsid w:val="004106CB"/>
    <w:rsid w:val="0041186B"/>
    <w:rsid w:val="004118FA"/>
    <w:rsid w:val="00412158"/>
    <w:rsid w:val="004122DD"/>
    <w:rsid w:val="004124E8"/>
    <w:rsid w:val="00412851"/>
    <w:rsid w:val="00412A3D"/>
    <w:rsid w:val="00412EC4"/>
    <w:rsid w:val="0041339E"/>
    <w:rsid w:val="004133E4"/>
    <w:rsid w:val="004133FA"/>
    <w:rsid w:val="00413503"/>
    <w:rsid w:val="00413C83"/>
    <w:rsid w:val="004145C0"/>
    <w:rsid w:val="00414662"/>
    <w:rsid w:val="004146B3"/>
    <w:rsid w:val="004146E9"/>
    <w:rsid w:val="00414973"/>
    <w:rsid w:val="00414BAA"/>
    <w:rsid w:val="00415210"/>
    <w:rsid w:val="00415220"/>
    <w:rsid w:val="004155DB"/>
    <w:rsid w:val="00415A3D"/>
    <w:rsid w:val="00415A87"/>
    <w:rsid w:val="00415C0E"/>
    <w:rsid w:val="00415E1E"/>
    <w:rsid w:val="00416300"/>
    <w:rsid w:val="004163A8"/>
    <w:rsid w:val="004167C8"/>
    <w:rsid w:val="004167FD"/>
    <w:rsid w:val="004168ED"/>
    <w:rsid w:val="00416A5D"/>
    <w:rsid w:val="00416E15"/>
    <w:rsid w:val="0041705E"/>
    <w:rsid w:val="004175B5"/>
    <w:rsid w:val="004176E2"/>
    <w:rsid w:val="0041774F"/>
    <w:rsid w:val="00417796"/>
    <w:rsid w:val="00417C46"/>
    <w:rsid w:val="004203FA"/>
    <w:rsid w:val="00420660"/>
    <w:rsid w:val="00420C0B"/>
    <w:rsid w:val="00421544"/>
    <w:rsid w:val="00421A0C"/>
    <w:rsid w:val="00422702"/>
    <w:rsid w:val="00422863"/>
    <w:rsid w:val="004231BA"/>
    <w:rsid w:val="004232BF"/>
    <w:rsid w:val="0042331A"/>
    <w:rsid w:val="004233A9"/>
    <w:rsid w:val="0042357C"/>
    <w:rsid w:val="00423965"/>
    <w:rsid w:val="00423A0B"/>
    <w:rsid w:val="00423D9F"/>
    <w:rsid w:val="00423E28"/>
    <w:rsid w:val="0042409D"/>
    <w:rsid w:val="004243E2"/>
    <w:rsid w:val="004246A3"/>
    <w:rsid w:val="00424BC1"/>
    <w:rsid w:val="00424DA6"/>
    <w:rsid w:val="00425306"/>
    <w:rsid w:val="00425541"/>
    <w:rsid w:val="0042592E"/>
    <w:rsid w:val="00425B1D"/>
    <w:rsid w:val="00425BC0"/>
    <w:rsid w:val="00425D6A"/>
    <w:rsid w:val="00425FFE"/>
    <w:rsid w:val="00426258"/>
    <w:rsid w:val="004262E9"/>
    <w:rsid w:val="00426694"/>
    <w:rsid w:val="004266D0"/>
    <w:rsid w:val="004266DC"/>
    <w:rsid w:val="00426F13"/>
    <w:rsid w:val="00427844"/>
    <w:rsid w:val="00427BD8"/>
    <w:rsid w:val="00427C9F"/>
    <w:rsid w:val="00430030"/>
    <w:rsid w:val="00430273"/>
    <w:rsid w:val="0043037F"/>
    <w:rsid w:val="00430422"/>
    <w:rsid w:val="0043054F"/>
    <w:rsid w:val="00430F04"/>
    <w:rsid w:val="0043111A"/>
    <w:rsid w:val="00431BD2"/>
    <w:rsid w:val="0043229A"/>
    <w:rsid w:val="00432649"/>
    <w:rsid w:val="0043265B"/>
    <w:rsid w:val="004329C6"/>
    <w:rsid w:val="00432C30"/>
    <w:rsid w:val="004330A6"/>
    <w:rsid w:val="00433418"/>
    <w:rsid w:val="00433527"/>
    <w:rsid w:val="00433923"/>
    <w:rsid w:val="00433B3F"/>
    <w:rsid w:val="00433F8D"/>
    <w:rsid w:val="0043482E"/>
    <w:rsid w:val="00434D92"/>
    <w:rsid w:val="00434FA2"/>
    <w:rsid w:val="00435529"/>
    <w:rsid w:val="0043572B"/>
    <w:rsid w:val="00435B14"/>
    <w:rsid w:val="00435B37"/>
    <w:rsid w:val="00435E90"/>
    <w:rsid w:val="004361F1"/>
    <w:rsid w:val="0043620C"/>
    <w:rsid w:val="004363B0"/>
    <w:rsid w:val="004363BF"/>
    <w:rsid w:val="004367B7"/>
    <w:rsid w:val="004369E7"/>
    <w:rsid w:val="004378CA"/>
    <w:rsid w:val="00437C2D"/>
    <w:rsid w:val="00437F1B"/>
    <w:rsid w:val="004410E3"/>
    <w:rsid w:val="0044179F"/>
    <w:rsid w:val="00441ABA"/>
    <w:rsid w:val="00441BE3"/>
    <w:rsid w:val="00441E19"/>
    <w:rsid w:val="00442157"/>
    <w:rsid w:val="0044240B"/>
    <w:rsid w:val="004430D9"/>
    <w:rsid w:val="004436DC"/>
    <w:rsid w:val="00443CD1"/>
    <w:rsid w:val="0044408C"/>
    <w:rsid w:val="0044446E"/>
    <w:rsid w:val="00445063"/>
    <w:rsid w:val="00445A31"/>
    <w:rsid w:val="00445DA3"/>
    <w:rsid w:val="004461B1"/>
    <w:rsid w:val="00446547"/>
    <w:rsid w:val="0044679F"/>
    <w:rsid w:val="00447218"/>
    <w:rsid w:val="00447608"/>
    <w:rsid w:val="00450292"/>
    <w:rsid w:val="00450A2E"/>
    <w:rsid w:val="00450AC0"/>
    <w:rsid w:val="00451254"/>
    <w:rsid w:val="00451D1C"/>
    <w:rsid w:val="00451D7B"/>
    <w:rsid w:val="00451DC0"/>
    <w:rsid w:val="004520B2"/>
    <w:rsid w:val="00452957"/>
    <w:rsid w:val="00452C55"/>
    <w:rsid w:val="00452CD2"/>
    <w:rsid w:val="00452D64"/>
    <w:rsid w:val="004532DA"/>
    <w:rsid w:val="0045354A"/>
    <w:rsid w:val="004538A1"/>
    <w:rsid w:val="00453F9B"/>
    <w:rsid w:val="00454359"/>
    <w:rsid w:val="00454699"/>
    <w:rsid w:val="00454BFA"/>
    <w:rsid w:val="00454EB0"/>
    <w:rsid w:val="0045505A"/>
    <w:rsid w:val="00455109"/>
    <w:rsid w:val="004551DC"/>
    <w:rsid w:val="004553AA"/>
    <w:rsid w:val="004559F2"/>
    <w:rsid w:val="00455B95"/>
    <w:rsid w:val="00455F42"/>
    <w:rsid w:val="00456491"/>
    <w:rsid w:val="00456B5A"/>
    <w:rsid w:val="0045721A"/>
    <w:rsid w:val="004576C4"/>
    <w:rsid w:val="00457CE8"/>
    <w:rsid w:val="00457D7C"/>
    <w:rsid w:val="004600A8"/>
    <w:rsid w:val="00460211"/>
    <w:rsid w:val="004603BD"/>
    <w:rsid w:val="004605E1"/>
    <w:rsid w:val="00460B0D"/>
    <w:rsid w:val="004613D6"/>
    <w:rsid w:val="004618BD"/>
    <w:rsid w:val="00461DA3"/>
    <w:rsid w:val="004620E9"/>
    <w:rsid w:val="004621E4"/>
    <w:rsid w:val="00462308"/>
    <w:rsid w:val="004623C3"/>
    <w:rsid w:val="00462C9F"/>
    <w:rsid w:val="0046379D"/>
    <w:rsid w:val="00464072"/>
    <w:rsid w:val="004643AB"/>
    <w:rsid w:val="0046495F"/>
    <w:rsid w:val="00464DAB"/>
    <w:rsid w:val="00465336"/>
    <w:rsid w:val="004655DA"/>
    <w:rsid w:val="00465733"/>
    <w:rsid w:val="00465BDF"/>
    <w:rsid w:val="004660E9"/>
    <w:rsid w:val="004665B6"/>
    <w:rsid w:val="0046663B"/>
    <w:rsid w:val="004666D8"/>
    <w:rsid w:val="00467065"/>
    <w:rsid w:val="00467329"/>
    <w:rsid w:val="0046746E"/>
    <w:rsid w:val="004674DE"/>
    <w:rsid w:val="00470A62"/>
    <w:rsid w:val="00470C97"/>
    <w:rsid w:val="0047145B"/>
    <w:rsid w:val="004719FA"/>
    <w:rsid w:val="00471FEA"/>
    <w:rsid w:val="00472051"/>
    <w:rsid w:val="0047257B"/>
    <w:rsid w:val="00472615"/>
    <w:rsid w:val="00472C00"/>
    <w:rsid w:val="00472EEB"/>
    <w:rsid w:val="00472F5E"/>
    <w:rsid w:val="0047311E"/>
    <w:rsid w:val="0047354F"/>
    <w:rsid w:val="004748C6"/>
    <w:rsid w:val="004748F8"/>
    <w:rsid w:val="00475142"/>
    <w:rsid w:val="00475F1E"/>
    <w:rsid w:val="0047600E"/>
    <w:rsid w:val="004766DD"/>
    <w:rsid w:val="0047671F"/>
    <w:rsid w:val="00476854"/>
    <w:rsid w:val="00476E90"/>
    <w:rsid w:val="00476EDF"/>
    <w:rsid w:val="00476EFF"/>
    <w:rsid w:val="00476F94"/>
    <w:rsid w:val="00477235"/>
    <w:rsid w:val="00477774"/>
    <w:rsid w:val="00477A0D"/>
    <w:rsid w:val="004800C7"/>
    <w:rsid w:val="004806E2"/>
    <w:rsid w:val="0048099C"/>
    <w:rsid w:val="004815E8"/>
    <w:rsid w:val="00481FBD"/>
    <w:rsid w:val="004820D9"/>
    <w:rsid w:val="00482BF4"/>
    <w:rsid w:val="00482F74"/>
    <w:rsid w:val="004835B8"/>
    <w:rsid w:val="00483AF2"/>
    <w:rsid w:val="0048421A"/>
    <w:rsid w:val="0048428D"/>
    <w:rsid w:val="00484B7F"/>
    <w:rsid w:val="00485580"/>
    <w:rsid w:val="00485C5C"/>
    <w:rsid w:val="00486497"/>
    <w:rsid w:val="004869D8"/>
    <w:rsid w:val="00486A78"/>
    <w:rsid w:val="004872A3"/>
    <w:rsid w:val="00487829"/>
    <w:rsid w:val="00487B9F"/>
    <w:rsid w:val="004903E2"/>
    <w:rsid w:val="004906B7"/>
    <w:rsid w:val="0049187F"/>
    <w:rsid w:val="00491B63"/>
    <w:rsid w:val="00491D44"/>
    <w:rsid w:val="00492401"/>
    <w:rsid w:val="00492449"/>
    <w:rsid w:val="0049246C"/>
    <w:rsid w:val="00492D8E"/>
    <w:rsid w:val="004930AB"/>
    <w:rsid w:val="004941DD"/>
    <w:rsid w:val="004946B5"/>
    <w:rsid w:val="004947CC"/>
    <w:rsid w:val="00494EF0"/>
    <w:rsid w:val="004963EF"/>
    <w:rsid w:val="0049670C"/>
    <w:rsid w:val="004974AE"/>
    <w:rsid w:val="00497611"/>
    <w:rsid w:val="00497E70"/>
    <w:rsid w:val="004A07B0"/>
    <w:rsid w:val="004A0BA2"/>
    <w:rsid w:val="004A0F26"/>
    <w:rsid w:val="004A0F76"/>
    <w:rsid w:val="004A1653"/>
    <w:rsid w:val="004A1849"/>
    <w:rsid w:val="004A1A37"/>
    <w:rsid w:val="004A1BEF"/>
    <w:rsid w:val="004A1F02"/>
    <w:rsid w:val="004A1F6B"/>
    <w:rsid w:val="004A1F8F"/>
    <w:rsid w:val="004A24FE"/>
    <w:rsid w:val="004A250B"/>
    <w:rsid w:val="004A31DE"/>
    <w:rsid w:val="004A3517"/>
    <w:rsid w:val="004A3549"/>
    <w:rsid w:val="004A39BC"/>
    <w:rsid w:val="004A3E72"/>
    <w:rsid w:val="004A4005"/>
    <w:rsid w:val="004A41FD"/>
    <w:rsid w:val="004A44BD"/>
    <w:rsid w:val="004A4B76"/>
    <w:rsid w:val="004A4CE7"/>
    <w:rsid w:val="004A4DA7"/>
    <w:rsid w:val="004A4E4C"/>
    <w:rsid w:val="004A51F3"/>
    <w:rsid w:val="004A52DB"/>
    <w:rsid w:val="004A5359"/>
    <w:rsid w:val="004A57F7"/>
    <w:rsid w:val="004A5B91"/>
    <w:rsid w:val="004A5C59"/>
    <w:rsid w:val="004A6332"/>
    <w:rsid w:val="004A67BA"/>
    <w:rsid w:val="004A6901"/>
    <w:rsid w:val="004A6A2F"/>
    <w:rsid w:val="004A6AB9"/>
    <w:rsid w:val="004A6D40"/>
    <w:rsid w:val="004A7193"/>
    <w:rsid w:val="004A755A"/>
    <w:rsid w:val="004B0036"/>
    <w:rsid w:val="004B02C5"/>
    <w:rsid w:val="004B0BE6"/>
    <w:rsid w:val="004B2169"/>
    <w:rsid w:val="004B25E3"/>
    <w:rsid w:val="004B280B"/>
    <w:rsid w:val="004B2862"/>
    <w:rsid w:val="004B2A4B"/>
    <w:rsid w:val="004B2EBC"/>
    <w:rsid w:val="004B307F"/>
    <w:rsid w:val="004B3088"/>
    <w:rsid w:val="004B38B6"/>
    <w:rsid w:val="004B3BAE"/>
    <w:rsid w:val="004B43CD"/>
    <w:rsid w:val="004B459E"/>
    <w:rsid w:val="004B48C3"/>
    <w:rsid w:val="004B4DC9"/>
    <w:rsid w:val="004B523F"/>
    <w:rsid w:val="004B52E2"/>
    <w:rsid w:val="004B5596"/>
    <w:rsid w:val="004B5960"/>
    <w:rsid w:val="004B5990"/>
    <w:rsid w:val="004B60F2"/>
    <w:rsid w:val="004B6447"/>
    <w:rsid w:val="004B68B4"/>
    <w:rsid w:val="004B6B1D"/>
    <w:rsid w:val="004B6B46"/>
    <w:rsid w:val="004B6EE9"/>
    <w:rsid w:val="004B6FB0"/>
    <w:rsid w:val="004B7500"/>
    <w:rsid w:val="004B78FD"/>
    <w:rsid w:val="004C0200"/>
    <w:rsid w:val="004C0AA1"/>
    <w:rsid w:val="004C10F9"/>
    <w:rsid w:val="004C1334"/>
    <w:rsid w:val="004C14BC"/>
    <w:rsid w:val="004C15EF"/>
    <w:rsid w:val="004C17CE"/>
    <w:rsid w:val="004C1820"/>
    <w:rsid w:val="004C18F7"/>
    <w:rsid w:val="004C1DB6"/>
    <w:rsid w:val="004C1E1F"/>
    <w:rsid w:val="004C1E25"/>
    <w:rsid w:val="004C229C"/>
    <w:rsid w:val="004C23FC"/>
    <w:rsid w:val="004C2789"/>
    <w:rsid w:val="004C2A07"/>
    <w:rsid w:val="004C30E9"/>
    <w:rsid w:val="004C31A4"/>
    <w:rsid w:val="004C3498"/>
    <w:rsid w:val="004C3735"/>
    <w:rsid w:val="004C3F22"/>
    <w:rsid w:val="004C47C8"/>
    <w:rsid w:val="004C5196"/>
    <w:rsid w:val="004C5227"/>
    <w:rsid w:val="004C52BC"/>
    <w:rsid w:val="004C52EE"/>
    <w:rsid w:val="004C55A6"/>
    <w:rsid w:val="004C56BF"/>
    <w:rsid w:val="004C5936"/>
    <w:rsid w:val="004C5C0B"/>
    <w:rsid w:val="004C5DF4"/>
    <w:rsid w:val="004C5DFE"/>
    <w:rsid w:val="004C60F2"/>
    <w:rsid w:val="004C6431"/>
    <w:rsid w:val="004C6643"/>
    <w:rsid w:val="004C6AC4"/>
    <w:rsid w:val="004C6CBD"/>
    <w:rsid w:val="004C6EF3"/>
    <w:rsid w:val="004D01B2"/>
    <w:rsid w:val="004D0305"/>
    <w:rsid w:val="004D0A39"/>
    <w:rsid w:val="004D147C"/>
    <w:rsid w:val="004D1514"/>
    <w:rsid w:val="004D1823"/>
    <w:rsid w:val="004D1849"/>
    <w:rsid w:val="004D226B"/>
    <w:rsid w:val="004D2909"/>
    <w:rsid w:val="004D2938"/>
    <w:rsid w:val="004D2D8B"/>
    <w:rsid w:val="004D3224"/>
    <w:rsid w:val="004D331B"/>
    <w:rsid w:val="004D3633"/>
    <w:rsid w:val="004D37E3"/>
    <w:rsid w:val="004D396A"/>
    <w:rsid w:val="004D4608"/>
    <w:rsid w:val="004D4696"/>
    <w:rsid w:val="004D4939"/>
    <w:rsid w:val="004D4A7A"/>
    <w:rsid w:val="004D50E9"/>
    <w:rsid w:val="004D515A"/>
    <w:rsid w:val="004D53F6"/>
    <w:rsid w:val="004D5717"/>
    <w:rsid w:val="004D601A"/>
    <w:rsid w:val="004D6108"/>
    <w:rsid w:val="004D68C3"/>
    <w:rsid w:val="004D7409"/>
    <w:rsid w:val="004D77EC"/>
    <w:rsid w:val="004E018C"/>
    <w:rsid w:val="004E0368"/>
    <w:rsid w:val="004E03BD"/>
    <w:rsid w:val="004E059F"/>
    <w:rsid w:val="004E0CF1"/>
    <w:rsid w:val="004E128E"/>
    <w:rsid w:val="004E1531"/>
    <w:rsid w:val="004E180E"/>
    <w:rsid w:val="004E199E"/>
    <w:rsid w:val="004E1BCF"/>
    <w:rsid w:val="004E23EC"/>
    <w:rsid w:val="004E284C"/>
    <w:rsid w:val="004E2B01"/>
    <w:rsid w:val="004E2C70"/>
    <w:rsid w:val="004E357E"/>
    <w:rsid w:val="004E412E"/>
    <w:rsid w:val="004E4220"/>
    <w:rsid w:val="004E445B"/>
    <w:rsid w:val="004E45D2"/>
    <w:rsid w:val="004E45D7"/>
    <w:rsid w:val="004E4BD3"/>
    <w:rsid w:val="004E52C4"/>
    <w:rsid w:val="004E56F4"/>
    <w:rsid w:val="004E5C58"/>
    <w:rsid w:val="004E5E2C"/>
    <w:rsid w:val="004E5F95"/>
    <w:rsid w:val="004E5FA9"/>
    <w:rsid w:val="004E6004"/>
    <w:rsid w:val="004E6542"/>
    <w:rsid w:val="004E6D1D"/>
    <w:rsid w:val="004E73C2"/>
    <w:rsid w:val="004E7725"/>
    <w:rsid w:val="004E79E9"/>
    <w:rsid w:val="004E79F6"/>
    <w:rsid w:val="004E7EFB"/>
    <w:rsid w:val="004F01FE"/>
    <w:rsid w:val="004F0661"/>
    <w:rsid w:val="004F0913"/>
    <w:rsid w:val="004F0B7C"/>
    <w:rsid w:val="004F0BC8"/>
    <w:rsid w:val="004F0C66"/>
    <w:rsid w:val="004F0F4D"/>
    <w:rsid w:val="004F136D"/>
    <w:rsid w:val="004F1492"/>
    <w:rsid w:val="004F14B7"/>
    <w:rsid w:val="004F166A"/>
    <w:rsid w:val="004F1BFE"/>
    <w:rsid w:val="004F1CD7"/>
    <w:rsid w:val="004F2501"/>
    <w:rsid w:val="004F28CA"/>
    <w:rsid w:val="004F2F0C"/>
    <w:rsid w:val="004F3721"/>
    <w:rsid w:val="004F388C"/>
    <w:rsid w:val="004F3AA8"/>
    <w:rsid w:val="004F43BE"/>
    <w:rsid w:val="004F576A"/>
    <w:rsid w:val="004F5CF5"/>
    <w:rsid w:val="004F5E4B"/>
    <w:rsid w:val="004F5EA1"/>
    <w:rsid w:val="004F67AF"/>
    <w:rsid w:val="004F6A64"/>
    <w:rsid w:val="004F7125"/>
    <w:rsid w:val="004F7B5C"/>
    <w:rsid w:val="0050019D"/>
    <w:rsid w:val="005007D4"/>
    <w:rsid w:val="00500B20"/>
    <w:rsid w:val="00500D00"/>
    <w:rsid w:val="00500D07"/>
    <w:rsid w:val="00501120"/>
    <w:rsid w:val="00501290"/>
    <w:rsid w:val="0050173B"/>
    <w:rsid w:val="00501D53"/>
    <w:rsid w:val="00501E1E"/>
    <w:rsid w:val="00502109"/>
    <w:rsid w:val="005026FB"/>
    <w:rsid w:val="00502A3B"/>
    <w:rsid w:val="00502DB5"/>
    <w:rsid w:val="00502DF9"/>
    <w:rsid w:val="005030AA"/>
    <w:rsid w:val="00503380"/>
    <w:rsid w:val="005037B5"/>
    <w:rsid w:val="0050394A"/>
    <w:rsid w:val="00503D1D"/>
    <w:rsid w:val="00504425"/>
    <w:rsid w:val="005045B0"/>
    <w:rsid w:val="00504A75"/>
    <w:rsid w:val="00504DF5"/>
    <w:rsid w:val="005056B5"/>
    <w:rsid w:val="00505708"/>
    <w:rsid w:val="005059B5"/>
    <w:rsid w:val="00505B92"/>
    <w:rsid w:val="00505CF1"/>
    <w:rsid w:val="00506173"/>
    <w:rsid w:val="00506460"/>
    <w:rsid w:val="0050661E"/>
    <w:rsid w:val="00507029"/>
    <w:rsid w:val="0050772C"/>
    <w:rsid w:val="00507D42"/>
    <w:rsid w:val="00510524"/>
    <w:rsid w:val="0051161D"/>
    <w:rsid w:val="00511F60"/>
    <w:rsid w:val="00512010"/>
    <w:rsid w:val="005122ED"/>
    <w:rsid w:val="00512A5F"/>
    <w:rsid w:val="00512B8C"/>
    <w:rsid w:val="005130C4"/>
    <w:rsid w:val="00513920"/>
    <w:rsid w:val="00513BE7"/>
    <w:rsid w:val="00513C95"/>
    <w:rsid w:val="00513FD3"/>
    <w:rsid w:val="00514050"/>
    <w:rsid w:val="00514ACB"/>
    <w:rsid w:val="00514C36"/>
    <w:rsid w:val="00514E70"/>
    <w:rsid w:val="00514F7A"/>
    <w:rsid w:val="00514FBC"/>
    <w:rsid w:val="005151B8"/>
    <w:rsid w:val="005152D3"/>
    <w:rsid w:val="005153C0"/>
    <w:rsid w:val="0051560F"/>
    <w:rsid w:val="00515BFB"/>
    <w:rsid w:val="00515F1E"/>
    <w:rsid w:val="005160F6"/>
    <w:rsid w:val="00516F20"/>
    <w:rsid w:val="0051703F"/>
    <w:rsid w:val="0051795D"/>
    <w:rsid w:val="005200EC"/>
    <w:rsid w:val="005203A0"/>
    <w:rsid w:val="00520580"/>
    <w:rsid w:val="00520AF5"/>
    <w:rsid w:val="00520B18"/>
    <w:rsid w:val="00520C0D"/>
    <w:rsid w:val="00520DA8"/>
    <w:rsid w:val="00520DDD"/>
    <w:rsid w:val="0052124F"/>
    <w:rsid w:val="00521355"/>
    <w:rsid w:val="00521370"/>
    <w:rsid w:val="0052151A"/>
    <w:rsid w:val="005219CE"/>
    <w:rsid w:val="00521DA1"/>
    <w:rsid w:val="00521E43"/>
    <w:rsid w:val="005224E5"/>
    <w:rsid w:val="0052257B"/>
    <w:rsid w:val="00522970"/>
    <w:rsid w:val="00522C0D"/>
    <w:rsid w:val="00523728"/>
    <w:rsid w:val="005238BC"/>
    <w:rsid w:val="005238D1"/>
    <w:rsid w:val="00523E58"/>
    <w:rsid w:val="00523E8B"/>
    <w:rsid w:val="005240D2"/>
    <w:rsid w:val="00524673"/>
    <w:rsid w:val="00524737"/>
    <w:rsid w:val="00524751"/>
    <w:rsid w:val="00525044"/>
    <w:rsid w:val="00525534"/>
    <w:rsid w:val="005256E0"/>
    <w:rsid w:val="00525AF6"/>
    <w:rsid w:val="00525B98"/>
    <w:rsid w:val="00525F05"/>
    <w:rsid w:val="0052680C"/>
    <w:rsid w:val="00526B4D"/>
    <w:rsid w:val="00527590"/>
    <w:rsid w:val="0052784B"/>
    <w:rsid w:val="005278CE"/>
    <w:rsid w:val="00527961"/>
    <w:rsid w:val="005307E4"/>
    <w:rsid w:val="00530A44"/>
    <w:rsid w:val="00530A73"/>
    <w:rsid w:val="00530ACD"/>
    <w:rsid w:val="00530C5E"/>
    <w:rsid w:val="00530CAA"/>
    <w:rsid w:val="00530DED"/>
    <w:rsid w:val="005310DE"/>
    <w:rsid w:val="00531A0C"/>
    <w:rsid w:val="00531ED9"/>
    <w:rsid w:val="00532274"/>
    <w:rsid w:val="00532738"/>
    <w:rsid w:val="0053281E"/>
    <w:rsid w:val="0053381B"/>
    <w:rsid w:val="00533CB0"/>
    <w:rsid w:val="00533D8F"/>
    <w:rsid w:val="00533EA1"/>
    <w:rsid w:val="00534361"/>
    <w:rsid w:val="005345C9"/>
    <w:rsid w:val="005348FE"/>
    <w:rsid w:val="00534984"/>
    <w:rsid w:val="00534AC3"/>
    <w:rsid w:val="00534B52"/>
    <w:rsid w:val="00535479"/>
    <w:rsid w:val="00535FFB"/>
    <w:rsid w:val="00536317"/>
    <w:rsid w:val="0053643B"/>
    <w:rsid w:val="005365A5"/>
    <w:rsid w:val="00536626"/>
    <w:rsid w:val="00536789"/>
    <w:rsid w:val="00536849"/>
    <w:rsid w:val="00537040"/>
    <w:rsid w:val="00537063"/>
    <w:rsid w:val="005370B0"/>
    <w:rsid w:val="00537329"/>
    <w:rsid w:val="005403DD"/>
    <w:rsid w:val="0054078D"/>
    <w:rsid w:val="00540E44"/>
    <w:rsid w:val="00540F94"/>
    <w:rsid w:val="0054143D"/>
    <w:rsid w:val="005416E8"/>
    <w:rsid w:val="00542CB3"/>
    <w:rsid w:val="00543199"/>
    <w:rsid w:val="00543EB7"/>
    <w:rsid w:val="00543FA5"/>
    <w:rsid w:val="00544C50"/>
    <w:rsid w:val="00544D34"/>
    <w:rsid w:val="00545074"/>
    <w:rsid w:val="005451F9"/>
    <w:rsid w:val="00545675"/>
    <w:rsid w:val="00545B50"/>
    <w:rsid w:val="00546489"/>
    <w:rsid w:val="005468C8"/>
    <w:rsid w:val="00546B57"/>
    <w:rsid w:val="00546C5F"/>
    <w:rsid w:val="00547894"/>
    <w:rsid w:val="005505D3"/>
    <w:rsid w:val="00550781"/>
    <w:rsid w:val="005507D3"/>
    <w:rsid w:val="00550A0F"/>
    <w:rsid w:val="00550B8A"/>
    <w:rsid w:val="00551668"/>
    <w:rsid w:val="00551693"/>
    <w:rsid w:val="00551C54"/>
    <w:rsid w:val="00552026"/>
    <w:rsid w:val="00552089"/>
    <w:rsid w:val="0055214B"/>
    <w:rsid w:val="00552351"/>
    <w:rsid w:val="00552806"/>
    <w:rsid w:val="005528E9"/>
    <w:rsid w:val="00552B05"/>
    <w:rsid w:val="00552BCB"/>
    <w:rsid w:val="00552C3E"/>
    <w:rsid w:val="00552F29"/>
    <w:rsid w:val="00553264"/>
    <w:rsid w:val="00553557"/>
    <w:rsid w:val="00553973"/>
    <w:rsid w:val="0055452C"/>
    <w:rsid w:val="00554F4D"/>
    <w:rsid w:val="00555231"/>
    <w:rsid w:val="005552C9"/>
    <w:rsid w:val="005555F6"/>
    <w:rsid w:val="005557A5"/>
    <w:rsid w:val="00555C80"/>
    <w:rsid w:val="00555D76"/>
    <w:rsid w:val="00555FDD"/>
    <w:rsid w:val="0055601E"/>
    <w:rsid w:val="00556A49"/>
    <w:rsid w:val="00557897"/>
    <w:rsid w:val="00557987"/>
    <w:rsid w:val="005579DC"/>
    <w:rsid w:val="00557CEA"/>
    <w:rsid w:val="0056004F"/>
    <w:rsid w:val="005614E0"/>
    <w:rsid w:val="00561552"/>
    <w:rsid w:val="005619A1"/>
    <w:rsid w:val="00561B26"/>
    <w:rsid w:val="005621D2"/>
    <w:rsid w:val="005628FB"/>
    <w:rsid w:val="005630C7"/>
    <w:rsid w:val="0056385E"/>
    <w:rsid w:val="00564047"/>
    <w:rsid w:val="00564087"/>
    <w:rsid w:val="00564B1D"/>
    <w:rsid w:val="00564E89"/>
    <w:rsid w:val="00565160"/>
    <w:rsid w:val="005652C4"/>
    <w:rsid w:val="00565309"/>
    <w:rsid w:val="00565FE9"/>
    <w:rsid w:val="0056617D"/>
    <w:rsid w:val="005661BF"/>
    <w:rsid w:val="00566937"/>
    <w:rsid w:val="00566FAF"/>
    <w:rsid w:val="00567006"/>
    <w:rsid w:val="0056731E"/>
    <w:rsid w:val="00567455"/>
    <w:rsid w:val="005677AB"/>
    <w:rsid w:val="00567FAA"/>
    <w:rsid w:val="0057046D"/>
    <w:rsid w:val="005705B3"/>
    <w:rsid w:val="0057066A"/>
    <w:rsid w:val="0057089C"/>
    <w:rsid w:val="00570A38"/>
    <w:rsid w:val="00570A9C"/>
    <w:rsid w:val="00570D49"/>
    <w:rsid w:val="00570D87"/>
    <w:rsid w:val="0057120D"/>
    <w:rsid w:val="0057124F"/>
    <w:rsid w:val="005716F5"/>
    <w:rsid w:val="00571B93"/>
    <w:rsid w:val="00571CF3"/>
    <w:rsid w:val="00572372"/>
    <w:rsid w:val="005725DC"/>
    <w:rsid w:val="005729B1"/>
    <w:rsid w:val="005738E9"/>
    <w:rsid w:val="00573BA2"/>
    <w:rsid w:val="0057600A"/>
    <w:rsid w:val="00577025"/>
    <w:rsid w:val="00577059"/>
    <w:rsid w:val="0057706B"/>
    <w:rsid w:val="00577207"/>
    <w:rsid w:val="00580C07"/>
    <w:rsid w:val="00580D6D"/>
    <w:rsid w:val="00580EBF"/>
    <w:rsid w:val="0058288C"/>
    <w:rsid w:val="00582AD9"/>
    <w:rsid w:val="00582D5B"/>
    <w:rsid w:val="0058317B"/>
    <w:rsid w:val="00583E2C"/>
    <w:rsid w:val="00584256"/>
    <w:rsid w:val="005844B1"/>
    <w:rsid w:val="005846EA"/>
    <w:rsid w:val="005848FB"/>
    <w:rsid w:val="00584D76"/>
    <w:rsid w:val="00584D7F"/>
    <w:rsid w:val="00585467"/>
    <w:rsid w:val="005857A8"/>
    <w:rsid w:val="00585850"/>
    <w:rsid w:val="005859CC"/>
    <w:rsid w:val="00585B72"/>
    <w:rsid w:val="005869D4"/>
    <w:rsid w:val="00586B29"/>
    <w:rsid w:val="00586D0C"/>
    <w:rsid w:val="005872D8"/>
    <w:rsid w:val="00587D2A"/>
    <w:rsid w:val="00587F7E"/>
    <w:rsid w:val="0059077E"/>
    <w:rsid w:val="00590933"/>
    <w:rsid w:val="00590B03"/>
    <w:rsid w:val="00591319"/>
    <w:rsid w:val="00591574"/>
    <w:rsid w:val="00591DB4"/>
    <w:rsid w:val="0059212B"/>
    <w:rsid w:val="005924F5"/>
    <w:rsid w:val="00592504"/>
    <w:rsid w:val="00593949"/>
    <w:rsid w:val="00594A91"/>
    <w:rsid w:val="00594B9D"/>
    <w:rsid w:val="005955E1"/>
    <w:rsid w:val="00595684"/>
    <w:rsid w:val="005968E3"/>
    <w:rsid w:val="00596944"/>
    <w:rsid w:val="00596C88"/>
    <w:rsid w:val="00596CA8"/>
    <w:rsid w:val="00596DC9"/>
    <w:rsid w:val="00597179"/>
    <w:rsid w:val="0059745C"/>
    <w:rsid w:val="005975D7"/>
    <w:rsid w:val="0059778F"/>
    <w:rsid w:val="00597EF9"/>
    <w:rsid w:val="00597EFE"/>
    <w:rsid w:val="00597F31"/>
    <w:rsid w:val="005A0889"/>
    <w:rsid w:val="005A13D7"/>
    <w:rsid w:val="005A1895"/>
    <w:rsid w:val="005A1B44"/>
    <w:rsid w:val="005A1C15"/>
    <w:rsid w:val="005A2159"/>
    <w:rsid w:val="005A31DC"/>
    <w:rsid w:val="005A3695"/>
    <w:rsid w:val="005A38D6"/>
    <w:rsid w:val="005A3D8A"/>
    <w:rsid w:val="005A404F"/>
    <w:rsid w:val="005A4794"/>
    <w:rsid w:val="005A47A8"/>
    <w:rsid w:val="005A4ABE"/>
    <w:rsid w:val="005A4BBE"/>
    <w:rsid w:val="005A5447"/>
    <w:rsid w:val="005A5833"/>
    <w:rsid w:val="005A598B"/>
    <w:rsid w:val="005A5F49"/>
    <w:rsid w:val="005A6118"/>
    <w:rsid w:val="005A614D"/>
    <w:rsid w:val="005A6723"/>
    <w:rsid w:val="005A6C73"/>
    <w:rsid w:val="005A6E62"/>
    <w:rsid w:val="005A7060"/>
    <w:rsid w:val="005A7DF4"/>
    <w:rsid w:val="005B0437"/>
    <w:rsid w:val="005B0671"/>
    <w:rsid w:val="005B0919"/>
    <w:rsid w:val="005B0BA9"/>
    <w:rsid w:val="005B1017"/>
    <w:rsid w:val="005B1059"/>
    <w:rsid w:val="005B11F4"/>
    <w:rsid w:val="005B16D4"/>
    <w:rsid w:val="005B19F4"/>
    <w:rsid w:val="005B25CF"/>
    <w:rsid w:val="005B2783"/>
    <w:rsid w:val="005B2FAC"/>
    <w:rsid w:val="005B327B"/>
    <w:rsid w:val="005B3340"/>
    <w:rsid w:val="005B33D9"/>
    <w:rsid w:val="005B34CA"/>
    <w:rsid w:val="005B3876"/>
    <w:rsid w:val="005B3B2C"/>
    <w:rsid w:val="005B4445"/>
    <w:rsid w:val="005B45E0"/>
    <w:rsid w:val="005B4818"/>
    <w:rsid w:val="005B4966"/>
    <w:rsid w:val="005B49E8"/>
    <w:rsid w:val="005B5033"/>
    <w:rsid w:val="005B52ED"/>
    <w:rsid w:val="005B55FF"/>
    <w:rsid w:val="005B5804"/>
    <w:rsid w:val="005B5A7A"/>
    <w:rsid w:val="005B5B2B"/>
    <w:rsid w:val="005B5B39"/>
    <w:rsid w:val="005B5D9C"/>
    <w:rsid w:val="005B5DEA"/>
    <w:rsid w:val="005B5FA8"/>
    <w:rsid w:val="005B686C"/>
    <w:rsid w:val="005B68A4"/>
    <w:rsid w:val="005B6B68"/>
    <w:rsid w:val="005B6B9A"/>
    <w:rsid w:val="005B6DF1"/>
    <w:rsid w:val="005B6E85"/>
    <w:rsid w:val="005B6F1A"/>
    <w:rsid w:val="005B6F41"/>
    <w:rsid w:val="005B6F4D"/>
    <w:rsid w:val="005B73D0"/>
    <w:rsid w:val="005B7420"/>
    <w:rsid w:val="005B7526"/>
    <w:rsid w:val="005B7C34"/>
    <w:rsid w:val="005C0005"/>
    <w:rsid w:val="005C025F"/>
    <w:rsid w:val="005C15F2"/>
    <w:rsid w:val="005C1DAB"/>
    <w:rsid w:val="005C1E35"/>
    <w:rsid w:val="005C1E93"/>
    <w:rsid w:val="005C1F14"/>
    <w:rsid w:val="005C2481"/>
    <w:rsid w:val="005C2651"/>
    <w:rsid w:val="005C345E"/>
    <w:rsid w:val="005C37CF"/>
    <w:rsid w:val="005C3DA4"/>
    <w:rsid w:val="005C4306"/>
    <w:rsid w:val="005C448D"/>
    <w:rsid w:val="005C481B"/>
    <w:rsid w:val="005C4AFE"/>
    <w:rsid w:val="005C4C4B"/>
    <w:rsid w:val="005C581F"/>
    <w:rsid w:val="005C5EE9"/>
    <w:rsid w:val="005C5F51"/>
    <w:rsid w:val="005C6840"/>
    <w:rsid w:val="005C6A93"/>
    <w:rsid w:val="005C6F23"/>
    <w:rsid w:val="005C70E0"/>
    <w:rsid w:val="005C7161"/>
    <w:rsid w:val="005C7175"/>
    <w:rsid w:val="005C7390"/>
    <w:rsid w:val="005C78EC"/>
    <w:rsid w:val="005D0427"/>
    <w:rsid w:val="005D0684"/>
    <w:rsid w:val="005D0889"/>
    <w:rsid w:val="005D0905"/>
    <w:rsid w:val="005D0EB8"/>
    <w:rsid w:val="005D13FA"/>
    <w:rsid w:val="005D144A"/>
    <w:rsid w:val="005D16C7"/>
    <w:rsid w:val="005D1706"/>
    <w:rsid w:val="005D2828"/>
    <w:rsid w:val="005D2867"/>
    <w:rsid w:val="005D3704"/>
    <w:rsid w:val="005D3EE1"/>
    <w:rsid w:val="005D45FC"/>
    <w:rsid w:val="005D4EFB"/>
    <w:rsid w:val="005D55BB"/>
    <w:rsid w:val="005D60B4"/>
    <w:rsid w:val="005D639B"/>
    <w:rsid w:val="005D6A69"/>
    <w:rsid w:val="005D6CDB"/>
    <w:rsid w:val="005D742D"/>
    <w:rsid w:val="005D78B3"/>
    <w:rsid w:val="005E00AB"/>
    <w:rsid w:val="005E01D9"/>
    <w:rsid w:val="005E03D0"/>
    <w:rsid w:val="005E049A"/>
    <w:rsid w:val="005E0F89"/>
    <w:rsid w:val="005E0FA3"/>
    <w:rsid w:val="005E1CE2"/>
    <w:rsid w:val="005E1F00"/>
    <w:rsid w:val="005E205F"/>
    <w:rsid w:val="005E20C2"/>
    <w:rsid w:val="005E2466"/>
    <w:rsid w:val="005E2566"/>
    <w:rsid w:val="005E286C"/>
    <w:rsid w:val="005E46ED"/>
    <w:rsid w:val="005E4CB0"/>
    <w:rsid w:val="005E56CE"/>
    <w:rsid w:val="005E57A1"/>
    <w:rsid w:val="005E5961"/>
    <w:rsid w:val="005E5D64"/>
    <w:rsid w:val="005E5E33"/>
    <w:rsid w:val="005E5F9F"/>
    <w:rsid w:val="005E6AFC"/>
    <w:rsid w:val="005E7238"/>
    <w:rsid w:val="005E7EEF"/>
    <w:rsid w:val="005E7F21"/>
    <w:rsid w:val="005F0179"/>
    <w:rsid w:val="005F01DD"/>
    <w:rsid w:val="005F06AE"/>
    <w:rsid w:val="005F0C4D"/>
    <w:rsid w:val="005F0F20"/>
    <w:rsid w:val="005F1032"/>
    <w:rsid w:val="005F2081"/>
    <w:rsid w:val="005F2CEF"/>
    <w:rsid w:val="005F2DDB"/>
    <w:rsid w:val="005F3A6E"/>
    <w:rsid w:val="005F43C1"/>
    <w:rsid w:val="005F44CC"/>
    <w:rsid w:val="005F47F5"/>
    <w:rsid w:val="005F4F8C"/>
    <w:rsid w:val="005F5080"/>
    <w:rsid w:val="005F50E8"/>
    <w:rsid w:val="005F5465"/>
    <w:rsid w:val="005F5540"/>
    <w:rsid w:val="005F5B12"/>
    <w:rsid w:val="005F5C8A"/>
    <w:rsid w:val="005F67CE"/>
    <w:rsid w:val="005F696F"/>
    <w:rsid w:val="005F7653"/>
    <w:rsid w:val="005F7CB0"/>
    <w:rsid w:val="005F7F26"/>
    <w:rsid w:val="00600AE0"/>
    <w:rsid w:val="00600B4F"/>
    <w:rsid w:val="0060183C"/>
    <w:rsid w:val="00601F72"/>
    <w:rsid w:val="00601F7C"/>
    <w:rsid w:val="006023AA"/>
    <w:rsid w:val="006024F5"/>
    <w:rsid w:val="006028AC"/>
    <w:rsid w:val="00602B45"/>
    <w:rsid w:val="00602D03"/>
    <w:rsid w:val="00602D52"/>
    <w:rsid w:val="00603085"/>
    <w:rsid w:val="0060327F"/>
    <w:rsid w:val="00603B0F"/>
    <w:rsid w:val="00603C3B"/>
    <w:rsid w:val="00603DF8"/>
    <w:rsid w:val="00603F80"/>
    <w:rsid w:val="0060451B"/>
    <w:rsid w:val="006048B2"/>
    <w:rsid w:val="00604AEA"/>
    <w:rsid w:val="00604BA7"/>
    <w:rsid w:val="006051B6"/>
    <w:rsid w:val="0060520A"/>
    <w:rsid w:val="00605A19"/>
    <w:rsid w:val="00605B98"/>
    <w:rsid w:val="006060BB"/>
    <w:rsid w:val="0060619E"/>
    <w:rsid w:val="006064BD"/>
    <w:rsid w:val="00606554"/>
    <w:rsid w:val="006068B2"/>
    <w:rsid w:val="00606C3B"/>
    <w:rsid w:val="00607325"/>
    <w:rsid w:val="00607AF0"/>
    <w:rsid w:val="00607D95"/>
    <w:rsid w:val="006105DA"/>
    <w:rsid w:val="00610D4F"/>
    <w:rsid w:val="00611045"/>
    <w:rsid w:val="00611625"/>
    <w:rsid w:val="00611735"/>
    <w:rsid w:val="00611755"/>
    <w:rsid w:val="006118E7"/>
    <w:rsid w:val="00611D7F"/>
    <w:rsid w:val="0061213E"/>
    <w:rsid w:val="00612179"/>
    <w:rsid w:val="006123B0"/>
    <w:rsid w:val="00612691"/>
    <w:rsid w:val="00613168"/>
    <w:rsid w:val="00613296"/>
    <w:rsid w:val="0061348A"/>
    <w:rsid w:val="00613C47"/>
    <w:rsid w:val="00613CD8"/>
    <w:rsid w:val="00613DFC"/>
    <w:rsid w:val="00613E8D"/>
    <w:rsid w:val="006144BD"/>
    <w:rsid w:val="00614A44"/>
    <w:rsid w:val="006150C9"/>
    <w:rsid w:val="0061512A"/>
    <w:rsid w:val="00615189"/>
    <w:rsid w:val="00615D83"/>
    <w:rsid w:val="00616D7C"/>
    <w:rsid w:val="006170C4"/>
    <w:rsid w:val="006173A8"/>
    <w:rsid w:val="0061753F"/>
    <w:rsid w:val="00617916"/>
    <w:rsid w:val="00617F31"/>
    <w:rsid w:val="00617F82"/>
    <w:rsid w:val="00617FAD"/>
    <w:rsid w:val="006201DD"/>
    <w:rsid w:val="006203F6"/>
    <w:rsid w:val="00620625"/>
    <w:rsid w:val="00620659"/>
    <w:rsid w:val="00620C67"/>
    <w:rsid w:val="00620EFB"/>
    <w:rsid w:val="00620F59"/>
    <w:rsid w:val="006219BA"/>
    <w:rsid w:val="00621F6C"/>
    <w:rsid w:val="00622087"/>
    <w:rsid w:val="006220A5"/>
    <w:rsid w:val="0062255B"/>
    <w:rsid w:val="00622773"/>
    <w:rsid w:val="00622981"/>
    <w:rsid w:val="00622FA2"/>
    <w:rsid w:val="0062303A"/>
    <w:rsid w:val="006231FD"/>
    <w:rsid w:val="006233DD"/>
    <w:rsid w:val="00623A1D"/>
    <w:rsid w:val="00623FC5"/>
    <w:rsid w:val="00624222"/>
    <w:rsid w:val="00624261"/>
    <w:rsid w:val="006247C1"/>
    <w:rsid w:val="00624862"/>
    <w:rsid w:val="00624C1D"/>
    <w:rsid w:val="006251E4"/>
    <w:rsid w:val="006253D8"/>
    <w:rsid w:val="006258D7"/>
    <w:rsid w:val="00625918"/>
    <w:rsid w:val="00625A29"/>
    <w:rsid w:val="00625A69"/>
    <w:rsid w:val="00625D42"/>
    <w:rsid w:val="00626C65"/>
    <w:rsid w:val="006270D7"/>
    <w:rsid w:val="006271E9"/>
    <w:rsid w:val="00627203"/>
    <w:rsid w:val="006273A8"/>
    <w:rsid w:val="006273E4"/>
    <w:rsid w:val="00627A1D"/>
    <w:rsid w:val="00627E79"/>
    <w:rsid w:val="0063044D"/>
    <w:rsid w:val="00630506"/>
    <w:rsid w:val="006305EB"/>
    <w:rsid w:val="006306DB"/>
    <w:rsid w:val="00630DC4"/>
    <w:rsid w:val="00631109"/>
    <w:rsid w:val="006313B8"/>
    <w:rsid w:val="0063141F"/>
    <w:rsid w:val="00631F21"/>
    <w:rsid w:val="006324C3"/>
    <w:rsid w:val="00632609"/>
    <w:rsid w:val="006333C8"/>
    <w:rsid w:val="00633829"/>
    <w:rsid w:val="006339C6"/>
    <w:rsid w:val="006339D5"/>
    <w:rsid w:val="006343AF"/>
    <w:rsid w:val="00634C98"/>
    <w:rsid w:val="00634FC2"/>
    <w:rsid w:val="00635464"/>
    <w:rsid w:val="00635603"/>
    <w:rsid w:val="00635896"/>
    <w:rsid w:val="00635B00"/>
    <w:rsid w:val="00635CC8"/>
    <w:rsid w:val="006362ED"/>
    <w:rsid w:val="006364C4"/>
    <w:rsid w:val="006366B5"/>
    <w:rsid w:val="006369B9"/>
    <w:rsid w:val="00636B4D"/>
    <w:rsid w:val="006373CB"/>
    <w:rsid w:val="00637BB3"/>
    <w:rsid w:val="00637D25"/>
    <w:rsid w:val="006400FA"/>
    <w:rsid w:val="006401AA"/>
    <w:rsid w:val="0064036C"/>
    <w:rsid w:val="0064099A"/>
    <w:rsid w:val="00640B5C"/>
    <w:rsid w:val="00640F9F"/>
    <w:rsid w:val="0064120C"/>
    <w:rsid w:val="0064124A"/>
    <w:rsid w:val="00642041"/>
    <w:rsid w:val="00642AF1"/>
    <w:rsid w:val="00642BB4"/>
    <w:rsid w:val="00642D0C"/>
    <w:rsid w:val="00642F82"/>
    <w:rsid w:val="006430C3"/>
    <w:rsid w:val="0064346D"/>
    <w:rsid w:val="00643918"/>
    <w:rsid w:val="00643B56"/>
    <w:rsid w:val="00643D50"/>
    <w:rsid w:val="00643DDF"/>
    <w:rsid w:val="00644700"/>
    <w:rsid w:val="00644712"/>
    <w:rsid w:val="00645CCF"/>
    <w:rsid w:val="00646419"/>
    <w:rsid w:val="006467C2"/>
    <w:rsid w:val="006467D0"/>
    <w:rsid w:val="00646802"/>
    <w:rsid w:val="00646B8F"/>
    <w:rsid w:val="00646EAC"/>
    <w:rsid w:val="00646FA1"/>
    <w:rsid w:val="0064709A"/>
    <w:rsid w:val="00647189"/>
    <w:rsid w:val="00647707"/>
    <w:rsid w:val="00647747"/>
    <w:rsid w:val="00647B4A"/>
    <w:rsid w:val="00647F1C"/>
    <w:rsid w:val="006505B2"/>
    <w:rsid w:val="00650D48"/>
    <w:rsid w:val="00650EC2"/>
    <w:rsid w:val="0065157E"/>
    <w:rsid w:val="006515BC"/>
    <w:rsid w:val="00651890"/>
    <w:rsid w:val="00651F6A"/>
    <w:rsid w:val="00652157"/>
    <w:rsid w:val="0065230E"/>
    <w:rsid w:val="00652ADC"/>
    <w:rsid w:val="00652CBD"/>
    <w:rsid w:val="006531E3"/>
    <w:rsid w:val="00653AF8"/>
    <w:rsid w:val="00654168"/>
    <w:rsid w:val="0065436D"/>
    <w:rsid w:val="0065455B"/>
    <w:rsid w:val="00654B42"/>
    <w:rsid w:val="00654C63"/>
    <w:rsid w:val="00654D0F"/>
    <w:rsid w:val="00654E6C"/>
    <w:rsid w:val="006555E6"/>
    <w:rsid w:val="00655909"/>
    <w:rsid w:val="00655B3F"/>
    <w:rsid w:val="00655D5F"/>
    <w:rsid w:val="0065680C"/>
    <w:rsid w:val="00656BA6"/>
    <w:rsid w:val="00656BC2"/>
    <w:rsid w:val="00656BD5"/>
    <w:rsid w:val="00657007"/>
    <w:rsid w:val="00657047"/>
    <w:rsid w:val="0065707B"/>
    <w:rsid w:val="006572B2"/>
    <w:rsid w:val="006574EF"/>
    <w:rsid w:val="00657BB4"/>
    <w:rsid w:val="00657F7D"/>
    <w:rsid w:val="00660340"/>
    <w:rsid w:val="006604F8"/>
    <w:rsid w:val="00660804"/>
    <w:rsid w:val="006609FB"/>
    <w:rsid w:val="00660B93"/>
    <w:rsid w:val="00661022"/>
    <w:rsid w:val="00661B6A"/>
    <w:rsid w:val="00661EEA"/>
    <w:rsid w:val="00662125"/>
    <w:rsid w:val="0066260A"/>
    <w:rsid w:val="00662D5E"/>
    <w:rsid w:val="00662E63"/>
    <w:rsid w:val="00663088"/>
    <w:rsid w:val="00663356"/>
    <w:rsid w:val="00663790"/>
    <w:rsid w:val="00663812"/>
    <w:rsid w:val="0066381A"/>
    <w:rsid w:val="00663F22"/>
    <w:rsid w:val="0066423B"/>
    <w:rsid w:val="006642AE"/>
    <w:rsid w:val="0066463F"/>
    <w:rsid w:val="00665376"/>
    <w:rsid w:val="006654E0"/>
    <w:rsid w:val="006654E1"/>
    <w:rsid w:val="0066604A"/>
    <w:rsid w:val="006669E6"/>
    <w:rsid w:val="00666AE8"/>
    <w:rsid w:val="00666CEE"/>
    <w:rsid w:val="006675A0"/>
    <w:rsid w:val="00667655"/>
    <w:rsid w:val="006676AF"/>
    <w:rsid w:val="00667861"/>
    <w:rsid w:val="00667A5F"/>
    <w:rsid w:val="00670D9B"/>
    <w:rsid w:val="00670E85"/>
    <w:rsid w:val="006710E2"/>
    <w:rsid w:val="0067161F"/>
    <w:rsid w:val="0067284F"/>
    <w:rsid w:val="0067295C"/>
    <w:rsid w:val="00672A23"/>
    <w:rsid w:val="00673414"/>
    <w:rsid w:val="006734FA"/>
    <w:rsid w:val="006735D3"/>
    <w:rsid w:val="00674134"/>
    <w:rsid w:val="0067418D"/>
    <w:rsid w:val="00674C28"/>
    <w:rsid w:val="00675024"/>
    <w:rsid w:val="00675189"/>
    <w:rsid w:val="0067521F"/>
    <w:rsid w:val="006752E2"/>
    <w:rsid w:val="00675A0E"/>
    <w:rsid w:val="006760A1"/>
    <w:rsid w:val="006763CD"/>
    <w:rsid w:val="006765B0"/>
    <w:rsid w:val="00676B10"/>
    <w:rsid w:val="00677294"/>
    <w:rsid w:val="00677669"/>
    <w:rsid w:val="0067788E"/>
    <w:rsid w:val="006779A8"/>
    <w:rsid w:val="00677B5A"/>
    <w:rsid w:val="00677CD7"/>
    <w:rsid w:val="00677E58"/>
    <w:rsid w:val="0068095F"/>
    <w:rsid w:val="00680CD7"/>
    <w:rsid w:val="00680DC8"/>
    <w:rsid w:val="00680E34"/>
    <w:rsid w:val="00681055"/>
    <w:rsid w:val="006813A2"/>
    <w:rsid w:val="00681474"/>
    <w:rsid w:val="006815C0"/>
    <w:rsid w:val="006816E2"/>
    <w:rsid w:val="00681A9B"/>
    <w:rsid w:val="00681C6E"/>
    <w:rsid w:val="00682222"/>
    <w:rsid w:val="00682295"/>
    <w:rsid w:val="0068315B"/>
    <w:rsid w:val="006831F3"/>
    <w:rsid w:val="00683295"/>
    <w:rsid w:val="006841EE"/>
    <w:rsid w:val="006844B5"/>
    <w:rsid w:val="00685186"/>
    <w:rsid w:val="00685AD5"/>
    <w:rsid w:val="00685BC9"/>
    <w:rsid w:val="00686552"/>
    <w:rsid w:val="00686A62"/>
    <w:rsid w:val="00686C4C"/>
    <w:rsid w:val="00686F0E"/>
    <w:rsid w:val="006875C2"/>
    <w:rsid w:val="006876E7"/>
    <w:rsid w:val="006901AB"/>
    <w:rsid w:val="00690551"/>
    <w:rsid w:val="00690819"/>
    <w:rsid w:val="00690CFA"/>
    <w:rsid w:val="00690D2F"/>
    <w:rsid w:val="0069136A"/>
    <w:rsid w:val="006923CC"/>
    <w:rsid w:val="006924D6"/>
    <w:rsid w:val="00692EAC"/>
    <w:rsid w:val="00692EDD"/>
    <w:rsid w:val="00692EFB"/>
    <w:rsid w:val="0069328E"/>
    <w:rsid w:val="0069333C"/>
    <w:rsid w:val="006939A5"/>
    <w:rsid w:val="006939F5"/>
    <w:rsid w:val="00693C85"/>
    <w:rsid w:val="00693C8E"/>
    <w:rsid w:val="00694157"/>
    <w:rsid w:val="00694516"/>
    <w:rsid w:val="0069455F"/>
    <w:rsid w:val="0069456D"/>
    <w:rsid w:val="006945ED"/>
    <w:rsid w:val="006959F6"/>
    <w:rsid w:val="00697062"/>
    <w:rsid w:val="0069733A"/>
    <w:rsid w:val="0069748C"/>
    <w:rsid w:val="006A04CD"/>
    <w:rsid w:val="006A0B8C"/>
    <w:rsid w:val="006A0EE9"/>
    <w:rsid w:val="006A10E4"/>
    <w:rsid w:val="006A124E"/>
    <w:rsid w:val="006A1605"/>
    <w:rsid w:val="006A16D7"/>
    <w:rsid w:val="006A1BF8"/>
    <w:rsid w:val="006A1BFA"/>
    <w:rsid w:val="006A1D73"/>
    <w:rsid w:val="006A21AE"/>
    <w:rsid w:val="006A21BD"/>
    <w:rsid w:val="006A25C9"/>
    <w:rsid w:val="006A2CDC"/>
    <w:rsid w:val="006A2D86"/>
    <w:rsid w:val="006A2E68"/>
    <w:rsid w:val="006A31C1"/>
    <w:rsid w:val="006A32EE"/>
    <w:rsid w:val="006A4ACC"/>
    <w:rsid w:val="006A4B06"/>
    <w:rsid w:val="006A4B11"/>
    <w:rsid w:val="006A4BFD"/>
    <w:rsid w:val="006A4DE3"/>
    <w:rsid w:val="006A502F"/>
    <w:rsid w:val="006A5A45"/>
    <w:rsid w:val="006A5E40"/>
    <w:rsid w:val="006A61A1"/>
    <w:rsid w:val="006A62EC"/>
    <w:rsid w:val="006A6804"/>
    <w:rsid w:val="006A6875"/>
    <w:rsid w:val="006A6DA3"/>
    <w:rsid w:val="006A6DE0"/>
    <w:rsid w:val="006A6F04"/>
    <w:rsid w:val="006A7116"/>
    <w:rsid w:val="006A74D1"/>
    <w:rsid w:val="006A777A"/>
    <w:rsid w:val="006A79AD"/>
    <w:rsid w:val="006A79F0"/>
    <w:rsid w:val="006B0437"/>
    <w:rsid w:val="006B0447"/>
    <w:rsid w:val="006B0AC8"/>
    <w:rsid w:val="006B0BF6"/>
    <w:rsid w:val="006B0CD9"/>
    <w:rsid w:val="006B0F50"/>
    <w:rsid w:val="006B14EA"/>
    <w:rsid w:val="006B14F3"/>
    <w:rsid w:val="006B204C"/>
    <w:rsid w:val="006B21A5"/>
    <w:rsid w:val="006B284C"/>
    <w:rsid w:val="006B2C39"/>
    <w:rsid w:val="006B31C6"/>
    <w:rsid w:val="006B3253"/>
    <w:rsid w:val="006B3311"/>
    <w:rsid w:val="006B36E8"/>
    <w:rsid w:val="006B3BFE"/>
    <w:rsid w:val="006B46F0"/>
    <w:rsid w:val="006B4C6F"/>
    <w:rsid w:val="006B4F9C"/>
    <w:rsid w:val="006B55D4"/>
    <w:rsid w:val="006B65F7"/>
    <w:rsid w:val="006B675B"/>
    <w:rsid w:val="006B6792"/>
    <w:rsid w:val="006B6BAF"/>
    <w:rsid w:val="006B6DDD"/>
    <w:rsid w:val="006B7246"/>
    <w:rsid w:val="006B7E57"/>
    <w:rsid w:val="006B7F03"/>
    <w:rsid w:val="006C02DC"/>
    <w:rsid w:val="006C0644"/>
    <w:rsid w:val="006C0C5B"/>
    <w:rsid w:val="006C0E83"/>
    <w:rsid w:val="006C1124"/>
    <w:rsid w:val="006C1394"/>
    <w:rsid w:val="006C1720"/>
    <w:rsid w:val="006C1E44"/>
    <w:rsid w:val="006C20CF"/>
    <w:rsid w:val="006C22BA"/>
    <w:rsid w:val="006C2316"/>
    <w:rsid w:val="006C24D6"/>
    <w:rsid w:val="006C254B"/>
    <w:rsid w:val="006C2563"/>
    <w:rsid w:val="006C2A06"/>
    <w:rsid w:val="006C2CA7"/>
    <w:rsid w:val="006C319B"/>
    <w:rsid w:val="006C3562"/>
    <w:rsid w:val="006C35D5"/>
    <w:rsid w:val="006C3627"/>
    <w:rsid w:val="006C3672"/>
    <w:rsid w:val="006C3681"/>
    <w:rsid w:val="006C3DEA"/>
    <w:rsid w:val="006C3FF8"/>
    <w:rsid w:val="006C4372"/>
    <w:rsid w:val="006C4543"/>
    <w:rsid w:val="006C4991"/>
    <w:rsid w:val="006C4A21"/>
    <w:rsid w:val="006C506B"/>
    <w:rsid w:val="006C50B1"/>
    <w:rsid w:val="006C5469"/>
    <w:rsid w:val="006C54F0"/>
    <w:rsid w:val="006C5811"/>
    <w:rsid w:val="006C5D72"/>
    <w:rsid w:val="006C6526"/>
    <w:rsid w:val="006C6870"/>
    <w:rsid w:val="006C6A55"/>
    <w:rsid w:val="006C70C6"/>
    <w:rsid w:val="006C782C"/>
    <w:rsid w:val="006C7CB9"/>
    <w:rsid w:val="006D0280"/>
    <w:rsid w:val="006D0418"/>
    <w:rsid w:val="006D0AA2"/>
    <w:rsid w:val="006D0BC5"/>
    <w:rsid w:val="006D0C0C"/>
    <w:rsid w:val="006D0FBA"/>
    <w:rsid w:val="006D15AE"/>
    <w:rsid w:val="006D1D50"/>
    <w:rsid w:val="006D26C9"/>
    <w:rsid w:val="006D2E3D"/>
    <w:rsid w:val="006D2E53"/>
    <w:rsid w:val="006D308E"/>
    <w:rsid w:val="006D332C"/>
    <w:rsid w:val="006D338E"/>
    <w:rsid w:val="006D3A4D"/>
    <w:rsid w:val="006D3A73"/>
    <w:rsid w:val="006D3C8C"/>
    <w:rsid w:val="006D46FF"/>
    <w:rsid w:val="006D48EF"/>
    <w:rsid w:val="006D5328"/>
    <w:rsid w:val="006D547B"/>
    <w:rsid w:val="006D5929"/>
    <w:rsid w:val="006D644B"/>
    <w:rsid w:val="006D6C75"/>
    <w:rsid w:val="006D6E79"/>
    <w:rsid w:val="006E0445"/>
    <w:rsid w:val="006E0900"/>
    <w:rsid w:val="006E090E"/>
    <w:rsid w:val="006E0B73"/>
    <w:rsid w:val="006E0FA2"/>
    <w:rsid w:val="006E10D0"/>
    <w:rsid w:val="006E1525"/>
    <w:rsid w:val="006E1C98"/>
    <w:rsid w:val="006E1F2C"/>
    <w:rsid w:val="006E27C3"/>
    <w:rsid w:val="006E2B31"/>
    <w:rsid w:val="006E2CBA"/>
    <w:rsid w:val="006E2D50"/>
    <w:rsid w:val="006E3196"/>
    <w:rsid w:val="006E344B"/>
    <w:rsid w:val="006E3629"/>
    <w:rsid w:val="006E36B5"/>
    <w:rsid w:val="006E36F6"/>
    <w:rsid w:val="006E3882"/>
    <w:rsid w:val="006E3CAA"/>
    <w:rsid w:val="006E4112"/>
    <w:rsid w:val="006E4560"/>
    <w:rsid w:val="006E49D4"/>
    <w:rsid w:val="006E4BF8"/>
    <w:rsid w:val="006E54D3"/>
    <w:rsid w:val="006E55CA"/>
    <w:rsid w:val="006E56F1"/>
    <w:rsid w:val="006E5B74"/>
    <w:rsid w:val="006E6057"/>
    <w:rsid w:val="006E67F5"/>
    <w:rsid w:val="006E6FBF"/>
    <w:rsid w:val="006E710F"/>
    <w:rsid w:val="006E7308"/>
    <w:rsid w:val="006E73E8"/>
    <w:rsid w:val="006E7495"/>
    <w:rsid w:val="006E76A0"/>
    <w:rsid w:val="006E786B"/>
    <w:rsid w:val="006E791D"/>
    <w:rsid w:val="006E7EBE"/>
    <w:rsid w:val="006F0234"/>
    <w:rsid w:val="006F0393"/>
    <w:rsid w:val="006F07FA"/>
    <w:rsid w:val="006F0A73"/>
    <w:rsid w:val="006F0B4E"/>
    <w:rsid w:val="006F0B6D"/>
    <w:rsid w:val="006F0CE2"/>
    <w:rsid w:val="006F0F37"/>
    <w:rsid w:val="006F1390"/>
    <w:rsid w:val="006F169E"/>
    <w:rsid w:val="006F207D"/>
    <w:rsid w:val="006F227A"/>
    <w:rsid w:val="006F2FFA"/>
    <w:rsid w:val="006F3128"/>
    <w:rsid w:val="006F3307"/>
    <w:rsid w:val="006F379D"/>
    <w:rsid w:val="006F3A64"/>
    <w:rsid w:val="006F3CE3"/>
    <w:rsid w:val="006F3F74"/>
    <w:rsid w:val="006F43E6"/>
    <w:rsid w:val="006F442D"/>
    <w:rsid w:val="006F4721"/>
    <w:rsid w:val="006F492D"/>
    <w:rsid w:val="006F4B85"/>
    <w:rsid w:val="006F514B"/>
    <w:rsid w:val="006F5E49"/>
    <w:rsid w:val="006F6625"/>
    <w:rsid w:val="006F6876"/>
    <w:rsid w:val="006F6B35"/>
    <w:rsid w:val="006F6BC2"/>
    <w:rsid w:val="006F6F54"/>
    <w:rsid w:val="006F6FF4"/>
    <w:rsid w:val="006F754E"/>
    <w:rsid w:val="006F79BF"/>
    <w:rsid w:val="0070033E"/>
    <w:rsid w:val="007004CA"/>
    <w:rsid w:val="007007BA"/>
    <w:rsid w:val="00701451"/>
    <w:rsid w:val="00701463"/>
    <w:rsid w:val="00701BEE"/>
    <w:rsid w:val="00702630"/>
    <w:rsid w:val="00702A6E"/>
    <w:rsid w:val="00702B90"/>
    <w:rsid w:val="00703C9A"/>
    <w:rsid w:val="00703FA8"/>
    <w:rsid w:val="00703FAD"/>
    <w:rsid w:val="00704325"/>
    <w:rsid w:val="00704BF3"/>
    <w:rsid w:val="007051B9"/>
    <w:rsid w:val="007051DE"/>
    <w:rsid w:val="00705B4F"/>
    <w:rsid w:val="00705C23"/>
    <w:rsid w:val="007063D0"/>
    <w:rsid w:val="00706894"/>
    <w:rsid w:val="00706DB4"/>
    <w:rsid w:val="00707200"/>
    <w:rsid w:val="00707B63"/>
    <w:rsid w:val="00710944"/>
    <w:rsid w:val="00710EA3"/>
    <w:rsid w:val="0071145D"/>
    <w:rsid w:val="0071148D"/>
    <w:rsid w:val="00711A85"/>
    <w:rsid w:val="00711D72"/>
    <w:rsid w:val="00712895"/>
    <w:rsid w:val="00712A28"/>
    <w:rsid w:val="00712BC4"/>
    <w:rsid w:val="00712FA4"/>
    <w:rsid w:val="007135B6"/>
    <w:rsid w:val="007141FA"/>
    <w:rsid w:val="00714312"/>
    <w:rsid w:val="00714B3E"/>
    <w:rsid w:val="00714CFE"/>
    <w:rsid w:val="007150D1"/>
    <w:rsid w:val="00715BBB"/>
    <w:rsid w:val="007160FE"/>
    <w:rsid w:val="00716223"/>
    <w:rsid w:val="00716602"/>
    <w:rsid w:val="00716F3E"/>
    <w:rsid w:val="007207B4"/>
    <w:rsid w:val="007207E7"/>
    <w:rsid w:val="00720E9B"/>
    <w:rsid w:val="00721683"/>
    <w:rsid w:val="007218D9"/>
    <w:rsid w:val="00721CA4"/>
    <w:rsid w:val="00721CDF"/>
    <w:rsid w:val="00721EC5"/>
    <w:rsid w:val="0072211E"/>
    <w:rsid w:val="0072260F"/>
    <w:rsid w:val="0072296C"/>
    <w:rsid w:val="00722A72"/>
    <w:rsid w:val="00722B24"/>
    <w:rsid w:val="00722BA2"/>
    <w:rsid w:val="00722D9C"/>
    <w:rsid w:val="0072312A"/>
    <w:rsid w:val="00723193"/>
    <w:rsid w:val="00723529"/>
    <w:rsid w:val="0072358F"/>
    <w:rsid w:val="00723762"/>
    <w:rsid w:val="007239BF"/>
    <w:rsid w:val="00724488"/>
    <w:rsid w:val="007245F8"/>
    <w:rsid w:val="007248AA"/>
    <w:rsid w:val="00724AB8"/>
    <w:rsid w:val="00724C8C"/>
    <w:rsid w:val="0072549E"/>
    <w:rsid w:val="00725F7F"/>
    <w:rsid w:val="00726360"/>
    <w:rsid w:val="0072646D"/>
    <w:rsid w:val="007266FE"/>
    <w:rsid w:val="007267F0"/>
    <w:rsid w:val="00726824"/>
    <w:rsid w:val="0072685C"/>
    <w:rsid w:val="00726BFC"/>
    <w:rsid w:val="00726C2F"/>
    <w:rsid w:val="00726EC3"/>
    <w:rsid w:val="00726FF0"/>
    <w:rsid w:val="00727735"/>
    <w:rsid w:val="007278E6"/>
    <w:rsid w:val="00727DA4"/>
    <w:rsid w:val="00727F91"/>
    <w:rsid w:val="007303E9"/>
    <w:rsid w:val="00730444"/>
    <w:rsid w:val="00730E89"/>
    <w:rsid w:val="00731036"/>
    <w:rsid w:val="00731A7B"/>
    <w:rsid w:val="00731B3B"/>
    <w:rsid w:val="00731BA9"/>
    <w:rsid w:val="00731CAB"/>
    <w:rsid w:val="0073208D"/>
    <w:rsid w:val="007321E2"/>
    <w:rsid w:val="0073255B"/>
    <w:rsid w:val="00732F26"/>
    <w:rsid w:val="00733336"/>
    <w:rsid w:val="0073334C"/>
    <w:rsid w:val="0073349A"/>
    <w:rsid w:val="00733548"/>
    <w:rsid w:val="007337A7"/>
    <w:rsid w:val="00733847"/>
    <w:rsid w:val="00733E17"/>
    <w:rsid w:val="00734364"/>
    <w:rsid w:val="0073438D"/>
    <w:rsid w:val="00735160"/>
    <w:rsid w:val="00735218"/>
    <w:rsid w:val="00735683"/>
    <w:rsid w:val="007358FF"/>
    <w:rsid w:val="00735A16"/>
    <w:rsid w:val="0073621C"/>
    <w:rsid w:val="00736274"/>
    <w:rsid w:val="00736762"/>
    <w:rsid w:val="00736FD2"/>
    <w:rsid w:val="007371D4"/>
    <w:rsid w:val="007378D8"/>
    <w:rsid w:val="007378FB"/>
    <w:rsid w:val="00737B58"/>
    <w:rsid w:val="00737DBA"/>
    <w:rsid w:val="00737E0B"/>
    <w:rsid w:val="00740852"/>
    <w:rsid w:val="00740F6F"/>
    <w:rsid w:val="00741322"/>
    <w:rsid w:val="00741335"/>
    <w:rsid w:val="007417BF"/>
    <w:rsid w:val="007424E0"/>
    <w:rsid w:val="00742706"/>
    <w:rsid w:val="0074286A"/>
    <w:rsid w:val="00742D5E"/>
    <w:rsid w:val="00743868"/>
    <w:rsid w:val="007439FA"/>
    <w:rsid w:val="00743C4E"/>
    <w:rsid w:val="00743C5D"/>
    <w:rsid w:val="007440A5"/>
    <w:rsid w:val="00744CB8"/>
    <w:rsid w:val="00744EA0"/>
    <w:rsid w:val="007451AD"/>
    <w:rsid w:val="007452D2"/>
    <w:rsid w:val="00745A2B"/>
    <w:rsid w:val="00745ACE"/>
    <w:rsid w:val="00745AFF"/>
    <w:rsid w:val="00745DD2"/>
    <w:rsid w:val="007469E1"/>
    <w:rsid w:val="00746A61"/>
    <w:rsid w:val="00746B96"/>
    <w:rsid w:val="00746E6E"/>
    <w:rsid w:val="00746E90"/>
    <w:rsid w:val="0074741E"/>
    <w:rsid w:val="00747731"/>
    <w:rsid w:val="00750411"/>
    <w:rsid w:val="00750A1A"/>
    <w:rsid w:val="00750C67"/>
    <w:rsid w:val="00750ECC"/>
    <w:rsid w:val="007512E0"/>
    <w:rsid w:val="007514A3"/>
    <w:rsid w:val="007514F4"/>
    <w:rsid w:val="00751BE2"/>
    <w:rsid w:val="00752990"/>
    <w:rsid w:val="00752F15"/>
    <w:rsid w:val="00752FEA"/>
    <w:rsid w:val="0075302D"/>
    <w:rsid w:val="0075345E"/>
    <w:rsid w:val="00753A70"/>
    <w:rsid w:val="00753BB6"/>
    <w:rsid w:val="007543E2"/>
    <w:rsid w:val="00754506"/>
    <w:rsid w:val="00754BB6"/>
    <w:rsid w:val="0075544B"/>
    <w:rsid w:val="007557A8"/>
    <w:rsid w:val="00755A22"/>
    <w:rsid w:val="007562E4"/>
    <w:rsid w:val="007565EC"/>
    <w:rsid w:val="007568E9"/>
    <w:rsid w:val="00756BF2"/>
    <w:rsid w:val="00756FFC"/>
    <w:rsid w:val="00757474"/>
    <w:rsid w:val="00757FF9"/>
    <w:rsid w:val="007608EA"/>
    <w:rsid w:val="00760CC6"/>
    <w:rsid w:val="00760D52"/>
    <w:rsid w:val="007617D8"/>
    <w:rsid w:val="00761D01"/>
    <w:rsid w:val="00762778"/>
    <w:rsid w:val="007627E7"/>
    <w:rsid w:val="0076281F"/>
    <w:rsid w:val="00762AD9"/>
    <w:rsid w:val="00762D78"/>
    <w:rsid w:val="0076331E"/>
    <w:rsid w:val="00763778"/>
    <w:rsid w:val="007637FE"/>
    <w:rsid w:val="007639AC"/>
    <w:rsid w:val="00763BDC"/>
    <w:rsid w:val="00763D15"/>
    <w:rsid w:val="007641BF"/>
    <w:rsid w:val="00764366"/>
    <w:rsid w:val="007644E8"/>
    <w:rsid w:val="00764DC7"/>
    <w:rsid w:val="0076563A"/>
    <w:rsid w:val="00765CDD"/>
    <w:rsid w:val="00765D72"/>
    <w:rsid w:val="00765EA8"/>
    <w:rsid w:val="00766572"/>
    <w:rsid w:val="007705E6"/>
    <w:rsid w:val="007708F0"/>
    <w:rsid w:val="00770A3D"/>
    <w:rsid w:val="00770A5E"/>
    <w:rsid w:val="00770C59"/>
    <w:rsid w:val="00770C9C"/>
    <w:rsid w:val="00771289"/>
    <w:rsid w:val="007713A8"/>
    <w:rsid w:val="00771603"/>
    <w:rsid w:val="00771631"/>
    <w:rsid w:val="00771660"/>
    <w:rsid w:val="00771BA0"/>
    <w:rsid w:val="00771FF0"/>
    <w:rsid w:val="0077239A"/>
    <w:rsid w:val="00772449"/>
    <w:rsid w:val="00772DC6"/>
    <w:rsid w:val="00773064"/>
    <w:rsid w:val="007738CF"/>
    <w:rsid w:val="00773EEB"/>
    <w:rsid w:val="00773F85"/>
    <w:rsid w:val="0077452B"/>
    <w:rsid w:val="00774605"/>
    <w:rsid w:val="007747B3"/>
    <w:rsid w:val="00774881"/>
    <w:rsid w:val="00774A2B"/>
    <w:rsid w:val="00774A4A"/>
    <w:rsid w:val="00774C92"/>
    <w:rsid w:val="00775266"/>
    <w:rsid w:val="00775D89"/>
    <w:rsid w:val="00776283"/>
    <w:rsid w:val="0077660F"/>
    <w:rsid w:val="00776843"/>
    <w:rsid w:val="00776D04"/>
    <w:rsid w:val="00776F18"/>
    <w:rsid w:val="007772C8"/>
    <w:rsid w:val="00777867"/>
    <w:rsid w:val="00777908"/>
    <w:rsid w:val="007779BF"/>
    <w:rsid w:val="00780238"/>
    <w:rsid w:val="00780933"/>
    <w:rsid w:val="00780D9C"/>
    <w:rsid w:val="00780DB4"/>
    <w:rsid w:val="00781426"/>
    <w:rsid w:val="00781627"/>
    <w:rsid w:val="007819D9"/>
    <w:rsid w:val="00781C6C"/>
    <w:rsid w:val="00781D41"/>
    <w:rsid w:val="00781F28"/>
    <w:rsid w:val="00782262"/>
    <w:rsid w:val="00782396"/>
    <w:rsid w:val="00782AC4"/>
    <w:rsid w:val="00782EFE"/>
    <w:rsid w:val="00783668"/>
    <w:rsid w:val="007839A9"/>
    <w:rsid w:val="00783F1D"/>
    <w:rsid w:val="00784033"/>
    <w:rsid w:val="00784A21"/>
    <w:rsid w:val="0078527C"/>
    <w:rsid w:val="0078547F"/>
    <w:rsid w:val="007857A2"/>
    <w:rsid w:val="00785BD7"/>
    <w:rsid w:val="0078671D"/>
    <w:rsid w:val="0078684B"/>
    <w:rsid w:val="00786F8D"/>
    <w:rsid w:val="007871C4"/>
    <w:rsid w:val="0078750D"/>
    <w:rsid w:val="00787690"/>
    <w:rsid w:val="007877A7"/>
    <w:rsid w:val="00787823"/>
    <w:rsid w:val="00787AF1"/>
    <w:rsid w:val="00787DFE"/>
    <w:rsid w:val="007904E2"/>
    <w:rsid w:val="00790564"/>
    <w:rsid w:val="0079061C"/>
    <w:rsid w:val="00791041"/>
    <w:rsid w:val="0079127E"/>
    <w:rsid w:val="00791328"/>
    <w:rsid w:val="007913E6"/>
    <w:rsid w:val="007918D5"/>
    <w:rsid w:val="007919E2"/>
    <w:rsid w:val="00791E59"/>
    <w:rsid w:val="00792124"/>
    <w:rsid w:val="00792CCF"/>
    <w:rsid w:val="00792D88"/>
    <w:rsid w:val="00792E28"/>
    <w:rsid w:val="00793036"/>
    <w:rsid w:val="00793339"/>
    <w:rsid w:val="0079366D"/>
    <w:rsid w:val="007936D5"/>
    <w:rsid w:val="00793A0E"/>
    <w:rsid w:val="007942F8"/>
    <w:rsid w:val="0079452C"/>
    <w:rsid w:val="00794AE8"/>
    <w:rsid w:val="00794EBD"/>
    <w:rsid w:val="007955FF"/>
    <w:rsid w:val="007958BA"/>
    <w:rsid w:val="0079636B"/>
    <w:rsid w:val="007965E4"/>
    <w:rsid w:val="007966DD"/>
    <w:rsid w:val="00796B39"/>
    <w:rsid w:val="00796C61"/>
    <w:rsid w:val="0079724B"/>
    <w:rsid w:val="00797560"/>
    <w:rsid w:val="00797660"/>
    <w:rsid w:val="007A0ACA"/>
    <w:rsid w:val="007A0DA5"/>
    <w:rsid w:val="007A1331"/>
    <w:rsid w:val="007A14FF"/>
    <w:rsid w:val="007A1568"/>
    <w:rsid w:val="007A19E1"/>
    <w:rsid w:val="007A1A5E"/>
    <w:rsid w:val="007A1B2F"/>
    <w:rsid w:val="007A21FC"/>
    <w:rsid w:val="007A224E"/>
    <w:rsid w:val="007A265F"/>
    <w:rsid w:val="007A27DC"/>
    <w:rsid w:val="007A2DBD"/>
    <w:rsid w:val="007A2DF6"/>
    <w:rsid w:val="007A39CA"/>
    <w:rsid w:val="007A4B2D"/>
    <w:rsid w:val="007A4E98"/>
    <w:rsid w:val="007A54BA"/>
    <w:rsid w:val="007A587B"/>
    <w:rsid w:val="007A5E67"/>
    <w:rsid w:val="007A6705"/>
    <w:rsid w:val="007A675E"/>
    <w:rsid w:val="007A6929"/>
    <w:rsid w:val="007A6B8D"/>
    <w:rsid w:val="007A724A"/>
    <w:rsid w:val="007A74E5"/>
    <w:rsid w:val="007A7727"/>
    <w:rsid w:val="007B0239"/>
    <w:rsid w:val="007B09B2"/>
    <w:rsid w:val="007B0ADF"/>
    <w:rsid w:val="007B0BE0"/>
    <w:rsid w:val="007B10D9"/>
    <w:rsid w:val="007B1814"/>
    <w:rsid w:val="007B182B"/>
    <w:rsid w:val="007B1B21"/>
    <w:rsid w:val="007B2133"/>
    <w:rsid w:val="007B2393"/>
    <w:rsid w:val="007B2A8B"/>
    <w:rsid w:val="007B2D93"/>
    <w:rsid w:val="007B3077"/>
    <w:rsid w:val="007B3A99"/>
    <w:rsid w:val="007B3AF8"/>
    <w:rsid w:val="007B40B8"/>
    <w:rsid w:val="007B412C"/>
    <w:rsid w:val="007B42AD"/>
    <w:rsid w:val="007B43CF"/>
    <w:rsid w:val="007B47F2"/>
    <w:rsid w:val="007B4979"/>
    <w:rsid w:val="007B4D0E"/>
    <w:rsid w:val="007B533B"/>
    <w:rsid w:val="007B6021"/>
    <w:rsid w:val="007B63A4"/>
    <w:rsid w:val="007B70C2"/>
    <w:rsid w:val="007B7537"/>
    <w:rsid w:val="007B75DE"/>
    <w:rsid w:val="007B79E4"/>
    <w:rsid w:val="007B7DBF"/>
    <w:rsid w:val="007B7EDC"/>
    <w:rsid w:val="007B7FD9"/>
    <w:rsid w:val="007C0057"/>
    <w:rsid w:val="007C015C"/>
    <w:rsid w:val="007C0BAE"/>
    <w:rsid w:val="007C0EC9"/>
    <w:rsid w:val="007C181F"/>
    <w:rsid w:val="007C19B6"/>
    <w:rsid w:val="007C1E09"/>
    <w:rsid w:val="007C211F"/>
    <w:rsid w:val="007C22F8"/>
    <w:rsid w:val="007C2440"/>
    <w:rsid w:val="007C28AC"/>
    <w:rsid w:val="007C2B69"/>
    <w:rsid w:val="007C33A3"/>
    <w:rsid w:val="007C3589"/>
    <w:rsid w:val="007C3627"/>
    <w:rsid w:val="007C36A9"/>
    <w:rsid w:val="007C37FB"/>
    <w:rsid w:val="007C3801"/>
    <w:rsid w:val="007C4ECE"/>
    <w:rsid w:val="007C5477"/>
    <w:rsid w:val="007C5590"/>
    <w:rsid w:val="007C5776"/>
    <w:rsid w:val="007C57D5"/>
    <w:rsid w:val="007C57E1"/>
    <w:rsid w:val="007C5900"/>
    <w:rsid w:val="007C5923"/>
    <w:rsid w:val="007C5BF3"/>
    <w:rsid w:val="007C5DEC"/>
    <w:rsid w:val="007C5DFB"/>
    <w:rsid w:val="007C5F26"/>
    <w:rsid w:val="007C611D"/>
    <w:rsid w:val="007C6198"/>
    <w:rsid w:val="007C692F"/>
    <w:rsid w:val="007C6A66"/>
    <w:rsid w:val="007C6D6F"/>
    <w:rsid w:val="007C6DBE"/>
    <w:rsid w:val="007C721C"/>
    <w:rsid w:val="007C7E04"/>
    <w:rsid w:val="007D0B45"/>
    <w:rsid w:val="007D178C"/>
    <w:rsid w:val="007D181F"/>
    <w:rsid w:val="007D1940"/>
    <w:rsid w:val="007D1A35"/>
    <w:rsid w:val="007D1BB7"/>
    <w:rsid w:val="007D1C08"/>
    <w:rsid w:val="007D1DD4"/>
    <w:rsid w:val="007D2173"/>
    <w:rsid w:val="007D2336"/>
    <w:rsid w:val="007D35C9"/>
    <w:rsid w:val="007D3F53"/>
    <w:rsid w:val="007D4001"/>
    <w:rsid w:val="007D4189"/>
    <w:rsid w:val="007D4671"/>
    <w:rsid w:val="007D487F"/>
    <w:rsid w:val="007D49B5"/>
    <w:rsid w:val="007D4A37"/>
    <w:rsid w:val="007D4C45"/>
    <w:rsid w:val="007D4F7B"/>
    <w:rsid w:val="007D570C"/>
    <w:rsid w:val="007D57E3"/>
    <w:rsid w:val="007D6121"/>
    <w:rsid w:val="007D62E0"/>
    <w:rsid w:val="007D65D7"/>
    <w:rsid w:val="007D6AAB"/>
    <w:rsid w:val="007D6FE9"/>
    <w:rsid w:val="007D7077"/>
    <w:rsid w:val="007D70F3"/>
    <w:rsid w:val="007E0CD6"/>
    <w:rsid w:val="007E0D30"/>
    <w:rsid w:val="007E121F"/>
    <w:rsid w:val="007E1CC2"/>
    <w:rsid w:val="007E1D1B"/>
    <w:rsid w:val="007E2120"/>
    <w:rsid w:val="007E2573"/>
    <w:rsid w:val="007E2756"/>
    <w:rsid w:val="007E2A60"/>
    <w:rsid w:val="007E3594"/>
    <w:rsid w:val="007E36D4"/>
    <w:rsid w:val="007E36F8"/>
    <w:rsid w:val="007E3D98"/>
    <w:rsid w:val="007E471A"/>
    <w:rsid w:val="007E5007"/>
    <w:rsid w:val="007E5352"/>
    <w:rsid w:val="007E570F"/>
    <w:rsid w:val="007E5D7F"/>
    <w:rsid w:val="007E60F4"/>
    <w:rsid w:val="007E6992"/>
    <w:rsid w:val="007E6EE9"/>
    <w:rsid w:val="007E7568"/>
    <w:rsid w:val="007F00D2"/>
    <w:rsid w:val="007F0C2B"/>
    <w:rsid w:val="007F14D9"/>
    <w:rsid w:val="007F183C"/>
    <w:rsid w:val="007F1D6F"/>
    <w:rsid w:val="007F1F9F"/>
    <w:rsid w:val="007F2080"/>
    <w:rsid w:val="007F2514"/>
    <w:rsid w:val="007F25BB"/>
    <w:rsid w:val="007F2A80"/>
    <w:rsid w:val="007F2D6A"/>
    <w:rsid w:val="007F2E12"/>
    <w:rsid w:val="007F34A2"/>
    <w:rsid w:val="007F39F2"/>
    <w:rsid w:val="007F3A01"/>
    <w:rsid w:val="007F3BF6"/>
    <w:rsid w:val="007F3EC4"/>
    <w:rsid w:val="007F4051"/>
    <w:rsid w:val="007F469A"/>
    <w:rsid w:val="007F47FC"/>
    <w:rsid w:val="007F48EE"/>
    <w:rsid w:val="007F49C4"/>
    <w:rsid w:val="007F4F76"/>
    <w:rsid w:val="007F5137"/>
    <w:rsid w:val="007F55B9"/>
    <w:rsid w:val="007F5C08"/>
    <w:rsid w:val="007F645B"/>
    <w:rsid w:val="007F656B"/>
    <w:rsid w:val="007F69D6"/>
    <w:rsid w:val="007F6C37"/>
    <w:rsid w:val="0080012C"/>
    <w:rsid w:val="008003FD"/>
    <w:rsid w:val="00800E10"/>
    <w:rsid w:val="00800F69"/>
    <w:rsid w:val="008011C6"/>
    <w:rsid w:val="008013FF"/>
    <w:rsid w:val="0080157A"/>
    <w:rsid w:val="00801588"/>
    <w:rsid w:val="0080167E"/>
    <w:rsid w:val="00801899"/>
    <w:rsid w:val="00801C55"/>
    <w:rsid w:val="00801D39"/>
    <w:rsid w:val="00801E4F"/>
    <w:rsid w:val="00801EB7"/>
    <w:rsid w:val="008022DB"/>
    <w:rsid w:val="0080235F"/>
    <w:rsid w:val="00802AB7"/>
    <w:rsid w:val="00802AED"/>
    <w:rsid w:val="00803125"/>
    <w:rsid w:val="00803258"/>
    <w:rsid w:val="00803885"/>
    <w:rsid w:val="00804436"/>
    <w:rsid w:val="008044C0"/>
    <w:rsid w:val="00804521"/>
    <w:rsid w:val="008048A6"/>
    <w:rsid w:val="008048B8"/>
    <w:rsid w:val="008048CE"/>
    <w:rsid w:val="00804913"/>
    <w:rsid w:val="00804A62"/>
    <w:rsid w:val="00804D33"/>
    <w:rsid w:val="00804FA5"/>
    <w:rsid w:val="00805637"/>
    <w:rsid w:val="00805FB8"/>
    <w:rsid w:val="00806152"/>
    <w:rsid w:val="00806A48"/>
    <w:rsid w:val="00806CDA"/>
    <w:rsid w:val="00806DC8"/>
    <w:rsid w:val="00807010"/>
    <w:rsid w:val="0080714C"/>
    <w:rsid w:val="008073B9"/>
    <w:rsid w:val="00807B4B"/>
    <w:rsid w:val="008105F5"/>
    <w:rsid w:val="0081090A"/>
    <w:rsid w:val="00810C16"/>
    <w:rsid w:val="00810DEF"/>
    <w:rsid w:val="0081101C"/>
    <w:rsid w:val="0081127F"/>
    <w:rsid w:val="00811740"/>
    <w:rsid w:val="008118AE"/>
    <w:rsid w:val="0081192D"/>
    <w:rsid w:val="00811E8E"/>
    <w:rsid w:val="008122F9"/>
    <w:rsid w:val="0081292D"/>
    <w:rsid w:val="00812A0A"/>
    <w:rsid w:val="00812D26"/>
    <w:rsid w:val="00812DB2"/>
    <w:rsid w:val="00813072"/>
    <w:rsid w:val="00813652"/>
    <w:rsid w:val="008140B2"/>
    <w:rsid w:val="008140D8"/>
    <w:rsid w:val="00814BCF"/>
    <w:rsid w:val="00814E82"/>
    <w:rsid w:val="0081593F"/>
    <w:rsid w:val="00815ABD"/>
    <w:rsid w:val="00815E5F"/>
    <w:rsid w:val="008163B3"/>
    <w:rsid w:val="00816809"/>
    <w:rsid w:val="00817370"/>
    <w:rsid w:val="0081748B"/>
    <w:rsid w:val="00817623"/>
    <w:rsid w:val="00820415"/>
    <w:rsid w:val="00820B6E"/>
    <w:rsid w:val="00820C99"/>
    <w:rsid w:val="00820DF5"/>
    <w:rsid w:val="00821236"/>
    <w:rsid w:val="008212E9"/>
    <w:rsid w:val="00821488"/>
    <w:rsid w:val="008214B4"/>
    <w:rsid w:val="00821B6A"/>
    <w:rsid w:val="00821E78"/>
    <w:rsid w:val="00821EFD"/>
    <w:rsid w:val="008222FE"/>
    <w:rsid w:val="0082282E"/>
    <w:rsid w:val="008229AD"/>
    <w:rsid w:val="00823D6F"/>
    <w:rsid w:val="00823D84"/>
    <w:rsid w:val="008241A1"/>
    <w:rsid w:val="00824D67"/>
    <w:rsid w:val="00825008"/>
    <w:rsid w:val="008250A6"/>
    <w:rsid w:val="00825558"/>
    <w:rsid w:val="00825608"/>
    <w:rsid w:val="008256C4"/>
    <w:rsid w:val="008259EE"/>
    <w:rsid w:val="00825C2D"/>
    <w:rsid w:val="00825C97"/>
    <w:rsid w:val="00825CCB"/>
    <w:rsid w:val="00825DD5"/>
    <w:rsid w:val="00825FA7"/>
    <w:rsid w:val="0082606E"/>
    <w:rsid w:val="0082608E"/>
    <w:rsid w:val="008261BE"/>
    <w:rsid w:val="0082672A"/>
    <w:rsid w:val="008269A8"/>
    <w:rsid w:val="0082715D"/>
    <w:rsid w:val="0082738F"/>
    <w:rsid w:val="0082745C"/>
    <w:rsid w:val="0082787D"/>
    <w:rsid w:val="00827939"/>
    <w:rsid w:val="0083099B"/>
    <w:rsid w:val="008313F2"/>
    <w:rsid w:val="0083154A"/>
    <w:rsid w:val="00831A8C"/>
    <w:rsid w:val="00831B3E"/>
    <w:rsid w:val="00832016"/>
    <w:rsid w:val="008320B8"/>
    <w:rsid w:val="008323F1"/>
    <w:rsid w:val="00832BBC"/>
    <w:rsid w:val="00832F59"/>
    <w:rsid w:val="00833621"/>
    <w:rsid w:val="008337A0"/>
    <w:rsid w:val="0083387C"/>
    <w:rsid w:val="008338A8"/>
    <w:rsid w:val="008344F6"/>
    <w:rsid w:val="008347F9"/>
    <w:rsid w:val="00834D8A"/>
    <w:rsid w:val="00835086"/>
    <w:rsid w:val="0083590D"/>
    <w:rsid w:val="00835FC5"/>
    <w:rsid w:val="0083633D"/>
    <w:rsid w:val="008368CC"/>
    <w:rsid w:val="0083696D"/>
    <w:rsid w:val="0083698E"/>
    <w:rsid w:val="008369CB"/>
    <w:rsid w:val="00837274"/>
    <w:rsid w:val="00837769"/>
    <w:rsid w:val="00837913"/>
    <w:rsid w:val="00837CD5"/>
    <w:rsid w:val="00837D28"/>
    <w:rsid w:val="00837EB1"/>
    <w:rsid w:val="0084004B"/>
    <w:rsid w:val="008401DC"/>
    <w:rsid w:val="008405B0"/>
    <w:rsid w:val="00840E8A"/>
    <w:rsid w:val="008410A7"/>
    <w:rsid w:val="00841102"/>
    <w:rsid w:val="00841588"/>
    <w:rsid w:val="0084170A"/>
    <w:rsid w:val="0084185F"/>
    <w:rsid w:val="008419A5"/>
    <w:rsid w:val="00841F80"/>
    <w:rsid w:val="008421EE"/>
    <w:rsid w:val="00842332"/>
    <w:rsid w:val="008423A5"/>
    <w:rsid w:val="008427EC"/>
    <w:rsid w:val="008428E3"/>
    <w:rsid w:val="00842C51"/>
    <w:rsid w:val="00843057"/>
    <w:rsid w:val="008431DB"/>
    <w:rsid w:val="008435DF"/>
    <w:rsid w:val="0084366A"/>
    <w:rsid w:val="0084366B"/>
    <w:rsid w:val="00843F7F"/>
    <w:rsid w:val="008445DA"/>
    <w:rsid w:val="00844643"/>
    <w:rsid w:val="00844898"/>
    <w:rsid w:val="00844920"/>
    <w:rsid w:val="00845170"/>
    <w:rsid w:val="0084546D"/>
    <w:rsid w:val="008454C7"/>
    <w:rsid w:val="0084575D"/>
    <w:rsid w:val="0084598D"/>
    <w:rsid w:val="00845B38"/>
    <w:rsid w:val="00845BAC"/>
    <w:rsid w:val="00845C21"/>
    <w:rsid w:val="00845F9E"/>
    <w:rsid w:val="0084609F"/>
    <w:rsid w:val="0084654C"/>
    <w:rsid w:val="008468BE"/>
    <w:rsid w:val="00846903"/>
    <w:rsid w:val="00846CC3"/>
    <w:rsid w:val="0084743A"/>
    <w:rsid w:val="00847D27"/>
    <w:rsid w:val="00847E59"/>
    <w:rsid w:val="00850179"/>
    <w:rsid w:val="00850387"/>
    <w:rsid w:val="008509BC"/>
    <w:rsid w:val="00850A50"/>
    <w:rsid w:val="008510EA"/>
    <w:rsid w:val="00851524"/>
    <w:rsid w:val="008517B1"/>
    <w:rsid w:val="00851905"/>
    <w:rsid w:val="008519E9"/>
    <w:rsid w:val="00851B2F"/>
    <w:rsid w:val="00851B47"/>
    <w:rsid w:val="008522B6"/>
    <w:rsid w:val="00852698"/>
    <w:rsid w:val="00852C90"/>
    <w:rsid w:val="00852D55"/>
    <w:rsid w:val="008537A0"/>
    <w:rsid w:val="008539A5"/>
    <w:rsid w:val="008539F0"/>
    <w:rsid w:val="00853A8C"/>
    <w:rsid w:val="008545AA"/>
    <w:rsid w:val="00855ACD"/>
    <w:rsid w:val="00855E09"/>
    <w:rsid w:val="0085618A"/>
    <w:rsid w:val="008562EC"/>
    <w:rsid w:val="008570AA"/>
    <w:rsid w:val="00857915"/>
    <w:rsid w:val="00857995"/>
    <w:rsid w:val="00860667"/>
    <w:rsid w:val="00860919"/>
    <w:rsid w:val="00860E9A"/>
    <w:rsid w:val="008613DF"/>
    <w:rsid w:val="00861712"/>
    <w:rsid w:val="008618DB"/>
    <w:rsid w:val="00861ECF"/>
    <w:rsid w:val="00862256"/>
    <w:rsid w:val="008627AE"/>
    <w:rsid w:val="00862A8A"/>
    <w:rsid w:val="0086300B"/>
    <w:rsid w:val="008632C3"/>
    <w:rsid w:val="00863B8F"/>
    <w:rsid w:val="00863BEE"/>
    <w:rsid w:val="00863BF5"/>
    <w:rsid w:val="0086413B"/>
    <w:rsid w:val="008643A4"/>
    <w:rsid w:val="008646EF"/>
    <w:rsid w:val="008647F6"/>
    <w:rsid w:val="00864BB2"/>
    <w:rsid w:val="00864CF0"/>
    <w:rsid w:val="00864EAF"/>
    <w:rsid w:val="00865066"/>
    <w:rsid w:val="008650ED"/>
    <w:rsid w:val="008650FE"/>
    <w:rsid w:val="0086522B"/>
    <w:rsid w:val="00865260"/>
    <w:rsid w:val="008657CD"/>
    <w:rsid w:val="00865C24"/>
    <w:rsid w:val="0086659D"/>
    <w:rsid w:val="00866986"/>
    <w:rsid w:val="00866C75"/>
    <w:rsid w:val="0086751C"/>
    <w:rsid w:val="0087023D"/>
    <w:rsid w:val="008707D8"/>
    <w:rsid w:val="00871087"/>
    <w:rsid w:val="0087141B"/>
    <w:rsid w:val="0087172D"/>
    <w:rsid w:val="00871FD5"/>
    <w:rsid w:val="0087215D"/>
    <w:rsid w:val="00872272"/>
    <w:rsid w:val="00872E1C"/>
    <w:rsid w:val="00872E5D"/>
    <w:rsid w:val="0087312D"/>
    <w:rsid w:val="0087324A"/>
    <w:rsid w:val="008732B3"/>
    <w:rsid w:val="008733B2"/>
    <w:rsid w:val="00873840"/>
    <w:rsid w:val="008739C4"/>
    <w:rsid w:val="00873A57"/>
    <w:rsid w:val="0087403D"/>
    <w:rsid w:val="00874079"/>
    <w:rsid w:val="0087414C"/>
    <w:rsid w:val="00874C4F"/>
    <w:rsid w:val="0087516C"/>
    <w:rsid w:val="00875606"/>
    <w:rsid w:val="00875EBC"/>
    <w:rsid w:val="00875F9C"/>
    <w:rsid w:val="00875FA6"/>
    <w:rsid w:val="008761F9"/>
    <w:rsid w:val="00876793"/>
    <w:rsid w:val="00876B46"/>
    <w:rsid w:val="00876E02"/>
    <w:rsid w:val="00876E86"/>
    <w:rsid w:val="00877404"/>
    <w:rsid w:val="00877417"/>
    <w:rsid w:val="00877987"/>
    <w:rsid w:val="00877A82"/>
    <w:rsid w:val="00877C7A"/>
    <w:rsid w:val="00877D21"/>
    <w:rsid w:val="008802EE"/>
    <w:rsid w:val="008804F5"/>
    <w:rsid w:val="00880516"/>
    <w:rsid w:val="0088054C"/>
    <w:rsid w:val="0088059A"/>
    <w:rsid w:val="00880A00"/>
    <w:rsid w:val="008812FB"/>
    <w:rsid w:val="0088177E"/>
    <w:rsid w:val="00881E2B"/>
    <w:rsid w:val="0088216B"/>
    <w:rsid w:val="00882277"/>
    <w:rsid w:val="00882963"/>
    <w:rsid w:val="00882D91"/>
    <w:rsid w:val="00883962"/>
    <w:rsid w:val="00883FDC"/>
    <w:rsid w:val="00884832"/>
    <w:rsid w:val="00885570"/>
    <w:rsid w:val="008855BD"/>
    <w:rsid w:val="00885805"/>
    <w:rsid w:val="00885CBD"/>
    <w:rsid w:val="00885CE1"/>
    <w:rsid w:val="0088657B"/>
    <w:rsid w:val="008867AD"/>
    <w:rsid w:val="00886856"/>
    <w:rsid w:val="00886E2F"/>
    <w:rsid w:val="0089013D"/>
    <w:rsid w:val="008906F1"/>
    <w:rsid w:val="00890D6B"/>
    <w:rsid w:val="00890D76"/>
    <w:rsid w:val="00890F5C"/>
    <w:rsid w:val="00891814"/>
    <w:rsid w:val="00891893"/>
    <w:rsid w:val="008918A8"/>
    <w:rsid w:val="008922BF"/>
    <w:rsid w:val="00892E53"/>
    <w:rsid w:val="00893103"/>
    <w:rsid w:val="00893612"/>
    <w:rsid w:val="00893696"/>
    <w:rsid w:val="00893CEB"/>
    <w:rsid w:val="00893F77"/>
    <w:rsid w:val="0089497C"/>
    <w:rsid w:val="00894B81"/>
    <w:rsid w:val="00896018"/>
    <w:rsid w:val="008961C0"/>
    <w:rsid w:val="00896D8D"/>
    <w:rsid w:val="00896E2C"/>
    <w:rsid w:val="00897431"/>
    <w:rsid w:val="00897B38"/>
    <w:rsid w:val="00897CFF"/>
    <w:rsid w:val="00897E10"/>
    <w:rsid w:val="00897F8E"/>
    <w:rsid w:val="008A007D"/>
    <w:rsid w:val="008A0733"/>
    <w:rsid w:val="008A0E7E"/>
    <w:rsid w:val="008A0FEC"/>
    <w:rsid w:val="008A1133"/>
    <w:rsid w:val="008A142B"/>
    <w:rsid w:val="008A1497"/>
    <w:rsid w:val="008A16CA"/>
    <w:rsid w:val="008A175E"/>
    <w:rsid w:val="008A1964"/>
    <w:rsid w:val="008A19FC"/>
    <w:rsid w:val="008A1A15"/>
    <w:rsid w:val="008A2421"/>
    <w:rsid w:val="008A271A"/>
    <w:rsid w:val="008A2A0C"/>
    <w:rsid w:val="008A2CD9"/>
    <w:rsid w:val="008A34DB"/>
    <w:rsid w:val="008A3BB1"/>
    <w:rsid w:val="008A3FE9"/>
    <w:rsid w:val="008A412F"/>
    <w:rsid w:val="008A4229"/>
    <w:rsid w:val="008A4337"/>
    <w:rsid w:val="008A55FF"/>
    <w:rsid w:val="008A580D"/>
    <w:rsid w:val="008A5A96"/>
    <w:rsid w:val="008A5CAF"/>
    <w:rsid w:val="008A5EED"/>
    <w:rsid w:val="008A5F86"/>
    <w:rsid w:val="008A6153"/>
    <w:rsid w:val="008A63DA"/>
    <w:rsid w:val="008A6570"/>
    <w:rsid w:val="008A65D3"/>
    <w:rsid w:val="008A73C1"/>
    <w:rsid w:val="008A742F"/>
    <w:rsid w:val="008A7631"/>
    <w:rsid w:val="008A7B09"/>
    <w:rsid w:val="008A7D94"/>
    <w:rsid w:val="008A7FAC"/>
    <w:rsid w:val="008B07B4"/>
    <w:rsid w:val="008B0E3C"/>
    <w:rsid w:val="008B1663"/>
    <w:rsid w:val="008B183F"/>
    <w:rsid w:val="008B1958"/>
    <w:rsid w:val="008B1987"/>
    <w:rsid w:val="008B1B5C"/>
    <w:rsid w:val="008B1D51"/>
    <w:rsid w:val="008B1FF1"/>
    <w:rsid w:val="008B20C8"/>
    <w:rsid w:val="008B22B7"/>
    <w:rsid w:val="008B26A9"/>
    <w:rsid w:val="008B2F69"/>
    <w:rsid w:val="008B303E"/>
    <w:rsid w:val="008B3395"/>
    <w:rsid w:val="008B3654"/>
    <w:rsid w:val="008B3A73"/>
    <w:rsid w:val="008B3AA3"/>
    <w:rsid w:val="008B48FD"/>
    <w:rsid w:val="008B4BC2"/>
    <w:rsid w:val="008B4C22"/>
    <w:rsid w:val="008B4CBE"/>
    <w:rsid w:val="008B4CD8"/>
    <w:rsid w:val="008B52EC"/>
    <w:rsid w:val="008B560A"/>
    <w:rsid w:val="008B5704"/>
    <w:rsid w:val="008B5A8F"/>
    <w:rsid w:val="008B5CE9"/>
    <w:rsid w:val="008B6499"/>
    <w:rsid w:val="008B668F"/>
    <w:rsid w:val="008B6AAB"/>
    <w:rsid w:val="008B6EB4"/>
    <w:rsid w:val="008B757F"/>
    <w:rsid w:val="008B78A1"/>
    <w:rsid w:val="008B79F4"/>
    <w:rsid w:val="008B7C58"/>
    <w:rsid w:val="008B7DAF"/>
    <w:rsid w:val="008C02D4"/>
    <w:rsid w:val="008C092F"/>
    <w:rsid w:val="008C0A37"/>
    <w:rsid w:val="008C1137"/>
    <w:rsid w:val="008C11B4"/>
    <w:rsid w:val="008C1C1E"/>
    <w:rsid w:val="008C2065"/>
    <w:rsid w:val="008C22CE"/>
    <w:rsid w:val="008C24CE"/>
    <w:rsid w:val="008C269A"/>
    <w:rsid w:val="008C3613"/>
    <w:rsid w:val="008C3BFB"/>
    <w:rsid w:val="008C447E"/>
    <w:rsid w:val="008C4AB2"/>
    <w:rsid w:val="008C50E4"/>
    <w:rsid w:val="008C521E"/>
    <w:rsid w:val="008C592A"/>
    <w:rsid w:val="008C592F"/>
    <w:rsid w:val="008C6413"/>
    <w:rsid w:val="008C673A"/>
    <w:rsid w:val="008C6FAF"/>
    <w:rsid w:val="008C776A"/>
    <w:rsid w:val="008C792B"/>
    <w:rsid w:val="008D03CF"/>
    <w:rsid w:val="008D072B"/>
    <w:rsid w:val="008D076A"/>
    <w:rsid w:val="008D0F59"/>
    <w:rsid w:val="008D1ACC"/>
    <w:rsid w:val="008D2580"/>
    <w:rsid w:val="008D258C"/>
    <w:rsid w:val="008D2ADD"/>
    <w:rsid w:val="008D2C83"/>
    <w:rsid w:val="008D35FD"/>
    <w:rsid w:val="008D362A"/>
    <w:rsid w:val="008D362C"/>
    <w:rsid w:val="008D3CF2"/>
    <w:rsid w:val="008D4570"/>
    <w:rsid w:val="008D470F"/>
    <w:rsid w:val="008D4863"/>
    <w:rsid w:val="008D4F16"/>
    <w:rsid w:val="008D559A"/>
    <w:rsid w:val="008D55A9"/>
    <w:rsid w:val="008D5E47"/>
    <w:rsid w:val="008D6411"/>
    <w:rsid w:val="008D68C0"/>
    <w:rsid w:val="008D6B01"/>
    <w:rsid w:val="008D6D55"/>
    <w:rsid w:val="008D75B3"/>
    <w:rsid w:val="008D7CA9"/>
    <w:rsid w:val="008E01D5"/>
    <w:rsid w:val="008E02A4"/>
    <w:rsid w:val="008E0AB5"/>
    <w:rsid w:val="008E0B71"/>
    <w:rsid w:val="008E1314"/>
    <w:rsid w:val="008E1BD9"/>
    <w:rsid w:val="008E1C27"/>
    <w:rsid w:val="008E1F4E"/>
    <w:rsid w:val="008E2377"/>
    <w:rsid w:val="008E250B"/>
    <w:rsid w:val="008E26A0"/>
    <w:rsid w:val="008E26D6"/>
    <w:rsid w:val="008E2854"/>
    <w:rsid w:val="008E2C99"/>
    <w:rsid w:val="008E2D00"/>
    <w:rsid w:val="008E3002"/>
    <w:rsid w:val="008E3282"/>
    <w:rsid w:val="008E34C2"/>
    <w:rsid w:val="008E36C4"/>
    <w:rsid w:val="008E3944"/>
    <w:rsid w:val="008E3C7F"/>
    <w:rsid w:val="008E3EE5"/>
    <w:rsid w:val="008E481D"/>
    <w:rsid w:val="008E4C73"/>
    <w:rsid w:val="008E4E4F"/>
    <w:rsid w:val="008E5BA0"/>
    <w:rsid w:val="008E60B7"/>
    <w:rsid w:val="008E65C3"/>
    <w:rsid w:val="008E660D"/>
    <w:rsid w:val="008E7801"/>
    <w:rsid w:val="008E7EAB"/>
    <w:rsid w:val="008F030C"/>
    <w:rsid w:val="008F0376"/>
    <w:rsid w:val="008F0492"/>
    <w:rsid w:val="008F05D7"/>
    <w:rsid w:val="008F0B7F"/>
    <w:rsid w:val="008F104C"/>
    <w:rsid w:val="008F1089"/>
    <w:rsid w:val="008F11F1"/>
    <w:rsid w:val="008F1831"/>
    <w:rsid w:val="008F18C0"/>
    <w:rsid w:val="008F1B95"/>
    <w:rsid w:val="008F1FB7"/>
    <w:rsid w:val="008F1FC8"/>
    <w:rsid w:val="008F31E8"/>
    <w:rsid w:val="008F35AF"/>
    <w:rsid w:val="008F3780"/>
    <w:rsid w:val="008F4580"/>
    <w:rsid w:val="008F45FC"/>
    <w:rsid w:val="008F47DB"/>
    <w:rsid w:val="008F4920"/>
    <w:rsid w:val="008F4B3B"/>
    <w:rsid w:val="008F4B6A"/>
    <w:rsid w:val="008F4E1B"/>
    <w:rsid w:val="008F5347"/>
    <w:rsid w:val="008F554D"/>
    <w:rsid w:val="008F565D"/>
    <w:rsid w:val="008F5AB4"/>
    <w:rsid w:val="008F60A3"/>
    <w:rsid w:val="008F6519"/>
    <w:rsid w:val="008F70B4"/>
    <w:rsid w:val="008F72C7"/>
    <w:rsid w:val="008F756C"/>
    <w:rsid w:val="008F76FF"/>
    <w:rsid w:val="008F78AD"/>
    <w:rsid w:val="008F7BBC"/>
    <w:rsid w:val="008F7E6B"/>
    <w:rsid w:val="0090019B"/>
    <w:rsid w:val="00900D7D"/>
    <w:rsid w:val="0090137F"/>
    <w:rsid w:val="009015C5"/>
    <w:rsid w:val="009019A6"/>
    <w:rsid w:val="00902C4F"/>
    <w:rsid w:val="00902E31"/>
    <w:rsid w:val="009038A2"/>
    <w:rsid w:val="00903BD9"/>
    <w:rsid w:val="00904123"/>
    <w:rsid w:val="00904547"/>
    <w:rsid w:val="009048A3"/>
    <w:rsid w:val="00904EEB"/>
    <w:rsid w:val="00905647"/>
    <w:rsid w:val="00905E57"/>
    <w:rsid w:val="009061FD"/>
    <w:rsid w:val="0090690F"/>
    <w:rsid w:val="0090699F"/>
    <w:rsid w:val="00906C01"/>
    <w:rsid w:val="0090733C"/>
    <w:rsid w:val="009074A4"/>
    <w:rsid w:val="0090754A"/>
    <w:rsid w:val="009076DB"/>
    <w:rsid w:val="00907E46"/>
    <w:rsid w:val="00907F13"/>
    <w:rsid w:val="009100DC"/>
    <w:rsid w:val="00910289"/>
    <w:rsid w:val="009119C5"/>
    <w:rsid w:val="00911C5C"/>
    <w:rsid w:val="0091213B"/>
    <w:rsid w:val="0091267C"/>
    <w:rsid w:val="00912B2C"/>
    <w:rsid w:val="00912BBF"/>
    <w:rsid w:val="00912EF4"/>
    <w:rsid w:val="009131DB"/>
    <w:rsid w:val="00913506"/>
    <w:rsid w:val="00913512"/>
    <w:rsid w:val="009136A5"/>
    <w:rsid w:val="0091470D"/>
    <w:rsid w:val="00914AA9"/>
    <w:rsid w:val="0091514A"/>
    <w:rsid w:val="00915259"/>
    <w:rsid w:val="00915377"/>
    <w:rsid w:val="009154DE"/>
    <w:rsid w:val="009154F9"/>
    <w:rsid w:val="0091563F"/>
    <w:rsid w:val="00915A02"/>
    <w:rsid w:val="00915C70"/>
    <w:rsid w:val="0091612A"/>
    <w:rsid w:val="00916CD9"/>
    <w:rsid w:val="009172EA"/>
    <w:rsid w:val="0091751B"/>
    <w:rsid w:val="009175DF"/>
    <w:rsid w:val="009203CF"/>
    <w:rsid w:val="00920A55"/>
    <w:rsid w:val="009214D1"/>
    <w:rsid w:val="00921857"/>
    <w:rsid w:val="00921B0E"/>
    <w:rsid w:val="00921B93"/>
    <w:rsid w:val="00921D77"/>
    <w:rsid w:val="009220E9"/>
    <w:rsid w:val="009220FF"/>
    <w:rsid w:val="00922180"/>
    <w:rsid w:val="0092230E"/>
    <w:rsid w:val="00922530"/>
    <w:rsid w:val="0092285D"/>
    <w:rsid w:val="00922DA7"/>
    <w:rsid w:val="00922DDA"/>
    <w:rsid w:val="00922E9D"/>
    <w:rsid w:val="009231BC"/>
    <w:rsid w:val="00923B22"/>
    <w:rsid w:val="00924056"/>
    <w:rsid w:val="009240AE"/>
    <w:rsid w:val="009243E0"/>
    <w:rsid w:val="009247B2"/>
    <w:rsid w:val="00924918"/>
    <w:rsid w:val="00924F96"/>
    <w:rsid w:val="00926027"/>
    <w:rsid w:val="0092651D"/>
    <w:rsid w:val="00926DBB"/>
    <w:rsid w:val="00926F25"/>
    <w:rsid w:val="009274F2"/>
    <w:rsid w:val="009277EF"/>
    <w:rsid w:val="0092790E"/>
    <w:rsid w:val="00927995"/>
    <w:rsid w:val="00927A2E"/>
    <w:rsid w:val="00927E9A"/>
    <w:rsid w:val="00927EA0"/>
    <w:rsid w:val="00931344"/>
    <w:rsid w:val="00931502"/>
    <w:rsid w:val="00931BFB"/>
    <w:rsid w:val="00932C78"/>
    <w:rsid w:val="00932EF2"/>
    <w:rsid w:val="00933640"/>
    <w:rsid w:val="0093393C"/>
    <w:rsid w:val="00933DBF"/>
    <w:rsid w:val="00933DE4"/>
    <w:rsid w:val="0093440C"/>
    <w:rsid w:val="0093473C"/>
    <w:rsid w:val="009349B4"/>
    <w:rsid w:val="00934DB0"/>
    <w:rsid w:val="00934F54"/>
    <w:rsid w:val="00935348"/>
    <w:rsid w:val="009353B2"/>
    <w:rsid w:val="00935EA8"/>
    <w:rsid w:val="009365A2"/>
    <w:rsid w:val="00936B91"/>
    <w:rsid w:val="00936BF0"/>
    <w:rsid w:val="00936DDB"/>
    <w:rsid w:val="00936E53"/>
    <w:rsid w:val="0093732A"/>
    <w:rsid w:val="00937BEB"/>
    <w:rsid w:val="00937C0C"/>
    <w:rsid w:val="00937D2D"/>
    <w:rsid w:val="0094027F"/>
    <w:rsid w:val="00940472"/>
    <w:rsid w:val="00940479"/>
    <w:rsid w:val="0094081D"/>
    <w:rsid w:val="00940C03"/>
    <w:rsid w:val="009410D1"/>
    <w:rsid w:val="009413D0"/>
    <w:rsid w:val="009422D6"/>
    <w:rsid w:val="00942973"/>
    <w:rsid w:val="00942AB5"/>
    <w:rsid w:val="00942B06"/>
    <w:rsid w:val="00942B6A"/>
    <w:rsid w:val="00942C37"/>
    <w:rsid w:val="00942E5A"/>
    <w:rsid w:val="00942EE2"/>
    <w:rsid w:val="00943597"/>
    <w:rsid w:val="00943780"/>
    <w:rsid w:val="00943916"/>
    <w:rsid w:val="00943939"/>
    <w:rsid w:val="00943D3D"/>
    <w:rsid w:val="00943E78"/>
    <w:rsid w:val="00943FA2"/>
    <w:rsid w:val="009444E9"/>
    <w:rsid w:val="009453D5"/>
    <w:rsid w:val="00945A73"/>
    <w:rsid w:val="00945AA5"/>
    <w:rsid w:val="009460BB"/>
    <w:rsid w:val="00946CD0"/>
    <w:rsid w:val="00946E82"/>
    <w:rsid w:val="00947311"/>
    <w:rsid w:val="00947502"/>
    <w:rsid w:val="00947818"/>
    <w:rsid w:val="00947853"/>
    <w:rsid w:val="009512DD"/>
    <w:rsid w:val="00951656"/>
    <w:rsid w:val="00951762"/>
    <w:rsid w:val="00951790"/>
    <w:rsid w:val="00952078"/>
    <w:rsid w:val="009522ED"/>
    <w:rsid w:val="00952899"/>
    <w:rsid w:val="00953098"/>
    <w:rsid w:val="009531D7"/>
    <w:rsid w:val="00953335"/>
    <w:rsid w:val="009536ED"/>
    <w:rsid w:val="00953756"/>
    <w:rsid w:val="0095376D"/>
    <w:rsid w:val="00953C51"/>
    <w:rsid w:val="00953CF5"/>
    <w:rsid w:val="00953E69"/>
    <w:rsid w:val="00954142"/>
    <w:rsid w:val="009542B7"/>
    <w:rsid w:val="00954757"/>
    <w:rsid w:val="00954DAF"/>
    <w:rsid w:val="00954E60"/>
    <w:rsid w:val="009550CD"/>
    <w:rsid w:val="009555BE"/>
    <w:rsid w:val="00955624"/>
    <w:rsid w:val="00955C39"/>
    <w:rsid w:val="00955FB4"/>
    <w:rsid w:val="00956090"/>
    <w:rsid w:val="0095616F"/>
    <w:rsid w:val="00956238"/>
    <w:rsid w:val="00956378"/>
    <w:rsid w:val="00956FCE"/>
    <w:rsid w:val="0095725B"/>
    <w:rsid w:val="009574EF"/>
    <w:rsid w:val="00957659"/>
    <w:rsid w:val="00957984"/>
    <w:rsid w:val="00957BF2"/>
    <w:rsid w:val="00957D86"/>
    <w:rsid w:val="00957EAB"/>
    <w:rsid w:val="009600D7"/>
    <w:rsid w:val="00960365"/>
    <w:rsid w:val="0096054D"/>
    <w:rsid w:val="00960B8B"/>
    <w:rsid w:val="00960D8C"/>
    <w:rsid w:val="00960E6E"/>
    <w:rsid w:val="00960F4E"/>
    <w:rsid w:val="00961702"/>
    <w:rsid w:val="00961B4D"/>
    <w:rsid w:val="009622E2"/>
    <w:rsid w:val="0096256C"/>
    <w:rsid w:val="0096275F"/>
    <w:rsid w:val="00962BCC"/>
    <w:rsid w:val="00963762"/>
    <w:rsid w:val="0096389C"/>
    <w:rsid w:val="009639A3"/>
    <w:rsid w:val="00963B1B"/>
    <w:rsid w:val="00963B27"/>
    <w:rsid w:val="00963D8B"/>
    <w:rsid w:val="00963EB4"/>
    <w:rsid w:val="0096457A"/>
    <w:rsid w:val="00964736"/>
    <w:rsid w:val="0096476A"/>
    <w:rsid w:val="00964A6D"/>
    <w:rsid w:val="00964E50"/>
    <w:rsid w:val="00964F14"/>
    <w:rsid w:val="00964F2F"/>
    <w:rsid w:val="00965130"/>
    <w:rsid w:val="009651C0"/>
    <w:rsid w:val="0096557F"/>
    <w:rsid w:val="0096577D"/>
    <w:rsid w:val="00965ADC"/>
    <w:rsid w:val="00965FE2"/>
    <w:rsid w:val="009661F6"/>
    <w:rsid w:val="00966396"/>
    <w:rsid w:val="0096681F"/>
    <w:rsid w:val="00966EDC"/>
    <w:rsid w:val="009677C4"/>
    <w:rsid w:val="009678C2"/>
    <w:rsid w:val="00967B78"/>
    <w:rsid w:val="00970095"/>
    <w:rsid w:val="00970CB2"/>
    <w:rsid w:val="00970F03"/>
    <w:rsid w:val="0097100C"/>
    <w:rsid w:val="00971217"/>
    <w:rsid w:val="00971869"/>
    <w:rsid w:val="00971AAB"/>
    <w:rsid w:val="00971B75"/>
    <w:rsid w:val="00971C32"/>
    <w:rsid w:val="00971E7C"/>
    <w:rsid w:val="00972167"/>
    <w:rsid w:val="009725C5"/>
    <w:rsid w:val="00973540"/>
    <w:rsid w:val="00973888"/>
    <w:rsid w:val="00973B32"/>
    <w:rsid w:val="00973C98"/>
    <w:rsid w:val="00973D6F"/>
    <w:rsid w:val="00973DFC"/>
    <w:rsid w:val="00974362"/>
    <w:rsid w:val="0097488B"/>
    <w:rsid w:val="0097494F"/>
    <w:rsid w:val="00974E12"/>
    <w:rsid w:val="00975135"/>
    <w:rsid w:val="00975660"/>
    <w:rsid w:val="009759AB"/>
    <w:rsid w:val="0097651E"/>
    <w:rsid w:val="009766E3"/>
    <w:rsid w:val="009768A1"/>
    <w:rsid w:val="009779F1"/>
    <w:rsid w:val="00977A16"/>
    <w:rsid w:val="00977A8E"/>
    <w:rsid w:val="00977D05"/>
    <w:rsid w:val="00977D23"/>
    <w:rsid w:val="00980111"/>
    <w:rsid w:val="009801EF"/>
    <w:rsid w:val="009802F1"/>
    <w:rsid w:val="00980828"/>
    <w:rsid w:val="0098167F"/>
    <w:rsid w:val="00981BA4"/>
    <w:rsid w:val="0098260C"/>
    <w:rsid w:val="0098265D"/>
    <w:rsid w:val="009833B5"/>
    <w:rsid w:val="00984426"/>
    <w:rsid w:val="00984BF9"/>
    <w:rsid w:val="0098573C"/>
    <w:rsid w:val="00985ABB"/>
    <w:rsid w:val="00986271"/>
    <w:rsid w:val="00987C44"/>
    <w:rsid w:val="009900B5"/>
    <w:rsid w:val="00990300"/>
    <w:rsid w:val="00990A6D"/>
    <w:rsid w:val="00990C1C"/>
    <w:rsid w:val="00990E92"/>
    <w:rsid w:val="00991127"/>
    <w:rsid w:val="009911EC"/>
    <w:rsid w:val="00991FF3"/>
    <w:rsid w:val="00992C20"/>
    <w:rsid w:val="00992F0B"/>
    <w:rsid w:val="00992FFC"/>
    <w:rsid w:val="00993029"/>
    <w:rsid w:val="009932CC"/>
    <w:rsid w:val="00993692"/>
    <w:rsid w:val="00994079"/>
    <w:rsid w:val="009949C8"/>
    <w:rsid w:val="00994EE9"/>
    <w:rsid w:val="009951C9"/>
    <w:rsid w:val="009952D5"/>
    <w:rsid w:val="009959A2"/>
    <w:rsid w:val="00995A79"/>
    <w:rsid w:val="00995E23"/>
    <w:rsid w:val="0099667A"/>
    <w:rsid w:val="00996DED"/>
    <w:rsid w:val="00996E12"/>
    <w:rsid w:val="00996FB3"/>
    <w:rsid w:val="00997060"/>
    <w:rsid w:val="0099712D"/>
    <w:rsid w:val="0099787E"/>
    <w:rsid w:val="00997E06"/>
    <w:rsid w:val="009A043B"/>
    <w:rsid w:val="009A06E1"/>
    <w:rsid w:val="009A0D96"/>
    <w:rsid w:val="009A0FA1"/>
    <w:rsid w:val="009A163D"/>
    <w:rsid w:val="009A17BA"/>
    <w:rsid w:val="009A1B97"/>
    <w:rsid w:val="009A1D05"/>
    <w:rsid w:val="009A1DD1"/>
    <w:rsid w:val="009A2089"/>
    <w:rsid w:val="009A215E"/>
    <w:rsid w:val="009A2387"/>
    <w:rsid w:val="009A23B3"/>
    <w:rsid w:val="009A25C2"/>
    <w:rsid w:val="009A2823"/>
    <w:rsid w:val="009A2B65"/>
    <w:rsid w:val="009A2B6E"/>
    <w:rsid w:val="009A3197"/>
    <w:rsid w:val="009A3406"/>
    <w:rsid w:val="009A39C8"/>
    <w:rsid w:val="009A3F97"/>
    <w:rsid w:val="009A4505"/>
    <w:rsid w:val="009A4844"/>
    <w:rsid w:val="009A4E54"/>
    <w:rsid w:val="009A530B"/>
    <w:rsid w:val="009A54B2"/>
    <w:rsid w:val="009A5944"/>
    <w:rsid w:val="009A59D4"/>
    <w:rsid w:val="009A59EB"/>
    <w:rsid w:val="009A5B36"/>
    <w:rsid w:val="009A5FE0"/>
    <w:rsid w:val="009A61A2"/>
    <w:rsid w:val="009A639F"/>
    <w:rsid w:val="009A75AE"/>
    <w:rsid w:val="009A7987"/>
    <w:rsid w:val="009B01E0"/>
    <w:rsid w:val="009B0740"/>
    <w:rsid w:val="009B0BFD"/>
    <w:rsid w:val="009B0D49"/>
    <w:rsid w:val="009B110D"/>
    <w:rsid w:val="009B119C"/>
    <w:rsid w:val="009B15E4"/>
    <w:rsid w:val="009B170A"/>
    <w:rsid w:val="009B1C1D"/>
    <w:rsid w:val="009B227D"/>
    <w:rsid w:val="009B2A51"/>
    <w:rsid w:val="009B2BE5"/>
    <w:rsid w:val="009B2D32"/>
    <w:rsid w:val="009B2F6A"/>
    <w:rsid w:val="009B342B"/>
    <w:rsid w:val="009B38CE"/>
    <w:rsid w:val="009B3BC5"/>
    <w:rsid w:val="009B3E2A"/>
    <w:rsid w:val="009B4103"/>
    <w:rsid w:val="009B4381"/>
    <w:rsid w:val="009B438F"/>
    <w:rsid w:val="009B4AE8"/>
    <w:rsid w:val="009B4DBF"/>
    <w:rsid w:val="009B5241"/>
    <w:rsid w:val="009B57A7"/>
    <w:rsid w:val="009B57C1"/>
    <w:rsid w:val="009B585E"/>
    <w:rsid w:val="009B5ACA"/>
    <w:rsid w:val="009B5B08"/>
    <w:rsid w:val="009B6569"/>
    <w:rsid w:val="009B666E"/>
    <w:rsid w:val="009B6C18"/>
    <w:rsid w:val="009B72D7"/>
    <w:rsid w:val="009C026C"/>
    <w:rsid w:val="009C07BD"/>
    <w:rsid w:val="009C0862"/>
    <w:rsid w:val="009C0C46"/>
    <w:rsid w:val="009C0FE1"/>
    <w:rsid w:val="009C1185"/>
    <w:rsid w:val="009C12EE"/>
    <w:rsid w:val="009C13FD"/>
    <w:rsid w:val="009C1623"/>
    <w:rsid w:val="009C1964"/>
    <w:rsid w:val="009C1CDD"/>
    <w:rsid w:val="009C1EEF"/>
    <w:rsid w:val="009C2016"/>
    <w:rsid w:val="009C25EC"/>
    <w:rsid w:val="009C2BC3"/>
    <w:rsid w:val="009C2F95"/>
    <w:rsid w:val="009C3016"/>
    <w:rsid w:val="009C30CF"/>
    <w:rsid w:val="009C316C"/>
    <w:rsid w:val="009C345C"/>
    <w:rsid w:val="009C35E5"/>
    <w:rsid w:val="009C3648"/>
    <w:rsid w:val="009C3D5E"/>
    <w:rsid w:val="009C40D4"/>
    <w:rsid w:val="009C43A6"/>
    <w:rsid w:val="009C4719"/>
    <w:rsid w:val="009C4C35"/>
    <w:rsid w:val="009C4E09"/>
    <w:rsid w:val="009C51D1"/>
    <w:rsid w:val="009C52A5"/>
    <w:rsid w:val="009C5D95"/>
    <w:rsid w:val="009C62E1"/>
    <w:rsid w:val="009C64C3"/>
    <w:rsid w:val="009C655C"/>
    <w:rsid w:val="009C66DB"/>
    <w:rsid w:val="009C6734"/>
    <w:rsid w:val="009C689E"/>
    <w:rsid w:val="009C6F73"/>
    <w:rsid w:val="009C780E"/>
    <w:rsid w:val="009C78D3"/>
    <w:rsid w:val="009C7A4C"/>
    <w:rsid w:val="009C7A50"/>
    <w:rsid w:val="009D0170"/>
    <w:rsid w:val="009D0509"/>
    <w:rsid w:val="009D0EC3"/>
    <w:rsid w:val="009D13C3"/>
    <w:rsid w:val="009D14B0"/>
    <w:rsid w:val="009D184A"/>
    <w:rsid w:val="009D197C"/>
    <w:rsid w:val="009D1B28"/>
    <w:rsid w:val="009D1B5D"/>
    <w:rsid w:val="009D1CED"/>
    <w:rsid w:val="009D1E83"/>
    <w:rsid w:val="009D2084"/>
    <w:rsid w:val="009D212A"/>
    <w:rsid w:val="009D25FA"/>
    <w:rsid w:val="009D2661"/>
    <w:rsid w:val="009D2AF6"/>
    <w:rsid w:val="009D3A21"/>
    <w:rsid w:val="009D3B14"/>
    <w:rsid w:val="009D4009"/>
    <w:rsid w:val="009D48F2"/>
    <w:rsid w:val="009D4B25"/>
    <w:rsid w:val="009D4C0D"/>
    <w:rsid w:val="009D4E9A"/>
    <w:rsid w:val="009D52D4"/>
    <w:rsid w:val="009D5478"/>
    <w:rsid w:val="009D63D2"/>
    <w:rsid w:val="009D66BF"/>
    <w:rsid w:val="009D6886"/>
    <w:rsid w:val="009D6955"/>
    <w:rsid w:val="009D6E57"/>
    <w:rsid w:val="009D6F59"/>
    <w:rsid w:val="009D7196"/>
    <w:rsid w:val="009D74A0"/>
    <w:rsid w:val="009D7725"/>
    <w:rsid w:val="009D785C"/>
    <w:rsid w:val="009E01C8"/>
    <w:rsid w:val="009E0B19"/>
    <w:rsid w:val="009E0B44"/>
    <w:rsid w:val="009E0B7B"/>
    <w:rsid w:val="009E0BD0"/>
    <w:rsid w:val="009E0C57"/>
    <w:rsid w:val="009E0C93"/>
    <w:rsid w:val="009E10C6"/>
    <w:rsid w:val="009E121F"/>
    <w:rsid w:val="009E16A0"/>
    <w:rsid w:val="009E1796"/>
    <w:rsid w:val="009E1EC9"/>
    <w:rsid w:val="009E1F72"/>
    <w:rsid w:val="009E2239"/>
    <w:rsid w:val="009E2383"/>
    <w:rsid w:val="009E2703"/>
    <w:rsid w:val="009E2BA0"/>
    <w:rsid w:val="009E320A"/>
    <w:rsid w:val="009E3225"/>
    <w:rsid w:val="009E329E"/>
    <w:rsid w:val="009E32F0"/>
    <w:rsid w:val="009E361B"/>
    <w:rsid w:val="009E3DA1"/>
    <w:rsid w:val="009E3EB4"/>
    <w:rsid w:val="009E3F19"/>
    <w:rsid w:val="009E415B"/>
    <w:rsid w:val="009E4240"/>
    <w:rsid w:val="009E4773"/>
    <w:rsid w:val="009E4827"/>
    <w:rsid w:val="009E482E"/>
    <w:rsid w:val="009E4DEF"/>
    <w:rsid w:val="009E512D"/>
    <w:rsid w:val="009E52D2"/>
    <w:rsid w:val="009E55DC"/>
    <w:rsid w:val="009E5968"/>
    <w:rsid w:val="009E5ED9"/>
    <w:rsid w:val="009E5EFA"/>
    <w:rsid w:val="009E6018"/>
    <w:rsid w:val="009E612B"/>
    <w:rsid w:val="009E6319"/>
    <w:rsid w:val="009E6563"/>
    <w:rsid w:val="009E659F"/>
    <w:rsid w:val="009E6618"/>
    <w:rsid w:val="009E6ABE"/>
    <w:rsid w:val="009E6C45"/>
    <w:rsid w:val="009E70E4"/>
    <w:rsid w:val="009F0462"/>
    <w:rsid w:val="009F0677"/>
    <w:rsid w:val="009F08EE"/>
    <w:rsid w:val="009F0FA6"/>
    <w:rsid w:val="009F170A"/>
    <w:rsid w:val="009F1E06"/>
    <w:rsid w:val="009F20B2"/>
    <w:rsid w:val="009F2140"/>
    <w:rsid w:val="009F2298"/>
    <w:rsid w:val="009F242C"/>
    <w:rsid w:val="009F3656"/>
    <w:rsid w:val="009F372B"/>
    <w:rsid w:val="009F3C7E"/>
    <w:rsid w:val="009F3CC4"/>
    <w:rsid w:val="009F4A3E"/>
    <w:rsid w:val="009F4AD2"/>
    <w:rsid w:val="009F4BF8"/>
    <w:rsid w:val="009F4F2A"/>
    <w:rsid w:val="009F5012"/>
    <w:rsid w:val="009F543C"/>
    <w:rsid w:val="009F5473"/>
    <w:rsid w:val="009F5500"/>
    <w:rsid w:val="009F5FC8"/>
    <w:rsid w:val="009F614B"/>
    <w:rsid w:val="009F63B2"/>
    <w:rsid w:val="009F6546"/>
    <w:rsid w:val="009F69BE"/>
    <w:rsid w:val="009F6A66"/>
    <w:rsid w:val="009F7028"/>
    <w:rsid w:val="009F739F"/>
    <w:rsid w:val="009F7BC2"/>
    <w:rsid w:val="00A002FC"/>
    <w:rsid w:val="00A00C66"/>
    <w:rsid w:val="00A00C84"/>
    <w:rsid w:val="00A0107F"/>
    <w:rsid w:val="00A01410"/>
    <w:rsid w:val="00A01623"/>
    <w:rsid w:val="00A01863"/>
    <w:rsid w:val="00A020DF"/>
    <w:rsid w:val="00A02B70"/>
    <w:rsid w:val="00A03851"/>
    <w:rsid w:val="00A03D6F"/>
    <w:rsid w:val="00A04029"/>
    <w:rsid w:val="00A042B2"/>
    <w:rsid w:val="00A042FF"/>
    <w:rsid w:val="00A04459"/>
    <w:rsid w:val="00A04AAB"/>
    <w:rsid w:val="00A04C61"/>
    <w:rsid w:val="00A05746"/>
    <w:rsid w:val="00A06346"/>
    <w:rsid w:val="00A06460"/>
    <w:rsid w:val="00A06879"/>
    <w:rsid w:val="00A06B6B"/>
    <w:rsid w:val="00A06FBD"/>
    <w:rsid w:val="00A07AED"/>
    <w:rsid w:val="00A1024D"/>
    <w:rsid w:val="00A10F06"/>
    <w:rsid w:val="00A11306"/>
    <w:rsid w:val="00A113D7"/>
    <w:rsid w:val="00A11473"/>
    <w:rsid w:val="00A11DA5"/>
    <w:rsid w:val="00A12DC7"/>
    <w:rsid w:val="00A12FE6"/>
    <w:rsid w:val="00A1303B"/>
    <w:rsid w:val="00A13120"/>
    <w:rsid w:val="00A134CC"/>
    <w:rsid w:val="00A135B9"/>
    <w:rsid w:val="00A13BD1"/>
    <w:rsid w:val="00A14134"/>
    <w:rsid w:val="00A14C1D"/>
    <w:rsid w:val="00A14C6F"/>
    <w:rsid w:val="00A15071"/>
    <w:rsid w:val="00A15621"/>
    <w:rsid w:val="00A15770"/>
    <w:rsid w:val="00A161E6"/>
    <w:rsid w:val="00A16314"/>
    <w:rsid w:val="00A1679D"/>
    <w:rsid w:val="00A16FD2"/>
    <w:rsid w:val="00A17575"/>
    <w:rsid w:val="00A176B7"/>
    <w:rsid w:val="00A177E5"/>
    <w:rsid w:val="00A17BF6"/>
    <w:rsid w:val="00A17F53"/>
    <w:rsid w:val="00A211C2"/>
    <w:rsid w:val="00A2213A"/>
    <w:rsid w:val="00A22230"/>
    <w:rsid w:val="00A2270C"/>
    <w:rsid w:val="00A230C9"/>
    <w:rsid w:val="00A23630"/>
    <w:rsid w:val="00A240DF"/>
    <w:rsid w:val="00A25DF6"/>
    <w:rsid w:val="00A2645E"/>
    <w:rsid w:val="00A26ACE"/>
    <w:rsid w:val="00A26CF0"/>
    <w:rsid w:val="00A26D57"/>
    <w:rsid w:val="00A270F4"/>
    <w:rsid w:val="00A27744"/>
    <w:rsid w:val="00A300D4"/>
    <w:rsid w:val="00A30F18"/>
    <w:rsid w:val="00A31082"/>
    <w:rsid w:val="00A318DB"/>
    <w:rsid w:val="00A3230B"/>
    <w:rsid w:val="00A323DE"/>
    <w:rsid w:val="00A32906"/>
    <w:rsid w:val="00A33C5D"/>
    <w:rsid w:val="00A3469B"/>
    <w:rsid w:val="00A3488D"/>
    <w:rsid w:val="00A34890"/>
    <w:rsid w:val="00A350F4"/>
    <w:rsid w:val="00A35C7D"/>
    <w:rsid w:val="00A36080"/>
    <w:rsid w:val="00A36580"/>
    <w:rsid w:val="00A37AD6"/>
    <w:rsid w:val="00A37E43"/>
    <w:rsid w:val="00A40054"/>
    <w:rsid w:val="00A40060"/>
    <w:rsid w:val="00A405D2"/>
    <w:rsid w:val="00A4060D"/>
    <w:rsid w:val="00A40823"/>
    <w:rsid w:val="00A40A68"/>
    <w:rsid w:val="00A40E96"/>
    <w:rsid w:val="00A4100A"/>
    <w:rsid w:val="00A41115"/>
    <w:rsid w:val="00A415CF"/>
    <w:rsid w:val="00A41EBF"/>
    <w:rsid w:val="00A422F9"/>
    <w:rsid w:val="00A42520"/>
    <w:rsid w:val="00A42821"/>
    <w:rsid w:val="00A42A2B"/>
    <w:rsid w:val="00A42B0B"/>
    <w:rsid w:val="00A431B5"/>
    <w:rsid w:val="00A43BFD"/>
    <w:rsid w:val="00A44618"/>
    <w:rsid w:val="00A446AB"/>
    <w:rsid w:val="00A4489B"/>
    <w:rsid w:val="00A44CA1"/>
    <w:rsid w:val="00A44F7F"/>
    <w:rsid w:val="00A4507B"/>
    <w:rsid w:val="00A454F2"/>
    <w:rsid w:val="00A45833"/>
    <w:rsid w:val="00A45C41"/>
    <w:rsid w:val="00A461FA"/>
    <w:rsid w:val="00A46354"/>
    <w:rsid w:val="00A46421"/>
    <w:rsid w:val="00A465E1"/>
    <w:rsid w:val="00A46C66"/>
    <w:rsid w:val="00A46D60"/>
    <w:rsid w:val="00A46F6A"/>
    <w:rsid w:val="00A47298"/>
    <w:rsid w:val="00A47458"/>
    <w:rsid w:val="00A47C5F"/>
    <w:rsid w:val="00A47CC5"/>
    <w:rsid w:val="00A47EF9"/>
    <w:rsid w:val="00A506B5"/>
    <w:rsid w:val="00A50804"/>
    <w:rsid w:val="00A50EC3"/>
    <w:rsid w:val="00A50F2F"/>
    <w:rsid w:val="00A51109"/>
    <w:rsid w:val="00A51233"/>
    <w:rsid w:val="00A51388"/>
    <w:rsid w:val="00A5146F"/>
    <w:rsid w:val="00A514CA"/>
    <w:rsid w:val="00A515C3"/>
    <w:rsid w:val="00A5195A"/>
    <w:rsid w:val="00A51B84"/>
    <w:rsid w:val="00A527F8"/>
    <w:rsid w:val="00A52971"/>
    <w:rsid w:val="00A52BFB"/>
    <w:rsid w:val="00A52D0E"/>
    <w:rsid w:val="00A52DC1"/>
    <w:rsid w:val="00A52F5D"/>
    <w:rsid w:val="00A53253"/>
    <w:rsid w:val="00A53373"/>
    <w:rsid w:val="00A53581"/>
    <w:rsid w:val="00A536D2"/>
    <w:rsid w:val="00A539A2"/>
    <w:rsid w:val="00A53BE4"/>
    <w:rsid w:val="00A54E33"/>
    <w:rsid w:val="00A54F13"/>
    <w:rsid w:val="00A55073"/>
    <w:rsid w:val="00A55622"/>
    <w:rsid w:val="00A557C7"/>
    <w:rsid w:val="00A56291"/>
    <w:rsid w:val="00A56342"/>
    <w:rsid w:val="00A5665B"/>
    <w:rsid w:val="00A56946"/>
    <w:rsid w:val="00A57883"/>
    <w:rsid w:val="00A578EF"/>
    <w:rsid w:val="00A57D5B"/>
    <w:rsid w:val="00A605C8"/>
    <w:rsid w:val="00A60F51"/>
    <w:rsid w:val="00A615BB"/>
    <w:rsid w:val="00A61A47"/>
    <w:rsid w:val="00A62481"/>
    <w:rsid w:val="00A62645"/>
    <w:rsid w:val="00A626FE"/>
    <w:rsid w:val="00A62D2B"/>
    <w:rsid w:val="00A62F0F"/>
    <w:rsid w:val="00A63000"/>
    <w:rsid w:val="00A63126"/>
    <w:rsid w:val="00A63297"/>
    <w:rsid w:val="00A633EF"/>
    <w:rsid w:val="00A63A9D"/>
    <w:rsid w:val="00A63D0E"/>
    <w:rsid w:val="00A63FC0"/>
    <w:rsid w:val="00A64375"/>
    <w:rsid w:val="00A6484A"/>
    <w:rsid w:val="00A64B34"/>
    <w:rsid w:val="00A64BCB"/>
    <w:rsid w:val="00A65646"/>
    <w:rsid w:val="00A658D0"/>
    <w:rsid w:val="00A6597C"/>
    <w:rsid w:val="00A65A76"/>
    <w:rsid w:val="00A6600F"/>
    <w:rsid w:val="00A66292"/>
    <w:rsid w:val="00A669F2"/>
    <w:rsid w:val="00A672D1"/>
    <w:rsid w:val="00A676F1"/>
    <w:rsid w:val="00A70026"/>
    <w:rsid w:val="00A7014C"/>
    <w:rsid w:val="00A705D8"/>
    <w:rsid w:val="00A70A31"/>
    <w:rsid w:val="00A70A97"/>
    <w:rsid w:val="00A70F1C"/>
    <w:rsid w:val="00A712C5"/>
    <w:rsid w:val="00A7149B"/>
    <w:rsid w:val="00A71A6D"/>
    <w:rsid w:val="00A71C8D"/>
    <w:rsid w:val="00A721A7"/>
    <w:rsid w:val="00A72726"/>
    <w:rsid w:val="00A72C3E"/>
    <w:rsid w:val="00A7307E"/>
    <w:rsid w:val="00A7318D"/>
    <w:rsid w:val="00A735C9"/>
    <w:rsid w:val="00A735E4"/>
    <w:rsid w:val="00A73617"/>
    <w:rsid w:val="00A736DA"/>
    <w:rsid w:val="00A73B2D"/>
    <w:rsid w:val="00A73BC1"/>
    <w:rsid w:val="00A73FD9"/>
    <w:rsid w:val="00A741F6"/>
    <w:rsid w:val="00A74323"/>
    <w:rsid w:val="00A74469"/>
    <w:rsid w:val="00A75B1E"/>
    <w:rsid w:val="00A75B9B"/>
    <w:rsid w:val="00A76450"/>
    <w:rsid w:val="00A76455"/>
    <w:rsid w:val="00A76524"/>
    <w:rsid w:val="00A765F1"/>
    <w:rsid w:val="00A76FEE"/>
    <w:rsid w:val="00A7719C"/>
    <w:rsid w:val="00A77393"/>
    <w:rsid w:val="00A77EDA"/>
    <w:rsid w:val="00A801C7"/>
    <w:rsid w:val="00A80347"/>
    <w:rsid w:val="00A809CA"/>
    <w:rsid w:val="00A80AB0"/>
    <w:rsid w:val="00A8124D"/>
    <w:rsid w:val="00A8134D"/>
    <w:rsid w:val="00A81399"/>
    <w:rsid w:val="00A813EB"/>
    <w:rsid w:val="00A81669"/>
    <w:rsid w:val="00A8168C"/>
    <w:rsid w:val="00A81875"/>
    <w:rsid w:val="00A8199F"/>
    <w:rsid w:val="00A81B18"/>
    <w:rsid w:val="00A8257B"/>
    <w:rsid w:val="00A827E1"/>
    <w:rsid w:val="00A82C22"/>
    <w:rsid w:val="00A82C58"/>
    <w:rsid w:val="00A82DC9"/>
    <w:rsid w:val="00A82FAA"/>
    <w:rsid w:val="00A83550"/>
    <w:rsid w:val="00A835F7"/>
    <w:rsid w:val="00A8367E"/>
    <w:rsid w:val="00A83EC7"/>
    <w:rsid w:val="00A83F2C"/>
    <w:rsid w:val="00A8410A"/>
    <w:rsid w:val="00A84A4F"/>
    <w:rsid w:val="00A84B74"/>
    <w:rsid w:val="00A85345"/>
    <w:rsid w:val="00A8577B"/>
    <w:rsid w:val="00A85ABC"/>
    <w:rsid w:val="00A85D01"/>
    <w:rsid w:val="00A85D8B"/>
    <w:rsid w:val="00A85ED7"/>
    <w:rsid w:val="00A85F18"/>
    <w:rsid w:val="00A8654A"/>
    <w:rsid w:val="00A86757"/>
    <w:rsid w:val="00A86F3D"/>
    <w:rsid w:val="00A87323"/>
    <w:rsid w:val="00A87577"/>
    <w:rsid w:val="00A90A10"/>
    <w:rsid w:val="00A90A77"/>
    <w:rsid w:val="00A90CCA"/>
    <w:rsid w:val="00A90D67"/>
    <w:rsid w:val="00A918C6"/>
    <w:rsid w:val="00A91952"/>
    <w:rsid w:val="00A91B7D"/>
    <w:rsid w:val="00A91C26"/>
    <w:rsid w:val="00A91E55"/>
    <w:rsid w:val="00A91E9B"/>
    <w:rsid w:val="00A9219D"/>
    <w:rsid w:val="00A92378"/>
    <w:rsid w:val="00A92538"/>
    <w:rsid w:val="00A92579"/>
    <w:rsid w:val="00A92797"/>
    <w:rsid w:val="00A928DA"/>
    <w:rsid w:val="00A92AFA"/>
    <w:rsid w:val="00A92C46"/>
    <w:rsid w:val="00A930C7"/>
    <w:rsid w:val="00A932DC"/>
    <w:rsid w:val="00A93A46"/>
    <w:rsid w:val="00A9442E"/>
    <w:rsid w:val="00A9448B"/>
    <w:rsid w:val="00A953BF"/>
    <w:rsid w:val="00A955A4"/>
    <w:rsid w:val="00A95F94"/>
    <w:rsid w:val="00A9668E"/>
    <w:rsid w:val="00A96752"/>
    <w:rsid w:val="00A97099"/>
    <w:rsid w:val="00A97405"/>
    <w:rsid w:val="00A97665"/>
    <w:rsid w:val="00A9774B"/>
    <w:rsid w:val="00AA01BF"/>
    <w:rsid w:val="00AA01E4"/>
    <w:rsid w:val="00AA02DE"/>
    <w:rsid w:val="00AA03AD"/>
    <w:rsid w:val="00AA0932"/>
    <w:rsid w:val="00AA0F0C"/>
    <w:rsid w:val="00AA0F98"/>
    <w:rsid w:val="00AA1158"/>
    <w:rsid w:val="00AA1305"/>
    <w:rsid w:val="00AA1670"/>
    <w:rsid w:val="00AA1865"/>
    <w:rsid w:val="00AA1A78"/>
    <w:rsid w:val="00AA1D11"/>
    <w:rsid w:val="00AA1EF3"/>
    <w:rsid w:val="00AA2347"/>
    <w:rsid w:val="00AA2722"/>
    <w:rsid w:val="00AA27BE"/>
    <w:rsid w:val="00AA2E3B"/>
    <w:rsid w:val="00AA3088"/>
    <w:rsid w:val="00AA32FF"/>
    <w:rsid w:val="00AA333B"/>
    <w:rsid w:val="00AA33B9"/>
    <w:rsid w:val="00AA36CF"/>
    <w:rsid w:val="00AA37DA"/>
    <w:rsid w:val="00AA3A20"/>
    <w:rsid w:val="00AA3C60"/>
    <w:rsid w:val="00AA3D7D"/>
    <w:rsid w:val="00AA3DBA"/>
    <w:rsid w:val="00AA4255"/>
    <w:rsid w:val="00AA479E"/>
    <w:rsid w:val="00AA4B40"/>
    <w:rsid w:val="00AA5235"/>
    <w:rsid w:val="00AA5990"/>
    <w:rsid w:val="00AA5F77"/>
    <w:rsid w:val="00AA6658"/>
    <w:rsid w:val="00AA6B06"/>
    <w:rsid w:val="00AA6BC5"/>
    <w:rsid w:val="00AA701D"/>
    <w:rsid w:val="00AA7433"/>
    <w:rsid w:val="00AA7AA2"/>
    <w:rsid w:val="00AA7B61"/>
    <w:rsid w:val="00AB003A"/>
    <w:rsid w:val="00AB004A"/>
    <w:rsid w:val="00AB03B2"/>
    <w:rsid w:val="00AB094A"/>
    <w:rsid w:val="00AB09CB"/>
    <w:rsid w:val="00AB0F86"/>
    <w:rsid w:val="00AB1805"/>
    <w:rsid w:val="00AB184B"/>
    <w:rsid w:val="00AB1852"/>
    <w:rsid w:val="00AB1865"/>
    <w:rsid w:val="00AB19C4"/>
    <w:rsid w:val="00AB2024"/>
    <w:rsid w:val="00AB2320"/>
    <w:rsid w:val="00AB23F3"/>
    <w:rsid w:val="00AB23FA"/>
    <w:rsid w:val="00AB3541"/>
    <w:rsid w:val="00AB3689"/>
    <w:rsid w:val="00AB3AE3"/>
    <w:rsid w:val="00AB4495"/>
    <w:rsid w:val="00AB46DC"/>
    <w:rsid w:val="00AB475B"/>
    <w:rsid w:val="00AB4B28"/>
    <w:rsid w:val="00AB510A"/>
    <w:rsid w:val="00AB5159"/>
    <w:rsid w:val="00AB5285"/>
    <w:rsid w:val="00AB545E"/>
    <w:rsid w:val="00AB5682"/>
    <w:rsid w:val="00AB5986"/>
    <w:rsid w:val="00AB5987"/>
    <w:rsid w:val="00AB5F24"/>
    <w:rsid w:val="00AB637D"/>
    <w:rsid w:val="00AB63BC"/>
    <w:rsid w:val="00AB6721"/>
    <w:rsid w:val="00AB6836"/>
    <w:rsid w:val="00AB6954"/>
    <w:rsid w:val="00AB6CB5"/>
    <w:rsid w:val="00AB7B91"/>
    <w:rsid w:val="00AC00B7"/>
    <w:rsid w:val="00AC0131"/>
    <w:rsid w:val="00AC0918"/>
    <w:rsid w:val="00AC0BDE"/>
    <w:rsid w:val="00AC12BC"/>
    <w:rsid w:val="00AC1612"/>
    <w:rsid w:val="00AC1806"/>
    <w:rsid w:val="00AC18EA"/>
    <w:rsid w:val="00AC1A8F"/>
    <w:rsid w:val="00AC24F5"/>
    <w:rsid w:val="00AC2799"/>
    <w:rsid w:val="00AC2EB6"/>
    <w:rsid w:val="00AC361E"/>
    <w:rsid w:val="00AC3B93"/>
    <w:rsid w:val="00AC45F2"/>
    <w:rsid w:val="00AC4C1B"/>
    <w:rsid w:val="00AC4D95"/>
    <w:rsid w:val="00AC56EF"/>
    <w:rsid w:val="00AC6141"/>
    <w:rsid w:val="00AC6275"/>
    <w:rsid w:val="00AC67D5"/>
    <w:rsid w:val="00AC6937"/>
    <w:rsid w:val="00AC69FF"/>
    <w:rsid w:val="00AC6BEB"/>
    <w:rsid w:val="00AC6CCB"/>
    <w:rsid w:val="00AC7151"/>
    <w:rsid w:val="00AC7745"/>
    <w:rsid w:val="00AC7C86"/>
    <w:rsid w:val="00AC7ECF"/>
    <w:rsid w:val="00AD02F1"/>
    <w:rsid w:val="00AD09CC"/>
    <w:rsid w:val="00AD0C4B"/>
    <w:rsid w:val="00AD1246"/>
    <w:rsid w:val="00AD1495"/>
    <w:rsid w:val="00AD1543"/>
    <w:rsid w:val="00AD22A1"/>
    <w:rsid w:val="00AD251B"/>
    <w:rsid w:val="00AD2B4D"/>
    <w:rsid w:val="00AD2E57"/>
    <w:rsid w:val="00AD3439"/>
    <w:rsid w:val="00AD34F3"/>
    <w:rsid w:val="00AD3BF0"/>
    <w:rsid w:val="00AD3DB8"/>
    <w:rsid w:val="00AD4077"/>
    <w:rsid w:val="00AD40B2"/>
    <w:rsid w:val="00AD42C8"/>
    <w:rsid w:val="00AD4A5E"/>
    <w:rsid w:val="00AD4E65"/>
    <w:rsid w:val="00AD4FF5"/>
    <w:rsid w:val="00AD5812"/>
    <w:rsid w:val="00AD58FE"/>
    <w:rsid w:val="00AD5D80"/>
    <w:rsid w:val="00AD6274"/>
    <w:rsid w:val="00AD6708"/>
    <w:rsid w:val="00AD6720"/>
    <w:rsid w:val="00AD67B8"/>
    <w:rsid w:val="00AD67D0"/>
    <w:rsid w:val="00AD6BF8"/>
    <w:rsid w:val="00AD6CBB"/>
    <w:rsid w:val="00AD71DB"/>
    <w:rsid w:val="00AD72B6"/>
    <w:rsid w:val="00AD764C"/>
    <w:rsid w:val="00AD7B47"/>
    <w:rsid w:val="00AD7DB1"/>
    <w:rsid w:val="00AD7DE7"/>
    <w:rsid w:val="00AD7E6F"/>
    <w:rsid w:val="00AE060F"/>
    <w:rsid w:val="00AE06B2"/>
    <w:rsid w:val="00AE1354"/>
    <w:rsid w:val="00AE160D"/>
    <w:rsid w:val="00AE168D"/>
    <w:rsid w:val="00AE20F9"/>
    <w:rsid w:val="00AE2719"/>
    <w:rsid w:val="00AE30C6"/>
    <w:rsid w:val="00AE3267"/>
    <w:rsid w:val="00AE3662"/>
    <w:rsid w:val="00AE3C35"/>
    <w:rsid w:val="00AE4229"/>
    <w:rsid w:val="00AE423A"/>
    <w:rsid w:val="00AE42DA"/>
    <w:rsid w:val="00AE4A59"/>
    <w:rsid w:val="00AE4C58"/>
    <w:rsid w:val="00AE4D40"/>
    <w:rsid w:val="00AE5069"/>
    <w:rsid w:val="00AE5628"/>
    <w:rsid w:val="00AE5B83"/>
    <w:rsid w:val="00AE5D42"/>
    <w:rsid w:val="00AE6A3E"/>
    <w:rsid w:val="00AE6C4A"/>
    <w:rsid w:val="00AE6CC0"/>
    <w:rsid w:val="00AE71F4"/>
    <w:rsid w:val="00AE7FFB"/>
    <w:rsid w:val="00AF0111"/>
    <w:rsid w:val="00AF073A"/>
    <w:rsid w:val="00AF0A99"/>
    <w:rsid w:val="00AF1088"/>
    <w:rsid w:val="00AF141C"/>
    <w:rsid w:val="00AF193C"/>
    <w:rsid w:val="00AF2466"/>
    <w:rsid w:val="00AF274C"/>
    <w:rsid w:val="00AF27E6"/>
    <w:rsid w:val="00AF2C8C"/>
    <w:rsid w:val="00AF2CE7"/>
    <w:rsid w:val="00AF2CEC"/>
    <w:rsid w:val="00AF366E"/>
    <w:rsid w:val="00AF4523"/>
    <w:rsid w:val="00AF4547"/>
    <w:rsid w:val="00AF462E"/>
    <w:rsid w:val="00AF46FC"/>
    <w:rsid w:val="00AF4A60"/>
    <w:rsid w:val="00AF4BF7"/>
    <w:rsid w:val="00AF4D88"/>
    <w:rsid w:val="00AF5448"/>
    <w:rsid w:val="00AF5960"/>
    <w:rsid w:val="00AF5C90"/>
    <w:rsid w:val="00AF5E34"/>
    <w:rsid w:val="00AF625E"/>
    <w:rsid w:val="00AF6399"/>
    <w:rsid w:val="00AF71B0"/>
    <w:rsid w:val="00AF7279"/>
    <w:rsid w:val="00AF7434"/>
    <w:rsid w:val="00AF7765"/>
    <w:rsid w:val="00AF797A"/>
    <w:rsid w:val="00AF7B99"/>
    <w:rsid w:val="00AF7F49"/>
    <w:rsid w:val="00B0044F"/>
    <w:rsid w:val="00B0095F"/>
    <w:rsid w:val="00B00BDE"/>
    <w:rsid w:val="00B00D23"/>
    <w:rsid w:val="00B00DE2"/>
    <w:rsid w:val="00B00F47"/>
    <w:rsid w:val="00B01671"/>
    <w:rsid w:val="00B01815"/>
    <w:rsid w:val="00B0185A"/>
    <w:rsid w:val="00B01A81"/>
    <w:rsid w:val="00B01AAA"/>
    <w:rsid w:val="00B02C80"/>
    <w:rsid w:val="00B02D6F"/>
    <w:rsid w:val="00B02F34"/>
    <w:rsid w:val="00B03A61"/>
    <w:rsid w:val="00B03A8F"/>
    <w:rsid w:val="00B0434E"/>
    <w:rsid w:val="00B04465"/>
    <w:rsid w:val="00B04B3D"/>
    <w:rsid w:val="00B04C4B"/>
    <w:rsid w:val="00B0511C"/>
    <w:rsid w:val="00B0513F"/>
    <w:rsid w:val="00B0519D"/>
    <w:rsid w:val="00B053C7"/>
    <w:rsid w:val="00B05448"/>
    <w:rsid w:val="00B056C4"/>
    <w:rsid w:val="00B05853"/>
    <w:rsid w:val="00B05A02"/>
    <w:rsid w:val="00B05D32"/>
    <w:rsid w:val="00B06A8C"/>
    <w:rsid w:val="00B0708C"/>
    <w:rsid w:val="00B072C8"/>
    <w:rsid w:val="00B073B0"/>
    <w:rsid w:val="00B074AA"/>
    <w:rsid w:val="00B074CB"/>
    <w:rsid w:val="00B07C5E"/>
    <w:rsid w:val="00B104C5"/>
    <w:rsid w:val="00B10515"/>
    <w:rsid w:val="00B10CAF"/>
    <w:rsid w:val="00B10D32"/>
    <w:rsid w:val="00B11083"/>
    <w:rsid w:val="00B1152D"/>
    <w:rsid w:val="00B117A7"/>
    <w:rsid w:val="00B1185D"/>
    <w:rsid w:val="00B11B06"/>
    <w:rsid w:val="00B11E21"/>
    <w:rsid w:val="00B11FE4"/>
    <w:rsid w:val="00B1204C"/>
    <w:rsid w:val="00B120AF"/>
    <w:rsid w:val="00B120D2"/>
    <w:rsid w:val="00B12C6C"/>
    <w:rsid w:val="00B13216"/>
    <w:rsid w:val="00B13CCD"/>
    <w:rsid w:val="00B14255"/>
    <w:rsid w:val="00B144B5"/>
    <w:rsid w:val="00B146C2"/>
    <w:rsid w:val="00B1472C"/>
    <w:rsid w:val="00B15636"/>
    <w:rsid w:val="00B157FE"/>
    <w:rsid w:val="00B1594E"/>
    <w:rsid w:val="00B15B9D"/>
    <w:rsid w:val="00B15BCA"/>
    <w:rsid w:val="00B1608C"/>
    <w:rsid w:val="00B163E4"/>
    <w:rsid w:val="00B174EE"/>
    <w:rsid w:val="00B17654"/>
    <w:rsid w:val="00B17A27"/>
    <w:rsid w:val="00B17BD0"/>
    <w:rsid w:val="00B17BF0"/>
    <w:rsid w:val="00B17E47"/>
    <w:rsid w:val="00B17E66"/>
    <w:rsid w:val="00B17EA6"/>
    <w:rsid w:val="00B20296"/>
    <w:rsid w:val="00B20721"/>
    <w:rsid w:val="00B2077E"/>
    <w:rsid w:val="00B21099"/>
    <w:rsid w:val="00B2136E"/>
    <w:rsid w:val="00B2187D"/>
    <w:rsid w:val="00B21AE0"/>
    <w:rsid w:val="00B21B05"/>
    <w:rsid w:val="00B21DA0"/>
    <w:rsid w:val="00B21EE3"/>
    <w:rsid w:val="00B21F3B"/>
    <w:rsid w:val="00B22092"/>
    <w:rsid w:val="00B225AB"/>
    <w:rsid w:val="00B2278E"/>
    <w:rsid w:val="00B228C8"/>
    <w:rsid w:val="00B230E8"/>
    <w:rsid w:val="00B23575"/>
    <w:rsid w:val="00B2380D"/>
    <w:rsid w:val="00B23949"/>
    <w:rsid w:val="00B23D00"/>
    <w:rsid w:val="00B2443E"/>
    <w:rsid w:val="00B247DF"/>
    <w:rsid w:val="00B24CE4"/>
    <w:rsid w:val="00B24D80"/>
    <w:rsid w:val="00B24DCB"/>
    <w:rsid w:val="00B25802"/>
    <w:rsid w:val="00B25968"/>
    <w:rsid w:val="00B265C0"/>
    <w:rsid w:val="00B26633"/>
    <w:rsid w:val="00B266BB"/>
    <w:rsid w:val="00B26A76"/>
    <w:rsid w:val="00B26B93"/>
    <w:rsid w:val="00B26C73"/>
    <w:rsid w:val="00B26D50"/>
    <w:rsid w:val="00B26ECB"/>
    <w:rsid w:val="00B27474"/>
    <w:rsid w:val="00B27A8E"/>
    <w:rsid w:val="00B27D47"/>
    <w:rsid w:val="00B27F38"/>
    <w:rsid w:val="00B303A0"/>
    <w:rsid w:val="00B30C42"/>
    <w:rsid w:val="00B30E2C"/>
    <w:rsid w:val="00B30EF1"/>
    <w:rsid w:val="00B31041"/>
    <w:rsid w:val="00B3222C"/>
    <w:rsid w:val="00B329FA"/>
    <w:rsid w:val="00B32B62"/>
    <w:rsid w:val="00B32C6A"/>
    <w:rsid w:val="00B330D8"/>
    <w:rsid w:val="00B3398D"/>
    <w:rsid w:val="00B33A6A"/>
    <w:rsid w:val="00B34399"/>
    <w:rsid w:val="00B344EA"/>
    <w:rsid w:val="00B34E1D"/>
    <w:rsid w:val="00B35848"/>
    <w:rsid w:val="00B35BFC"/>
    <w:rsid w:val="00B35D21"/>
    <w:rsid w:val="00B364C9"/>
    <w:rsid w:val="00B3674F"/>
    <w:rsid w:val="00B36D0B"/>
    <w:rsid w:val="00B3713B"/>
    <w:rsid w:val="00B3744E"/>
    <w:rsid w:val="00B379EF"/>
    <w:rsid w:val="00B40366"/>
    <w:rsid w:val="00B40AB6"/>
    <w:rsid w:val="00B40DF5"/>
    <w:rsid w:val="00B4114F"/>
    <w:rsid w:val="00B4196F"/>
    <w:rsid w:val="00B41C24"/>
    <w:rsid w:val="00B41DFC"/>
    <w:rsid w:val="00B41FE4"/>
    <w:rsid w:val="00B42F76"/>
    <w:rsid w:val="00B431CE"/>
    <w:rsid w:val="00B431E6"/>
    <w:rsid w:val="00B43244"/>
    <w:rsid w:val="00B434B1"/>
    <w:rsid w:val="00B4386E"/>
    <w:rsid w:val="00B43BEB"/>
    <w:rsid w:val="00B43C68"/>
    <w:rsid w:val="00B43FAB"/>
    <w:rsid w:val="00B448B3"/>
    <w:rsid w:val="00B44DC0"/>
    <w:rsid w:val="00B45E21"/>
    <w:rsid w:val="00B46555"/>
    <w:rsid w:val="00B465D5"/>
    <w:rsid w:val="00B466FD"/>
    <w:rsid w:val="00B46851"/>
    <w:rsid w:val="00B472E5"/>
    <w:rsid w:val="00B477E6"/>
    <w:rsid w:val="00B4797A"/>
    <w:rsid w:val="00B47A78"/>
    <w:rsid w:val="00B47C6A"/>
    <w:rsid w:val="00B50560"/>
    <w:rsid w:val="00B50C86"/>
    <w:rsid w:val="00B50F49"/>
    <w:rsid w:val="00B51013"/>
    <w:rsid w:val="00B51420"/>
    <w:rsid w:val="00B516AA"/>
    <w:rsid w:val="00B516B1"/>
    <w:rsid w:val="00B51820"/>
    <w:rsid w:val="00B51852"/>
    <w:rsid w:val="00B51957"/>
    <w:rsid w:val="00B51B85"/>
    <w:rsid w:val="00B52032"/>
    <w:rsid w:val="00B52BF5"/>
    <w:rsid w:val="00B52CE0"/>
    <w:rsid w:val="00B53504"/>
    <w:rsid w:val="00B53CD9"/>
    <w:rsid w:val="00B53DC6"/>
    <w:rsid w:val="00B53F27"/>
    <w:rsid w:val="00B54196"/>
    <w:rsid w:val="00B541CE"/>
    <w:rsid w:val="00B552D9"/>
    <w:rsid w:val="00B553BD"/>
    <w:rsid w:val="00B554AA"/>
    <w:rsid w:val="00B55717"/>
    <w:rsid w:val="00B5586B"/>
    <w:rsid w:val="00B55C4E"/>
    <w:rsid w:val="00B564F5"/>
    <w:rsid w:val="00B56550"/>
    <w:rsid w:val="00B568EF"/>
    <w:rsid w:val="00B56C1E"/>
    <w:rsid w:val="00B56D35"/>
    <w:rsid w:val="00B5735F"/>
    <w:rsid w:val="00B57930"/>
    <w:rsid w:val="00B579EC"/>
    <w:rsid w:val="00B57A58"/>
    <w:rsid w:val="00B60B39"/>
    <w:rsid w:val="00B60E06"/>
    <w:rsid w:val="00B60E45"/>
    <w:rsid w:val="00B61066"/>
    <w:rsid w:val="00B615FE"/>
    <w:rsid w:val="00B61C14"/>
    <w:rsid w:val="00B62445"/>
    <w:rsid w:val="00B62913"/>
    <w:rsid w:val="00B62A71"/>
    <w:rsid w:val="00B62AEC"/>
    <w:rsid w:val="00B6329C"/>
    <w:rsid w:val="00B63627"/>
    <w:rsid w:val="00B63AE8"/>
    <w:rsid w:val="00B63F93"/>
    <w:rsid w:val="00B648F1"/>
    <w:rsid w:val="00B64C29"/>
    <w:rsid w:val="00B64CF6"/>
    <w:rsid w:val="00B64EC3"/>
    <w:rsid w:val="00B65D8C"/>
    <w:rsid w:val="00B65DF0"/>
    <w:rsid w:val="00B660F9"/>
    <w:rsid w:val="00B664CA"/>
    <w:rsid w:val="00B666AB"/>
    <w:rsid w:val="00B66805"/>
    <w:rsid w:val="00B66BAA"/>
    <w:rsid w:val="00B6702C"/>
    <w:rsid w:val="00B67129"/>
    <w:rsid w:val="00B67D0C"/>
    <w:rsid w:val="00B70820"/>
    <w:rsid w:val="00B709C0"/>
    <w:rsid w:val="00B70A36"/>
    <w:rsid w:val="00B70D37"/>
    <w:rsid w:val="00B70D84"/>
    <w:rsid w:val="00B70E39"/>
    <w:rsid w:val="00B7133E"/>
    <w:rsid w:val="00B71A16"/>
    <w:rsid w:val="00B71B94"/>
    <w:rsid w:val="00B72046"/>
    <w:rsid w:val="00B72181"/>
    <w:rsid w:val="00B722EB"/>
    <w:rsid w:val="00B72464"/>
    <w:rsid w:val="00B7260A"/>
    <w:rsid w:val="00B72689"/>
    <w:rsid w:val="00B72B49"/>
    <w:rsid w:val="00B731A5"/>
    <w:rsid w:val="00B73256"/>
    <w:rsid w:val="00B738E6"/>
    <w:rsid w:val="00B73BCF"/>
    <w:rsid w:val="00B73C42"/>
    <w:rsid w:val="00B749C7"/>
    <w:rsid w:val="00B74B79"/>
    <w:rsid w:val="00B74F60"/>
    <w:rsid w:val="00B75440"/>
    <w:rsid w:val="00B7596A"/>
    <w:rsid w:val="00B75B34"/>
    <w:rsid w:val="00B76345"/>
    <w:rsid w:val="00B765B3"/>
    <w:rsid w:val="00B76AB5"/>
    <w:rsid w:val="00B77034"/>
    <w:rsid w:val="00B772E9"/>
    <w:rsid w:val="00B772F9"/>
    <w:rsid w:val="00B774D4"/>
    <w:rsid w:val="00B77C9C"/>
    <w:rsid w:val="00B800CC"/>
    <w:rsid w:val="00B80187"/>
    <w:rsid w:val="00B8076B"/>
    <w:rsid w:val="00B8079B"/>
    <w:rsid w:val="00B8108C"/>
    <w:rsid w:val="00B81137"/>
    <w:rsid w:val="00B81220"/>
    <w:rsid w:val="00B8214B"/>
    <w:rsid w:val="00B82A66"/>
    <w:rsid w:val="00B82B13"/>
    <w:rsid w:val="00B82B57"/>
    <w:rsid w:val="00B82D16"/>
    <w:rsid w:val="00B82D32"/>
    <w:rsid w:val="00B830E2"/>
    <w:rsid w:val="00B8323C"/>
    <w:rsid w:val="00B839A9"/>
    <w:rsid w:val="00B83CD1"/>
    <w:rsid w:val="00B83D8F"/>
    <w:rsid w:val="00B8432C"/>
    <w:rsid w:val="00B843E4"/>
    <w:rsid w:val="00B84540"/>
    <w:rsid w:val="00B84914"/>
    <w:rsid w:val="00B84EA0"/>
    <w:rsid w:val="00B85232"/>
    <w:rsid w:val="00B858B2"/>
    <w:rsid w:val="00B85AFF"/>
    <w:rsid w:val="00B86668"/>
    <w:rsid w:val="00B86A15"/>
    <w:rsid w:val="00B86BDA"/>
    <w:rsid w:val="00B86C33"/>
    <w:rsid w:val="00B8706A"/>
    <w:rsid w:val="00B874D4"/>
    <w:rsid w:val="00B8774B"/>
    <w:rsid w:val="00B87895"/>
    <w:rsid w:val="00B87EE1"/>
    <w:rsid w:val="00B902B5"/>
    <w:rsid w:val="00B9054D"/>
    <w:rsid w:val="00B90BD6"/>
    <w:rsid w:val="00B91765"/>
    <w:rsid w:val="00B919EF"/>
    <w:rsid w:val="00B92012"/>
    <w:rsid w:val="00B92577"/>
    <w:rsid w:val="00B929BC"/>
    <w:rsid w:val="00B92CD7"/>
    <w:rsid w:val="00B92D0C"/>
    <w:rsid w:val="00B92FA3"/>
    <w:rsid w:val="00B931CF"/>
    <w:rsid w:val="00B938B1"/>
    <w:rsid w:val="00B9391F"/>
    <w:rsid w:val="00B93C43"/>
    <w:rsid w:val="00B9419C"/>
    <w:rsid w:val="00B9465B"/>
    <w:rsid w:val="00B946E8"/>
    <w:rsid w:val="00B94BD1"/>
    <w:rsid w:val="00B95011"/>
    <w:rsid w:val="00B95C4B"/>
    <w:rsid w:val="00B95F9B"/>
    <w:rsid w:val="00B9604A"/>
    <w:rsid w:val="00B96103"/>
    <w:rsid w:val="00B96870"/>
    <w:rsid w:val="00B96F11"/>
    <w:rsid w:val="00B9735B"/>
    <w:rsid w:val="00B9757D"/>
    <w:rsid w:val="00B97775"/>
    <w:rsid w:val="00B978E8"/>
    <w:rsid w:val="00B9792A"/>
    <w:rsid w:val="00B97DAE"/>
    <w:rsid w:val="00B97EFC"/>
    <w:rsid w:val="00BA0076"/>
    <w:rsid w:val="00BA02C3"/>
    <w:rsid w:val="00BA05B5"/>
    <w:rsid w:val="00BA08E1"/>
    <w:rsid w:val="00BA10E4"/>
    <w:rsid w:val="00BA1E27"/>
    <w:rsid w:val="00BA2353"/>
    <w:rsid w:val="00BA282C"/>
    <w:rsid w:val="00BA329A"/>
    <w:rsid w:val="00BA3646"/>
    <w:rsid w:val="00BA3725"/>
    <w:rsid w:val="00BA3931"/>
    <w:rsid w:val="00BA39DA"/>
    <w:rsid w:val="00BA42AA"/>
    <w:rsid w:val="00BA4343"/>
    <w:rsid w:val="00BA4DB7"/>
    <w:rsid w:val="00BA4F12"/>
    <w:rsid w:val="00BA5937"/>
    <w:rsid w:val="00BA5A71"/>
    <w:rsid w:val="00BA6362"/>
    <w:rsid w:val="00BA6715"/>
    <w:rsid w:val="00BA6777"/>
    <w:rsid w:val="00BA6890"/>
    <w:rsid w:val="00BA6D4C"/>
    <w:rsid w:val="00BA6D4E"/>
    <w:rsid w:val="00BA7495"/>
    <w:rsid w:val="00BA76E0"/>
    <w:rsid w:val="00BA77EB"/>
    <w:rsid w:val="00BA7918"/>
    <w:rsid w:val="00BA799F"/>
    <w:rsid w:val="00BA7AEF"/>
    <w:rsid w:val="00BA7D0C"/>
    <w:rsid w:val="00BA7DA5"/>
    <w:rsid w:val="00BA7FAD"/>
    <w:rsid w:val="00BB041D"/>
    <w:rsid w:val="00BB05DE"/>
    <w:rsid w:val="00BB0E6D"/>
    <w:rsid w:val="00BB156F"/>
    <w:rsid w:val="00BB16FE"/>
    <w:rsid w:val="00BB1CBC"/>
    <w:rsid w:val="00BB21DD"/>
    <w:rsid w:val="00BB25B1"/>
    <w:rsid w:val="00BB26A8"/>
    <w:rsid w:val="00BB2A0F"/>
    <w:rsid w:val="00BB2D7C"/>
    <w:rsid w:val="00BB3325"/>
    <w:rsid w:val="00BB363D"/>
    <w:rsid w:val="00BB3ADD"/>
    <w:rsid w:val="00BB3E75"/>
    <w:rsid w:val="00BB3EE9"/>
    <w:rsid w:val="00BB56B3"/>
    <w:rsid w:val="00BB5814"/>
    <w:rsid w:val="00BB5C48"/>
    <w:rsid w:val="00BB5CCD"/>
    <w:rsid w:val="00BB6148"/>
    <w:rsid w:val="00BB626D"/>
    <w:rsid w:val="00BB6307"/>
    <w:rsid w:val="00BB6805"/>
    <w:rsid w:val="00BB68A0"/>
    <w:rsid w:val="00BB6BB3"/>
    <w:rsid w:val="00BB6E55"/>
    <w:rsid w:val="00BB7228"/>
    <w:rsid w:val="00BB72F6"/>
    <w:rsid w:val="00BB7405"/>
    <w:rsid w:val="00BB75F8"/>
    <w:rsid w:val="00BB7801"/>
    <w:rsid w:val="00BB7ADF"/>
    <w:rsid w:val="00BB7E9B"/>
    <w:rsid w:val="00BC0F3A"/>
    <w:rsid w:val="00BC15E0"/>
    <w:rsid w:val="00BC190A"/>
    <w:rsid w:val="00BC1C6D"/>
    <w:rsid w:val="00BC1EB2"/>
    <w:rsid w:val="00BC2231"/>
    <w:rsid w:val="00BC227E"/>
    <w:rsid w:val="00BC2BFD"/>
    <w:rsid w:val="00BC2CD0"/>
    <w:rsid w:val="00BC2D9C"/>
    <w:rsid w:val="00BC2E63"/>
    <w:rsid w:val="00BC361D"/>
    <w:rsid w:val="00BC3C7F"/>
    <w:rsid w:val="00BC4266"/>
    <w:rsid w:val="00BC4BB3"/>
    <w:rsid w:val="00BC4CF5"/>
    <w:rsid w:val="00BC517F"/>
    <w:rsid w:val="00BC5635"/>
    <w:rsid w:val="00BC570D"/>
    <w:rsid w:val="00BC5954"/>
    <w:rsid w:val="00BC5F4F"/>
    <w:rsid w:val="00BC652A"/>
    <w:rsid w:val="00BC67D7"/>
    <w:rsid w:val="00BC6AEB"/>
    <w:rsid w:val="00BC6B6D"/>
    <w:rsid w:val="00BC6E6F"/>
    <w:rsid w:val="00BC7093"/>
    <w:rsid w:val="00BC72B6"/>
    <w:rsid w:val="00BC7398"/>
    <w:rsid w:val="00BC73D5"/>
    <w:rsid w:val="00BC7825"/>
    <w:rsid w:val="00BC7B51"/>
    <w:rsid w:val="00BD02D0"/>
    <w:rsid w:val="00BD07EA"/>
    <w:rsid w:val="00BD0DE9"/>
    <w:rsid w:val="00BD0EAD"/>
    <w:rsid w:val="00BD15A9"/>
    <w:rsid w:val="00BD1B63"/>
    <w:rsid w:val="00BD25AA"/>
    <w:rsid w:val="00BD27B7"/>
    <w:rsid w:val="00BD2DCC"/>
    <w:rsid w:val="00BD2FBE"/>
    <w:rsid w:val="00BD31C4"/>
    <w:rsid w:val="00BD3346"/>
    <w:rsid w:val="00BD341B"/>
    <w:rsid w:val="00BD380D"/>
    <w:rsid w:val="00BD3D93"/>
    <w:rsid w:val="00BD441A"/>
    <w:rsid w:val="00BD4731"/>
    <w:rsid w:val="00BD4AE0"/>
    <w:rsid w:val="00BD4B37"/>
    <w:rsid w:val="00BD5308"/>
    <w:rsid w:val="00BD5663"/>
    <w:rsid w:val="00BD5BEB"/>
    <w:rsid w:val="00BD61E9"/>
    <w:rsid w:val="00BD62B5"/>
    <w:rsid w:val="00BD6AD6"/>
    <w:rsid w:val="00BD6CDE"/>
    <w:rsid w:val="00BD7313"/>
    <w:rsid w:val="00BD74C8"/>
    <w:rsid w:val="00BD7596"/>
    <w:rsid w:val="00BD783D"/>
    <w:rsid w:val="00BD7B9C"/>
    <w:rsid w:val="00BD7DB8"/>
    <w:rsid w:val="00BE07D5"/>
    <w:rsid w:val="00BE0862"/>
    <w:rsid w:val="00BE0977"/>
    <w:rsid w:val="00BE09AB"/>
    <w:rsid w:val="00BE0B88"/>
    <w:rsid w:val="00BE0F94"/>
    <w:rsid w:val="00BE1130"/>
    <w:rsid w:val="00BE1289"/>
    <w:rsid w:val="00BE1D26"/>
    <w:rsid w:val="00BE2115"/>
    <w:rsid w:val="00BE269B"/>
    <w:rsid w:val="00BE2794"/>
    <w:rsid w:val="00BE2AC4"/>
    <w:rsid w:val="00BE2D6F"/>
    <w:rsid w:val="00BE2EB2"/>
    <w:rsid w:val="00BE2FE3"/>
    <w:rsid w:val="00BE334F"/>
    <w:rsid w:val="00BE3432"/>
    <w:rsid w:val="00BE3647"/>
    <w:rsid w:val="00BE365D"/>
    <w:rsid w:val="00BE38E2"/>
    <w:rsid w:val="00BE3925"/>
    <w:rsid w:val="00BE3A92"/>
    <w:rsid w:val="00BE3E44"/>
    <w:rsid w:val="00BE3F8D"/>
    <w:rsid w:val="00BE4867"/>
    <w:rsid w:val="00BE4C57"/>
    <w:rsid w:val="00BE4E47"/>
    <w:rsid w:val="00BE4FAC"/>
    <w:rsid w:val="00BE503E"/>
    <w:rsid w:val="00BE512E"/>
    <w:rsid w:val="00BE539D"/>
    <w:rsid w:val="00BE5DB3"/>
    <w:rsid w:val="00BE5F83"/>
    <w:rsid w:val="00BE671E"/>
    <w:rsid w:val="00BE6E33"/>
    <w:rsid w:val="00BE7062"/>
    <w:rsid w:val="00BE790F"/>
    <w:rsid w:val="00BF02B8"/>
    <w:rsid w:val="00BF0700"/>
    <w:rsid w:val="00BF080D"/>
    <w:rsid w:val="00BF08DB"/>
    <w:rsid w:val="00BF0DC3"/>
    <w:rsid w:val="00BF1B76"/>
    <w:rsid w:val="00BF1DA7"/>
    <w:rsid w:val="00BF1E98"/>
    <w:rsid w:val="00BF2512"/>
    <w:rsid w:val="00BF285A"/>
    <w:rsid w:val="00BF3A73"/>
    <w:rsid w:val="00BF3EA4"/>
    <w:rsid w:val="00BF40AA"/>
    <w:rsid w:val="00BF4263"/>
    <w:rsid w:val="00BF490C"/>
    <w:rsid w:val="00BF49AD"/>
    <w:rsid w:val="00BF4B61"/>
    <w:rsid w:val="00BF4EF4"/>
    <w:rsid w:val="00BF53C5"/>
    <w:rsid w:val="00BF5C66"/>
    <w:rsid w:val="00BF5FEC"/>
    <w:rsid w:val="00BF640B"/>
    <w:rsid w:val="00BF684A"/>
    <w:rsid w:val="00BF6BC0"/>
    <w:rsid w:val="00BF7453"/>
    <w:rsid w:val="00BF7B36"/>
    <w:rsid w:val="00C00329"/>
    <w:rsid w:val="00C005BA"/>
    <w:rsid w:val="00C005E1"/>
    <w:rsid w:val="00C007DE"/>
    <w:rsid w:val="00C00B05"/>
    <w:rsid w:val="00C00B6B"/>
    <w:rsid w:val="00C00CB7"/>
    <w:rsid w:val="00C01251"/>
    <w:rsid w:val="00C01678"/>
    <w:rsid w:val="00C016CD"/>
    <w:rsid w:val="00C01E67"/>
    <w:rsid w:val="00C023A3"/>
    <w:rsid w:val="00C0245E"/>
    <w:rsid w:val="00C02C36"/>
    <w:rsid w:val="00C031FE"/>
    <w:rsid w:val="00C034D9"/>
    <w:rsid w:val="00C03AFD"/>
    <w:rsid w:val="00C03C60"/>
    <w:rsid w:val="00C03FE2"/>
    <w:rsid w:val="00C041C4"/>
    <w:rsid w:val="00C04237"/>
    <w:rsid w:val="00C0453C"/>
    <w:rsid w:val="00C0466F"/>
    <w:rsid w:val="00C0468D"/>
    <w:rsid w:val="00C047FE"/>
    <w:rsid w:val="00C0495F"/>
    <w:rsid w:val="00C04ADC"/>
    <w:rsid w:val="00C04FFF"/>
    <w:rsid w:val="00C05363"/>
    <w:rsid w:val="00C058E7"/>
    <w:rsid w:val="00C05C1F"/>
    <w:rsid w:val="00C0666F"/>
    <w:rsid w:val="00C06AB0"/>
    <w:rsid w:val="00C0713F"/>
    <w:rsid w:val="00C07177"/>
    <w:rsid w:val="00C07236"/>
    <w:rsid w:val="00C076AA"/>
    <w:rsid w:val="00C1033E"/>
    <w:rsid w:val="00C10727"/>
    <w:rsid w:val="00C10BEB"/>
    <w:rsid w:val="00C10FE3"/>
    <w:rsid w:val="00C11567"/>
    <w:rsid w:val="00C1175F"/>
    <w:rsid w:val="00C117BA"/>
    <w:rsid w:val="00C11B6A"/>
    <w:rsid w:val="00C11EA4"/>
    <w:rsid w:val="00C1237C"/>
    <w:rsid w:val="00C12822"/>
    <w:rsid w:val="00C1285E"/>
    <w:rsid w:val="00C1318A"/>
    <w:rsid w:val="00C13335"/>
    <w:rsid w:val="00C13756"/>
    <w:rsid w:val="00C13A0D"/>
    <w:rsid w:val="00C14435"/>
    <w:rsid w:val="00C14808"/>
    <w:rsid w:val="00C1481F"/>
    <w:rsid w:val="00C14E1F"/>
    <w:rsid w:val="00C14E34"/>
    <w:rsid w:val="00C157C1"/>
    <w:rsid w:val="00C15A9B"/>
    <w:rsid w:val="00C15FBA"/>
    <w:rsid w:val="00C1629C"/>
    <w:rsid w:val="00C16494"/>
    <w:rsid w:val="00C1669B"/>
    <w:rsid w:val="00C16950"/>
    <w:rsid w:val="00C16B4E"/>
    <w:rsid w:val="00C16D78"/>
    <w:rsid w:val="00C1718C"/>
    <w:rsid w:val="00C17275"/>
    <w:rsid w:val="00C176DE"/>
    <w:rsid w:val="00C17ABE"/>
    <w:rsid w:val="00C17D7F"/>
    <w:rsid w:val="00C17F65"/>
    <w:rsid w:val="00C20090"/>
    <w:rsid w:val="00C2074F"/>
    <w:rsid w:val="00C20945"/>
    <w:rsid w:val="00C20F32"/>
    <w:rsid w:val="00C21007"/>
    <w:rsid w:val="00C2114D"/>
    <w:rsid w:val="00C21157"/>
    <w:rsid w:val="00C211B3"/>
    <w:rsid w:val="00C214C4"/>
    <w:rsid w:val="00C2153E"/>
    <w:rsid w:val="00C22314"/>
    <w:rsid w:val="00C223C1"/>
    <w:rsid w:val="00C2242D"/>
    <w:rsid w:val="00C234E3"/>
    <w:rsid w:val="00C236A6"/>
    <w:rsid w:val="00C2375E"/>
    <w:rsid w:val="00C246A5"/>
    <w:rsid w:val="00C24A76"/>
    <w:rsid w:val="00C24BA0"/>
    <w:rsid w:val="00C24F95"/>
    <w:rsid w:val="00C25770"/>
    <w:rsid w:val="00C259DC"/>
    <w:rsid w:val="00C25AC3"/>
    <w:rsid w:val="00C25B88"/>
    <w:rsid w:val="00C25D76"/>
    <w:rsid w:val="00C25E89"/>
    <w:rsid w:val="00C25FB0"/>
    <w:rsid w:val="00C26AE9"/>
    <w:rsid w:val="00C26ED6"/>
    <w:rsid w:val="00C27295"/>
    <w:rsid w:val="00C2755B"/>
    <w:rsid w:val="00C27675"/>
    <w:rsid w:val="00C27DA0"/>
    <w:rsid w:val="00C27F2B"/>
    <w:rsid w:val="00C3041C"/>
    <w:rsid w:val="00C304BB"/>
    <w:rsid w:val="00C306D7"/>
    <w:rsid w:val="00C30E9D"/>
    <w:rsid w:val="00C31538"/>
    <w:rsid w:val="00C319C3"/>
    <w:rsid w:val="00C31B7F"/>
    <w:rsid w:val="00C32013"/>
    <w:rsid w:val="00C329B8"/>
    <w:rsid w:val="00C32B2C"/>
    <w:rsid w:val="00C33082"/>
    <w:rsid w:val="00C332C8"/>
    <w:rsid w:val="00C333EB"/>
    <w:rsid w:val="00C33519"/>
    <w:rsid w:val="00C33570"/>
    <w:rsid w:val="00C335FA"/>
    <w:rsid w:val="00C34138"/>
    <w:rsid w:val="00C3423B"/>
    <w:rsid w:val="00C344AE"/>
    <w:rsid w:val="00C344BC"/>
    <w:rsid w:val="00C34638"/>
    <w:rsid w:val="00C3470B"/>
    <w:rsid w:val="00C34C18"/>
    <w:rsid w:val="00C34CF2"/>
    <w:rsid w:val="00C351DB"/>
    <w:rsid w:val="00C35DF4"/>
    <w:rsid w:val="00C35FDE"/>
    <w:rsid w:val="00C360B8"/>
    <w:rsid w:val="00C3610D"/>
    <w:rsid w:val="00C3618F"/>
    <w:rsid w:val="00C367D4"/>
    <w:rsid w:val="00C36A21"/>
    <w:rsid w:val="00C37919"/>
    <w:rsid w:val="00C402B8"/>
    <w:rsid w:val="00C403AE"/>
    <w:rsid w:val="00C41505"/>
    <w:rsid w:val="00C4185F"/>
    <w:rsid w:val="00C4221B"/>
    <w:rsid w:val="00C42541"/>
    <w:rsid w:val="00C427C4"/>
    <w:rsid w:val="00C42E95"/>
    <w:rsid w:val="00C432A6"/>
    <w:rsid w:val="00C43325"/>
    <w:rsid w:val="00C4334F"/>
    <w:rsid w:val="00C4364A"/>
    <w:rsid w:val="00C43E7A"/>
    <w:rsid w:val="00C4437D"/>
    <w:rsid w:val="00C44BC8"/>
    <w:rsid w:val="00C44CDE"/>
    <w:rsid w:val="00C455C1"/>
    <w:rsid w:val="00C45717"/>
    <w:rsid w:val="00C459C3"/>
    <w:rsid w:val="00C45DBC"/>
    <w:rsid w:val="00C46323"/>
    <w:rsid w:val="00C46342"/>
    <w:rsid w:val="00C466F8"/>
    <w:rsid w:val="00C46864"/>
    <w:rsid w:val="00C468F8"/>
    <w:rsid w:val="00C46DC1"/>
    <w:rsid w:val="00C47032"/>
    <w:rsid w:val="00C50090"/>
    <w:rsid w:val="00C50A0C"/>
    <w:rsid w:val="00C50A45"/>
    <w:rsid w:val="00C5140E"/>
    <w:rsid w:val="00C517F9"/>
    <w:rsid w:val="00C51850"/>
    <w:rsid w:val="00C518EE"/>
    <w:rsid w:val="00C521DC"/>
    <w:rsid w:val="00C526B9"/>
    <w:rsid w:val="00C5272A"/>
    <w:rsid w:val="00C5296F"/>
    <w:rsid w:val="00C52E02"/>
    <w:rsid w:val="00C532D9"/>
    <w:rsid w:val="00C536F5"/>
    <w:rsid w:val="00C53784"/>
    <w:rsid w:val="00C537D3"/>
    <w:rsid w:val="00C54057"/>
    <w:rsid w:val="00C54104"/>
    <w:rsid w:val="00C54143"/>
    <w:rsid w:val="00C5417A"/>
    <w:rsid w:val="00C54633"/>
    <w:rsid w:val="00C54702"/>
    <w:rsid w:val="00C54870"/>
    <w:rsid w:val="00C549C5"/>
    <w:rsid w:val="00C54A38"/>
    <w:rsid w:val="00C55893"/>
    <w:rsid w:val="00C55B52"/>
    <w:rsid w:val="00C55CE4"/>
    <w:rsid w:val="00C56613"/>
    <w:rsid w:val="00C5671C"/>
    <w:rsid w:val="00C5755B"/>
    <w:rsid w:val="00C575DB"/>
    <w:rsid w:val="00C57681"/>
    <w:rsid w:val="00C57880"/>
    <w:rsid w:val="00C579E3"/>
    <w:rsid w:val="00C60049"/>
    <w:rsid w:val="00C61042"/>
    <w:rsid w:val="00C611C9"/>
    <w:rsid w:val="00C611FD"/>
    <w:rsid w:val="00C615D0"/>
    <w:rsid w:val="00C61991"/>
    <w:rsid w:val="00C61BB0"/>
    <w:rsid w:val="00C61E45"/>
    <w:rsid w:val="00C62122"/>
    <w:rsid w:val="00C625B2"/>
    <w:rsid w:val="00C6264A"/>
    <w:rsid w:val="00C62D4F"/>
    <w:rsid w:val="00C62E81"/>
    <w:rsid w:val="00C62ECB"/>
    <w:rsid w:val="00C63B6C"/>
    <w:rsid w:val="00C64199"/>
    <w:rsid w:val="00C6456F"/>
    <w:rsid w:val="00C64583"/>
    <w:rsid w:val="00C64CAC"/>
    <w:rsid w:val="00C651AC"/>
    <w:rsid w:val="00C6541B"/>
    <w:rsid w:val="00C65782"/>
    <w:rsid w:val="00C65852"/>
    <w:rsid w:val="00C659F9"/>
    <w:rsid w:val="00C65BEE"/>
    <w:rsid w:val="00C65D9E"/>
    <w:rsid w:val="00C66C42"/>
    <w:rsid w:val="00C6746C"/>
    <w:rsid w:val="00C6790B"/>
    <w:rsid w:val="00C67A73"/>
    <w:rsid w:val="00C67FAF"/>
    <w:rsid w:val="00C707DE"/>
    <w:rsid w:val="00C70833"/>
    <w:rsid w:val="00C7119E"/>
    <w:rsid w:val="00C715C9"/>
    <w:rsid w:val="00C71652"/>
    <w:rsid w:val="00C71D13"/>
    <w:rsid w:val="00C71E6C"/>
    <w:rsid w:val="00C71FA0"/>
    <w:rsid w:val="00C7211A"/>
    <w:rsid w:val="00C7219C"/>
    <w:rsid w:val="00C7255D"/>
    <w:rsid w:val="00C729F6"/>
    <w:rsid w:val="00C72D14"/>
    <w:rsid w:val="00C72F1F"/>
    <w:rsid w:val="00C730C2"/>
    <w:rsid w:val="00C731B6"/>
    <w:rsid w:val="00C731D5"/>
    <w:rsid w:val="00C736A2"/>
    <w:rsid w:val="00C737B3"/>
    <w:rsid w:val="00C738BB"/>
    <w:rsid w:val="00C73E9C"/>
    <w:rsid w:val="00C741B8"/>
    <w:rsid w:val="00C7445A"/>
    <w:rsid w:val="00C74F71"/>
    <w:rsid w:val="00C757C5"/>
    <w:rsid w:val="00C75AF0"/>
    <w:rsid w:val="00C766F4"/>
    <w:rsid w:val="00C76B85"/>
    <w:rsid w:val="00C76DDB"/>
    <w:rsid w:val="00C76FEE"/>
    <w:rsid w:val="00C77138"/>
    <w:rsid w:val="00C77229"/>
    <w:rsid w:val="00C7729D"/>
    <w:rsid w:val="00C7731D"/>
    <w:rsid w:val="00C77614"/>
    <w:rsid w:val="00C77CEF"/>
    <w:rsid w:val="00C77E81"/>
    <w:rsid w:val="00C77F72"/>
    <w:rsid w:val="00C80287"/>
    <w:rsid w:val="00C80872"/>
    <w:rsid w:val="00C811B3"/>
    <w:rsid w:val="00C8139B"/>
    <w:rsid w:val="00C81871"/>
    <w:rsid w:val="00C819BD"/>
    <w:rsid w:val="00C81B7F"/>
    <w:rsid w:val="00C81BD9"/>
    <w:rsid w:val="00C81DDF"/>
    <w:rsid w:val="00C82487"/>
    <w:rsid w:val="00C829BE"/>
    <w:rsid w:val="00C82E24"/>
    <w:rsid w:val="00C83309"/>
    <w:rsid w:val="00C834E7"/>
    <w:rsid w:val="00C835AE"/>
    <w:rsid w:val="00C8406D"/>
    <w:rsid w:val="00C8422E"/>
    <w:rsid w:val="00C842A5"/>
    <w:rsid w:val="00C84890"/>
    <w:rsid w:val="00C84F7F"/>
    <w:rsid w:val="00C852FC"/>
    <w:rsid w:val="00C85894"/>
    <w:rsid w:val="00C86468"/>
    <w:rsid w:val="00C86D14"/>
    <w:rsid w:val="00C86D82"/>
    <w:rsid w:val="00C870E2"/>
    <w:rsid w:val="00C900CC"/>
    <w:rsid w:val="00C90441"/>
    <w:rsid w:val="00C904CA"/>
    <w:rsid w:val="00C90812"/>
    <w:rsid w:val="00C90A43"/>
    <w:rsid w:val="00C9103D"/>
    <w:rsid w:val="00C91069"/>
    <w:rsid w:val="00C9113B"/>
    <w:rsid w:val="00C9183C"/>
    <w:rsid w:val="00C91BC2"/>
    <w:rsid w:val="00C91CF0"/>
    <w:rsid w:val="00C92065"/>
    <w:rsid w:val="00C93490"/>
    <w:rsid w:val="00C936F1"/>
    <w:rsid w:val="00C93760"/>
    <w:rsid w:val="00C9376F"/>
    <w:rsid w:val="00C93E0E"/>
    <w:rsid w:val="00C93E93"/>
    <w:rsid w:val="00C941BA"/>
    <w:rsid w:val="00C942E6"/>
    <w:rsid w:val="00C9469F"/>
    <w:rsid w:val="00C948A0"/>
    <w:rsid w:val="00C94C8E"/>
    <w:rsid w:val="00C94F6C"/>
    <w:rsid w:val="00C954F1"/>
    <w:rsid w:val="00C9565B"/>
    <w:rsid w:val="00C95765"/>
    <w:rsid w:val="00C959D9"/>
    <w:rsid w:val="00C95D20"/>
    <w:rsid w:val="00C95D4C"/>
    <w:rsid w:val="00C96500"/>
    <w:rsid w:val="00C9688A"/>
    <w:rsid w:val="00C9689D"/>
    <w:rsid w:val="00C96C85"/>
    <w:rsid w:val="00C96DF2"/>
    <w:rsid w:val="00C96F8F"/>
    <w:rsid w:val="00C972BD"/>
    <w:rsid w:val="00C9773E"/>
    <w:rsid w:val="00CA003E"/>
    <w:rsid w:val="00CA0208"/>
    <w:rsid w:val="00CA0223"/>
    <w:rsid w:val="00CA0455"/>
    <w:rsid w:val="00CA070A"/>
    <w:rsid w:val="00CA0B8D"/>
    <w:rsid w:val="00CA114E"/>
    <w:rsid w:val="00CA1377"/>
    <w:rsid w:val="00CA182E"/>
    <w:rsid w:val="00CA196E"/>
    <w:rsid w:val="00CA1EEE"/>
    <w:rsid w:val="00CA20A1"/>
    <w:rsid w:val="00CA2481"/>
    <w:rsid w:val="00CA28D1"/>
    <w:rsid w:val="00CA2CC6"/>
    <w:rsid w:val="00CA2CE6"/>
    <w:rsid w:val="00CA308A"/>
    <w:rsid w:val="00CA399F"/>
    <w:rsid w:val="00CA3F45"/>
    <w:rsid w:val="00CA4512"/>
    <w:rsid w:val="00CA456A"/>
    <w:rsid w:val="00CA5565"/>
    <w:rsid w:val="00CA5EBF"/>
    <w:rsid w:val="00CA6034"/>
    <w:rsid w:val="00CA70B6"/>
    <w:rsid w:val="00CA753C"/>
    <w:rsid w:val="00CA75DC"/>
    <w:rsid w:val="00CA7680"/>
    <w:rsid w:val="00CA77B3"/>
    <w:rsid w:val="00CA7DB7"/>
    <w:rsid w:val="00CA7EDE"/>
    <w:rsid w:val="00CB0821"/>
    <w:rsid w:val="00CB0A37"/>
    <w:rsid w:val="00CB13B5"/>
    <w:rsid w:val="00CB251E"/>
    <w:rsid w:val="00CB26B6"/>
    <w:rsid w:val="00CB2CBC"/>
    <w:rsid w:val="00CB3BC8"/>
    <w:rsid w:val="00CB4470"/>
    <w:rsid w:val="00CB47B2"/>
    <w:rsid w:val="00CB4E20"/>
    <w:rsid w:val="00CB4E60"/>
    <w:rsid w:val="00CB521B"/>
    <w:rsid w:val="00CB5A99"/>
    <w:rsid w:val="00CB5BF9"/>
    <w:rsid w:val="00CB5DDC"/>
    <w:rsid w:val="00CB5E30"/>
    <w:rsid w:val="00CB61FC"/>
    <w:rsid w:val="00CB6483"/>
    <w:rsid w:val="00CB6524"/>
    <w:rsid w:val="00CB6700"/>
    <w:rsid w:val="00CB6729"/>
    <w:rsid w:val="00CB68A7"/>
    <w:rsid w:val="00CB6962"/>
    <w:rsid w:val="00CB6E2D"/>
    <w:rsid w:val="00CB7210"/>
    <w:rsid w:val="00CB72DC"/>
    <w:rsid w:val="00CB77A5"/>
    <w:rsid w:val="00CB7D2E"/>
    <w:rsid w:val="00CC0674"/>
    <w:rsid w:val="00CC0D7A"/>
    <w:rsid w:val="00CC11D8"/>
    <w:rsid w:val="00CC1766"/>
    <w:rsid w:val="00CC1A11"/>
    <w:rsid w:val="00CC2096"/>
    <w:rsid w:val="00CC2362"/>
    <w:rsid w:val="00CC275B"/>
    <w:rsid w:val="00CC2898"/>
    <w:rsid w:val="00CC3002"/>
    <w:rsid w:val="00CC3172"/>
    <w:rsid w:val="00CC3178"/>
    <w:rsid w:val="00CC3D05"/>
    <w:rsid w:val="00CC3E15"/>
    <w:rsid w:val="00CC3E7D"/>
    <w:rsid w:val="00CC4E51"/>
    <w:rsid w:val="00CC5347"/>
    <w:rsid w:val="00CC5409"/>
    <w:rsid w:val="00CC5D18"/>
    <w:rsid w:val="00CC638B"/>
    <w:rsid w:val="00CC6500"/>
    <w:rsid w:val="00CC6602"/>
    <w:rsid w:val="00CC6B6D"/>
    <w:rsid w:val="00CC6D9A"/>
    <w:rsid w:val="00CC6F6E"/>
    <w:rsid w:val="00CC7869"/>
    <w:rsid w:val="00CC7F17"/>
    <w:rsid w:val="00CC7F94"/>
    <w:rsid w:val="00CD0471"/>
    <w:rsid w:val="00CD05CB"/>
    <w:rsid w:val="00CD0AB4"/>
    <w:rsid w:val="00CD0ED3"/>
    <w:rsid w:val="00CD112D"/>
    <w:rsid w:val="00CD1299"/>
    <w:rsid w:val="00CD1526"/>
    <w:rsid w:val="00CD1E5E"/>
    <w:rsid w:val="00CD200D"/>
    <w:rsid w:val="00CD24BD"/>
    <w:rsid w:val="00CD2D8D"/>
    <w:rsid w:val="00CD2E0D"/>
    <w:rsid w:val="00CD3090"/>
    <w:rsid w:val="00CD376A"/>
    <w:rsid w:val="00CD3C8D"/>
    <w:rsid w:val="00CD477B"/>
    <w:rsid w:val="00CD47E0"/>
    <w:rsid w:val="00CD509D"/>
    <w:rsid w:val="00CD50E4"/>
    <w:rsid w:val="00CD51DF"/>
    <w:rsid w:val="00CD58CF"/>
    <w:rsid w:val="00CD58FF"/>
    <w:rsid w:val="00CD5A4B"/>
    <w:rsid w:val="00CD5CEB"/>
    <w:rsid w:val="00CD63AD"/>
    <w:rsid w:val="00CD66F2"/>
    <w:rsid w:val="00CD6A3B"/>
    <w:rsid w:val="00CD723A"/>
    <w:rsid w:val="00CD79DB"/>
    <w:rsid w:val="00CD7F22"/>
    <w:rsid w:val="00CE017F"/>
    <w:rsid w:val="00CE0964"/>
    <w:rsid w:val="00CE0B51"/>
    <w:rsid w:val="00CE0CD0"/>
    <w:rsid w:val="00CE1164"/>
    <w:rsid w:val="00CE14D5"/>
    <w:rsid w:val="00CE1527"/>
    <w:rsid w:val="00CE18DB"/>
    <w:rsid w:val="00CE1D0C"/>
    <w:rsid w:val="00CE1D85"/>
    <w:rsid w:val="00CE1DEE"/>
    <w:rsid w:val="00CE1E9F"/>
    <w:rsid w:val="00CE29BC"/>
    <w:rsid w:val="00CE2C07"/>
    <w:rsid w:val="00CE2ED8"/>
    <w:rsid w:val="00CE2F4A"/>
    <w:rsid w:val="00CE3776"/>
    <w:rsid w:val="00CE38DB"/>
    <w:rsid w:val="00CE3A01"/>
    <w:rsid w:val="00CE3C3C"/>
    <w:rsid w:val="00CE3D61"/>
    <w:rsid w:val="00CE4263"/>
    <w:rsid w:val="00CE475E"/>
    <w:rsid w:val="00CE547B"/>
    <w:rsid w:val="00CE555E"/>
    <w:rsid w:val="00CE59E3"/>
    <w:rsid w:val="00CE5B2A"/>
    <w:rsid w:val="00CE5E7D"/>
    <w:rsid w:val="00CE6CA1"/>
    <w:rsid w:val="00CE6DDE"/>
    <w:rsid w:val="00CE6F2A"/>
    <w:rsid w:val="00CE7037"/>
    <w:rsid w:val="00CE77C3"/>
    <w:rsid w:val="00CE7857"/>
    <w:rsid w:val="00CE7C85"/>
    <w:rsid w:val="00CE7FD4"/>
    <w:rsid w:val="00CF02B1"/>
    <w:rsid w:val="00CF03F6"/>
    <w:rsid w:val="00CF0505"/>
    <w:rsid w:val="00CF05B5"/>
    <w:rsid w:val="00CF05EF"/>
    <w:rsid w:val="00CF09BA"/>
    <w:rsid w:val="00CF0F86"/>
    <w:rsid w:val="00CF10A6"/>
    <w:rsid w:val="00CF127F"/>
    <w:rsid w:val="00CF18DB"/>
    <w:rsid w:val="00CF1B04"/>
    <w:rsid w:val="00CF332B"/>
    <w:rsid w:val="00CF33A2"/>
    <w:rsid w:val="00CF35EF"/>
    <w:rsid w:val="00CF3CEE"/>
    <w:rsid w:val="00CF3D3F"/>
    <w:rsid w:val="00CF451D"/>
    <w:rsid w:val="00CF474E"/>
    <w:rsid w:val="00CF47AF"/>
    <w:rsid w:val="00CF4D07"/>
    <w:rsid w:val="00CF500D"/>
    <w:rsid w:val="00CF5433"/>
    <w:rsid w:val="00CF543A"/>
    <w:rsid w:val="00CF5819"/>
    <w:rsid w:val="00CF6073"/>
    <w:rsid w:val="00CF6245"/>
    <w:rsid w:val="00CF6269"/>
    <w:rsid w:val="00CF677F"/>
    <w:rsid w:val="00CF7AE2"/>
    <w:rsid w:val="00CF7E85"/>
    <w:rsid w:val="00CF7EBD"/>
    <w:rsid w:val="00D0023B"/>
    <w:rsid w:val="00D002B2"/>
    <w:rsid w:val="00D0065E"/>
    <w:rsid w:val="00D009F0"/>
    <w:rsid w:val="00D014CB"/>
    <w:rsid w:val="00D01C64"/>
    <w:rsid w:val="00D01DED"/>
    <w:rsid w:val="00D01EB9"/>
    <w:rsid w:val="00D026A2"/>
    <w:rsid w:val="00D02FA8"/>
    <w:rsid w:val="00D03009"/>
    <w:rsid w:val="00D03D13"/>
    <w:rsid w:val="00D04D5C"/>
    <w:rsid w:val="00D04D5E"/>
    <w:rsid w:val="00D05205"/>
    <w:rsid w:val="00D0543D"/>
    <w:rsid w:val="00D0569E"/>
    <w:rsid w:val="00D05CDA"/>
    <w:rsid w:val="00D06144"/>
    <w:rsid w:val="00D0644C"/>
    <w:rsid w:val="00D0686F"/>
    <w:rsid w:val="00D06C0C"/>
    <w:rsid w:val="00D06D7E"/>
    <w:rsid w:val="00D06FF4"/>
    <w:rsid w:val="00D071F5"/>
    <w:rsid w:val="00D0750F"/>
    <w:rsid w:val="00D10047"/>
    <w:rsid w:val="00D107BD"/>
    <w:rsid w:val="00D110B2"/>
    <w:rsid w:val="00D112D7"/>
    <w:rsid w:val="00D113A3"/>
    <w:rsid w:val="00D11CBC"/>
    <w:rsid w:val="00D11D26"/>
    <w:rsid w:val="00D11E1E"/>
    <w:rsid w:val="00D12328"/>
    <w:rsid w:val="00D123F3"/>
    <w:rsid w:val="00D126A5"/>
    <w:rsid w:val="00D12C22"/>
    <w:rsid w:val="00D1342C"/>
    <w:rsid w:val="00D13675"/>
    <w:rsid w:val="00D138E0"/>
    <w:rsid w:val="00D13FB0"/>
    <w:rsid w:val="00D13FB8"/>
    <w:rsid w:val="00D14305"/>
    <w:rsid w:val="00D14569"/>
    <w:rsid w:val="00D1499A"/>
    <w:rsid w:val="00D1554E"/>
    <w:rsid w:val="00D159F2"/>
    <w:rsid w:val="00D15A22"/>
    <w:rsid w:val="00D15BF4"/>
    <w:rsid w:val="00D165D2"/>
    <w:rsid w:val="00D16830"/>
    <w:rsid w:val="00D16A05"/>
    <w:rsid w:val="00D16B72"/>
    <w:rsid w:val="00D16CEC"/>
    <w:rsid w:val="00D17A04"/>
    <w:rsid w:val="00D17BF3"/>
    <w:rsid w:val="00D17E28"/>
    <w:rsid w:val="00D2015D"/>
    <w:rsid w:val="00D208EB"/>
    <w:rsid w:val="00D20AAD"/>
    <w:rsid w:val="00D20D71"/>
    <w:rsid w:val="00D20D85"/>
    <w:rsid w:val="00D21375"/>
    <w:rsid w:val="00D21505"/>
    <w:rsid w:val="00D21542"/>
    <w:rsid w:val="00D2167D"/>
    <w:rsid w:val="00D219E2"/>
    <w:rsid w:val="00D221D5"/>
    <w:rsid w:val="00D22301"/>
    <w:rsid w:val="00D223F5"/>
    <w:rsid w:val="00D2281D"/>
    <w:rsid w:val="00D2299C"/>
    <w:rsid w:val="00D233A5"/>
    <w:rsid w:val="00D233DD"/>
    <w:rsid w:val="00D23967"/>
    <w:rsid w:val="00D23C67"/>
    <w:rsid w:val="00D23F95"/>
    <w:rsid w:val="00D241EC"/>
    <w:rsid w:val="00D24517"/>
    <w:rsid w:val="00D245D9"/>
    <w:rsid w:val="00D247CA"/>
    <w:rsid w:val="00D248C7"/>
    <w:rsid w:val="00D24C9B"/>
    <w:rsid w:val="00D26589"/>
    <w:rsid w:val="00D266E0"/>
    <w:rsid w:val="00D268F6"/>
    <w:rsid w:val="00D269DA"/>
    <w:rsid w:val="00D26C0D"/>
    <w:rsid w:val="00D2731B"/>
    <w:rsid w:val="00D2790E"/>
    <w:rsid w:val="00D3039D"/>
    <w:rsid w:val="00D30D9C"/>
    <w:rsid w:val="00D31270"/>
    <w:rsid w:val="00D31409"/>
    <w:rsid w:val="00D31509"/>
    <w:rsid w:val="00D31EA8"/>
    <w:rsid w:val="00D32287"/>
    <w:rsid w:val="00D326E8"/>
    <w:rsid w:val="00D3289B"/>
    <w:rsid w:val="00D32901"/>
    <w:rsid w:val="00D32B63"/>
    <w:rsid w:val="00D32C65"/>
    <w:rsid w:val="00D32D18"/>
    <w:rsid w:val="00D32F4B"/>
    <w:rsid w:val="00D3371F"/>
    <w:rsid w:val="00D33C9F"/>
    <w:rsid w:val="00D33F70"/>
    <w:rsid w:val="00D33F8B"/>
    <w:rsid w:val="00D34847"/>
    <w:rsid w:val="00D353FC"/>
    <w:rsid w:val="00D368FE"/>
    <w:rsid w:val="00D369EF"/>
    <w:rsid w:val="00D36C2B"/>
    <w:rsid w:val="00D36C69"/>
    <w:rsid w:val="00D36DC1"/>
    <w:rsid w:val="00D37538"/>
    <w:rsid w:val="00D37C09"/>
    <w:rsid w:val="00D40205"/>
    <w:rsid w:val="00D40946"/>
    <w:rsid w:val="00D40BD4"/>
    <w:rsid w:val="00D40ECC"/>
    <w:rsid w:val="00D41046"/>
    <w:rsid w:val="00D4188A"/>
    <w:rsid w:val="00D41C1B"/>
    <w:rsid w:val="00D41D94"/>
    <w:rsid w:val="00D421DA"/>
    <w:rsid w:val="00D42654"/>
    <w:rsid w:val="00D4273A"/>
    <w:rsid w:val="00D43BAB"/>
    <w:rsid w:val="00D44738"/>
    <w:rsid w:val="00D44932"/>
    <w:rsid w:val="00D4557A"/>
    <w:rsid w:val="00D45C70"/>
    <w:rsid w:val="00D4603D"/>
    <w:rsid w:val="00D46A44"/>
    <w:rsid w:val="00D471E5"/>
    <w:rsid w:val="00D478E4"/>
    <w:rsid w:val="00D47B6E"/>
    <w:rsid w:val="00D47C17"/>
    <w:rsid w:val="00D47CA2"/>
    <w:rsid w:val="00D47CC8"/>
    <w:rsid w:val="00D50107"/>
    <w:rsid w:val="00D503D2"/>
    <w:rsid w:val="00D50707"/>
    <w:rsid w:val="00D50F86"/>
    <w:rsid w:val="00D512A3"/>
    <w:rsid w:val="00D51C6B"/>
    <w:rsid w:val="00D52152"/>
    <w:rsid w:val="00D52D42"/>
    <w:rsid w:val="00D52DB6"/>
    <w:rsid w:val="00D53808"/>
    <w:rsid w:val="00D53A61"/>
    <w:rsid w:val="00D53C7B"/>
    <w:rsid w:val="00D54060"/>
    <w:rsid w:val="00D541F4"/>
    <w:rsid w:val="00D54562"/>
    <w:rsid w:val="00D54B85"/>
    <w:rsid w:val="00D54BD3"/>
    <w:rsid w:val="00D55087"/>
    <w:rsid w:val="00D55816"/>
    <w:rsid w:val="00D559D0"/>
    <w:rsid w:val="00D55E09"/>
    <w:rsid w:val="00D56957"/>
    <w:rsid w:val="00D56CD8"/>
    <w:rsid w:val="00D56E25"/>
    <w:rsid w:val="00D57242"/>
    <w:rsid w:val="00D572EC"/>
    <w:rsid w:val="00D573D9"/>
    <w:rsid w:val="00D57677"/>
    <w:rsid w:val="00D6008D"/>
    <w:rsid w:val="00D603E4"/>
    <w:rsid w:val="00D6079A"/>
    <w:rsid w:val="00D608CB"/>
    <w:rsid w:val="00D60D69"/>
    <w:rsid w:val="00D60FB7"/>
    <w:rsid w:val="00D61059"/>
    <w:rsid w:val="00D61318"/>
    <w:rsid w:val="00D615BA"/>
    <w:rsid w:val="00D61DB0"/>
    <w:rsid w:val="00D620E6"/>
    <w:rsid w:val="00D6262F"/>
    <w:rsid w:val="00D62A89"/>
    <w:rsid w:val="00D62C0D"/>
    <w:rsid w:val="00D62DFD"/>
    <w:rsid w:val="00D6348A"/>
    <w:rsid w:val="00D63887"/>
    <w:rsid w:val="00D639A7"/>
    <w:rsid w:val="00D63B89"/>
    <w:rsid w:val="00D63D6E"/>
    <w:rsid w:val="00D63F5E"/>
    <w:rsid w:val="00D6433B"/>
    <w:rsid w:val="00D64389"/>
    <w:rsid w:val="00D647F6"/>
    <w:rsid w:val="00D647FF"/>
    <w:rsid w:val="00D64A4B"/>
    <w:rsid w:val="00D64CA0"/>
    <w:rsid w:val="00D65094"/>
    <w:rsid w:val="00D6521A"/>
    <w:rsid w:val="00D6528A"/>
    <w:rsid w:val="00D66010"/>
    <w:rsid w:val="00D66948"/>
    <w:rsid w:val="00D66B24"/>
    <w:rsid w:val="00D676B6"/>
    <w:rsid w:val="00D67844"/>
    <w:rsid w:val="00D67C55"/>
    <w:rsid w:val="00D702AC"/>
    <w:rsid w:val="00D70CB2"/>
    <w:rsid w:val="00D70E0F"/>
    <w:rsid w:val="00D71CF7"/>
    <w:rsid w:val="00D72E74"/>
    <w:rsid w:val="00D72E82"/>
    <w:rsid w:val="00D72ECF"/>
    <w:rsid w:val="00D734D2"/>
    <w:rsid w:val="00D73966"/>
    <w:rsid w:val="00D73B39"/>
    <w:rsid w:val="00D73E41"/>
    <w:rsid w:val="00D7405A"/>
    <w:rsid w:val="00D743D5"/>
    <w:rsid w:val="00D747D6"/>
    <w:rsid w:val="00D74CFC"/>
    <w:rsid w:val="00D75077"/>
    <w:rsid w:val="00D75150"/>
    <w:rsid w:val="00D75215"/>
    <w:rsid w:val="00D75513"/>
    <w:rsid w:val="00D756B9"/>
    <w:rsid w:val="00D75860"/>
    <w:rsid w:val="00D7589F"/>
    <w:rsid w:val="00D76642"/>
    <w:rsid w:val="00D7675B"/>
    <w:rsid w:val="00D76A7E"/>
    <w:rsid w:val="00D76BA5"/>
    <w:rsid w:val="00D77287"/>
    <w:rsid w:val="00D77C4F"/>
    <w:rsid w:val="00D8000F"/>
    <w:rsid w:val="00D80589"/>
    <w:rsid w:val="00D80657"/>
    <w:rsid w:val="00D8071F"/>
    <w:rsid w:val="00D80759"/>
    <w:rsid w:val="00D8083E"/>
    <w:rsid w:val="00D80F36"/>
    <w:rsid w:val="00D81411"/>
    <w:rsid w:val="00D816CB"/>
    <w:rsid w:val="00D8199B"/>
    <w:rsid w:val="00D81B49"/>
    <w:rsid w:val="00D81B5A"/>
    <w:rsid w:val="00D81CA4"/>
    <w:rsid w:val="00D82079"/>
    <w:rsid w:val="00D8269C"/>
    <w:rsid w:val="00D828AB"/>
    <w:rsid w:val="00D82BCC"/>
    <w:rsid w:val="00D83BBC"/>
    <w:rsid w:val="00D83CB1"/>
    <w:rsid w:val="00D83FA7"/>
    <w:rsid w:val="00D842EF"/>
    <w:rsid w:val="00D84487"/>
    <w:rsid w:val="00D8484A"/>
    <w:rsid w:val="00D84DBD"/>
    <w:rsid w:val="00D84EE8"/>
    <w:rsid w:val="00D85407"/>
    <w:rsid w:val="00D859E4"/>
    <w:rsid w:val="00D868E7"/>
    <w:rsid w:val="00D869E0"/>
    <w:rsid w:val="00D86AEE"/>
    <w:rsid w:val="00D86E99"/>
    <w:rsid w:val="00D86F4D"/>
    <w:rsid w:val="00D872AE"/>
    <w:rsid w:val="00D87310"/>
    <w:rsid w:val="00D87789"/>
    <w:rsid w:val="00D87AFC"/>
    <w:rsid w:val="00D87DCB"/>
    <w:rsid w:val="00D9006D"/>
    <w:rsid w:val="00D907CE"/>
    <w:rsid w:val="00D90B73"/>
    <w:rsid w:val="00D911A9"/>
    <w:rsid w:val="00D9129D"/>
    <w:rsid w:val="00D91D60"/>
    <w:rsid w:val="00D92A21"/>
    <w:rsid w:val="00D92D0B"/>
    <w:rsid w:val="00D931C3"/>
    <w:rsid w:val="00D9329E"/>
    <w:rsid w:val="00D932AD"/>
    <w:rsid w:val="00D932C8"/>
    <w:rsid w:val="00D939ED"/>
    <w:rsid w:val="00D9442F"/>
    <w:rsid w:val="00D9478D"/>
    <w:rsid w:val="00D94C55"/>
    <w:rsid w:val="00D950F1"/>
    <w:rsid w:val="00D952E2"/>
    <w:rsid w:val="00D9540A"/>
    <w:rsid w:val="00D9555B"/>
    <w:rsid w:val="00D95F24"/>
    <w:rsid w:val="00D9602F"/>
    <w:rsid w:val="00D969B1"/>
    <w:rsid w:val="00D969E2"/>
    <w:rsid w:val="00D96C43"/>
    <w:rsid w:val="00D97088"/>
    <w:rsid w:val="00DA00A4"/>
    <w:rsid w:val="00DA044A"/>
    <w:rsid w:val="00DA0CCE"/>
    <w:rsid w:val="00DA0CDD"/>
    <w:rsid w:val="00DA0D5F"/>
    <w:rsid w:val="00DA15C9"/>
    <w:rsid w:val="00DA1DCA"/>
    <w:rsid w:val="00DA2248"/>
    <w:rsid w:val="00DA22FA"/>
    <w:rsid w:val="00DA235C"/>
    <w:rsid w:val="00DA257D"/>
    <w:rsid w:val="00DA2939"/>
    <w:rsid w:val="00DA2944"/>
    <w:rsid w:val="00DA29AF"/>
    <w:rsid w:val="00DA29F3"/>
    <w:rsid w:val="00DA2A51"/>
    <w:rsid w:val="00DA3389"/>
    <w:rsid w:val="00DA3599"/>
    <w:rsid w:val="00DA3E03"/>
    <w:rsid w:val="00DA4417"/>
    <w:rsid w:val="00DA46C5"/>
    <w:rsid w:val="00DA4744"/>
    <w:rsid w:val="00DA527D"/>
    <w:rsid w:val="00DA550E"/>
    <w:rsid w:val="00DA56E0"/>
    <w:rsid w:val="00DA5A45"/>
    <w:rsid w:val="00DA5E36"/>
    <w:rsid w:val="00DA6182"/>
    <w:rsid w:val="00DA63EB"/>
    <w:rsid w:val="00DA654E"/>
    <w:rsid w:val="00DA69F6"/>
    <w:rsid w:val="00DA6DCA"/>
    <w:rsid w:val="00DA6E74"/>
    <w:rsid w:val="00DA7121"/>
    <w:rsid w:val="00DA7339"/>
    <w:rsid w:val="00DA73AF"/>
    <w:rsid w:val="00DA750E"/>
    <w:rsid w:val="00DA753A"/>
    <w:rsid w:val="00DB02BC"/>
    <w:rsid w:val="00DB03C3"/>
    <w:rsid w:val="00DB0592"/>
    <w:rsid w:val="00DB05A4"/>
    <w:rsid w:val="00DB06D9"/>
    <w:rsid w:val="00DB0769"/>
    <w:rsid w:val="00DB086C"/>
    <w:rsid w:val="00DB0994"/>
    <w:rsid w:val="00DB09F9"/>
    <w:rsid w:val="00DB1025"/>
    <w:rsid w:val="00DB12AA"/>
    <w:rsid w:val="00DB20E5"/>
    <w:rsid w:val="00DB21DD"/>
    <w:rsid w:val="00DB2673"/>
    <w:rsid w:val="00DB26B5"/>
    <w:rsid w:val="00DB28C3"/>
    <w:rsid w:val="00DB29ED"/>
    <w:rsid w:val="00DB307C"/>
    <w:rsid w:val="00DB3A25"/>
    <w:rsid w:val="00DB3A92"/>
    <w:rsid w:val="00DB3D13"/>
    <w:rsid w:val="00DB4056"/>
    <w:rsid w:val="00DB427D"/>
    <w:rsid w:val="00DB42E8"/>
    <w:rsid w:val="00DB44EC"/>
    <w:rsid w:val="00DB4634"/>
    <w:rsid w:val="00DB47F2"/>
    <w:rsid w:val="00DB4AD0"/>
    <w:rsid w:val="00DB4BE7"/>
    <w:rsid w:val="00DB530C"/>
    <w:rsid w:val="00DB5312"/>
    <w:rsid w:val="00DB5693"/>
    <w:rsid w:val="00DB59D5"/>
    <w:rsid w:val="00DB5A6C"/>
    <w:rsid w:val="00DB6096"/>
    <w:rsid w:val="00DB634A"/>
    <w:rsid w:val="00DB643A"/>
    <w:rsid w:val="00DB66AC"/>
    <w:rsid w:val="00DB6F58"/>
    <w:rsid w:val="00DC0756"/>
    <w:rsid w:val="00DC0C65"/>
    <w:rsid w:val="00DC0C74"/>
    <w:rsid w:val="00DC0EEF"/>
    <w:rsid w:val="00DC1538"/>
    <w:rsid w:val="00DC15F6"/>
    <w:rsid w:val="00DC1658"/>
    <w:rsid w:val="00DC16A5"/>
    <w:rsid w:val="00DC177F"/>
    <w:rsid w:val="00DC1807"/>
    <w:rsid w:val="00DC1F32"/>
    <w:rsid w:val="00DC24E3"/>
    <w:rsid w:val="00DC27E4"/>
    <w:rsid w:val="00DC281A"/>
    <w:rsid w:val="00DC2F48"/>
    <w:rsid w:val="00DC2F70"/>
    <w:rsid w:val="00DC2FB2"/>
    <w:rsid w:val="00DC3152"/>
    <w:rsid w:val="00DC3270"/>
    <w:rsid w:val="00DC37CD"/>
    <w:rsid w:val="00DC4202"/>
    <w:rsid w:val="00DC46BE"/>
    <w:rsid w:val="00DC47CF"/>
    <w:rsid w:val="00DC48D2"/>
    <w:rsid w:val="00DC4E3D"/>
    <w:rsid w:val="00DC56E0"/>
    <w:rsid w:val="00DC5E0D"/>
    <w:rsid w:val="00DC6208"/>
    <w:rsid w:val="00DC6335"/>
    <w:rsid w:val="00DC63B9"/>
    <w:rsid w:val="00DC640B"/>
    <w:rsid w:val="00DC67FA"/>
    <w:rsid w:val="00DC6B12"/>
    <w:rsid w:val="00DC6B61"/>
    <w:rsid w:val="00DC6D4F"/>
    <w:rsid w:val="00DC6F14"/>
    <w:rsid w:val="00DC74DB"/>
    <w:rsid w:val="00DC755D"/>
    <w:rsid w:val="00DC75BB"/>
    <w:rsid w:val="00DC7734"/>
    <w:rsid w:val="00DC7FBA"/>
    <w:rsid w:val="00DD0310"/>
    <w:rsid w:val="00DD0353"/>
    <w:rsid w:val="00DD06B5"/>
    <w:rsid w:val="00DD09EC"/>
    <w:rsid w:val="00DD0B52"/>
    <w:rsid w:val="00DD1456"/>
    <w:rsid w:val="00DD1BA4"/>
    <w:rsid w:val="00DD2363"/>
    <w:rsid w:val="00DD2617"/>
    <w:rsid w:val="00DD27F2"/>
    <w:rsid w:val="00DD31F9"/>
    <w:rsid w:val="00DD46CE"/>
    <w:rsid w:val="00DD46F2"/>
    <w:rsid w:val="00DD4ECC"/>
    <w:rsid w:val="00DD4FD2"/>
    <w:rsid w:val="00DD52CB"/>
    <w:rsid w:val="00DD58D6"/>
    <w:rsid w:val="00DD591B"/>
    <w:rsid w:val="00DD59BE"/>
    <w:rsid w:val="00DD5AFE"/>
    <w:rsid w:val="00DD613C"/>
    <w:rsid w:val="00DD63B0"/>
    <w:rsid w:val="00DD67BC"/>
    <w:rsid w:val="00DD6839"/>
    <w:rsid w:val="00DD6D78"/>
    <w:rsid w:val="00DD7C49"/>
    <w:rsid w:val="00DD7EC6"/>
    <w:rsid w:val="00DE0301"/>
    <w:rsid w:val="00DE0850"/>
    <w:rsid w:val="00DE1A92"/>
    <w:rsid w:val="00DE1CD1"/>
    <w:rsid w:val="00DE1E27"/>
    <w:rsid w:val="00DE1F64"/>
    <w:rsid w:val="00DE2294"/>
    <w:rsid w:val="00DE2775"/>
    <w:rsid w:val="00DE3323"/>
    <w:rsid w:val="00DE3825"/>
    <w:rsid w:val="00DE3A38"/>
    <w:rsid w:val="00DE3A8B"/>
    <w:rsid w:val="00DE4C2F"/>
    <w:rsid w:val="00DE4FA3"/>
    <w:rsid w:val="00DE5064"/>
    <w:rsid w:val="00DE54FF"/>
    <w:rsid w:val="00DE5989"/>
    <w:rsid w:val="00DE60C1"/>
    <w:rsid w:val="00DE655A"/>
    <w:rsid w:val="00DE664D"/>
    <w:rsid w:val="00DE7A45"/>
    <w:rsid w:val="00DF00AB"/>
    <w:rsid w:val="00DF0298"/>
    <w:rsid w:val="00DF05F4"/>
    <w:rsid w:val="00DF0C17"/>
    <w:rsid w:val="00DF1048"/>
    <w:rsid w:val="00DF131B"/>
    <w:rsid w:val="00DF1634"/>
    <w:rsid w:val="00DF1BBF"/>
    <w:rsid w:val="00DF1D24"/>
    <w:rsid w:val="00DF1D4C"/>
    <w:rsid w:val="00DF202A"/>
    <w:rsid w:val="00DF2ECE"/>
    <w:rsid w:val="00DF2F52"/>
    <w:rsid w:val="00DF31E3"/>
    <w:rsid w:val="00DF327C"/>
    <w:rsid w:val="00DF35F9"/>
    <w:rsid w:val="00DF3D1A"/>
    <w:rsid w:val="00DF3E48"/>
    <w:rsid w:val="00DF421E"/>
    <w:rsid w:val="00DF4D36"/>
    <w:rsid w:val="00DF4F82"/>
    <w:rsid w:val="00DF5402"/>
    <w:rsid w:val="00DF56D5"/>
    <w:rsid w:val="00DF5740"/>
    <w:rsid w:val="00DF577A"/>
    <w:rsid w:val="00DF6774"/>
    <w:rsid w:val="00DF6977"/>
    <w:rsid w:val="00DF6A86"/>
    <w:rsid w:val="00DF6A98"/>
    <w:rsid w:val="00DF6D51"/>
    <w:rsid w:val="00DF6F0C"/>
    <w:rsid w:val="00DF6F9F"/>
    <w:rsid w:val="00DF718B"/>
    <w:rsid w:val="00DF7378"/>
    <w:rsid w:val="00DF7574"/>
    <w:rsid w:val="00DF7843"/>
    <w:rsid w:val="00DF7851"/>
    <w:rsid w:val="00DF78B0"/>
    <w:rsid w:val="00DF7C0A"/>
    <w:rsid w:val="00DF7C1D"/>
    <w:rsid w:val="00E00D6F"/>
    <w:rsid w:val="00E0113C"/>
    <w:rsid w:val="00E013CB"/>
    <w:rsid w:val="00E01864"/>
    <w:rsid w:val="00E01996"/>
    <w:rsid w:val="00E01F18"/>
    <w:rsid w:val="00E01FE5"/>
    <w:rsid w:val="00E0265F"/>
    <w:rsid w:val="00E02DBD"/>
    <w:rsid w:val="00E030DC"/>
    <w:rsid w:val="00E0315F"/>
    <w:rsid w:val="00E03189"/>
    <w:rsid w:val="00E031E1"/>
    <w:rsid w:val="00E0364A"/>
    <w:rsid w:val="00E03BE8"/>
    <w:rsid w:val="00E03E36"/>
    <w:rsid w:val="00E043D5"/>
    <w:rsid w:val="00E043F8"/>
    <w:rsid w:val="00E04434"/>
    <w:rsid w:val="00E04E62"/>
    <w:rsid w:val="00E05683"/>
    <w:rsid w:val="00E05D92"/>
    <w:rsid w:val="00E06770"/>
    <w:rsid w:val="00E07DB1"/>
    <w:rsid w:val="00E10163"/>
    <w:rsid w:val="00E11144"/>
    <w:rsid w:val="00E11653"/>
    <w:rsid w:val="00E11AA3"/>
    <w:rsid w:val="00E11B5F"/>
    <w:rsid w:val="00E11E3C"/>
    <w:rsid w:val="00E12322"/>
    <w:rsid w:val="00E12CE4"/>
    <w:rsid w:val="00E12FE3"/>
    <w:rsid w:val="00E1301F"/>
    <w:rsid w:val="00E1308F"/>
    <w:rsid w:val="00E13DE0"/>
    <w:rsid w:val="00E13E6F"/>
    <w:rsid w:val="00E14246"/>
    <w:rsid w:val="00E14C81"/>
    <w:rsid w:val="00E15D74"/>
    <w:rsid w:val="00E15E8C"/>
    <w:rsid w:val="00E161AF"/>
    <w:rsid w:val="00E1623A"/>
    <w:rsid w:val="00E16711"/>
    <w:rsid w:val="00E168EA"/>
    <w:rsid w:val="00E1732E"/>
    <w:rsid w:val="00E1754B"/>
    <w:rsid w:val="00E17B7F"/>
    <w:rsid w:val="00E20224"/>
    <w:rsid w:val="00E207FF"/>
    <w:rsid w:val="00E20AD2"/>
    <w:rsid w:val="00E2147B"/>
    <w:rsid w:val="00E214CA"/>
    <w:rsid w:val="00E2164C"/>
    <w:rsid w:val="00E217D3"/>
    <w:rsid w:val="00E21984"/>
    <w:rsid w:val="00E2213B"/>
    <w:rsid w:val="00E23897"/>
    <w:rsid w:val="00E23D30"/>
    <w:rsid w:val="00E23DFF"/>
    <w:rsid w:val="00E2456A"/>
    <w:rsid w:val="00E24CED"/>
    <w:rsid w:val="00E24D6B"/>
    <w:rsid w:val="00E2529C"/>
    <w:rsid w:val="00E2537F"/>
    <w:rsid w:val="00E25B2D"/>
    <w:rsid w:val="00E25FCC"/>
    <w:rsid w:val="00E2639B"/>
    <w:rsid w:val="00E26450"/>
    <w:rsid w:val="00E265EF"/>
    <w:rsid w:val="00E26909"/>
    <w:rsid w:val="00E26D92"/>
    <w:rsid w:val="00E26EC8"/>
    <w:rsid w:val="00E26F98"/>
    <w:rsid w:val="00E27B79"/>
    <w:rsid w:val="00E27C15"/>
    <w:rsid w:val="00E27E81"/>
    <w:rsid w:val="00E305DD"/>
    <w:rsid w:val="00E305F1"/>
    <w:rsid w:val="00E3062A"/>
    <w:rsid w:val="00E30A86"/>
    <w:rsid w:val="00E30E58"/>
    <w:rsid w:val="00E30F63"/>
    <w:rsid w:val="00E30F87"/>
    <w:rsid w:val="00E31110"/>
    <w:rsid w:val="00E313F9"/>
    <w:rsid w:val="00E3146C"/>
    <w:rsid w:val="00E3153D"/>
    <w:rsid w:val="00E31D52"/>
    <w:rsid w:val="00E31F92"/>
    <w:rsid w:val="00E32555"/>
    <w:rsid w:val="00E32683"/>
    <w:rsid w:val="00E33002"/>
    <w:rsid w:val="00E331CA"/>
    <w:rsid w:val="00E3348D"/>
    <w:rsid w:val="00E334E6"/>
    <w:rsid w:val="00E3374E"/>
    <w:rsid w:val="00E33840"/>
    <w:rsid w:val="00E3384F"/>
    <w:rsid w:val="00E33F7E"/>
    <w:rsid w:val="00E3415A"/>
    <w:rsid w:val="00E3436C"/>
    <w:rsid w:val="00E34BA5"/>
    <w:rsid w:val="00E3545A"/>
    <w:rsid w:val="00E35496"/>
    <w:rsid w:val="00E35500"/>
    <w:rsid w:val="00E35A3D"/>
    <w:rsid w:val="00E35AC5"/>
    <w:rsid w:val="00E35C4C"/>
    <w:rsid w:val="00E35D52"/>
    <w:rsid w:val="00E3650E"/>
    <w:rsid w:val="00E3661E"/>
    <w:rsid w:val="00E36900"/>
    <w:rsid w:val="00E36DA5"/>
    <w:rsid w:val="00E3709D"/>
    <w:rsid w:val="00E378D3"/>
    <w:rsid w:val="00E37C4B"/>
    <w:rsid w:val="00E37C4E"/>
    <w:rsid w:val="00E40316"/>
    <w:rsid w:val="00E40356"/>
    <w:rsid w:val="00E40B09"/>
    <w:rsid w:val="00E41202"/>
    <w:rsid w:val="00E412B5"/>
    <w:rsid w:val="00E417D7"/>
    <w:rsid w:val="00E41CF2"/>
    <w:rsid w:val="00E41D0C"/>
    <w:rsid w:val="00E4250A"/>
    <w:rsid w:val="00E4293C"/>
    <w:rsid w:val="00E42994"/>
    <w:rsid w:val="00E43174"/>
    <w:rsid w:val="00E43279"/>
    <w:rsid w:val="00E43746"/>
    <w:rsid w:val="00E43867"/>
    <w:rsid w:val="00E438C8"/>
    <w:rsid w:val="00E43F4E"/>
    <w:rsid w:val="00E4425F"/>
    <w:rsid w:val="00E444B0"/>
    <w:rsid w:val="00E4451D"/>
    <w:rsid w:val="00E44E23"/>
    <w:rsid w:val="00E44F75"/>
    <w:rsid w:val="00E45371"/>
    <w:rsid w:val="00E455EB"/>
    <w:rsid w:val="00E45D0B"/>
    <w:rsid w:val="00E4625B"/>
    <w:rsid w:val="00E46905"/>
    <w:rsid w:val="00E46CA1"/>
    <w:rsid w:val="00E46D7F"/>
    <w:rsid w:val="00E4700F"/>
    <w:rsid w:val="00E474F8"/>
    <w:rsid w:val="00E501BC"/>
    <w:rsid w:val="00E50243"/>
    <w:rsid w:val="00E503CC"/>
    <w:rsid w:val="00E50652"/>
    <w:rsid w:val="00E50CD8"/>
    <w:rsid w:val="00E50CE7"/>
    <w:rsid w:val="00E514EE"/>
    <w:rsid w:val="00E51D7E"/>
    <w:rsid w:val="00E52342"/>
    <w:rsid w:val="00E52465"/>
    <w:rsid w:val="00E52554"/>
    <w:rsid w:val="00E5296E"/>
    <w:rsid w:val="00E53C8F"/>
    <w:rsid w:val="00E53D9B"/>
    <w:rsid w:val="00E53DA7"/>
    <w:rsid w:val="00E53E99"/>
    <w:rsid w:val="00E547B0"/>
    <w:rsid w:val="00E54FD8"/>
    <w:rsid w:val="00E55D17"/>
    <w:rsid w:val="00E561DC"/>
    <w:rsid w:val="00E5621E"/>
    <w:rsid w:val="00E56406"/>
    <w:rsid w:val="00E56450"/>
    <w:rsid w:val="00E5673A"/>
    <w:rsid w:val="00E57325"/>
    <w:rsid w:val="00E5735D"/>
    <w:rsid w:val="00E57587"/>
    <w:rsid w:val="00E5767D"/>
    <w:rsid w:val="00E57C26"/>
    <w:rsid w:val="00E57CE3"/>
    <w:rsid w:val="00E6038C"/>
    <w:rsid w:val="00E60410"/>
    <w:rsid w:val="00E605A1"/>
    <w:rsid w:val="00E609C1"/>
    <w:rsid w:val="00E60FDD"/>
    <w:rsid w:val="00E61F20"/>
    <w:rsid w:val="00E620B3"/>
    <w:rsid w:val="00E62324"/>
    <w:rsid w:val="00E624F2"/>
    <w:rsid w:val="00E627C0"/>
    <w:rsid w:val="00E62880"/>
    <w:rsid w:val="00E62D64"/>
    <w:rsid w:val="00E62DCD"/>
    <w:rsid w:val="00E631D3"/>
    <w:rsid w:val="00E63248"/>
    <w:rsid w:val="00E633DF"/>
    <w:rsid w:val="00E64A86"/>
    <w:rsid w:val="00E65379"/>
    <w:rsid w:val="00E6577C"/>
    <w:rsid w:val="00E65CAF"/>
    <w:rsid w:val="00E65EE5"/>
    <w:rsid w:val="00E662F2"/>
    <w:rsid w:val="00E666B1"/>
    <w:rsid w:val="00E666CB"/>
    <w:rsid w:val="00E66E05"/>
    <w:rsid w:val="00E672D3"/>
    <w:rsid w:val="00E675C5"/>
    <w:rsid w:val="00E67885"/>
    <w:rsid w:val="00E678CA"/>
    <w:rsid w:val="00E67DAB"/>
    <w:rsid w:val="00E70048"/>
    <w:rsid w:val="00E702BD"/>
    <w:rsid w:val="00E702C2"/>
    <w:rsid w:val="00E70DC7"/>
    <w:rsid w:val="00E7196E"/>
    <w:rsid w:val="00E71A72"/>
    <w:rsid w:val="00E71F53"/>
    <w:rsid w:val="00E724CC"/>
    <w:rsid w:val="00E728B4"/>
    <w:rsid w:val="00E72E01"/>
    <w:rsid w:val="00E72E36"/>
    <w:rsid w:val="00E73127"/>
    <w:rsid w:val="00E73133"/>
    <w:rsid w:val="00E732A5"/>
    <w:rsid w:val="00E73335"/>
    <w:rsid w:val="00E7373A"/>
    <w:rsid w:val="00E738B2"/>
    <w:rsid w:val="00E73D67"/>
    <w:rsid w:val="00E73FCB"/>
    <w:rsid w:val="00E74064"/>
    <w:rsid w:val="00E74102"/>
    <w:rsid w:val="00E74119"/>
    <w:rsid w:val="00E7475B"/>
    <w:rsid w:val="00E74C97"/>
    <w:rsid w:val="00E75067"/>
    <w:rsid w:val="00E75289"/>
    <w:rsid w:val="00E75688"/>
    <w:rsid w:val="00E7626A"/>
    <w:rsid w:val="00E7700E"/>
    <w:rsid w:val="00E77109"/>
    <w:rsid w:val="00E772A9"/>
    <w:rsid w:val="00E773A6"/>
    <w:rsid w:val="00E80255"/>
    <w:rsid w:val="00E803B8"/>
    <w:rsid w:val="00E80989"/>
    <w:rsid w:val="00E81CEB"/>
    <w:rsid w:val="00E81DB1"/>
    <w:rsid w:val="00E81EE9"/>
    <w:rsid w:val="00E822E1"/>
    <w:rsid w:val="00E82324"/>
    <w:rsid w:val="00E8243D"/>
    <w:rsid w:val="00E82C26"/>
    <w:rsid w:val="00E82D60"/>
    <w:rsid w:val="00E82EBB"/>
    <w:rsid w:val="00E83729"/>
    <w:rsid w:val="00E8386C"/>
    <w:rsid w:val="00E83FEC"/>
    <w:rsid w:val="00E8429A"/>
    <w:rsid w:val="00E845DD"/>
    <w:rsid w:val="00E84CB1"/>
    <w:rsid w:val="00E84CCA"/>
    <w:rsid w:val="00E84D0D"/>
    <w:rsid w:val="00E8636B"/>
    <w:rsid w:val="00E863DF"/>
    <w:rsid w:val="00E8672B"/>
    <w:rsid w:val="00E86AAE"/>
    <w:rsid w:val="00E87E24"/>
    <w:rsid w:val="00E902AF"/>
    <w:rsid w:val="00E904E0"/>
    <w:rsid w:val="00E91311"/>
    <w:rsid w:val="00E91550"/>
    <w:rsid w:val="00E91561"/>
    <w:rsid w:val="00E91A22"/>
    <w:rsid w:val="00E91AAE"/>
    <w:rsid w:val="00E91DB4"/>
    <w:rsid w:val="00E92323"/>
    <w:rsid w:val="00E92498"/>
    <w:rsid w:val="00E926C3"/>
    <w:rsid w:val="00E9293A"/>
    <w:rsid w:val="00E930CA"/>
    <w:rsid w:val="00E94139"/>
    <w:rsid w:val="00E94704"/>
    <w:rsid w:val="00E9476B"/>
    <w:rsid w:val="00E94909"/>
    <w:rsid w:val="00E94BAE"/>
    <w:rsid w:val="00E94DEB"/>
    <w:rsid w:val="00E96330"/>
    <w:rsid w:val="00E96551"/>
    <w:rsid w:val="00E96693"/>
    <w:rsid w:val="00E96C92"/>
    <w:rsid w:val="00E972AE"/>
    <w:rsid w:val="00E97C09"/>
    <w:rsid w:val="00EA0A19"/>
    <w:rsid w:val="00EA0CB2"/>
    <w:rsid w:val="00EA11ED"/>
    <w:rsid w:val="00EA18DB"/>
    <w:rsid w:val="00EA19D9"/>
    <w:rsid w:val="00EA1E6B"/>
    <w:rsid w:val="00EA1ED5"/>
    <w:rsid w:val="00EA24F1"/>
    <w:rsid w:val="00EA2764"/>
    <w:rsid w:val="00EA2C6A"/>
    <w:rsid w:val="00EA2DC8"/>
    <w:rsid w:val="00EA2F2F"/>
    <w:rsid w:val="00EA2FF5"/>
    <w:rsid w:val="00EA358A"/>
    <w:rsid w:val="00EA391E"/>
    <w:rsid w:val="00EA399C"/>
    <w:rsid w:val="00EA39FC"/>
    <w:rsid w:val="00EA3AF5"/>
    <w:rsid w:val="00EA3DBF"/>
    <w:rsid w:val="00EA4393"/>
    <w:rsid w:val="00EA444A"/>
    <w:rsid w:val="00EA5055"/>
    <w:rsid w:val="00EA5A38"/>
    <w:rsid w:val="00EA5B6D"/>
    <w:rsid w:val="00EA5EED"/>
    <w:rsid w:val="00EA5FC0"/>
    <w:rsid w:val="00EA62BD"/>
    <w:rsid w:val="00EA6660"/>
    <w:rsid w:val="00EA6AB8"/>
    <w:rsid w:val="00EA720A"/>
    <w:rsid w:val="00EA7667"/>
    <w:rsid w:val="00EA7957"/>
    <w:rsid w:val="00EA7AAD"/>
    <w:rsid w:val="00EB0093"/>
    <w:rsid w:val="00EB0237"/>
    <w:rsid w:val="00EB043F"/>
    <w:rsid w:val="00EB0563"/>
    <w:rsid w:val="00EB094B"/>
    <w:rsid w:val="00EB0A24"/>
    <w:rsid w:val="00EB0C73"/>
    <w:rsid w:val="00EB0CEA"/>
    <w:rsid w:val="00EB0E82"/>
    <w:rsid w:val="00EB0FED"/>
    <w:rsid w:val="00EB1A72"/>
    <w:rsid w:val="00EB1BB9"/>
    <w:rsid w:val="00EB1F8C"/>
    <w:rsid w:val="00EB2581"/>
    <w:rsid w:val="00EB2678"/>
    <w:rsid w:val="00EB288F"/>
    <w:rsid w:val="00EB299E"/>
    <w:rsid w:val="00EB3318"/>
    <w:rsid w:val="00EB396F"/>
    <w:rsid w:val="00EB3F5A"/>
    <w:rsid w:val="00EB46C8"/>
    <w:rsid w:val="00EB4D14"/>
    <w:rsid w:val="00EB5100"/>
    <w:rsid w:val="00EB5433"/>
    <w:rsid w:val="00EB5D02"/>
    <w:rsid w:val="00EB5EA8"/>
    <w:rsid w:val="00EB620E"/>
    <w:rsid w:val="00EB6A39"/>
    <w:rsid w:val="00EB6ABE"/>
    <w:rsid w:val="00EB6CB5"/>
    <w:rsid w:val="00EB7101"/>
    <w:rsid w:val="00EB7670"/>
    <w:rsid w:val="00EB76AF"/>
    <w:rsid w:val="00EB7743"/>
    <w:rsid w:val="00EB790A"/>
    <w:rsid w:val="00EC05E9"/>
    <w:rsid w:val="00EC0603"/>
    <w:rsid w:val="00EC070A"/>
    <w:rsid w:val="00EC0908"/>
    <w:rsid w:val="00EC0E17"/>
    <w:rsid w:val="00EC10E9"/>
    <w:rsid w:val="00EC191B"/>
    <w:rsid w:val="00EC1FC1"/>
    <w:rsid w:val="00EC24D8"/>
    <w:rsid w:val="00EC254B"/>
    <w:rsid w:val="00EC2BD7"/>
    <w:rsid w:val="00EC2EB0"/>
    <w:rsid w:val="00EC308C"/>
    <w:rsid w:val="00EC3315"/>
    <w:rsid w:val="00EC3452"/>
    <w:rsid w:val="00EC37F9"/>
    <w:rsid w:val="00EC3FA5"/>
    <w:rsid w:val="00EC4B4A"/>
    <w:rsid w:val="00EC4D03"/>
    <w:rsid w:val="00EC555A"/>
    <w:rsid w:val="00EC5CE3"/>
    <w:rsid w:val="00EC6BB9"/>
    <w:rsid w:val="00EC6EEF"/>
    <w:rsid w:val="00EC6FA6"/>
    <w:rsid w:val="00EC742E"/>
    <w:rsid w:val="00EC748A"/>
    <w:rsid w:val="00EC7516"/>
    <w:rsid w:val="00EC7608"/>
    <w:rsid w:val="00EC7B54"/>
    <w:rsid w:val="00EC7C35"/>
    <w:rsid w:val="00EC7E33"/>
    <w:rsid w:val="00ED078E"/>
    <w:rsid w:val="00ED080A"/>
    <w:rsid w:val="00ED0B6B"/>
    <w:rsid w:val="00ED16F5"/>
    <w:rsid w:val="00ED18EA"/>
    <w:rsid w:val="00ED1C62"/>
    <w:rsid w:val="00ED2A92"/>
    <w:rsid w:val="00ED33C0"/>
    <w:rsid w:val="00ED346E"/>
    <w:rsid w:val="00ED3491"/>
    <w:rsid w:val="00ED357A"/>
    <w:rsid w:val="00ED3B2D"/>
    <w:rsid w:val="00ED3C79"/>
    <w:rsid w:val="00ED40A8"/>
    <w:rsid w:val="00ED4526"/>
    <w:rsid w:val="00ED45CE"/>
    <w:rsid w:val="00ED56C0"/>
    <w:rsid w:val="00ED60C2"/>
    <w:rsid w:val="00ED61E2"/>
    <w:rsid w:val="00ED6A5F"/>
    <w:rsid w:val="00ED6BEA"/>
    <w:rsid w:val="00ED6D60"/>
    <w:rsid w:val="00ED6DD9"/>
    <w:rsid w:val="00ED71B8"/>
    <w:rsid w:val="00ED7515"/>
    <w:rsid w:val="00ED7675"/>
    <w:rsid w:val="00ED7AB5"/>
    <w:rsid w:val="00ED7F19"/>
    <w:rsid w:val="00EE0123"/>
    <w:rsid w:val="00EE017F"/>
    <w:rsid w:val="00EE06FA"/>
    <w:rsid w:val="00EE10D0"/>
    <w:rsid w:val="00EE17C6"/>
    <w:rsid w:val="00EE2964"/>
    <w:rsid w:val="00EE2A3C"/>
    <w:rsid w:val="00EE313F"/>
    <w:rsid w:val="00EE328F"/>
    <w:rsid w:val="00EE32FB"/>
    <w:rsid w:val="00EE3E58"/>
    <w:rsid w:val="00EE421C"/>
    <w:rsid w:val="00EE4632"/>
    <w:rsid w:val="00EE4993"/>
    <w:rsid w:val="00EE5541"/>
    <w:rsid w:val="00EE560D"/>
    <w:rsid w:val="00EE6971"/>
    <w:rsid w:val="00EE6C68"/>
    <w:rsid w:val="00EE6CF7"/>
    <w:rsid w:val="00EE6FA2"/>
    <w:rsid w:val="00EE7302"/>
    <w:rsid w:val="00EE76C3"/>
    <w:rsid w:val="00EE7715"/>
    <w:rsid w:val="00EE77F7"/>
    <w:rsid w:val="00EE78D3"/>
    <w:rsid w:val="00EE7AEB"/>
    <w:rsid w:val="00EF08AE"/>
    <w:rsid w:val="00EF0938"/>
    <w:rsid w:val="00EF0A12"/>
    <w:rsid w:val="00EF0E75"/>
    <w:rsid w:val="00EF14F5"/>
    <w:rsid w:val="00EF1812"/>
    <w:rsid w:val="00EF19CF"/>
    <w:rsid w:val="00EF2041"/>
    <w:rsid w:val="00EF21DF"/>
    <w:rsid w:val="00EF24D8"/>
    <w:rsid w:val="00EF28FB"/>
    <w:rsid w:val="00EF2919"/>
    <w:rsid w:val="00EF297D"/>
    <w:rsid w:val="00EF2D5D"/>
    <w:rsid w:val="00EF2FE2"/>
    <w:rsid w:val="00EF34E2"/>
    <w:rsid w:val="00EF3A2F"/>
    <w:rsid w:val="00EF3CC0"/>
    <w:rsid w:val="00EF3FEA"/>
    <w:rsid w:val="00EF4166"/>
    <w:rsid w:val="00EF4E16"/>
    <w:rsid w:val="00EF4E63"/>
    <w:rsid w:val="00EF4E8B"/>
    <w:rsid w:val="00EF4EE2"/>
    <w:rsid w:val="00EF50AA"/>
    <w:rsid w:val="00EF51A6"/>
    <w:rsid w:val="00EF56AD"/>
    <w:rsid w:val="00EF63AC"/>
    <w:rsid w:val="00EF68C5"/>
    <w:rsid w:val="00EF691C"/>
    <w:rsid w:val="00EF6B35"/>
    <w:rsid w:val="00EF6CD8"/>
    <w:rsid w:val="00EF754F"/>
    <w:rsid w:val="00EF7594"/>
    <w:rsid w:val="00EF7682"/>
    <w:rsid w:val="00EF778C"/>
    <w:rsid w:val="00EF7DF8"/>
    <w:rsid w:val="00EF7FDC"/>
    <w:rsid w:val="00F0000C"/>
    <w:rsid w:val="00F004BA"/>
    <w:rsid w:val="00F0075A"/>
    <w:rsid w:val="00F0075F"/>
    <w:rsid w:val="00F00C57"/>
    <w:rsid w:val="00F00CDA"/>
    <w:rsid w:val="00F01101"/>
    <w:rsid w:val="00F013E3"/>
    <w:rsid w:val="00F015C3"/>
    <w:rsid w:val="00F0173C"/>
    <w:rsid w:val="00F0188D"/>
    <w:rsid w:val="00F01D7F"/>
    <w:rsid w:val="00F026F3"/>
    <w:rsid w:val="00F02FD1"/>
    <w:rsid w:val="00F03784"/>
    <w:rsid w:val="00F03A84"/>
    <w:rsid w:val="00F04ADA"/>
    <w:rsid w:val="00F04C7B"/>
    <w:rsid w:val="00F04C8F"/>
    <w:rsid w:val="00F04E0D"/>
    <w:rsid w:val="00F04F6F"/>
    <w:rsid w:val="00F0522E"/>
    <w:rsid w:val="00F05B84"/>
    <w:rsid w:val="00F05D36"/>
    <w:rsid w:val="00F05E31"/>
    <w:rsid w:val="00F06161"/>
    <w:rsid w:val="00F0618D"/>
    <w:rsid w:val="00F06CEB"/>
    <w:rsid w:val="00F07135"/>
    <w:rsid w:val="00F07BAC"/>
    <w:rsid w:val="00F07F74"/>
    <w:rsid w:val="00F100CB"/>
    <w:rsid w:val="00F108AC"/>
    <w:rsid w:val="00F109AF"/>
    <w:rsid w:val="00F10B22"/>
    <w:rsid w:val="00F113F4"/>
    <w:rsid w:val="00F117FA"/>
    <w:rsid w:val="00F1215C"/>
    <w:rsid w:val="00F125A8"/>
    <w:rsid w:val="00F125F9"/>
    <w:rsid w:val="00F12D67"/>
    <w:rsid w:val="00F12F7A"/>
    <w:rsid w:val="00F13182"/>
    <w:rsid w:val="00F13428"/>
    <w:rsid w:val="00F138A9"/>
    <w:rsid w:val="00F13A00"/>
    <w:rsid w:val="00F13A29"/>
    <w:rsid w:val="00F13B49"/>
    <w:rsid w:val="00F147E7"/>
    <w:rsid w:val="00F14898"/>
    <w:rsid w:val="00F14A52"/>
    <w:rsid w:val="00F14B8F"/>
    <w:rsid w:val="00F14BD1"/>
    <w:rsid w:val="00F15015"/>
    <w:rsid w:val="00F1537A"/>
    <w:rsid w:val="00F1545E"/>
    <w:rsid w:val="00F15AF9"/>
    <w:rsid w:val="00F15E38"/>
    <w:rsid w:val="00F15FB4"/>
    <w:rsid w:val="00F1634A"/>
    <w:rsid w:val="00F16B9C"/>
    <w:rsid w:val="00F17143"/>
    <w:rsid w:val="00F172BF"/>
    <w:rsid w:val="00F1737A"/>
    <w:rsid w:val="00F17745"/>
    <w:rsid w:val="00F17EB7"/>
    <w:rsid w:val="00F2015A"/>
    <w:rsid w:val="00F20549"/>
    <w:rsid w:val="00F207B1"/>
    <w:rsid w:val="00F20881"/>
    <w:rsid w:val="00F2145B"/>
    <w:rsid w:val="00F21A54"/>
    <w:rsid w:val="00F21E5D"/>
    <w:rsid w:val="00F2339D"/>
    <w:rsid w:val="00F233B2"/>
    <w:rsid w:val="00F23431"/>
    <w:rsid w:val="00F2347C"/>
    <w:rsid w:val="00F23941"/>
    <w:rsid w:val="00F239FD"/>
    <w:rsid w:val="00F23E51"/>
    <w:rsid w:val="00F23EAC"/>
    <w:rsid w:val="00F2408F"/>
    <w:rsid w:val="00F2412E"/>
    <w:rsid w:val="00F24243"/>
    <w:rsid w:val="00F2433A"/>
    <w:rsid w:val="00F24442"/>
    <w:rsid w:val="00F24956"/>
    <w:rsid w:val="00F24CAF"/>
    <w:rsid w:val="00F24E62"/>
    <w:rsid w:val="00F25195"/>
    <w:rsid w:val="00F258A8"/>
    <w:rsid w:val="00F25FF1"/>
    <w:rsid w:val="00F26818"/>
    <w:rsid w:val="00F26B01"/>
    <w:rsid w:val="00F270B7"/>
    <w:rsid w:val="00F27330"/>
    <w:rsid w:val="00F276C7"/>
    <w:rsid w:val="00F27A34"/>
    <w:rsid w:val="00F302E5"/>
    <w:rsid w:val="00F30498"/>
    <w:rsid w:val="00F316DD"/>
    <w:rsid w:val="00F3257A"/>
    <w:rsid w:val="00F326A0"/>
    <w:rsid w:val="00F32C32"/>
    <w:rsid w:val="00F33733"/>
    <w:rsid w:val="00F339FD"/>
    <w:rsid w:val="00F33AC2"/>
    <w:rsid w:val="00F33AD7"/>
    <w:rsid w:val="00F33F88"/>
    <w:rsid w:val="00F33FF6"/>
    <w:rsid w:val="00F340FB"/>
    <w:rsid w:val="00F34CA2"/>
    <w:rsid w:val="00F34DB9"/>
    <w:rsid w:val="00F35534"/>
    <w:rsid w:val="00F357A9"/>
    <w:rsid w:val="00F35867"/>
    <w:rsid w:val="00F35EC9"/>
    <w:rsid w:val="00F35F2F"/>
    <w:rsid w:val="00F360FF"/>
    <w:rsid w:val="00F363F4"/>
    <w:rsid w:val="00F36794"/>
    <w:rsid w:val="00F36A83"/>
    <w:rsid w:val="00F36AF6"/>
    <w:rsid w:val="00F36D0E"/>
    <w:rsid w:val="00F374EB"/>
    <w:rsid w:val="00F377D7"/>
    <w:rsid w:val="00F37D49"/>
    <w:rsid w:val="00F37EC6"/>
    <w:rsid w:val="00F4005B"/>
    <w:rsid w:val="00F4012A"/>
    <w:rsid w:val="00F40445"/>
    <w:rsid w:val="00F40574"/>
    <w:rsid w:val="00F4083A"/>
    <w:rsid w:val="00F409E4"/>
    <w:rsid w:val="00F40D15"/>
    <w:rsid w:val="00F40F0F"/>
    <w:rsid w:val="00F4121E"/>
    <w:rsid w:val="00F413E6"/>
    <w:rsid w:val="00F415F4"/>
    <w:rsid w:val="00F41F2C"/>
    <w:rsid w:val="00F42611"/>
    <w:rsid w:val="00F42876"/>
    <w:rsid w:val="00F42C85"/>
    <w:rsid w:val="00F433D9"/>
    <w:rsid w:val="00F43427"/>
    <w:rsid w:val="00F43673"/>
    <w:rsid w:val="00F4396C"/>
    <w:rsid w:val="00F4396D"/>
    <w:rsid w:val="00F43C34"/>
    <w:rsid w:val="00F43ECB"/>
    <w:rsid w:val="00F44063"/>
    <w:rsid w:val="00F4417D"/>
    <w:rsid w:val="00F44733"/>
    <w:rsid w:val="00F453D9"/>
    <w:rsid w:val="00F45DA0"/>
    <w:rsid w:val="00F4624E"/>
    <w:rsid w:val="00F462F2"/>
    <w:rsid w:val="00F46361"/>
    <w:rsid w:val="00F46961"/>
    <w:rsid w:val="00F469E3"/>
    <w:rsid w:val="00F469F6"/>
    <w:rsid w:val="00F46A07"/>
    <w:rsid w:val="00F474E0"/>
    <w:rsid w:val="00F47E65"/>
    <w:rsid w:val="00F501BC"/>
    <w:rsid w:val="00F50606"/>
    <w:rsid w:val="00F5122E"/>
    <w:rsid w:val="00F513B8"/>
    <w:rsid w:val="00F51A7A"/>
    <w:rsid w:val="00F525AB"/>
    <w:rsid w:val="00F528D7"/>
    <w:rsid w:val="00F52B7D"/>
    <w:rsid w:val="00F539B8"/>
    <w:rsid w:val="00F5443B"/>
    <w:rsid w:val="00F54D09"/>
    <w:rsid w:val="00F54E51"/>
    <w:rsid w:val="00F552AA"/>
    <w:rsid w:val="00F554EC"/>
    <w:rsid w:val="00F55525"/>
    <w:rsid w:val="00F55551"/>
    <w:rsid w:val="00F55596"/>
    <w:rsid w:val="00F55BA4"/>
    <w:rsid w:val="00F55F4A"/>
    <w:rsid w:val="00F56F56"/>
    <w:rsid w:val="00F5753B"/>
    <w:rsid w:val="00F57628"/>
    <w:rsid w:val="00F57ACF"/>
    <w:rsid w:val="00F57AE8"/>
    <w:rsid w:val="00F57B1B"/>
    <w:rsid w:val="00F57C31"/>
    <w:rsid w:val="00F57D5C"/>
    <w:rsid w:val="00F601AB"/>
    <w:rsid w:val="00F602A5"/>
    <w:rsid w:val="00F603EF"/>
    <w:rsid w:val="00F60815"/>
    <w:rsid w:val="00F60993"/>
    <w:rsid w:val="00F61443"/>
    <w:rsid w:val="00F6165B"/>
    <w:rsid w:val="00F61987"/>
    <w:rsid w:val="00F61BA2"/>
    <w:rsid w:val="00F61DB6"/>
    <w:rsid w:val="00F61EB8"/>
    <w:rsid w:val="00F6230D"/>
    <w:rsid w:val="00F62B7B"/>
    <w:rsid w:val="00F63E41"/>
    <w:rsid w:val="00F6456D"/>
    <w:rsid w:val="00F64D71"/>
    <w:rsid w:val="00F6536B"/>
    <w:rsid w:val="00F65B90"/>
    <w:rsid w:val="00F66224"/>
    <w:rsid w:val="00F66BF2"/>
    <w:rsid w:val="00F670A6"/>
    <w:rsid w:val="00F672D6"/>
    <w:rsid w:val="00F6775F"/>
    <w:rsid w:val="00F67C3E"/>
    <w:rsid w:val="00F7074C"/>
    <w:rsid w:val="00F70E85"/>
    <w:rsid w:val="00F70EBC"/>
    <w:rsid w:val="00F70FC3"/>
    <w:rsid w:val="00F711ED"/>
    <w:rsid w:val="00F71668"/>
    <w:rsid w:val="00F71DCA"/>
    <w:rsid w:val="00F72043"/>
    <w:rsid w:val="00F7266F"/>
    <w:rsid w:val="00F72BCD"/>
    <w:rsid w:val="00F72BE5"/>
    <w:rsid w:val="00F732BD"/>
    <w:rsid w:val="00F74558"/>
    <w:rsid w:val="00F745CF"/>
    <w:rsid w:val="00F747F5"/>
    <w:rsid w:val="00F74AE7"/>
    <w:rsid w:val="00F75C1A"/>
    <w:rsid w:val="00F75D03"/>
    <w:rsid w:val="00F76A65"/>
    <w:rsid w:val="00F76C65"/>
    <w:rsid w:val="00F76F7D"/>
    <w:rsid w:val="00F77CA7"/>
    <w:rsid w:val="00F80039"/>
    <w:rsid w:val="00F8046B"/>
    <w:rsid w:val="00F808B7"/>
    <w:rsid w:val="00F80BAF"/>
    <w:rsid w:val="00F80CAE"/>
    <w:rsid w:val="00F80DD0"/>
    <w:rsid w:val="00F8110D"/>
    <w:rsid w:val="00F8124A"/>
    <w:rsid w:val="00F81C02"/>
    <w:rsid w:val="00F81C88"/>
    <w:rsid w:val="00F82026"/>
    <w:rsid w:val="00F820D0"/>
    <w:rsid w:val="00F82472"/>
    <w:rsid w:val="00F82852"/>
    <w:rsid w:val="00F8287B"/>
    <w:rsid w:val="00F832C1"/>
    <w:rsid w:val="00F83D28"/>
    <w:rsid w:val="00F84188"/>
    <w:rsid w:val="00F84893"/>
    <w:rsid w:val="00F84A46"/>
    <w:rsid w:val="00F86704"/>
    <w:rsid w:val="00F868CD"/>
    <w:rsid w:val="00F869C3"/>
    <w:rsid w:val="00F875C4"/>
    <w:rsid w:val="00F876F1"/>
    <w:rsid w:val="00F87E5C"/>
    <w:rsid w:val="00F87EC0"/>
    <w:rsid w:val="00F900CF"/>
    <w:rsid w:val="00F9015E"/>
    <w:rsid w:val="00F902B4"/>
    <w:rsid w:val="00F9061A"/>
    <w:rsid w:val="00F90A1E"/>
    <w:rsid w:val="00F91253"/>
    <w:rsid w:val="00F91DBE"/>
    <w:rsid w:val="00F920AD"/>
    <w:rsid w:val="00F92113"/>
    <w:rsid w:val="00F92304"/>
    <w:rsid w:val="00F92D6E"/>
    <w:rsid w:val="00F9342C"/>
    <w:rsid w:val="00F936A0"/>
    <w:rsid w:val="00F93BEC"/>
    <w:rsid w:val="00F94272"/>
    <w:rsid w:val="00F942E0"/>
    <w:rsid w:val="00F946F4"/>
    <w:rsid w:val="00F94D77"/>
    <w:rsid w:val="00F94E20"/>
    <w:rsid w:val="00F9517B"/>
    <w:rsid w:val="00F951FE"/>
    <w:rsid w:val="00F952CA"/>
    <w:rsid w:val="00F95475"/>
    <w:rsid w:val="00F9576F"/>
    <w:rsid w:val="00F95D2C"/>
    <w:rsid w:val="00F95E07"/>
    <w:rsid w:val="00F96497"/>
    <w:rsid w:val="00F966C6"/>
    <w:rsid w:val="00F969F2"/>
    <w:rsid w:val="00F96A9C"/>
    <w:rsid w:val="00F96C37"/>
    <w:rsid w:val="00F96C54"/>
    <w:rsid w:val="00F976CB"/>
    <w:rsid w:val="00FA0114"/>
    <w:rsid w:val="00FA0439"/>
    <w:rsid w:val="00FA060D"/>
    <w:rsid w:val="00FA0849"/>
    <w:rsid w:val="00FA096F"/>
    <w:rsid w:val="00FA0C41"/>
    <w:rsid w:val="00FA0EAB"/>
    <w:rsid w:val="00FA115F"/>
    <w:rsid w:val="00FA1848"/>
    <w:rsid w:val="00FA1F9C"/>
    <w:rsid w:val="00FA2590"/>
    <w:rsid w:val="00FA2AFA"/>
    <w:rsid w:val="00FA2BDE"/>
    <w:rsid w:val="00FA2EB8"/>
    <w:rsid w:val="00FA3773"/>
    <w:rsid w:val="00FA3A4D"/>
    <w:rsid w:val="00FA3A84"/>
    <w:rsid w:val="00FA3A8D"/>
    <w:rsid w:val="00FA4DE1"/>
    <w:rsid w:val="00FA4EBC"/>
    <w:rsid w:val="00FA50A4"/>
    <w:rsid w:val="00FA5129"/>
    <w:rsid w:val="00FA5190"/>
    <w:rsid w:val="00FA537E"/>
    <w:rsid w:val="00FA542A"/>
    <w:rsid w:val="00FA56B4"/>
    <w:rsid w:val="00FA5F65"/>
    <w:rsid w:val="00FA65AB"/>
    <w:rsid w:val="00FA6A20"/>
    <w:rsid w:val="00FA6FF9"/>
    <w:rsid w:val="00FA7060"/>
    <w:rsid w:val="00FA72D9"/>
    <w:rsid w:val="00FA755A"/>
    <w:rsid w:val="00FA7878"/>
    <w:rsid w:val="00FA78F1"/>
    <w:rsid w:val="00FA7B98"/>
    <w:rsid w:val="00FA7FCE"/>
    <w:rsid w:val="00FB0554"/>
    <w:rsid w:val="00FB0661"/>
    <w:rsid w:val="00FB09B0"/>
    <w:rsid w:val="00FB09C4"/>
    <w:rsid w:val="00FB0F71"/>
    <w:rsid w:val="00FB13B5"/>
    <w:rsid w:val="00FB1EF5"/>
    <w:rsid w:val="00FB211D"/>
    <w:rsid w:val="00FB23C3"/>
    <w:rsid w:val="00FB2957"/>
    <w:rsid w:val="00FB2FF1"/>
    <w:rsid w:val="00FB3017"/>
    <w:rsid w:val="00FB3666"/>
    <w:rsid w:val="00FB3E55"/>
    <w:rsid w:val="00FB3F09"/>
    <w:rsid w:val="00FB4752"/>
    <w:rsid w:val="00FB4E8E"/>
    <w:rsid w:val="00FB560A"/>
    <w:rsid w:val="00FB5DF8"/>
    <w:rsid w:val="00FB5EA4"/>
    <w:rsid w:val="00FB601B"/>
    <w:rsid w:val="00FB6F0E"/>
    <w:rsid w:val="00FB72A8"/>
    <w:rsid w:val="00FB7573"/>
    <w:rsid w:val="00FB777B"/>
    <w:rsid w:val="00FB7880"/>
    <w:rsid w:val="00FC03E4"/>
    <w:rsid w:val="00FC0743"/>
    <w:rsid w:val="00FC093B"/>
    <w:rsid w:val="00FC0A51"/>
    <w:rsid w:val="00FC0EEA"/>
    <w:rsid w:val="00FC0EF8"/>
    <w:rsid w:val="00FC1286"/>
    <w:rsid w:val="00FC1775"/>
    <w:rsid w:val="00FC1D61"/>
    <w:rsid w:val="00FC1EF8"/>
    <w:rsid w:val="00FC2302"/>
    <w:rsid w:val="00FC2325"/>
    <w:rsid w:val="00FC263A"/>
    <w:rsid w:val="00FC2C58"/>
    <w:rsid w:val="00FC31F5"/>
    <w:rsid w:val="00FC35C6"/>
    <w:rsid w:val="00FC3DA9"/>
    <w:rsid w:val="00FC482F"/>
    <w:rsid w:val="00FC4A7F"/>
    <w:rsid w:val="00FC4C8D"/>
    <w:rsid w:val="00FC520C"/>
    <w:rsid w:val="00FC5633"/>
    <w:rsid w:val="00FC57E1"/>
    <w:rsid w:val="00FC59D3"/>
    <w:rsid w:val="00FC5CC4"/>
    <w:rsid w:val="00FC5F7D"/>
    <w:rsid w:val="00FC6043"/>
    <w:rsid w:val="00FC7025"/>
    <w:rsid w:val="00FC7073"/>
    <w:rsid w:val="00FC7777"/>
    <w:rsid w:val="00FD044C"/>
    <w:rsid w:val="00FD0508"/>
    <w:rsid w:val="00FD0755"/>
    <w:rsid w:val="00FD0D6A"/>
    <w:rsid w:val="00FD0D7A"/>
    <w:rsid w:val="00FD1165"/>
    <w:rsid w:val="00FD139B"/>
    <w:rsid w:val="00FD1782"/>
    <w:rsid w:val="00FD1EDC"/>
    <w:rsid w:val="00FD1FF0"/>
    <w:rsid w:val="00FD2328"/>
    <w:rsid w:val="00FD299B"/>
    <w:rsid w:val="00FD2A4E"/>
    <w:rsid w:val="00FD2B77"/>
    <w:rsid w:val="00FD2D39"/>
    <w:rsid w:val="00FD2E88"/>
    <w:rsid w:val="00FD2FE6"/>
    <w:rsid w:val="00FD316B"/>
    <w:rsid w:val="00FD3484"/>
    <w:rsid w:val="00FD3658"/>
    <w:rsid w:val="00FD37EE"/>
    <w:rsid w:val="00FD3A03"/>
    <w:rsid w:val="00FD3B2A"/>
    <w:rsid w:val="00FD3B2C"/>
    <w:rsid w:val="00FD3E25"/>
    <w:rsid w:val="00FD451E"/>
    <w:rsid w:val="00FD4EB3"/>
    <w:rsid w:val="00FD54F1"/>
    <w:rsid w:val="00FD5650"/>
    <w:rsid w:val="00FD571B"/>
    <w:rsid w:val="00FD5A54"/>
    <w:rsid w:val="00FD5B1D"/>
    <w:rsid w:val="00FD60E2"/>
    <w:rsid w:val="00FD6161"/>
    <w:rsid w:val="00FD646F"/>
    <w:rsid w:val="00FD65FC"/>
    <w:rsid w:val="00FD674A"/>
    <w:rsid w:val="00FD6E1F"/>
    <w:rsid w:val="00FD70B5"/>
    <w:rsid w:val="00FD7192"/>
    <w:rsid w:val="00FD7957"/>
    <w:rsid w:val="00FD7A2A"/>
    <w:rsid w:val="00FD7A3F"/>
    <w:rsid w:val="00FD7F88"/>
    <w:rsid w:val="00FE00BC"/>
    <w:rsid w:val="00FE0156"/>
    <w:rsid w:val="00FE01A9"/>
    <w:rsid w:val="00FE056C"/>
    <w:rsid w:val="00FE05FC"/>
    <w:rsid w:val="00FE0DF9"/>
    <w:rsid w:val="00FE0FFF"/>
    <w:rsid w:val="00FE1AA8"/>
    <w:rsid w:val="00FE1C7A"/>
    <w:rsid w:val="00FE1D27"/>
    <w:rsid w:val="00FE219E"/>
    <w:rsid w:val="00FE22B7"/>
    <w:rsid w:val="00FE25F4"/>
    <w:rsid w:val="00FE28F3"/>
    <w:rsid w:val="00FE298E"/>
    <w:rsid w:val="00FE2DAC"/>
    <w:rsid w:val="00FE30D6"/>
    <w:rsid w:val="00FE315C"/>
    <w:rsid w:val="00FE414D"/>
    <w:rsid w:val="00FE436B"/>
    <w:rsid w:val="00FE4512"/>
    <w:rsid w:val="00FE45A6"/>
    <w:rsid w:val="00FE52B9"/>
    <w:rsid w:val="00FE6448"/>
    <w:rsid w:val="00FE64EA"/>
    <w:rsid w:val="00FE6A61"/>
    <w:rsid w:val="00FE6F74"/>
    <w:rsid w:val="00FE760C"/>
    <w:rsid w:val="00FE76B2"/>
    <w:rsid w:val="00FE796F"/>
    <w:rsid w:val="00FE7F3E"/>
    <w:rsid w:val="00FF076C"/>
    <w:rsid w:val="00FF0B56"/>
    <w:rsid w:val="00FF0CF0"/>
    <w:rsid w:val="00FF0F76"/>
    <w:rsid w:val="00FF125F"/>
    <w:rsid w:val="00FF1306"/>
    <w:rsid w:val="00FF176E"/>
    <w:rsid w:val="00FF1C95"/>
    <w:rsid w:val="00FF2145"/>
    <w:rsid w:val="00FF2709"/>
    <w:rsid w:val="00FF2848"/>
    <w:rsid w:val="00FF2D77"/>
    <w:rsid w:val="00FF31D9"/>
    <w:rsid w:val="00FF31F4"/>
    <w:rsid w:val="00FF3374"/>
    <w:rsid w:val="00FF3932"/>
    <w:rsid w:val="00FF3BE4"/>
    <w:rsid w:val="00FF3F25"/>
    <w:rsid w:val="00FF3FD5"/>
    <w:rsid w:val="00FF426F"/>
    <w:rsid w:val="00FF4313"/>
    <w:rsid w:val="00FF45E0"/>
    <w:rsid w:val="00FF488D"/>
    <w:rsid w:val="00FF4BFC"/>
    <w:rsid w:val="00FF54C2"/>
    <w:rsid w:val="00FF6738"/>
    <w:rsid w:val="00FF6B60"/>
    <w:rsid w:val="00FF7082"/>
    <w:rsid w:val="00FF7802"/>
    <w:rsid w:val="00FF78D8"/>
    <w:rsid w:val="00FF7963"/>
    <w:rsid w:val="00FF7BA0"/>
    <w:rsid w:val="00FF7DD3"/>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428033"/>
    <o:shapelayout v:ext="edit">
      <o:idmap v:ext="edit" data="1"/>
    </o:shapelayout>
  </w:shapeDefaults>
  <w:decimalSymbol w:val=","/>
  <w:listSeparator w:val=";"/>
  <w14:docId w14:val="02950602"/>
  <w15:docId w15:val="{6EFF0308-F1C5-4E62-A13D-3AB7736BE0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4"/>
        <w:szCs w:val="22"/>
        <w:lang w:val="lv-LV"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0"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013E3"/>
  </w:style>
  <w:style w:type="paragraph" w:styleId="Heading1">
    <w:name w:val="heading 1"/>
    <w:basedOn w:val="Normal"/>
    <w:next w:val="Normal"/>
    <w:link w:val="Heading1Char"/>
    <w:uiPriority w:val="9"/>
    <w:qFormat/>
    <w:rsid w:val="009C0862"/>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nhideWhenUsed/>
    <w:qFormat/>
    <w:rsid w:val="009C0862"/>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9C0862"/>
    <w:pPr>
      <w:keepNext/>
      <w:keepLines/>
      <w:spacing w:before="40"/>
      <w:outlineLvl w:val="2"/>
    </w:pPr>
    <w:rPr>
      <w:rFonts w:asciiTheme="majorHAnsi" w:eastAsiaTheme="majorEastAsia" w:hAnsiTheme="majorHAnsi" w:cstheme="majorBidi"/>
      <w:color w:val="1F4D78" w:themeColor="accent1" w:themeShade="7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0862"/>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rsid w:val="009C0862"/>
    <w:rPr>
      <w:rFonts w:asciiTheme="majorHAnsi" w:eastAsiaTheme="majorEastAsia" w:hAnsiTheme="majorHAnsi" w:cstheme="majorBidi"/>
      <w:color w:val="2E74B5" w:themeColor="accent1" w:themeShade="BF"/>
      <w:sz w:val="26"/>
      <w:szCs w:val="26"/>
    </w:rPr>
  </w:style>
  <w:style w:type="character" w:customStyle="1" w:styleId="Heading3Char">
    <w:name w:val="Heading 3 Char"/>
    <w:basedOn w:val="DefaultParagraphFont"/>
    <w:link w:val="Heading3"/>
    <w:uiPriority w:val="9"/>
    <w:rsid w:val="009C0862"/>
    <w:rPr>
      <w:rFonts w:asciiTheme="majorHAnsi" w:eastAsiaTheme="majorEastAsia" w:hAnsiTheme="majorHAnsi" w:cstheme="majorBidi"/>
      <w:color w:val="1F4D78" w:themeColor="accent1" w:themeShade="7F"/>
      <w:szCs w:val="24"/>
    </w:rPr>
  </w:style>
  <w:style w:type="character" w:styleId="Hyperlink">
    <w:name w:val="Hyperlink"/>
    <w:basedOn w:val="DefaultParagraphFont"/>
    <w:uiPriority w:val="99"/>
    <w:unhideWhenUsed/>
    <w:rsid w:val="009C0862"/>
    <w:rPr>
      <w:color w:val="0563C1" w:themeColor="hyperlink"/>
      <w:u w:val="single"/>
    </w:rPr>
  </w:style>
  <w:style w:type="paragraph" w:styleId="Title">
    <w:name w:val="Title"/>
    <w:basedOn w:val="Normal"/>
    <w:link w:val="TitleChar"/>
    <w:uiPriority w:val="10"/>
    <w:qFormat/>
    <w:rsid w:val="009C0862"/>
    <w:pPr>
      <w:spacing w:before="120" w:after="120" w:line="276" w:lineRule="auto"/>
      <w:jc w:val="center"/>
    </w:pPr>
    <w:rPr>
      <w:rFonts w:eastAsia="Times New Roman" w:cs="Times New Roman"/>
      <w:b/>
      <w:sz w:val="28"/>
      <w:szCs w:val="28"/>
    </w:rPr>
  </w:style>
  <w:style w:type="character" w:customStyle="1" w:styleId="TitleChar">
    <w:name w:val="Title Char"/>
    <w:basedOn w:val="DefaultParagraphFont"/>
    <w:link w:val="Title"/>
    <w:uiPriority w:val="10"/>
    <w:rsid w:val="009C0862"/>
    <w:rPr>
      <w:rFonts w:eastAsia="Times New Roman" w:cs="Times New Roman"/>
      <w:b/>
      <w:sz w:val="28"/>
      <w:szCs w:val="28"/>
    </w:rPr>
  </w:style>
  <w:style w:type="paragraph" w:styleId="BodyText">
    <w:name w:val="Body Text"/>
    <w:basedOn w:val="Normal"/>
    <w:link w:val="BodyTextChar"/>
    <w:rsid w:val="009C0862"/>
    <w:pPr>
      <w:spacing w:before="120" w:after="120" w:line="276" w:lineRule="auto"/>
    </w:pPr>
    <w:rPr>
      <w:rFonts w:eastAsia="Times New Roman" w:cs="Times New Roman"/>
      <w:b/>
      <w:bCs/>
      <w:szCs w:val="24"/>
      <w:lang w:val="en-GB"/>
    </w:rPr>
  </w:style>
  <w:style w:type="character" w:customStyle="1" w:styleId="BodyTextChar">
    <w:name w:val="Body Text Char"/>
    <w:basedOn w:val="DefaultParagraphFont"/>
    <w:link w:val="BodyText"/>
    <w:rsid w:val="009C0862"/>
    <w:rPr>
      <w:rFonts w:eastAsia="Times New Roman" w:cs="Times New Roman"/>
      <w:b/>
      <w:bCs/>
      <w:szCs w:val="24"/>
      <w:lang w:val="en-GB"/>
    </w:rPr>
  </w:style>
  <w:style w:type="paragraph" w:styleId="TOC1">
    <w:name w:val="toc 1"/>
    <w:basedOn w:val="Normal"/>
    <w:next w:val="Normal"/>
    <w:autoRedefine/>
    <w:uiPriority w:val="39"/>
    <w:unhideWhenUsed/>
    <w:qFormat/>
    <w:rsid w:val="007C36A9"/>
    <w:pPr>
      <w:tabs>
        <w:tab w:val="left" w:pos="426"/>
        <w:tab w:val="right" w:leader="dot" w:pos="8902"/>
      </w:tabs>
      <w:spacing w:before="120" w:after="120"/>
      <w:ind w:right="-2"/>
      <w:jc w:val="both"/>
    </w:pPr>
    <w:rPr>
      <w:rFonts w:eastAsia="Times New Roman" w:cs="Times New Roman"/>
      <w:bCs/>
      <w:noProof/>
      <w:sz w:val="28"/>
      <w:szCs w:val="28"/>
    </w:rPr>
  </w:style>
  <w:style w:type="paragraph" w:styleId="TOC2">
    <w:name w:val="toc 2"/>
    <w:basedOn w:val="Normal"/>
    <w:next w:val="Normal"/>
    <w:autoRedefine/>
    <w:uiPriority w:val="39"/>
    <w:unhideWhenUsed/>
    <w:qFormat/>
    <w:rsid w:val="0090019B"/>
    <w:pPr>
      <w:tabs>
        <w:tab w:val="left" w:pos="720"/>
        <w:tab w:val="right" w:leader="dot" w:pos="8902"/>
      </w:tabs>
      <w:spacing w:before="240" w:after="120"/>
      <w:ind w:right="-2"/>
      <w:jc w:val="both"/>
    </w:pPr>
    <w:rPr>
      <w:rFonts w:eastAsia="Times New Roman" w:cs="Times New Roman"/>
      <w:bCs/>
      <w:i/>
      <w:noProof/>
      <w:sz w:val="28"/>
      <w:szCs w:val="28"/>
    </w:rPr>
  </w:style>
  <w:style w:type="paragraph" w:styleId="ListParagraph">
    <w:name w:val="List Paragraph"/>
    <w:aliases w:val="2,Strip,H&amp;P List Paragraph,List Paragraph11,Numbered Para 1,Dot pt,No Spacing1,List Paragraph Char Char Char,Indicator Text,List Paragraph1,Bullet 1,Bullet Points,F5 List Paragraph,Colorful List - Accent 11,List Paragraph2,Normal numbered"/>
    <w:basedOn w:val="Normal"/>
    <w:link w:val="ListParagraphChar"/>
    <w:uiPriority w:val="34"/>
    <w:qFormat/>
    <w:rsid w:val="009C0862"/>
    <w:pPr>
      <w:ind w:left="720"/>
      <w:contextualSpacing/>
    </w:pPr>
  </w:style>
  <w:style w:type="paragraph" w:styleId="NoSpacing">
    <w:name w:val="No Spacing"/>
    <w:uiPriority w:val="1"/>
    <w:qFormat/>
    <w:rsid w:val="009C0862"/>
  </w:style>
  <w:style w:type="paragraph" w:styleId="Subtitle">
    <w:name w:val="Subtitle"/>
    <w:basedOn w:val="Normal"/>
    <w:next w:val="Normal"/>
    <w:link w:val="SubtitleChar"/>
    <w:uiPriority w:val="11"/>
    <w:qFormat/>
    <w:rsid w:val="009C0862"/>
    <w:pPr>
      <w:numPr>
        <w:ilvl w:val="1"/>
      </w:numPr>
      <w:spacing w:after="160"/>
    </w:pPr>
    <w:rPr>
      <w:rFonts w:asciiTheme="minorHAnsi" w:eastAsiaTheme="minorEastAsia" w:hAnsiTheme="minorHAnsi"/>
      <w:color w:val="5A5A5A" w:themeColor="text1" w:themeTint="A5"/>
      <w:spacing w:val="15"/>
      <w:sz w:val="22"/>
    </w:rPr>
  </w:style>
  <w:style w:type="character" w:customStyle="1" w:styleId="SubtitleChar">
    <w:name w:val="Subtitle Char"/>
    <w:basedOn w:val="DefaultParagraphFont"/>
    <w:link w:val="Subtitle"/>
    <w:uiPriority w:val="11"/>
    <w:rsid w:val="009C0862"/>
    <w:rPr>
      <w:rFonts w:asciiTheme="minorHAnsi" w:eastAsiaTheme="minorEastAsia" w:hAnsiTheme="minorHAnsi"/>
      <w:color w:val="5A5A5A" w:themeColor="text1" w:themeTint="A5"/>
      <w:spacing w:val="15"/>
      <w:sz w:val="22"/>
    </w:rPr>
  </w:style>
  <w:style w:type="character" w:styleId="SubtleEmphasis">
    <w:name w:val="Subtle Emphasis"/>
    <w:basedOn w:val="DefaultParagraphFont"/>
    <w:uiPriority w:val="19"/>
    <w:qFormat/>
    <w:rsid w:val="009C0862"/>
    <w:rPr>
      <w:i/>
      <w:iCs/>
      <w:color w:val="404040" w:themeColor="text1" w:themeTint="BF"/>
    </w:rPr>
  </w:style>
  <w:style w:type="character" w:styleId="Emphasis">
    <w:name w:val="Emphasis"/>
    <w:basedOn w:val="DefaultParagraphFont"/>
    <w:uiPriority w:val="20"/>
    <w:qFormat/>
    <w:rsid w:val="009C0862"/>
    <w:rPr>
      <w:i/>
      <w:iCs/>
    </w:rPr>
  </w:style>
  <w:style w:type="character" w:styleId="IntenseEmphasis">
    <w:name w:val="Intense Emphasis"/>
    <w:basedOn w:val="DefaultParagraphFont"/>
    <w:uiPriority w:val="21"/>
    <w:qFormat/>
    <w:rsid w:val="009C0862"/>
    <w:rPr>
      <w:i/>
      <w:iCs/>
      <w:color w:val="5B9BD5" w:themeColor="accent1"/>
    </w:rPr>
  </w:style>
  <w:style w:type="character" w:styleId="Strong">
    <w:name w:val="Strong"/>
    <w:basedOn w:val="DefaultParagraphFont"/>
    <w:uiPriority w:val="22"/>
    <w:qFormat/>
    <w:rsid w:val="009C0862"/>
    <w:rPr>
      <w:b/>
      <w:bCs/>
    </w:rPr>
  </w:style>
  <w:style w:type="paragraph" w:customStyle="1" w:styleId="1lmenis">
    <w:name w:val="1.līmenis"/>
    <w:basedOn w:val="Heading1"/>
    <w:link w:val="1lmenisChar"/>
    <w:autoRedefine/>
    <w:uiPriority w:val="99"/>
    <w:qFormat/>
    <w:rsid w:val="00A91C26"/>
    <w:pPr>
      <w:tabs>
        <w:tab w:val="left" w:pos="0"/>
      </w:tabs>
      <w:spacing w:before="120" w:after="120" w:line="276" w:lineRule="auto"/>
      <w:jc w:val="center"/>
    </w:pPr>
    <w:rPr>
      <w:rFonts w:ascii="Times New Roman" w:eastAsia="Times New Roman" w:hAnsi="Times New Roman" w:cs="Times New Roman"/>
      <w:b/>
      <w:color w:val="000000"/>
      <w:sz w:val="28"/>
      <w:szCs w:val="28"/>
    </w:rPr>
  </w:style>
  <w:style w:type="paragraph" w:customStyle="1" w:styleId="2lmenis">
    <w:name w:val="2.līmenis"/>
    <w:basedOn w:val="Heading2"/>
    <w:link w:val="2lmenisChar"/>
    <w:autoRedefine/>
    <w:qFormat/>
    <w:rsid w:val="00B0511C"/>
    <w:pPr>
      <w:spacing w:before="120" w:after="120"/>
      <w:jc w:val="center"/>
    </w:pPr>
    <w:rPr>
      <w:rFonts w:ascii="Times New Roman" w:eastAsia="Times New Roman" w:hAnsi="Times New Roman"/>
      <w:b/>
      <w:color w:val="auto"/>
      <w:sz w:val="28"/>
    </w:rPr>
  </w:style>
  <w:style w:type="character" w:customStyle="1" w:styleId="1lmenisChar">
    <w:name w:val="1.līmenis Char"/>
    <w:basedOn w:val="SubtitleChar"/>
    <w:link w:val="1lmenis"/>
    <w:uiPriority w:val="99"/>
    <w:rsid w:val="00A91C26"/>
    <w:rPr>
      <w:rFonts w:asciiTheme="minorHAnsi" w:eastAsia="Times New Roman" w:hAnsiTheme="minorHAnsi" w:cs="Times New Roman"/>
      <w:b/>
      <w:color w:val="000000"/>
      <w:spacing w:val="15"/>
      <w:sz w:val="28"/>
      <w:szCs w:val="28"/>
    </w:rPr>
  </w:style>
  <w:style w:type="paragraph" w:customStyle="1" w:styleId="3lmenis">
    <w:name w:val="3.līmenis"/>
    <w:basedOn w:val="Heading3"/>
    <w:link w:val="3lmenisChar"/>
    <w:autoRedefine/>
    <w:qFormat/>
    <w:rsid w:val="009C0862"/>
    <w:pPr>
      <w:numPr>
        <w:ilvl w:val="2"/>
        <w:numId w:val="3"/>
      </w:numPr>
      <w:spacing w:before="240" w:after="240"/>
      <w:ind w:left="0" w:firstLine="0"/>
      <w:jc w:val="center"/>
    </w:pPr>
    <w:rPr>
      <w:rFonts w:ascii="Times New Roman" w:hAnsi="Times New Roman"/>
      <w:b/>
      <w:color w:val="000000"/>
    </w:rPr>
  </w:style>
  <w:style w:type="character" w:customStyle="1" w:styleId="2lmenisChar">
    <w:name w:val="2.līmenis Char"/>
    <w:basedOn w:val="DefaultParagraphFont"/>
    <w:link w:val="2lmenis"/>
    <w:rsid w:val="00B0511C"/>
    <w:rPr>
      <w:rFonts w:eastAsia="Times New Roman" w:cstheme="majorBidi"/>
      <w:b/>
      <w:sz w:val="28"/>
      <w:szCs w:val="26"/>
    </w:rPr>
  </w:style>
  <w:style w:type="paragraph" w:styleId="TOCHeading">
    <w:name w:val="TOC Heading"/>
    <w:basedOn w:val="Heading1"/>
    <w:next w:val="Normal"/>
    <w:uiPriority w:val="39"/>
    <w:unhideWhenUsed/>
    <w:qFormat/>
    <w:rsid w:val="009C0862"/>
    <w:pPr>
      <w:spacing w:line="259" w:lineRule="auto"/>
      <w:outlineLvl w:val="9"/>
    </w:pPr>
    <w:rPr>
      <w:lang w:val="en-US"/>
    </w:rPr>
  </w:style>
  <w:style w:type="character" w:customStyle="1" w:styleId="3lmenisChar">
    <w:name w:val="3.līmenis Char"/>
    <w:basedOn w:val="2lmenisChar"/>
    <w:link w:val="3lmenis"/>
    <w:rsid w:val="009C0862"/>
    <w:rPr>
      <w:rFonts w:eastAsiaTheme="majorEastAsia" w:cstheme="majorBidi"/>
      <w:b/>
      <w:color w:val="000000"/>
      <w:sz w:val="28"/>
      <w:szCs w:val="24"/>
    </w:rPr>
  </w:style>
  <w:style w:type="paragraph" w:styleId="TOC3">
    <w:name w:val="toc 3"/>
    <w:basedOn w:val="Normal"/>
    <w:next w:val="Normal"/>
    <w:autoRedefine/>
    <w:uiPriority w:val="39"/>
    <w:unhideWhenUsed/>
    <w:rsid w:val="009C0862"/>
    <w:pPr>
      <w:tabs>
        <w:tab w:val="left" w:pos="1320"/>
        <w:tab w:val="right" w:leader="dot" w:pos="8902"/>
      </w:tabs>
      <w:spacing w:after="100"/>
      <w:ind w:left="480" w:right="-2"/>
    </w:pPr>
  </w:style>
  <w:style w:type="paragraph" w:styleId="BalloonText">
    <w:name w:val="Balloon Text"/>
    <w:basedOn w:val="Normal"/>
    <w:link w:val="BalloonTextChar"/>
    <w:uiPriority w:val="99"/>
    <w:semiHidden/>
    <w:unhideWhenUsed/>
    <w:rsid w:val="009C086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C0862"/>
    <w:rPr>
      <w:rFonts w:ascii="Segoe UI" w:hAnsi="Segoe UI" w:cs="Segoe UI"/>
      <w:sz w:val="18"/>
      <w:szCs w:val="18"/>
    </w:rPr>
  </w:style>
  <w:style w:type="paragraph" w:customStyle="1" w:styleId="Default">
    <w:name w:val="Default"/>
    <w:rsid w:val="009C0862"/>
    <w:pPr>
      <w:autoSpaceDE w:val="0"/>
      <w:autoSpaceDN w:val="0"/>
      <w:adjustRightInd w:val="0"/>
      <w:spacing w:before="120" w:after="120" w:line="360" w:lineRule="auto"/>
      <w:jc w:val="both"/>
    </w:pPr>
    <w:rPr>
      <w:rFonts w:eastAsia="Calibri" w:cs="Times New Roman"/>
      <w:color w:val="000000"/>
      <w:szCs w:val="24"/>
      <w:lang w:eastAsia="lv-LV"/>
    </w:rPr>
  </w:style>
  <w:style w:type="paragraph" w:styleId="Header">
    <w:name w:val="header"/>
    <w:basedOn w:val="Normal"/>
    <w:link w:val="HeaderChar"/>
    <w:uiPriority w:val="99"/>
    <w:unhideWhenUsed/>
    <w:rsid w:val="009C0862"/>
    <w:pPr>
      <w:tabs>
        <w:tab w:val="center" w:pos="4153"/>
        <w:tab w:val="right" w:pos="8306"/>
      </w:tabs>
    </w:pPr>
  </w:style>
  <w:style w:type="character" w:customStyle="1" w:styleId="HeaderChar">
    <w:name w:val="Header Char"/>
    <w:basedOn w:val="DefaultParagraphFont"/>
    <w:link w:val="Header"/>
    <w:uiPriority w:val="99"/>
    <w:rsid w:val="009C0862"/>
  </w:style>
  <w:style w:type="paragraph" w:styleId="Footer">
    <w:name w:val="footer"/>
    <w:basedOn w:val="Normal"/>
    <w:link w:val="FooterChar"/>
    <w:uiPriority w:val="99"/>
    <w:unhideWhenUsed/>
    <w:rsid w:val="009C0862"/>
    <w:pPr>
      <w:tabs>
        <w:tab w:val="center" w:pos="4153"/>
        <w:tab w:val="right" w:pos="8306"/>
      </w:tabs>
    </w:pPr>
  </w:style>
  <w:style w:type="character" w:customStyle="1" w:styleId="FooterChar">
    <w:name w:val="Footer Char"/>
    <w:basedOn w:val="DefaultParagraphFont"/>
    <w:link w:val="Footer"/>
    <w:uiPriority w:val="99"/>
    <w:rsid w:val="009C0862"/>
  </w:style>
  <w:style w:type="character" w:styleId="CommentReference">
    <w:name w:val="annotation reference"/>
    <w:basedOn w:val="DefaultParagraphFont"/>
    <w:uiPriority w:val="99"/>
    <w:unhideWhenUsed/>
    <w:rsid w:val="009C0862"/>
    <w:rPr>
      <w:sz w:val="16"/>
      <w:szCs w:val="16"/>
    </w:rPr>
  </w:style>
  <w:style w:type="paragraph" w:styleId="CommentText">
    <w:name w:val="annotation text"/>
    <w:basedOn w:val="Normal"/>
    <w:link w:val="CommentTextChar"/>
    <w:uiPriority w:val="99"/>
    <w:unhideWhenUsed/>
    <w:rsid w:val="009C0862"/>
    <w:rPr>
      <w:sz w:val="20"/>
      <w:szCs w:val="20"/>
    </w:rPr>
  </w:style>
  <w:style w:type="character" w:customStyle="1" w:styleId="CommentTextChar">
    <w:name w:val="Comment Text Char"/>
    <w:basedOn w:val="DefaultParagraphFont"/>
    <w:link w:val="CommentText"/>
    <w:uiPriority w:val="99"/>
    <w:rsid w:val="009C0862"/>
    <w:rPr>
      <w:sz w:val="20"/>
      <w:szCs w:val="20"/>
    </w:rPr>
  </w:style>
  <w:style w:type="paragraph" w:styleId="CommentSubject">
    <w:name w:val="annotation subject"/>
    <w:basedOn w:val="CommentText"/>
    <w:next w:val="CommentText"/>
    <w:link w:val="CommentSubjectChar"/>
    <w:uiPriority w:val="99"/>
    <w:unhideWhenUsed/>
    <w:rsid w:val="009C0862"/>
    <w:rPr>
      <w:b/>
      <w:bCs/>
    </w:rPr>
  </w:style>
  <w:style w:type="character" w:customStyle="1" w:styleId="CommentSubjectChar">
    <w:name w:val="Comment Subject Char"/>
    <w:basedOn w:val="CommentTextChar"/>
    <w:link w:val="CommentSubject"/>
    <w:uiPriority w:val="99"/>
    <w:rsid w:val="009C0862"/>
    <w:rPr>
      <w:b/>
      <w:bCs/>
      <w:sz w:val="20"/>
      <w:szCs w:val="20"/>
    </w:rPr>
  </w:style>
  <w:style w:type="paragraph" w:styleId="FootnoteText">
    <w:name w:val="footnote text"/>
    <w:aliases w:val="Char, Char,Footnote,Fußnote,Footnote Text Char1,Vēres teksts Char Char Char Char Char Char Char Char Char Char Char Char1,Char Char Char Char Char Char Char Char Char Char Char Char Char Char Char Char Char Char Char1,-E Fußnotentext,fn,f"/>
    <w:basedOn w:val="Normal"/>
    <w:link w:val="FootnoteTextChar"/>
    <w:uiPriority w:val="99"/>
    <w:unhideWhenUsed/>
    <w:qFormat/>
    <w:rsid w:val="009C0862"/>
    <w:rPr>
      <w:sz w:val="20"/>
      <w:szCs w:val="20"/>
    </w:rPr>
  </w:style>
  <w:style w:type="character" w:customStyle="1" w:styleId="FootnoteTextChar">
    <w:name w:val="Footnote Text Char"/>
    <w:aliases w:val="Char Char, Char Char,Footnote Char,Fußnote Char,Footnote Text Char1 Char,Vēres teksts Char Char Char Char Char Char Char Char Char Char Char Char1 Char,-E Fußnotentext Char,fn Char,f Char"/>
    <w:basedOn w:val="DefaultParagraphFont"/>
    <w:link w:val="FootnoteText"/>
    <w:uiPriority w:val="99"/>
    <w:rsid w:val="009C0862"/>
    <w:rPr>
      <w:sz w:val="20"/>
      <w:szCs w:val="20"/>
    </w:rPr>
  </w:style>
  <w:style w:type="character" w:styleId="FootnoteReference">
    <w:name w:val="footnote reference"/>
    <w:aliases w:val="Footnote Reference Number,Footnote symbol,Footnote Refernece,Footnote Reference Superscript,ftref,Odwołanie przypisu,BVI fnr,Footnotes refss,SUPERS,Ref,de nota al pie,-E Fußnotenzeichen,Footnote reference number,Times 10 Point,E,E FNZ"/>
    <w:basedOn w:val="DefaultParagraphFont"/>
    <w:link w:val="CharCharCharChar"/>
    <w:uiPriority w:val="99"/>
    <w:unhideWhenUsed/>
    <w:rsid w:val="009C0862"/>
    <w:rPr>
      <w:vertAlign w:val="superscript"/>
    </w:rPr>
  </w:style>
  <w:style w:type="paragraph" w:styleId="NormalWeb">
    <w:name w:val="Normal (Web)"/>
    <w:basedOn w:val="Normal"/>
    <w:uiPriority w:val="99"/>
    <w:rsid w:val="009C0862"/>
    <w:pPr>
      <w:spacing w:before="100" w:beforeAutospacing="1" w:after="100" w:afterAutospacing="1" w:line="360" w:lineRule="auto"/>
    </w:pPr>
    <w:rPr>
      <w:rFonts w:eastAsia="Times New Roman" w:cs="Times New Roman"/>
      <w:szCs w:val="24"/>
      <w:lang w:val="en-GB"/>
    </w:rPr>
  </w:style>
  <w:style w:type="character" w:styleId="FollowedHyperlink">
    <w:name w:val="FollowedHyperlink"/>
    <w:basedOn w:val="DefaultParagraphFont"/>
    <w:uiPriority w:val="99"/>
    <w:semiHidden/>
    <w:unhideWhenUsed/>
    <w:rsid w:val="009C0862"/>
    <w:rPr>
      <w:color w:val="954F72" w:themeColor="followedHyperlink"/>
      <w:u w:val="single"/>
    </w:rPr>
  </w:style>
  <w:style w:type="paragraph" w:styleId="BodyTextIndent">
    <w:name w:val="Body Text Indent"/>
    <w:basedOn w:val="Normal"/>
    <w:link w:val="BodyTextIndentChar"/>
    <w:rsid w:val="009C0862"/>
    <w:pPr>
      <w:spacing w:before="120" w:after="120" w:line="276" w:lineRule="auto"/>
      <w:ind w:left="283"/>
      <w:jc w:val="both"/>
    </w:pPr>
    <w:rPr>
      <w:rFonts w:eastAsia="Times New Roman" w:cs="Times New Roman"/>
      <w:szCs w:val="20"/>
      <w:lang w:val="x-none" w:eastAsia="x-none"/>
    </w:rPr>
  </w:style>
  <w:style w:type="character" w:customStyle="1" w:styleId="BodyTextIndentChar">
    <w:name w:val="Body Text Indent Char"/>
    <w:basedOn w:val="DefaultParagraphFont"/>
    <w:link w:val="BodyTextIndent"/>
    <w:rsid w:val="009C0862"/>
    <w:rPr>
      <w:rFonts w:eastAsia="Times New Roman" w:cs="Times New Roman"/>
      <w:szCs w:val="20"/>
      <w:lang w:val="x-none" w:eastAsia="x-none"/>
    </w:rPr>
  </w:style>
  <w:style w:type="paragraph" w:styleId="HTMLPreformatted">
    <w:name w:val="HTML Preformatted"/>
    <w:basedOn w:val="Normal"/>
    <w:link w:val="HTMLPreformattedChar"/>
    <w:uiPriority w:val="99"/>
    <w:unhideWhenUsed/>
    <w:rsid w:val="009C086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eastAsia="lv-LV"/>
    </w:rPr>
  </w:style>
  <w:style w:type="character" w:customStyle="1" w:styleId="HTMLPreformattedChar">
    <w:name w:val="HTML Preformatted Char"/>
    <w:basedOn w:val="DefaultParagraphFont"/>
    <w:link w:val="HTMLPreformatted"/>
    <w:uiPriority w:val="99"/>
    <w:rsid w:val="009C0862"/>
    <w:rPr>
      <w:rFonts w:ascii="Courier New" w:hAnsi="Courier New" w:cs="Courier New"/>
      <w:sz w:val="20"/>
      <w:szCs w:val="20"/>
      <w:lang w:eastAsia="lv-LV"/>
    </w:rPr>
  </w:style>
  <w:style w:type="paragraph" w:customStyle="1" w:styleId="naiskr">
    <w:name w:val="naiskr"/>
    <w:basedOn w:val="Normal"/>
    <w:rsid w:val="009C0862"/>
    <w:pPr>
      <w:spacing w:before="75" w:after="75"/>
    </w:pPr>
    <w:rPr>
      <w:rFonts w:eastAsia="Times New Roman" w:cs="Times New Roman"/>
      <w:szCs w:val="24"/>
      <w:lang w:eastAsia="lv-LV"/>
    </w:rPr>
  </w:style>
  <w:style w:type="paragraph" w:customStyle="1" w:styleId="FDUKam">
    <w:name w:val="FDUKam"/>
    <w:basedOn w:val="ListParagraph"/>
    <w:link w:val="FDUKamChar"/>
    <w:qFormat/>
    <w:rsid w:val="009C0862"/>
    <w:pPr>
      <w:numPr>
        <w:ilvl w:val="1"/>
        <w:numId w:val="1"/>
      </w:numPr>
      <w:spacing w:after="200" w:line="276" w:lineRule="auto"/>
      <w:jc w:val="both"/>
    </w:pPr>
    <w:rPr>
      <w:rFonts w:eastAsia="Calibri" w:cs="Times New Roman"/>
      <w:sz w:val="22"/>
    </w:rPr>
  </w:style>
  <w:style w:type="character" w:customStyle="1" w:styleId="FDUKamChar">
    <w:name w:val="FDUKam Char"/>
    <w:basedOn w:val="DefaultParagraphFont"/>
    <w:link w:val="FDUKam"/>
    <w:rsid w:val="009C0862"/>
    <w:rPr>
      <w:rFonts w:eastAsia="Calibri" w:cs="Times New Roman"/>
      <w:sz w:val="22"/>
    </w:rPr>
  </w:style>
  <w:style w:type="paragraph" w:styleId="Revision">
    <w:name w:val="Revision"/>
    <w:hidden/>
    <w:uiPriority w:val="99"/>
    <w:semiHidden/>
    <w:rsid w:val="009C0862"/>
  </w:style>
  <w:style w:type="character" w:styleId="BookTitle">
    <w:name w:val="Book Title"/>
    <w:qFormat/>
    <w:rsid w:val="009C0862"/>
    <w:rPr>
      <w:b/>
      <w:bCs/>
      <w:smallCaps/>
      <w:spacing w:val="5"/>
    </w:rPr>
  </w:style>
  <w:style w:type="paragraph" w:customStyle="1" w:styleId="CM1">
    <w:name w:val="CM1"/>
    <w:basedOn w:val="Normal"/>
    <w:uiPriority w:val="99"/>
    <w:rsid w:val="009C0862"/>
    <w:pPr>
      <w:autoSpaceDE w:val="0"/>
      <w:autoSpaceDN w:val="0"/>
    </w:pPr>
    <w:rPr>
      <w:rFonts w:ascii="EUAlbertina" w:hAnsi="EUAlbertina" w:cs="Times New Roman"/>
      <w:szCs w:val="24"/>
    </w:rPr>
  </w:style>
  <w:style w:type="table" w:styleId="TableGrid">
    <w:name w:val="Table Grid"/>
    <w:basedOn w:val="TableNormal"/>
    <w:uiPriority w:val="39"/>
    <w:rsid w:val="009C086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1">
    <w:name w:val="st1"/>
    <w:basedOn w:val="DefaultParagraphFont"/>
    <w:rsid w:val="009C0862"/>
  </w:style>
  <w:style w:type="paragraph" w:styleId="PlainText">
    <w:name w:val="Plain Text"/>
    <w:basedOn w:val="Normal"/>
    <w:link w:val="PlainTextChar"/>
    <w:uiPriority w:val="99"/>
    <w:unhideWhenUsed/>
    <w:rsid w:val="009C0862"/>
    <w:rPr>
      <w:rFonts w:ascii="Calibri" w:hAnsi="Calibri" w:cs="Consolas"/>
      <w:sz w:val="22"/>
      <w:szCs w:val="21"/>
    </w:rPr>
  </w:style>
  <w:style w:type="character" w:customStyle="1" w:styleId="PlainTextChar">
    <w:name w:val="Plain Text Char"/>
    <w:basedOn w:val="DefaultParagraphFont"/>
    <w:link w:val="PlainText"/>
    <w:uiPriority w:val="99"/>
    <w:rsid w:val="009C0862"/>
    <w:rPr>
      <w:rFonts w:ascii="Calibri" w:hAnsi="Calibri" w:cs="Consolas"/>
      <w:sz w:val="22"/>
      <w:szCs w:val="21"/>
    </w:rPr>
  </w:style>
  <w:style w:type="numbering" w:customStyle="1" w:styleId="WWNum1">
    <w:name w:val="WWNum1"/>
    <w:basedOn w:val="NoList"/>
    <w:rsid w:val="009C0862"/>
    <w:pPr>
      <w:numPr>
        <w:numId w:val="2"/>
      </w:numPr>
    </w:pPr>
  </w:style>
  <w:style w:type="character" w:customStyle="1" w:styleId="ListParagraphChar">
    <w:name w:val="List Paragraph Char"/>
    <w:aliases w:val="2 Char,Strip Char,H&amp;P List Paragraph Char,List Paragraph11 Char,Numbered Para 1 Char,Dot pt Char,No Spacing1 Char,List Paragraph Char Char Char Char,Indicator Text Char,List Paragraph1 Char,Bullet 1 Char,Bullet Points Char"/>
    <w:link w:val="ListParagraph"/>
    <w:uiPriority w:val="34"/>
    <w:qFormat/>
    <w:locked/>
    <w:rsid w:val="009C0862"/>
  </w:style>
  <w:style w:type="table" w:customStyle="1" w:styleId="TableGrid1">
    <w:name w:val="Table Grid1"/>
    <w:basedOn w:val="TableNormal"/>
    <w:next w:val="TableGrid"/>
    <w:uiPriority w:val="39"/>
    <w:rsid w:val="009C0862"/>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arakstarindkopa1">
    <w:name w:val="Saraksta rindkopa1"/>
    <w:basedOn w:val="Normal"/>
    <w:qFormat/>
    <w:rsid w:val="009C0862"/>
    <w:pPr>
      <w:ind w:left="720"/>
      <w:contextualSpacing/>
    </w:pPr>
    <w:rPr>
      <w:rFonts w:eastAsia="Calibri" w:cs="Times New Roman"/>
      <w:sz w:val="28"/>
      <w:lang w:eastAsia="lv-LV"/>
    </w:rPr>
  </w:style>
  <w:style w:type="character" w:customStyle="1" w:styleId="xdtextbox1">
    <w:name w:val="xdtextbox1"/>
    <w:basedOn w:val="DefaultParagraphFont"/>
    <w:rsid w:val="00AF193C"/>
    <w:rPr>
      <w:color w:val="auto"/>
      <w:bdr w:val="single" w:sz="8" w:space="1" w:color="DCDCDC" w:frame="1"/>
      <w:shd w:val="clear" w:color="auto" w:fill="FFFFFF"/>
    </w:rPr>
  </w:style>
  <w:style w:type="table" w:customStyle="1" w:styleId="TableGrid2">
    <w:name w:val="Table Grid2"/>
    <w:basedOn w:val="TableNormal"/>
    <w:next w:val="TableGrid"/>
    <w:uiPriority w:val="39"/>
    <w:rsid w:val="001F7759"/>
    <w:rPr>
      <w:rFonts w:asciiTheme="minorHAnsi" w:hAnsiTheme="minorHAnsi"/>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unhideWhenUsed/>
    <w:rsid w:val="00685BC9"/>
    <w:pPr>
      <w:spacing w:after="120" w:line="480" w:lineRule="auto"/>
    </w:pPr>
  </w:style>
  <w:style w:type="character" w:customStyle="1" w:styleId="BodyText2Char">
    <w:name w:val="Body Text 2 Char"/>
    <w:basedOn w:val="DefaultParagraphFont"/>
    <w:link w:val="BodyText2"/>
    <w:uiPriority w:val="99"/>
    <w:rsid w:val="00685BC9"/>
  </w:style>
  <w:style w:type="paragraph" w:styleId="EndnoteText">
    <w:name w:val="endnote text"/>
    <w:basedOn w:val="Normal"/>
    <w:link w:val="EndnoteTextChar"/>
    <w:uiPriority w:val="99"/>
    <w:semiHidden/>
    <w:unhideWhenUsed/>
    <w:rsid w:val="00D72ECF"/>
    <w:rPr>
      <w:sz w:val="20"/>
      <w:szCs w:val="20"/>
    </w:rPr>
  </w:style>
  <w:style w:type="character" w:customStyle="1" w:styleId="EndnoteTextChar">
    <w:name w:val="Endnote Text Char"/>
    <w:basedOn w:val="DefaultParagraphFont"/>
    <w:link w:val="EndnoteText"/>
    <w:uiPriority w:val="99"/>
    <w:semiHidden/>
    <w:rsid w:val="00D72ECF"/>
    <w:rPr>
      <w:sz w:val="20"/>
      <w:szCs w:val="20"/>
    </w:rPr>
  </w:style>
  <w:style w:type="character" w:styleId="EndnoteReference">
    <w:name w:val="endnote reference"/>
    <w:basedOn w:val="DefaultParagraphFont"/>
    <w:uiPriority w:val="99"/>
    <w:semiHidden/>
    <w:unhideWhenUsed/>
    <w:rsid w:val="00D72ECF"/>
    <w:rPr>
      <w:vertAlign w:val="superscript"/>
    </w:rPr>
  </w:style>
  <w:style w:type="character" w:customStyle="1" w:styleId="apple-converted-space">
    <w:name w:val="apple-converted-space"/>
    <w:basedOn w:val="DefaultParagraphFont"/>
    <w:rsid w:val="00AD42C8"/>
  </w:style>
  <w:style w:type="paragraph" w:customStyle="1" w:styleId="CharCharCharChar">
    <w:name w:val="Char Char Char Char"/>
    <w:aliases w:val="Char2"/>
    <w:basedOn w:val="Normal"/>
    <w:next w:val="Normal"/>
    <w:link w:val="FootnoteReference"/>
    <w:uiPriority w:val="99"/>
    <w:rsid w:val="00770A3D"/>
    <w:pPr>
      <w:spacing w:after="160" w:line="240" w:lineRule="exact"/>
      <w:jc w:val="both"/>
      <w:textAlignment w:val="baseline"/>
    </w:pPr>
    <w:rPr>
      <w:vertAlign w:val="superscript"/>
    </w:rPr>
  </w:style>
  <w:style w:type="paragraph" w:styleId="Caption">
    <w:name w:val="caption"/>
    <w:basedOn w:val="Normal"/>
    <w:next w:val="Normal"/>
    <w:uiPriority w:val="35"/>
    <w:unhideWhenUsed/>
    <w:qFormat/>
    <w:rsid w:val="00E43F4E"/>
    <w:pPr>
      <w:spacing w:after="200"/>
    </w:pPr>
    <w:rPr>
      <w:i/>
      <w:iCs/>
      <w:color w:val="44546A" w:themeColor="text2"/>
      <w:sz w:val="18"/>
      <w:szCs w:val="18"/>
    </w:rPr>
  </w:style>
  <w:style w:type="paragraph" w:customStyle="1" w:styleId="liknoteik">
    <w:name w:val="lik_noteik"/>
    <w:basedOn w:val="Normal"/>
    <w:rsid w:val="00A70A31"/>
    <w:pPr>
      <w:spacing w:before="100" w:beforeAutospacing="1" w:after="100" w:afterAutospacing="1"/>
    </w:pPr>
    <w:rPr>
      <w:rFonts w:eastAsia="Times New Roman" w:cs="Times New Roman"/>
      <w:szCs w:val="24"/>
      <w:lang w:eastAsia="lv-LV"/>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568287">
      <w:bodyDiv w:val="1"/>
      <w:marLeft w:val="0"/>
      <w:marRight w:val="0"/>
      <w:marTop w:val="0"/>
      <w:marBottom w:val="0"/>
      <w:divBdr>
        <w:top w:val="none" w:sz="0" w:space="0" w:color="auto"/>
        <w:left w:val="none" w:sz="0" w:space="0" w:color="auto"/>
        <w:bottom w:val="none" w:sz="0" w:space="0" w:color="auto"/>
        <w:right w:val="none" w:sz="0" w:space="0" w:color="auto"/>
      </w:divBdr>
      <w:divsChild>
        <w:div w:id="1615551724">
          <w:marLeft w:val="720"/>
          <w:marRight w:val="0"/>
          <w:marTop w:val="96"/>
          <w:marBottom w:val="0"/>
          <w:divBdr>
            <w:top w:val="none" w:sz="0" w:space="0" w:color="auto"/>
            <w:left w:val="none" w:sz="0" w:space="0" w:color="auto"/>
            <w:bottom w:val="none" w:sz="0" w:space="0" w:color="auto"/>
            <w:right w:val="none" w:sz="0" w:space="0" w:color="auto"/>
          </w:divBdr>
        </w:div>
      </w:divsChild>
    </w:div>
    <w:div w:id="54477967">
      <w:bodyDiv w:val="1"/>
      <w:marLeft w:val="0"/>
      <w:marRight w:val="0"/>
      <w:marTop w:val="0"/>
      <w:marBottom w:val="0"/>
      <w:divBdr>
        <w:top w:val="none" w:sz="0" w:space="0" w:color="auto"/>
        <w:left w:val="none" w:sz="0" w:space="0" w:color="auto"/>
        <w:bottom w:val="none" w:sz="0" w:space="0" w:color="auto"/>
        <w:right w:val="none" w:sz="0" w:space="0" w:color="auto"/>
      </w:divBdr>
    </w:div>
    <w:div w:id="59789216">
      <w:bodyDiv w:val="1"/>
      <w:marLeft w:val="0"/>
      <w:marRight w:val="0"/>
      <w:marTop w:val="0"/>
      <w:marBottom w:val="0"/>
      <w:divBdr>
        <w:top w:val="none" w:sz="0" w:space="0" w:color="auto"/>
        <w:left w:val="none" w:sz="0" w:space="0" w:color="auto"/>
        <w:bottom w:val="none" w:sz="0" w:space="0" w:color="auto"/>
        <w:right w:val="none" w:sz="0" w:space="0" w:color="auto"/>
      </w:divBdr>
    </w:div>
    <w:div w:id="62608598">
      <w:bodyDiv w:val="1"/>
      <w:marLeft w:val="0"/>
      <w:marRight w:val="0"/>
      <w:marTop w:val="0"/>
      <w:marBottom w:val="0"/>
      <w:divBdr>
        <w:top w:val="none" w:sz="0" w:space="0" w:color="auto"/>
        <w:left w:val="none" w:sz="0" w:space="0" w:color="auto"/>
        <w:bottom w:val="none" w:sz="0" w:space="0" w:color="auto"/>
        <w:right w:val="none" w:sz="0" w:space="0" w:color="auto"/>
      </w:divBdr>
    </w:div>
    <w:div w:id="68580227">
      <w:bodyDiv w:val="1"/>
      <w:marLeft w:val="0"/>
      <w:marRight w:val="0"/>
      <w:marTop w:val="0"/>
      <w:marBottom w:val="0"/>
      <w:divBdr>
        <w:top w:val="none" w:sz="0" w:space="0" w:color="auto"/>
        <w:left w:val="none" w:sz="0" w:space="0" w:color="auto"/>
        <w:bottom w:val="none" w:sz="0" w:space="0" w:color="auto"/>
        <w:right w:val="none" w:sz="0" w:space="0" w:color="auto"/>
      </w:divBdr>
    </w:div>
    <w:div w:id="83692222">
      <w:bodyDiv w:val="1"/>
      <w:marLeft w:val="0"/>
      <w:marRight w:val="0"/>
      <w:marTop w:val="0"/>
      <w:marBottom w:val="0"/>
      <w:divBdr>
        <w:top w:val="none" w:sz="0" w:space="0" w:color="auto"/>
        <w:left w:val="none" w:sz="0" w:space="0" w:color="auto"/>
        <w:bottom w:val="none" w:sz="0" w:space="0" w:color="auto"/>
        <w:right w:val="none" w:sz="0" w:space="0" w:color="auto"/>
      </w:divBdr>
    </w:div>
    <w:div w:id="84693616">
      <w:bodyDiv w:val="1"/>
      <w:marLeft w:val="0"/>
      <w:marRight w:val="0"/>
      <w:marTop w:val="0"/>
      <w:marBottom w:val="0"/>
      <w:divBdr>
        <w:top w:val="none" w:sz="0" w:space="0" w:color="auto"/>
        <w:left w:val="none" w:sz="0" w:space="0" w:color="auto"/>
        <w:bottom w:val="none" w:sz="0" w:space="0" w:color="auto"/>
        <w:right w:val="none" w:sz="0" w:space="0" w:color="auto"/>
      </w:divBdr>
      <w:divsChild>
        <w:div w:id="43070444">
          <w:marLeft w:val="0"/>
          <w:marRight w:val="0"/>
          <w:marTop w:val="0"/>
          <w:marBottom w:val="0"/>
          <w:divBdr>
            <w:top w:val="none" w:sz="0" w:space="0" w:color="auto"/>
            <w:left w:val="none" w:sz="0" w:space="0" w:color="auto"/>
            <w:bottom w:val="none" w:sz="0" w:space="0" w:color="auto"/>
            <w:right w:val="none" w:sz="0" w:space="0" w:color="auto"/>
          </w:divBdr>
          <w:divsChild>
            <w:div w:id="1666860027">
              <w:marLeft w:val="0"/>
              <w:marRight w:val="0"/>
              <w:marTop w:val="0"/>
              <w:marBottom w:val="0"/>
              <w:divBdr>
                <w:top w:val="none" w:sz="0" w:space="0" w:color="auto"/>
                <w:left w:val="none" w:sz="0" w:space="0" w:color="auto"/>
                <w:bottom w:val="none" w:sz="0" w:space="0" w:color="auto"/>
                <w:right w:val="none" w:sz="0" w:space="0" w:color="auto"/>
              </w:divBdr>
              <w:divsChild>
                <w:div w:id="294915472">
                  <w:marLeft w:val="0"/>
                  <w:marRight w:val="0"/>
                  <w:marTop w:val="0"/>
                  <w:marBottom w:val="0"/>
                  <w:divBdr>
                    <w:top w:val="none" w:sz="0" w:space="0" w:color="auto"/>
                    <w:left w:val="none" w:sz="0" w:space="0" w:color="auto"/>
                    <w:bottom w:val="none" w:sz="0" w:space="0" w:color="auto"/>
                    <w:right w:val="none" w:sz="0" w:space="0" w:color="auto"/>
                  </w:divBdr>
                  <w:divsChild>
                    <w:div w:id="766730360">
                      <w:marLeft w:val="0"/>
                      <w:marRight w:val="0"/>
                      <w:marTop w:val="0"/>
                      <w:marBottom w:val="900"/>
                      <w:divBdr>
                        <w:top w:val="none" w:sz="0" w:space="0" w:color="auto"/>
                        <w:left w:val="none" w:sz="0" w:space="0" w:color="auto"/>
                        <w:bottom w:val="none" w:sz="0" w:space="0" w:color="auto"/>
                        <w:right w:val="none" w:sz="0" w:space="0" w:color="auto"/>
                      </w:divBdr>
                      <w:divsChild>
                        <w:div w:id="193272898">
                          <w:marLeft w:val="0"/>
                          <w:marRight w:val="0"/>
                          <w:marTop w:val="0"/>
                          <w:marBottom w:val="0"/>
                          <w:divBdr>
                            <w:top w:val="none" w:sz="0" w:space="0" w:color="auto"/>
                            <w:left w:val="none" w:sz="0" w:space="0" w:color="auto"/>
                            <w:bottom w:val="none" w:sz="0" w:space="0" w:color="auto"/>
                            <w:right w:val="none" w:sz="0" w:space="0" w:color="auto"/>
                          </w:divBdr>
                          <w:divsChild>
                            <w:div w:id="19209689">
                              <w:marLeft w:val="0"/>
                              <w:marRight w:val="0"/>
                              <w:marTop w:val="0"/>
                              <w:marBottom w:val="0"/>
                              <w:divBdr>
                                <w:top w:val="none" w:sz="0" w:space="0" w:color="auto"/>
                                <w:left w:val="none" w:sz="0" w:space="0" w:color="auto"/>
                                <w:bottom w:val="none" w:sz="0" w:space="0" w:color="auto"/>
                                <w:right w:val="none" w:sz="0" w:space="0" w:color="auto"/>
                              </w:divBdr>
                              <w:divsChild>
                                <w:div w:id="1078870738">
                                  <w:marLeft w:val="0"/>
                                  <w:marRight w:val="0"/>
                                  <w:marTop w:val="0"/>
                                  <w:marBottom w:val="0"/>
                                  <w:divBdr>
                                    <w:top w:val="none" w:sz="0" w:space="0" w:color="auto"/>
                                    <w:left w:val="none" w:sz="0" w:space="0" w:color="auto"/>
                                    <w:bottom w:val="none" w:sz="0" w:space="0" w:color="auto"/>
                                    <w:right w:val="none" w:sz="0" w:space="0" w:color="auto"/>
                                  </w:divBdr>
                                  <w:divsChild>
                                    <w:div w:id="1486241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5082665">
      <w:bodyDiv w:val="1"/>
      <w:marLeft w:val="0"/>
      <w:marRight w:val="0"/>
      <w:marTop w:val="0"/>
      <w:marBottom w:val="0"/>
      <w:divBdr>
        <w:top w:val="none" w:sz="0" w:space="0" w:color="auto"/>
        <w:left w:val="none" w:sz="0" w:space="0" w:color="auto"/>
        <w:bottom w:val="none" w:sz="0" w:space="0" w:color="auto"/>
        <w:right w:val="none" w:sz="0" w:space="0" w:color="auto"/>
      </w:divBdr>
    </w:div>
    <w:div w:id="85393610">
      <w:bodyDiv w:val="1"/>
      <w:marLeft w:val="0"/>
      <w:marRight w:val="0"/>
      <w:marTop w:val="0"/>
      <w:marBottom w:val="0"/>
      <w:divBdr>
        <w:top w:val="none" w:sz="0" w:space="0" w:color="auto"/>
        <w:left w:val="none" w:sz="0" w:space="0" w:color="auto"/>
        <w:bottom w:val="none" w:sz="0" w:space="0" w:color="auto"/>
        <w:right w:val="none" w:sz="0" w:space="0" w:color="auto"/>
      </w:divBdr>
    </w:div>
    <w:div w:id="88041036">
      <w:bodyDiv w:val="1"/>
      <w:marLeft w:val="0"/>
      <w:marRight w:val="0"/>
      <w:marTop w:val="0"/>
      <w:marBottom w:val="0"/>
      <w:divBdr>
        <w:top w:val="none" w:sz="0" w:space="0" w:color="auto"/>
        <w:left w:val="none" w:sz="0" w:space="0" w:color="auto"/>
        <w:bottom w:val="none" w:sz="0" w:space="0" w:color="auto"/>
        <w:right w:val="none" w:sz="0" w:space="0" w:color="auto"/>
      </w:divBdr>
    </w:div>
    <w:div w:id="97986526">
      <w:bodyDiv w:val="1"/>
      <w:marLeft w:val="0"/>
      <w:marRight w:val="0"/>
      <w:marTop w:val="0"/>
      <w:marBottom w:val="0"/>
      <w:divBdr>
        <w:top w:val="none" w:sz="0" w:space="0" w:color="auto"/>
        <w:left w:val="none" w:sz="0" w:space="0" w:color="auto"/>
        <w:bottom w:val="none" w:sz="0" w:space="0" w:color="auto"/>
        <w:right w:val="none" w:sz="0" w:space="0" w:color="auto"/>
      </w:divBdr>
    </w:div>
    <w:div w:id="142042425">
      <w:bodyDiv w:val="1"/>
      <w:marLeft w:val="0"/>
      <w:marRight w:val="0"/>
      <w:marTop w:val="0"/>
      <w:marBottom w:val="0"/>
      <w:divBdr>
        <w:top w:val="none" w:sz="0" w:space="0" w:color="auto"/>
        <w:left w:val="none" w:sz="0" w:space="0" w:color="auto"/>
        <w:bottom w:val="none" w:sz="0" w:space="0" w:color="auto"/>
        <w:right w:val="none" w:sz="0" w:space="0" w:color="auto"/>
      </w:divBdr>
    </w:div>
    <w:div w:id="156843094">
      <w:bodyDiv w:val="1"/>
      <w:marLeft w:val="0"/>
      <w:marRight w:val="0"/>
      <w:marTop w:val="0"/>
      <w:marBottom w:val="0"/>
      <w:divBdr>
        <w:top w:val="none" w:sz="0" w:space="0" w:color="auto"/>
        <w:left w:val="none" w:sz="0" w:space="0" w:color="auto"/>
        <w:bottom w:val="none" w:sz="0" w:space="0" w:color="auto"/>
        <w:right w:val="none" w:sz="0" w:space="0" w:color="auto"/>
      </w:divBdr>
    </w:div>
    <w:div w:id="174737561">
      <w:bodyDiv w:val="1"/>
      <w:marLeft w:val="0"/>
      <w:marRight w:val="0"/>
      <w:marTop w:val="0"/>
      <w:marBottom w:val="0"/>
      <w:divBdr>
        <w:top w:val="none" w:sz="0" w:space="0" w:color="auto"/>
        <w:left w:val="none" w:sz="0" w:space="0" w:color="auto"/>
        <w:bottom w:val="none" w:sz="0" w:space="0" w:color="auto"/>
        <w:right w:val="none" w:sz="0" w:space="0" w:color="auto"/>
      </w:divBdr>
      <w:divsChild>
        <w:div w:id="305473259">
          <w:marLeft w:val="547"/>
          <w:marRight w:val="0"/>
          <w:marTop w:val="86"/>
          <w:marBottom w:val="0"/>
          <w:divBdr>
            <w:top w:val="none" w:sz="0" w:space="0" w:color="auto"/>
            <w:left w:val="none" w:sz="0" w:space="0" w:color="auto"/>
            <w:bottom w:val="none" w:sz="0" w:space="0" w:color="auto"/>
            <w:right w:val="none" w:sz="0" w:space="0" w:color="auto"/>
          </w:divBdr>
        </w:div>
      </w:divsChild>
    </w:div>
    <w:div w:id="191698201">
      <w:bodyDiv w:val="1"/>
      <w:marLeft w:val="0"/>
      <w:marRight w:val="0"/>
      <w:marTop w:val="0"/>
      <w:marBottom w:val="0"/>
      <w:divBdr>
        <w:top w:val="none" w:sz="0" w:space="0" w:color="auto"/>
        <w:left w:val="none" w:sz="0" w:space="0" w:color="auto"/>
        <w:bottom w:val="none" w:sz="0" w:space="0" w:color="auto"/>
        <w:right w:val="none" w:sz="0" w:space="0" w:color="auto"/>
      </w:divBdr>
    </w:div>
    <w:div w:id="200898502">
      <w:bodyDiv w:val="1"/>
      <w:marLeft w:val="0"/>
      <w:marRight w:val="0"/>
      <w:marTop w:val="0"/>
      <w:marBottom w:val="0"/>
      <w:divBdr>
        <w:top w:val="none" w:sz="0" w:space="0" w:color="auto"/>
        <w:left w:val="none" w:sz="0" w:space="0" w:color="auto"/>
        <w:bottom w:val="none" w:sz="0" w:space="0" w:color="auto"/>
        <w:right w:val="none" w:sz="0" w:space="0" w:color="auto"/>
      </w:divBdr>
    </w:div>
    <w:div w:id="203836607">
      <w:bodyDiv w:val="1"/>
      <w:marLeft w:val="0"/>
      <w:marRight w:val="0"/>
      <w:marTop w:val="0"/>
      <w:marBottom w:val="0"/>
      <w:divBdr>
        <w:top w:val="none" w:sz="0" w:space="0" w:color="auto"/>
        <w:left w:val="none" w:sz="0" w:space="0" w:color="auto"/>
        <w:bottom w:val="none" w:sz="0" w:space="0" w:color="auto"/>
        <w:right w:val="none" w:sz="0" w:space="0" w:color="auto"/>
      </w:divBdr>
    </w:div>
    <w:div w:id="209539261">
      <w:bodyDiv w:val="1"/>
      <w:marLeft w:val="0"/>
      <w:marRight w:val="0"/>
      <w:marTop w:val="0"/>
      <w:marBottom w:val="0"/>
      <w:divBdr>
        <w:top w:val="none" w:sz="0" w:space="0" w:color="auto"/>
        <w:left w:val="none" w:sz="0" w:space="0" w:color="auto"/>
        <w:bottom w:val="none" w:sz="0" w:space="0" w:color="auto"/>
        <w:right w:val="none" w:sz="0" w:space="0" w:color="auto"/>
      </w:divBdr>
      <w:divsChild>
        <w:div w:id="77943634">
          <w:marLeft w:val="1166"/>
          <w:marRight w:val="0"/>
          <w:marTop w:val="86"/>
          <w:marBottom w:val="0"/>
          <w:divBdr>
            <w:top w:val="none" w:sz="0" w:space="0" w:color="auto"/>
            <w:left w:val="none" w:sz="0" w:space="0" w:color="auto"/>
            <w:bottom w:val="none" w:sz="0" w:space="0" w:color="auto"/>
            <w:right w:val="none" w:sz="0" w:space="0" w:color="auto"/>
          </w:divBdr>
        </w:div>
        <w:div w:id="251015881">
          <w:marLeft w:val="547"/>
          <w:marRight w:val="0"/>
          <w:marTop w:val="86"/>
          <w:marBottom w:val="0"/>
          <w:divBdr>
            <w:top w:val="none" w:sz="0" w:space="0" w:color="auto"/>
            <w:left w:val="none" w:sz="0" w:space="0" w:color="auto"/>
            <w:bottom w:val="none" w:sz="0" w:space="0" w:color="auto"/>
            <w:right w:val="none" w:sz="0" w:space="0" w:color="auto"/>
          </w:divBdr>
        </w:div>
        <w:div w:id="1320042293">
          <w:marLeft w:val="1166"/>
          <w:marRight w:val="0"/>
          <w:marTop w:val="86"/>
          <w:marBottom w:val="0"/>
          <w:divBdr>
            <w:top w:val="none" w:sz="0" w:space="0" w:color="auto"/>
            <w:left w:val="none" w:sz="0" w:space="0" w:color="auto"/>
            <w:bottom w:val="none" w:sz="0" w:space="0" w:color="auto"/>
            <w:right w:val="none" w:sz="0" w:space="0" w:color="auto"/>
          </w:divBdr>
        </w:div>
        <w:div w:id="1438671319">
          <w:marLeft w:val="1166"/>
          <w:marRight w:val="0"/>
          <w:marTop w:val="86"/>
          <w:marBottom w:val="0"/>
          <w:divBdr>
            <w:top w:val="none" w:sz="0" w:space="0" w:color="auto"/>
            <w:left w:val="none" w:sz="0" w:space="0" w:color="auto"/>
            <w:bottom w:val="none" w:sz="0" w:space="0" w:color="auto"/>
            <w:right w:val="none" w:sz="0" w:space="0" w:color="auto"/>
          </w:divBdr>
        </w:div>
        <w:div w:id="1568612869">
          <w:marLeft w:val="1166"/>
          <w:marRight w:val="0"/>
          <w:marTop w:val="86"/>
          <w:marBottom w:val="0"/>
          <w:divBdr>
            <w:top w:val="none" w:sz="0" w:space="0" w:color="auto"/>
            <w:left w:val="none" w:sz="0" w:space="0" w:color="auto"/>
            <w:bottom w:val="none" w:sz="0" w:space="0" w:color="auto"/>
            <w:right w:val="none" w:sz="0" w:space="0" w:color="auto"/>
          </w:divBdr>
        </w:div>
      </w:divsChild>
    </w:div>
    <w:div w:id="232476090">
      <w:bodyDiv w:val="1"/>
      <w:marLeft w:val="0"/>
      <w:marRight w:val="0"/>
      <w:marTop w:val="0"/>
      <w:marBottom w:val="0"/>
      <w:divBdr>
        <w:top w:val="none" w:sz="0" w:space="0" w:color="auto"/>
        <w:left w:val="none" w:sz="0" w:space="0" w:color="auto"/>
        <w:bottom w:val="none" w:sz="0" w:space="0" w:color="auto"/>
        <w:right w:val="none" w:sz="0" w:space="0" w:color="auto"/>
      </w:divBdr>
    </w:div>
    <w:div w:id="251667735">
      <w:bodyDiv w:val="1"/>
      <w:marLeft w:val="0"/>
      <w:marRight w:val="0"/>
      <w:marTop w:val="0"/>
      <w:marBottom w:val="0"/>
      <w:divBdr>
        <w:top w:val="none" w:sz="0" w:space="0" w:color="auto"/>
        <w:left w:val="none" w:sz="0" w:space="0" w:color="auto"/>
        <w:bottom w:val="none" w:sz="0" w:space="0" w:color="auto"/>
        <w:right w:val="none" w:sz="0" w:space="0" w:color="auto"/>
      </w:divBdr>
    </w:div>
    <w:div w:id="253324938">
      <w:bodyDiv w:val="1"/>
      <w:marLeft w:val="0"/>
      <w:marRight w:val="0"/>
      <w:marTop w:val="0"/>
      <w:marBottom w:val="0"/>
      <w:divBdr>
        <w:top w:val="none" w:sz="0" w:space="0" w:color="auto"/>
        <w:left w:val="none" w:sz="0" w:space="0" w:color="auto"/>
        <w:bottom w:val="none" w:sz="0" w:space="0" w:color="auto"/>
        <w:right w:val="none" w:sz="0" w:space="0" w:color="auto"/>
      </w:divBdr>
    </w:div>
    <w:div w:id="262955722">
      <w:bodyDiv w:val="1"/>
      <w:marLeft w:val="0"/>
      <w:marRight w:val="0"/>
      <w:marTop w:val="0"/>
      <w:marBottom w:val="0"/>
      <w:divBdr>
        <w:top w:val="none" w:sz="0" w:space="0" w:color="auto"/>
        <w:left w:val="none" w:sz="0" w:space="0" w:color="auto"/>
        <w:bottom w:val="none" w:sz="0" w:space="0" w:color="auto"/>
        <w:right w:val="none" w:sz="0" w:space="0" w:color="auto"/>
      </w:divBdr>
    </w:div>
    <w:div w:id="272438629">
      <w:bodyDiv w:val="1"/>
      <w:marLeft w:val="0"/>
      <w:marRight w:val="0"/>
      <w:marTop w:val="0"/>
      <w:marBottom w:val="0"/>
      <w:divBdr>
        <w:top w:val="none" w:sz="0" w:space="0" w:color="auto"/>
        <w:left w:val="none" w:sz="0" w:space="0" w:color="auto"/>
        <w:bottom w:val="none" w:sz="0" w:space="0" w:color="auto"/>
        <w:right w:val="none" w:sz="0" w:space="0" w:color="auto"/>
      </w:divBdr>
    </w:div>
    <w:div w:id="277303520">
      <w:bodyDiv w:val="1"/>
      <w:marLeft w:val="0"/>
      <w:marRight w:val="0"/>
      <w:marTop w:val="0"/>
      <w:marBottom w:val="0"/>
      <w:divBdr>
        <w:top w:val="none" w:sz="0" w:space="0" w:color="auto"/>
        <w:left w:val="none" w:sz="0" w:space="0" w:color="auto"/>
        <w:bottom w:val="none" w:sz="0" w:space="0" w:color="auto"/>
        <w:right w:val="none" w:sz="0" w:space="0" w:color="auto"/>
      </w:divBdr>
    </w:div>
    <w:div w:id="290089296">
      <w:bodyDiv w:val="1"/>
      <w:marLeft w:val="0"/>
      <w:marRight w:val="0"/>
      <w:marTop w:val="0"/>
      <w:marBottom w:val="0"/>
      <w:divBdr>
        <w:top w:val="none" w:sz="0" w:space="0" w:color="auto"/>
        <w:left w:val="none" w:sz="0" w:space="0" w:color="auto"/>
        <w:bottom w:val="none" w:sz="0" w:space="0" w:color="auto"/>
        <w:right w:val="none" w:sz="0" w:space="0" w:color="auto"/>
      </w:divBdr>
    </w:div>
    <w:div w:id="306125710">
      <w:bodyDiv w:val="1"/>
      <w:marLeft w:val="0"/>
      <w:marRight w:val="0"/>
      <w:marTop w:val="0"/>
      <w:marBottom w:val="0"/>
      <w:divBdr>
        <w:top w:val="none" w:sz="0" w:space="0" w:color="auto"/>
        <w:left w:val="none" w:sz="0" w:space="0" w:color="auto"/>
        <w:bottom w:val="none" w:sz="0" w:space="0" w:color="auto"/>
        <w:right w:val="none" w:sz="0" w:space="0" w:color="auto"/>
      </w:divBdr>
    </w:div>
    <w:div w:id="317226762">
      <w:bodyDiv w:val="1"/>
      <w:marLeft w:val="0"/>
      <w:marRight w:val="0"/>
      <w:marTop w:val="0"/>
      <w:marBottom w:val="0"/>
      <w:divBdr>
        <w:top w:val="none" w:sz="0" w:space="0" w:color="auto"/>
        <w:left w:val="none" w:sz="0" w:space="0" w:color="auto"/>
        <w:bottom w:val="none" w:sz="0" w:space="0" w:color="auto"/>
        <w:right w:val="none" w:sz="0" w:space="0" w:color="auto"/>
      </w:divBdr>
    </w:div>
    <w:div w:id="337579337">
      <w:bodyDiv w:val="1"/>
      <w:marLeft w:val="0"/>
      <w:marRight w:val="0"/>
      <w:marTop w:val="0"/>
      <w:marBottom w:val="0"/>
      <w:divBdr>
        <w:top w:val="none" w:sz="0" w:space="0" w:color="auto"/>
        <w:left w:val="none" w:sz="0" w:space="0" w:color="auto"/>
        <w:bottom w:val="none" w:sz="0" w:space="0" w:color="auto"/>
        <w:right w:val="none" w:sz="0" w:space="0" w:color="auto"/>
      </w:divBdr>
    </w:div>
    <w:div w:id="340009543">
      <w:bodyDiv w:val="1"/>
      <w:marLeft w:val="0"/>
      <w:marRight w:val="0"/>
      <w:marTop w:val="0"/>
      <w:marBottom w:val="0"/>
      <w:divBdr>
        <w:top w:val="none" w:sz="0" w:space="0" w:color="auto"/>
        <w:left w:val="none" w:sz="0" w:space="0" w:color="auto"/>
        <w:bottom w:val="none" w:sz="0" w:space="0" w:color="auto"/>
        <w:right w:val="none" w:sz="0" w:space="0" w:color="auto"/>
      </w:divBdr>
    </w:div>
    <w:div w:id="342896755">
      <w:bodyDiv w:val="1"/>
      <w:marLeft w:val="0"/>
      <w:marRight w:val="0"/>
      <w:marTop w:val="0"/>
      <w:marBottom w:val="0"/>
      <w:divBdr>
        <w:top w:val="none" w:sz="0" w:space="0" w:color="auto"/>
        <w:left w:val="none" w:sz="0" w:space="0" w:color="auto"/>
        <w:bottom w:val="none" w:sz="0" w:space="0" w:color="auto"/>
        <w:right w:val="none" w:sz="0" w:space="0" w:color="auto"/>
      </w:divBdr>
      <w:divsChild>
        <w:div w:id="1365521339">
          <w:marLeft w:val="547"/>
          <w:marRight w:val="0"/>
          <w:marTop w:val="0"/>
          <w:marBottom w:val="0"/>
          <w:divBdr>
            <w:top w:val="none" w:sz="0" w:space="0" w:color="auto"/>
            <w:left w:val="none" w:sz="0" w:space="0" w:color="auto"/>
            <w:bottom w:val="none" w:sz="0" w:space="0" w:color="auto"/>
            <w:right w:val="none" w:sz="0" w:space="0" w:color="auto"/>
          </w:divBdr>
        </w:div>
      </w:divsChild>
    </w:div>
    <w:div w:id="360060065">
      <w:bodyDiv w:val="1"/>
      <w:marLeft w:val="0"/>
      <w:marRight w:val="0"/>
      <w:marTop w:val="0"/>
      <w:marBottom w:val="0"/>
      <w:divBdr>
        <w:top w:val="none" w:sz="0" w:space="0" w:color="auto"/>
        <w:left w:val="none" w:sz="0" w:space="0" w:color="auto"/>
        <w:bottom w:val="none" w:sz="0" w:space="0" w:color="auto"/>
        <w:right w:val="none" w:sz="0" w:space="0" w:color="auto"/>
      </w:divBdr>
    </w:div>
    <w:div w:id="377364110">
      <w:bodyDiv w:val="1"/>
      <w:marLeft w:val="0"/>
      <w:marRight w:val="0"/>
      <w:marTop w:val="0"/>
      <w:marBottom w:val="0"/>
      <w:divBdr>
        <w:top w:val="none" w:sz="0" w:space="0" w:color="auto"/>
        <w:left w:val="none" w:sz="0" w:space="0" w:color="auto"/>
        <w:bottom w:val="none" w:sz="0" w:space="0" w:color="auto"/>
        <w:right w:val="none" w:sz="0" w:space="0" w:color="auto"/>
      </w:divBdr>
    </w:div>
    <w:div w:id="391923339">
      <w:bodyDiv w:val="1"/>
      <w:marLeft w:val="0"/>
      <w:marRight w:val="0"/>
      <w:marTop w:val="0"/>
      <w:marBottom w:val="0"/>
      <w:divBdr>
        <w:top w:val="none" w:sz="0" w:space="0" w:color="auto"/>
        <w:left w:val="none" w:sz="0" w:space="0" w:color="auto"/>
        <w:bottom w:val="none" w:sz="0" w:space="0" w:color="auto"/>
        <w:right w:val="none" w:sz="0" w:space="0" w:color="auto"/>
      </w:divBdr>
    </w:div>
    <w:div w:id="424805020">
      <w:bodyDiv w:val="1"/>
      <w:marLeft w:val="0"/>
      <w:marRight w:val="0"/>
      <w:marTop w:val="0"/>
      <w:marBottom w:val="0"/>
      <w:divBdr>
        <w:top w:val="none" w:sz="0" w:space="0" w:color="auto"/>
        <w:left w:val="none" w:sz="0" w:space="0" w:color="auto"/>
        <w:bottom w:val="none" w:sz="0" w:space="0" w:color="auto"/>
        <w:right w:val="none" w:sz="0" w:space="0" w:color="auto"/>
      </w:divBdr>
    </w:div>
    <w:div w:id="465969678">
      <w:bodyDiv w:val="1"/>
      <w:marLeft w:val="0"/>
      <w:marRight w:val="0"/>
      <w:marTop w:val="0"/>
      <w:marBottom w:val="0"/>
      <w:divBdr>
        <w:top w:val="none" w:sz="0" w:space="0" w:color="auto"/>
        <w:left w:val="none" w:sz="0" w:space="0" w:color="auto"/>
        <w:bottom w:val="none" w:sz="0" w:space="0" w:color="auto"/>
        <w:right w:val="none" w:sz="0" w:space="0" w:color="auto"/>
      </w:divBdr>
    </w:div>
    <w:div w:id="472984788">
      <w:bodyDiv w:val="1"/>
      <w:marLeft w:val="0"/>
      <w:marRight w:val="0"/>
      <w:marTop w:val="0"/>
      <w:marBottom w:val="0"/>
      <w:divBdr>
        <w:top w:val="none" w:sz="0" w:space="0" w:color="auto"/>
        <w:left w:val="none" w:sz="0" w:space="0" w:color="auto"/>
        <w:bottom w:val="none" w:sz="0" w:space="0" w:color="auto"/>
        <w:right w:val="none" w:sz="0" w:space="0" w:color="auto"/>
      </w:divBdr>
    </w:div>
    <w:div w:id="492837237">
      <w:bodyDiv w:val="1"/>
      <w:marLeft w:val="0"/>
      <w:marRight w:val="0"/>
      <w:marTop w:val="0"/>
      <w:marBottom w:val="0"/>
      <w:divBdr>
        <w:top w:val="none" w:sz="0" w:space="0" w:color="auto"/>
        <w:left w:val="none" w:sz="0" w:space="0" w:color="auto"/>
        <w:bottom w:val="none" w:sz="0" w:space="0" w:color="auto"/>
        <w:right w:val="none" w:sz="0" w:space="0" w:color="auto"/>
      </w:divBdr>
    </w:div>
    <w:div w:id="504979561">
      <w:bodyDiv w:val="1"/>
      <w:marLeft w:val="0"/>
      <w:marRight w:val="0"/>
      <w:marTop w:val="0"/>
      <w:marBottom w:val="0"/>
      <w:divBdr>
        <w:top w:val="none" w:sz="0" w:space="0" w:color="auto"/>
        <w:left w:val="none" w:sz="0" w:space="0" w:color="auto"/>
        <w:bottom w:val="none" w:sz="0" w:space="0" w:color="auto"/>
        <w:right w:val="none" w:sz="0" w:space="0" w:color="auto"/>
      </w:divBdr>
    </w:div>
    <w:div w:id="531377829">
      <w:bodyDiv w:val="1"/>
      <w:marLeft w:val="0"/>
      <w:marRight w:val="0"/>
      <w:marTop w:val="0"/>
      <w:marBottom w:val="0"/>
      <w:divBdr>
        <w:top w:val="none" w:sz="0" w:space="0" w:color="auto"/>
        <w:left w:val="none" w:sz="0" w:space="0" w:color="auto"/>
        <w:bottom w:val="none" w:sz="0" w:space="0" w:color="auto"/>
        <w:right w:val="none" w:sz="0" w:space="0" w:color="auto"/>
      </w:divBdr>
    </w:div>
    <w:div w:id="546142302">
      <w:bodyDiv w:val="1"/>
      <w:marLeft w:val="0"/>
      <w:marRight w:val="0"/>
      <w:marTop w:val="0"/>
      <w:marBottom w:val="0"/>
      <w:divBdr>
        <w:top w:val="none" w:sz="0" w:space="0" w:color="auto"/>
        <w:left w:val="none" w:sz="0" w:space="0" w:color="auto"/>
        <w:bottom w:val="none" w:sz="0" w:space="0" w:color="auto"/>
        <w:right w:val="none" w:sz="0" w:space="0" w:color="auto"/>
      </w:divBdr>
    </w:div>
    <w:div w:id="557863038">
      <w:bodyDiv w:val="1"/>
      <w:marLeft w:val="0"/>
      <w:marRight w:val="0"/>
      <w:marTop w:val="0"/>
      <w:marBottom w:val="0"/>
      <w:divBdr>
        <w:top w:val="none" w:sz="0" w:space="0" w:color="auto"/>
        <w:left w:val="none" w:sz="0" w:space="0" w:color="auto"/>
        <w:bottom w:val="none" w:sz="0" w:space="0" w:color="auto"/>
        <w:right w:val="none" w:sz="0" w:space="0" w:color="auto"/>
      </w:divBdr>
    </w:div>
    <w:div w:id="578292036">
      <w:bodyDiv w:val="1"/>
      <w:marLeft w:val="0"/>
      <w:marRight w:val="0"/>
      <w:marTop w:val="0"/>
      <w:marBottom w:val="0"/>
      <w:divBdr>
        <w:top w:val="none" w:sz="0" w:space="0" w:color="auto"/>
        <w:left w:val="none" w:sz="0" w:space="0" w:color="auto"/>
        <w:bottom w:val="none" w:sz="0" w:space="0" w:color="auto"/>
        <w:right w:val="none" w:sz="0" w:space="0" w:color="auto"/>
      </w:divBdr>
    </w:div>
    <w:div w:id="581456308">
      <w:bodyDiv w:val="1"/>
      <w:marLeft w:val="0"/>
      <w:marRight w:val="0"/>
      <w:marTop w:val="0"/>
      <w:marBottom w:val="0"/>
      <w:divBdr>
        <w:top w:val="none" w:sz="0" w:space="0" w:color="auto"/>
        <w:left w:val="none" w:sz="0" w:space="0" w:color="auto"/>
        <w:bottom w:val="none" w:sz="0" w:space="0" w:color="auto"/>
        <w:right w:val="none" w:sz="0" w:space="0" w:color="auto"/>
      </w:divBdr>
    </w:div>
    <w:div w:id="647975006">
      <w:bodyDiv w:val="1"/>
      <w:marLeft w:val="0"/>
      <w:marRight w:val="0"/>
      <w:marTop w:val="0"/>
      <w:marBottom w:val="0"/>
      <w:divBdr>
        <w:top w:val="none" w:sz="0" w:space="0" w:color="auto"/>
        <w:left w:val="none" w:sz="0" w:space="0" w:color="auto"/>
        <w:bottom w:val="none" w:sz="0" w:space="0" w:color="auto"/>
        <w:right w:val="none" w:sz="0" w:space="0" w:color="auto"/>
      </w:divBdr>
    </w:div>
    <w:div w:id="653950442">
      <w:bodyDiv w:val="1"/>
      <w:marLeft w:val="0"/>
      <w:marRight w:val="0"/>
      <w:marTop w:val="0"/>
      <w:marBottom w:val="0"/>
      <w:divBdr>
        <w:top w:val="none" w:sz="0" w:space="0" w:color="auto"/>
        <w:left w:val="none" w:sz="0" w:space="0" w:color="auto"/>
        <w:bottom w:val="none" w:sz="0" w:space="0" w:color="auto"/>
        <w:right w:val="none" w:sz="0" w:space="0" w:color="auto"/>
      </w:divBdr>
      <w:divsChild>
        <w:div w:id="348875598">
          <w:marLeft w:val="547"/>
          <w:marRight w:val="0"/>
          <w:marTop w:val="115"/>
          <w:marBottom w:val="0"/>
          <w:divBdr>
            <w:top w:val="none" w:sz="0" w:space="0" w:color="auto"/>
            <w:left w:val="none" w:sz="0" w:space="0" w:color="auto"/>
            <w:bottom w:val="none" w:sz="0" w:space="0" w:color="auto"/>
            <w:right w:val="none" w:sz="0" w:space="0" w:color="auto"/>
          </w:divBdr>
        </w:div>
      </w:divsChild>
    </w:div>
    <w:div w:id="668675359">
      <w:bodyDiv w:val="1"/>
      <w:marLeft w:val="0"/>
      <w:marRight w:val="0"/>
      <w:marTop w:val="0"/>
      <w:marBottom w:val="0"/>
      <w:divBdr>
        <w:top w:val="none" w:sz="0" w:space="0" w:color="auto"/>
        <w:left w:val="none" w:sz="0" w:space="0" w:color="auto"/>
        <w:bottom w:val="none" w:sz="0" w:space="0" w:color="auto"/>
        <w:right w:val="none" w:sz="0" w:space="0" w:color="auto"/>
      </w:divBdr>
    </w:div>
    <w:div w:id="671103253">
      <w:bodyDiv w:val="1"/>
      <w:marLeft w:val="0"/>
      <w:marRight w:val="0"/>
      <w:marTop w:val="0"/>
      <w:marBottom w:val="0"/>
      <w:divBdr>
        <w:top w:val="none" w:sz="0" w:space="0" w:color="auto"/>
        <w:left w:val="none" w:sz="0" w:space="0" w:color="auto"/>
        <w:bottom w:val="none" w:sz="0" w:space="0" w:color="auto"/>
        <w:right w:val="none" w:sz="0" w:space="0" w:color="auto"/>
      </w:divBdr>
    </w:div>
    <w:div w:id="676035091">
      <w:bodyDiv w:val="1"/>
      <w:marLeft w:val="0"/>
      <w:marRight w:val="0"/>
      <w:marTop w:val="0"/>
      <w:marBottom w:val="0"/>
      <w:divBdr>
        <w:top w:val="none" w:sz="0" w:space="0" w:color="auto"/>
        <w:left w:val="none" w:sz="0" w:space="0" w:color="auto"/>
        <w:bottom w:val="none" w:sz="0" w:space="0" w:color="auto"/>
        <w:right w:val="none" w:sz="0" w:space="0" w:color="auto"/>
      </w:divBdr>
    </w:div>
    <w:div w:id="703679536">
      <w:bodyDiv w:val="1"/>
      <w:marLeft w:val="0"/>
      <w:marRight w:val="0"/>
      <w:marTop w:val="0"/>
      <w:marBottom w:val="0"/>
      <w:divBdr>
        <w:top w:val="none" w:sz="0" w:space="0" w:color="auto"/>
        <w:left w:val="none" w:sz="0" w:space="0" w:color="auto"/>
        <w:bottom w:val="none" w:sz="0" w:space="0" w:color="auto"/>
        <w:right w:val="none" w:sz="0" w:space="0" w:color="auto"/>
      </w:divBdr>
    </w:div>
    <w:div w:id="714230782">
      <w:bodyDiv w:val="1"/>
      <w:marLeft w:val="0"/>
      <w:marRight w:val="0"/>
      <w:marTop w:val="0"/>
      <w:marBottom w:val="0"/>
      <w:divBdr>
        <w:top w:val="none" w:sz="0" w:space="0" w:color="auto"/>
        <w:left w:val="none" w:sz="0" w:space="0" w:color="auto"/>
        <w:bottom w:val="none" w:sz="0" w:space="0" w:color="auto"/>
        <w:right w:val="none" w:sz="0" w:space="0" w:color="auto"/>
      </w:divBdr>
    </w:div>
    <w:div w:id="735317823">
      <w:bodyDiv w:val="1"/>
      <w:marLeft w:val="0"/>
      <w:marRight w:val="0"/>
      <w:marTop w:val="0"/>
      <w:marBottom w:val="0"/>
      <w:divBdr>
        <w:top w:val="none" w:sz="0" w:space="0" w:color="auto"/>
        <w:left w:val="none" w:sz="0" w:space="0" w:color="auto"/>
        <w:bottom w:val="none" w:sz="0" w:space="0" w:color="auto"/>
        <w:right w:val="none" w:sz="0" w:space="0" w:color="auto"/>
      </w:divBdr>
    </w:div>
    <w:div w:id="741298126">
      <w:bodyDiv w:val="1"/>
      <w:marLeft w:val="0"/>
      <w:marRight w:val="0"/>
      <w:marTop w:val="0"/>
      <w:marBottom w:val="0"/>
      <w:divBdr>
        <w:top w:val="none" w:sz="0" w:space="0" w:color="auto"/>
        <w:left w:val="none" w:sz="0" w:space="0" w:color="auto"/>
        <w:bottom w:val="none" w:sz="0" w:space="0" w:color="auto"/>
        <w:right w:val="none" w:sz="0" w:space="0" w:color="auto"/>
      </w:divBdr>
    </w:div>
    <w:div w:id="744033959">
      <w:bodyDiv w:val="1"/>
      <w:marLeft w:val="0"/>
      <w:marRight w:val="0"/>
      <w:marTop w:val="0"/>
      <w:marBottom w:val="0"/>
      <w:divBdr>
        <w:top w:val="none" w:sz="0" w:space="0" w:color="auto"/>
        <w:left w:val="none" w:sz="0" w:space="0" w:color="auto"/>
        <w:bottom w:val="none" w:sz="0" w:space="0" w:color="auto"/>
        <w:right w:val="none" w:sz="0" w:space="0" w:color="auto"/>
      </w:divBdr>
    </w:div>
    <w:div w:id="763764766">
      <w:bodyDiv w:val="1"/>
      <w:marLeft w:val="0"/>
      <w:marRight w:val="0"/>
      <w:marTop w:val="0"/>
      <w:marBottom w:val="0"/>
      <w:divBdr>
        <w:top w:val="none" w:sz="0" w:space="0" w:color="auto"/>
        <w:left w:val="none" w:sz="0" w:space="0" w:color="auto"/>
        <w:bottom w:val="none" w:sz="0" w:space="0" w:color="auto"/>
        <w:right w:val="none" w:sz="0" w:space="0" w:color="auto"/>
      </w:divBdr>
    </w:div>
    <w:div w:id="778641650">
      <w:bodyDiv w:val="1"/>
      <w:marLeft w:val="0"/>
      <w:marRight w:val="0"/>
      <w:marTop w:val="0"/>
      <w:marBottom w:val="0"/>
      <w:divBdr>
        <w:top w:val="none" w:sz="0" w:space="0" w:color="auto"/>
        <w:left w:val="none" w:sz="0" w:space="0" w:color="auto"/>
        <w:bottom w:val="none" w:sz="0" w:space="0" w:color="auto"/>
        <w:right w:val="none" w:sz="0" w:space="0" w:color="auto"/>
      </w:divBdr>
    </w:div>
    <w:div w:id="786460920">
      <w:bodyDiv w:val="1"/>
      <w:marLeft w:val="0"/>
      <w:marRight w:val="0"/>
      <w:marTop w:val="0"/>
      <w:marBottom w:val="0"/>
      <w:divBdr>
        <w:top w:val="none" w:sz="0" w:space="0" w:color="auto"/>
        <w:left w:val="none" w:sz="0" w:space="0" w:color="auto"/>
        <w:bottom w:val="none" w:sz="0" w:space="0" w:color="auto"/>
        <w:right w:val="none" w:sz="0" w:space="0" w:color="auto"/>
      </w:divBdr>
    </w:div>
    <w:div w:id="791097547">
      <w:bodyDiv w:val="1"/>
      <w:marLeft w:val="0"/>
      <w:marRight w:val="0"/>
      <w:marTop w:val="0"/>
      <w:marBottom w:val="0"/>
      <w:divBdr>
        <w:top w:val="none" w:sz="0" w:space="0" w:color="auto"/>
        <w:left w:val="none" w:sz="0" w:space="0" w:color="auto"/>
        <w:bottom w:val="none" w:sz="0" w:space="0" w:color="auto"/>
        <w:right w:val="none" w:sz="0" w:space="0" w:color="auto"/>
      </w:divBdr>
    </w:div>
    <w:div w:id="800074301">
      <w:bodyDiv w:val="1"/>
      <w:marLeft w:val="0"/>
      <w:marRight w:val="0"/>
      <w:marTop w:val="0"/>
      <w:marBottom w:val="0"/>
      <w:divBdr>
        <w:top w:val="none" w:sz="0" w:space="0" w:color="auto"/>
        <w:left w:val="none" w:sz="0" w:space="0" w:color="auto"/>
        <w:bottom w:val="none" w:sz="0" w:space="0" w:color="auto"/>
        <w:right w:val="none" w:sz="0" w:space="0" w:color="auto"/>
      </w:divBdr>
    </w:div>
    <w:div w:id="820390844">
      <w:bodyDiv w:val="1"/>
      <w:marLeft w:val="0"/>
      <w:marRight w:val="0"/>
      <w:marTop w:val="0"/>
      <w:marBottom w:val="0"/>
      <w:divBdr>
        <w:top w:val="none" w:sz="0" w:space="0" w:color="auto"/>
        <w:left w:val="none" w:sz="0" w:space="0" w:color="auto"/>
        <w:bottom w:val="none" w:sz="0" w:space="0" w:color="auto"/>
        <w:right w:val="none" w:sz="0" w:space="0" w:color="auto"/>
      </w:divBdr>
      <w:divsChild>
        <w:div w:id="61997521">
          <w:marLeft w:val="0"/>
          <w:marRight w:val="0"/>
          <w:marTop w:val="0"/>
          <w:marBottom w:val="0"/>
          <w:divBdr>
            <w:top w:val="none" w:sz="0" w:space="0" w:color="auto"/>
            <w:left w:val="none" w:sz="0" w:space="0" w:color="auto"/>
            <w:bottom w:val="none" w:sz="0" w:space="0" w:color="auto"/>
            <w:right w:val="none" w:sz="0" w:space="0" w:color="auto"/>
          </w:divBdr>
          <w:divsChild>
            <w:div w:id="2055618241">
              <w:marLeft w:val="0"/>
              <w:marRight w:val="0"/>
              <w:marTop w:val="0"/>
              <w:marBottom w:val="0"/>
              <w:divBdr>
                <w:top w:val="none" w:sz="0" w:space="0" w:color="auto"/>
                <w:left w:val="none" w:sz="0" w:space="0" w:color="auto"/>
                <w:bottom w:val="none" w:sz="0" w:space="0" w:color="auto"/>
                <w:right w:val="none" w:sz="0" w:space="0" w:color="auto"/>
              </w:divBdr>
              <w:divsChild>
                <w:div w:id="1289896424">
                  <w:marLeft w:val="0"/>
                  <w:marRight w:val="0"/>
                  <w:marTop w:val="0"/>
                  <w:marBottom w:val="0"/>
                  <w:divBdr>
                    <w:top w:val="none" w:sz="0" w:space="0" w:color="auto"/>
                    <w:left w:val="none" w:sz="0" w:space="0" w:color="auto"/>
                    <w:bottom w:val="none" w:sz="0" w:space="0" w:color="auto"/>
                    <w:right w:val="none" w:sz="0" w:space="0" w:color="auto"/>
                  </w:divBdr>
                  <w:divsChild>
                    <w:div w:id="1848596685">
                      <w:marLeft w:val="0"/>
                      <w:marRight w:val="0"/>
                      <w:marTop w:val="0"/>
                      <w:marBottom w:val="0"/>
                      <w:divBdr>
                        <w:top w:val="none" w:sz="0" w:space="0" w:color="auto"/>
                        <w:left w:val="none" w:sz="0" w:space="0" w:color="auto"/>
                        <w:bottom w:val="none" w:sz="0" w:space="0" w:color="auto"/>
                        <w:right w:val="none" w:sz="0" w:space="0" w:color="auto"/>
                      </w:divBdr>
                      <w:divsChild>
                        <w:div w:id="1637711280">
                          <w:marLeft w:val="0"/>
                          <w:marRight w:val="0"/>
                          <w:marTop w:val="0"/>
                          <w:marBottom w:val="0"/>
                          <w:divBdr>
                            <w:top w:val="none" w:sz="0" w:space="0" w:color="auto"/>
                            <w:left w:val="none" w:sz="0" w:space="0" w:color="auto"/>
                            <w:bottom w:val="none" w:sz="0" w:space="0" w:color="auto"/>
                            <w:right w:val="none" w:sz="0" w:space="0" w:color="auto"/>
                          </w:divBdr>
                          <w:divsChild>
                            <w:div w:id="1977030590">
                              <w:marLeft w:val="0"/>
                              <w:marRight w:val="0"/>
                              <w:marTop w:val="0"/>
                              <w:marBottom w:val="0"/>
                              <w:divBdr>
                                <w:top w:val="none" w:sz="0" w:space="0" w:color="auto"/>
                                <w:left w:val="none" w:sz="0" w:space="0" w:color="auto"/>
                                <w:bottom w:val="none" w:sz="0" w:space="0" w:color="auto"/>
                                <w:right w:val="none" w:sz="0" w:space="0" w:color="auto"/>
                              </w:divBdr>
                              <w:divsChild>
                                <w:div w:id="540089616">
                                  <w:marLeft w:val="0"/>
                                  <w:marRight w:val="0"/>
                                  <w:marTop w:val="0"/>
                                  <w:marBottom w:val="0"/>
                                  <w:divBdr>
                                    <w:top w:val="none" w:sz="0" w:space="0" w:color="auto"/>
                                    <w:left w:val="none" w:sz="0" w:space="0" w:color="auto"/>
                                    <w:bottom w:val="none" w:sz="0" w:space="0" w:color="auto"/>
                                    <w:right w:val="none" w:sz="0" w:space="0" w:color="auto"/>
                                  </w:divBdr>
                                  <w:divsChild>
                                    <w:div w:id="715348405">
                                      <w:marLeft w:val="0"/>
                                      <w:marRight w:val="0"/>
                                      <w:marTop w:val="0"/>
                                      <w:marBottom w:val="0"/>
                                      <w:divBdr>
                                        <w:top w:val="none" w:sz="0" w:space="0" w:color="auto"/>
                                        <w:left w:val="none" w:sz="0" w:space="0" w:color="auto"/>
                                        <w:bottom w:val="none" w:sz="0" w:space="0" w:color="auto"/>
                                        <w:right w:val="none" w:sz="0" w:space="0" w:color="auto"/>
                                      </w:divBdr>
                                      <w:divsChild>
                                        <w:div w:id="368384496">
                                          <w:marLeft w:val="0"/>
                                          <w:marRight w:val="0"/>
                                          <w:marTop w:val="0"/>
                                          <w:marBottom w:val="0"/>
                                          <w:divBdr>
                                            <w:top w:val="none" w:sz="0" w:space="0" w:color="auto"/>
                                            <w:left w:val="none" w:sz="0" w:space="0" w:color="auto"/>
                                            <w:bottom w:val="none" w:sz="0" w:space="0" w:color="auto"/>
                                            <w:right w:val="none" w:sz="0" w:space="0" w:color="auto"/>
                                          </w:divBdr>
                                          <w:divsChild>
                                            <w:div w:id="1546527960">
                                              <w:marLeft w:val="0"/>
                                              <w:marRight w:val="0"/>
                                              <w:marTop w:val="0"/>
                                              <w:marBottom w:val="0"/>
                                              <w:divBdr>
                                                <w:top w:val="none" w:sz="0" w:space="0" w:color="auto"/>
                                                <w:left w:val="none" w:sz="0" w:space="0" w:color="auto"/>
                                                <w:bottom w:val="none" w:sz="0" w:space="0" w:color="auto"/>
                                                <w:right w:val="none" w:sz="0" w:space="0" w:color="auto"/>
                                              </w:divBdr>
                                              <w:divsChild>
                                                <w:div w:id="91242413">
                                                  <w:marLeft w:val="0"/>
                                                  <w:marRight w:val="0"/>
                                                  <w:marTop w:val="0"/>
                                                  <w:marBottom w:val="0"/>
                                                  <w:divBdr>
                                                    <w:top w:val="none" w:sz="0" w:space="0" w:color="auto"/>
                                                    <w:left w:val="none" w:sz="0" w:space="0" w:color="auto"/>
                                                    <w:bottom w:val="none" w:sz="0" w:space="0" w:color="auto"/>
                                                    <w:right w:val="none" w:sz="0" w:space="0" w:color="auto"/>
                                                  </w:divBdr>
                                                  <w:divsChild>
                                                    <w:div w:id="1741637884">
                                                      <w:marLeft w:val="0"/>
                                                      <w:marRight w:val="0"/>
                                                      <w:marTop w:val="0"/>
                                                      <w:marBottom w:val="0"/>
                                                      <w:divBdr>
                                                        <w:top w:val="none" w:sz="0" w:space="0" w:color="auto"/>
                                                        <w:left w:val="none" w:sz="0" w:space="0" w:color="auto"/>
                                                        <w:bottom w:val="none" w:sz="0" w:space="0" w:color="auto"/>
                                                        <w:right w:val="none" w:sz="0" w:space="0" w:color="auto"/>
                                                      </w:divBdr>
                                                      <w:divsChild>
                                                        <w:div w:id="205065359">
                                                          <w:marLeft w:val="0"/>
                                                          <w:marRight w:val="0"/>
                                                          <w:marTop w:val="0"/>
                                                          <w:marBottom w:val="0"/>
                                                          <w:divBdr>
                                                            <w:top w:val="none" w:sz="0" w:space="0" w:color="auto"/>
                                                            <w:left w:val="none" w:sz="0" w:space="0" w:color="auto"/>
                                                            <w:bottom w:val="none" w:sz="0" w:space="0" w:color="auto"/>
                                                            <w:right w:val="none" w:sz="0" w:space="0" w:color="auto"/>
                                                          </w:divBdr>
                                                          <w:divsChild>
                                                            <w:div w:id="35786119">
                                                              <w:marLeft w:val="0"/>
                                                              <w:marRight w:val="0"/>
                                                              <w:marTop w:val="0"/>
                                                              <w:marBottom w:val="0"/>
                                                              <w:divBdr>
                                                                <w:top w:val="none" w:sz="0" w:space="0" w:color="auto"/>
                                                                <w:left w:val="none" w:sz="0" w:space="0" w:color="auto"/>
                                                                <w:bottom w:val="none" w:sz="0" w:space="0" w:color="auto"/>
                                                                <w:right w:val="none" w:sz="0" w:space="0" w:color="auto"/>
                                                              </w:divBdr>
                                                              <w:divsChild>
                                                                <w:div w:id="94103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875200219">
      <w:bodyDiv w:val="1"/>
      <w:marLeft w:val="0"/>
      <w:marRight w:val="0"/>
      <w:marTop w:val="0"/>
      <w:marBottom w:val="0"/>
      <w:divBdr>
        <w:top w:val="none" w:sz="0" w:space="0" w:color="auto"/>
        <w:left w:val="none" w:sz="0" w:space="0" w:color="auto"/>
        <w:bottom w:val="none" w:sz="0" w:space="0" w:color="auto"/>
        <w:right w:val="none" w:sz="0" w:space="0" w:color="auto"/>
      </w:divBdr>
    </w:div>
    <w:div w:id="882211453">
      <w:bodyDiv w:val="1"/>
      <w:marLeft w:val="0"/>
      <w:marRight w:val="0"/>
      <w:marTop w:val="0"/>
      <w:marBottom w:val="0"/>
      <w:divBdr>
        <w:top w:val="none" w:sz="0" w:space="0" w:color="auto"/>
        <w:left w:val="none" w:sz="0" w:space="0" w:color="auto"/>
        <w:bottom w:val="none" w:sz="0" w:space="0" w:color="auto"/>
        <w:right w:val="none" w:sz="0" w:space="0" w:color="auto"/>
      </w:divBdr>
      <w:divsChild>
        <w:div w:id="735670104">
          <w:marLeft w:val="547"/>
          <w:marRight w:val="0"/>
          <w:marTop w:val="240"/>
          <w:marBottom w:val="0"/>
          <w:divBdr>
            <w:top w:val="none" w:sz="0" w:space="0" w:color="auto"/>
            <w:left w:val="none" w:sz="0" w:space="0" w:color="auto"/>
            <w:bottom w:val="none" w:sz="0" w:space="0" w:color="auto"/>
            <w:right w:val="none" w:sz="0" w:space="0" w:color="auto"/>
          </w:divBdr>
        </w:div>
        <w:div w:id="1611667440">
          <w:marLeft w:val="547"/>
          <w:marRight w:val="0"/>
          <w:marTop w:val="240"/>
          <w:marBottom w:val="0"/>
          <w:divBdr>
            <w:top w:val="none" w:sz="0" w:space="0" w:color="auto"/>
            <w:left w:val="none" w:sz="0" w:space="0" w:color="auto"/>
            <w:bottom w:val="none" w:sz="0" w:space="0" w:color="auto"/>
            <w:right w:val="none" w:sz="0" w:space="0" w:color="auto"/>
          </w:divBdr>
        </w:div>
        <w:div w:id="1913544887">
          <w:marLeft w:val="547"/>
          <w:marRight w:val="0"/>
          <w:marTop w:val="240"/>
          <w:marBottom w:val="0"/>
          <w:divBdr>
            <w:top w:val="none" w:sz="0" w:space="0" w:color="auto"/>
            <w:left w:val="none" w:sz="0" w:space="0" w:color="auto"/>
            <w:bottom w:val="none" w:sz="0" w:space="0" w:color="auto"/>
            <w:right w:val="none" w:sz="0" w:space="0" w:color="auto"/>
          </w:divBdr>
        </w:div>
      </w:divsChild>
    </w:div>
    <w:div w:id="897084861">
      <w:bodyDiv w:val="1"/>
      <w:marLeft w:val="0"/>
      <w:marRight w:val="0"/>
      <w:marTop w:val="0"/>
      <w:marBottom w:val="0"/>
      <w:divBdr>
        <w:top w:val="none" w:sz="0" w:space="0" w:color="auto"/>
        <w:left w:val="none" w:sz="0" w:space="0" w:color="auto"/>
        <w:bottom w:val="none" w:sz="0" w:space="0" w:color="auto"/>
        <w:right w:val="none" w:sz="0" w:space="0" w:color="auto"/>
      </w:divBdr>
    </w:div>
    <w:div w:id="910310944">
      <w:bodyDiv w:val="1"/>
      <w:marLeft w:val="0"/>
      <w:marRight w:val="0"/>
      <w:marTop w:val="0"/>
      <w:marBottom w:val="0"/>
      <w:divBdr>
        <w:top w:val="none" w:sz="0" w:space="0" w:color="auto"/>
        <w:left w:val="none" w:sz="0" w:space="0" w:color="auto"/>
        <w:bottom w:val="none" w:sz="0" w:space="0" w:color="auto"/>
        <w:right w:val="none" w:sz="0" w:space="0" w:color="auto"/>
      </w:divBdr>
    </w:div>
    <w:div w:id="960569500">
      <w:bodyDiv w:val="1"/>
      <w:marLeft w:val="0"/>
      <w:marRight w:val="0"/>
      <w:marTop w:val="0"/>
      <w:marBottom w:val="0"/>
      <w:divBdr>
        <w:top w:val="none" w:sz="0" w:space="0" w:color="auto"/>
        <w:left w:val="none" w:sz="0" w:space="0" w:color="auto"/>
        <w:bottom w:val="none" w:sz="0" w:space="0" w:color="auto"/>
        <w:right w:val="none" w:sz="0" w:space="0" w:color="auto"/>
      </w:divBdr>
    </w:div>
    <w:div w:id="982469369">
      <w:bodyDiv w:val="1"/>
      <w:marLeft w:val="0"/>
      <w:marRight w:val="0"/>
      <w:marTop w:val="0"/>
      <w:marBottom w:val="0"/>
      <w:divBdr>
        <w:top w:val="none" w:sz="0" w:space="0" w:color="auto"/>
        <w:left w:val="none" w:sz="0" w:space="0" w:color="auto"/>
        <w:bottom w:val="none" w:sz="0" w:space="0" w:color="auto"/>
        <w:right w:val="none" w:sz="0" w:space="0" w:color="auto"/>
      </w:divBdr>
    </w:div>
    <w:div w:id="1000229341">
      <w:bodyDiv w:val="1"/>
      <w:marLeft w:val="0"/>
      <w:marRight w:val="0"/>
      <w:marTop w:val="0"/>
      <w:marBottom w:val="0"/>
      <w:divBdr>
        <w:top w:val="none" w:sz="0" w:space="0" w:color="auto"/>
        <w:left w:val="none" w:sz="0" w:space="0" w:color="auto"/>
        <w:bottom w:val="none" w:sz="0" w:space="0" w:color="auto"/>
        <w:right w:val="none" w:sz="0" w:space="0" w:color="auto"/>
      </w:divBdr>
      <w:divsChild>
        <w:div w:id="1091196465">
          <w:marLeft w:val="547"/>
          <w:marRight w:val="0"/>
          <w:marTop w:val="86"/>
          <w:marBottom w:val="0"/>
          <w:divBdr>
            <w:top w:val="none" w:sz="0" w:space="0" w:color="auto"/>
            <w:left w:val="none" w:sz="0" w:space="0" w:color="auto"/>
            <w:bottom w:val="none" w:sz="0" w:space="0" w:color="auto"/>
            <w:right w:val="none" w:sz="0" w:space="0" w:color="auto"/>
          </w:divBdr>
        </w:div>
      </w:divsChild>
    </w:div>
    <w:div w:id="1012875877">
      <w:bodyDiv w:val="1"/>
      <w:marLeft w:val="0"/>
      <w:marRight w:val="0"/>
      <w:marTop w:val="0"/>
      <w:marBottom w:val="0"/>
      <w:divBdr>
        <w:top w:val="none" w:sz="0" w:space="0" w:color="auto"/>
        <w:left w:val="none" w:sz="0" w:space="0" w:color="auto"/>
        <w:bottom w:val="none" w:sz="0" w:space="0" w:color="auto"/>
        <w:right w:val="none" w:sz="0" w:space="0" w:color="auto"/>
      </w:divBdr>
      <w:divsChild>
        <w:div w:id="639185818">
          <w:marLeft w:val="720"/>
          <w:marRight w:val="0"/>
          <w:marTop w:val="96"/>
          <w:marBottom w:val="0"/>
          <w:divBdr>
            <w:top w:val="none" w:sz="0" w:space="0" w:color="auto"/>
            <w:left w:val="none" w:sz="0" w:space="0" w:color="auto"/>
            <w:bottom w:val="none" w:sz="0" w:space="0" w:color="auto"/>
            <w:right w:val="none" w:sz="0" w:space="0" w:color="auto"/>
          </w:divBdr>
        </w:div>
      </w:divsChild>
    </w:div>
    <w:div w:id="1019893762">
      <w:bodyDiv w:val="1"/>
      <w:marLeft w:val="0"/>
      <w:marRight w:val="0"/>
      <w:marTop w:val="0"/>
      <w:marBottom w:val="0"/>
      <w:divBdr>
        <w:top w:val="none" w:sz="0" w:space="0" w:color="auto"/>
        <w:left w:val="none" w:sz="0" w:space="0" w:color="auto"/>
        <w:bottom w:val="none" w:sz="0" w:space="0" w:color="auto"/>
        <w:right w:val="none" w:sz="0" w:space="0" w:color="auto"/>
      </w:divBdr>
    </w:div>
    <w:div w:id="1021052243">
      <w:bodyDiv w:val="1"/>
      <w:marLeft w:val="0"/>
      <w:marRight w:val="0"/>
      <w:marTop w:val="0"/>
      <w:marBottom w:val="0"/>
      <w:divBdr>
        <w:top w:val="none" w:sz="0" w:space="0" w:color="auto"/>
        <w:left w:val="none" w:sz="0" w:space="0" w:color="auto"/>
        <w:bottom w:val="none" w:sz="0" w:space="0" w:color="auto"/>
        <w:right w:val="none" w:sz="0" w:space="0" w:color="auto"/>
      </w:divBdr>
    </w:div>
    <w:div w:id="1028457603">
      <w:bodyDiv w:val="1"/>
      <w:marLeft w:val="0"/>
      <w:marRight w:val="0"/>
      <w:marTop w:val="0"/>
      <w:marBottom w:val="0"/>
      <w:divBdr>
        <w:top w:val="none" w:sz="0" w:space="0" w:color="auto"/>
        <w:left w:val="none" w:sz="0" w:space="0" w:color="auto"/>
        <w:bottom w:val="none" w:sz="0" w:space="0" w:color="auto"/>
        <w:right w:val="none" w:sz="0" w:space="0" w:color="auto"/>
      </w:divBdr>
    </w:div>
    <w:div w:id="1060907231">
      <w:bodyDiv w:val="1"/>
      <w:marLeft w:val="0"/>
      <w:marRight w:val="0"/>
      <w:marTop w:val="0"/>
      <w:marBottom w:val="0"/>
      <w:divBdr>
        <w:top w:val="none" w:sz="0" w:space="0" w:color="auto"/>
        <w:left w:val="none" w:sz="0" w:space="0" w:color="auto"/>
        <w:bottom w:val="none" w:sz="0" w:space="0" w:color="auto"/>
        <w:right w:val="none" w:sz="0" w:space="0" w:color="auto"/>
      </w:divBdr>
    </w:div>
    <w:div w:id="1095204563">
      <w:bodyDiv w:val="1"/>
      <w:marLeft w:val="0"/>
      <w:marRight w:val="0"/>
      <w:marTop w:val="0"/>
      <w:marBottom w:val="0"/>
      <w:divBdr>
        <w:top w:val="none" w:sz="0" w:space="0" w:color="auto"/>
        <w:left w:val="none" w:sz="0" w:space="0" w:color="auto"/>
        <w:bottom w:val="none" w:sz="0" w:space="0" w:color="auto"/>
        <w:right w:val="none" w:sz="0" w:space="0" w:color="auto"/>
      </w:divBdr>
    </w:div>
    <w:div w:id="1097675705">
      <w:bodyDiv w:val="1"/>
      <w:marLeft w:val="0"/>
      <w:marRight w:val="0"/>
      <w:marTop w:val="0"/>
      <w:marBottom w:val="0"/>
      <w:divBdr>
        <w:top w:val="none" w:sz="0" w:space="0" w:color="auto"/>
        <w:left w:val="none" w:sz="0" w:space="0" w:color="auto"/>
        <w:bottom w:val="none" w:sz="0" w:space="0" w:color="auto"/>
        <w:right w:val="none" w:sz="0" w:space="0" w:color="auto"/>
      </w:divBdr>
    </w:div>
    <w:div w:id="1149590755">
      <w:bodyDiv w:val="1"/>
      <w:marLeft w:val="0"/>
      <w:marRight w:val="0"/>
      <w:marTop w:val="0"/>
      <w:marBottom w:val="0"/>
      <w:divBdr>
        <w:top w:val="none" w:sz="0" w:space="0" w:color="auto"/>
        <w:left w:val="none" w:sz="0" w:space="0" w:color="auto"/>
        <w:bottom w:val="none" w:sz="0" w:space="0" w:color="auto"/>
        <w:right w:val="none" w:sz="0" w:space="0" w:color="auto"/>
      </w:divBdr>
    </w:div>
    <w:div w:id="1152259727">
      <w:bodyDiv w:val="1"/>
      <w:marLeft w:val="0"/>
      <w:marRight w:val="0"/>
      <w:marTop w:val="0"/>
      <w:marBottom w:val="0"/>
      <w:divBdr>
        <w:top w:val="none" w:sz="0" w:space="0" w:color="auto"/>
        <w:left w:val="none" w:sz="0" w:space="0" w:color="auto"/>
        <w:bottom w:val="none" w:sz="0" w:space="0" w:color="auto"/>
        <w:right w:val="none" w:sz="0" w:space="0" w:color="auto"/>
      </w:divBdr>
    </w:div>
    <w:div w:id="1161116842">
      <w:bodyDiv w:val="1"/>
      <w:marLeft w:val="0"/>
      <w:marRight w:val="0"/>
      <w:marTop w:val="0"/>
      <w:marBottom w:val="0"/>
      <w:divBdr>
        <w:top w:val="none" w:sz="0" w:space="0" w:color="auto"/>
        <w:left w:val="none" w:sz="0" w:space="0" w:color="auto"/>
        <w:bottom w:val="none" w:sz="0" w:space="0" w:color="auto"/>
        <w:right w:val="none" w:sz="0" w:space="0" w:color="auto"/>
      </w:divBdr>
    </w:div>
    <w:div w:id="1180192778">
      <w:bodyDiv w:val="1"/>
      <w:marLeft w:val="0"/>
      <w:marRight w:val="0"/>
      <w:marTop w:val="0"/>
      <w:marBottom w:val="0"/>
      <w:divBdr>
        <w:top w:val="none" w:sz="0" w:space="0" w:color="auto"/>
        <w:left w:val="none" w:sz="0" w:space="0" w:color="auto"/>
        <w:bottom w:val="none" w:sz="0" w:space="0" w:color="auto"/>
        <w:right w:val="none" w:sz="0" w:space="0" w:color="auto"/>
      </w:divBdr>
    </w:div>
    <w:div w:id="1189175602">
      <w:bodyDiv w:val="1"/>
      <w:marLeft w:val="0"/>
      <w:marRight w:val="0"/>
      <w:marTop w:val="0"/>
      <w:marBottom w:val="0"/>
      <w:divBdr>
        <w:top w:val="none" w:sz="0" w:space="0" w:color="auto"/>
        <w:left w:val="none" w:sz="0" w:space="0" w:color="auto"/>
        <w:bottom w:val="none" w:sz="0" w:space="0" w:color="auto"/>
        <w:right w:val="none" w:sz="0" w:space="0" w:color="auto"/>
      </w:divBdr>
    </w:div>
    <w:div w:id="1202405452">
      <w:bodyDiv w:val="1"/>
      <w:marLeft w:val="0"/>
      <w:marRight w:val="0"/>
      <w:marTop w:val="0"/>
      <w:marBottom w:val="0"/>
      <w:divBdr>
        <w:top w:val="none" w:sz="0" w:space="0" w:color="auto"/>
        <w:left w:val="none" w:sz="0" w:space="0" w:color="auto"/>
        <w:bottom w:val="none" w:sz="0" w:space="0" w:color="auto"/>
        <w:right w:val="none" w:sz="0" w:space="0" w:color="auto"/>
      </w:divBdr>
    </w:div>
    <w:div w:id="1211763385">
      <w:bodyDiv w:val="1"/>
      <w:marLeft w:val="0"/>
      <w:marRight w:val="0"/>
      <w:marTop w:val="0"/>
      <w:marBottom w:val="0"/>
      <w:divBdr>
        <w:top w:val="none" w:sz="0" w:space="0" w:color="auto"/>
        <w:left w:val="none" w:sz="0" w:space="0" w:color="auto"/>
        <w:bottom w:val="none" w:sz="0" w:space="0" w:color="auto"/>
        <w:right w:val="none" w:sz="0" w:space="0" w:color="auto"/>
      </w:divBdr>
    </w:div>
    <w:div w:id="1216816070">
      <w:bodyDiv w:val="1"/>
      <w:marLeft w:val="0"/>
      <w:marRight w:val="0"/>
      <w:marTop w:val="0"/>
      <w:marBottom w:val="0"/>
      <w:divBdr>
        <w:top w:val="none" w:sz="0" w:space="0" w:color="auto"/>
        <w:left w:val="none" w:sz="0" w:space="0" w:color="auto"/>
        <w:bottom w:val="none" w:sz="0" w:space="0" w:color="auto"/>
        <w:right w:val="none" w:sz="0" w:space="0" w:color="auto"/>
      </w:divBdr>
    </w:div>
    <w:div w:id="1234314119">
      <w:bodyDiv w:val="1"/>
      <w:marLeft w:val="0"/>
      <w:marRight w:val="0"/>
      <w:marTop w:val="0"/>
      <w:marBottom w:val="0"/>
      <w:divBdr>
        <w:top w:val="none" w:sz="0" w:space="0" w:color="auto"/>
        <w:left w:val="none" w:sz="0" w:space="0" w:color="auto"/>
        <w:bottom w:val="none" w:sz="0" w:space="0" w:color="auto"/>
        <w:right w:val="none" w:sz="0" w:space="0" w:color="auto"/>
      </w:divBdr>
    </w:div>
    <w:div w:id="1235896140">
      <w:bodyDiv w:val="1"/>
      <w:marLeft w:val="0"/>
      <w:marRight w:val="0"/>
      <w:marTop w:val="0"/>
      <w:marBottom w:val="0"/>
      <w:divBdr>
        <w:top w:val="none" w:sz="0" w:space="0" w:color="auto"/>
        <w:left w:val="none" w:sz="0" w:space="0" w:color="auto"/>
        <w:bottom w:val="none" w:sz="0" w:space="0" w:color="auto"/>
        <w:right w:val="none" w:sz="0" w:space="0" w:color="auto"/>
      </w:divBdr>
    </w:div>
    <w:div w:id="1239945888">
      <w:bodyDiv w:val="1"/>
      <w:marLeft w:val="0"/>
      <w:marRight w:val="0"/>
      <w:marTop w:val="0"/>
      <w:marBottom w:val="0"/>
      <w:divBdr>
        <w:top w:val="none" w:sz="0" w:space="0" w:color="auto"/>
        <w:left w:val="none" w:sz="0" w:space="0" w:color="auto"/>
        <w:bottom w:val="none" w:sz="0" w:space="0" w:color="auto"/>
        <w:right w:val="none" w:sz="0" w:space="0" w:color="auto"/>
      </w:divBdr>
    </w:div>
    <w:div w:id="1240287733">
      <w:bodyDiv w:val="1"/>
      <w:marLeft w:val="0"/>
      <w:marRight w:val="0"/>
      <w:marTop w:val="0"/>
      <w:marBottom w:val="0"/>
      <w:divBdr>
        <w:top w:val="none" w:sz="0" w:space="0" w:color="auto"/>
        <w:left w:val="none" w:sz="0" w:space="0" w:color="auto"/>
        <w:bottom w:val="none" w:sz="0" w:space="0" w:color="auto"/>
        <w:right w:val="none" w:sz="0" w:space="0" w:color="auto"/>
      </w:divBdr>
    </w:div>
    <w:div w:id="1252003223">
      <w:bodyDiv w:val="1"/>
      <w:marLeft w:val="0"/>
      <w:marRight w:val="0"/>
      <w:marTop w:val="0"/>
      <w:marBottom w:val="0"/>
      <w:divBdr>
        <w:top w:val="none" w:sz="0" w:space="0" w:color="auto"/>
        <w:left w:val="none" w:sz="0" w:space="0" w:color="auto"/>
        <w:bottom w:val="none" w:sz="0" w:space="0" w:color="auto"/>
        <w:right w:val="none" w:sz="0" w:space="0" w:color="auto"/>
      </w:divBdr>
    </w:div>
    <w:div w:id="1269464760">
      <w:bodyDiv w:val="1"/>
      <w:marLeft w:val="0"/>
      <w:marRight w:val="0"/>
      <w:marTop w:val="0"/>
      <w:marBottom w:val="0"/>
      <w:divBdr>
        <w:top w:val="none" w:sz="0" w:space="0" w:color="auto"/>
        <w:left w:val="none" w:sz="0" w:space="0" w:color="auto"/>
        <w:bottom w:val="none" w:sz="0" w:space="0" w:color="auto"/>
        <w:right w:val="none" w:sz="0" w:space="0" w:color="auto"/>
      </w:divBdr>
    </w:div>
    <w:div w:id="1294410834">
      <w:bodyDiv w:val="1"/>
      <w:marLeft w:val="0"/>
      <w:marRight w:val="0"/>
      <w:marTop w:val="0"/>
      <w:marBottom w:val="0"/>
      <w:divBdr>
        <w:top w:val="none" w:sz="0" w:space="0" w:color="auto"/>
        <w:left w:val="none" w:sz="0" w:space="0" w:color="auto"/>
        <w:bottom w:val="none" w:sz="0" w:space="0" w:color="auto"/>
        <w:right w:val="none" w:sz="0" w:space="0" w:color="auto"/>
      </w:divBdr>
    </w:div>
    <w:div w:id="1294826373">
      <w:bodyDiv w:val="1"/>
      <w:marLeft w:val="0"/>
      <w:marRight w:val="0"/>
      <w:marTop w:val="0"/>
      <w:marBottom w:val="0"/>
      <w:divBdr>
        <w:top w:val="none" w:sz="0" w:space="0" w:color="auto"/>
        <w:left w:val="none" w:sz="0" w:space="0" w:color="auto"/>
        <w:bottom w:val="none" w:sz="0" w:space="0" w:color="auto"/>
        <w:right w:val="none" w:sz="0" w:space="0" w:color="auto"/>
      </w:divBdr>
    </w:div>
    <w:div w:id="1303535198">
      <w:bodyDiv w:val="1"/>
      <w:marLeft w:val="0"/>
      <w:marRight w:val="0"/>
      <w:marTop w:val="0"/>
      <w:marBottom w:val="0"/>
      <w:divBdr>
        <w:top w:val="none" w:sz="0" w:space="0" w:color="auto"/>
        <w:left w:val="none" w:sz="0" w:space="0" w:color="auto"/>
        <w:bottom w:val="none" w:sz="0" w:space="0" w:color="auto"/>
        <w:right w:val="none" w:sz="0" w:space="0" w:color="auto"/>
      </w:divBdr>
    </w:div>
    <w:div w:id="1345010169">
      <w:bodyDiv w:val="1"/>
      <w:marLeft w:val="0"/>
      <w:marRight w:val="0"/>
      <w:marTop w:val="0"/>
      <w:marBottom w:val="0"/>
      <w:divBdr>
        <w:top w:val="none" w:sz="0" w:space="0" w:color="auto"/>
        <w:left w:val="none" w:sz="0" w:space="0" w:color="auto"/>
        <w:bottom w:val="none" w:sz="0" w:space="0" w:color="auto"/>
        <w:right w:val="none" w:sz="0" w:space="0" w:color="auto"/>
      </w:divBdr>
    </w:div>
    <w:div w:id="1346521198">
      <w:bodyDiv w:val="1"/>
      <w:marLeft w:val="0"/>
      <w:marRight w:val="0"/>
      <w:marTop w:val="0"/>
      <w:marBottom w:val="0"/>
      <w:divBdr>
        <w:top w:val="none" w:sz="0" w:space="0" w:color="auto"/>
        <w:left w:val="none" w:sz="0" w:space="0" w:color="auto"/>
        <w:bottom w:val="none" w:sz="0" w:space="0" w:color="auto"/>
        <w:right w:val="none" w:sz="0" w:space="0" w:color="auto"/>
      </w:divBdr>
    </w:div>
    <w:div w:id="1358969810">
      <w:bodyDiv w:val="1"/>
      <w:marLeft w:val="0"/>
      <w:marRight w:val="0"/>
      <w:marTop w:val="0"/>
      <w:marBottom w:val="0"/>
      <w:divBdr>
        <w:top w:val="none" w:sz="0" w:space="0" w:color="auto"/>
        <w:left w:val="none" w:sz="0" w:space="0" w:color="auto"/>
        <w:bottom w:val="none" w:sz="0" w:space="0" w:color="auto"/>
        <w:right w:val="none" w:sz="0" w:space="0" w:color="auto"/>
      </w:divBdr>
    </w:div>
    <w:div w:id="1452170687">
      <w:bodyDiv w:val="1"/>
      <w:marLeft w:val="0"/>
      <w:marRight w:val="0"/>
      <w:marTop w:val="0"/>
      <w:marBottom w:val="0"/>
      <w:divBdr>
        <w:top w:val="none" w:sz="0" w:space="0" w:color="auto"/>
        <w:left w:val="none" w:sz="0" w:space="0" w:color="auto"/>
        <w:bottom w:val="none" w:sz="0" w:space="0" w:color="auto"/>
        <w:right w:val="none" w:sz="0" w:space="0" w:color="auto"/>
      </w:divBdr>
    </w:div>
    <w:div w:id="1463957519">
      <w:bodyDiv w:val="1"/>
      <w:marLeft w:val="0"/>
      <w:marRight w:val="0"/>
      <w:marTop w:val="0"/>
      <w:marBottom w:val="0"/>
      <w:divBdr>
        <w:top w:val="none" w:sz="0" w:space="0" w:color="auto"/>
        <w:left w:val="none" w:sz="0" w:space="0" w:color="auto"/>
        <w:bottom w:val="none" w:sz="0" w:space="0" w:color="auto"/>
        <w:right w:val="none" w:sz="0" w:space="0" w:color="auto"/>
      </w:divBdr>
    </w:div>
    <w:div w:id="1478036351">
      <w:bodyDiv w:val="1"/>
      <w:marLeft w:val="0"/>
      <w:marRight w:val="0"/>
      <w:marTop w:val="0"/>
      <w:marBottom w:val="0"/>
      <w:divBdr>
        <w:top w:val="none" w:sz="0" w:space="0" w:color="auto"/>
        <w:left w:val="none" w:sz="0" w:space="0" w:color="auto"/>
        <w:bottom w:val="none" w:sz="0" w:space="0" w:color="auto"/>
        <w:right w:val="none" w:sz="0" w:space="0" w:color="auto"/>
      </w:divBdr>
    </w:div>
    <w:div w:id="1517037876">
      <w:bodyDiv w:val="1"/>
      <w:marLeft w:val="0"/>
      <w:marRight w:val="0"/>
      <w:marTop w:val="0"/>
      <w:marBottom w:val="0"/>
      <w:divBdr>
        <w:top w:val="none" w:sz="0" w:space="0" w:color="auto"/>
        <w:left w:val="none" w:sz="0" w:space="0" w:color="auto"/>
        <w:bottom w:val="none" w:sz="0" w:space="0" w:color="auto"/>
        <w:right w:val="none" w:sz="0" w:space="0" w:color="auto"/>
      </w:divBdr>
    </w:div>
    <w:div w:id="1544444352">
      <w:bodyDiv w:val="1"/>
      <w:marLeft w:val="0"/>
      <w:marRight w:val="0"/>
      <w:marTop w:val="0"/>
      <w:marBottom w:val="0"/>
      <w:divBdr>
        <w:top w:val="none" w:sz="0" w:space="0" w:color="auto"/>
        <w:left w:val="none" w:sz="0" w:space="0" w:color="auto"/>
        <w:bottom w:val="none" w:sz="0" w:space="0" w:color="auto"/>
        <w:right w:val="none" w:sz="0" w:space="0" w:color="auto"/>
      </w:divBdr>
    </w:div>
    <w:div w:id="1564439839">
      <w:bodyDiv w:val="1"/>
      <w:marLeft w:val="0"/>
      <w:marRight w:val="0"/>
      <w:marTop w:val="0"/>
      <w:marBottom w:val="0"/>
      <w:divBdr>
        <w:top w:val="none" w:sz="0" w:space="0" w:color="auto"/>
        <w:left w:val="none" w:sz="0" w:space="0" w:color="auto"/>
        <w:bottom w:val="none" w:sz="0" w:space="0" w:color="auto"/>
        <w:right w:val="none" w:sz="0" w:space="0" w:color="auto"/>
      </w:divBdr>
    </w:div>
    <w:div w:id="1577401958">
      <w:bodyDiv w:val="1"/>
      <w:marLeft w:val="0"/>
      <w:marRight w:val="0"/>
      <w:marTop w:val="0"/>
      <w:marBottom w:val="0"/>
      <w:divBdr>
        <w:top w:val="none" w:sz="0" w:space="0" w:color="auto"/>
        <w:left w:val="none" w:sz="0" w:space="0" w:color="auto"/>
        <w:bottom w:val="none" w:sz="0" w:space="0" w:color="auto"/>
        <w:right w:val="none" w:sz="0" w:space="0" w:color="auto"/>
      </w:divBdr>
    </w:div>
    <w:div w:id="1578901316">
      <w:bodyDiv w:val="1"/>
      <w:marLeft w:val="0"/>
      <w:marRight w:val="0"/>
      <w:marTop w:val="0"/>
      <w:marBottom w:val="0"/>
      <w:divBdr>
        <w:top w:val="none" w:sz="0" w:space="0" w:color="auto"/>
        <w:left w:val="none" w:sz="0" w:space="0" w:color="auto"/>
        <w:bottom w:val="none" w:sz="0" w:space="0" w:color="auto"/>
        <w:right w:val="none" w:sz="0" w:space="0" w:color="auto"/>
      </w:divBdr>
    </w:div>
    <w:div w:id="1614745195">
      <w:bodyDiv w:val="1"/>
      <w:marLeft w:val="0"/>
      <w:marRight w:val="0"/>
      <w:marTop w:val="0"/>
      <w:marBottom w:val="0"/>
      <w:divBdr>
        <w:top w:val="none" w:sz="0" w:space="0" w:color="auto"/>
        <w:left w:val="none" w:sz="0" w:space="0" w:color="auto"/>
        <w:bottom w:val="none" w:sz="0" w:space="0" w:color="auto"/>
        <w:right w:val="none" w:sz="0" w:space="0" w:color="auto"/>
      </w:divBdr>
    </w:div>
    <w:div w:id="1633443328">
      <w:bodyDiv w:val="1"/>
      <w:marLeft w:val="0"/>
      <w:marRight w:val="0"/>
      <w:marTop w:val="0"/>
      <w:marBottom w:val="0"/>
      <w:divBdr>
        <w:top w:val="none" w:sz="0" w:space="0" w:color="auto"/>
        <w:left w:val="none" w:sz="0" w:space="0" w:color="auto"/>
        <w:bottom w:val="none" w:sz="0" w:space="0" w:color="auto"/>
        <w:right w:val="none" w:sz="0" w:space="0" w:color="auto"/>
      </w:divBdr>
    </w:div>
    <w:div w:id="1633904382">
      <w:bodyDiv w:val="1"/>
      <w:marLeft w:val="0"/>
      <w:marRight w:val="0"/>
      <w:marTop w:val="0"/>
      <w:marBottom w:val="0"/>
      <w:divBdr>
        <w:top w:val="none" w:sz="0" w:space="0" w:color="auto"/>
        <w:left w:val="none" w:sz="0" w:space="0" w:color="auto"/>
        <w:bottom w:val="none" w:sz="0" w:space="0" w:color="auto"/>
        <w:right w:val="none" w:sz="0" w:space="0" w:color="auto"/>
      </w:divBdr>
    </w:div>
    <w:div w:id="1639721248">
      <w:bodyDiv w:val="1"/>
      <w:marLeft w:val="0"/>
      <w:marRight w:val="0"/>
      <w:marTop w:val="0"/>
      <w:marBottom w:val="0"/>
      <w:divBdr>
        <w:top w:val="none" w:sz="0" w:space="0" w:color="auto"/>
        <w:left w:val="none" w:sz="0" w:space="0" w:color="auto"/>
        <w:bottom w:val="none" w:sz="0" w:space="0" w:color="auto"/>
        <w:right w:val="none" w:sz="0" w:space="0" w:color="auto"/>
      </w:divBdr>
    </w:div>
    <w:div w:id="1650790143">
      <w:bodyDiv w:val="1"/>
      <w:marLeft w:val="0"/>
      <w:marRight w:val="0"/>
      <w:marTop w:val="0"/>
      <w:marBottom w:val="0"/>
      <w:divBdr>
        <w:top w:val="none" w:sz="0" w:space="0" w:color="auto"/>
        <w:left w:val="none" w:sz="0" w:space="0" w:color="auto"/>
        <w:bottom w:val="none" w:sz="0" w:space="0" w:color="auto"/>
        <w:right w:val="none" w:sz="0" w:space="0" w:color="auto"/>
      </w:divBdr>
    </w:div>
    <w:div w:id="1706321369">
      <w:bodyDiv w:val="1"/>
      <w:marLeft w:val="0"/>
      <w:marRight w:val="0"/>
      <w:marTop w:val="0"/>
      <w:marBottom w:val="0"/>
      <w:divBdr>
        <w:top w:val="none" w:sz="0" w:space="0" w:color="auto"/>
        <w:left w:val="none" w:sz="0" w:space="0" w:color="auto"/>
        <w:bottom w:val="none" w:sz="0" w:space="0" w:color="auto"/>
        <w:right w:val="none" w:sz="0" w:space="0" w:color="auto"/>
      </w:divBdr>
      <w:divsChild>
        <w:div w:id="225140979">
          <w:marLeft w:val="0"/>
          <w:marRight w:val="0"/>
          <w:marTop w:val="0"/>
          <w:marBottom w:val="0"/>
          <w:divBdr>
            <w:top w:val="none" w:sz="0" w:space="0" w:color="auto"/>
            <w:left w:val="none" w:sz="0" w:space="0" w:color="auto"/>
            <w:bottom w:val="none" w:sz="0" w:space="0" w:color="auto"/>
            <w:right w:val="none" w:sz="0" w:space="0" w:color="auto"/>
          </w:divBdr>
          <w:divsChild>
            <w:div w:id="855656116">
              <w:marLeft w:val="0"/>
              <w:marRight w:val="0"/>
              <w:marTop w:val="0"/>
              <w:marBottom w:val="0"/>
              <w:divBdr>
                <w:top w:val="none" w:sz="0" w:space="0" w:color="auto"/>
                <w:left w:val="none" w:sz="0" w:space="0" w:color="auto"/>
                <w:bottom w:val="none" w:sz="0" w:space="0" w:color="auto"/>
                <w:right w:val="none" w:sz="0" w:space="0" w:color="auto"/>
              </w:divBdr>
              <w:divsChild>
                <w:div w:id="1367828575">
                  <w:marLeft w:val="0"/>
                  <w:marRight w:val="0"/>
                  <w:marTop w:val="0"/>
                  <w:marBottom w:val="0"/>
                  <w:divBdr>
                    <w:top w:val="none" w:sz="0" w:space="0" w:color="auto"/>
                    <w:left w:val="none" w:sz="0" w:space="0" w:color="auto"/>
                    <w:bottom w:val="none" w:sz="0" w:space="0" w:color="auto"/>
                    <w:right w:val="none" w:sz="0" w:space="0" w:color="auto"/>
                  </w:divBdr>
                  <w:divsChild>
                    <w:div w:id="34932962">
                      <w:marLeft w:val="0"/>
                      <w:marRight w:val="0"/>
                      <w:marTop w:val="0"/>
                      <w:marBottom w:val="0"/>
                      <w:divBdr>
                        <w:top w:val="none" w:sz="0" w:space="0" w:color="auto"/>
                        <w:left w:val="none" w:sz="0" w:space="0" w:color="auto"/>
                        <w:bottom w:val="none" w:sz="0" w:space="0" w:color="auto"/>
                        <w:right w:val="none" w:sz="0" w:space="0" w:color="auto"/>
                      </w:divBdr>
                      <w:divsChild>
                        <w:div w:id="2026247446">
                          <w:marLeft w:val="0"/>
                          <w:marRight w:val="0"/>
                          <w:marTop w:val="0"/>
                          <w:marBottom w:val="0"/>
                          <w:divBdr>
                            <w:top w:val="none" w:sz="0" w:space="0" w:color="auto"/>
                            <w:left w:val="none" w:sz="0" w:space="0" w:color="auto"/>
                            <w:bottom w:val="none" w:sz="0" w:space="0" w:color="auto"/>
                            <w:right w:val="none" w:sz="0" w:space="0" w:color="auto"/>
                          </w:divBdr>
                          <w:divsChild>
                            <w:div w:id="1344941342">
                              <w:marLeft w:val="0"/>
                              <w:marRight w:val="0"/>
                              <w:marTop w:val="0"/>
                              <w:marBottom w:val="0"/>
                              <w:divBdr>
                                <w:top w:val="none" w:sz="0" w:space="0" w:color="auto"/>
                                <w:left w:val="none" w:sz="0" w:space="0" w:color="auto"/>
                                <w:bottom w:val="none" w:sz="0" w:space="0" w:color="auto"/>
                                <w:right w:val="none" w:sz="0" w:space="0" w:color="auto"/>
                              </w:divBdr>
                              <w:divsChild>
                                <w:div w:id="698242286">
                                  <w:marLeft w:val="0"/>
                                  <w:marRight w:val="0"/>
                                  <w:marTop w:val="0"/>
                                  <w:marBottom w:val="0"/>
                                  <w:divBdr>
                                    <w:top w:val="none" w:sz="0" w:space="0" w:color="auto"/>
                                    <w:left w:val="none" w:sz="0" w:space="0" w:color="auto"/>
                                    <w:bottom w:val="none" w:sz="0" w:space="0" w:color="auto"/>
                                    <w:right w:val="none" w:sz="0" w:space="0" w:color="auto"/>
                                  </w:divBdr>
                                  <w:divsChild>
                                    <w:div w:id="93132275">
                                      <w:marLeft w:val="0"/>
                                      <w:marRight w:val="0"/>
                                      <w:marTop w:val="0"/>
                                      <w:marBottom w:val="0"/>
                                      <w:divBdr>
                                        <w:top w:val="none" w:sz="0" w:space="0" w:color="auto"/>
                                        <w:left w:val="none" w:sz="0" w:space="0" w:color="auto"/>
                                        <w:bottom w:val="none" w:sz="0" w:space="0" w:color="auto"/>
                                        <w:right w:val="none" w:sz="0" w:space="0" w:color="auto"/>
                                      </w:divBdr>
                                      <w:divsChild>
                                        <w:div w:id="529536232">
                                          <w:marLeft w:val="0"/>
                                          <w:marRight w:val="0"/>
                                          <w:marTop w:val="0"/>
                                          <w:marBottom w:val="0"/>
                                          <w:divBdr>
                                            <w:top w:val="none" w:sz="0" w:space="0" w:color="auto"/>
                                            <w:left w:val="none" w:sz="0" w:space="0" w:color="auto"/>
                                            <w:bottom w:val="none" w:sz="0" w:space="0" w:color="auto"/>
                                            <w:right w:val="none" w:sz="0" w:space="0" w:color="auto"/>
                                          </w:divBdr>
                                          <w:divsChild>
                                            <w:div w:id="1747917880">
                                              <w:marLeft w:val="0"/>
                                              <w:marRight w:val="0"/>
                                              <w:marTop w:val="0"/>
                                              <w:marBottom w:val="0"/>
                                              <w:divBdr>
                                                <w:top w:val="none" w:sz="0" w:space="0" w:color="auto"/>
                                                <w:left w:val="none" w:sz="0" w:space="0" w:color="auto"/>
                                                <w:bottom w:val="none" w:sz="0" w:space="0" w:color="auto"/>
                                                <w:right w:val="none" w:sz="0" w:space="0" w:color="auto"/>
                                              </w:divBdr>
                                              <w:divsChild>
                                                <w:div w:id="477111715">
                                                  <w:marLeft w:val="0"/>
                                                  <w:marRight w:val="0"/>
                                                  <w:marTop w:val="0"/>
                                                  <w:marBottom w:val="0"/>
                                                  <w:divBdr>
                                                    <w:top w:val="none" w:sz="0" w:space="0" w:color="auto"/>
                                                    <w:left w:val="none" w:sz="0" w:space="0" w:color="auto"/>
                                                    <w:bottom w:val="none" w:sz="0" w:space="0" w:color="auto"/>
                                                    <w:right w:val="none" w:sz="0" w:space="0" w:color="auto"/>
                                                  </w:divBdr>
                                                  <w:divsChild>
                                                    <w:div w:id="1139491705">
                                                      <w:marLeft w:val="0"/>
                                                      <w:marRight w:val="0"/>
                                                      <w:marTop w:val="0"/>
                                                      <w:marBottom w:val="0"/>
                                                      <w:divBdr>
                                                        <w:top w:val="none" w:sz="0" w:space="0" w:color="auto"/>
                                                        <w:left w:val="none" w:sz="0" w:space="0" w:color="auto"/>
                                                        <w:bottom w:val="none" w:sz="0" w:space="0" w:color="auto"/>
                                                        <w:right w:val="none" w:sz="0" w:space="0" w:color="auto"/>
                                                      </w:divBdr>
                                                      <w:divsChild>
                                                        <w:div w:id="5712063">
                                                          <w:marLeft w:val="0"/>
                                                          <w:marRight w:val="0"/>
                                                          <w:marTop w:val="0"/>
                                                          <w:marBottom w:val="0"/>
                                                          <w:divBdr>
                                                            <w:top w:val="none" w:sz="0" w:space="0" w:color="auto"/>
                                                            <w:left w:val="none" w:sz="0" w:space="0" w:color="auto"/>
                                                            <w:bottom w:val="none" w:sz="0" w:space="0" w:color="auto"/>
                                                            <w:right w:val="none" w:sz="0" w:space="0" w:color="auto"/>
                                                          </w:divBdr>
                                                          <w:divsChild>
                                                            <w:div w:id="1694846641">
                                                              <w:marLeft w:val="0"/>
                                                              <w:marRight w:val="0"/>
                                                              <w:marTop w:val="0"/>
                                                              <w:marBottom w:val="0"/>
                                                              <w:divBdr>
                                                                <w:top w:val="none" w:sz="0" w:space="0" w:color="auto"/>
                                                                <w:left w:val="none" w:sz="0" w:space="0" w:color="auto"/>
                                                                <w:bottom w:val="none" w:sz="0" w:space="0" w:color="auto"/>
                                                                <w:right w:val="none" w:sz="0" w:space="0" w:color="auto"/>
                                                              </w:divBdr>
                                                              <w:divsChild>
                                                                <w:div w:id="1104959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727677336">
      <w:bodyDiv w:val="1"/>
      <w:marLeft w:val="0"/>
      <w:marRight w:val="0"/>
      <w:marTop w:val="0"/>
      <w:marBottom w:val="0"/>
      <w:divBdr>
        <w:top w:val="none" w:sz="0" w:space="0" w:color="auto"/>
        <w:left w:val="none" w:sz="0" w:space="0" w:color="auto"/>
        <w:bottom w:val="none" w:sz="0" w:space="0" w:color="auto"/>
        <w:right w:val="none" w:sz="0" w:space="0" w:color="auto"/>
      </w:divBdr>
    </w:div>
    <w:div w:id="1738474591">
      <w:bodyDiv w:val="1"/>
      <w:marLeft w:val="0"/>
      <w:marRight w:val="0"/>
      <w:marTop w:val="0"/>
      <w:marBottom w:val="0"/>
      <w:divBdr>
        <w:top w:val="none" w:sz="0" w:space="0" w:color="auto"/>
        <w:left w:val="none" w:sz="0" w:space="0" w:color="auto"/>
        <w:bottom w:val="none" w:sz="0" w:space="0" w:color="auto"/>
        <w:right w:val="none" w:sz="0" w:space="0" w:color="auto"/>
      </w:divBdr>
      <w:divsChild>
        <w:div w:id="740055832">
          <w:marLeft w:val="547"/>
          <w:marRight w:val="0"/>
          <w:marTop w:val="86"/>
          <w:marBottom w:val="0"/>
          <w:divBdr>
            <w:top w:val="none" w:sz="0" w:space="0" w:color="auto"/>
            <w:left w:val="none" w:sz="0" w:space="0" w:color="auto"/>
            <w:bottom w:val="none" w:sz="0" w:space="0" w:color="auto"/>
            <w:right w:val="none" w:sz="0" w:space="0" w:color="auto"/>
          </w:divBdr>
        </w:div>
        <w:div w:id="782771013">
          <w:marLeft w:val="547"/>
          <w:marRight w:val="0"/>
          <w:marTop w:val="86"/>
          <w:marBottom w:val="0"/>
          <w:divBdr>
            <w:top w:val="none" w:sz="0" w:space="0" w:color="auto"/>
            <w:left w:val="none" w:sz="0" w:space="0" w:color="auto"/>
            <w:bottom w:val="none" w:sz="0" w:space="0" w:color="auto"/>
            <w:right w:val="none" w:sz="0" w:space="0" w:color="auto"/>
          </w:divBdr>
        </w:div>
        <w:div w:id="1020860440">
          <w:marLeft w:val="547"/>
          <w:marRight w:val="0"/>
          <w:marTop w:val="86"/>
          <w:marBottom w:val="0"/>
          <w:divBdr>
            <w:top w:val="none" w:sz="0" w:space="0" w:color="auto"/>
            <w:left w:val="none" w:sz="0" w:space="0" w:color="auto"/>
            <w:bottom w:val="none" w:sz="0" w:space="0" w:color="auto"/>
            <w:right w:val="none" w:sz="0" w:space="0" w:color="auto"/>
          </w:divBdr>
        </w:div>
        <w:div w:id="1537350100">
          <w:marLeft w:val="547"/>
          <w:marRight w:val="0"/>
          <w:marTop w:val="86"/>
          <w:marBottom w:val="0"/>
          <w:divBdr>
            <w:top w:val="none" w:sz="0" w:space="0" w:color="auto"/>
            <w:left w:val="none" w:sz="0" w:space="0" w:color="auto"/>
            <w:bottom w:val="none" w:sz="0" w:space="0" w:color="auto"/>
            <w:right w:val="none" w:sz="0" w:space="0" w:color="auto"/>
          </w:divBdr>
        </w:div>
        <w:div w:id="1623612218">
          <w:marLeft w:val="547"/>
          <w:marRight w:val="0"/>
          <w:marTop w:val="86"/>
          <w:marBottom w:val="0"/>
          <w:divBdr>
            <w:top w:val="none" w:sz="0" w:space="0" w:color="auto"/>
            <w:left w:val="none" w:sz="0" w:space="0" w:color="auto"/>
            <w:bottom w:val="none" w:sz="0" w:space="0" w:color="auto"/>
            <w:right w:val="none" w:sz="0" w:space="0" w:color="auto"/>
          </w:divBdr>
        </w:div>
        <w:div w:id="2074548560">
          <w:marLeft w:val="547"/>
          <w:marRight w:val="0"/>
          <w:marTop w:val="86"/>
          <w:marBottom w:val="0"/>
          <w:divBdr>
            <w:top w:val="none" w:sz="0" w:space="0" w:color="auto"/>
            <w:left w:val="none" w:sz="0" w:space="0" w:color="auto"/>
            <w:bottom w:val="none" w:sz="0" w:space="0" w:color="auto"/>
            <w:right w:val="none" w:sz="0" w:space="0" w:color="auto"/>
          </w:divBdr>
        </w:div>
      </w:divsChild>
    </w:div>
    <w:div w:id="1782066748">
      <w:bodyDiv w:val="1"/>
      <w:marLeft w:val="0"/>
      <w:marRight w:val="0"/>
      <w:marTop w:val="0"/>
      <w:marBottom w:val="0"/>
      <w:divBdr>
        <w:top w:val="none" w:sz="0" w:space="0" w:color="auto"/>
        <w:left w:val="none" w:sz="0" w:space="0" w:color="auto"/>
        <w:bottom w:val="none" w:sz="0" w:space="0" w:color="auto"/>
        <w:right w:val="none" w:sz="0" w:space="0" w:color="auto"/>
      </w:divBdr>
      <w:divsChild>
        <w:div w:id="1301035516">
          <w:marLeft w:val="547"/>
          <w:marRight w:val="0"/>
          <w:marTop w:val="0"/>
          <w:marBottom w:val="0"/>
          <w:divBdr>
            <w:top w:val="none" w:sz="0" w:space="0" w:color="auto"/>
            <w:left w:val="none" w:sz="0" w:space="0" w:color="auto"/>
            <w:bottom w:val="none" w:sz="0" w:space="0" w:color="auto"/>
            <w:right w:val="none" w:sz="0" w:space="0" w:color="auto"/>
          </w:divBdr>
        </w:div>
        <w:div w:id="1342270401">
          <w:marLeft w:val="547"/>
          <w:marRight w:val="0"/>
          <w:marTop w:val="0"/>
          <w:marBottom w:val="0"/>
          <w:divBdr>
            <w:top w:val="none" w:sz="0" w:space="0" w:color="auto"/>
            <w:left w:val="none" w:sz="0" w:space="0" w:color="auto"/>
            <w:bottom w:val="none" w:sz="0" w:space="0" w:color="auto"/>
            <w:right w:val="none" w:sz="0" w:space="0" w:color="auto"/>
          </w:divBdr>
        </w:div>
      </w:divsChild>
    </w:div>
    <w:div w:id="1793552636">
      <w:bodyDiv w:val="1"/>
      <w:marLeft w:val="0"/>
      <w:marRight w:val="0"/>
      <w:marTop w:val="0"/>
      <w:marBottom w:val="0"/>
      <w:divBdr>
        <w:top w:val="none" w:sz="0" w:space="0" w:color="auto"/>
        <w:left w:val="none" w:sz="0" w:space="0" w:color="auto"/>
        <w:bottom w:val="none" w:sz="0" w:space="0" w:color="auto"/>
        <w:right w:val="none" w:sz="0" w:space="0" w:color="auto"/>
      </w:divBdr>
    </w:div>
    <w:div w:id="1842888992">
      <w:bodyDiv w:val="1"/>
      <w:marLeft w:val="0"/>
      <w:marRight w:val="0"/>
      <w:marTop w:val="0"/>
      <w:marBottom w:val="0"/>
      <w:divBdr>
        <w:top w:val="none" w:sz="0" w:space="0" w:color="auto"/>
        <w:left w:val="none" w:sz="0" w:space="0" w:color="auto"/>
        <w:bottom w:val="none" w:sz="0" w:space="0" w:color="auto"/>
        <w:right w:val="none" w:sz="0" w:space="0" w:color="auto"/>
      </w:divBdr>
    </w:div>
    <w:div w:id="1847672355">
      <w:bodyDiv w:val="1"/>
      <w:marLeft w:val="0"/>
      <w:marRight w:val="0"/>
      <w:marTop w:val="0"/>
      <w:marBottom w:val="0"/>
      <w:divBdr>
        <w:top w:val="none" w:sz="0" w:space="0" w:color="auto"/>
        <w:left w:val="none" w:sz="0" w:space="0" w:color="auto"/>
        <w:bottom w:val="none" w:sz="0" w:space="0" w:color="auto"/>
        <w:right w:val="none" w:sz="0" w:space="0" w:color="auto"/>
      </w:divBdr>
    </w:div>
    <w:div w:id="1867713453">
      <w:bodyDiv w:val="1"/>
      <w:marLeft w:val="0"/>
      <w:marRight w:val="0"/>
      <w:marTop w:val="0"/>
      <w:marBottom w:val="0"/>
      <w:divBdr>
        <w:top w:val="none" w:sz="0" w:space="0" w:color="auto"/>
        <w:left w:val="none" w:sz="0" w:space="0" w:color="auto"/>
        <w:bottom w:val="none" w:sz="0" w:space="0" w:color="auto"/>
        <w:right w:val="none" w:sz="0" w:space="0" w:color="auto"/>
      </w:divBdr>
    </w:div>
    <w:div w:id="1889561933">
      <w:bodyDiv w:val="1"/>
      <w:marLeft w:val="0"/>
      <w:marRight w:val="0"/>
      <w:marTop w:val="0"/>
      <w:marBottom w:val="0"/>
      <w:divBdr>
        <w:top w:val="none" w:sz="0" w:space="0" w:color="auto"/>
        <w:left w:val="none" w:sz="0" w:space="0" w:color="auto"/>
        <w:bottom w:val="none" w:sz="0" w:space="0" w:color="auto"/>
        <w:right w:val="none" w:sz="0" w:space="0" w:color="auto"/>
      </w:divBdr>
    </w:div>
    <w:div w:id="1897424713">
      <w:bodyDiv w:val="1"/>
      <w:marLeft w:val="0"/>
      <w:marRight w:val="0"/>
      <w:marTop w:val="0"/>
      <w:marBottom w:val="0"/>
      <w:divBdr>
        <w:top w:val="none" w:sz="0" w:space="0" w:color="auto"/>
        <w:left w:val="none" w:sz="0" w:space="0" w:color="auto"/>
        <w:bottom w:val="none" w:sz="0" w:space="0" w:color="auto"/>
        <w:right w:val="none" w:sz="0" w:space="0" w:color="auto"/>
      </w:divBdr>
    </w:div>
    <w:div w:id="1917737355">
      <w:bodyDiv w:val="1"/>
      <w:marLeft w:val="0"/>
      <w:marRight w:val="0"/>
      <w:marTop w:val="0"/>
      <w:marBottom w:val="0"/>
      <w:divBdr>
        <w:top w:val="none" w:sz="0" w:space="0" w:color="auto"/>
        <w:left w:val="none" w:sz="0" w:space="0" w:color="auto"/>
        <w:bottom w:val="none" w:sz="0" w:space="0" w:color="auto"/>
        <w:right w:val="none" w:sz="0" w:space="0" w:color="auto"/>
      </w:divBdr>
    </w:div>
    <w:div w:id="1941135925">
      <w:bodyDiv w:val="1"/>
      <w:marLeft w:val="0"/>
      <w:marRight w:val="0"/>
      <w:marTop w:val="0"/>
      <w:marBottom w:val="0"/>
      <w:divBdr>
        <w:top w:val="none" w:sz="0" w:space="0" w:color="auto"/>
        <w:left w:val="none" w:sz="0" w:space="0" w:color="auto"/>
        <w:bottom w:val="none" w:sz="0" w:space="0" w:color="auto"/>
        <w:right w:val="none" w:sz="0" w:space="0" w:color="auto"/>
      </w:divBdr>
    </w:div>
    <w:div w:id="1943604025">
      <w:bodyDiv w:val="1"/>
      <w:marLeft w:val="0"/>
      <w:marRight w:val="0"/>
      <w:marTop w:val="0"/>
      <w:marBottom w:val="0"/>
      <w:divBdr>
        <w:top w:val="none" w:sz="0" w:space="0" w:color="auto"/>
        <w:left w:val="none" w:sz="0" w:space="0" w:color="auto"/>
        <w:bottom w:val="none" w:sz="0" w:space="0" w:color="auto"/>
        <w:right w:val="none" w:sz="0" w:space="0" w:color="auto"/>
      </w:divBdr>
    </w:div>
    <w:div w:id="1950156555">
      <w:bodyDiv w:val="1"/>
      <w:marLeft w:val="0"/>
      <w:marRight w:val="0"/>
      <w:marTop w:val="0"/>
      <w:marBottom w:val="0"/>
      <w:divBdr>
        <w:top w:val="none" w:sz="0" w:space="0" w:color="auto"/>
        <w:left w:val="none" w:sz="0" w:space="0" w:color="auto"/>
        <w:bottom w:val="none" w:sz="0" w:space="0" w:color="auto"/>
        <w:right w:val="none" w:sz="0" w:space="0" w:color="auto"/>
      </w:divBdr>
      <w:divsChild>
        <w:div w:id="562562775">
          <w:marLeft w:val="0"/>
          <w:marRight w:val="0"/>
          <w:marTop w:val="0"/>
          <w:marBottom w:val="0"/>
          <w:divBdr>
            <w:top w:val="none" w:sz="0" w:space="0" w:color="auto"/>
            <w:left w:val="none" w:sz="0" w:space="0" w:color="auto"/>
            <w:bottom w:val="none" w:sz="0" w:space="0" w:color="auto"/>
            <w:right w:val="none" w:sz="0" w:space="0" w:color="auto"/>
          </w:divBdr>
          <w:divsChild>
            <w:div w:id="1023482376">
              <w:marLeft w:val="0"/>
              <w:marRight w:val="0"/>
              <w:marTop w:val="0"/>
              <w:marBottom w:val="0"/>
              <w:divBdr>
                <w:top w:val="none" w:sz="0" w:space="0" w:color="auto"/>
                <w:left w:val="none" w:sz="0" w:space="0" w:color="auto"/>
                <w:bottom w:val="none" w:sz="0" w:space="0" w:color="auto"/>
                <w:right w:val="none" w:sz="0" w:space="0" w:color="auto"/>
              </w:divBdr>
              <w:divsChild>
                <w:div w:id="278335998">
                  <w:marLeft w:val="0"/>
                  <w:marRight w:val="0"/>
                  <w:marTop w:val="0"/>
                  <w:marBottom w:val="0"/>
                  <w:divBdr>
                    <w:top w:val="none" w:sz="0" w:space="0" w:color="auto"/>
                    <w:left w:val="none" w:sz="0" w:space="0" w:color="auto"/>
                    <w:bottom w:val="none" w:sz="0" w:space="0" w:color="auto"/>
                    <w:right w:val="none" w:sz="0" w:space="0" w:color="auto"/>
                  </w:divBdr>
                  <w:divsChild>
                    <w:div w:id="1410075205">
                      <w:marLeft w:val="0"/>
                      <w:marRight w:val="0"/>
                      <w:marTop w:val="0"/>
                      <w:marBottom w:val="0"/>
                      <w:divBdr>
                        <w:top w:val="none" w:sz="0" w:space="0" w:color="auto"/>
                        <w:left w:val="none" w:sz="0" w:space="0" w:color="auto"/>
                        <w:bottom w:val="none" w:sz="0" w:space="0" w:color="auto"/>
                        <w:right w:val="none" w:sz="0" w:space="0" w:color="auto"/>
                      </w:divBdr>
                      <w:divsChild>
                        <w:div w:id="1244023091">
                          <w:marLeft w:val="0"/>
                          <w:marRight w:val="0"/>
                          <w:marTop w:val="0"/>
                          <w:marBottom w:val="0"/>
                          <w:divBdr>
                            <w:top w:val="none" w:sz="0" w:space="0" w:color="auto"/>
                            <w:left w:val="none" w:sz="0" w:space="0" w:color="auto"/>
                            <w:bottom w:val="none" w:sz="0" w:space="0" w:color="auto"/>
                            <w:right w:val="none" w:sz="0" w:space="0" w:color="auto"/>
                          </w:divBdr>
                          <w:divsChild>
                            <w:div w:id="345180589">
                              <w:marLeft w:val="0"/>
                              <w:marRight w:val="0"/>
                              <w:marTop w:val="0"/>
                              <w:marBottom w:val="0"/>
                              <w:divBdr>
                                <w:top w:val="none" w:sz="0" w:space="0" w:color="auto"/>
                                <w:left w:val="none" w:sz="0" w:space="0" w:color="auto"/>
                                <w:bottom w:val="none" w:sz="0" w:space="0" w:color="auto"/>
                                <w:right w:val="none" w:sz="0" w:space="0" w:color="auto"/>
                              </w:divBdr>
                              <w:divsChild>
                                <w:div w:id="837160478">
                                  <w:marLeft w:val="0"/>
                                  <w:marRight w:val="0"/>
                                  <w:marTop w:val="0"/>
                                  <w:marBottom w:val="0"/>
                                  <w:divBdr>
                                    <w:top w:val="none" w:sz="0" w:space="0" w:color="auto"/>
                                    <w:left w:val="none" w:sz="0" w:space="0" w:color="auto"/>
                                    <w:bottom w:val="none" w:sz="0" w:space="0" w:color="auto"/>
                                    <w:right w:val="none" w:sz="0" w:space="0" w:color="auto"/>
                                  </w:divBdr>
                                  <w:divsChild>
                                    <w:div w:id="1642929996">
                                      <w:marLeft w:val="0"/>
                                      <w:marRight w:val="0"/>
                                      <w:marTop w:val="0"/>
                                      <w:marBottom w:val="0"/>
                                      <w:divBdr>
                                        <w:top w:val="none" w:sz="0" w:space="0" w:color="auto"/>
                                        <w:left w:val="none" w:sz="0" w:space="0" w:color="auto"/>
                                        <w:bottom w:val="none" w:sz="0" w:space="0" w:color="auto"/>
                                        <w:right w:val="none" w:sz="0" w:space="0" w:color="auto"/>
                                      </w:divBdr>
                                      <w:divsChild>
                                        <w:div w:id="1736005250">
                                          <w:marLeft w:val="0"/>
                                          <w:marRight w:val="0"/>
                                          <w:marTop w:val="0"/>
                                          <w:marBottom w:val="0"/>
                                          <w:divBdr>
                                            <w:top w:val="none" w:sz="0" w:space="0" w:color="auto"/>
                                            <w:left w:val="none" w:sz="0" w:space="0" w:color="auto"/>
                                            <w:bottom w:val="none" w:sz="0" w:space="0" w:color="auto"/>
                                            <w:right w:val="none" w:sz="0" w:space="0" w:color="auto"/>
                                          </w:divBdr>
                                          <w:divsChild>
                                            <w:div w:id="1398818647">
                                              <w:marLeft w:val="0"/>
                                              <w:marRight w:val="0"/>
                                              <w:marTop w:val="0"/>
                                              <w:marBottom w:val="0"/>
                                              <w:divBdr>
                                                <w:top w:val="none" w:sz="0" w:space="0" w:color="auto"/>
                                                <w:left w:val="none" w:sz="0" w:space="0" w:color="auto"/>
                                                <w:bottom w:val="none" w:sz="0" w:space="0" w:color="auto"/>
                                                <w:right w:val="none" w:sz="0" w:space="0" w:color="auto"/>
                                              </w:divBdr>
                                              <w:divsChild>
                                                <w:div w:id="210771378">
                                                  <w:marLeft w:val="0"/>
                                                  <w:marRight w:val="0"/>
                                                  <w:marTop w:val="0"/>
                                                  <w:marBottom w:val="0"/>
                                                  <w:divBdr>
                                                    <w:top w:val="none" w:sz="0" w:space="0" w:color="auto"/>
                                                    <w:left w:val="none" w:sz="0" w:space="0" w:color="auto"/>
                                                    <w:bottom w:val="none" w:sz="0" w:space="0" w:color="auto"/>
                                                    <w:right w:val="none" w:sz="0" w:space="0" w:color="auto"/>
                                                  </w:divBdr>
                                                  <w:divsChild>
                                                    <w:div w:id="670985190">
                                                      <w:marLeft w:val="0"/>
                                                      <w:marRight w:val="0"/>
                                                      <w:marTop w:val="0"/>
                                                      <w:marBottom w:val="0"/>
                                                      <w:divBdr>
                                                        <w:top w:val="none" w:sz="0" w:space="0" w:color="auto"/>
                                                        <w:left w:val="none" w:sz="0" w:space="0" w:color="auto"/>
                                                        <w:bottom w:val="none" w:sz="0" w:space="0" w:color="auto"/>
                                                        <w:right w:val="none" w:sz="0" w:space="0" w:color="auto"/>
                                                      </w:divBdr>
                                                      <w:divsChild>
                                                        <w:div w:id="304822170">
                                                          <w:marLeft w:val="0"/>
                                                          <w:marRight w:val="0"/>
                                                          <w:marTop w:val="0"/>
                                                          <w:marBottom w:val="0"/>
                                                          <w:divBdr>
                                                            <w:top w:val="none" w:sz="0" w:space="0" w:color="auto"/>
                                                            <w:left w:val="none" w:sz="0" w:space="0" w:color="auto"/>
                                                            <w:bottom w:val="none" w:sz="0" w:space="0" w:color="auto"/>
                                                            <w:right w:val="none" w:sz="0" w:space="0" w:color="auto"/>
                                                          </w:divBdr>
                                                          <w:divsChild>
                                                            <w:div w:id="1985507516">
                                                              <w:marLeft w:val="0"/>
                                                              <w:marRight w:val="0"/>
                                                              <w:marTop w:val="0"/>
                                                              <w:marBottom w:val="0"/>
                                                              <w:divBdr>
                                                                <w:top w:val="none" w:sz="0" w:space="0" w:color="auto"/>
                                                                <w:left w:val="none" w:sz="0" w:space="0" w:color="auto"/>
                                                                <w:bottom w:val="none" w:sz="0" w:space="0" w:color="auto"/>
                                                                <w:right w:val="none" w:sz="0" w:space="0" w:color="auto"/>
                                                              </w:divBdr>
                                                              <w:divsChild>
                                                                <w:div w:id="518204305">
                                                                  <w:marLeft w:val="0"/>
                                                                  <w:marRight w:val="0"/>
                                                                  <w:marTop w:val="0"/>
                                                                  <w:marBottom w:val="0"/>
                                                                  <w:divBdr>
                                                                    <w:top w:val="none" w:sz="0" w:space="0" w:color="auto"/>
                                                                    <w:left w:val="none" w:sz="0" w:space="0" w:color="auto"/>
                                                                    <w:bottom w:val="none" w:sz="0" w:space="0" w:color="auto"/>
                                                                    <w:right w:val="none" w:sz="0" w:space="0" w:color="auto"/>
                                                                  </w:divBdr>
                                                                  <w:divsChild>
                                                                    <w:div w:id="107626643">
                                                                      <w:marLeft w:val="0"/>
                                                                      <w:marRight w:val="0"/>
                                                                      <w:marTop w:val="0"/>
                                                                      <w:marBottom w:val="120"/>
                                                                      <w:divBdr>
                                                                        <w:top w:val="none" w:sz="0" w:space="0" w:color="auto"/>
                                                                        <w:left w:val="none" w:sz="0" w:space="0" w:color="auto"/>
                                                                        <w:bottom w:val="none" w:sz="0" w:space="0" w:color="auto"/>
                                                                        <w:right w:val="none" w:sz="0" w:space="0" w:color="auto"/>
                                                                      </w:divBdr>
                                                                      <w:divsChild>
                                                                        <w:div w:id="1857377546">
                                                                          <w:marLeft w:val="0"/>
                                                                          <w:marRight w:val="0"/>
                                                                          <w:marTop w:val="0"/>
                                                                          <w:marBottom w:val="0"/>
                                                                          <w:divBdr>
                                                                            <w:top w:val="none" w:sz="0" w:space="0" w:color="auto"/>
                                                                            <w:left w:val="none" w:sz="0" w:space="0" w:color="auto"/>
                                                                            <w:bottom w:val="none" w:sz="0" w:space="0" w:color="auto"/>
                                                                            <w:right w:val="none" w:sz="0" w:space="0" w:color="auto"/>
                                                                          </w:divBdr>
                                                                        </w:div>
                                                                      </w:divsChild>
                                                                    </w:div>
                                                                    <w:div w:id="166210437">
                                                                      <w:marLeft w:val="0"/>
                                                                      <w:marRight w:val="0"/>
                                                                      <w:marTop w:val="0"/>
                                                                      <w:marBottom w:val="0"/>
                                                                      <w:divBdr>
                                                                        <w:top w:val="none" w:sz="0" w:space="0" w:color="auto"/>
                                                                        <w:left w:val="none" w:sz="0" w:space="0" w:color="auto"/>
                                                                        <w:bottom w:val="none" w:sz="0" w:space="0" w:color="auto"/>
                                                                        <w:right w:val="none" w:sz="0" w:space="0" w:color="auto"/>
                                                                      </w:divBdr>
                                                                      <w:divsChild>
                                                                        <w:div w:id="232353616">
                                                                          <w:marLeft w:val="0"/>
                                                                          <w:marRight w:val="0"/>
                                                                          <w:marTop w:val="0"/>
                                                                          <w:marBottom w:val="0"/>
                                                                          <w:divBdr>
                                                                            <w:top w:val="none" w:sz="0" w:space="0" w:color="auto"/>
                                                                            <w:left w:val="none" w:sz="0" w:space="0" w:color="auto"/>
                                                                            <w:bottom w:val="none" w:sz="0" w:space="0" w:color="auto"/>
                                                                            <w:right w:val="none" w:sz="0" w:space="0" w:color="auto"/>
                                                                          </w:divBdr>
                                                                        </w:div>
                                                                      </w:divsChild>
                                                                    </w:div>
                                                                    <w:div w:id="392700283">
                                                                      <w:marLeft w:val="720"/>
                                                                      <w:marRight w:val="0"/>
                                                                      <w:marTop w:val="0"/>
                                                                      <w:marBottom w:val="0"/>
                                                                      <w:divBdr>
                                                                        <w:top w:val="none" w:sz="0" w:space="0" w:color="auto"/>
                                                                        <w:left w:val="none" w:sz="0" w:space="0" w:color="auto"/>
                                                                        <w:bottom w:val="none" w:sz="0" w:space="0" w:color="auto"/>
                                                                        <w:right w:val="none" w:sz="0" w:space="0" w:color="auto"/>
                                                                      </w:divBdr>
                                                                      <w:divsChild>
                                                                        <w:div w:id="65154582">
                                                                          <w:marLeft w:val="0"/>
                                                                          <w:marRight w:val="0"/>
                                                                          <w:marTop w:val="0"/>
                                                                          <w:marBottom w:val="0"/>
                                                                          <w:divBdr>
                                                                            <w:top w:val="none" w:sz="0" w:space="0" w:color="auto"/>
                                                                            <w:left w:val="none" w:sz="0" w:space="0" w:color="auto"/>
                                                                            <w:bottom w:val="none" w:sz="0" w:space="0" w:color="auto"/>
                                                                            <w:right w:val="none" w:sz="0" w:space="0" w:color="auto"/>
                                                                          </w:divBdr>
                                                                        </w:div>
                                                                      </w:divsChild>
                                                                    </w:div>
                                                                    <w:div w:id="556861874">
                                                                      <w:marLeft w:val="720"/>
                                                                      <w:marRight w:val="0"/>
                                                                      <w:marTop w:val="120"/>
                                                                      <w:marBottom w:val="120"/>
                                                                      <w:divBdr>
                                                                        <w:top w:val="none" w:sz="0" w:space="0" w:color="auto"/>
                                                                        <w:left w:val="none" w:sz="0" w:space="0" w:color="auto"/>
                                                                        <w:bottom w:val="none" w:sz="0" w:space="0" w:color="auto"/>
                                                                        <w:right w:val="none" w:sz="0" w:space="0" w:color="auto"/>
                                                                      </w:divBdr>
                                                                      <w:divsChild>
                                                                        <w:div w:id="1086724859">
                                                                          <w:marLeft w:val="0"/>
                                                                          <w:marRight w:val="0"/>
                                                                          <w:marTop w:val="0"/>
                                                                          <w:marBottom w:val="0"/>
                                                                          <w:divBdr>
                                                                            <w:top w:val="none" w:sz="0" w:space="0" w:color="auto"/>
                                                                            <w:left w:val="none" w:sz="0" w:space="0" w:color="auto"/>
                                                                            <w:bottom w:val="none" w:sz="0" w:space="0" w:color="auto"/>
                                                                            <w:right w:val="none" w:sz="0" w:space="0" w:color="auto"/>
                                                                          </w:divBdr>
                                                                        </w:div>
                                                                      </w:divsChild>
                                                                    </w:div>
                                                                    <w:div w:id="646589835">
                                                                      <w:marLeft w:val="0"/>
                                                                      <w:marRight w:val="0"/>
                                                                      <w:marTop w:val="0"/>
                                                                      <w:marBottom w:val="0"/>
                                                                      <w:divBdr>
                                                                        <w:top w:val="none" w:sz="0" w:space="0" w:color="auto"/>
                                                                        <w:left w:val="none" w:sz="0" w:space="0" w:color="auto"/>
                                                                        <w:bottom w:val="none" w:sz="0" w:space="0" w:color="auto"/>
                                                                        <w:right w:val="none" w:sz="0" w:space="0" w:color="auto"/>
                                                                      </w:divBdr>
                                                                      <w:divsChild>
                                                                        <w:div w:id="689261571">
                                                                          <w:marLeft w:val="0"/>
                                                                          <w:marRight w:val="0"/>
                                                                          <w:marTop w:val="0"/>
                                                                          <w:marBottom w:val="0"/>
                                                                          <w:divBdr>
                                                                            <w:top w:val="none" w:sz="0" w:space="0" w:color="auto"/>
                                                                            <w:left w:val="none" w:sz="0" w:space="0" w:color="auto"/>
                                                                            <w:bottom w:val="none" w:sz="0" w:space="0" w:color="auto"/>
                                                                            <w:right w:val="none" w:sz="0" w:space="0" w:color="auto"/>
                                                                          </w:divBdr>
                                                                        </w:div>
                                                                      </w:divsChild>
                                                                    </w:div>
                                                                    <w:div w:id="772240736">
                                                                      <w:marLeft w:val="0"/>
                                                                      <w:marRight w:val="0"/>
                                                                      <w:marTop w:val="0"/>
                                                                      <w:marBottom w:val="0"/>
                                                                      <w:divBdr>
                                                                        <w:top w:val="none" w:sz="0" w:space="0" w:color="auto"/>
                                                                        <w:left w:val="none" w:sz="0" w:space="0" w:color="auto"/>
                                                                        <w:bottom w:val="none" w:sz="0" w:space="0" w:color="auto"/>
                                                                        <w:right w:val="none" w:sz="0" w:space="0" w:color="auto"/>
                                                                      </w:divBdr>
                                                                      <w:divsChild>
                                                                        <w:div w:id="1589997086">
                                                                          <w:marLeft w:val="0"/>
                                                                          <w:marRight w:val="0"/>
                                                                          <w:marTop w:val="0"/>
                                                                          <w:marBottom w:val="0"/>
                                                                          <w:divBdr>
                                                                            <w:top w:val="none" w:sz="0" w:space="0" w:color="auto"/>
                                                                            <w:left w:val="none" w:sz="0" w:space="0" w:color="auto"/>
                                                                            <w:bottom w:val="none" w:sz="0" w:space="0" w:color="auto"/>
                                                                            <w:right w:val="none" w:sz="0" w:space="0" w:color="auto"/>
                                                                          </w:divBdr>
                                                                        </w:div>
                                                                      </w:divsChild>
                                                                    </w:div>
                                                                    <w:div w:id="908613572">
                                                                      <w:marLeft w:val="0"/>
                                                                      <w:marRight w:val="0"/>
                                                                      <w:marTop w:val="0"/>
                                                                      <w:marBottom w:val="0"/>
                                                                      <w:divBdr>
                                                                        <w:top w:val="none" w:sz="0" w:space="0" w:color="auto"/>
                                                                        <w:left w:val="none" w:sz="0" w:space="0" w:color="auto"/>
                                                                        <w:bottom w:val="none" w:sz="0" w:space="0" w:color="auto"/>
                                                                        <w:right w:val="none" w:sz="0" w:space="0" w:color="auto"/>
                                                                      </w:divBdr>
                                                                      <w:divsChild>
                                                                        <w:div w:id="138965378">
                                                                          <w:marLeft w:val="0"/>
                                                                          <w:marRight w:val="0"/>
                                                                          <w:marTop w:val="0"/>
                                                                          <w:marBottom w:val="0"/>
                                                                          <w:divBdr>
                                                                            <w:top w:val="none" w:sz="0" w:space="0" w:color="auto"/>
                                                                            <w:left w:val="none" w:sz="0" w:space="0" w:color="auto"/>
                                                                            <w:bottom w:val="none" w:sz="0" w:space="0" w:color="auto"/>
                                                                            <w:right w:val="none" w:sz="0" w:space="0" w:color="auto"/>
                                                                          </w:divBdr>
                                                                        </w:div>
                                                                      </w:divsChild>
                                                                    </w:div>
                                                                    <w:div w:id="951475785">
                                                                      <w:marLeft w:val="0"/>
                                                                      <w:marRight w:val="0"/>
                                                                      <w:marTop w:val="0"/>
                                                                      <w:marBottom w:val="0"/>
                                                                      <w:divBdr>
                                                                        <w:top w:val="none" w:sz="0" w:space="0" w:color="auto"/>
                                                                        <w:left w:val="none" w:sz="0" w:space="0" w:color="auto"/>
                                                                        <w:bottom w:val="none" w:sz="0" w:space="0" w:color="auto"/>
                                                                        <w:right w:val="none" w:sz="0" w:space="0" w:color="auto"/>
                                                                      </w:divBdr>
                                                                      <w:divsChild>
                                                                        <w:div w:id="230778255">
                                                                          <w:marLeft w:val="0"/>
                                                                          <w:marRight w:val="0"/>
                                                                          <w:marTop w:val="0"/>
                                                                          <w:marBottom w:val="0"/>
                                                                          <w:divBdr>
                                                                            <w:top w:val="none" w:sz="0" w:space="0" w:color="auto"/>
                                                                            <w:left w:val="none" w:sz="0" w:space="0" w:color="auto"/>
                                                                            <w:bottom w:val="none" w:sz="0" w:space="0" w:color="auto"/>
                                                                            <w:right w:val="none" w:sz="0" w:space="0" w:color="auto"/>
                                                                          </w:divBdr>
                                                                        </w:div>
                                                                      </w:divsChild>
                                                                    </w:div>
                                                                    <w:div w:id="1001809427">
                                                                      <w:marLeft w:val="0"/>
                                                                      <w:marRight w:val="0"/>
                                                                      <w:marTop w:val="0"/>
                                                                      <w:marBottom w:val="0"/>
                                                                      <w:divBdr>
                                                                        <w:top w:val="none" w:sz="0" w:space="0" w:color="auto"/>
                                                                        <w:left w:val="none" w:sz="0" w:space="0" w:color="auto"/>
                                                                        <w:bottom w:val="none" w:sz="0" w:space="0" w:color="auto"/>
                                                                        <w:right w:val="none" w:sz="0" w:space="0" w:color="auto"/>
                                                                      </w:divBdr>
                                                                      <w:divsChild>
                                                                        <w:div w:id="1953854300">
                                                                          <w:marLeft w:val="0"/>
                                                                          <w:marRight w:val="0"/>
                                                                          <w:marTop w:val="0"/>
                                                                          <w:marBottom w:val="0"/>
                                                                          <w:divBdr>
                                                                            <w:top w:val="none" w:sz="0" w:space="0" w:color="auto"/>
                                                                            <w:left w:val="none" w:sz="0" w:space="0" w:color="auto"/>
                                                                            <w:bottom w:val="none" w:sz="0" w:space="0" w:color="auto"/>
                                                                            <w:right w:val="none" w:sz="0" w:space="0" w:color="auto"/>
                                                                          </w:divBdr>
                                                                        </w:div>
                                                                      </w:divsChild>
                                                                    </w:div>
                                                                    <w:div w:id="1201437277">
                                                                      <w:marLeft w:val="0"/>
                                                                      <w:marRight w:val="0"/>
                                                                      <w:marTop w:val="0"/>
                                                                      <w:marBottom w:val="0"/>
                                                                      <w:divBdr>
                                                                        <w:top w:val="none" w:sz="0" w:space="0" w:color="auto"/>
                                                                        <w:left w:val="none" w:sz="0" w:space="0" w:color="auto"/>
                                                                        <w:bottom w:val="none" w:sz="0" w:space="0" w:color="auto"/>
                                                                        <w:right w:val="none" w:sz="0" w:space="0" w:color="auto"/>
                                                                      </w:divBdr>
                                                                      <w:divsChild>
                                                                        <w:div w:id="959451906">
                                                                          <w:marLeft w:val="0"/>
                                                                          <w:marRight w:val="0"/>
                                                                          <w:marTop w:val="0"/>
                                                                          <w:marBottom w:val="0"/>
                                                                          <w:divBdr>
                                                                            <w:top w:val="none" w:sz="0" w:space="0" w:color="auto"/>
                                                                            <w:left w:val="none" w:sz="0" w:space="0" w:color="auto"/>
                                                                            <w:bottom w:val="none" w:sz="0" w:space="0" w:color="auto"/>
                                                                            <w:right w:val="none" w:sz="0" w:space="0" w:color="auto"/>
                                                                          </w:divBdr>
                                                                        </w:div>
                                                                      </w:divsChild>
                                                                    </w:div>
                                                                    <w:div w:id="1285695955">
                                                                      <w:marLeft w:val="0"/>
                                                                      <w:marRight w:val="0"/>
                                                                      <w:marTop w:val="0"/>
                                                                      <w:marBottom w:val="0"/>
                                                                      <w:divBdr>
                                                                        <w:top w:val="none" w:sz="0" w:space="0" w:color="auto"/>
                                                                        <w:left w:val="none" w:sz="0" w:space="0" w:color="auto"/>
                                                                        <w:bottom w:val="none" w:sz="0" w:space="0" w:color="auto"/>
                                                                        <w:right w:val="none" w:sz="0" w:space="0" w:color="auto"/>
                                                                      </w:divBdr>
                                                                      <w:divsChild>
                                                                        <w:div w:id="1399595906">
                                                                          <w:marLeft w:val="0"/>
                                                                          <w:marRight w:val="0"/>
                                                                          <w:marTop w:val="0"/>
                                                                          <w:marBottom w:val="0"/>
                                                                          <w:divBdr>
                                                                            <w:top w:val="none" w:sz="0" w:space="0" w:color="auto"/>
                                                                            <w:left w:val="none" w:sz="0" w:space="0" w:color="auto"/>
                                                                            <w:bottom w:val="none" w:sz="0" w:space="0" w:color="auto"/>
                                                                            <w:right w:val="none" w:sz="0" w:space="0" w:color="auto"/>
                                                                          </w:divBdr>
                                                                        </w:div>
                                                                      </w:divsChild>
                                                                    </w:div>
                                                                    <w:div w:id="1331635912">
                                                                      <w:marLeft w:val="0"/>
                                                                      <w:marRight w:val="0"/>
                                                                      <w:marTop w:val="0"/>
                                                                      <w:marBottom w:val="0"/>
                                                                      <w:divBdr>
                                                                        <w:top w:val="none" w:sz="0" w:space="0" w:color="auto"/>
                                                                        <w:left w:val="none" w:sz="0" w:space="0" w:color="auto"/>
                                                                        <w:bottom w:val="none" w:sz="0" w:space="0" w:color="auto"/>
                                                                        <w:right w:val="none" w:sz="0" w:space="0" w:color="auto"/>
                                                                      </w:divBdr>
                                                                      <w:divsChild>
                                                                        <w:div w:id="628360431">
                                                                          <w:marLeft w:val="0"/>
                                                                          <w:marRight w:val="0"/>
                                                                          <w:marTop w:val="0"/>
                                                                          <w:marBottom w:val="0"/>
                                                                          <w:divBdr>
                                                                            <w:top w:val="none" w:sz="0" w:space="0" w:color="auto"/>
                                                                            <w:left w:val="none" w:sz="0" w:space="0" w:color="auto"/>
                                                                            <w:bottom w:val="none" w:sz="0" w:space="0" w:color="auto"/>
                                                                            <w:right w:val="none" w:sz="0" w:space="0" w:color="auto"/>
                                                                          </w:divBdr>
                                                                        </w:div>
                                                                      </w:divsChild>
                                                                    </w:div>
                                                                    <w:div w:id="1397052802">
                                                                      <w:marLeft w:val="0"/>
                                                                      <w:marRight w:val="0"/>
                                                                      <w:marTop w:val="0"/>
                                                                      <w:marBottom w:val="0"/>
                                                                      <w:divBdr>
                                                                        <w:top w:val="none" w:sz="0" w:space="0" w:color="auto"/>
                                                                        <w:left w:val="none" w:sz="0" w:space="0" w:color="auto"/>
                                                                        <w:bottom w:val="none" w:sz="0" w:space="0" w:color="auto"/>
                                                                        <w:right w:val="none" w:sz="0" w:space="0" w:color="auto"/>
                                                                      </w:divBdr>
                                                                      <w:divsChild>
                                                                        <w:div w:id="32653382">
                                                                          <w:marLeft w:val="0"/>
                                                                          <w:marRight w:val="0"/>
                                                                          <w:marTop w:val="0"/>
                                                                          <w:marBottom w:val="0"/>
                                                                          <w:divBdr>
                                                                            <w:top w:val="none" w:sz="0" w:space="0" w:color="auto"/>
                                                                            <w:left w:val="none" w:sz="0" w:space="0" w:color="auto"/>
                                                                            <w:bottom w:val="none" w:sz="0" w:space="0" w:color="auto"/>
                                                                            <w:right w:val="none" w:sz="0" w:space="0" w:color="auto"/>
                                                                          </w:divBdr>
                                                                        </w:div>
                                                                      </w:divsChild>
                                                                    </w:div>
                                                                    <w:div w:id="1477188717">
                                                                      <w:marLeft w:val="720"/>
                                                                      <w:marRight w:val="0"/>
                                                                      <w:marTop w:val="120"/>
                                                                      <w:marBottom w:val="120"/>
                                                                      <w:divBdr>
                                                                        <w:top w:val="none" w:sz="0" w:space="0" w:color="auto"/>
                                                                        <w:left w:val="none" w:sz="0" w:space="0" w:color="auto"/>
                                                                        <w:bottom w:val="none" w:sz="0" w:space="0" w:color="auto"/>
                                                                        <w:right w:val="none" w:sz="0" w:space="0" w:color="auto"/>
                                                                      </w:divBdr>
                                                                      <w:divsChild>
                                                                        <w:div w:id="2041708833">
                                                                          <w:marLeft w:val="0"/>
                                                                          <w:marRight w:val="0"/>
                                                                          <w:marTop w:val="0"/>
                                                                          <w:marBottom w:val="0"/>
                                                                          <w:divBdr>
                                                                            <w:top w:val="none" w:sz="0" w:space="0" w:color="auto"/>
                                                                            <w:left w:val="none" w:sz="0" w:space="0" w:color="auto"/>
                                                                            <w:bottom w:val="none" w:sz="0" w:space="0" w:color="auto"/>
                                                                            <w:right w:val="none" w:sz="0" w:space="0" w:color="auto"/>
                                                                          </w:divBdr>
                                                                        </w:div>
                                                                      </w:divsChild>
                                                                    </w:div>
                                                                    <w:div w:id="2074963119">
                                                                      <w:marLeft w:val="720"/>
                                                                      <w:marRight w:val="0"/>
                                                                      <w:marTop w:val="120"/>
                                                                      <w:marBottom w:val="120"/>
                                                                      <w:divBdr>
                                                                        <w:top w:val="none" w:sz="0" w:space="0" w:color="auto"/>
                                                                        <w:left w:val="none" w:sz="0" w:space="0" w:color="auto"/>
                                                                        <w:bottom w:val="none" w:sz="0" w:space="0" w:color="auto"/>
                                                                        <w:right w:val="none" w:sz="0" w:space="0" w:color="auto"/>
                                                                      </w:divBdr>
                                                                      <w:divsChild>
                                                                        <w:div w:id="192426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06934927">
      <w:bodyDiv w:val="1"/>
      <w:marLeft w:val="0"/>
      <w:marRight w:val="0"/>
      <w:marTop w:val="0"/>
      <w:marBottom w:val="0"/>
      <w:divBdr>
        <w:top w:val="none" w:sz="0" w:space="0" w:color="auto"/>
        <w:left w:val="none" w:sz="0" w:space="0" w:color="auto"/>
        <w:bottom w:val="none" w:sz="0" w:space="0" w:color="auto"/>
        <w:right w:val="none" w:sz="0" w:space="0" w:color="auto"/>
      </w:divBdr>
    </w:div>
    <w:div w:id="2014914044">
      <w:bodyDiv w:val="1"/>
      <w:marLeft w:val="0"/>
      <w:marRight w:val="0"/>
      <w:marTop w:val="0"/>
      <w:marBottom w:val="0"/>
      <w:divBdr>
        <w:top w:val="none" w:sz="0" w:space="0" w:color="auto"/>
        <w:left w:val="none" w:sz="0" w:space="0" w:color="auto"/>
        <w:bottom w:val="none" w:sz="0" w:space="0" w:color="auto"/>
        <w:right w:val="none" w:sz="0" w:space="0" w:color="auto"/>
      </w:divBdr>
    </w:div>
    <w:div w:id="2030834162">
      <w:bodyDiv w:val="1"/>
      <w:marLeft w:val="0"/>
      <w:marRight w:val="0"/>
      <w:marTop w:val="0"/>
      <w:marBottom w:val="0"/>
      <w:divBdr>
        <w:top w:val="none" w:sz="0" w:space="0" w:color="auto"/>
        <w:left w:val="none" w:sz="0" w:space="0" w:color="auto"/>
        <w:bottom w:val="none" w:sz="0" w:space="0" w:color="auto"/>
        <w:right w:val="none" w:sz="0" w:space="0" w:color="auto"/>
      </w:divBdr>
      <w:divsChild>
        <w:div w:id="533536985">
          <w:marLeft w:val="1166"/>
          <w:marRight w:val="0"/>
          <w:marTop w:val="86"/>
          <w:marBottom w:val="0"/>
          <w:divBdr>
            <w:top w:val="none" w:sz="0" w:space="0" w:color="auto"/>
            <w:left w:val="none" w:sz="0" w:space="0" w:color="auto"/>
            <w:bottom w:val="none" w:sz="0" w:space="0" w:color="auto"/>
            <w:right w:val="none" w:sz="0" w:space="0" w:color="auto"/>
          </w:divBdr>
        </w:div>
        <w:div w:id="638799530">
          <w:marLeft w:val="1166"/>
          <w:marRight w:val="0"/>
          <w:marTop w:val="86"/>
          <w:marBottom w:val="0"/>
          <w:divBdr>
            <w:top w:val="none" w:sz="0" w:space="0" w:color="auto"/>
            <w:left w:val="none" w:sz="0" w:space="0" w:color="auto"/>
            <w:bottom w:val="none" w:sz="0" w:space="0" w:color="auto"/>
            <w:right w:val="none" w:sz="0" w:space="0" w:color="auto"/>
          </w:divBdr>
        </w:div>
        <w:div w:id="827867581">
          <w:marLeft w:val="547"/>
          <w:marRight w:val="0"/>
          <w:marTop w:val="86"/>
          <w:marBottom w:val="0"/>
          <w:divBdr>
            <w:top w:val="none" w:sz="0" w:space="0" w:color="auto"/>
            <w:left w:val="none" w:sz="0" w:space="0" w:color="auto"/>
            <w:bottom w:val="none" w:sz="0" w:space="0" w:color="auto"/>
            <w:right w:val="none" w:sz="0" w:space="0" w:color="auto"/>
          </w:divBdr>
        </w:div>
        <w:div w:id="1554459374">
          <w:marLeft w:val="1166"/>
          <w:marRight w:val="0"/>
          <w:marTop w:val="86"/>
          <w:marBottom w:val="0"/>
          <w:divBdr>
            <w:top w:val="none" w:sz="0" w:space="0" w:color="auto"/>
            <w:left w:val="none" w:sz="0" w:space="0" w:color="auto"/>
            <w:bottom w:val="none" w:sz="0" w:space="0" w:color="auto"/>
            <w:right w:val="none" w:sz="0" w:space="0" w:color="auto"/>
          </w:divBdr>
        </w:div>
        <w:div w:id="1834831712">
          <w:marLeft w:val="1166"/>
          <w:marRight w:val="0"/>
          <w:marTop w:val="86"/>
          <w:marBottom w:val="0"/>
          <w:divBdr>
            <w:top w:val="none" w:sz="0" w:space="0" w:color="auto"/>
            <w:left w:val="none" w:sz="0" w:space="0" w:color="auto"/>
            <w:bottom w:val="none" w:sz="0" w:space="0" w:color="auto"/>
            <w:right w:val="none" w:sz="0" w:space="0" w:color="auto"/>
          </w:divBdr>
        </w:div>
      </w:divsChild>
    </w:div>
    <w:div w:id="2035692664">
      <w:bodyDiv w:val="1"/>
      <w:marLeft w:val="0"/>
      <w:marRight w:val="0"/>
      <w:marTop w:val="0"/>
      <w:marBottom w:val="0"/>
      <w:divBdr>
        <w:top w:val="none" w:sz="0" w:space="0" w:color="auto"/>
        <w:left w:val="none" w:sz="0" w:space="0" w:color="auto"/>
        <w:bottom w:val="none" w:sz="0" w:space="0" w:color="auto"/>
        <w:right w:val="none" w:sz="0" w:space="0" w:color="auto"/>
      </w:divBdr>
    </w:div>
    <w:div w:id="2035693961">
      <w:bodyDiv w:val="1"/>
      <w:marLeft w:val="0"/>
      <w:marRight w:val="0"/>
      <w:marTop w:val="0"/>
      <w:marBottom w:val="0"/>
      <w:divBdr>
        <w:top w:val="none" w:sz="0" w:space="0" w:color="auto"/>
        <w:left w:val="none" w:sz="0" w:space="0" w:color="auto"/>
        <w:bottom w:val="none" w:sz="0" w:space="0" w:color="auto"/>
        <w:right w:val="none" w:sz="0" w:space="0" w:color="auto"/>
      </w:divBdr>
      <w:divsChild>
        <w:div w:id="1819104889">
          <w:marLeft w:val="0"/>
          <w:marRight w:val="0"/>
          <w:marTop w:val="0"/>
          <w:marBottom w:val="0"/>
          <w:divBdr>
            <w:top w:val="none" w:sz="0" w:space="0" w:color="auto"/>
            <w:left w:val="none" w:sz="0" w:space="0" w:color="auto"/>
            <w:bottom w:val="none" w:sz="0" w:space="0" w:color="auto"/>
            <w:right w:val="none" w:sz="0" w:space="0" w:color="auto"/>
          </w:divBdr>
          <w:divsChild>
            <w:div w:id="337466096">
              <w:marLeft w:val="0"/>
              <w:marRight w:val="0"/>
              <w:marTop w:val="0"/>
              <w:marBottom w:val="0"/>
              <w:divBdr>
                <w:top w:val="none" w:sz="0" w:space="0" w:color="auto"/>
                <w:left w:val="none" w:sz="0" w:space="0" w:color="auto"/>
                <w:bottom w:val="none" w:sz="0" w:space="0" w:color="auto"/>
                <w:right w:val="none" w:sz="0" w:space="0" w:color="auto"/>
              </w:divBdr>
              <w:divsChild>
                <w:div w:id="1676491060">
                  <w:marLeft w:val="0"/>
                  <w:marRight w:val="0"/>
                  <w:marTop w:val="0"/>
                  <w:marBottom w:val="0"/>
                  <w:divBdr>
                    <w:top w:val="none" w:sz="0" w:space="0" w:color="auto"/>
                    <w:left w:val="none" w:sz="0" w:space="0" w:color="auto"/>
                    <w:bottom w:val="none" w:sz="0" w:space="0" w:color="auto"/>
                    <w:right w:val="none" w:sz="0" w:space="0" w:color="auto"/>
                  </w:divBdr>
                  <w:divsChild>
                    <w:div w:id="985819513">
                      <w:marLeft w:val="0"/>
                      <w:marRight w:val="0"/>
                      <w:marTop w:val="0"/>
                      <w:marBottom w:val="900"/>
                      <w:divBdr>
                        <w:top w:val="none" w:sz="0" w:space="0" w:color="auto"/>
                        <w:left w:val="none" w:sz="0" w:space="0" w:color="auto"/>
                        <w:bottom w:val="none" w:sz="0" w:space="0" w:color="auto"/>
                        <w:right w:val="none" w:sz="0" w:space="0" w:color="auto"/>
                      </w:divBdr>
                      <w:divsChild>
                        <w:div w:id="2146653665">
                          <w:marLeft w:val="0"/>
                          <w:marRight w:val="0"/>
                          <w:marTop w:val="0"/>
                          <w:marBottom w:val="0"/>
                          <w:divBdr>
                            <w:top w:val="none" w:sz="0" w:space="0" w:color="auto"/>
                            <w:left w:val="none" w:sz="0" w:space="0" w:color="auto"/>
                            <w:bottom w:val="none" w:sz="0" w:space="0" w:color="auto"/>
                            <w:right w:val="none" w:sz="0" w:space="0" w:color="auto"/>
                          </w:divBdr>
                          <w:divsChild>
                            <w:div w:id="1868130872">
                              <w:marLeft w:val="0"/>
                              <w:marRight w:val="0"/>
                              <w:marTop w:val="0"/>
                              <w:marBottom w:val="0"/>
                              <w:divBdr>
                                <w:top w:val="none" w:sz="0" w:space="0" w:color="auto"/>
                                <w:left w:val="none" w:sz="0" w:space="0" w:color="auto"/>
                                <w:bottom w:val="none" w:sz="0" w:space="0" w:color="auto"/>
                                <w:right w:val="none" w:sz="0" w:space="0" w:color="auto"/>
                              </w:divBdr>
                              <w:divsChild>
                                <w:div w:id="968782278">
                                  <w:marLeft w:val="0"/>
                                  <w:marRight w:val="0"/>
                                  <w:marTop w:val="0"/>
                                  <w:marBottom w:val="0"/>
                                  <w:divBdr>
                                    <w:top w:val="none" w:sz="0" w:space="0" w:color="auto"/>
                                    <w:left w:val="none" w:sz="0" w:space="0" w:color="auto"/>
                                    <w:bottom w:val="none" w:sz="0" w:space="0" w:color="auto"/>
                                    <w:right w:val="none" w:sz="0" w:space="0" w:color="auto"/>
                                  </w:divBdr>
                                  <w:divsChild>
                                    <w:div w:id="2107535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38895899">
      <w:bodyDiv w:val="1"/>
      <w:marLeft w:val="0"/>
      <w:marRight w:val="0"/>
      <w:marTop w:val="0"/>
      <w:marBottom w:val="0"/>
      <w:divBdr>
        <w:top w:val="none" w:sz="0" w:space="0" w:color="auto"/>
        <w:left w:val="none" w:sz="0" w:space="0" w:color="auto"/>
        <w:bottom w:val="none" w:sz="0" w:space="0" w:color="auto"/>
        <w:right w:val="none" w:sz="0" w:space="0" w:color="auto"/>
      </w:divBdr>
      <w:divsChild>
        <w:div w:id="367990763">
          <w:marLeft w:val="1166"/>
          <w:marRight w:val="0"/>
          <w:marTop w:val="86"/>
          <w:marBottom w:val="0"/>
          <w:divBdr>
            <w:top w:val="none" w:sz="0" w:space="0" w:color="auto"/>
            <w:left w:val="none" w:sz="0" w:space="0" w:color="auto"/>
            <w:bottom w:val="none" w:sz="0" w:space="0" w:color="auto"/>
            <w:right w:val="none" w:sz="0" w:space="0" w:color="auto"/>
          </w:divBdr>
        </w:div>
        <w:div w:id="475222057">
          <w:marLeft w:val="547"/>
          <w:marRight w:val="0"/>
          <w:marTop w:val="86"/>
          <w:marBottom w:val="0"/>
          <w:divBdr>
            <w:top w:val="none" w:sz="0" w:space="0" w:color="auto"/>
            <w:left w:val="none" w:sz="0" w:space="0" w:color="auto"/>
            <w:bottom w:val="none" w:sz="0" w:space="0" w:color="auto"/>
            <w:right w:val="none" w:sz="0" w:space="0" w:color="auto"/>
          </w:divBdr>
        </w:div>
        <w:div w:id="934633065">
          <w:marLeft w:val="547"/>
          <w:marRight w:val="0"/>
          <w:marTop w:val="86"/>
          <w:marBottom w:val="0"/>
          <w:divBdr>
            <w:top w:val="none" w:sz="0" w:space="0" w:color="auto"/>
            <w:left w:val="none" w:sz="0" w:space="0" w:color="auto"/>
            <w:bottom w:val="none" w:sz="0" w:space="0" w:color="auto"/>
            <w:right w:val="none" w:sz="0" w:space="0" w:color="auto"/>
          </w:divBdr>
        </w:div>
        <w:div w:id="1065572310">
          <w:marLeft w:val="547"/>
          <w:marRight w:val="0"/>
          <w:marTop w:val="86"/>
          <w:marBottom w:val="0"/>
          <w:divBdr>
            <w:top w:val="none" w:sz="0" w:space="0" w:color="auto"/>
            <w:left w:val="none" w:sz="0" w:space="0" w:color="auto"/>
            <w:bottom w:val="none" w:sz="0" w:space="0" w:color="auto"/>
            <w:right w:val="none" w:sz="0" w:space="0" w:color="auto"/>
          </w:divBdr>
        </w:div>
        <w:div w:id="1149244546">
          <w:marLeft w:val="1166"/>
          <w:marRight w:val="0"/>
          <w:marTop w:val="86"/>
          <w:marBottom w:val="0"/>
          <w:divBdr>
            <w:top w:val="none" w:sz="0" w:space="0" w:color="auto"/>
            <w:left w:val="none" w:sz="0" w:space="0" w:color="auto"/>
            <w:bottom w:val="none" w:sz="0" w:space="0" w:color="auto"/>
            <w:right w:val="none" w:sz="0" w:space="0" w:color="auto"/>
          </w:divBdr>
        </w:div>
        <w:div w:id="1900284189">
          <w:marLeft w:val="547"/>
          <w:marRight w:val="0"/>
          <w:marTop w:val="86"/>
          <w:marBottom w:val="0"/>
          <w:divBdr>
            <w:top w:val="none" w:sz="0" w:space="0" w:color="auto"/>
            <w:left w:val="none" w:sz="0" w:space="0" w:color="auto"/>
            <w:bottom w:val="none" w:sz="0" w:space="0" w:color="auto"/>
            <w:right w:val="none" w:sz="0" w:space="0" w:color="auto"/>
          </w:divBdr>
        </w:div>
        <w:div w:id="1938908283">
          <w:marLeft w:val="547"/>
          <w:marRight w:val="0"/>
          <w:marTop w:val="86"/>
          <w:marBottom w:val="0"/>
          <w:divBdr>
            <w:top w:val="none" w:sz="0" w:space="0" w:color="auto"/>
            <w:left w:val="none" w:sz="0" w:space="0" w:color="auto"/>
            <w:bottom w:val="none" w:sz="0" w:space="0" w:color="auto"/>
            <w:right w:val="none" w:sz="0" w:space="0" w:color="auto"/>
          </w:divBdr>
        </w:div>
      </w:divsChild>
    </w:div>
    <w:div w:id="2041055178">
      <w:bodyDiv w:val="1"/>
      <w:marLeft w:val="0"/>
      <w:marRight w:val="0"/>
      <w:marTop w:val="0"/>
      <w:marBottom w:val="0"/>
      <w:divBdr>
        <w:top w:val="none" w:sz="0" w:space="0" w:color="auto"/>
        <w:left w:val="none" w:sz="0" w:space="0" w:color="auto"/>
        <w:bottom w:val="none" w:sz="0" w:space="0" w:color="auto"/>
        <w:right w:val="none" w:sz="0" w:space="0" w:color="auto"/>
      </w:divBdr>
    </w:div>
    <w:div w:id="2066247854">
      <w:bodyDiv w:val="1"/>
      <w:marLeft w:val="0"/>
      <w:marRight w:val="0"/>
      <w:marTop w:val="0"/>
      <w:marBottom w:val="0"/>
      <w:divBdr>
        <w:top w:val="none" w:sz="0" w:space="0" w:color="auto"/>
        <w:left w:val="none" w:sz="0" w:space="0" w:color="auto"/>
        <w:bottom w:val="none" w:sz="0" w:space="0" w:color="auto"/>
        <w:right w:val="none" w:sz="0" w:space="0" w:color="auto"/>
      </w:divBdr>
    </w:div>
    <w:div w:id="2090348188">
      <w:bodyDiv w:val="1"/>
      <w:marLeft w:val="0"/>
      <w:marRight w:val="0"/>
      <w:marTop w:val="0"/>
      <w:marBottom w:val="0"/>
      <w:divBdr>
        <w:top w:val="none" w:sz="0" w:space="0" w:color="auto"/>
        <w:left w:val="none" w:sz="0" w:space="0" w:color="auto"/>
        <w:bottom w:val="none" w:sz="0" w:space="0" w:color="auto"/>
        <w:right w:val="none" w:sz="0" w:space="0" w:color="auto"/>
      </w:divBdr>
    </w:div>
    <w:div w:id="2119521278">
      <w:bodyDiv w:val="1"/>
      <w:marLeft w:val="0"/>
      <w:marRight w:val="0"/>
      <w:marTop w:val="0"/>
      <w:marBottom w:val="0"/>
      <w:divBdr>
        <w:top w:val="none" w:sz="0" w:space="0" w:color="auto"/>
        <w:left w:val="none" w:sz="0" w:space="0" w:color="auto"/>
        <w:bottom w:val="none" w:sz="0" w:space="0" w:color="auto"/>
        <w:right w:val="none" w:sz="0" w:space="0" w:color="auto"/>
      </w:divBdr>
      <w:divsChild>
        <w:div w:id="23693956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esfondi.lv/finansu-un-raditaju-plani-to-izpilde" TargetMode="External"/><Relationship Id="rId18" Type="http://schemas.openxmlformats.org/officeDocument/2006/relationships/hyperlink" Target="http://www.esfondi.lv/prezentacijas" TargetMode="External"/><Relationship Id="rId26" Type="http://schemas.openxmlformats.org/officeDocument/2006/relationships/chart" Target="charts/chart4.xml"/><Relationship Id="rId3" Type="http://schemas.openxmlformats.org/officeDocument/2006/relationships/styles" Target="styles.xml"/><Relationship Id="rId21" Type="http://schemas.openxmlformats.org/officeDocument/2006/relationships/header" Target="header1.xml"/><Relationship Id="rId34" Type="http://schemas.openxmlformats.org/officeDocument/2006/relationships/chart" Target="charts/chart11.xml"/><Relationship Id="rId7" Type="http://schemas.openxmlformats.org/officeDocument/2006/relationships/endnotes" Target="endnotes.xml"/><Relationship Id="rId12" Type="http://schemas.openxmlformats.org/officeDocument/2006/relationships/hyperlink" Target="http://www.esfondi.lv/planosanas-dokumenti" TargetMode="External"/><Relationship Id="rId17" Type="http://schemas.openxmlformats.org/officeDocument/2006/relationships/hyperlink" Target="https://www.esfondi.lv/gadskartejie-ieviesanas-zinojumi" TargetMode="External"/><Relationship Id="rId25" Type="http://schemas.openxmlformats.org/officeDocument/2006/relationships/chart" Target="charts/chart3.xml"/><Relationship Id="rId33" Type="http://schemas.openxmlformats.org/officeDocument/2006/relationships/chart" Target="charts/chart10.xml"/><Relationship Id="rId2" Type="http://schemas.openxmlformats.org/officeDocument/2006/relationships/numbering" Target="numbering.xml"/><Relationship Id="rId16" Type="http://schemas.openxmlformats.org/officeDocument/2006/relationships/hyperlink" Target="https://www.esfondi.lv/zinojumi-Ministru-kabinetam" TargetMode="External"/><Relationship Id="rId20" Type="http://schemas.openxmlformats.org/officeDocument/2006/relationships/hyperlink" Target="https://www.cfla.gov.lv/lv/es-fondi-2014-2020/izsludinatas-atlases" TargetMode="External"/><Relationship Id="rId29" Type="http://schemas.openxmlformats.org/officeDocument/2006/relationships/chart" Target="charts/chart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cid:image003.png@01D277BE.D84A3840" TargetMode="External"/><Relationship Id="rId24" Type="http://schemas.openxmlformats.org/officeDocument/2006/relationships/chart" Target="charts/chart2.xml"/><Relationship Id="rId32" Type="http://schemas.openxmlformats.org/officeDocument/2006/relationships/chart" Target="charts/chart9.xml"/><Relationship Id="rId5" Type="http://schemas.openxmlformats.org/officeDocument/2006/relationships/webSettings" Target="webSettings.xml"/><Relationship Id="rId15" Type="http://schemas.openxmlformats.org/officeDocument/2006/relationships/hyperlink" Target="https://www.esfondi.lv/raditaju-plani-un-sasniegtas-vertibas" TargetMode="External"/><Relationship Id="rId23" Type="http://schemas.openxmlformats.org/officeDocument/2006/relationships/chart" Target="charts/chart1.xml"/><Relationship Id="rId28" Type="http://schemas.openxmlformats.org/officeDocument/2006/relationships/image" Target="media/image4.png"/><Relationship Id="rId36"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yperlink" Target="https://www.esfondi.lv/es-fondu-izvertesana-1" TargetMode="External"/><Relationship Id="rId31" Type="http://schemas.openxmlformats.org/officeDocument/2006/relationships/chart" Target="charts/chart8.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esfondi.lv/2019.gads" TargetMode="External"/><Relationship Id="rId22" Type="http://schemas.openxmlformats.org/officeDocument/2006/relationships/footer" Target="footer1.xml"/><Relationship Id="rId27" Type="http://schemas.openxmlformats.org/officeDocument/2006/relationships/chart" Target="charts/chart5.xml"/><Relationship Id="rId30" Type="http://schemas.openxmlformats.org/officeDocument/2006/relationships/chart" Target="charts/chart7.xml"/><Relationship Id="rId35" Type="http://schemas.openxmlformats.org/officeDocument/2006/relationships/fontTable" Target="fontTable.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8" Type="http://schemas.openxmlformats.org/officeDocument/2006/relationships/hyperlink" Target="https://www.eeagrants.lv/?id=105" TargetMode="External"/><Relationship Id="rId13" Type="http://schemas.openxmlformats.org/officeDocument/2006/relationships/hyperlink" Target="http://www.esfondi.lv" TargetMode="External"/><Relationship Id="rId3" Type="http://schemas.openxmlformats.org/officeDocument/2006/relationships/hyperlink" Target="https://www.esfondi.lv/2018.gads" TargetMode="External"/><Relationship Id="rId7" Type="http://schemas.openxmlformats.org/officeDocument/2006/relationships/hyperlink" Target="https://www.eeagrants.lv/?id=96" TargetMode="External"/><Relationship Id="rId12" Type="http://schemas.openxmlformats.org/officeDocument/2006/relationships/hyperlink" Target="https://www.esfondi.lv/vadlinijas--skaidrojumi" TargetMode="External"/><Relationship Id="rId2" Type="http://schemas.openxmlformats.org/officeDocument/2006/relationships/hyperlink" Target="https://www.esfondi.lv/gadskartejie-ieviesanas-zinojumi" TargetMode="External"/><Relationship Id="rId1" Type="http://schemas.openxmlformats.org/officeDocument/2006/relationships/hyperlink" Target="http://www.esfondi.lv/page.php?id=1104" TargetMode="External"/><Relationship Id="rId6" Type="http://schemas.openxmlformats.org/officeDocument/2006/relationships/hyperlink" Target="https://regiostars.lv/laureati" TargetMode="External"/><Relationship Id="rId11" Type="http://schemas.openxmlformats.org/officeDocument/2006/relationships/hyperlink" Target="https://www.esfondi.lv/upload/00-informativie-zinojumi/fmzin_230218_es_fondi.pdf" TargetMode="External"/><Relationship Id="rId5" Type="http://schemas.openxmlformats.org/officeDocument/2006/relationships/hyperlink" Target="http://tap.mk.gov.lv/lv/mk/tap/?pid=40475566&amp;mode=mk&amp;date=2019-07-16" TargetMode="External"/><Relationship Id="rId10" Type="http://schemas.openxmlformats.org/officeDocument/2006/relationships/hyperlink" Target="http://www.esfondi.lv/konstatetas-neatbilstibas" TargetMode="External"/><Relationship Id="rId4" Type="http://schemas.openxmlformats.org/officeDocument/2006/relationships/hyperlink" Target="http://europa.eu/rapid/press-release_MEX-19-4109_en.htm" TargetMode="External"/><Relationship Id="rId9" Type="http://schemas.openxmlformats.org/officeDocument/2006/relationships/hyperlink" Target="http://www.esfondi.lv/vadlinijas--skaidrojumi" TargetMode="External"/><Relationship Id="rId14" Type="http://schemas.openxmlformats.org/officeDocument/2006/relationships/hyperlink" Target="https://www.esfondi.lv/prezentacijas"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fs\fud\IEVIE&#352;ANAS%20UZRAUDZ&#298;BA\ZI&#325;OJUMI_MAKS&#256;JUMU%20PROGNOZES%20EK\VI_regularie_zinojumi_MK_ES_fondi\1%20-%20MK\2019.gads\37_01.09.2019\3_Izejas%20faili%20grafikiem\ievie&#353;anas%20grafiks_08.08.19.xlsx" TargetMode="Externa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2.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1.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2.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3.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4.xlsx"/></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package" Target="../embeddings/Microsoft_Excel_Worksheet5.xlsx"/></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6.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38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r>
              <a:rPr lang="lv-LV"/>
              <a:t>Kopā: 4 484,5 (101,5%)</a:t>
            </a:r>
          </a:p>
        </c:rich>
      </c:tx>
      <c:layout>
        <c:manualLayout>
          <c:xMode val="edge"/>
          <c:yMode val="edge"/>
          <c:x val="0.77682288359575336"/>
          <c:y val="4.6475716618434026E-2"/>
        </c:manualLayout>
      </c:layout>
      <c:overlay val="0"/>
      <c:spPr>
        <a:noFill/>
        <a:ln>
          <a:noFill/>
        </a:ln>
        <a:effectLst/>
      </c:spPr>
      <c:txPr>
        <a:bodyPr rot="0" spcFirstLastPara="1" vertOverflow="ellipsis" vert="horz" wrap="square" anchor="ctr" anchorCtr="1"/>
        <a:lstStyle/>
        <a:p>
          <a:pPr>
            <a:defRPr sz="1380" b="0" i="0" u="none" strike="noStrike" kern="1200" spc="0" baseline="0">
              <a:solidFill>
                <a:schemeClr val="tx1"/>
              </a:solidFill>
              <a:latin typeface="Times New Roman" panose="02020603050405020304" pitchFamily="18" charset="0"/>
              <a:ea typeface="+mn-ea"/>
              <a:cs typeface="Times New Roman" panose="02020603050405020304" pitchFamily="18" charset="0"/>
            </a:defRPr>
          </a:pPr>
          <a:endParaRPr lang="lv-LV"/>
        </a:p>
      </c:txPr>
    </c:title>
    <c:autoTitleDeleted val="0"/>
    <c:plotArea>
      <c:layout>
        <c:manualLayout>
          <c:layoutTarget val="inner"/>
          <c:xMode val="edge"/>
          <c:yMode val="edge"/>
          <c:x val="0.40587712746593596"/>
          <c:y val="0.1339396037033832"/>
          <c:w val="0.47082985112125775"/>
          <c:h val="0.6104523834084058"/>
        </c:manualLayout>
      </c:layout>
      <c:barChart>
        <c:barDir val="bar"/>
        <c:grouping val="stacked"/>
        <c:varyColors val="0"/>
        <c:ser>
          <c:idx val="0"/>
          <c:order val="0"/>
          <c:tx>
            <c:strRef>
              <c:f>Dati!$S$3</c:f>
              <c:strCache>
                <c:ptCount val="1"/>
                <c:pt idx="0">
                  <c:v>Pieejamais ES fondu finansējums</c:v>
                </c:pt>
              </c:strCache>
            </c:strRef>
          </c:tx>
          <c:spPr>
            <a:solidFill>
              <a:schemeClr val="accent1"/>
            </a:solidFill>
            <a:ln>
              <a:noFill/>
            </a:ln>
            <a:effectLst/>
          </c:spPr>
          <c:invertIfNegative val="0"/>
          <c:dLbls>
            <c:numFmt formatCode="#,##0.0" sourceLinked="0"/>
            <c:spPr>
              <a:noFill/>
              <a:ln>
                <a:noFill/>
              </a:ln>
              <a:effectLst/>
            </c:spPr>
            <c:txPr>
              <a:bodyPr rot="0" spcFirstLastPara="1" vertOverflow="ellipsis" vert="horz" wrap="square" anchor="ctr" anchorCtr="1"/>
              <a:lstStyle/>
              <a:p>
                <a:pPr>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(Dati!$D$3:$M$3,Dati!$S$3:$T$3)</c:f>
              <c:strCache>
                <c:ptCount val="9"/>
                <c:pt idx="0">
                  <c:v>No EK saņemtie starpposma maksājumi</c:v>
                </c:pt>
                <c:pt idx="1">
                  <c:v>Deklarētie maksājumi EK</c:v>
                </c:pt>
                <c:pt idx="2">
                  <c:v>Veikti maksājumi projektos</c:v>
                </c:pt>
                <c:pt idx="3">
                  <c:v>Iepirkumu līgumi</c:v>
                </c:pt>
                <c:pt idx="4">
                  <c:v>Projektu līgumi, skaits -  1531</c:v>
                </c:pt>
                <c:pt idx="5">
                  <c:v>Apstiprināti projekti, skaits - 1572</c:v>
                </c:pt>
                <c:pt idx="6">
                  <c:v>Iesniegti projekti, skaits - 1800</c:v>
                </c:pt>
                <c:pt idx="7">
                  <c:v>Pieejamais ES fondu finansējums</c:v>
                </c:pt>
                <c:pt idx="8">
                  <c:v>Pieejamais ''virssaistību*'' apjoms</c:v>
                </c:pt>
              </c:strCache>
            </c:strRef>
          </c:cat>
          <c:val>
            <c:numRef>
              <c:f>(Dati!$D$4:$M$4,Dati!$S$4)</c:f>
              <c:numCache>
                <c:formatCode>General</c:formatCode>
                <c:ptCount val="8"/>
              </c:numCache>
            </c:numRef>
          </c:val>
          <c:extLst>
            <c:ext xmlns:c16="http://schemas.microsoft.com/office/drawing/2014/chart" uri="{C3380CC4-5D6E-409C-BE32-E72D297353CC}">
              <c16:uniqueId val="{00000000-66BC-43A2-A688-E29DA1961880}"/>
            </c:ext>
          </c:extLst>
        </c:ser>
        <c:ser>
          <c:idx val="1"/>
          <c:order val="1"/>
          <c:tx>
            <c:strRef>
              <c:f>Dati!$C$5:$C$9</c:f>
              <c:strCache>
                <c:ptCount val="1"/>
                <c:pt idx="0">
                  <c:v>Mil EUR Esošais mēnesis (30.07)/ % 31.12.2018</c:v>
                </c:pt>
              </c:strCache>
            </c:strRef>
          </c:tx>
          <c:spPr>
            <a:solidFill>
              <a:schemeClr val="accent2"/>
            </a:solidFill>
            <a:ln>
              <a:noFill/>
            </a:ln>
            <a:effectLst/>
          </c:spPr>
          <c:invertIfNegative val="0"/>
          <c:dPt>
            <c:idx val="0"/>
            <c:invertIfNegative val="0"/>
            <c:bubble3D val="0"/>
            <c:spPr>
              <a:solidFill>
                <a:schemeClr val="accent6">
                  <a:lumMod val="60000"/>
                  <a:lumOff val="40000"/>
                </a:schemeClr>
              </a:solidFill>
              <a:ln>
                <a:noFill/>
              </a:ln>
              <a:effectLst/>
            </c:spPr>
            <c:extLst>
              <c:ext xmlns:c16="http://schemas.microsoft.com/office/drawing/2014/chart" uri="{C3380CC4-5D6E-409C-BE32-E72D297353CC}">
                <c16:uniqueId val="{00000002-66BC-43A2-A688-E29DA1961880}"/>
              </c:ext>
            </c:extLst>
          </c:dPt>
          <c:dPt>
            <c:idx val="1"/>
            <c:invertIfNegative val="0"/>
            <c:bubble3D val="0"/>
            <c:spPr>
              <a:solidFill>
                <a:srgbClr val="B3A2C7"/>
              </a:solidFill>
              <a:ln>
                <a:noFill/>
              </a:ln>
              <a:effectLst/>
            </c:spPr>
            <c:extLst>
              <c:ext xmlns:c16="http://schemas.microsoft.com/office/drawing/2014/chart" uri="{C3380CC4-5D6E-409C-BE32-E72D297353CC}">
                <c16:uniqueId val="{00000004-66BC-43A2-A688-E29DA1961880}"/>
              </c:ext>
            </c:extLst>
          </c:dPt>
          <c:dPt>
            <c:idx val="2"/>
            <c:invertIfNegative val="0"/>
            <c:bubble3D val="0"/>
            <c:spPr>
              <a:solidFill>
                <a:srgbClr val="FFD966"/>
              </a:solidFill>
              <a:ln>
                <a:noFill/>
              </a:ln>
              <a:effectLst/>
            </c:spPr>
            <c:extLst>
              <c:ext xmlns:c16="http://schemas.microsoft.com/office/drawing/2014/chart" uri="{C3380CC4-5D6E-409C-BE32-E72D297353CC}">
                <c16:uniqueId val="{00000006-66BC-43A2-A688-E29DA1961880}"/>
              </c:ext>
            </c:extLst>
          </c:dPt>
          <c:dPt>
            <c:idx val="4"/>
            <c:invertIfNegative val="0"/>
            <c:bubble3D val="0"/>
            <c:spPr>
              <a:solidFill>
                <a:srgbClr val="C9C9C9"/>
              </a:solidFill>
              <a:ln>
                <a:noFill/>
              </a:ln>
              <a:effectLst/>
            </c:spPr>
            <c:extLst>
              <c:ext xmlns:c16="http://schemas.microsoft.com/office/drawing/2014/chart" uri="{C3380CC4-5D6E-409C-BE32-E72D297353CC}">
                <c16:uniqueId val="{00000008-66BC-43A2-A688-E29DA1961880}"/>
              </c:ext>
            </c:extLst>
          </c:dPt>
          <c:dPt>
            <c:idx val="5"/>
            <c:invertIfNegative val="0"/>
            <c:bubble3D val="0"/>
            <c:spPr>
              <a:solidFill>
                <a:schemeClr val="accent2">
                  <a:lumMod val="40000"/>
                  <a:lumOff val="60000"/>
                </a:schemeClr>
              </a:solidFill>
              <a:ln>
                <a:noFill/>
              </a:ln>
              <a:effectLst/>
            </c:spPr>
            <c:extLst>
              <c:ext xmlns:c16="http://schemas.microsoft.com/office/drawing/2014/chart" uri="{C3380CC4-5D6E-409C-BE32-E72D297353CC}">
                <c16:uniqueId val="{0000000A-66BC-43A2-A688-E29DA1961880}"/>
              </c:ext>
            </c:extLst>
          </c:dPt>
          <c:dPt>
            <c:idx val="6"/>
            <c:invertIfNegative val="0"/>
            <c:bubble3D val="0"/>
            <c:spPr>
              <a:solidFill>
                <a:schemeClr val="accent3">
                  <a:lumMod val="75000"/>
                </a:schemeClr>
              </a:solidFill>
              <a:ln>
                <a:noFill/>
              </a:ln>
              <a:effectLst/>
            </c:spPr>
            <c:extLst>
              <c:ext xmlns:c16="http://schemas.microsoft.com/office/drawing/2014/chart" uri="{C3380CC4-5D6E-409C-BE32-E72D297353CC}">
                <c16:uniqueId val="{0000000C-66BC-43A2-A688-E29DA1961880}"/>
              </c:ext>
            </c:extLst>
          </c:dPt>
          <c:dPt>
            <c:idx val="7"/>
            <c:invertIfNegative val="0"/>
            <c:bubble3D val="0"/>
            <c:spPr>
              <a:solidFill>
                <a:schemeClr val="accent1">
                  <a:lumMod val="60000"/>
                  <a:lumOff val="40000"/>
                </a:schemeClr>
              </a:solidFill>
              <a:ln>
                <a:noFill/>
              </a:ln>
              <a:effectLst/>
            </c:spPr>
            <c:extLst>
              <c:ext xmlns:c16="http://schemas.microsoft.com/office/drawing/2014/chart" uri="{C3380CC4-5D6E-409C-BE32-E72D297353CC}">
                <c16:uniqueId val="{0000000E-66BC-43A2-A688-E29DA1961880}"/>
              </c:ext>
            </c:extLst>
          </c:dPt>
          <c:dLbls>
            <c:dLbl>
              <c:idx val="0"/>
              <c:layout>
                <c:manualLayout>
                  <c:x val="0.15277031502139291"/>
                  <c:y val="-1.6023106282020425E-3"/>
                </c:manualLayout>
              </c:layout>
              <c:tx>
                <c:rich>
                  <a:bodyPr rot="0" spcFirstLastPara="1" vertOverflow="ellipsis" vert="horz" wrap="square" anchor="ctr" anchorCtr="1"/>
                  <a:lstStyle/>
                  <a:p>
                    <a:pPr algn="ctr" rtl="0">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489F327E-AEEF-46CE-B86F-88FCE2FAE9F5}" type="VALUE">
                      <a:rPr lang="en-US"/>
                      <a:pPr algn="ctr" rtl="0">
                        <a:defRPr/>
                      </a:pPr>
                      <a:t>[VALUE]</a:t>
                    </a:fld>
                    <a:r>
                      <a:rPr lang="en-US"/>
                      <a:t> (21,9%) ↑6,7%</a:t>
                    </a:r>
                  </a:p>
                </c:rich>
              </c:tx>
              <c:numFmt formatCode="#,##0.0" sourceLinked="0"/>
              <c:spPr>
                <a:noFill/>
                <a:ln>
                  <a:noFill/>
                </a:ln>
                <a:effectLst/>
              </c:spPr>
              <c:txPr>
                <a:bodyPr rot="0" spcFirstLastPara="1" vertOverflow="ellipsis" vert="horz" wrap="square" anchor="ctr" anchorCtr="1"/>
                <a:lstStyle/>
                <a:p>
                  <a:pPr algn="ctr" rtl="0">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4953520651170946"/>
                      <c:h val="5.4696787355729005E-2"/>
                    </c:manualLayout>
                  </c15:layout>
                  <c15:dlblFieldTable/>
                  <c15:showDataLabelsRange val="0"/>
                </c:ext>
                <c:ext xmlns:c16="http://schemas.microsoft.com/office/drawing/2014/chart" uri="{C3380CC4-5D6E-409C-BE32-E72D297353CC}">
                  <c16:uniqueId val="{00000002-66BC-43A2-A688-E29DA1961880}"/>
                </c:ext>
              </c:extLst>
            </c:dLbl>
            <c:dLbl>
              <c:idx val="1"/>
              <c:layout>
                <c:manualLayout>
                  <c:x val="0.17523647654505098"/>
                  <c:y val="-1.8674139531685177E-3"/>
                </c:manualLayout>
              </c:layout>
              <c:tx>
                <c:rich>
                  <a:bodyPr rot="0" spcFirstLastPara="1" vertOverflow="ellipsis" vert="horz" wrap="square" anchor="ctr" anchorCtr="1"/>
                  <a:lstStyle/>
                  <a:p>
                    <a:pPr algn="ctr" rtl="0">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466065B4-98C6-4623-99D3-B5A1522D7B90}" type="VALUE">
                      <a:rPr lang="en-US"/>
                      <a:pPr algn="ctr" rtl="0">
                        <a:defRPr/>
                      </a:pPr>
                      <a:t>[VALUE]</a:t>
                    </a:fld>
                    <a:r>
                      <a:rPr lang="en-US"/>
                      <a:t> (28,3%) ↑8,6%</a:t>
                    </a:r>
                  </a:p>
                </c:rich>
              </c:tx>
              <c:numFmt formatCode="#,##0.0" sourceLinked="0"/>
              <c:spPr>
                <a:noFill/>
                <a:ln>
                  <a:noFill/>
                </a:ln>
                <a:effectLst/>
              </c:spPr>
              <c:txPr>
                <a:bodyPr rot="0" spcFirstLastPara="1" vertOverflow="ellipsis" vert="horz" wrap="square" anchor="ctr" anchorCtr="1"/>
                <a:lstStyle/>
                <a:p>
                  <a:pPr algn="ctr" rtl="0">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6889099726826948"/>
                      <c:h val="6.2166443168403064E-2"/>
                    </c:manualLayout>
                  </c15:layout>
                  <c15:dlblFieldTable/>
                  <c15:showDataLabelsRange val="0"/>
                </c:ext>
                <c:ext xmlns:c16="http://schemas.microsoft.com/office/drawing/2014/chart" uri="{C3380CC4-5D6E-409C-BE32-E72D297353CC}">
                  <c16:uniqueId val="{00000004-66BC-43A2-A688-E29DA1961880}"/>
                </c:ext>
              </c:extLst>
            </c:dLbl>
            <c:dLbl>
              <c:idx val="2"/>
              <c:layout>
                <c:manualLayout>
                  <c:x val="0.18671234886290741"/>
                  <c:y val="4.9990257767997337E-3"/>
                </c:manualLayout>
              </c:layout>
              <c:tx>
                <c:rich>
                  <a:bodyPr rot="0" spcFirstLastPara="1" vertOverflow="ellipsis" vert="horz" wrap="square" anchor="ctr" anchorCtr="1"/>
                  <a:lstStyle/>
                  <a:p>
                    <a:pPr algn="ctr" rtl="0">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E3A9050A-FFF3-4CAA-8FD4-2BCED7279434}" type="VALUE">
                      <a:rPr lang="en-US"/>
                      <a:pPr algn="ctr" rtl="0">
                        <a:defRPr/>
                      </a:pPr>
                      <a:t>[VALUE]</a:t>
                    </a:fld>
                    <a:r>
                      <a:rPr lang="en-US"/>
                      <a:t> (35,3%) ↑8,2%</a:t>
                    </a:r>
                  </a:p>
                </c:rich>
              </c:tx>
              <c:numFmt formatCode="#,##0.0" sourceLinked="0"/>
              <c:spPr>
                <a:noFill/>
                <a:ln>
                  <a:noFill/>
                </a:ln>
                <a:effectLst/>
              </c:spPr>
              <c:txPr>
                <a:bodyPr rot="0" spcFirstLastPara="1" vertOverflow="ellipsis" vert="horz" wrap="square" anchor="ctr" anchorCtr="1"/>
                <a:lstStyle/>
                <a:p>
                  <a:pPr algn="ctr" rtl="0">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7232775210782478"/>
                      <c:h val="5.3370697658425885E-2"/>
                    </c:manualLayout>
                  </c15:layout>
                  <c15:dlblFieldTable/>
                  <c15:showDataLabelsRange val="0"/>
                </c:ext>
                <c:ext xmlns:c16="http://schemas.microsoft.com/office/drawing/2014/chart" uri="{C3380CC4-5D6E-409C-BE32-E72D297353CC}">
                  <c16:uniqueId val="{00000006-66BC-43A2-A688-E29DA1961880}"/>
                </c:ext>
              </c:extLst>
            </c:dLbl>
            <c:dLbl>
              <c:idx val="3"/>
              <c:layout>
                <c:manualLayout>
                  <c:x val="0.22132572696409861"/>
                  <c:y val="1.4098843539754038E-2"/>
                </c:manualLayout>
              </c:layout>
              <c:tx>
                <c:rich>
                  <a:bodyPr rot="0" spcFirstLastPara="1" vertOverflow="ellipsis" vert="horz" wrap="square" anchor="ctr" anchorCtr="1"/>
                  <a:lstStyle/>
                  <a:p>
                    <a:pPr algn="ctr" rtl="0">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64EAE4B0-E3B4-416C-8821-FE84A71F2DFF}" type="VALUE">
                      <a:rPr lang="en-US"/>
                      <a:pPr algn="ctr" rtl="0">
                        <a:defRPr/>
                      </a:pPr>
                      <a:t>[VALUE]</a:t>
                    </a:fld>
                    <a:r>
                      <a:rPr lang="en-US"/>
                      <a:t> (22,5% no projektu līgumiem) </a:t>
                    </a:r>
                  </a:p>
                  <a:p>
                    <a:pPr algn="ctr" rtl="0">
                      <a:defRPr/>
                    </a:pPr>
                    <a:r>
                      <a:rPr lang="en-US"/>
                      <a:t>+57,1 milj. euro</a:t>
                    </a:r>
                  </a:p>
                  <a:p>
                    <a:pPr algn="ctr" rtl="0">
                      <a:defRPr/>
                    </a:pPr>
                    <a:endParaRPr lang="lv-LV"/>
                  </a:p>
                </c:rich>
              </c:tx>
              <c:numFmt formatCode="#,##0.0" sourceLinked="0"/>
              <c:spPr>
                <a:noFill/>
                <a:ln>
                  <a:noFill/>
                </a:ln>
                <a:effectLst/>
              </c:spPr>
              <c:txPr>
                <a:bodyPr rot="0" spcFirstLastPara="1" vertOverflow="ellipsis" vert="horz" wrap="square" anchor="ctr" anchorCtr="1"/>
                <a:lstStyle/>
                <a:p>
                  <a:pPr algn="ctr" rtl="0">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43450141847547391"/>
                      <c:h val="0.10675989030782917"/>
                    </c:manualLayout>
                  </c15:layout>
                  <c15:dlblFieldTable/>
                  <c15:showDataLabelsRange val="0"/>
                </c:ext>
                <c:ext xmlns:c16="http://schemas.microsoft.com/office/drawing/2014/chart" uri="{C3380CC4-5D6E-409C-BE32-E72D297353CC}">
                  <c16:uniqueId val="{0000000F-66BC-43A2-A688-E29DA1961880}"/>
                </c:ext>
              </c:extLst>
            </c:dLbl>
            <c:dLbl>
              <c:idx val="4"/>
              <c:layout>
                <c:manualLayout>
                  <c:x val="0.26580154633134745"/>
                  <c:y val="-7.6700019484464009E-4"/>
                </c:manualLayout>
              </c:layout>
              <c:tx>
                <c:rich>
                  <a:bodyPr/>
                  <a:lstStyle/>
                  <a:p>
                    <a:fld id="{5FA50F4E-52FE-4052-AA61-C6665E5C0E21}" type="VALUE">
                      <a:rPr lang="en-US"/>
                      <a:pPr/>
                      <a:t>[VALUE]</a:t>
                    </a:fld>
                    <a:r>
                      <a:rPr lang="en-US"/>
                      <a:t> (76,8%) </a:t>
                    </a:r>
                    <a:r>
                      <a:rPr lang="en-US">
                        <a:latin typeface="Times New Roman" panose="02020603050405020304" pitchFamily="18" charset="0"/>
                        <a:cs typeface="Times New Roman" panose="02020603050405020304" pitchFamily="18" charset="0"/>
                      </a:rPr>
                      <a:t>↑4,5%</a:t>
                    </a:r>
                  </a:p>
                </c:rich>
              </c:tx>
              <c:showLegendKey val="0"/>
              <c:showVal val="1"/>
              <c:showCatName val="0"/>
              <c:showSerName val="0"/>
              <c:showPercent val="0"/>
              <c:showBubbleSize val="0"/>
              <c:extLst>
                <c:ext xmlns:c15="http://schemas.microsoft.com/office/drawing/2012/chart" uri="{CE6537A1-D6FC-4f65-9D91-7224C49458BB}">
                  <c15:layout>
                    <c:manualLayout>
                      <c:w val="0.26710508612286099"/>
                      <c:h val="5.3370697658425885E-2"/>
                    </c:manualLayout>
                  </c15:layout>
                  <c15:dlblFieldTable/>
                  <c15:showDataLabelsRange val="0"/>
                </c:ext>
                <c:ext xmlns:c16="http://schemas.microsoft.com/office/drawing/2014/chart" uri="{C3380CC4-5D6E-409C-BE32-E72D297353CC}">
                  <c16:uniqueId val="{00000008-66BC-43A2-A688-E29DA1961880}"/>
                </c:ext>
              </c:extLst>
            </c:dLbl>
            <c:dLbl>
              <c:idx val="5"/>
              <c:layout>
                <c:manualLayout>
                  <c:x val="0.28417176135421612"/>
                  <c:y val="5.2447592522545067E-4"/>
                </c:manualLayout>
              </c:layout>
              <c:tx>
                <c:rich>
                  <a:bodyPr/>
                  <a:lstStyle/>
                  <a:p>
                    <a:fld id="{5C685BE9-56FF-4DE9-BE00-C617ED8DBE3A}" type="VALUE">
                      <a:rPr lang="en-US"/>
                      <a:pPr/>
                      <a:t>[VALUE]</a:t>
                    </a:fld>
                    <a:r>
                      <a:rPr lang="en-US" baseline="0"/>
                      <a:t> (84,7%) </a:t>
                    </a:r>
                    <a:r>
                      <a:rPr lang="en-US" baseline="0">
                        <a:latin typeface="Times New Roman" panose="02020603050405020304" pitchFamily="18" charset="0"/>
                        <a:cs typeface="Times New Roman" panose="02020603050405020304" pitchFamily="18" charset="0"/>
                      </a:rPr>
                      <a:t>↑10,2%</a:t>
                    </a:r>
                  </a:p>
                </c:rich>
              </c:tx>
              <c:showLegendKey val="0"/>
              <c:showVal val="1"/>
              <c:showCatName val="0"/>
              <c:showSerName val="0"/>
              <c:showPercent val="0"/>
              <c:showBubbleSize val="0"/>
              <c:extLst>
                <c:ext xmlns:c15="http://schemas.microsoft.com/office/drawing/2012/chart" uri="{CE6537A1-D6FC-4f65-9D91-7224C49458BB}">
                  <c15:layout>
                    <c:manualLayout>
                      <c:w val="0.27303069312345213"/>
                      <c:h val="6.0840353471099957E-2"/>
                    </c:manualLayout>
                  </c15:layout>
                  <c15:dlblFieldTable/>
                  <c15:showDataLabelsRange val="0"/>
                </c:ext>
                <c:ext xmlns:c16="http://schemas.microsoft.com/office/drawing/2014/chart" uri="{C3380CC4-5D6E-409C-BE32-E72D297353CC}">
                  <c16:uniqueId val="{0000000A-66BC-43A2-A688-E29DA1961880}"/>
                </c:ext>
              </c:extLst>
            </c:dLbl>
            <c:dLbl>
              <c:idx val="6"/>
              <c:layout>
                <c:manualLayout>
                  <c:x val="0.28455257170684112"/>
                  <c:y val="1.1427065066648061E-3"/>
                </c:manualLayout>
              </c:layout>
              <c:tx>
                <c:rich>
                  <a:bodyPr rot="0" spcFirstLastPara="1" vertOverflow="ellipsis" vert="horz" wrap="square" anchor="ctr" anchorCtr="1"/>
                  <a:lstStyle/>
                  <a:p>
                    <a:pPr algn="ctr" rtl="0">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A55BCF39-AE0E-455F-8CFE-D7E922C439AF}" type="VALUE">
                      <a:rPr lang="en-US"/>
                      <a:pPr algn="ctr" rtl="0">
                        <a:defRPr/>
                      </a:pPr>
                      <a:t>[VALUE]</a:t>
                    </a:fld>
                    <a:r>
                      <a:rPr lang="en-US"/>
                      <a:t> (88,3%) ↑0,7% </a:t>
                    </a:r>
                  </a:p>
                </c:rich>
              </c:tx>
              <c:numFmt formatCode="#,##0.0" sourceLinked="0"/>
              <c:spPr>
                <a:noFill/>
                <a:ln>
                  <a:noFill/>
                </a:ln>
                <a:effectLst/>
              </c:spPr>
              <c:txPr>
                <a:bodyPr rot="0" spcFirstLastPara="1" vertOverflow="ellipsis" vert="horz" wrap="square" anchor="ctr" anchorCtr="1"/>
                <a:lstStyle/>
                <a:p>
                  <a:pPr algn="ctr" rtl="0">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28145036054155453"/>
                      <c:h val="5.5652672236931079E-2"/>
                    </c:manualLayout>
                  </c15:layout>
                  <c15:dlblFieldTable/>
                  <c15:showDataLabelsRange val="0"/>
                </c:ext>
                <c:ext xmlns:c16="http://schemas.microsoft.com/office/drawing/2014/chart" uri="{C3380CC4-5D6E-409C-BE32-E72D297353CC}">
                  <c16:uniqueId val="{0000000C-66BC-43A2-A688-E29DA1961880}"/>
                </c:ext>
              </c:extLst>
            </c:dLbl>
            <c:dLbl>
              <c:idx val="7"/>
              <c:layout>
                <c:manualLayout>
                  <c:x val="-1.823933460132252E-3"/>
                  <c:y val="-6.0256340636465532E-2"/>
                </c:manualLayout>
              </c:layout>
              <c:tx>
                <c:rich>
                  <a:bodyPr/>
                  <a:lstStyle/>
                  <a:p>
                    <a:fld id="{1DBBE3E3-6395-4E39-A2E7-CD57422C3C25}" type="VALUE">
                      <a:rPr lang="en-US"/>
                      <a:pPr/>
                      <a:t>[VALUE]</a:t>
                    </a:fld>
                    <a:r>
                      <a:rPr lang="en-US"/>
                      <a:t> (100%)</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66BC-43A2-A688-E29DA1961880}"/>
                </c:ext>
              </c:extLst>
            </c:dLbl>
            <c:numFmt formatCode="#,##0.0" sourceLinked="0"/>
            <c:spPr>
              <a:noFill/>
              <a:ln>
                <a:noFill/>
              </a:ln>
              <a:effectLst/>
            </c:spPr>
            <c:txPr>
              <a:bodyPr rot="0" spcFirstLastPara="1" vertOverflow="ellipsis" vert="horz" wrap="square" anchor="ctr" anchorCtr="1"/>
              <a:lstStyle/>
              <a:p>
                <a:pPr>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(Dati!$D$3:$M$3,Dati!$S$3:$T$3)</c:f>
              <c:strCache>
                <c:ptCount val="9"/>
                <c:pt idx="0">
                  <c:v>No EK saņemtie starpposma maksājumi</c:v>
                </c:pt>
                <c:pt idx="1">
                  <c:v>Deklarētie maksājumi EK</c:v>
                </c:pt>
                <c:pt idx="2">
                  <c:v>Veikti maksājumi projektos</c:v>
                </c:pt>
                <c:pt idx="3">
                  <c:v>Iepirkumu līgumi</c:v>
                </c:pt>
                <c:pt idx="4">
                  <c:v>Projektu līgumi, skaits -  1531</c:v>
                </c:pt>
                <c:pt idx="5">
                  <c:v>Apstiprināti projekti, skaits - 1572</c:v>
                </c:pt>
                <c:pt idx="6">
                  <c:v>Iesniegti projekti, skaits - 1800</c:v>
                </c:pt>
                <c:pt idx="7">
                  <c:v>Pieejamais ES fondu finansējums</c:v>
                </c:pt>
                <c:pt idx="8">
                  <c:v>Pieejamais ''virssaistību*'' apjoms</c:v>
                </c:pt>
              </c:strCache>
            </c:strRef>
          </c:cat>
          <c:val>
            <c:numRef>
              <c:f>(Dati!$D$5:$M$5,Dati!$S$5)</c:f>
              <c:numCache>
                <c:formatCode>#\ ##0_ ;\-#\ ##0\ </c:formatCode>
                <c:ptCount val="8"/>
                <c:pt idx="0" formatCode="#,##0">
                  <c:v>965618116</c:v>
                </c:pt>
                <c:pt idx="1">
                  <c:v>1249173001.25</c:v>
                </c:pt>
                <c:pt idx="2" formatCode="#,##0">
                  <c:v>1561038487.9400001</c:v>
                </c:pt>
                <c:pt idx="3" formatCode="#,##0">
                  <c:v>764332938.84585369</c:v>
                </c:pt>
                <c:pt idx="4" formatCode="#,##0">
                  <c:v>3391348945.77</c:v>
                </c:pt>
                <c:pt idx="5" formatCode="#,##0">
                  <c:v>3744360001.0100002</c:v>
                </c:pt>
                <c:pt idx="6" formatCode="#,##0">
                  <c:v>3901791693.1500001</c:v>
                </c:pt>
                <c:pt idx="7" formatCode="#,##0">
                  <c:v>4418233214</c:v>
                </c:pt>
              </c:numCache>
            </c:numRef>
          </c:val>
          <c:extLst>
            <c:ext xmlns:c16="http://schemas.microsoft.com/office/drawing/2014/chart" uri="{C3380CC4-5D6E-409C-BE32-E72D297353CC}">
              <c16:uniqueId val="{00000010-66BC-43A2-A688-E29DA1961880}"/>
            </c:ext>
          </c:extLst>
        </c:ser>
        <c:ser>
          <c:idx val="2"/>
          <c:order val="2"/>
          <c:tx>
            <c:strRef>
              <c:f>Dati!$T$3</c:f>
              <c:strCache>
                <c:ptCount val="1"/>
                <c:pt idx="0">
                  <c:v>Pieejamais ''virssaistību*'' apjoms</c:v>
                </c:pt>
              </c:strCache>
            </c:strRef>
          </c:tx>
          <c:spPr>
            <a:solidFill>
              <a:srgbClr val="FF0000"/>
            </a:solidFill>
            <a:ln>
              <a:noFill/>
            </a:ln>
            <a:effectLst/>
          </c:spPr>
          <c:invertIfNegative val="0"/>
          <c:dLbls>
            <c:dLbl>
              <c:idx val="7"/>
              <c:layout>
                <c:manualLayout>
                  <c:x val="7.0682811104350027E-2"/>
                  <c:y val="0"/>
                </c:manualLayout>
              </c:layout>
              <c:tx>
                <c:rich>
                  <a:bodyPr/>
                  <a:lstStyle/>
                  <a:p>
                    <a:fld id="{2A33641C-09A9-41A5-88F1-67B7E35E633C}" type="VALUE">
                      <a:rPr lang="en-US"/>
                      <a:pPr/>
                      <a:t>[VALUE]</a:t>
                    </a:fld>
                    <a:r>
                      <a:rPr lang="en-US"/>
                      <a:t> (1,5%)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66BC-43A2-A688-E29DA1961880}"/>
                </c:ext>
              </c:extLst>
            </c:dLbl>
            <c:numFmt formatCode="#,##0.0" sourceLinked="0"/>
            <c:spPr>
              <a:noFill/>
              <a:ln>
                <a:noFill/>
              </a:ln>
              <a:effectLst/>
            </c:spPr>
            <c:txPr>
              <a:bodyPr rot="0" spcFirstLastPara="1" vertOverflow="ellipsis" vert="horz" wrap="square" anchor="ctr" anchorCtr="1"/>
              <a:lstStyle/>
              <a:p>
                <a:pPr>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(Dati!$D$3:$M$3,Dati!$S$3:$T$3)</c:f>
              <c:strCache>
                <c:ptCount val="9"/>
                <c:pt idx="0">
                  <c:v>No EK saņemtie starpposma maksājumi</c:v>
                </c:pt>
                <c:pt idx="1">
                  <c:v>Deklarētie maksājumi EK</c:v>
                </c:pt>
                <c:pt idx="2">
                  <c:v>Veikti maksājumi projektos</c:v>
                </c:pt>
                <c:pt idx="3">
                  <c:v>Iepirkumu līgumi</c:v>
                </c:pt>
                <c:pt idx="4">
                  <c:v>Projektu līgumi, skaits -  1531</c:v>
                </c:pt>
                <c:pt idx="5">
                  <c:v>Apstiprināti projekti, skaits - 1572</c:v>
                </c:pt>
                <c:pt idx="6">
                  <c:v>Iesniegti projekti, skaits - 1800</c:v>
                </c:pt>
                <c:pt idx="7">
                  <c:v>Pieejamais ES fondu finansējums</c:v>
                </c:pt>
                <c:pt idx="8">
                  <c:v>Pieejamais ''virssaistību*'' apjoms</c:v>
                </c:pt>
              </c:strCache>
            </c:strRef>
          </c:cat>
          <c:val>
            <c:numRef>
              <c:f>(Dati!$D$6:$M$6,Dati!$S$6)</c:f>
              <c:numCache>
                <c:formatCode>General</c:formatCode>
                <c:ptCount val="8"/>
                <c:pt idx="7" formatCode="#,##0">
                  <c:v>66269088</c:v>
                </c:pt>
              </c:numCache>
            </c:numRef>
          </c:val>
          <c:extLst>
            <c:ext xmlns:c16="http://schemas.microsoft.com/office/drawing/2014/chart" uri="{C3380CC4-5D6E-409C-BE32-E72D297353CC}">
              <c16:uniqueId val="{00000012-66BC-43A2-A688-E29DA1961880}"/>
            </c:ext>
          </c:extLst>
        </c:ser>
        <c:ser>
          <c:idx val="3"/>
          <c:order val="3"/>
          <c:tx>
            <c:strRef>
              <c:f>'Ikmēneša ziņojumam - lielais gr'!#REF!</c:f>
              <c:strCache>
                <c:ptCount val="1"/>
                <c:pt idx="0">
                  <c:v>#REF!</c:v>
                </c:pt>
              </c:strCache>
            </c:strRef>
          </c:tx>
          <c:spPr>
            <a:solidFill>
              <a:schemeClr val="accent4"/>
            </a:solidFill>
            <a:ln>
              <a:noFill/>
            </a:ln>
            <a:effectLst/>
          </c:spPr>
          <c:invertIfNegative val="0"/>
          <c:cat>
            <c:strRef>
              <c:f>(Dati!$D$3:$M$3,Dati!$S$3:$T$3)</c:f>
              <c:strCache>
                <c:ptCount val="9"/>
                <c:pt idx="0">
                  <c:v>No EK saņemtie starpposma maksājumi</c:v>
                </c:pt>
                <c:pt idx="1">
                  <c:v>Deklarētie maksājumi EK</c:v>
                </c:pt>
                <c:pt idx="2">
                  <c:v>Veikti maksājumi projektos</c:v>
                </c:pt>
                <c:pt idx="3">
                  <c:v>Iepirkumu līgumi</c:v>
                </c:pt>
                <c:pt idx="4">
                  <c:v>Projektu līgumi, skaits -  1531</c:v>
                </c:pt>
                <c:pt idx="5">
                  <c:v>Apstiprināti projekti, skaits - 1572</c:v>
                </c:pt>
                <c:pt idx="6">
                  <c:v>Iesniegti projekti, skaits - 1800</c:v>
                </c:pt>
                <c:pt idx="7">
                  <c:v>Pieejamais ES fondu finansējums</c:v>
                </c:pt>
                <c:pt idx="8">
                  <c:v>Pieejamais ''virssaistību*'' apjoms</c:v>
                </c:pt>
              </c:strCache>
            </c:strRef>
          </c:cat>
          <c:val>
            <c:numRef>
              <c:f>'Ikmēneša ziņojumam - lielais gr'!#REF!</c:f>
              <c:numCache>
                <c:formatCode>General</c:formatCode>
                <c:ptCount val="1"/>
                <c:pt idx="0">
                  <c:v>1</c:v>
                </c:pt>
              </c:numCache>
            </c:numRef>
          </c:val>
          <c:extLst>
            <c:ext xmlns:c16="http://schemas.microsoft.com/office/drawing/2014/chart" uri="{C3380CC4-5D6E-409C-BE32-E72D297353CC}">
              <c16:uniqueId val="{00000013-66BC-43A2-A688-E29DA1961880}"/>
            </c:ext>
          </c:extLst>
        </c:ser>
        <c:ser>
          <c:idx val="4"/>
          <c:order val="4"/>
          <c:tx>
            <c:strRef>
              <c:f>Dati!$C$7</c:f>
              <c:strCache>
                <c:ptCount val="1"/>
                <c:pt idx="0">
                  <c:v>Esošais mēnesis (30.07)/ %</c:v>
                </c:pt>
              </c:strCache>
            </c:strRef>
          </c:tx>
          <c:spPr>
            <a:solidFill>
              <a:schemeClr val="accent5"/>
            </a:solidFill>
            <a:ln>
              <a:noFill/>
            </a:ln>
            <a:effectLst/>
          </c:spPr>
          <c:invertIfNegative val="0"/>
          <c:cat>
            <c:strRef>
              <c:f>(Dati!$D$3:$M$3,Dati!$S$3:$T$3)</c:f>
              <c:strCache>
                <c:ptCount val="9"/>
                <c:pt idx="0">
                  <c:v>No EK saņemtie starpposma maksājumi</c:v>
                </c:pt>
                <c:pt idx="1">
                  <c:v>Deklarētie maksājumi EK</c:v>
                </c:pt>
                <c:pt idx="2">
                  <c:v>Veikti maksājumi projektos</c:v>
                </c:pt>
                <c:pt idx="3">
                  <c:v>Iepirkumu līgumi</c:v>
                </c:pt>
                <c:pt idx="4">
                  <c:v>Projektu līgumi, skaits -  1531</c:v>
                </c:pt>
                <c:pt idx="5">
                  <c:v>Apstiprināti projekti, skaits - 1572</c:v>
                </c:pt>
                <c:pt idx="6">
                  <c:v>Iesniegti projekti, skaits - 1800</c:v>
                </c:pt>
                <c:pt idx="7">
                  <c:v>Pieejamais ES fondu finansējums</c:v>
                </c:pt>
                <c:pt idx="8">
                  <c:v>Pieejamais ''virssaistību*'' apjoms</c:v>
                </c:pt>
              </c:strCache>
            </c:strRef>
          </c:cat>
          <c:val>
            <c:numRef>
              <c:f>(Dati!$D$7:$M$7,Dati!$S$7)</c:f>
              <c:numCache>
                <c:formatCode>0.0%</c:formatCode>
                <c:ptCount val="8"/>
                <c:pt idx="0">
                  <c:v>0.21855299827547764</c:v>
                </c:pt>
                <c:pt idx="1">
                  <c:v>0.28273134095587377</c:v>
                </c:pt>
                <c:pt idx="2">
                  <c:v>0.35331735839420086</c:v>
                </c:pt>
                <c:pt idx="3">
                  <c:v>0.22537726169381642</c:v>
                </c:pt>
                <c:pt idx="4">
                  <c:v>0.76758033845381346</c:v>
                </c:pt>
                <c:pt idx="5">
                  <c:v>0.84747903056481799</c:v>
                </c:pt>
                <c:pt idx="6">
                  <c:v>0.88311130358317025</c:v>
                </c:pt>
              </c:numCache>
            </c:numRef>
          </c:val>
          <c:extLst>
            <c:ext xmlns:c16="http://schemas.microsoft.com/office/drawing/2014/chart" uri="{C3380CC4-5D6E-409C-BE32-E72D297353CC}">
              <c16:uniqueId val="{00000014-66BC-43A2-A688-E29DA1961880}"/>
            </c:ext>
          </c:extLst>
        </c:ser>
        <c:ser>
          <c:idx val="5"/>
          <c:order val="5"/>
          <c:tx>
            <c:strRef>
              <c:f>Dati!$C$8</c:f>
              <c:strCache>
                <c:ptCount val="1"/>
              </c:strCache>
            </c:strRef>
          </c:tx>
          <c:spPr>
            <a:solidFill>
              <a:schemeClr val="accent6"/>
            </a:solidFill>
            <a:ln>
              <a:noFill/>
            </a:ln>
            <a:effectLst/>
          </c:spPr>
          <c:invertIfNegative val="0"/>
          <c:cat>
            <c:strRef>
              <c:f>(Dati!$D$3:$M$3,Dati!$S$3:$T$3)</c:f>
              <c:strCache>
                <c:ptCount val="9"/>
                <c:pt idx="0">
                  <c:v>No EK saņemtie starpposma maksājumi</c:v>
                </c:pt>
                <c:pt idx="1">
                  <c:v>Deklarētie maksājumi EK</c:v>
                </c:pt>
                <c:pt idx="2">
                  <c:v>Veikti maksājumi projektos</c:v>
                </c:pt>
                <c:pt idx="3">
                  <c:v>Iepirkumu līgumi</c:v>
                </c:pt>
                <c:pt idx="4">
                  <c:v>Projektu līgumi, skaits -  1531</c:v>
                </c:pt>
                <c:pt idx="5">
                  <c:v>Apstiprināti projekti, skaits - 1572</c:v>
                </c:pt>
                <c:pt idx="6">
                  <c:v>Iesniegti projekti, skaits - 1800</c:v>
                </c:pt>
                <c:pt idx="7">
                  <c:v>Pieejamais ES fondu finansējums</c:v>
                </c:pt>
                <c:pt idx="8">
                  <c:v>Pieejamais ''virssaistību*'' apjoms</c:v>
                </c:pt>
              </c:strCache>
            </c:strRef>
          </c:cat>
          <c:val>
            <c:numRef>
              <c:f>(Dati!$D$8:$M$8,Dati!$S$8)</c:f>
              <c:numCache>
                <c:formatCode>General</c:formatCode>
                <c:ptCount val="8"/>
              </c:numCache>
            </c:numRef>
          </c:val>
          <c:extLst>
            <c:ext xmlns:c16="http://schemas.microsoft.com/office/drawing/2014/chart" uri="{C3380CC4-5D6E-409C-BE32-E72D297353CC}">
              <c16:uniqueId val="{00000015-66BC-43A2-A688-E29DA1961880}"/>
            </c:ext>
          </c:extLst>
        </c:ser>
        <c:ser>
          <c:idx val="6"/>
          <c:order val="6"/>
          <c:tx>
            <c:strRef>
              <c:f>Dati!$C$9</c:f>
              <c:strCache>
                <c:ptCount val="1"/>
                <c:pt idx="0">
                  <c:v>31.12.2018</c:v>
                </c:pt>
              </c:strCache>
            </c:strRef>
          </c:tx>
          <c:spPr>
            <a:solidFill>
              <a:schemeClr val="accent1">
                <a:lumMod val="60000"/>
              </a:schemeClr>
            </a:solidFill>
            <a:ln>
              <a:noFill/>
            </a:ln>
            <a:effectLst/>
          </c:spPr>
          <c:invertIfNegative val="0"/>
          <c:cat>
            <c:strRef>
              <c:f>(Dati!$D$3:$M$3,Dati!$S$3:$T$3)</c:f>
              <c:strCache>
                <c:ptCount val="9"/>
                <c:pt idx="0">
                  <c:v>No EK saņemtie starpposma maksājumi</c:v>
                </c:pt>
                <c:pt idx="1">
                  <c:v>Deklarētie maksājumi EK</c:v>
                </c:pt>
                <c:pt idx="2">
                  <c:v>Veikti maksājumi projektos</c:v>
                </c:pt>
                <c:pt idx="3">
                  <c:v>Iepirkumu līgumi</c:v>
                </c:pt>
                <c:pt idx="4">
                  <c:v>Projektu līgumi, skaits -  1531</c:v>
                </c:pt>
                <c:pt idx="5">
                  <c:v>Apstiprināti projekti, skaits - 1572</c:v>
                </c:pt>
                <c:pt idx="6">
                  <c:v>Iesniegti projekti, skaits - 1800</c:v>
                </c:pt>
                <c:pt idx="7">
                  <c:v>Pieejamais ES fondu finansējums</c:v>
                </c:pt>
                <c:pt idx="8">
                  <c:v>Pieejamais ''virssaistību*'' apjoms</c:v>
                </c:pt>
              </c:strCache>
            </c:strRef>
          </c:cat>
          <c:val>
            <c:numRef>
              <c:f>(Dati!$D$9:$M$9,Dati!$S$9)</c:f>
              <c:numCache>
                <c:formatCode>0.0%</c:formatCode>
                <c:ptCount val="8"/>
                <c:pt idx="0">
                  <c:v>0.15108115030570701</c:v>
                </c:pt>
                <c:pt idx="1">
                  <c:v>0.19651356615780491</c:v>
                </c:pt>
                <c:pt idx="2">
                  <c:v>0.27112380105564976</c:v>
                </c:pt>
                <c:pt idx="3">
                  <c:v>0.22156493351521372</c:v>
                </c:pt>
                <c:pt idx="4">
                  <c:v>0.72245484305482843</c:v>
                </c:pt>
                <c:pt idx="5">
                  <c:v>0.74538894058252869</c:v>
                </c:pt>
                <c:pt idx="6">
                  <c:v>0.87614456288861708</c:v>
                </c:pt>
                <c:pt idx="7">
                  <c:v>1.4999001815932661E-2</c:v>
                </c:pt>
              </c:numCache>
            </c:numRef>
          </c:val>
          <c:extLst>
            <c:ext xmlns:c16="http://schemas.microsoft.com/office/drawing/2014/chart" uri="{C3380CC4-5D6E-409C-BE32-E72D297353CC}">
              <c16:uniqueId val="{00000016-66BC-43A2-A688-E29DA1961880}"/>
            </c:ext>
          </c:extLst>
        </c:ser>
        <c:ser>
          <c:idx val="7"/>
          <c:order val="7"/>
          <c:tx>
            <c:strRef>
              <c:f>#REF!</c:f>
              <c:strCache>
                <c:ptCount val="1"/>
                <c:pt idx="0">
                  <c:v>#REF!</c:v>
                </c:pt>
              </c:strCache>
            </c:strRef>
          </c:tx>
          <c:spPr>
            <a:solidFill>
              <a:schemeClr val="accent2">
                <a:lumMod val="60000"/>
              </a:schemeClr>
            </a:solidFill>
            <a:ln>
              <a:noFill/>
            </a:ln>
            <a:effectLst/>
          </c:spPr>
          <c:invertIfNegative val="0"/>
          <c:val>
            <c:numRef>
              <c:f>#REF!</c:f>
              <c:numCache>
                <c:formatCode>General</c:formatCode>
                <c:ptCount val="1"/>
                <c:pt idx="0">
                  <c:v>1</c:v>
                </c:pt>
              </c:numCache>
            </c:numRef>
          </c:val>
          <c:extLst>
            <c:ext xmlns:c16="http://schemas.microsoft.com/office/drawing/2014/chart" uri="{C3380CC4-5D6E-409C-BE32-E72D297353CC}">
              <c16:uniqueId val="{00000017-66BC-43A2-A688-E29DA1961880}"/>
            </c:ext>
          </c:extLst>
        </c:ser>
        <c:dLbls>
          <c:showLegendKey val="0"/>
          <c:showVal val="0"/>
          <c:showCatName val="0"/>
          <c:showSerName val="0"/>
          <c:showPercent val="0"/>
          <c:showBubbleSize val="0"/>
        </c:dLbls>
        <c:gapWidth val="150"/>
        <c:overlap val="100"/>
        <c:axId val="195361344"/>
        <c:axId val="213295048"/>
      </c:barChart>
      <c:catAx>
        <c:axId val="19536134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213295048"/>
        <c:crosses val="autoZero"/>
        <c:auto val="1"/>
        <c:lblAlgn val="ctr"/>
        <c:lblOffset val="100"/>
        <c:noMultiLvlLbl val="0"/>
      </c:catAx>
      <c:valAx>
        <c:axId val="213295048"/>
        <c:scaling>
          <c:orientation val="minMax"/>
          <c:min val="0"/>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5361344"/>
        <c:crosses val="autoZero"/>
        <c:crossBetween val="between"/>
        <c:majorUnit val="2000000000"/>
        <c:dispUnits>
          <c:builtInUnit val="millions"/>
        </c:dispUnits>
      </c:valAx>
      <c:spPr>
        <a:noFill/>
        <a:ln>
          <a:noFill/>
        </a:ln>
        <a:effectLst/>
      </c:spPr>
    </c:plotArea>
    <c:legend>
      <c:legendPos val="b"/>
      <c:legendEntry>
        <c:idx val="1"/>
        <c:delete val="1"/>
      </c:legendEntry>
      <c:legendEntry>
        <c:idx val="3"/>
        <c:delete val="1"/>
      </c:legendEntry>
      <c:legendEntry>
        <c:idx val="4"/>
        <c:delete val="1"/>
      </c:legendEntry>
      <c:legendEntry>
        <c:idx val="5"/>
        <c:delete val="1"/>
      </c:legendEntry>
      <c:legendEntry>
        <c:idx val="6"/>
        <c:delete val="1"/>
      </c:legendEntry>
      <c:legendEntry>
        <c:idx val="7"/>
        <c:delete val="1"/>
      </c:legendEntry>
      <c:layout>
        <c:manualLayout>
          <c:xMode val="edge"/>
          <c:yMode val="edge"/>
          <c:x val="1.1259688962352345E-4"/>
          <c:y val="0.83352188798810301"/>
          <c:w val="0.99582987712650861"/>
          <c:h val="5.0903763879409362E-2"/>
        </c:manualLayout>
      </c:layout>
      <c:overlay val="0"/>
      <c:spPr>
        <a:noFill/>
        <a:ln>
          <a:noFill/>
        </a:ln>
        <a:effectLst/>
      </c:spPr>
      <c:txPr>
        <a:bodyPr rot="0" spcFirstLastPara="1" vertOverflow="ellipsis" vert="horz" wrap="square" anchor="ctr" anchorCtr="1"/>
        <a:lstStyle/>
        <a:p>
          <a:pPr>
            <a:defRPr sz="11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5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pivotSource>
    <c:name>[Chart in Microsoft Word]PIVOT 2!PivotTable3</c:name>
    <c:fmtId val="-1"/>
  </c:pivotSource>
  <c:chart>
    <c:autoTitleDeleted val="1"/>
    <c:pivotFmts>
      <c:pivotFmt>
        <c:idx val="0"/>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
        <c:spPr>
          <a:solidFill>
            <a:schemeClr val="accent1"/>
          </a:solidFill>
          <a:ln w="25400">
            <a:solidFill>
              <a:schemeClr val="lt1"/>
            </a:solidFill>
          </a:ln>
          <a:effectLst/>
          <a:sp3d contourW="25400">
            <a:contourClr>
              <a:schemeClr val="lt1"/>
            </a:contourClr>
          </a:sp3d>
        </c:spPr>
        <c:dLbl>
          <c:idx val="0"/>
          <c:layout>
            <c:manualLayout>
              <c:x val="6.4102553317424921E-3"/>
              <c:y val="-0.20392017876746299"/>
            </c:manualLayout>
          </c:layout>
          <c:tx>
            <c:rich>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r>
                  <a:rPr lang="en-US" sz="1050" b="1" u="sng"/>
                  <a:t>1,3 milj.</a:t>
                </a:r>
                <a:r>
                  <a:rPr lang="en-US" sz="1050" b="1" i="1" u="sng"/>
                  <a:t>euro</a:t>
                </a:r>
              </a:p>
            </c:rich>
          </c:tx>
          <c:spPr>
            <a:noFill/>
            <a:ln>
              <a:noFill/>
            </a:ln>
            <a:effectLst/>
          </c:spPr>
          <c:txPr>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8215808901034911"/>
                  <c:h val="7.2186836518046707E-2"/>
                </c:manualLayout>
              </c15:layout>
            </c:ext>
          </c:extLst>
        </c:dLbl>
      </c:pivotFmt>
      <c:pivotFmt>
        <c:idx val="2"/>
        <c:spPr>
          <a:solidFill>
            <a:schemeClr val="accent1"/>
          </a:solidFill>
          <a:ln w="25400">
            <a:solidFill>
              <a:schemeClr val="lt1"/>
            </a:solidFill>
          </a:ln>
          <a:effectLst/>
          <a:sp3d contourW="25400">
            <a:contourClr>
              <a:schemeClr val="lt1"/>
            </a:contourClr>
          </a:sp3d>
        </c:spPr>
        <c:dLbl>
          <c:idx val="0"/>
          <c:layout>
            <c:manualLayout>
              <c:x val="-5.7692297985682414E-2"/>
              <c:y val="-3.2654262166273804E-2"/>
            </c:manualLayout>
          </c:layout>
          <c:tx>
            <c:rich>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fld id="{0E7410BF-A098-46F9-8300-C6CF24EA05CC}" type="VALUE">
                  <a:rPr lang="en-US" sz="1050" b="1" u="sng"/>
                  <a:pPr>
                    <a:defRPr sz="1050" b="1" i="0" u="sng" strike="noStrike" kern="1200" baseline="0">
                      <a:solidFill>
                        <a:schemeClr val="tx1">
                          <a:lumMod val="75000"/>
                          <a:lumOff val="25000"/>
                        </a:schemeClr>
                      </a:solidFill>
                      <a:latin typeface="+mn-lt"/>
                      <a:ea typeface="+mn-ea"/>
                      <a:cs typeface="+mn-cs"/>
                    </a:defRPr>
                  </a:pPr>
                  <a:t>[VALUE]</a:t>
                </a:fld>
                <a:r>
                  <a:rPr lang="en-US" sz="1050" b="1" i="1" u="sng"/>
                  <a:t> euro</a:t>
                </a:r>
              </a:p>
            </c:rich>
          </c:tx>
          <c:spPr>
            <a:noFill/>
            <a:ln>
              <a:noFill/>
            </a:ln>
            <a:effectLst/>
          </c:spPr>
          <c:txPr>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3141023430072107"/>
                  <c:h val="5.1663128096249115E-2"/>
                </c:manualLayout>
              </c15:layout>
              <c15:dlblFieldTable/>
              <c15:showDataLabelsRange val="0"/>
            </c:ext>
          </c:extLst>
        </c:dLbl>
      </c:pivotFmt>
      <c:pivotFmt>
        <c:idx val="3"/>
        <c:spPr>
          <a:solidFill>
            <a:schemeClr val="accent1"/>
          </a:solidFill>
          <a:ln w="25400">
            <a:solidFill>
              <a:schemeClr val="lt1"/>
            </a:solidFill>
          </a:ln>
          <a:effectLst/>
          <a:sp3d contourW="25400">
            <a:contourClr>
              <a:schemeClr val="lt1"/>
            </a:contourClr>
          </a:sp3d>
        </c:spPr>
        <c:dLbl>
          <c:idx val="0"/>
          <c:layout>
            <c:manualLayout>
              <c:x val="0.11752134774861234"/>
              <c:y val="6.085148592094778E-2"/>
            </c:manualLayout>
          </c:layout>
          <c:tx>
            <c:rich>
              <a:bodyPr rot="0" spcFirstLastPara="1" vertOverflow="ellipsis" vert="horz" wrap="square" lIns="38100" tIns="19050" rIns="38100" bIns="19050" anchor="ctr" anchorCtr="1">
                <a:noAutofit/>
              </a:bodyPr>
              <a:lstStyle/>
              <a:p>
                <a:pPr>
                  <a:defRPr lang="lv-LV" sz="1050" b="1" i="0" u="none" strike="noStrike" kern="1200" baseline="0">
                    <a:solidFill>
                      <a:schemeClr val="tx1">
                        <a:lumMod val="75000"/>
                        <a:lumOff val="25000"/>
                      </a:schemeClr>
                    </a:solidFill>
                    <a:latin typeface="+mn-lt"/>
                    <a:ea typeface="+mn-ea"/>
                    <a:cs typeface="+mn-cs"/>
                  </a:defRPr>
                </a:pPr>
                <a:r>
                  <a:rPr lang="en-US" sz="1050" b="1"/>
                  <a:t>317,5</a:t>
                </a:r>
                <a:r>
                  <a:rPr lang="en-US" sz="1050" b="1" baseline="0"/>
                  <a:t> tūkst. </a:t>
                </a:r>
                <a:r>
                  <a:rPr lang="en-US" sz="1050" b="1" i="1" baseline="0"/>
                  <a:t>euro</a:t>
                </a:r>
                <a:endParaRPr lang="en-US" sz="1050" b="1" i="1"/>
              </a:p>
            </c:rich>
          </c:tx>
          <c:spPr>
            <a:noFill/>
            <a:ln>
              <a:noFill/>
            </a:ln>
            <a:effectLst/>
          </c:spPr>
          <c:txPr>
            <a:bodyPr rot="0" spcFirstLastPara="1" vertOverflow="ellipsis" vert="horz" wrap="square" lIns="38100" tIns="19050" rIns="38100" bIns="19050" anchor="ctr" anchorCtr="1">
              <a:noAutofit/>
            </a:bodyPr>
            <a:lstStyle/>
            <a:p>
              <a:pPr>
                <a:defRPr lang="lv-LV" sz="105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8482902873190848"/>
                  <c:h val="4.6709129511677279E-2"/>
                </c:manualLayout>
              </c15:layout>
            </c:ext>
          </c:extLst>
        </c:dLbl>
      </c:pivotFmt>
      <c:pivotFmt>
        <c:idx val="4"/>
        <c:spPr>
          <a:solidFill>
            <a:schemeClr val="accent1"/>
          </a:solidFill>
          <a:ln w="25400">
            <a:solidFill>
              <a:schemeClr val="lt1"/>
            </a:solidFill>
          </a:ln>
          <a:effectLst/>
          <a:sp3d contourW="25400">
            <a:contourClr>
              <a:schemeClr val="lt1"/>
            </a:contourClr>
          </a:sp3d>
        </c:spPr>
        <c:dLbl>
          <c:idx val="0"/>
          <c:layout>
            <c:manualLayout>
              <c:x val="7.4786312203662395E-3"/>
              <c:y val="-3.540732567664711E-2"/>
            </c:manualLayout>
          </c:layout>
          <c:tx>
            <c:rich>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r>
                  <a:rPr lang="en-US" sz="1050" b="1" u="sng"/>
                  <a:t>39,9 tūkst. </a:t>
                </a:r>
                <a:r>
                  <a:rPr lang="en-US" sz="1050" b="1" i="1" u="sng"/>
                  <a:t>euro</a:t>
                </a:r>
              </a:p>
            </c:rich>
          </c:tx>
          <c:spPr>
            <a:noFill/>
            <a:ln>
              <a:noFill/>
            </a:ln>
            <a:effectLst/>
          </c:spPr>
          <c:txPr>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6399569890374541"/>
                  <c:h val="4.8832271762208071E-2"/>
                </c:manualLayout>
              </c15:layout>
            </c:ext>
          </c:extLst>
        </c:dLbl>
      </c:pivotFmt>
      <c:pivotFmt>
        <c:idx val="5"/>
        <c:spPr>
          <a:solidFill>
            <a:schemeClr val="accent1"/>
          </a:solidFill>
          <a:ln w="25400">
            <a:solidFill>
              <a:schemeClr val="lt1"/>
            </a:solidFill>
          </a:ln>
          <a:effectLst/>
          <a:sp3d contourW="25400">
            <a:contourClr>
              <a:schemeClr val="lt1"/>
            </a:contourClr>
          </a:sp3d>
        </c:spPr>
        <c:dLbl>
          <c:idx val="0"/>
          <c:layout>
            <c:manualLayout>
              <c:x val="-0.13995724140971114"/>
              <c:y val="5.991975525352324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50" b="1" u="sng"/>
                  <a:t>435,4 tūkst.</a:t>
                </a:r>
                <a:r>
                  <a:rPr lang="en-US" sz="1050" b="1" i="1" u="sng"/>
                  <a:t>euro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7307689395704726"/>
                  <c:h val="5.2370842179759368E-2"/>
                </c:manualLayout>
              </c15:layout>
            </c:ext>
          </c:extLst>
        </c:dLbl>
      </c:pivotFmt>
      <c:pivotFmt>
        <c:idx val="6"/>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7"/>
        <c:spPr>
          <a:solidFill>
            <a:schemeClr val="accent1"/>
          </a:solidFill>
          <a:ln w="25400">
            <a:solidFill>
              <a:schemeClr val="lt1"/>
            </a:solidFill>
          </a:ln>
          <a:effectLst/>
          <a:sp3d contourW="25400">
            <a:contourClr>
              <a:schemeClr val="lt1"/>
            </a:contourClr>
          </a:sp3d>
        </c:spPr>
        <c:dLbl>
          <c:idx val="0"/>
          <c:layout>
            <c:manualLayout>
              <c:x val="-0.13995724140971114"/>
              <c:y val="5.991975525352324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50" b="1" u="sng"/>
                  <a:t>435,4 tūkst.</a:t>
                </a:r>
                <a:r>
                  <a:rPr lang="en-US" sz="1050" b="1" i="1" u="sng"/>
                  <a:t>euro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7307689395704726"/>
                  <c:h val="5.2370842179759368E-2"/>
                </c:manualLayout>
              </c15:layout>
            </c:ext>
          </c:extLst>
        </c:dLbl>
      </c:pivotFmt>
      <c:pivotFmt>
        <c:idx val="8"/>
        <c:spPr>
          <a:solidFill>
            <a:schemeClr val="accent1"/>
          </a:solidFill>
          <a:ln w="25400">
            <a:solidFill>
              <a:schemeClr val="lt1"/>
            </a:solidFill>
          </a:ln>
          <a:effectLst/>
          <a:sp3d contourW="25400">
            <a:contourClr>
              <a:schemeClr val="lt1"/>
            </a:contourClr>
          </a:sp3d>
        </c:spPr>
        <c:dLbl>
          <c:idx val="0"/>
          <c:layout>
            <c:manualLayout>
              <c:x val="6.4102553317424921E-3"/>
              <c:y val="-0.20392017876746299"/>
            </c:manualLayout>
          </c:layout>
          <c:tx>
            <c:rich>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r>
                  <a:rPr lang="en-US" sz="1050" b="1" u="sng"/>
                  <a:t>1,3 milj.</a:t>
                </a:r>
                <a:r>
                  <a:rPr lang="en-US" sz="1050" b="1" i="1" u="sng"/>
                  <a:t>euro</a:t>
                </a:r>
              </a:p>
            </c:rich>
          </c:tx>
          <c:spPr>
            <a:noFill/>
            <a:ln>
              <a:noFill/>
            </a:ln>
            <a:effectLst/>
          </c:spPr>
          <c:txPr>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8215808901034911"/>
                  <c:h val="7.2186836518046707E-2"/>
                </c:manualLayout>
              </c15:layout>
            </c:ext>
          </c:extLst>
        </c:dLbl>
      </c:pivotFmt>
      <c:pivotFmt>
        <c:idx val="9"/>
        <c:spPr>
          <a:solidFill>
            <a:schemeClr val="accent1"/>
          </a:solidFill>
          <a:ln w="25400">
            <a:solidFill>
              <a:schemeClr val="lt1"/>
            </a:solidFill>
          </a:ln>
          <a:effectLst/>
          <a:sp3d contourW="25400">
            <a:contourClr>
              <a:schemeClr val="lt1"/>
            </a:contourClr>
          </a:sp3d>
        </c:spPr>
        <c:dLbl>
          <c:idx val="0"/>
          <c:layout>
            <c:manualLayout>
              <c:x val="-5.7692297985682414E-2"/>
              <c:y val="-3.2654262166273804E-2"/>
            </c:manualLayout>
          </c:layout>
          <c:tx>
            <c:rich>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fld id="{0E7410BF-A098-46F9-8300-C6CF24EA05CC}" type="VALUE">
                  <a:rPr lang="en-US" sz="1050" b="1" u="sng"/>
                  <a:pPr>
                    <a:defRPr sz="1050" b="1" i="0" u="sng" strike="noStrike" kern="1200" baseline="0">
                      <a:solidFill>
                        <a:schemeClr val="tx1">
                          <a:lumMod val="75000"/>
                          <a:lumOff val="25000"/>
                        </a:schemeClr>
                      </a:solidFill>
                      <a:latin typeface="+mn-lt"/>
                      <a:ea typeface="+mn-ea"/>
                      <a:cs typeface="+mn-cs"/>
                    </a:defRPr>
                  </a:pPr>
                  <a:t>[VALUE]</a:t>
                </a:fld>
                <a:r>
                  <a:rPr lang="en-US" sz="1050" b="1" i="1" u="sng"/>
                  <a:t> euro</a:t>
                </a:r>
              </a:p>
            </c:rich>
          </c:tx>
          <c:spPr>
            <a:noFill/>
            <a:ln>
              <a:noFill/>
            </a:ln>
            <a:effectLst/>
          </c:spPr>
          <c:txPr>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3141023430072107"/>
                  <c:h val="5.1663128096249115E-2"/>
                </c:manualLayout>
              </c15:layout>
              <c15:dlblFieldTable/>
              <c15:showDataLabelsRange val="0"/>
            </c:ext>
          </c:extLst>
        </c:dLbl>
      </c:pivotFmt>
      <c:pivotFmt>
        <c:idx val="10"/>
        <c:spPr>
          <a:solidFill>
            <a:schemeClr val="accent1"/>
          </a:solidFill>
          <a:ln w="25400">
            <a:solidFill>
              <a:schemeClr val="lt1"/>
            </a:solidFill>
          </a:ln>
          <a:effectLst/>
          <a:sp3d contourW="25400">
            <a:contourClr>
              <a:schemeClr val="lt1"/>
            </a:contourClr>
          </a:sp3d>
        </c:spPr>
        <c:dLbl>
          <c:idx val="0"/>
          <c:layout>
            <c:manualLayout>
              <c:x val="0.11752134774861234"/>
              <c:y val="6.085148592094778E-2"/>
            </c:manualLayout>
          </c:layout>
          <c:tx>
            <c:rich>
              <a:bodyPr rot="0" spcFirstLastPara="1" vertOverflow="ellipsis" vert="horz" wrap="square" lIns="38100" tIns="19050" rIns="38100" bIns="19050" anchor="ctr" anchorCtr="1">
                <a:noAutofit/>
              </a:bodyPr>
              <a:lstStyle/>
              <a:p>
                <a:pPr>
                  <a:defRPr lang="lv-LV" sz="1050" b="1" i="0" u="none" strike="noStrike" kern="1200" baseline="0">
                    <a:solidFill>
                      <a:schemeClr val="tx1">
                        <a:lumMod val="75000"/>
                        <a:lumOff val="25000"/>
                      </a:schemeClr>
                    </a:solidFill>
                    <a:latin typeface="+mn-lt"/>
                    <a:ea typeface="+mn-ea"/>
                    <a:cs typeface="+mn-cs"/>
                  </a:defRPr>
                </a:pPr>
                <a:r>
                  <a:rPr lang="en-US" sz="1050" b="1"/>
                  <a:t>317,5</a:t>
                </a:r>
                <a:r>
                  <a:rPr lang="en-US" sz="1050" b="1" baseline="0"/>
                  <a:t> tūkst. </a:t>
                </a:r>
                <a:r>
                  <a:rPr lang="en-US" sz="1050" b="1" i="1" baseline="0"/>
                  <a:t>euro</a:t>
                </a:r>
                <a:endParaRPr lang="en-US" sz="1050" b="1" i="1"/>
              </a:p>
            </c:rich>
          </c:tx>
          <c:spPr>
            <a:noFill/>
            <a:ln>
              <a:noFill/>
            </a:ln>
            <a:effectLst/>
          </c:spPr>
          <c:txPr>
            <a:bodyPr rot="0" spcFirstLastPara="1" vertOverflow="ellipsis" vert="horz" wrap="square" lIns="38100" tIns="19050" rIns="38100" bIns="19050" anchor="ctr" anchorCtr="1">
              <a:noAutofit/>
            </a:bodyPr>
            <a:lstStyle/>
            <a:p>
              <a:pPr>
                <a:defRPr lang="lv-LV" sz="105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8482902873190848"/>
                  <c:h val="4.6709129511677279E-2"/>
                </c:manualLayout>
              </c15:layout>
            </c:ext>
          </c:extLst>
        </c:dLbl>
      </c:pivotFmt>
      <c:pivotFmt>
        <c:idx val="11"/>
        <c:spPr>
          <a:solidFill>
            <a:schemeClr val="accent1"/>
          </a:solidFill>
          <a:ln w="25400">
            <a:solidFill>
              <a:schemeClr val="lt1"/>
            </a:solidFill>
          </a:ln>
          <a:effectLst/>
          <a:sp3d contourW="25400">
            <a:contourClr>
              <a:schemeClr val="lt1"/>
            </a:contourClr>
          </a:sp3d>
        </c:spPr>
        <c:dLbl>
          <c:idx val="0"/>
          <c:layout>
            <c:manualLayout>
              <c:x val="7.4786312203662395E-3"/>
              <c:y val="-3.540732567664711E-2"/>
            </c:manualLayout>
          </c:layout>
          <c:tx>
            <c:rich>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r>
                  <a:rPr lang="en-US" sz="1050" b="1" u="sng"/>
                  <a:t>39,9 tūkst. </a:t>
                </a:r>
                <a:r>
                  <a:rPr lang="en-US" sz="1050" b="1" i="1" u="sng"/>
                  <a:t>euro</a:t>
                </a:r>
              </a:p>
            </c:rich>
          </c:tx>
          <c:spPr>
            <a:noFill/>
            <a:ln>
              <a:noFill/>
            </a:ln>
            <a:effectLst/>
          </c:spPr>
          <c:txPr>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6399569890374541"/>
                  <c:h val="4.8832271762208071E-2"/>
                </c:manualLayout>
              </c15:layout>
            </c:ext>
          </c:extLst>
        </c:dLbl>
      </c:pivotFmt>
      <c:pivotFmt>
        <c:idx val="12"/>
        <c:spPr>
          <a:solidFill>
            <a:schemeClr val="accent1"/>
          </a:solidFill>
          <a:ln w="25400">
            <a:solidFill>
              <a:schemeClr val="lt1"/>
            </a:solidFill>
          </a:ln>
          <a:effectLst/>
          <a:sp3d contourW="25400">
            <a:contourClr>
              <a:schemeClr val="lt1"/>
            </a:contourClr>
          </a:sp3d>
        </c:spPr>
        <c:marker>
          <c:symbol val="none"/>
        </c:marker>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extLst>
        </c:dLbl>
      </c:pivotFmt>
      <c:pivotFmt>
        <c:idx val="13"/>
        <c:spPr>
          <a:solidFill>
            <a:schemeClr val="accent1"/>
          </a:solidFill>
          <a:ln w="25400">
            <a:solidFill>
              <a:schemeClr val="lt1"/>
            </a:solidFill>
          </a:ln>
          <a:effectLst/>
          <a:sp3d contourW="25400">
            <a:contourClr>
              <a:schemeClr val="lt1"/>
            </a:contourClr>
          </a:sp3d>
        </c:spPr>
        <c:dLbl>
          <c:idx val="0"/>
          <c:layout>
            <c:manualLayout>
              <c:x val="-0.13995724140971114"/>
              <c:y val="5.991975525352324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050" b="1" u="sng"/>
                  <a:t>435,4 tūkst.</a:t>
                </a:r>
                <a:r>
                  <a:rPr lang="en-US" sz="1050" b="1" i="1" u="sng"/>
                  <a:t>euro</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7307689395704726"/>
                  <c:h val="5.2370842179759368E-2"/>
                </c:manualLayout>
              </c15:layout>
            </c:ext>
          </c:extLst>
        </c:dLbl>
      </c:pivotFmt>
      <c:pivotFmt>
        <c:idx val="14"/>
        <c:spPr>
          <a:solidFill>
            <a:schemeClr val="accent1"/>
          </a:solidFill>
          <a:ln w="25400">
            <a:solidFill>
              <a:schemeClr val="lt1"/>
            </a:solidFill>
          </a:ln>
          <a:effectLst/>
          <a:sp3d contourW="25400">
            <a:contourClr>
              <a:schemeClr val="lt1"/>
            </a:contourClr>
          </a:sp3d>
        </c:spPr>
        <c:dLbl>
          <c:idx val="0"/>
          <c:layout>
            <c:manualLayout>
              <c:x val="6.4102553317424921E-3"/>
              <c:y val="-0.20392017876746299"/>
            </c:manualLayout>
          </c:layout>
          <c:tx>
            <c:rich>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r>
                  <a:rPr lang="en-US" sz="1050" b="1" u="sng"/>
                  <a:t>1,3 milj.</a:t>
                </a:r>
                <a:r>
                  <a:rPr lang="en-US" sz="1050" b="1" i="1" u="sng"/>
                  <a:t>euro</a:t>
                </a:r>
              </a:p>
            </c:rich>
          </c:tx>
          <c:spPr>
            <a:noFill/>
            <a:ln>
              <a:noFill/>
            </a:ln>
            <a:effectLst/>
          </c:spPr>
          <c:txPr>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8215808901034911"/>
                  <c:h val="7.2186836518046707E-2"/>
                </c:manualLayout>
              </c15:layout>
            </c:ext>
          </c:extLst>
        </c:dLbl>
      </c:pivotFmt>
      <c:pivotFmt>
        <c:idx val="15"/>
        <c:spPr>
          <a:solidFill>
            <a:schemeClr val="accent1"/>
          </a:solidFill>
          <a:ln w="25400">
            <a:solidFill>
              <a:schemeClr val="lt1"/>
            </a:solidFill>
          </a:ln>
          <a:effectLst/>
          <a:sp3d contourW="25400">
            <a:contourClr>
              <a:schemeClr val="lt1"/>
            </a:contourClr>
          </a:sp3d>
        </c:spPr>
        <c:dLbl>
          <c:idx val="0"/>
          <c:layout>
            <c:manualLayout>
              <c:x val="-5.7692297985682414E-2"/>
              <c:y val="-3.2654262166273804E-2"/>
            </c:manualLayout>
          </c:layout>
          <c:tx>
            <c:rich>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fld id="{0E7410BF-A098-46F9-8300-C6CF24EA05CC}" type="VALUE">
                  <a:rPr lang="en-US" sz="1050" b="1" u="sng"/>
                  <a:pPr>
                    <a:defRPr sz="1050" b="1" i="0" u="sng" strike="noStrike" kern="1200" baseline="0">
                      <a:solidFill>
                        <a:schemeClr val="tx1">
                          <a:lumMod val="75000"/>
                          <a:lumOff val="25000"/>
                        </a:schemeClr>
                      </a:solidFill>
                      <a:latin typeface="+mn-lt"/>
                      <a:ea typeface="+mn-ea"/>
                      <a:cs typeface="+mn-cs"/>
                    </a:defRPr>
                  </a:pPr>
                  <a:t>[VALUE]</a:t>
                </a:fld>
                <a:r>
                  <a:rPr lang="en-US" sz="1050" b="1" i="1" u="sng"/>
                  <a:t> euro</a:t>
                </a:r>
              </a:p>
            </c:rich>
          </c:tx>
          <c:spPr>
            <a:noFill/>
            <a:ln>
              <a:noFill/>
            </a:ln>
            <a:effectLst/>
          </c:spPr>
          <c:txPr>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3141023430072107"/>
                  <c:h val="5.1663128096249115E-2"/>
                </c:manualLayout>
              </c15:layout>
              <c15:dlblFieldTable/>
              <c15:showDataLabelsRange val="0"/>
            </c:ext>
          </c:extLst>
        </c:dLbl>
      </c:pivotFmt>
      <c:pivotFmt>
        <c:idx val="16"/>
        <c:spPr>
          <a:solidFill>
            <a:schemeClr val="accent1"/>
          </a:solidFill>
          <a:ln w="25400">
            <a:solidFill>
              <a:schemeClr val="lt1"/>
            </a:solidFill>
          </a:ln>
          <a:effectLst/>
          <a:sp3d contourW="25400">
            <a:contourClr>
              <a:schemeClr val="lt1"/>
            </a:contourClr>
          </a:sp3d>
        </c:spPr>
        <c:dLbl>
          <c:idx val="0"/>
          <c:layout>
            <c:manualLayout>
              <c:x val="0.11752134774861234"/>
              <c:y val="6.085148592094778E-2"/>
            </c:manualLayout>
          </c:layout>
          <c:tx>
            <c:rich>
              <a:bodyPr rot="0" spcFirstLastPara="1" vertOverflow="ellipsis" vert="horz" wrap="square" lIns="38100" tIns="19050" rIns="38100" bIns="19050" anchor="ctr" anchorCtr="1">
                <a:noAutofit/>
              </a:bodyPr>
              <a:lstStyle/>
              <a:p>
                <a:pPr>
                  <a:defRPr lang="lv-LV" sz="1050" b="1" i="0" u="none" strike="noStrike" kern="1200" baseline="0">
                    <a:solidFill>
                      <a:schemeClr val="tx1">
                        <a:lumMod val="75000"/>
                        <a:lumOff val="25000"/>
                      </a:schemeClr>
                    </a:solidFill>
                    <a:latin typeface="+mn-lt"/>
                    <a:ea typeface="+mn-ea"/>
                    <a:cs typeface="+mn-cs"/>
                  </a:defRPr>
                </a:pPr>
                <a:r>
                  <a:rPr lang="en-US" sz="1050" b="1"/>
                  <a:t>317,5</a:t>
                </a:r>
                <a:r>
                  <a:rPr lang="en-US" sz="1050" b="1" baseline="0"/>
                  <a:t> tūkst. </a:t>
                </a:r>
                <a:r>
                  <a:rPr lang="en-US" sz="1050" b="1" i="1" baseline="0"/>
                  <a:t>euro</a:t>
                </a:r>
                <a:endParaRPr lang="en-US" sz="1050" b="1" i="1"/>
              </a:p>
            </c:rich>
          </c:tx>
          <c:spPr>
            <a:noFill/>
            <a:ln>
              <a:noFill/>
            </a:ln>
            <a:effectLst/>
          </c:spPr>
          <c:txPr>
            <a:bodyPr rot="0" spcFirstLastPara="1" vertOverflow="ellipsis" vert="horz" wrap="square" lIns="38100" tIns="19050" rIns="38100" bIns="19050" anchor="ctr" anchorCtr="1">
              <a:noAutofit/>
            </a:bodyPr>
            <a:lstStyle/>
            <a:p>
              <a:pPr>
                <a:defRPr lang="lv-LV" sz="1050" b="1" i="0" u="none"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8482902873190848"/>
                  <c:h val="4.6709129511677279E-2"/>
                </c:manualLayout>
              </c15:layout>
            </c:ext>
          </c:extLst>
        </c:dLbl>
      </c:pivotFmt>
      <c:pivotFmt>
        <c:idx val="17"/>
        <c:spPr>
          <a:solidFill>
            <a:schemeClr val="accent1"/>
          </a:solidFill>
          <a:ln w="25400">
            <a:solidFill>
              <a:schemeClr val="lt1"/>
            </a:solidFill>
          </a:ln>
          <a:effectLst/>
          <a:sp3d contourW="25400">
            <a:contourClr>
              <a:schemeClr val="lt1"/>
            </a:contourClr>
          </a:sp3d>
        </c:spPr>
        <c:dLbl>
          <c:idx val="0"/>
          <c:layout>
            <c:manualLayout>
              <c:x val="7.4786312203662395E-3"/>
              <c:y val="-3.540732567664711E-2"/>
            </c:manualLayout>
          </c:layout>
          <c:tx>
            <c:rich>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r>
                  <a:rPr lang="en-US" sz="1050" b="1" u="sng"/>
                  <a:t>39,9 tūkst. </a:t>
                </a:r>
                <a:r>
                  <a:rPr lang="en-US" sz="1050" b="1" i="1" u="sng"/>
                  <a:t>euro</a:t>
                </a:r>
              </a:p>
            </c:rich>
          </c:tx>
          <c:spPr>
            <a:noFill/>
            <a:ln>
              <a:noFill/>
            </a:ln>
            <a:effectLst/>
          </c:spPr>
          <c:txPr>
            <a:bodyPr rot="0" spcFirstLastPara="1" vertOverflow="ellipsis" vert="horz" wrap="square" lIns="38100" tIns="19050" rIns="38100" bIns="19050" anchor="ctr" anchorCtr="1">
              <a:noAutofit/>
            </a:bodyPr>
            <a:lstStyle/>
            <a:p>
              <a:pPr>
                <a:defRPr sz="1050" b="1" i="0" u="sng" strike="noStrike" kern="1200" baseline="0">
                  <a:solidFill>
                    <a:schemeClr val="tx1">
                      <a:lumMod val="75000"/>
                      <a:lumOff val="25000"/>
                    </a:schemeClr>
                  </a:solidFill>
                  <a:latin typeface="+mn-lt"/>
                  <a:ea typeface="+mn-ea"/>
                  <a:cs typeface="+mn-cs"/>
                </a:defRPr>
              </a:pPr>
              <a:endParaRPr lang="lv-LV"/>
            </a:p>
          </c:txPr>
          <c:showLegendKey val="0"/>
          <c:showVal val="1"/>
          <c:showCatName val="0"/>
          <c:showSerName val="0"/>
          <c:showPercent val="0"/>
          <c:showBubbleSize val="0"/>
          <c:extLst>
            <c:ext xmlns:c15="http://schemas.microsoft.com/office/drawing/2012/chart" uri="{CE6537A1-D6FC-4f65-9D91-7224C49458BB}">
              <c15:layout>
                <c:manualLayout>
                  <c:w val="0.16399569890374541"/>
                  <c:h val="4.8832271762208071E-2"/>
                </c:manualLayout>
              </c15:layout>
            </c:ext>
          </c:extLst>
        </c:dLbl>
      </c:pivotFmt>
    </c:pivotFmts>
    <c:view3D>
      <c:rotX val="30"/>
      <c:rotY val="92"/>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1208123574717094E-2"/>
          <c:y val="6.372794178825629E-2"/>
          <c:w val="0.89897247992515783"/>
          <c:h val="0.62881965293906605"/>
        </c:manualLayout>
      </c:layout>
      <c:pie3DChart>
        <c:varyColors val="1"/>
        <c:ser>
          <c:idx val="0"/>
          <c:order val="0"/>
          <c:tx>
            <c:strRef>
              <c:f>'PIVOT 2'!$B$3</c:f>
              <c:strCache>
                <c:ptCount val="1"/>
                <c:pt idx="0">
                  <c:v>Total</c:v>
                </c:pt>
              </c:strCache>
            </c:strRef>
          </c:tx>
          <c:spPr>
            <a:scene3d>
              <a:camera prst="orthographicFront"/>
              <a:lightRig rig="threePt" dir="t"/>
            </a:scene3d>
            <a:sp3d/>
          </c:spPr>
          <c:dPt>
            <c:idx val="0"/>
            <c:bubble3D val="0"/>
            <c:spPr>
              <a:gradFill rotWithShape="1">
                <a:gsLst>
                  <a:gs pos="0">
                    <a:schemeClr val="accent1">
                      <a:satMod val="103000"/>
                      <a:lumMod val="102000"/>
                      <a:tint val="94000"/>
                    </a:schemeClr>
                  </a:gs>
                  <a:gs pos="50000">
                    <a:schemeClr val="accent1">
                      <a:satMod val="110000"/>
                      <a:lumMod val="100000"/>
                      <a:shade val="100000"/>
                    </a:schemeClr>
                  </a:gs>
                  <a:gs pos="100000">
                    <a:schemeClr val="accent1">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1-F23A-4F7F-BA87-5D3F1C710193}"/>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3-F23A-4F7F-BA87-5D3F1C710193}"/>
              </c:ext>
            </c:extLst>
          </c:dPt>
          <c:dPt>
            <c:idx val="2"/>
            <c:bubble3D val="0"/>
            <c:spPr>
              <a:gradFill rotWithShape="1">
                <a:gsLst>
                  <a:gs pos="0">
                    <a:schemeClr val="accent3">
                      <a:satMod val="103000"/>
                      <a:lumMod val="102000"/>
                      <a:tint val="94000"/>
                    </a:schemeClr>
                  </a:gs>
                  <a:gs pos="50000">
                    <a:schemeClr val="accent3">
                      <a:satMod val="110000"/>
                      <a:lumMod val="100000"/>
                      <a:shade val="100000"/>
                    </a:schemeClr>
                  </a:gs>
                  <a:gs pos="100000">
                    <a:schemeClr val="accent3">
                      <a:lumMod val="99000"/>
                      <a:satMod val="120000"/>
                      <a:shade val="78000"/>
                    </a:schemeClr>
                  </a:gs>
                </a:gsLst>
                <a:lin ang="5400000" scaled="0"/>
              </a:gradFill>
              <a:ln>
                <a:noFill/>
              </a:ln>
              <a:effectLst/>
              <a:scene3d>
                <a:camera prst="orthographicFront"/>
                <a:lightRig rig="threePt" dir="t"/>
              </a:scene3d>
              <a:sp3d/>
            </c:spPr>
            <c:extLst>
              <c:ext xmlns:c16="http://schemas.microsoft.com/office/drawing/2014/chart" uri="{C3380CC4-5D6E-409C-BE32-E72D297353CC}">
                <c16:uniqueId val="{00000005-F23A-4F7F-BA87-5D3F1C710193}"/>
              </c:ext>
            </c:extLst>
          </c:dPt>
          <c:dPt>
            <c:idx val="3"/>
            <c:bubble3D val="0"/>
            <c:spPr>
              <a:gradFill rotWithShape="1">
                <a:gsLst>
                  <a:gs pos="0">
                    <a:schemeClr val="accent4">
                      <a:satMod val="103000"/>
                      <a:lumMod val="102000"/>
                      <a:tint val="94000"/>
                    </a:schemeClr>
                  </a:gs>
                  <a:gs pos="50000">
                    <a:schemeClr val="accent4">
                      <a:satMod val="110000"/>
                      <a:lumMod val="100000"/>
                      <a:shade val="100000"/>
                    </a:schemeClr>
                  </a:gs>
                  <a:gs pos="100000">
                    <a:schemeClr val="accent4">
                      <a:lumMod val="99000"/>
                      <a:satMod val="120000"/>
                      <a:shade val="78000"/>
                    </a:schemeClr>
                  </a:gs>
                </a:gsLst>
                <a:lin ang="5400000" scaled="0"/>
              </a:gradFill>
              <a:ln>
                <a:solidFill>
                  <a:schemeClr val="bg2">
                    <a:lumMod val="90000"/>
                  </a:schemeClr>
                </a:solidFill>
              </a:ln>
              <a:effectLst/>
              <a:scene3d>
                <a:camera prst="orthographicFront"/>
                <a:lightRig rig="threePt" dir="t"/>
              </a:scene3d>
              <a:sp3d>
                <a:contourClr>
                  <a:schemeClr val="bg2">
                    <a:lumMod val="90000"/>
                  </a:schemeClr>
                </a:contourClr>
              </a:sp3d>
            </c:spPr>
            <c:extLst>
              <c:ext xmlns:c16="http://schemas.microsoft.com/office/drawing/2014/chart" uri="{C3380CC4-5D6E-409C-BE32-E72D297353CC}">
                <c16:uniqueId val="{00000007-F23A-4F7F-BA87-5D3F1C710193}"/>
              </c:ext>
            </c:extLst>
          </c:dPt>
          <c:dPt>
            <c:idx val="4"/>
            <c:bubble3D val="0"/>
            <c:spPr>
              <a:solidFill>
                <a:srgbClr val="0070C0"/>
              </a:solidFill>
              <a:ln>
                <a:noFill/>
              </a:ln>
              <a:effectLst/>
              <a:scene3d>
                <a:camera prst="orthographicFront"/>
                <a:lightRig rig="threePt" dir="t"/>
              </a:scene3d>
              <a:sp3d/>
            </c:spPr>
            <c:extLst>
              <c:ext xmlns:c16="http://schemas.microsoft.com/office/drawing/2014/chart" uri="{C3380CC4-5D6E-409C-BE32-E72D297353CC}">
                <c16:uniqueId val="{00000009-F23A-4F7F-BA87-5D3F1C710193}"/>
              </c:ext>
            </c:extLst>
          </c:dPt>
          <c:dLbls>
            <c:dLbl>
              <c:idx val="0"/>
              <c:layout>
                <c:manualLayout>
                  <c:x val="-0.17159554236048363"/>
                  <c:y val="-0.17634225116673097"/>
                </c:manualLayout>
              </c:layout>
              <c:tx>
                <c:rich>
                  <a:bodyPr/>
                  <a:lstStyle/>
                  <a:p>
                    <a:r>
                      <a:rPr lang="en-US"/>
                      <a:t>435,4 tūkst. </a:t>
                    </a:r>
                    <a:r>
                      <a:rPr lang="en-US" i="1"/>
                      <a:t>euro</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F23A-4F7F-BA87-5D3F1C710193}"/>
                </c:ext>
              </c:extLst>
            </c:dLbl>
            <c:dLbl>
              <c:idx val="1"/>
              <c:tx>
                <c:rich>
                  <a:bodyPr/>
                  <a:lstStyle/>
                  <a:p>
                    <a:r>
                      <a:rPr lang="en-US"/>
                      <a:t>1,3 milj. </a:t>
                    </a:r>
                    <a:r>
                      <a:rPr lang="en-US" i="1"/>
                      <a:t>euro</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F23A-4F7F-BA87-5D3F1C710193}"/>
                </c:ext>
              </c:extLst>
            </c:dLbl>
            <c:dLbl>
              <c:idx val="2"/>
              <c:layout>
                <c:manualLayout>
                  <c:x val="2.3692038495188021E-2"/>
                  <c:y val="-1.330761608689404E-2"/>
                </c:manualLayout>
              </c:layout>
              <c:tx>
                <c:rich>
                  <a:bodyPr/>
                  <a:lstStyle/>
                  <a:p>
                    <a:r>
                      <a:rPr lang="en-US"/>
                      <a:t>135,8 </a:t>
                    </a:r>
                    <a:r>
                      <a:rPr lang="en-US" i="1"/>
                      <a:t>euro</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F23A-4F7F-BA87-5D3F1C710193}"/>
                </c:ext>
              </c:extLst>
            </c:dLbl>
            <c:dLbl>
              <c:idx val="3"/>
              <c:tx>
                <c:rich>
                  <a:bodyPr/>
                  <a:lstStyle/>
                  <a:p>
                    <a:r>
                      <a:rPr lang="en-US"/>
                      <a:t>317,5 tūkst. </a:t>
                    </a:r>
                    <a:r>
                      <a:rPr lang="en-US" i="1"/>
                      <a:t>euro</a:t>
                    </a:r>
                  </a:p>
                </c:rich>
              </c:tx>
              <c:dLblPos val="in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F23A-4F7F-BA87-5D3F1C710193}"/>
                </c:ext>
              </c:extLst>
            </c:dLbl>
            <c:dLbl>
              <c:idx val="4"/>
              <c:layout>
                <c:manualLayout>
                  <c:x val="-1.6028958730097302E-16"/>
                  <c:y val="-4.6980491074979265E-3"/>
                </c:manualLayout>
              </c:layout>
              <c:tx>
                <c:rich>
                  <a:bodyPr/>
                  <a:lstStyle/>
                  <a:p>
                    <a:r>
                      <a:rPr lang="en-US"/>
                      <a:t>39,9 tūkst. </a:t>
                    </a:r>
                    <a:r>
                      <a:rPr lang="en-US" i="1"/>
                      <a:t>euro</a:t>
                    </a:r>
                  </a:p>
                </c:rich>
              </c:tx>
              <c:dLblPos val="bestFi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F23A-4F7F-BA87-5D3F1C710193}"/>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1"/>
            <c:leaderLines>
              <c:spPr>
                <a:ln w="9525">
                  <a:solidFill>
                    <a:schemeClr val="tx2">
                      <a:lumMod val="35000"/>
                      <a:lumOff val="65000"/>
                    </a:schemeClr>
                  </a:solidFill>
                </a:ln>
                <a:effectLst/>
              </c:spPr>
            </c:leaderLines>
            <c:extLst>
              <c:ext xmlns:c15="http://schemas.microsoft.com/office/drawing/2012/chart" uri="{CE6537A1-D6FC-4f65-9D91-7224C49458BB}"/>
            </c:extLst>
          </c:dLbls>
          <c:cat>
            <c:strRef>
              <c:f>'PIVOT 2'!$A$4:$A$9</c:f>
              <c:strCache>
                <c:ptCount val="5"/>
                <c:pt idx="0">
                  <c:v>Aizdomas par krāpšanu vai organizēto noziedzību (ar finansiālu ietekmi)</c:v>
                </c:pt>
                <c:pt idx="1">
                  <c:v>Iepirkuma normu pārkāpumi</c:v>
                </c:pt>
                <c:pt idx="2">
                  <c:v>Interešu konflikts (135,8 euro)</c:v>
                </c:pt>
                <c:pt idx="3">
                  <c:v>Noteikto ieviešanas nosacījumu neizpilde</c:v>
                </c:pt>
                <c:pt idx="4">
                  <c:v>Personāla vai administratīvo izmaksu pārkāpums</c:v>
                </c:pt>
              </c:strCache>
            </c:strRef>
          </c:cat>
          <c:val>
            <c:numRef>
              <c:f>'PIVOT 2'!$B$4:$B$9</c:f>
              <c:numCache>
                <c:formatCode>General</c:formatCode>
                <c:ptCount val="5"/>
                <c:pt idx="0">
                  <c:v>435428.04</c:v>
                </c:pt>
                <c:pt idx="1">
                  <c:v>1296842.7999999998</c:v>
                </c:pt>
                <c:pt idx="2">
                  <c:v>135.76</c:v>
                </c:pt>
                <c:pt idx="3">
                  <c:v>317518.49</c:v>
                </c:pt>
                <c:pt idx="4">
                  <c:v>39951.379999999997</c:v>
                </c:pt>
              </c:numCache>
            </c:numRef>
          </c:val>
          <c:extLst>
            <c:ext xmlns:c16="http://schemas.microsoft.com/office/drawing/2014/chart" uri="{C3380CC4-5D6E-409C-BE32-E72D297353CC}">
              <c16:uniqueId val="{0000000A-F23A-4F7F-BA87-5D3F1C710193}"/>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0"/>
          <c:y val="0.72102819131414242"/>
          <c:w val="0.99920293545396377"/>
          <c:h val="0.27357369802458903"/>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3">
    <c:autoUpdate val="0"/>
  </c:externalData>
  <c:userShapes r:id="rId4"/>
  <c:extLst>
    <c:ext xmlns:c14="http://schemas.microsoft.com/office/drawing/2007/8/2/chart" uri="{781A3756-C4B2-4CAC-9D66-4F8BD8637D16}">
      <c14:pivotOptions>
        <c14:dropZoneFilter val="1"/>
        <c14:dropZoneSeries val="1"/>
        <c14:dropZonesVisible val="1"/>
      </c14:pivotOptions>
    </c:ext>
    <c:ext xmlns:c16="http://schemas.microsoft.com/office/drawing/2014/chart" uri="{E28EC0CA-F0BB-4C9C-879D-F8772B89E7AC}">
      <c16:pivotOptions16>
        <c16:showExpandCollapseFieldButtons val="1"/>
      </c16:pivotOptions16>
    </c:ext>
  </c:extLst>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Lbls>
            <c:dLbl>
              <c:idx val="0"/>
              <c:tx>
                <c:rich>
                  <a:bodyPr/>
                  <a:lstStyle/>
                  <a:p>
                    <a:r>
                      <a:rPr lang="en-US"/>
                      <a:t>1,4 milj </a:t>
                    </a:r>
                    <a:r>
                      <a:rPr lang="en-US" i="1"/>
                      <a:t>euro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24-4573-A277-7F88A972AF78}"/>
                </c:ext>
              </c:extLst>
            </c:dLbl>
            <c:dLbl>
              <c:idx val="1"/>
              <c:tx>
                <c:rich>
                  <a:bodyPr/>
                  <a:lstStyle/>
                  <a:p>
                    <a:r>
                      <a:rPr lang="en-US"/>
                      <a:t>408,2 tūkst.</a:t>
                    </a:r>
                    <a:r>
                      <a:rPr lang="en-US" i="1"/>
                      <a:t>euro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E724-4573-A277-7F88A972AF78}"/>
                </c:ext>
              </c:extLst>
            </c:dLbl>
            <c:dLbl>
              <c:idx val="2"/>
              <c:layout>
                <c:manualLayout>
                  <c:x val="2.6388389108792043E-2"/>
                  <c:y val="0"/>
                </c:manualLayout>
              </c:layout>
              <c:tx>
                <c:rich>
                  <a:bodyPr/>
                  <a:lstStyle/>
                  <a:p>
                    <a:r>
                      <a:rPr lang="en-US"/>
                      <a:t>249,6 tūkst.</a:t>
                    </a:r>
                    <a:r>
                      <a:rPr lang="en-US" i="1"/>
                      <a:t>euro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E724-4573-A277-7F88A972AF78}"/>
                </c:ext>
              </c:extLst>
            </c:dLbl>
            <c:dLbl>
              <c:idx val="3"/>
              <c:tx>
                <c:rich>
                  <a:bodyPr/>
                  <a:lstStyle/>
                  <a:p>
                    <a:r>
                      <a:rPr lang="en-US"/>
                      <a:t>81,1 tūkst.</a:t>
                    </a:r>
                    <a:r>
                      <a:rPr lang="en-US" i="1"/>
                      <a:t>euro</a:t>
                    </a:r>
                  </a:p>
                </c:rich>
              </c:tx>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E724-4573-A277-7F88A972AF78}"/>
                </c:ext>
              </c:extLst>
            </c:dLbl>
            <c:dLbl>
              <c:idx val="4"/>
              <c:tx>
                <c:rich>
                  <a:bodyPr/>
                  <a:lstStyle/>
                  <a:p>
                    <a:fld id="{CD520D89-415E-4AE8-B34C-BE3454990E90}" type="VALUE">
                      <a:rPr lang="en-US"/>
                      <a:pPr/>
                      <a:t>[VALUE]</a:t>
                    </a:fld>
                    <a:r>
                      <a:rPr lang="en-US"/>
                      <a:t> </a:t>
                    </a:r>
                    <a:r>
                      <a:rPr lang="en-US" i="1"/>
                      <a:t>euro</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E724-4573-A277-7F88A972AF78}"/>
                </c:ext>
              </c:extLst>
            </c:dLbl>
            <c:spPr>
              <a:noFill/>
              <a:ln>
                <a:noFill/>
              </a:ln>
              <a:effectLst/>
            </c:spPr>
            <c:txPr>
              <a:bodyPr rot="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'PIVOT 4'!$A$14:$A$18</c:f>
              <c:strCache>
                <c:ptCount val="5"/>
                <c:pt idx="0">
                  <c:v>Pašvaldība</c:v>
                </c:pt>
                <c:pt idx="1">
                  <c:v>citi</c:v>
                </c:pt>
                <c:pt idx="2">
                  <c:v>Valsts iestādes</c:v>
                </c:pt>
                <c:pt idx="3">
                  <c:v>NVO</c:v>
                </c:pt>
                <c:pt idx="4">
                  <c:v>komersanti</c:v>
                </c:pt>
              </c:strCache>
            </c:strRef>
          </c:cat>
          <c:val>
            <c:numRef>
              <c:f>'PIVOT 4'!$B$14:$B$18</c:f>
              <c:numCache>
                <c:formatCode>General</c:formatCode>
                <c:ptCount val="5"/>
                <c:pt idx="0">
                  <c:v>1350300.4499999997</c:v>
                </c:pt>
                <c:pt idx="1">
                  <c:v>408194.20000000007</c:v>
                </c:pt>
                <c:pt idx="2">
                  <c:v>249582.12000000005</c:v>
                </c:pt>
                <c:pt idx="3">
                  <c:v>81110</c:v>
                </c:pt>
                <c:pt idx="4">
                  <c:v>689.69999999999993</c:v>
                </c:pt>
              </c:numCache>
            </c:numRef>
          </c:val>
          <c:extLst>
            <c:ext xmlns:c16="http://schemas.microsoft.com/office/drawing/2014/chart" uri="{C3380CC4-5D6E-409C-BE32-E72D297353CC}">
              <c16:uniqueId val="{00000005-E724-4573-A277-7F88A972AF78}"/>
            </c:ext>
          </c:extLst>
        </c:ser>
        <c:dLbls>
          <c:showLegendKey val="0"/>
          <c:showVal val="0"/>
          <c:showCatName val="0"/>
          <c:showSerName val="0"/>
          <c:showPercent val="0"/>
          <c:showBubbleSize val="0"/>
        </c:dLbls>
        <c:gapWidth val="219"/>
        <c:overlap val="-27"/>
        <c:axId val="1128048751"/>
        <c:axId val="1128051663"/>
      </c:barChart>
      <c:catAx>
        <c:axId val="112804875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1"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28051663"/>
        <c:crosses val="autoZero"/>
        <c:auto val="1"/>
        <c:lblAlgn val="ctr"/>
        <c:lblOffset val="100"/>
        <c:noMultiLvlLbl val="0"/>
      </c:catAx>
      <c:valAx>
        <c:axId val="112805166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128048751"/>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bg2">
          <a:lumMod val="90000"/>
        </a:schemeClr>
      </a:solidFill>
      <a:round/>
    </a:ln>
    <a:effectLst/>
  </c:spPr>
  <c:txPr>
    <a:bodyPr/>
    <a:lstStyle/>
    <a:p>
      <a:pPr>
        <a:defRPr sz="1050">
          <a:solidFill>
            <a:schemeClr val="tx1"/>
          </a:solidFill>
          <a:latin typeface="Times New Roman" panose="02020603050405020304" pitchFamily="18" charset="0"/>
          <a:cs typeface="Times New Roman" panose="02020603050405020304" pitchFamily="18" charset="0"/>
        </a:defRPr>
      </a:pPr>
      <a:endParaRPr lang="lv-LV"/>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056878759720253"/>
          <c:y val="6.7057308173154015E-2"/>
          <c:w val="0.81279225966319424"/>
          <c:h val="0.54735496794939642"/>
        </c:manualLayout>
      </c:layout>
      <c:barChart>
        <c:barDir val="col"/>
        <c:grouping val="clustered"/>
        <c:varyColors val="0"/>
        <c:ser>
          <c:idx val="1"/>
          <c:order val="1"/>
          <c:tx>
            <c:strRef>
              <c:f>trends!$D$28</c:f>
              <c:strCache>
                <c:ptCount val="1"/>
                <c:pt idx="0">
                  <c:v>Apstiprināti projekti</c:v>
                </c:pt>
              </c:strCache>
            </c:strRef>
          </c:tx>
          <c:spPr>
            <a:solidFill>
              <a:schemeClr val="accent2"/>
            </a:solidFill>
            <a:ln>
              <a:noFill/>
            </a:ln>
            <a:effectLst/>
          </c:spPr>
          <c:invertIfNegative val="0"/>
          <c:dLbls>
            <c:dLbl>
              <c:idx val="1"/>
              <c:layout>
                <c:manualLayout>
                  <c:x val="4.5924219493179833E-2"/>
                  <c:y val="4.17259302313773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C52-4849-A802-53DCBA054D94}"/>
                </c:ext>
              </c:extLst>
            </c:dLbl>
            <c:dLbl>
              <c:idx val="8"/>
              <c:layout>
                <c:manualLayout>
                  <c:x val="-4.004004004004004E-3"/>
                  <c:y val="8.616776968315757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C52-4849-A802-53DCBA054D94}"/>
                </c:ext>
              </c:extLst>
            </c:dLbl>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trends!$B$29:$B$37</c:f>
              <c:strCache>
                <c:ptCount val="9"/>
                <c:pt idx="0">
                  <c:v>  Dati līdz 31.12.2017</c:v>
                </c:pt>
                <c:pt idx="1">
                  <c:v>Dati līdz 31.12.2018</c:v>
                </c:pt>
                <c:pt idx="2">
                  <c:v>Janvāris</c:v>
                </c:pt>
                <c:pt idx="3">
                  <c:v>Februāris</c:v>
                </c:pt>
                <c:pt idx="4">
                  <c:v>Marts</c:v>
                </c:pt>
                <c:pt idx="5">
                  <c:v>Aprīlis</c:v>
                </c:pt>
                <c:pt idx="6">
                  <c:v>Maijs</c:v>
                </c:pt>
                <c:pt idx="7">
                  <c:v>Jūnijs</c:v>
                </c:pt>
                <c:pt idx="8">
                  <c:v>Jūlijs</c:v>
                </c:pt>
              </c:strCache>
            </c:strRef>
          </c:cat>
          <c:val>
            <c:numRef>
              <c:f>trends!$D$29:$D$37</c:f>
              <c:numCache>
                <c:formatCode>General</c:formatCode>
                <c:ptCount val="9"/>
                <c:pt idx="2" formatCode="#,##0">
                  <c:v>44008971.219999313</c:v>
                </c:pt>
                <c:pt idx="3" formatCode="#,##0">
                  <c:v>31629240.860000134</c:v>
                </c:pt>
                <c:pt idx="4" formatCode="#,##0">
                  <c:v>35344086.429999828</c:v>
                </c:pt>
                <c:pt idx="5" formatCode="#,##0">
                  <c:v>23875138.089999676</c:v>
                </c:pt>
                <c:pt idx="6" formatCode="#,##0">
                  <c:v>-56034411.729999542</c:v>
                </c:pt>
                <c:pt idx="7" formatCode="#,##0">
                  <c:v>24071014.039999962</c:v>
                </c:pt>
                <c:pt idx="8" formatCode="#,##0">
                  <c:v>348163787.47000027</c:v>
                </c:pt>
              </c:numCache>
            </c:numRef>
          </c:val>
          <c:extLst>
            <c:ext xmlns:c16="http://schemas.microsoft.com/office/drawing/2014/chart" uri="{C3380CC4-5D6E-409C-BE32-E72D297353CC}">
              <c16:uniqueId val="{00000002-5C52-4849-A802-53DCBA054D94}"/>
            </c:ext>
          </c:extLst>
        </c:ser>
        <c:dLbls>
          <c:showLegendKey val="0"/>
          <c:showVal val="1"/>
          <c:showCatName val="0"/>
          <c:showSerName val="0"/>
          <c:showPercent val="0"/>
          <c:showBubbleSize val="0"/>
        </c:dLbls>
        <c:gapWidth val="219"/>
        <c:axId val="411453760"/>
        <c:axId val="411450016"/>
      </c:barChart>
      <c:lineChart>
        <c:grouping val="standard"/>
        <c:varyColors val="0"/>
        <c:ser>
          <c:idx val="0"/>
          <c:order val="0"/>
          <c:tx>
            <c:strRef>
              <c:f>trends!$C$28</c:f>
              <c:strCache>
                <c:ptCount val="1"/>
                <c:pt idx="0">
                  <c:v>Apstiprināti projekti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2"/>
              <c:layout/>
              <c:tx>
                <c:rich>
                  <a:bodyPr/>
                  <a:lstStyle/>
                  <a:p>
                    <a:fld id="{F88E1AD9-C43A-478F-90E3-D03AC9380C93}" type="VALUE">
                      <a:rPr lang="en-US"/>
                      <a:pPr/>
                      <a:t>[VALUE]</a:t>
                    </a:fld>
                    <a:r>
                      <a:rPr lang="en-US"/>
                      <a:t> </a:t>
                    </a:r>
                  </a:p>
                </c:rich>
              </c:tx>
              <c:dLblPos val="t"/>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5C52-4849-A802-53DCBA054D94}"/>
                </c:ext>
              </c:extLst>
            </c:dLbl>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trends!$B$29:$B$37</c:f>
              <c:strCache>
                <c:ptCount val="9"/>
                <c:pt idx="0">
                  <c:v>  Dati līdz 31.12.2017</c:v>
                </c:pt>
                <c:pt idx="1">
                  <c:v>Dati līdz 31.12.2018</c:v>
                </c:pt>
                <c:pt idx="2">
                  <c:v>Janvāris</c:v>
                </c:pt>
                <c:pt idx="3">
                  <c:v>Februāris</c:v>
                </c:pt>
                <c:pt idx="4">
                  <c:v>Marts</c:v>
                </c:pt>
                <c:pt idx="5">
                  <c:v>Aprīlis</c:v>
                </c:pt>
                <c:pt idx="6">
                  <c:v>Maijs</c:v>
                </c:pt>
                <c:pt idx="7">
                  <c:v>Jūnijs</c:v>
                </c:pt>
                <c:pt idx="8">
                  <c:v>Jūlijs</c:v>
                </c:pt>
              </c:strCache>
            </c:strRef>
          </c:cat>
          <c:val>
            <c:numRef>
              <c:f>trends!$C$29:$C$37</c:f>
              <c:numCache>
                <c:formatCode>#,##0</c:formatCode>
                <c:ptCount val="9"/>
                <c:pt idx="0">
                  <c:v>2528426528.7800007</c:v>
                </c:pt>
                <c:pt idx="1">
                  <c:v>3293302174.6300006</c:v>
                </c:pt>
                <c:pt idx="2">
                  <c:v>3337311145.8499999</c:v>
                </c:pt>
                <c:pt idx="3">
                  <c:v>3368940386.71</c:v>
                </c:pt>
                <c:pt idx="4" formatCode="[$-10409]###\ ###\ ###\ ###\ ##0">
                  <c:v>3404284473.1399999</c:v>
                </c:pt>
                <c:pt idx="5" formatCode="[$-10409]###\ ###\ ###\ ###\ ##0">
                  <c:v>3428159611.2299995</c:v>
                </c:pt>
                <c:pt idx="6">
                  <c:v>3372125199.5</c:v>
                </c:pt>
                <c:pt idx="7">
                  <c:v>3396196213.54</c:v>
                </c:pt>
                <c:pt idx="8">
                  <c:v>3744360001.0100002</c:v>
                </c:pt>
              </c:numCache>
            </c:numRef>
          </c:val>
          <c:smooth val="0"/>
          <c:extLst>
            <c:ext xmlns:c16="http://schemas.microsoft.com/office/drawing/2014/chart" uri="{C3380CC4-5D6E-409C-BE32-E72D297353CC}">
              <c16:uniqueId val="{00000004-5C52-4849-A802-53DCBA054D94}"/>
            </c:ext>
          </c:extLst>
        </c:ser>
        <c:dLbls>
          <c:showLegendKey val="0"/>
          <c:showVal val="1"/>
          <c:showCatName val="0"/>
          <c:showSerName val="0"/>
          <c:showPercent val="0"/>
          <c:showBubbleSize val="0"/>
        </c:dLbls>
        <c:marker val="1"/>
        <c:smooth val="0"/>
        <c:axId val="404402928"/>
        <c:axId val="404399600"/>
      </c:lineChart>
      <c:catAx>
        <c:axId val="4044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74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399600"/>
        <c:crosses val="autoZero"/>
        <c:auto val="0"/>
        <c:lblAlgn val="ctr"/>
        <c:lblOffset val="100"/>
        <c:noMultiLvlLbl val="0"/>
      </c:catAx>
      <c:valAx>
        <c:axId val="40439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402928"/>
        <c:crosses val="autoZero"/>
        <c:crossBetween val="between"/>
        <c:minorUnit val="200000000"/>
        <c:dispUnits>
          <c:builtInUnit val="millions"/>
        </c:dispUnits>
      </c:valAx>
      <c:valAx>
        <c:axId val="411450016"/>
        <c:scaling>
          <c:orientation val="minMax"/>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1453760"/>
        <c:crosses val="max"/>
        <c:crossBetween val="between"/>
        <c:majorUnit val="50000000"/>
        <c:minorUnit val="10000000"/>
        <c:dispUnits>
          <c:builtInUnit val="millions"/>
        </c:dispUnits>
      </c:valAx>
      <c:catAx>
        <c:axId val="411453760"/>
        <c:scaling>
          <c:orientation val="minMax"/>
        </c:scaling>
        <c:delete val="1"/>
        <c:axPos val="b"/>
        <c:numFmt formatCode="General" sourceLinked="1"/>
        <c:majorTickMark val="out"/>
        <c:minorTickMark val="none"/>
        <c:tickLblPos val="nextTo"/>
        <c:crossAx val="411450016"/>
        <c:crosses val="autoZero"/>
        <c:auto val="1"/>
        <c:lblAlgn val="ctr"/>
        <c:lblOffset val="100"/>
        <c:noMultiLvlLbl val="0"/>
      </c:catAx>
      <c:spPr>
        <a:noFill/>
        <a:ln>
          <a:noFill/>
        </a:ln>
        <a:effectLst/>
      </c:spPr>
    </c:plotArea>
    <c:legend>
      <c:legendPos val="b"/>
      <c:layout>
        <c:manualLayout>
          <c:xMode val="edge"/>
          <c:yMode val="edge"/>
          <c:x val="0.54745140810101445"/>
          <c:y val="0.82269781407584575"/>
          <c:w val="0.42648719585727457"/>
          <c:h val="0.17318145853010858"/>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067685247953277"/>
          <c:y val="1.6288864884536562E-2"/>
          <c:w val="0.77119812726111936"/>
          <c:h val="0.4915130289564868"/>
        </c:manualLayout>
      </c:layout>
      <c:barChart>
        <c:barDir val="col"/>
        <c:grouping val="clustered"/>
        <c:varyColors val="0"/>
        <c:ser>
          <c:idx val="1"/>
          <c:order val="1"/>
          <c:tx>
            <c:strRef>
              <c:f>trends!$D$47</c:f>
              <c:strCache>
                <c:ptCount val="1"/>
                <c:pt idx="0">
                  <c:v>Noslēgti līgumi</c:v>
                </c:pt>
              </c:strCache>
            </c:strRef>
          </c:tx>
          <c:spPr>
            <a:solidFill>
              <a:schemeClr val="accent2"/>
            </a:solidFill>
            <a:ln>
              <a:noFill/>
            </a:ln>
            <a:effectLst/>
          </c:spPr>
          <c:invertIfNegative val="0"/>
          <c:dLbls>
            <c:dLbl>
              <c:idx val="1"/>
              <c:layout>
                <c:manualLayout>
                  <c:x val="1.2246458531514565E-2"/>
                  <c:y val="1.51730655386826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271-4258-8954-B203CEF0C7CD}"/>
                </c:ext>
              </c:extLst>
            </c:dLbl>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trends!$B$48:$B$56</c:f>
              <c:strCache>
                <c:ptCount val="9"/>
                <c:pt idx="0">
                  <c:v>  Dati līdz 31.12.2017</c:v>
                </c:pt>
                <c:pt idx="1">
                  <c:v>Dati līdz 31.12.2018</c:v>
                </c:pt>
                <c:pt idx="2">
                  <c:v>Janvāris</c:v>
                </c:pt>
                <c:pt idx="3">
                  <c:v>Februāris</c:v>
                </c:pt>
                <c:pt idx="4">
                  <c:v>Marts</c:v>
                </c:pt>
                <c:pt idx="5">
                  <c:v>Aprīlis</c:v>
                </c:pt>
                <c:pt idx="6">
                  <c:v>Maijs</c:v>
                </c:pt>
                <c:pt idx="7">
                  <c:v>Jūnijs</c:v>
                </c:pt>
                <c:pt idx="8">
                  <c:v>Jūlijs</c:v>
                </c:pt>
              </c:strCache>
            </c:strRef>
          </c:cat>
          <c:val>
            <c:numRef>
              <c:f>trends!$D$48:$D$56</c:f>
              <c:numCache>
                <c:formatCode>General</c:formatCode>
                <c:ptCount val="9"/>
                <c:pt idx="2" formatCode="#,##0">
                  <c:v>90423259.659999847</c:v>
                </c:pt>
                <c:pt idx="3" formatCode="#,##0">
                  <c:v>23990636.569999695</c:v>
                </c:pt>
                <c:pt idx="4" formatCode="#,##0">
                  <c:v>44995781.320000172</c:v>
                </c:pt>
                <c:pt idx="5" formatCode="#,##0">
                  <c:v>47339292.119999886</c:v>
                </c:pt>
                <c:pt idx="6" formatCode="#,##0">
                  <c:v>-44920055.940000057</c:v>
                </c:pt>
                <c:pt idx="7" formatCode="#,##0">
                  <c:v>6832789.4500002861</c:v>
                </c:pt>
                <c:pt idx="8" formatCode="#,##0">
                  <c:v>30713259.389999866</c:v>
                </c:pt>
              </c:numCache>
            </c:numRef>
          </c:val>
          <c:extLst>
            <c:ext xmlns:c16="http://schemas.microsoft.com/office/drawing/2014/chart" uri="{C3380CC4-5D6E-409C-BE32-E72D297353CC}">
              <c16:uniqueId val="{00000001-E271-4258-8954-B203CEF0C7CD}"/>
            </c:ext>
          </c:extLst>
        </c:ser>
        <c:dLbls>
          <c:showLegendKey val="0"/>
          <c:showVal val="1"/>
          <c:showCatName val="0"/>
          <c:showSerName val="0"/>
          <c:showPercent val="0"/>
          <c:showBubbleSize val="0"/>
        </c:dLbls>
        <c:gapWidth val="219"/>
        <c:axId val="411453760"/>
        <c:axId val="411450016"/>
      </c:barChart>
      <c:lineChart>
        <c:grouping val="standard"/>
        <c:varyColors val="0"/>
        <c:ser>
          <c:idx val="0"/>
          <c:order val="0"/>
          <c:tx>
            <c:strRef>
              <c:f>trends!$C$47</c:f>
              <c:strCache>
                <c:ptCount val="1"/>
                <c:pt idx="0">
                  <c:v>Noslēgti līgumi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trends!$B$48:$B$56</c:f>
              <c:strCache>
                <c:ptCount val="9"/>
                <c:pt idx="0">
                  <c:v>  Dati līdz 31.12.2017</c:v>
                </c:pt>
                <c:pt idx="1">
                  <c:v>Dati līdz 31.12.2018</c:v>
                </c:pt>
                <c:pt idx="2">
                  <c:v>Janvāris</c:v>
                </c:pt>
                <c:pt idx="3">
                  <c:v>Februāris</c:v>
                </c:pt>
                <c:pt idx="4">
                  <c:v>Marts</c:v>
                </c:pt>
                <c:pt idx="5">
                  <c:v>Aprīlis</c:v>
                </c:pt>
                <c:pt idx="6">
                  <c:v>Maijs</c:v>
                </c:pt>
                <c:pt idx="7">
                  <c:v>Jūnijs</c:v>
                </c:pt>
                <c:pt idx="8">
                  <c:v>Jūlijs</c:v>
                </c:pt>
              </c:strCache>
            </c:strRef>
          </c:cat>
          <c:val>
            <c:numRef>
              <c:f>trends!$C$48:$C$56</c:f>
              <c:numCache>
                <c:formatCode>#,##0</c:formatCode>
                <c:ptCount val="9"/>
                <c:pt idx="0">
                  <c:v>2417341740.8199997</c:v>
                </c:pt>
                <c:pt idx="1">
                  <c:v>3191973983.2000003</c:v>
                </c:pt>
                <c:pt idx="2">
                  <c:v>3282397242.8600001</c:v>
                </c:pt>
                <c:pt idx="3">
                  <c:v>3306387879.4299998</c:v>
                </c:pt>
                <c:pt idx="4" formatCode="[$-10409]###\ ###\ ###\ ###\ ##0">
                  <c:v>3351383660.75</c:v>
                </c:pt>
                <c:pt idx="5" formatCode="[$-10409]###\ ###\ ###\ ###\ ##0">
                  <c:v>3398722952.8699999</c:v>
                </c:pt>
                <c:pt idx="6">
                  <c:v>3353802896.9299998</c:v>
                </c:pt>
                <c:pt idx="7">
                  <c:v>3360635686.3800001</c:v>
                </c:pt>
                <c:pt idx="8">
                  <c:v>3391348945.77</c:v>
                </c:pt>
              </c:numCache>
            </c:numRef>
          </c:val>
          <c:smooth val="0"/>
          <c:extLst>
            <c:ext xmlns:c16="http://schemas.microsoft.com/office/drawing/2014/chart" uri="{C3380CC4-5D6E-409C-BE32-E72D297353CC}">
              <c16:uniqueId val="{00000002-E271-4258-8954-B203CEF0C7CD}"/>
            </c:ext>
          </c:extLst>
        </c:ser>
        <c:dLbls>
          <c:showLegendKey val="0"/>
          <c:showVal val="1"/>
          <c:showCatName val="0"/>
          <c:showSerName val="0"/>
          <c:showPercent val="0"/>
          <c:showBubbleSize val="0"/>
        </c:dLbls>
        <c:marker val="1"/>
        <c:smooth val="0"/>
        <c:axId val="404402928"/>
        <c:axId val="404399600"/>
      </c:lineChart>
      <c:catAx>
        <c:axId val="4044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74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399600"/>
        <c:crosses val="autoZero"/>
        <c:auto val="1"/>
        <c:lblAlgn val="ctr"/>
        <c:lblOffset val="100"/>
        <c:noMultiLvlLbl val="0"/>
      </c:catAx>
      <c:valAx>
        <c:axId val="40439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402928"/>
        <c:crosses val="autoZero"/>
        <c:crossBetween val="between"/>
        <c:dispUnits>
          <c:builtInUnit val="millions"/>
        </c:dispUnits>
      </c:valAx>
      <c:valAx>
        <c:axId val="411450016"/>
        <c:scaling>
          <c:orientation val="minMax"/>
          <c:max val="220000000.00000003"/>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1453760"/>
        <c:crosses val="max"/>
        <c:crossBetween val="between"/>
        <c:dispUnits>
          <c:builtInUnit val="millions"/>
        </c:dispUnits>
      </c:valAx>
      <c:catAx>
        <c:axId val="411453760"/>
        <c:scaling>
          <c:orientation val="minMax"/>
        </c:scaling>
        <c:delete val="1"/>
        <c:axPos val="b"/>
        <c:numFmt formatCode="General" sourceLinked="1"/>
        <c:majorTickMark val="out"/>
        <c:minorTickMark val="none"/>
        <c:tickLblPos val="nextTo"/>
        <c:crossAx val="411450016"/>
        <c:crosses val="autoZero"/>
        <c:auto val="1"/>
        <c:lblAlgn val="ctr"/>
        <c:lblOffset val="100"/>
        <c:noMultiLvlLbl val="0"/>
      </c:catAx>
      <c:spPr>
        <a:noFill/>
        <a:ln>
          <a:noFill/>
        </a:ln>
        <a:effectLst/>
      </c:spPr>
    </c:plotArea>
    <c:legend>
      <c:legendPos val="b"/>
      <c:layout>
        <c:manualLayout>
          <c:xMode val="edge"/>
          <c:yMode val="edge"/>
          <c:x val="0.48449120380222743"/>
          <c:y val="0.7774503887948585"/>
          <c:w val="0.51194415247952363"/>
          <c:h val="0.19760859097657316"/>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0860092636712244"/>
          <c:y val="5.8677248677248675E-2"/>
          <c:w val="0.75827769902701092"/>
          <c:h val="0.51998922009748783"/>
        </c:manualLayout>
      </c:layout>
      <c:barChart>
        <c:barDir val="col"/>
        <c:grouping val="clustered"/>
        <c:varyColors val="0"/>
        <c:ser>
          <c:idx val="1"/>
          <c:order val="1"/>
          <c:tx>
            <c:strRef>
              <c:f>trends!$D$67</c:f>
              <c:strCache>
                <c:ptCount val="1"/>
                <c:pt idx="0">
                  <c:v>Veikti maksājumi </c:v>
                </c:pt>
              </c:strCache>
            </c:strRef>
          </c:tx>
          <c:spPr>
            <a:solidFill>
              <a:schemeClr val="accent2"/>
            </a:solidFill>
            <a:ln>
              <a:noFill/>
            </a:ln>
            <a:effectLst/>
          </c:spPr>
          <c:invertIfNegative val="0"/>
          <c:dLbls>
            <c:dLbl>
              <c:idx val="6"/>
              <c:layout/>
              <c:tx>
                <c:rich>
                  <a:bodyPr/>
                  <a:lstStyle/>
                  <a:p>
                    <a:r>
                      <a:rPr lang="en-US"/>
                      <a:t>41</a:t>
                    </a:r>
                  </a:p>
                </c:rich>
              </c:tx>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FC3F-4E21-B0EF-40C7A7B74934}"/>
                </c:ext>
              </c:extLst>
            </c:dLbl>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trends!$B$68:$B$76</c:f>
              <c:strCache>
                <c:ptCount val="9"/>
                <c:pt idx="0">
                  <c:v>  Dati līdz 31.12.2017</c:v>
                </c:pt>
                <c:pt idx="1">
                  <c:v>Dati līdz 31.12.2018</c:v>
                </c:pt>
                <c:pt idx="2">
                  <c:v>Janvāris</c:v>
                </c:pt>
                <c:pt idx="3">
                  <c:v>Februāris</c:v>
                </c:pt>
                <c:pt idx="4">
                  <c:v>Marts</c:v>
                </c:pt>
                <c:pt idx="5">
                  <c:v>Aprīlis</c:v>
                </c:pt>
                <c:pt idx="6">
                  <c:v>Maijs</c:v>
                </c:pt>
                <c:pt idx="7">
                  <c:v>Jūnijs</c:v>
                </c:pt>
                <c:pt idx="8">
                  <c:v>Jūlijs</c:v>
                </c:pt>
              </c:strCache>
            </c:strRef>
          </c:cat>
          <c:val>
            <c:numRef>
              <c:f>trends!$D$68:$D$76</c:f>
              <c:numCache>
                <c:formatCode>General</c:formatCode>
                <c:ptCount val="9"/>
                <c:pt idx="2" formatCode="#,##0">
                  <c:v>62547214.909999609</c:v>
                </c:pt>
                <c:pt idx="3" formatCode="#,##0">
                  <c:v>63732596.61000061</c:v>
                </c:pt>
                <c:pt idx="4" formatCode="#,##0">
                  <c:v>62738603.979999781</c:v>
                </c:pt>
                <c:pt idx="5" formatCode="#,##0">
                  <c:v>42466514.969999552</c:v>
                </c:pt>
                <c:pt idx="6" formatCode="#,##0">
                  <c:v>40471992.220000267</c:v>
                </c:pt>
                <c:pt idx="7" formatCode="#,##0">
                  <c:v>43281016.850000143</c:v>
                </c:pt>
                <c:pt idx="8" formatCode="#,##0">
                  <c:v>47912365.470000029</c:v>
                </c:pt>
              </c:numCache>
            </c:numRef>
          </c:val>
          <c:extLst>
            <c:ext xmlns:c16="http://schemas.microsoft.com/office/drawing/2014/chart" uri="{C3380CC4-5D6E-409C-BE32-E72D297353CC}">
              <c16:uniqueId val="{00000001-FC3F-4E21-B0EF-40C7A7B74934}"/>
            </c:ext>
          </c:extLst>
        </c:ser>
        <c:dLbls>
          <c:showLegendKey val="0"/>
          <c:showVal val="1"/>
          <c:showCatName val="0"/>
          <c:showSerName val="0"/>
          <c:showPercent val="0"/>
          <c:showBubbleSize val="0"/>
        </c:dLbls>
        <c:gapWidth val="219"/>
        <c:axId val="411453760"/>
        <c:axId val="411450016"/>
      </c:barChart>
      <c:lineChart>
        <c:grouping val="standard"/>
        <c:varyColors val="0"/>
        <c:ser>
          <c:idx val="0"/>
          <c:order val="0"/>
          <c:tx>
            <c:strRef>
              <c:f>trends!$C$67</c:f>
              <c:strCache>
                <c:ptCount val="1"/>
                <c:pt idx="0">
                  <c:v>Veikti maksājumi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trends!$B$68:$B$76</c:f>
              <c:strCache>
                <c:ptCount val="9"/>
                <c:pt idx="0">
                  <c:v>  Dati līdz 31.12.2017</c:v>
                </c:pt>
                <c:pt idx="1">
                  <c:v>Dati līdz 31.12.2018</c:v>
                </c:pt>
                <c:pt idx="2">
                  <c:v>Janvāris</c:v>
                </c:pt>
                <c:pt idx="3">
                  <c:v>Februāris</c:v>
                </c:pt>
                <c:pt idx="4">
                  <c:v>Marts</c:v>
                </c:pt>
                <c:pt idx="5">
                  <c:v>Aprīlis</c:v>
                </c:pt>
                <c:pt idx="6">
                  <c:v>Maijs</c:v>
                </c:pt>
                <c:pt idx="7">
                  <c:v>Jūnijs</c:v>
                </c:pt>
                <c:pt idx="8">
                  <c:v>Jūlijs</c:v>
                </c:pt>
              </c:strCache>
            </c:strRef>
          </c:cat>
          <c:val>
            <c:numRef>
              <c:f>trends!$C$68:$C$76</c:f>
              <c:numCache>
                <c:formatCode>#,##0</c:formatCode>
                <c:ptCount val="9"/>
                <c:pt idx="0">
                  <c:v>587858703.82999992</c:v>
                </c:pt>
                <c:pt idx="1">
                  <c:v>1197888182.9300001</c:v>
                </c:pt>
                <c:pt idx="2">
                  <c:v>1260435397.8399997</c:v>
                </c:pt>
                <c:pt idx="3">
                  <c:v>1324167994.4500003</c:v>
                </c:pt>
                <c:pt idx="4" formatCode="[$-10409]###\ ###\ ###\ ###\ ##0">
                  <c:v>1386906598.4300001</c:v>
                </c:pt>
                <c:pt idx="5" formatCode="[$-10409]###\ ###\ ###\ ###\ ##0">
                  <c:v>1429373113.3999996</c:v>
                </c:pt>
                <c:pt idx="6">
                  <c:v>1469845105.6199999</c:v>
                </c:pt>
                <c:pt idx="7">
                  <c:v>1513126122.47</c:v>
                </c:pt>
                <c:pt idx="8">
                  <c:v>1561038487.9400001</c:v>
                </c:pt>
              </c:numCache>
            </c:numRef>
          </c:val>
          <c:smooth val="0"/>
          <c:extLst>
            <c:ext xmlns:c16="http://schemas.microsoft.com/office/drawing/2014/chart" uri="{C3380CC4-5D6E-409C-BE32-E72D297353CC}">
              <c16:uniqueId val="{00000002-FC3F-4E21-B0EF-40C7A7B74934}"/>
            </c:ext>
          </c:extLst>
        </c:ser>
        <c:dLbls>
          <c:showLegendKey val="0"/>
          <c:showVal val="1"/>
          <c:showCatName val="0"/>
          <c:showSerName val="0"/>
          <c:showPercent val="0"/>
          <c:showBubbleSize val="0"/>
        </c:dLbls>
        <c:marker val="1"/>
        <c:smooth val="0"/>
        <c:axId val="404402928"/>
        <c:axId val="404399600"/>
      </c:lineChart>
      <c:catAx>
        <c:axId val="4044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74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399600"/>
        <c:crosses val="autoZero"/>
        <c:auto val="1"/>
        <c:lblAlgn val="ctr"/>
        <c:lblOffset val="100"/>
        <c:noMultiLvlLbl val="0"/>
      </c:catAx>
      <c:valAx>
        <c:axId val="40439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402928"/>
        <c:crosses val="autoZero"/>
        <c:crossBetween val="between"/>
        <c:dispUnits>
          <c:builtInUnit val="millions"/>
        </c:dispUnits>
      </c:valAx>
      <c:valAx>
        <c:axId val="411450016"/>
        <c:scaling>
          <c:orientation val="minMax"/>
          <c:max val="220000000.00000003"/>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1453760"/>
        <c:crosses val="max"/>
        <c:crossBetween val="between"/>
        <c:dispUnits>
          <c:builtInUnit val="millions"/>
        </c:dispUnits>
      </c:valAx>
      <c:catAx>
        <c:axId val="411453760"/>
        <c:scaling>
          <c:orientation val="minMax"/>
        </c:scaling>
        <c:delete val="1"/>
        <c:axPos val="b"/>
        <c:numFmt formatCode="General" sourceLinked="1"/>
        <c:majorTickMark val="out"/>
        <c:minorTickMark val="none"/>
        <c:tickLblPos val="nextTo"/>
        <c:crossAx val="411450016"/>
        <c:crosses val="autoZero"/>
        <c:auto val="1"/>
        <c:lblAlgn val="ctr"/>
        <c:lblOffset val="100"/>
        <c:noMultiLvlLbl val="0"/>
      </c:catAx>
      <c:spPr>
        <a:noFill/>
        <a:ln>
          <a:noFill/>
        </a:ln>
        <a:effectLst/>
      </c:spPr>
    </c:plotArea>
    <c:legend>
      <c:legendPos val="b"/>
      <c:layout>
        <c:manualLayout>
          <c:xMode val="edge"/>
          <c:yMode val="edge"/>
          <c:x val="0.5037254407280034"/>
          <c:y val="0.79996672290963633"/>
          <c:w val="0.49452964836803132"/>
          <c:h val="0.1910236220472441"/>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9.4052050311892829E-2"/>
          <c:y val="5.7732895495686359E-2"/>
          <c:w val="0.77366954345115091"/>
          <c:h val="0.54570952929481009"/>
        </c:manualLayout>
      </c:layout>
      <c:barChart>
        <c:barDir val="col"/>
        <c:grouping val="clustered"/>
        <c:varyColors val="0"/>
        <c:ser>
          <c:idx val="1"/>
          <c:order val="1"/>
          <c:tx>
            <c:strRef>
              <c:f>trends!$D$86</c:f>
              <c:strCache>
                <c:ptCount val="1"/>
                <c:pt idx="0">
                  <c:v>No EK saņemtie starpposma maksājumi</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1" i="0" u="none" strike="noStrike" kern="1200" baseline="0">
                    <a:solidFill>
                      <a:schemeClr val="accent2">
                        <a:lumMod val="50000"/>
                      </a:schemeClr>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trends!$B$87:$B$95</c:f>
              <c:strCache>
                <c:ptCount val="9"/>
                <c:pt idx="0">
                  <c:v>  Dati līdz 31.12.2017</c:v>
                </c:pt>
                <c:pt idx="1">
                  <c:v>Dati līdz 31.12.2018</c:v>
                </c:pt>
                <c:pt idx="2">
                  <c:v>Janvāris</c:v>
                </c:pt>
                <c:pt idx="3">
                  <c:v>Februāris</c:v>
                </c:pt>
                <c:pt idx="4">
                  <c:v>Marts</c:v>
                </c:pt>
                <c:pt idx="5">
                  <c:v>Aprīlis</c:v>
                </c:pt>
                <c:pt idx="6">
                  <c:v>Maijs</c:v>
                </c:pt>
                <c:pt idx="7">
                  <c:v>Jūnijs</c:v>
                </c:pt>
                <c:pt idx="8">
                  <c:v>Jūlijs</c:v>
                </c:pt>
              </c:strCache>
            </c:strRef>
          </c:cat>
          <c:val>
            <c:numRef>
              <c:f>trends!$D$87:$D$95</c:f>
              <c:numCache>
                <c:formatCode>General</c:formatCode>
                <c:ptCount val="9"/>
                <c:pt idx="2" formatCode="#,##0">
                  <c:v>89666263.50999999</c:v>
                </c:pt>
                <c:pt idx="3" formatCode="#,##0">
                  <c:v>19378099.269999981</c:v>
                </c:pt>
                <c:pt idx="4" formatCode="#,##0">
                  <c:v>0</c:v>
                </c:pt>
                <c:pt idx="5" formatCode="#,##0">
                  <c:v>171600435.7700001</c:v>
                </c:pt>
                <c:pt idx="6" formatCode="#,##0">
                  <c:v>0</c:v>
                </c:pt>
                <c:pt idx="7" formatCode="#,##0">
                  <c:v>0</c:v>
                </c:pt>
                <c:pt idx="8" formatCode="#,##0">
                  <c:v>17461561.159999967</c:v>
                </c:pt>
              </c:numCache>
            </c:numRef>
          </c:val>
          <c:extLst>
            <c:ext xmlns:c16="http://schemas.microsoft.com/office/drawing/2014/chart" uri="{C3380CC4-5D6E-409C-BE32-E72D297353CC}">
              <c16:uniqueId val="{00000000-9FA5-425C-9665-875D31D1F470}"/>
            </c:ext>
          </c:extLst>
        </c:ser>
        <c:dLbls>
          <c:showLegendKey val="0"/>
          <c:showVal val="1"/>
          <c:showCatName val="0"/>
          <c:showSerName val="0"/>
          <c:showPercent val="0"/>
          <c:showBubbleSize val="0"/>
        </c:dLbls>
        <c:gapWidth val="219"/>
        <c:axId val="411453760"/>
        <c:axId val="411450016"/>
      </c:barChart>
      <c:lineChart>
        <c:grouping val="standard"/>
        <c:varyColors val="0"/>
        <c:ser>
          <c:idx val="0"/>
          <c:order val="0"/>
          <c:tx>
            <c:strRef>
              <c:f>trends!$C$86</c:f>
              <c:strCache>
                <c:ptCount val="1"/>
                <c:pt idx="0">
                  <c:v>No EK saņemtie starpposma maksājumi (kumulatīvi)</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dLbl>
              <c:idx val="5"/>
              <c:layout>
                <c:manualLayout>
                  <c:x val="-7.128207430876618E-2"/>
                  <c:y val="-9.940568617733971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9FA5-425C-9665-875D31D1F470}"/>
                </c:ext>
              </c:extLst>
            </c:dLbl>
            <c:numFmt formatCode="#,##0" sourceLinked="0"/>
            <c:spPr>
              <a:noFill/>
              <a:ln>
                <a:noFill/>
              </a:ln>
              <a:effectLst/>
            </c:spPr>
            <c:txPr>
              <a:bodyPr rot="0" spcFirstLastPara="1" vertOverflow="ellipsis" vert="horz" wrap="square" anchor="ctr" anchorCtr="1"/>
              <a:lstStyle/>
              <a:p>
                <a:pPr>
                  <a:defRPr sz="1100" b="1" i="0" u="none" strike="noStrike" kern="1200" baseline="0">
                    <a:solidFill>
                      <a:schemeClr val="accent5">
                        <a:lumMod val="75000"/>
                      </a:schemeClr>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trends!$B$87:$B$95</c:f>
              <c:strCache>
                <c:ptCount val="9"/>
                <c:pt idx="0">
                  <c:v>  Dati līdz 31.12.2017</c:v>
                </c:pt>
                <c:pt idx="1">
                  <c:v>Dati līdz 31.12.2018</c:v>
                </c:pt>
                <c:pt idx="2">
                  <c:v>Janvāris</c:v>
                </c:pt>
                <c:pt idx="3">
                  <c:v>Februāris</c:v>
                </c:pt>
                <c:pt idx="4">
                  <c:v>Marts</c:v>
                </c:pt>
                <c:pt idx="5">
                  <c:v>Aprīlis</c:v>
                </c:pt>
                <c:pt idx="6">
                  <c:v>Maijs</c:v>
                </c:pt>
                <c:pt idx="7">
                  <c:v>Jūnijs</c:v>
                </c:pt>
                <c:pt idx="8">
                  <c:v>Jūlijs</c:v>
                </c:pt>
              </c:strCache>
            </c:strRef>
          </c:cat>
          <c:val>
            <c:numRef>
              <c:f>trends!$C$87:$C$95</c:f>
              <c:numCache>
                <c:formatCode>0</c:formatCode>
                <c:ptCount val="9"/>
                <c:pt idx="0">
                  <c:v>335145136.39999998</c:v>
                </c:pt>
                <c:pt idx="1">
                  <c:v>667511756.28999996</c:v>
                </c:pt>
                <c:pt idx="2">
                  <c:v>757178019.79999995</c:v>
                </c:pt>
                <c:pt idx="3">
                  <c:v>776556119.06999993</c:v>
                </c:pt>
                <c:pt idx="4">
                  <c:v>776556119.06999993</c:v>
                </c:pt>
                <c:pt idx="5" formatCode="#,##0">
                  <c:v>948156554.84000003</c:v>
                </c:pt>
                <c:pt idx="6">
                  <c:v>948156554.84000003</c:v>
                </c:pt>
                <c:pt idx="7">
                  <c:v>948156554.84000003</c:v>
                </c:pt>
                <c:pt idx="8" formatCode="General">
                  <c:v>965618116</c:v>
                </c:pt>
              </c:numCache>
            </c:numRef>
          </c:val>
          <c:smooth val="0"/>
          <c:extLst>
            <c:ext xmlns:c16="http://schemas.microsoft.com/office/drawing/2014/chart" uri="{C3380CC4-5D6E-409C-BE32-E72D297353CC}">
              <c16:uniqueId val="{00000002-9FA5-425C-9665-875D31D1F470}"/>
            </c:ext>
          </c:extLst>
        </c:ser>
        <c:dLbls>
          <c:showLegendKey val="0"/>
          <c:showVal val="1"/>
          <c:showCatName val="0"/>
          <c:showSerName val="0"/>
          <c:showPercent val="0"/>
          <c:showBubbleSize val="0"/>
        </c:dLbls>
        <c:marker val="1"/>
        <c:smooth val="0"/>
        <c:axId val="404402928"/>
        <c:axId val="404399600"/>
      </c:lineChart>
      <c:catAx>
        <c:axId val="4044029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1740000" spcFirstLastPara="1" vertOverflow="ellipsis"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399600"/>
        <c:crosses val="autoZero"/>
        <c:auto val="1"/>
        <c:lblAlgn val="ctr"/>
        <c:lblOffset val="100"/>
        <c:noMultiLvlLbl val="0"/>
      </c:catAx>
      <c:valAx>
        <c:axId val="4043996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04402928"/>
        <c:crosses val="autoZero"/>
        <c:crossBetween val="between"/>
        <c:dispUnits>
          <c:builtInUnit val="millions"/>
        </c:dispUnits>
      </c:valAx>
      <c:valAx>
        <c:axId val="411450016"/>
        <c:scaling>
          <c:orientation val="minMax"/>
          <c:max val="220000000.00000003"/>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411453760"/>
        <c:crosses val="max"/>
        <c:crossBetween val="between"/>
        <c:dispUnits>
          <c:builtInUnit val="millions"/>
        </c:dispUnits>
      </c:valAx>
      <c:catAx>
        <c:axId val="411453760"/>
        <c:scaling>
          <c:orientation val="minMax"/>
        </c:scaling>
        <c:delete val="1"/>
        <c:axPos val="b"/>
        <c:numFmt formatCode="General" sourceLinked="1"/>
        <c:majorTickMark val="out"/>
        <c:minorTickMark val="none"/>
        <c:tickLblPos val="nextTo"/>
        <c:crossAx val="411450016"/>
        <c:crosses val="autoZero"/>
        <c:auto val="1"/>
        <c:lblAlgn val="ctr"/>
        <c:lblOffset val="100"/>
        <c:noMultiLvlLbl val="0"/>
      </c:catAx>
      <c:spPr>
        <a:noFill/>
        <a:ln>
          <a:noFill/>
        </a:ln>
        <a:effectLst/>
      </c:spPr>
    </c:plotArea>
    <c:legend>
      <c:legendPos val="b"/>
      <c:layout>
        <c:manualLayout>
          <c:xMode val="edge"/>
          <c:yMode val="edge"/>
          <c:x val="0.40041773187442481"/>
          <c:y val="0.79483482668114769"/>
          <c:w val="0.59752752496846984"/>
          <c:h val="0.19155986967146349"/>
        </c:manualLayout>
      </c:layout>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2679969132399957"/>
          <c:y val="7.1882959074560118E-2"/>
          <c:w val="0.84894719435563881"/>
          <c:h val="0.49595553911465767"/>
        </c:manualLayout>
      </c:layout>
      <c:lineChart>
        <c:grouping val="standard"/>
        <c:varyColors val="0"/>
        <c:ser>
          <c:idx val="0"/>
          <c:order val="0"/>
          <c:tx>
            <c:strRef>
              <c:f>KDG_maksājumi_12042018!$B$3</c:f>
              <c:strCache>
                <c:ptCount val="1"/>
                <c:pt idx="0">
                  <c:v>14.02.2018. maksājumu prognoze 2019.gadam, kumulatīvi, milj. euro</c:v>
                </c:pt>
              </c:strCache>
            </c:strRef>
          </c:tx>
          <c:spPr>
            <a:ln w="28575" cap="rnd">
              <a:solidFill>
                <a:srgbClr val="C00000"/>
              </a:solidFill>
              <a:round/>
            </a:ln>
            <a:effectLst/>
          </c:spPr>
          <c:marker>
            <c:symbol val="none"/>
          </c:marker>
          <c:dLbls>
            <c:dLbl>
              <c:idx val="0"/>
              <c:layout>
                <c:manualLayout>
                  <c:x val="-3.1970014331385757E-2"/>
                  <c:y val="-6.212534059945504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A4D-4D4D-B2BC-558907615609}"/>
                </c:ext>
              </c:extLst>
            </c:dLbl>
            <c:dLbl>
              <c:idx val="1"/>
              <c:layout>
                <c:manualLayout>
                  <c:x val="-4.0789328629699043E-2"/>
                  <c:y val="-4.759309718437790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5A4D-4D4D-B2BC-558907615609}"/>
                </c:ext>
              </c:extLst>
            </c:dLbl>
            <c:spPr>
              <a:noFill/>
              <a:ln>
                <a:noFill/>
              </a:ln>
              <a:effectLst/>
            </c:spPr>
            <c:txPr>
              <a:bodyPr rot="0" spcFirstLastPara="1" vertOverflow="ellipsis" vert="horz" wrap="square" anchor="ctr" anchorCtr="1"/>
              <a:lstStyle/>
              <a:p>
                <a:pPr>
                  <a:defRPr sz="1200" b="1"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KDG_maksājumi_12042018!$C$2:$N$2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KDG_maksājumi_12042018!$C$3:$N$3</c:f>
              <c:numCache>
                <c:formatCode>#,##0</c:formatCode>
                <c:ptCount val="12"/>
                <c:pt idx="0">
                  <c:v>61706883.590000011</c:v>
                </c:pt>
                <c:pt idx="1">
                  <c:v>127968248.60900003</c:v>
                </c:pt>
                <c:pt idx="2">
                  <c:v>184266953.61200002</c:v>
                </c:pt>
                <c:pt idx="3">
                  <c:v>227640724.18400002</c:v>
                </c:pt>
                <c:pt idx="4">
                  <c:v>259561482.42094222</c:v>
                </c:pt>
                <c:pt idx="5">
                  <c:v>293596332.52320123</c:v>
                </c:pt>
                <c:pt idx="6">
                  <c:v>331837440.58108556</c:v>
                </c:pt>
                <c:pt idx="7">
                  <c:v>362781443.09965998</c:v>
                </c:pt>
                <c:pt idx="8">
                  <c:v>410132129.34416896</c:v>
                </c:pt>
                <c:pt idx="9">
                  <c:v>458156879.58808237</c:v>
                </c:pt>
                <c:pt idx="10">
                  <c:v>494833511.49135149</c:v>
                </c:pt>
                <c:pt idx="11">
                  <c:v>565028538.52398968</c:v>
                </c:pt>
              </c:numCache>
            </c:numRef>
          </c:val>
          <c:smooth val="0"/>
          <c:extLst>
            <c:ext xmlns:c16="http://schemas.microsoft.com/office/drawing/2014/chart" uri="{C3380CC4-5D6E-409C-BE32-E72D297353CC}">
              <c16:uniqueId val="{00000000-6B65-4A5A-985B-4B0118F2E0A9}"/>
            </c:ext>
          </c:extLst>
        </c:ser>
        <c:ser>
          <c:idx val="1"/>
          <c:order val="1"/>
          <c:tx>
            <c:strRef>
              <c:f>KDG_maksājumi_12042018!$B$4</c:f>
              <c:strCache>
                <c:ptCount val="1"/>
                <c:pt idx="0">
                  <c:v>Veiktie maksājumi 2019.gadā, kumulatīvi, milj. euro</c:v>
                </c:pt>
              </c:strCache>
            </c:strRef>
          </c:tx>
          <c:spPr>
            <a:ln w="28575" cap="rnd">
              <a:solidFill>
                <a:schemeClr val="accent5"/>
              </a:solidFill>
              <a:prstDash val="sysDash"/>
              <a:round/>
            </a:ln>
            <a:effectLst/>
          </c:spPr>
          <c:marker>
            <c:symbol val="none"/>
          </c:marker>
          <c:dLbls>
            <c:dLbl>
              <c:idx val="0"/>
              <c:layout>
                <c:manualLayout>
                  <c:x val="-2.9765185756807408E-2"/>
                  <c:y val="3.306085376930063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6B65-4A5A-985B-4B0118F2E0A9}"/>
                </c:ext>
              </c:extLst>
            </c:dLbl>
            <c:dLbl>
              <c:idx val="1"/>
              <c:layout>
                <c:manualLayout>
                  <c:x val="-4.5198985778855692E-2"/>
                  <c:y val="5.1226158038147139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6B65-4A5A-985B-4B0118F2E0A9}"/>
                </c:ext>
              </c:extLst>
            </c:dLbl>
            <c:spPr>
              <a:noFill/>
              <a:ln>
                <a:noFill/>
              </a:ln>
              <a:effectLst/>
            </c:spPr>
            <c:txPr>
              <a:bodyPr rot="0" spcFirstLastPara="1" vertOverflow="ellipsis" vert="horz" wrap="square" anchor="ctr" anchorCtr="1"/>
              <a:lstStyle/>
              <a:p>
                <a:pPr>
                  <a:defRPr sz="1200" b="1" i="0" u="none" strike="noStrike" kern="1200" baseline="0">
                    <a:solidFill>
                      <a:schemeClr val="accent5"/>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KDG_maksājumi_12042018!$C$2:$N$2</c:f>
              <c:strCache>
                <c:ptCount val="12"/>
                <c:pt idx="0">
                  <c:v>Janvāris</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KDG_maksājumi_12042018!$C$4:$N$4</c:f>
              <c:numCache>
                <c:formatCode>#,##0</c:formatCode>
                <c:ptCount val="12"/>
                <c:pt idx="0">
                  <c:v>61706883.170000002</c:v>
                </c:pt>
                <c:pt idx="1">
                  <c:v>125439480.19999999</c:v>
                </c:pt>
                <c:pt idx="2">
                  <c:v>188421835.47000003</c:v>
                </c:pt>
                <c:pt idx="3">
                  <c:v>230888350.44</c:v>
                </c:pt>
                <c:pt idx="4">
                  <c:v>271393101.97000003</c:v>
                </c:pt>
                <c:pt idx="5">
                  <c:v>314674118.77999997</c:v>
                </c:pt>
                <c:pt idx="6">
                  <c:v>362599114.51999998</c:v>
                </c:pt>
              </c:numCache>
            </c:numRef>
          </c:val>
          <c:smooth val="0"/>
          <c:extLst>
            <c:ext xmlns:c16="http://schemas.microsoft.com/office/drawing/2014/chart" uri="{C3380CC4-5D6E-409C-BE32-E72D297353CC}">
              <c16:uniqueId val="{00000005-6B65-4A5A-985B-4B0118F2E0A9}"/>
            </c:ext>
          </c:extLst>
        </c:ser>
        <c:dLbls>
          <c:showLegendKey val="0"/>
          <c:showVal val="0"/>
          <c:showCatName val="0"/>
          <c:showSerName val="0"/>
          <c:showPercent val="0"/>
          <c:showBubbleSize val="0"/>
        </c:dLbls>
        <c:smooth val="0"/>
        <c:axId val="199235008"/>
        <c:axId val="199235400"/>
      </c:lineChart>
      <c:catAx>
        <c:axId val="1992350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235400"/>
        <c:crosses val="autoZero"/>
        <c:auto val="1"/>
        <c:lblAlgn val="ctr"/>
        <c:lblOffset val="100"/>
        <c:noMultiLvlLbl val="0"/>
      </c:catAx>
      <c:valAx>
        <c:axId val="19923540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99235008"/>
        <c:crosses val="autoZero"/>
        <c:crossBetween val="between"/>
        <c:dispUnits>
          <c:builtInUnit val="millions"/>
          <c:dispUnitsLbl>
            <c:layout/>
            <c:tx>
              <c:rich>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r>
                    <a:rPr lang="lv-LV"/>
                    <a:t>Milj. euro</a:t>
                  </a:r>
                </a:p>
              </c:rich>
            </c:tx>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legend>
      <c:legendPos val="b"/>
      <c:layout>
        <c:manualLayout>
          <c:xMode val="edge"/>
          <c:yMode val="edge"/>
          <c:x val="0.19450337972443116"/>
          <c:y val="0.81302465396953594"/>
          <c:w val="0.77635521003596297"/>
          <c:h val="0.18697534603046415"/>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8731985052256064"/>
          <c:y val="2.4699915971777779E-2"/>
          <c:w val="0.81268014947743938"/>
          <c:h val="0.93653117684613751"/>
        </c:manualLayout>
      </c:layout>
      <c:barChart>
        <c:barDir val="bar"/>
        <c:grouping val="stacked"/>
        <c:varyColors val="0"/>
        <c:ser>
          <c:idx val="0"/>
          <c:order val="0"/>
          <c:tx>
            <c:strRef>
              <c:f>Sheet3!$B$41</c:f>
              <c:strCache>
                <c:ptCount val="1"/>
                <c:pt idx="0">
                  <c:v>Neplānoti iesniegti</c:v>
                </c:pt>
              </c:strCache>
            </c:strRef>
          </c:tx>
          <c:spPr>
            <a:solidFill>
              <a:srgbClr val="4BACC6">
                <a:lumMod val="60000"/>
                <a:lumOff val="40000"/>
              </a:srgbClr>
            </a:solidFill>
            <a:ln>
              <a:noFill/>
            </a:ln>
            <a:effectLst/>
          </c:spPr>
          <c:invertIfNegative val="0"/>
          <c:dLbls>
            <c:dLbl>
              <c:idx val="0"/>
              <c:layout>
                <c:manualLayout>
                  <c:x val="-4.4198098151236407E-3"/>
                  <c:y val="3.9408539740702925E-3"/>
                </c:manualLayout>
              </c:layout>
              <c:tx>
                <c:rich>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fld id="{4290AC55-FBB5-478C-9EAE-D9E6717238B4}" type="VALUE">
                      <a:rPr lang="en-US"/>
                      <a:pPr>
                        <a:defRPr/>
                      </a:pPr>
                      <a:t>[VALUE]</a:t>
                    </a:fld>
                    <a:endParaRPr lang="en-US"/>
                  </a:p>
                  <a:p>
                    <a:pPr>
                      <a:defRPr/>
                    </a:pPr>
                    <a:r>
                      <a:rPr lang="en-US"/>
                      <a:t> (2)</a:t>
                    </a:r>
                  </a:p>
                </c:rich>
              </c:tx>
              <c:spPr>
                <a:noFill/>
                <a:ln>
                  <a:noFill/>
                </a:ln>
                <a:effectLst/>
              </c:spPr>
              <c:txPr>
                <a:bodyPr rot="0" spcFirstLastPara="1" vertOverflow="clip" horzOverflow="clip" vert="horz" wrap="square" lIns="36576" tIns="18288" rIns="36576" bIns="18288" anchor="ctr" anchorCtr="1">
                  <a:spAutoFit/>
                </a:bodyPr>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ct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a:noFill/>
                    <a:ln>
                      <a:noFill/>
                    </a:ln>
                  </c15:spPr>
                  <c15:layout>
                    <c:manualLayout>
                      <c:w val="6.9638525836774184E-2"/>
                      <c:h val="0.14432245702857302"/>
                    </c:manualLayout>
                  </c15:layout>
                  <c15:dlblFieldTable/>
                  <c15:showDataLabelsRange val="0"/>
                </c:ext>
                <c:ext xmlns:c16="http://schemas.microsoft.com/office/drawing/2014/chart" uri="{C3380CC4-5D6E-409C-BE32-E72D297353CC}">
                  <c16:uniqueId val="{00000000-8187-4CCA-B31C-F621586AAF5D}"/>
                </c:ext>
              </c:extLst>
            </c:dLbl>
            <c:dLbl>
              <c:idx val="1"/>
              <c:layout>
                <c:manualLayout>
                  <c:x val="-1.9033849903815332E-3"/>
                  <c:y val="3.730717052908351E-3"/>
                </c:manualLayout>
              </c:layout>
              <c:tx>
                <c:rich>
                  <a:bodyPr/>
                  <a:lstStyle/>
                  <a:p>
                    <a:fld id="{185F5691-7071-43F9-B27C-04F0C558E93A}" type="VALUE">
                      <a:rPr lang="en-US" baseline="0">
                        <a:solidFill>
                          <a:schemeClr val="tx1"/>
                        </a:solidFill>
                      </a:rPr>
                      <a:pPr/>
                      <a:t>[VALUE]</a:t>
                    </a:fld>
                    <a:r>
                      <a:rPr lang="en-US" dirty="0">
                        <a:solidFill>
                          <a:schemeClr val="tx1"/>
                        </a:solidFill>
                      </a:rPr>
                      <a:t> </a:t>
                    </a:r>
                    <a:endParaRPr lang="en-US" dirty="0" smtClean="0">
                      <a:solidFill>
                        <a:schemeClr val="tx1"/>
                      </a:solidFill>
                    </a:endParaRPr>
                  </a:p>
                  <a:p>
                    <a:r>
                      <a:rPr lang="en-US" dirty="0" smtClean="0">
                        <a:solidFill>
                          <a:schemeClr val="tx1"/>
                        </a:solidFill>
                      </a:rPr>
                      <a:t>(5)</a:t>
                    </a:r>
                  </a:p>
                </c:rich>
              </c:tx>
              <c:dLblPos val="ctr"/>
              <c:showLegendKey val="0"/>
              <c:showVal val="1"/>
              <c:showCatName val="0"/>
              <c:showSerName val="0"/>
              <c:showPercent val="0"/>
              <c:showBubbleSize val="0"/>
              <c:extLst>
                <c:ext xmlns:c15="http://schemas.microsoft.com/office/drawing/2012/chart" uri="{CE6537A1-D6FC-4f65-9D91-7224C49458BB}">
                  <c15:layout>
                    <c:manualLayout>
                      <c:w val="8.2419420637670673E-2"/>
                      <c:h val="0.12336330960406149"/>
                    </c:manualLayout>
                  </c15:layout>
                  <c15:dlblFieldTable/>
                  <c15:showDataLabelsRange val="0"/>
                </c:ext>
                <c:ext xmlns:c16="http://schemas.microsoft.com/office/drawing/2014/chart" uri="{C3380CC4-5D6E-409C-BE32-E72D297353CC}">
                  <c16:uniqueId val="{00000001-8187-4CCA-B31C-F621586AAF5D}"/>
                </c:ext>
              </c:extLst>
            </c:dLbl>
            <c:dLbl>
              <c:idx val="2"/>
              <c:layout>
                <c:manualLayout>
                  <c:x val="-3.5873455878713189E-3"/>
                  <c:y val="-4.5698661557181021E-4"/>
                </c:manualLayout>
              </c:layout>
              <c:tx>
                <c:rich>
                  <a:bodyPr/>
                  <a:lstStyle/>
                  <a:p>
                    <a:fld id="{D867FC3B-2898-4385-AFF2-E90EB9988868}" type="VALUE">
                      <a:rPr lang="en-US" smtClean="0"/>
                      <a:pPr/>
                      <a:t>[VALUE]</a:t>
                    </a:fld>
                    <a:endParaRPr lang="en-US" dirty="0" smtClean="0"/>
                  </a:p>
                  <a:p>
                    <a:r>
                      <a:rPr lang="en-US" dirty="0" smtClean="0"/>
                      <a:t> (6)</a:t>
                    </a:r>
                  </a:p>
                </c:rich>
              </c:tx>
              <c:dLblPos val="ctr"/>
              <c:showLegendKey val="0"/>
              <c:showVal val="1"/>
              <c:showCatName val="0"/>
              <c:showSerName val="0"/>
              <c:showPercent val="0"/>
              <c:showBubbleSize val="0"/>
              <c:extLst>
                <c:ext xmlns:c15="http://schemas.microsoft.com/office/drawing/2012/chart" uri="{CE6537A1-D6FC-4f65-9D91-7224C49458BB}">
                  <c15:layout>
                    <c:manualLayout>
                      <c:w val="0.16263879382300275"/>
                      <c:h val="0.17998454567068992"/>
                    </c:manualLayout>
                  </c15:layout>
                  <c15:dlblFieldTable/>
                  <c15:showDataLabelsRange val="0"/>
                </c:ext>
                <c:ext xmlns:c16="http://schemas.microsoft.com/office/drawing/2014/chart" uri="{C3380CC4-5D6E-409C-BE32-E72D297353CC}">
                  <c16:uniqueId val="{00000002-8187-4CCA-B31C-F621586AAF5D}"/>
                </c:ext>
              </c:extLst>
            </c:dLbl>
            <c:dLbl>
              <c:idx val="3"/>
              <c:layout>
                <c:manualLayout>
                  <c:x val="-1.0251584829043523E-3"/>
                  <c:y val="0"/>
                </c:manualLayout>
              </c:layout>
              <c:tx>
                <c:rich>
                  <a:bodyPr/>
                  <a:lstStyle/>
                  <a:p>
                    <a:fld id="{37E492A0-434E-4907-A334-04874DF05189}" type="VALUE">
                      <a:rPr lang="en-US"/>
                      <a:pPr/>
                      <a:t>[VALUE]</a:t>
                    </a:fld>
                    <a:r>
                      <a:rPr lang="en-US" dirty="0"/>
                      <a:t> </a:t>
                    </a:r>
                    <a:r>
                      <a:rPr lang="en-US" dirty="0" smtClean="0"/>
                      <a:t>(12)</a:t>
                    </a:r>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8187-4CCA-B31C-F621586AAF5D}"/>
                </c:ext>
              </c:extLst>
            </c:dLbl>
            <c:dLbl>
              <c:idx val="4"/>
              <c:layout/>
              <c:tx>
                <c:rich>
                  <a:bodyPr/>
                  <a:lstStyle/>
                  <a:p>
                    <a:fld id="{1057AC4E-40A0-45B5-8907-65DBF5A565E2}" type="VALUE">
                      <a:rPr lang="en-US" smtClean="0"/>
                      <a:pPr/>
                      <a:t>[VALUE]</a:t>
                    </a:fld>
                    <a:r>
                      <a:rPr lang="en-US" smtClean="0"/>
                      <a:t> </a:t>
                    </a:r>
                    <a:r>
                      <a:rPr lang="en-US" dirty="0" smtClean="0"/>
                      <a:t>(20)</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8187-4CCA-B31C-F621586AAF5D}"/>
                </c:ext>
              </c:extLst>
            </c:dLbl>
            <c:dLbl>
              <c:idx val="5"/>
              <c:layout/>
              <c:tx>
                <c:rich>
                  <a:bodyPr/>
                  <a:lstStyle/>
                  <a:p>
                    <a:fld id="{BDD855CD-E1FF-481B-98A9-D5ECBA5A9EF6}" type="VALUE">
                      <a:rPr lang="en-US" smtClean="0"/>
                      <a:pPr/>
                      <a:t>[VALUE]</a:t>
                    </a:fld>
                    <a:r>
                      <a:rPr lang="en-US" smtClean="0"/>
                      <a:t> </a:t>
                    </a:r>
                    <a:r>
                      <a:rPr lang="en-US" dirty="0" smtClean="0"/>
                      <a:t>(24)</a:t>
                    </a:r>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8187-4CCA-B31C-F621586AAF5D}"/>
                </c:ext>
              </c:extLst>
            </c:dLbl>
            <c:dLbl>
              <c:idx val="6"/>
              <c:layout/>
              <c:tx>
                <c:rich>
                  <a:bodyPr/>
                  <a:lstStyle/>
                  <a:p>
                    <a:fld id="{BD496B2E-1212-456D-AE6C-C3FC6FDB25BA}" type="VALUE">
                      <a:rPr lang="en-US"/>
                      <a:pPr/>
                      <a:t>[VALUE]</a:t>
                    </a:fld>
                    <a:r>
                      <a:rPr lang="en-US" dirty="0"/>
                      <a:t> </a:t>
                    </a:r>
                    <a:r>
                      <a:rPr lang="en-US" dirty="0" smtClean="0"/>
                      <a:t>(25)</a:t>
                    </a:r>
                  </a:p>
                  <a:p>
                    <a:endParaRPr lang="lv-LV"/>
                  </a:p>
                </c:rich>
              </c:tx>
              <c:dLblPos val="inEnd"/>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8187-4CCA-B31C-F621586AAF5D}"/>
                </c:ext>
              </c:extLst>
            </c:dLbl>
            <c:dLbl>
              <c:idx val="7"/>
              <c:tx>
                <c:rich>
                  <a:bodyPr/>
                  <a:lstStyle/>
                  <a:p>
                    <a:fld id="{D84A5F88-64E2-4A3F-BA16-2C51C0FC8AE0}" type="VALUE">
                      <a:rPr lang="en-US" smtClean="0"/>
                      <a:pPr/>
                      <a:t>[VALUE]</a:t>
                    </a:fld>
                    <a:r>
                      <a:rPr lang="en-US" dirty="0" smtClean="0"/>
                      <a:t>(26)</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8187-4CCA-B31C-F621586AAF5D}"/>
                </c:ext>
              </c:extLst>
            </c:dLbl>
            <c:dLbl>
              <c:idx val="8"/>
              <c:tx>
                <c:rich>
                  <a:bodyPr/>
                  <a:lstStyle/>
                  <a:p>
                    <a:fld id="{AFBE0B29-BECE-47B2-9400-5687CF042858}" type="VALUE">
                      <a:rPr lang="en-US" smtClean="0"/>
                      <a:pPr/>
                      <a:t>[VALUE]</a:t>
                    </a:fld>
                    <a:r>
                      <a:rPr lang="en-US" dirty="0" smtClean="0"/>
                      <a:t>(26)</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8-8187-4CCA-B31C-F621586AAF5D}"/>
                </c:ext>
              </c:extLst>
            </c:dLbl>
            <c:dLbl>
              <c:idx val="9"/>
              <c:tx>
                <c:rich>
                  <a:bodyPr/>
                  <a:lstStyle/>
                  <a:p>
                    <a:fld id="{22BA5AD5-22AD-4D10-9859-14E8FBC13E29}" type="VALUE">
                      <a:rPr lang="en-US" smtClean="0"/>
                      <a:pPr/>
                      <a:t>[VALUE]</a:t>
                    </a:fld>
                    <a:r>
                      <a:rPr lang="en-US" dirty="0" smtClean="0"/>
                      <a:t>(34)</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8187-4CCA-B31C-F621586AAF5D}"/>
                </c:ext>
              </c:extLst>
            </c:dLbl>
            <c:dLbl>
              <c:idx val="10"/>
              <c:tx>
                <c:rich>
                  <a:bodyPr/>
                  <a:lstStyle/>
                  <a:p>
                    <a:fld id="{EB2AE184-FACF-4DBB-9877-5E3014BEC492}" type="VALUE">
                      <a:rPr lang="en-US" smtClean="0"/>
                      <a:pPr/>
                      <a:t>[VALUE]</a:t>
                    </a:fld>
                    <a:r>
                      <a:rPr lang="en-US" smtClean="0"/>
                      <a:t>(39)</a:t>
                    </a:r>
                  </a:p>
                </c:rich>
              </c:tx>
              <c:dLblPos val="in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A-8187-4CCA-B31C-F621586AAF5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1F497D"/>
                      </a:solidFill>
                      <a:round/>
                    </a:ln>
                    <a:effectLst/>
                  </c:spPr>
                </c15:leaderLines>
              </c:ext>
            </c:extLst>
          </c:dLbls>
          <c:cat>
            <c:strRef>
              <c:f>Sheet3!$A$42:$A$48</c:f>
              <c:strCache>
                <c:ptCount val="7"/>
                <c:pt idx="0">
                  <c:v>līdz
 11.02.2019
∑ 11 MEUR</c:v>
                </c:pt>
                <c:pt idx="1">
                  <c:v>līdz
01.03.2019
∑ 29 MEUR</c:v>
                </c:pt>
                <c:pt idx="2">
                  <c:v>līdz
01.04.2019
∑ 58 MEUR</c:v>
                </c:pt>
                <c:pt idx="3">
                  <c:v>līdz
01.05.2019
∑ 65 MEUR</c:v>
                </c:pt>
                <c:pt idx="4">
                  <c:v>līdz
01.06.2019
∑ 100 MEUR</c:v>
                </c:pt>
                <c:pt idx="5">
                  <c:v>līdz
01.07.2019
∑ 119 MEUR</c:v>
                </c:pt>
                <c:pt idx="6">
                  <c:v>līdz
01.08.2019
∑ 116 MEUR</c:v>
                </c:pt>
              </c:strCache>
            </c:strRef>
          </c:cat>
          <c:val>
            <c:numRef>
              <c:f>Sheet3!$B$42:$B$48</c:f>
              <c:numCache>
                <c:formatCode>#,##0</c:formatCode>
                <c:ptCount val="7"/>
                <c:pt idx="0">
                  <c:v>3815238.58</c:v>
                </c:pt>
                <c:pt idx="1">
                  <c:v>5514235.5800000001</c:v>
                </c:pt>
                <c:pt idx="2">
                  <c:v>11422510.790000001</c:v>
                </c:pt>
                <c:pt idx="3">
                  <c:v>12983503.950000001</c:v>
                </c:pt>
                <c:pt idx="4">
                  <c:v>22723044.680000003</c:v>
                </c:pt>
                <c:pt idx="5">
                  <c:v>27407976.249999996</c:v>
                </c:pt>
                <c:pt idx="6">
                  <c:v>28290485.039999995</c:v>
                </c:pt>
              </c:numCache>
            </c:numRef>
          </c:val>
          <c:extLst>
            <c:ext xmlns:c16="http://schemas.microsoft.com/office/drawing/2014/chart" uri="{C3380CC4-5D6E-409C-BE32-E72D297353CC}">
              <c16:uniqueId val="{0000000B-8187-4CCA-B31C-F621586AAF5D}"/>
            </c:ext>
          </c:extLst>
        </c:ser>
        <c:ser>
          <c:idx val="1"/>
          <c:order val="1"/>
          <c:tx>
            <c:strRef>
              <c:f>Sheet3!$C$41</c:f>
              <c:strCache>
                <c:ptCount val="1"/>
                <c:pt idx="0">
                  <c:v>Termiņā iesniegti</c:v>
                </c:pt>
              </c:strCache>
            </c:strRef>
          </c:tx>
          <c:spPr>
            <a:solidFill>
              <a:srgbClr val="00B050"/>
            </a:solidFill>
            <a:ln>
              <a:noFill/>
            </a:ln>
            <a:effectLst/>
          </c:spPr>
          <c:invertIfNegative val="0"/>
          <c:dLbls>
            <c:dLbl>
              <c:idx val="0"/>
              <c:layout>
                <c:manualLayout>
                  <c:x val="6.5891327317014053E-3"/>
                  <c:y val="2.7796814030572898E-3"/>
                </c:manualLayout>
              </c:layout>
              <c:tx>
                <c:rich>
                  <a:bodyPr/>
                  <a:lstStyle/>
                  <a:p>
                    <a:fld id="{AF2D0AA1-F4FC-40FF-8F4E-74DA94C33EE9}" type="VALUE">
                      <a:rPr lang="en-US" baseline="0">
                        <a:solidFill>
                          <a:schemeClr val="tx1"/>
                        </a:solidFill>
                      </a:rPr>
                      <a:pPr/>
                      <a:t>[VALUE]</a:t>
                    </a:fld>
                    <a:r>
                      <a:rPr lang="en-US" dirty="0">
                        <a:solidFill>
                          <a:schemeClr val="tx1"/>
                        </a:solidFill>
                      </a:rPr>
                      <a:t> </a:t>
                    </a:r>
                    <a:r>
                      <a:rPr lang="en-US" dirty="0" smtClean="0">
                        <a:solidFill>
                          <a:schemeClr val="tx1"/>
                        </a:solidFill>
                      </a:rPr>
                      <a:t>(6)</a:t>
                    </a:r>
                  </a:p>
                </c:rich>
              </c:tx>
              <c:showLegendKey val="0"/>
              <c:showVal val="1"/>
              <c:showCatName val="0"/>
              <c:showSerName val="0"/>
              <c:showPercent val="0"/>
              <c:showBubbleSize val="0"/>
              <c:extLst>
                <c:ext xmlns:c15="http://schemas.microsoft.com/office/drawing/2012/chart" uri="{CE6537A1-D6FC-4f65-9D91-7224C49458BB}">
                  <c15:layout>
                    <c:manualLayout>
                      <c:w val="7.0825175684602393E-2"/>
                      <c:h val="5.4749234276443688E-2"/>
                    </c:manualLayout>
                  </c15:layout>
                  <c15:dlblFieldTable/>
                  <c15:showDataLabelsRange val="0"/>
                </c:ext>
                <c:ext xmlns:c16="http://schemas.microsoft.com/office/drawing/2014/chart" uri="{C3380CC4-5D6E-409C-BE32-E72D297353CC}">
                  <c16:uniqueId val="{0000000C-8187-4CCA-B31C-F621586AAF5D}"/>
                </c:ext>
              </c:extLst>
            </c:dLbl>
            <c:dLbl>
              <c:idx val="1"/>
              <c:layout/>
              <c:tx>
                <c:rich>
                  <a:bodyPr/>
                  <a:lstStyle/>
                  <a:p>
                    <a:fld id="{82706E20-213A-41B5-B5A5-A564B22C4B66}" type="VALUE">
                      <a:rPr lang="en-US"/>
                      <a:pPr/>
                      <a:t>[VALUE]</a:t>
                    </a:fld>
                    <a:r>
                      <a:rPr lang="en-US" dirty="0"/>
                      <a:t> </a:t>
                    </a:r>
                    <a:r>
                      <a:rPr lang="en-US" dirty="0" smtClean="0"/>
                      <a:t>(16)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8187-4CCA-B31C-F621586AAF5D}"/>
                </c:ext>
              </c:extLst>
            </c:dLbl>
            <c:dLbl>
              <c:idx val="2"/>
              <c:layout/>
              <c:tx>
                <c:rich>
                  <a:bodyPr/>
                  <a:lstStyle/>
                  <a:p>
                    <a:fld id="{BF6D856B-341B-4E4F-AC89-8ADC6627855F}" type="VALUE">
                      <a:rPr lang="en-US"/>
                      <a:pPr/>
                      <a:t>[VALUE]</a:t>
                    </a:fld>
                    <a:r>
                      <a:rPr lang="en-US" dirty="0"/>
                      <a:t> </a:t>
                    </a:r>
                    <a:r>
                      <a:rPr lang="en-US" dirty="0" smtClean="0"/>
                      <a:t>(37)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8187-4CCA-B31C-F621586AAF5D}"/>
                </c:ext>
              </c:extLst>
            </c:dLbl>
            <c:dLbl>
              <c:idx val="3"/>
              <c:layout/>
              <c:tx>
                <c:rich>
                  <a:bodyPr/>
                  <a:lstStyle/>
                  <a:p>
                    <a:fld id="{03B0C243-739F-479D-A14E-AEE3DD90245D}" type="VALUE">
                      <a:rPr lang="en-US"/>
                      <a:pPr/>
                      <a:t>[VALUE]</a:t>
                    </a:fld>
                    <a:r>
                      <a:rPr lang="en-US" dirty="0"/>
                      <a:t> </a:t>
                    </a:r>
                    <a:r>
                      <a:rPr lang="en-US" dirty="0" smtClean="0"/>
                      <a:t>(45)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8187-4CCA-B31C-F621586AAF5D}"/>
                </c:ext>
              </c:extLst>
            </c:dLbl>
            <c:dLbl>
              <c:idx val="4"/>
              <c:layout/>
              <c:tx>
                <c:rich>
                  <a:bodyPr/>
                  <a:lstStyle/>
                  <a:p>
                    <a:fld id="{66096EC4-22F4-415A-812F-543B136629D5}" type="VALUE">
                      <a:rPr lang="en-US" smtClean="0"/>
                      <a:pPr/>
                      <a:t>[VALUE]</a:t>
                    </a:fld>
                    <a:r>
                      <a:rPr lang="en-US" smtClean="0"/>
                      <a:t> </a:t>
                    </a:r>
                    <a:r>
                      <a:rPr lang="en-US" dirty="0" smtClean="0"/>
                      <a:t>(53)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8187-4CCA-B31C-F621586AAF5D}"/>
                </c:ext>
              </c:extLst>
            </c:dLbl>
            <c:dLbl>
              <c:idx val="5"/>
              <c:layout/>
              <c:tx>
                <c:rich>
                  <a:bodyPr/>
                  <a:lstStyle/>
                  <a:p>
                    <a:fld id="{F39F1CCC-5297-4865-A08C-F83353BCB13F}" type="VALUE">
                      <a:rPr lang="en-US" smtClean="0"/>
                      <a:pPr/>
                      <a:t>[VALUE]</a:t>
                    </a:fld>
                    <a:r>
                      <a:rPr lang="en-US" smtClean="0"/>
                      <a:t> </a:t>
                    </a:r>
                    <a:r>
                      <a:rPr lang="en-US" dirty="0" smtClean="0"/>
                      <a:t>(66)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8187-4CCA-B31C-F621586AAF5D}"/>
                </c:ext>
              </c:extLst>
            </c:dLbl>
            <c:dLbl>
              <c:idx val="6"/>
              <c:layout/>
              <c:tx>
                <c:rich>
                  <a:bodyPr/>
                  <a:lstStyle/>
                  <a:p>
                    <a:fld id="{EAB0DF5D-6A95-4BDB-9FAC-97DF6973D7D9}" type="VALUE">
                      <a:rPr lang="en-US"/>
                      <a:pPr/>
                      <a:t>[VALUE]</a:t>
                    </a:fld>
                    <a:r>
                      <a:rPr lang="en-US" baseline="0" dirty="0"/>
                      <a:t> ( </a:t>
                    </a:r>
                    <a:r>
                      <a:rPr lang="en-US" baseline="0" dirty="0" smtClean="0"/>
                      <a:t>66)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2-8187-4CCA-B31C-F621586AAF5D}"/>
                </c:ext>
              </c:extLst>
            </c:dLbl>
            <c:dLbl>
              <c:idx val="7"/>
              <c:tx>
                <c:rich>
                  <a:bodyPr/>
                  <a:lstStyle/>
                  <a:p>
                    <a:fld id="{B19D1258-68F4-4E0F-AA0F-14F0AC60C17F}" type="VALUE">
                      <a:rPr lang="en-US" smtClean="0"/>
                      <a:pPr/>
                      <a:t>[VALUE]</a:t>
                    </a:fld>
                    <a:r>
                      <a:rPr lang="en-US" dirty="0" smtClean="0"/>
                      <a:t>(97)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8187-4CCA-B31C-F621586AAF5D}"/>
                </c:ext>
              </c:extLst>
            </c:dLbl>
            <c:dLbl>
              <c:idx val="8"/>
              <c:tx>
                <c:rich>
                  <a:bodyPr/>
                  <a:lstStyle/>
                  <a:p>
                    <a:fld id="{3A709BF3-1CA9-41DB-A389-FC4C74E1628A}" type="VALUE">
                      <a:rPr lang="en-US" smtClean="0"/>
                      <a:pPr/>
                      <a:t>[VALUE]</a:t>
                    </a:fld>
                    <a:r>
                      <a:rPr lang="en-US" dirty="0" smtClean="0"/>
                      <a:t>(99)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4-8187-4CCA-B31C-F621586AAF5D}"/>
                </c:ext>
              </c:extLst>
            </c:dLbl>
            <c:dLbl>
              <c:idx val="9"/>
              <c:tx>
                <c:rich>
                  <a:bodyPr/>
                  <a:lstStyle/>
                  <a:p>
                    <a:fld id="{1F6C0AEC-A42E-4030-83FC-810A536626C4}" type="VALUE">
                      <a:rPr lang="en-US" smtClean="0"/>
                      <a:pPr/>
                      <a:t>[VALUE]</a:t>
                    </a:fld>
                    <a:r>
                      <a:rPr lang="en-US" smtClean="0"/>
                      <a:t>(141)</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5-8187-4CCA-B31C-F621586AAF5D}"/>
                </c:ext>
              </c:extLst>
            </c:dLbl>
            <c:dLbl>
              <c:idx val="10"/>
              <c:tx>
                <c:rich>
                  <a:bodyPr/>
                  <a:lstStyle/>
                  <a:p>
                    <a:fld id="{60307EB9-C543-40E0-8431-264B715D82DA}" type="VALUE">
                      <a:rPr lang="en-US" smtClean="0"/>
                      <a:pPr/>
                      <a:t>[VALUE]</a:t>
                    </a:fld>
                    <a:r>
                      <a:rPr lang="en-US" smtClean="0"/>
                      <a:t>(144)</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6-8187-4CCA-B31C-F621586AAF5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B050"/>
                      </a:solidFill>
                      <a:round/>
                    </a:ln>
                    <a:effectLst/>
                  </c:spPr>
                </c15:leaderLines>
              </c:ext>
            </c:extLst>
          </c:dLbls>
          <c:cat>
            <c:strRef>
              <c:f>Sheet3!$A$42:$A$48</c:f>
              <c:strCache>
                <c:ptCount val="7"/>
                <c:pt idx="0">
                  <c:v>līdz
 11.02.2019
∑ 11 MEUR</c:v>
                </c:pt>
                <c:pt idx="1">
                  <c:v>līdz
01.03.2019
∑ 29 MEUR</c:v>
                </c:pt>
                <c:pt idx="2">
                  <c:v>līdz
01.04.2019
∑ 58 MEUR</c:v>
                </c:pt>
                <c:pt idx="3">
                  <c:v>līdz
01.05.2019
∑ 65 MEUR</c:v>
                </c:pt>
                <c:pt idx="4">
                  <c:v>līdz
01.06.2019
∑ 100 MEUR</c:v>
                </c:pt>
                <c:pt idx="5">
                  <c:v>līdz
01.07.2019
∑ 119 MEUR</c:v>
                </c:pt>
                <c:pt idx="6">
                  <c:v>līdz
01.08.2019
∑ 116 MEUR</c:v>
                </c:pt>
              </c:strCache>
            </c:strRef>
          </c:cat>
          <c:val>
            <c:numRef>
              <c:f>Sheet3!$C$42:$C$48</c:f>
              <c:numCache>
                <c:formatCode>#,##0</c:formatCode>
                <c:ptCount val="7"/>
                <c:pt idx="0">
                  <c:v>7828782.7200000007</c:v>
                </c:pt>
                <c:pt idx="1">
                  <c:v>16421607.649999999</c:v>
                </c:pt>
                <c:pt idx="2">
                  <c:v>41802938.420000009</c:v>
                </c:pt>
                <c:pt idx="3">
                  <c:v>47641519.600000001</c:v>
                </c:pt>
                <c:pt idx="4">
                  <c:v>64878060.160000004</c:v>
                </c:pt>
                <c:pt idx="5">
                  <c:v>73342674.979999989</c:v>
                </c:pt>
                <c:pt idx="6">
                  <c:v>73342674.979999989</c:v>
                </c:pt>
              </c:numCache>
            </c:numRef>
          </c:val>
          <c:extLst>
            <c:ext xmlns:c16="http://schemas.microsoft.com/office/drawing/2014/chart" uri="{C3380CC4-5D6E-409C-BE32-E72D297353CC}">
              <c16:uniqueId val="{00000017-8187-4CCA-B31C-F621586AAF5D}"/>
            </c:ext>
          </c:extLst>
        </c:ser>
        <c:ser>
          <c:idx val="2"/>
          <c:order val="2"/>
          <c:tx>
            <c:strRef>
              <c:f>Sheet3!$D$41</c:f>
              <c:strCache>
                <c:ptCount val="1"/>
                <c:pt idx="0">
                  <c:v>Kavēti</c:v>
                </c:pt>
              </c:strCache>
            </c:strRef>
          </c:tx>
          <c:spPr>
            <a:solidFill>
              <a:srgbClr val="FFC000"/>
            </a:solidFill>
            <a:ln>
              <a:noFill/>
            </a:ln>
            <a:effectLst/>
          </c:spPr>
          <c:invertIfNegative val="0"/>
          <c:dLbls>
            <c:dLbl>
              <c:idx val="0"/>
              <c:layout>
                <c:manualLayout>
                  <c:x val="-2.366104430745396E-4"/>
                  <c:y val="-2.8279588699928334E-4"/>
                </c:manualLayout>
              </c:layout>
              <c:tx>
                <c:rich>
                  <a:bodyPr/>
                  <a:lstStyle/>
                  <a:p>
                    <a:fld id="{06788063-DAF5-4BE9-ACFB-2B567224A93C}" type="VALUE">
                      <a:rPr lang="en-US" b="0" baseline="0" smtClean="0">
                        <a:solidFill>
                          <a:schemeClr val="tx1"/>
                        </a:solidFill>
                      </a:rPr>
                      <a:pPr/>
                      <a:t>[VALUE]</a:t>
                    </a:fld>
                    <a:endParaRPr lang="en-US" b="0" baseline="0" smtClean="0">
                      <a:solidFill>
                        <a:schemeClr val="tx1"/>
                      </a:solidFill>
                    </a:endParaRPr>
                  </a:p>
                  <a:p>
                    <a:r>
                      <a:rPr lang="en-US" b="0" baseline="0" dirty="0" smtClean="0">
                        <a:solidFill>
                          <a:schemeClr val="tx1"/>
                        </a:solidFill>
                      </a:rPr>
                      <a:t>(16)</a:t>
                    </a:r>
                  </a:p>
                </c:rich>
              </c:tx>
              <c:showLegendKey val="0"/>
              <c:showVal val="1"/>
              <c:showCatName val="0"/>
              <c:showSerName val="0"/>
              <c:showPercent val="0"/>
              <c:showBubbleSize val="0"/>
              <c:extLst>
                <c:ext xmlns:c15="http://schemas.microsoft.com/office/drawing/2012/chart" uri="{CE6537A1-D6FC-4f65-9D91-7224C49458BB}">
                  <c15:layout>
                    <c:manualLayout>
                      <c:w val="9.0039296295106749E-2"/>
                      <c:h val="0.10958394796679508"/>
                    </c:manualLayout>
                  </c15:layout>
                  <c15:dlblFieldTable/>
                  <c15:showDataLabelsRange val="0"/>
                </c:ext>
                <c:ext xmlns:c16="http://schemas.microsoft.com/office/drawing/2014/chart" uri="{C3380CC4-5D6E-409C-BE32-E72D297353CC}">
                  <c16:uniqueId val="{00000018-8187-4CCA-B31C-F621586AAF5D}"/>
                </c:ext>
              </c:extLst>
            </c:dLbl>
            <c:dLbl>
              <c:idx val="1"/>
              <c:layout>
                <c:manualLayout>
                  <c:x val="-1.3666801822299264E-4"/>
                  <c:y val="-8.4982841412682541E-3"/>
                </c:manualLayout>
              </c:layout>
              <c:tx>
                <c:rich>
                  <a:bodyPr/>
                  <a:lstStyle/>
                  <a:p>
                    <a:fld id="{DC9E3B1F-C97F-49B0-B7BB-CF6D68B95221}" type="VALUE">
                      <a:rPr lang="en-US">
                        <a:solidFill>
                          <a:schemeClr val="tx1"/>
                        </a:solidFill>
                      </a:rPr>
                      <a:pPr/>
                      <a:t>[VALUE]</a:t>
                    </a:fld>
                    <a:r>
                      <a:rPr lang="en-US" dirty="0">
                        <a:solidFill>
                          <a:srgbClr val="FFC000"/>
                        </a:solidFill>
                      </a:rPr>
                      <a:t> </a:t>
                    </a:r>
                    <a:r>
                      <a:rPr lang="en-US" dirty="0" smtClean="0"/>
                      <a:t>(17)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9-8187-4CCA-B31C-F621586AAF5D}"/>
                </c:ext>
              </c:extLst>
            </c:dLbl>
            <c:dLbl>
              <c:idx val="2"/>
              <c:layout>
                <c:manualLayout>
                  <c:x val="6.2660983765496685E-4"/>
                  <c:y val="0.11764450846841303"/>
                </c:manualLayout>
              </c:layout>
              <c:tx>
                <c:rich>
                  <a:bodyPr/>
                  <a:lstStyle/>
                  <a:p>
                    <a:fld id="{FD532EE5-14C2-4BA7-9594-EF0BA7FBDD33}" type="VALUE">
                      <a:rPr lang="en-US" baseline="0">
                        <a:solidFill>
                          <a:schemeClr val="tx1"/>
                        </a:solidFill>
                      </a:rPr>
                      <a:pPr/>
                      <a:t>[VALUE]</a:t>
                    </a:fld>
                    <a:r>
                      <a:rPr lang="en-US" dirty="0">
                        <a:solidFill>
                          <a:schemeClr val="tx1"/>
                        </a:solidFill>
                      </a:rPr>
                      <a:t> </a:t>
                    </a:r>
                    <a:r>
                      <a:rPr lang="en-US" dirty="0" smtClean="0"/>
                      <a:t>(1)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A-8187-4CCA-B31C-F621586AAF5D}"/>
                </c:ext>
              </c:extLst>
            </c:dLbl>
            <c:dLbl>
              <c:idx val="3"/>
              <c:layout>
                <c:manualLayout>
                  <c:x val="2.6317271797777933E-3"/>
                  <c:y val="9.7460525027621994E-2"/>
                </c:manualLayout>
              </c:layout>
              <c:tx>
                <c:rich>
                  <a:bodyPr/>
                  <a:lstStyle/>
                  <a:p>
                    <a:fld id="{BD74D4A8-7BD0-490A-8A2C-0CFE5F4C09F7}" type="VALUE">
                      <a:rPr lang="en-US"/>
                      <a:pPr/>
                      <a:t>[VALUE]</a:t>
                    </a:fld>
                    <a:r>
                      <a:rPr lang="en-US" dirty="0"/>
                      <a:t> </a:t>
                    </a:r>
                    <a:r>
                      <a:rPr lang="en-US" dirty="0" smtClean="0"/>
                      <a:t>(1)</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B-8187-4CCA-B31C-F621586AAF5D}"/>
                </c:ext>
              </c:extLst>
            </c:dLbl>
            <c:dLbl>
              <c:idx val="4"/>
              <c:layout/>
              <c:tx>
                <c:rich>
                  <a:bodyPr/>
                  <a:lstStyle/>
                  <a:p>
                    <a:fld id="{A327164D-1D29-47F2-B304-8A6A82210880}" type="VALUE">
                      <a:rPr lang="en-US" smtClean="0"/>
                      <a:pPr/>
                      <a:t>[VALUE]</a:t>
                    </a:fld>
                    <a:r>
                      <a:rPr lang="en-US" smtClean="0"/>
                      <a:t> </a:t>
                    </a:r>
                    <a:r>
                      <a:rPr lang="en-US" dirty="0" smtClean="0"/>
                      <a:t>(3)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C-8187-4CCA-B31C-F621586AAF5D}"/>
                </c:ext>
              </c:extLst>
            </c:dLbl>
            <c:dLbl>
              <c:idx val="5"/>
              <c:layout/>
              <c:tx>
                <c:rich>
                  <a:bodyPr/>
                  <a:lstStyle/>
                  <a:p>
                    <a:fld id="{D2B89BEF-57DE-4AFF-81EA-E3A9DF22F0BD}" type="VALUE">
                      <a:rPr lang="en-US" smtClean="0"/>
                      <a:pPr/>
                      <a:t>[VALUE]</a:t>
                    </a:fld>
                    <a:r>
                      <a:rPr lang="en-US" smtClean="0"/>
                      <a:t> </a:t>
                    </a:r>
                    <a:r>
                      <a:rPr lang="en-US" dirty="0" smtClean="0"/>
                      <a:t>(5)</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D-8187-4CCA-B31C-F621586AAF5D}"/>
                </c:ext>
              </c:extLst>
            </c:dLbl>
            <c:dLbl>
              <c:idx val="6"/>
              <c:layout/>
              <c:tx>
                <c:rich>
                  <a:bodyPr/>
                  <a:lstStyle/>
                  <a:p>
                    <a:fld id="{2BA6FE11-2B02-4E2E-9E82-5C79A9BDEECA}" type="VALUE">
                      <a:rPr lang="en-US"/>
                      <a:pPr/>
                      <a:t>[VALUE]</a:t>
                    </a:fld>
                    <a:r>
                      <a:rPr lang="en-US" dirty="0"/>
                      <a:t> (</a:t>
                    </a:r>
                    <a:r>
                      <a:rPr lang="en-US" dirty="0" smtClean="0"/>
                      <a:t>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E-8187-4CCA-B31C-F621586AAF5D}"/>
                </c:ext>
              </c:extLst>
            </c:dLbl>
            <c:dLbl>
              <c:idx val="7"/>
              <c:tx>
                <c:rich>
                  <a:bodyPr/>
                  <a:lstStyle/>
                  <a:p>
                    <a:fld id="{312B9830-7979-429A-BE5A-C5648600A508}" type="VALUE">
                      <a:rPr lang="en-US" smtClean="0"/>
                      <a:pPr/>
                      <a:t>[VALUE]</a:t>
                    </a:fld>
                    <a:r>
                      <a:rPr lang="en-US" dirty="0" smtClean="0"/>
                      <a:t>(17)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F-8187-4CCA-B31C-F621586AAF5D}"/>
                </c:ext>
              </c:extLst>
            </c:dLbl>
            <c:dLbl>
              <c:idx val="8"/>
              <c:tx>
                <c:rich>
                  <a:bodyPr/>
                  <a:lstStyle/>
                  <a:p>
                    <a:fld id="{3ECCA163-1D3C-45C7-A0DF-2FFD5B3F37DB}" type="VALUE">
                      <a:rPr lang="en-US" smtClean="0"/>
                      <a:pPr/>
                      <a:t>[VALUE]</a:t>
                    </a:fld>
                    <a:r>
                      <a:rPr lang="en-US" dirty="0" smtClean="0"/>
                      <a:t>(22)</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0-8187-4CCA-B31C-F621586AAF5D}"/>
                </c:ext>
              </c:extLst>
            </c:dLbl>
            <c:dLbl>
              <c:idx val="9"/>
              <c:tx>
                <c:rich>
                  <a:bodyPr/>
                  <a:lstStyle/>
                  <a:p>
                    <a:fld id="{E1AF777D-485E-45BE-89F0-720AE242338D}" type="VALUE">
                      <a:rPr lang="en-US" smtClean="0"/>
                      <a:pPr/>
                      <a:t>[VALUE]</a:t>
                    </a:fld>
                    <a:r>
                      <a:rPr lang="en-US" smtClean="0"/>
                      <a:t>(25)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1-8187-4CCA-B31C-F621586AAF5D}"/>
                </c:ext>
              </c:extLst>
            </c:dLbl>
            <c:dLbl>
              <c:idx val="10"/>
              <c:tx>
                <c:rich>
                  <a:bodyPr/>
                  <a:lstStyle/>
                  <a:p>
                    <a:fld id="{63DF0674-370B-466B-85C2-679F07A1C520}" type="VALUE">
                      <a:rPr lang="en-US" smtClean="0"/>
                      <a:pPr/>
                      <a:t>[VALUE]</a:t>
                    </a:fld>
                    <a:r>
                      <a:rPr lang="en-US" smtClean="0"/>
                      <a:t>(27)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2-8187-4CCA-B31C-F621586AAF5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C000"/>
                      </a:solidFill>
                      <a:round/>
                    </a:ln>
                    <a:effectLst/>
                  </c:spPr>
                </c15:leaderLines>
              </c:ext>
            </c:extLst>
          </c:dLbls>
          <c:cat>
            <c:strRef>
              <c:f>Sheet3!$A$42:$A$48</c:f>
              <c:strCache>
                <c:ptCount val="7"/>
                <c:pt idx="0">
                  <c:v>līdz
 11.02.2019
∑ 11 MEUR</c:v>
                </c:pt>
                <c:pt idx="1">
                  <c:v>līdz
01.03.2019
∑ 29 MEUR</c:v>
                </c:pt>
                <c:pt idx="2">
                  <c:v>līdz
01.04.2019
∑ 58 MEUR</c:v>
                </c:pt>
                <c:pt idx="3">
                  <c:v>līdz
01.05.2019
∑ 65 MEUR</c:v>
                </c:pt>
                <c:pt idx="4">
                  <c:v>līdz
01.06.2019
∑ 100 MEUR</c:v>
                </c:pt>
                <c:pt idx="5">
                  <c:v>līdz
01.07.2019
∑ 119 MEUR</c:v>
                </c:pt>
                <c:pt idx="6">
                  <c:v>līdz
01.08.2019
∑ 116 MEUR</c:v>
                </c:pt>
              </c:strCache>
            </c:strRef>
          </c:cat>
          <c:val>
            <c:numRef>
              <c:f>Sheet3!$D$42:$D$48</c:f>
              <c:numCache>
                <c:formatCode>General</c:formatCode>
                <c:ptCount val="7"/>
                <c:pt idx="2" formatCode="#,##0">
                  <c:v>960232.31</c:v>
                </c:pt>
                <c:pt idx="3" formatCode="#,##0">
                  <c:v>960232.31</c:v>
                </c:pt>
                <c:pt idx="4" formatCode="#,##0">
                  <c:v>6356587.2835000008</c:v>
                </c:pt>
                <c:pt idx="5" formatCode="#,##0">
                  <c:v>6835225.2634999994</c:v>
                </c:pt>
                <c:pt idx="6" formatCode="#,##0">
                  <c:v>7518701.7634999994</c:v>
                </c:pt>
              </c:numCache>
            </c:numRef>
          </c:val>
          <c:extLst>
            <c:ext xmlns:c16="http://schemas.microsoft.com/office/drawing/2014/chart" uri="{C3380CC4-5D6E-409C-BE32-E72D297353CC}">
              <c16:uniqueId val="{00000023-8187-4CCA-B31C-F621586AAF5D}"/>
            </c:ext>
          </c:extLst>
        </c:ser>
        <c:ser>
          <c:idx val="3"/>
          <c:order val="3"/>
          <c:tx>
            <c:strRef>
              <c:f>Sheet3!$E$41</c:f>
              <c:strCache>
                <c:ptCount val="1"/>
                <c:pt idx="0">
                  <c:v>Neiesniegti </c:v>
                </c:pt>
              </c:strCache>
            </c:strRef>
          </c:tx>
          <c:spPr>
            <a:solidFill>
              <a:srgbClr val="FF0000"/>
            </a:solidFill>
            <a:ln>
              <a:noFill/>
            </a:ln>
            <a:effectLst/>
          </c:spPr>
          <c:invertIfNegative val="0"/>
          <c:dLbls>
            <c:dLbl>
              <c:idx val="0"/>
              <c:layout>
                <c:manualLayout>
                  <c:x val="6.2340746707730876E-2"/>
                  <c:y val="1.4410052488278752E-2"/>
                </c:manualLayout>
              </c:layout>
              <c:tx>
                <c:rich>
                  <a:bodyPr/>
                  <a:lstStyle/>
                  <a:p>
                    <a:fld id="{47E3069E-B716-47CD-AA70-5EFB626AFF04}" type="VALUE">
                      <a:rPr lang="en-US">
                        <a:solidFill>
                          <a:schemeClr val="tx1"/>
                        </a:solidFill>
                      </a:rPr>
                      <a:pPr/>
                      <a:t>[VALUE]</a:t>
                    </a:fld>
                    <a:r>
                      <a:rPr lang="en-US" dirty="0">
                        <a:solidFill>
                          <a:schemeClr val="tx1"/>
                        </a:solidFill>
                      </a:rPr>
                      <a:t> </a:t>
                    </a:r>
                    <a:r>
                      <a:rPr lang="en-US" dirty="0" smtClean="0">
                        <a:solidFill>
                          <a:schemeClr val="tx1"/>
                        </a:solidFill>
                      </a:rPr>
                      <a:t>(3)</a:t>
                    </a:r>
                  </a:p>
                </c:rich>
              </c:tx>
              <c:showLegendKey val="0"/>
              <c:showVal val="1"/>
              <c:showCatName val="0"/>
              <c:showSerName val="0"/>
              <c:showPercent val="0"/>
              <c:showBubbleSize val="0"/>
              <c:extLst>
                <c:ext xmlns:c15="http://schemas.microsoft.com/office/drawing/2012/chart" uri="{CE6537A1-D6FC-4f65-9D91-7224C49458BB}">
                  <c15:layout>
                    <c:manualLayout>
                      <c:w val="8.4341116493940632E-2"/>
                      <c:h val="6.3135149191469994E-2"/>
                    </c:manualLayout>
                  </c15:layout>
                  <c15:dlblFieldTable/>
                  <c15:showDataLabelsRange val="0"/>
                </c:ext>
                <c:ext xmlns:c16="http://schemas.microsoft.com/office/drawing/2014/chart" uri="{C3380CC4-5D6E-409C-BE32-E72D297353CC}">
                  <c16:uniqueId val="{00000024-8187-4CCA-B31C-F621586AAF5D}"/>
                </c:ext>
              </c:extLst>
            </c:dLbl>
            <c:dLbl>
              <c:idx val="1"/>
              <c:layout>
                <c:manualLayout>
                  <c:x val="4.5750540666483061E-3"/>
                  <c:y val="2.568145900057342E-3"/>
                </c:manualLayout>
              </c:layout>
              <c:tx>
                <c:rich>
                  <a:bodyPr/>
                  <a:lstStyle/>
                  <a:p>
                    <a:fld id="{CDF505CE-5447-4639-907C-B8B4773E981B}" type="VALUE">
                      <a:rPr lang="en-US"/>
                      <a:pPr/>
                      <a:t>[VALUE]</a:t>
                    </a:fld>
                    <a:r>
                      <a:rPr lang="en-US" dirty="0"/>
                      <a:t> </a:t>
                    </a:r>
                    <a:r>
                      <a:rPr lang="en-US" dirty="0" smtClean="0"/>
                      <a:t>(2)</a:t>
                    </a:r>
                  </a:p>
                </c:rich>
              </c:tx>
              <c:showLegendKey val="0"/>
              <c:showVal val="1"/>
              <c:showCatName val="0"/>
              <c:showSerName val="0"/>
              <c:showPercent val="0"/>
              <c:showBubbleSize val="0"/>
              <c:extLst>
                <c:ext xmlns:c15="http://schemas.microsoft.com/office/drawing/2012/chart" uri="{CE6537A1-D6FC-4f65-9D91-7224C49458BB}">
                  <c15:layout>
                    <c:manualLayout>
                      <c:w val="6.0655558880554475E-2"/>
                      <c:h val="4.6121049147903749E-2"/>
                    </c:manualLayout>
                  </c15:layout>
                  <c15:dlblFieldTable/>
                  <c15:showDataLabelsRange val="0"/>
                </c:ext>
                <c:ext xmlns:c16="http://schemas.microsoft.com/office/drawing/2014/chart" uri="{C3380CC4-5D6E-409C-BE32-E72D297353CC}">
                  <c16:uniqueId val="{00000025-8187-4CCA-B31C-F621586AAF5D}"/>
                </c:ext>
              </c:extLst>
            </c:dLbl>
            <c:dLbl>
              <c:idx val="2"/>
              <c:layout>
                <c:manualLayout>
                  <c:x val="5.835340385183263E-2"/>
                  <c:y val="5.0181116348023101E-3"/>
                </c:manualLayout>
              </c:layout>
              <c:tx>
                <c:rich>
                  <a:bodyPr/>
                  <a:lstStyle/>
                  <a:p>
                    <a:fld id="{69ACB0CD-E124-4873-BF6C-664268ACA9C4}" type="VALUE">
                      <a:rPr lang="en-US"/>
                      <a:pPr/>
                      <a:t>[VALUE]</a:t>
                    </a:fld>
                    <a:r>
                      <a:rPr lang="en-US" dirty="0"/>
                      <a:t> </a:t>
                    </a:r>
                    <a:r>
                      <a:rPr lang="en-US" dirty="0" smtClean="0"/>
                      <a:t>(4)</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6-8187-4CCA-B31C-F621586AAF5D}"/>
                </c:ext>
              </c:extLst>
            </c:dLbl>
            <c:dLbl>
              <c:idx val="3"/>
              <c:layout>
                <c:manualLayout>
                  <c:x val="5.1076297556887335E-2"/>
                  <c:y val="1.0524328331073106E-3"/>
                </c:manualLayout>
              </c:layout>
              <c:tx>
                <c:rich>
                  <a:bodyPr/>
                  <a:lstStyle/>
                  <a:p>
                    <a:fld id="{1061AABA-C204-4B98-8628-835E3B397333}" type="VALUE">
                      <a:rPr lang="en-US" baseline="0">
                        <a:solidFill>
                          <a:schemeClr val="tx1"/>
                        </a:solidFill>
                      </a:rPr>
                      <a:pPr/>
                      <a:t>[VALUE]</a:t>
                    </a:fld>
                    <a:r>
                      <a:rPr lang="en-US" baseline="0" dirty="0">
                        <a:solidFill>
                          <a:schemeClr val="tx1"/>
                        </a:solidFill>
                      </a:rPr>
                      <a:t> </a:t>
                    </a:r>
                    <a:r>
                      <a:rPr lang="en-US" baseline="0" dirty="0" smtClean="0">
                        <a:solidFill>
                          <a:schemeClr val="tx1"/>
                        </a:solidFill>
                      </a:rPr>
                      <a:t>(3)</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7-8187-4CCA-B31C-F621586AAF5D}"/>
                </c:ext>
              </c:extLst>
            </c:dLbl>
            <c:dLbl>
              <c:idx val="4"/>
              <c:layout>
                <c:manualLayout>
                  <c:x val="5.7789779312487306E-2"/>
                  <c:y val="5.5212514510286567E-3"/>
                </c:manualLayout>
              </c:layout>
              <c:tx>
                <c:rich>
                  <a:bodyPr/>
                  <a:lstStyle/>
                  <a:p>
                    <a:fld id="{A5CF70FA-12E6-4D59-A95F-323B9777926A}" type="VALUE">
                      <a:rPr lang="en-US" b="1"/>
                      <a:pPr/>
                      <a:t>[VALUE]</a:t>
                    </a:fld>
                    <a:r>
                      <a:rPr lang="en-US" b="1"/>
                      <a:t> (9)</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8-8187-4CCA-B31C-F621586AAF5D}"/>
                </c:ext>
              </c:extLst>
            </c:dLbl>
            <c:dLbl>
              <c:idx val="5"/>
              <c:layout>
                <c:manualLayout>
                  <c:x val="1.0948176242763208E-3"/>
                  <c:y val="-1.3185130277898211E-3"/>
                </c:manualLayout>
              </c:layout>
              <c:tx>
                <c:rich>
                  <a:bodyPr/>
                  <a:lstStyle/>
                  <a:p>
                    <a:fld id="{1042DA2F-C5FB-4B84-9FC2-4BDBE6488C95}" type="VALUE">
                      <a:rPr lang="en-US" b="1"/>
                      <a:pPr/>
                      <a:t>[VALUE]</a:t>
                    </a:fld>
                    <a:r>
                      <a:rPr lang="en-US" b="1"/>
                      <a:t> (7)</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9-8187-4CCA-B31C-F621586AAF5D}"/>
                </c:ext>
              </c:extLst>
            </c:dLbl>
            <c:dLbl>
              <c:idx val="6"/>
              <c:layout>
                <c:manualLayout>
                  <c:x val="7.878199714066704E-2"/>
                  <c:y val="2.974237753749341E-3"/>
                </c:manualLayout>
              </c:layout>
              <c:tx>
                <c:rich>
                  <a:bodyPr/>
                  <a:lstStyle/>
                  <a:p>
                    <a:fld id="{1ADB348E-BAF0-4320-A609-37D153BF51A5}" type="VALUE">
                      <a:rPr lang="en-US" b="1" baseline="0">
                        <a:solidFill>
                          <a:schemeClr val="tx1"/>
                        </a:solidFill>
                      </a:rPr>
                      <a:pPr/>
                      <a:t>[VALUE]</a:t>
                    </a:fld>
                    <a:r>
                      <a:rPr lang="en-US" b="1" baseline="0" dirty="0">
                        <a:solidFill>
                          <a:schemeClr val="tx1"/>
                        </a:solidFill>
                      </a:rPr>
                      <a:t> </a:t>
                    </a:r>
                    <a:r>
                      <a:rPr lang="en-US" b="1" baseline="0" dirty="0" smtClean="0">
                        <a:solidFill>
                          <a:schemeClr val="tx1"/>
                        </a:solidFill>
                      </a:rPr>
                      <a:t>(6)</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2A-8187-4CCA-B31C-F621586AAF5D}"/>
                </c:ext>
              </c:extLst>
            </c:dLbl>
            <c:dLbl>
              <c:idx val="7"/>
              <c:layout>
                <c:manualLayout>
                  <c:x val="3.2713659055803833E-2"/>
                  <c:y val="0"/>
                </c:manualLayout>
              </c:layout>
              <c:tx>
                <c:rich>
                  <a:bodyPr/>
                  <a:lstStyle/>
                  <a:p>
                    <a:fld id="{58B4E652-4F88-4954-B6DD-262852DEBA2C}" type="VALUE">
                      <a:rPr lang="en-US" b="1" baseline="0" smtClean="0">
                        <a:solidFill>
                          <a:schemeClr val="tx1"/>
                        </a:solidFill>
                      </a:rPr>
                      <a:pPr/>
                      <a:t>[VALUE]</a:t>
                    </a:fld>
                    <a:r>
                      <a:rPr lang="en-US" b="1" baseline="0" dirty="0" smtClean="0">
                        <a:solidFill>
                          <a:schemeClr val="tx1"/>
                        </a:solidFill>
                      </a:rPr>
                      <a:t>(5)</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B-8187-4CCA-B31C-F621586AAF5D}"/>
                </c:ext>
              </c:extLst>
            </c:dLbl>
            <c:dLbl>
              <c:idx val="8"/>
              <c:layout>
                <c:manualLayout>
                  <c:x val="4.4850962700972448E-2"/>
                  <c:y val="4.6867951056288092E-3"/>
                </c:manualLayout>
              </c:layout>
              <c:tx>
                <c:rich>
                  <a:bodyPr/>
                  <a:lstStyle/>
                  <a:p>
                    <a:fld id="{253265F6-C6A0-4315-B1CC-5A9BAFD967B3}" type="VALUE">
                      <a:rPr lang="en-US" smtClean="0"/>
                      <a:pPr/>
                      <a:t>[VALUE]</a:t>
                    </a:fld>
                    <a:r>
                      <a:rPr lang="en-US" dirty="0" smtClean="0"/>
                      <a:t>(17)</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C-8187-4CCA-B31C-F621586AAF5D}"/>
                </c:ext>
              </c:extLst>
            </c:dLbl>
            <c:dLbl>
              <c:idx val="9"/>
              <c:layout>
                <c:manualLayout>
                  <c:x val="5.0457333038594024E-2"/>
                  <c:y val="7.0299158901009984E-3"/>
                </c:manualLayout>
              </c:layout>
              <c:tx>
                <c:rich>
                  <a:bodyPr/>
                  <a:lstStyle/>
                  <a:p>
                    <a:fld id="{2440A5C2-848B-4631-AD88-80EF3B88B0F5}" type="VALUE">
                      <a:rPr lang="en-US" smtClean="0"/>
                      <a:pPr/>
                      <a:t>[VALUE]</a:t>
                    </a:fld>
                    <a:r>
                      <a:rPr lang="en-US" dirty="0" smtClean="0"/>
                      <a:t>(20)</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D-8187-4CCA-B31C-F621586AAF5D}"/>
                </c:ext>
              </c:extLst>
            </c:dLbl>
            <c:dLbl>
              <c:idx val="10"/>
              <c:layout>
                <c:manualLayout>
                  <c:x val="3.08350368569188E-2"/>
                  <c:y val="0"/>
                </c:manualLayout>
              </c:layout>
              <c:tx>
                <c:rich>
                  <a:bodyPr/>
                  <a:lstStyle/>
                  <a:p>
                    <a:fld id="{7EAFFED5-CCB9-4454-ACC4-8A6141161CC3}" type="VALUE">
                      <a:rPr lang="en-US" smtClean="0"/>
                      <a:pPr/>
                      <a:t>[VALUE]</a:t>
                    </a:fld>
                    <a:r>
                      <a:rPr lang="en-US" dirty="0" smtClean="0"/>
                      <a:t>(9)</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2E-8187-4CCA-B31C-F621586AAF5D}"/>
                </c:ext>
              </c:extLst>
            </c:dLbl>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FF0000"/>
                      </a:solidFill>
                      <a:round/>
                    </a:ln>
                    <a:effectLst/>
                  </c:spPr>
                </c15:leaderLines>
              </c:ext>
            </c:extLst>
          </c:dLbls>
          <c:cat>
            <c:strRef>
              <c:f>Sheet3!$A$42:$A$48</c:f>
              <c:strCache>
                <c:ptCount val="7"/>
                <c:pt idx="0">
                  <c:v>līdz
 11.02.2019
∑ 11 MEUR</c:v>
                </c:pt>
                <c:pt idx="1">
                  <c:v>līdz
01.03.2019
∑ 29 MEUR</c:v>
                </c:pt>
                <c:pt idx="2">
                  <c:v>līdz
01.04.2019
∑ 58 MEUR</c:v>
                </c:pt>
                <c:pt idx="3">
                  <c:v>līdz
01.05.2019
∑ 65 MEUR</c:v>
                </c:pt>
                <c:pt idx="4">
                  <c:v>līdz
01.06.2019
∑ 100 MEUR</c:v>
                </c:pt>
                <c:pt idx="5">
                  <c:v>līdz
01.07.2019
∑ 119 MEUR</c:v>
                </c:pt>
                <c:pt idx="6">
                  <c:v>līdz
01.08.2019
∑ 116 MEUR</c:v>
                </c:pt>
              </c:strCache>
            </c:strRef>
          </c:cat>
          <c:val>
            <c:numRef>
              <c:f>Sheet3!$E$42:$E$48</c:f>
              <c:numCache>
                <c:formatCode>#,##0</c:formatCode>
                <c:ptCount val="7"/>
                <c:pt idx="1">
                  <c:v>7000000</c:v>
                </c:pt>
                <c:pt idx="2">
                  <c:v>3316430.35</c:v>
                </c:pt>
                <c:pt idx="3">
                  <c:v>3045050</c:v>
                </c:pt>
                <c:pt idx="4">
                  <c:v>6673608.3499999996</c:v>
                </c:pt>
                <c:pt idx="5">
                  <c:v>11438153.35</c:v>
                </c:pt>
                <c:pt idx="6">
                  <c:v>7089529.3499999996</c:v>
                </c:pt>
              </c:numCache>
            </c:numRef>
          </c:val>
          <c:extLst>
            <c:ext xmlns:c16="http://schemas.microsoft.com/office/drawing/2014/chart" uri="{C3380CC4-5D6E-409C-BE32-E72D297353CC}">
              <c16:uniqueId val="{0000002F-8187-4CCA-B31C-F621586AAF5D}"/>
            </c:ext>
          </c:extLst>
        </c:ser>
        <c:dLbls>
          <c:showLegendKey val="0"/>
          <c:showVal val="0"/>
          <c:showCatName val="0"/>
          <c:showSerName val="0"/>
          <c:showPercent val="0"/>
          <c:showBubbleSize val="0"/>
        </c:dLbls>
        <c:gapWidth val="60"/>
        <c:overlap val="100"/>
        <c:axId val="199234224"/>
        <c:axId val="199234616"/>
      </c:barChart>
      <c:catAx>
        <c:axId val="199234224"/>
        <c:scaling>
          <c:orientation val="maxMin"/>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crossAx val="199234616"/>
        <c:crosses val="autoZero"/>
        <c:auto val="1"/>
        <c:lblAlgn val="ctr"/>
        <c:lblOffset val="700"/>
        <c:noMultiLvlLbl val="0"/>
      </c:catAx>
      <c:valAx>
        <c:axId val="199234616"/>
        <c:scaling>
          <c:orientation val="minMax"/>
        </c:scaling>
        <c:delete val="1"/>
        <c:axPos val="t"/>
        <c:numFmt formatCode="#,##0" sourceLinked="1"/>
        <c:majorTickMark val="none"/>
        <c:minorTickMark val="none"/>
        <c:tickLblPos val="nextTo"/>
        <c:crossAx val="199234224"/>
        <c:crosses val="autoZero"/>
        <c:crossBetween val="between"/>
        <c:dispUnits>
          <c:builtInUnit val="millions"/>
          <c:dispUnitsLbl>
            <c:layout/>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legend>
      <c:legendPos val="b"/>
      <c:legendEntry>
        <c:idx val="3"/>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Entry>
      <c:layout>
        <c:manualLayout>
          <c:xMode val="edge"/>
          <c:yMode val="edge"/>
          <c:x val="0.16066472004902682"/>
          <c:y val="0.92636010528744672"/>
          <c:w val="0.82133432313645494"/>
          <c:h val="7.3639793591004712E-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noFill/>
    <a:ln w="9525" cap="flat" cmpd="sng" algn="ctr">
      <a:noFill/>
      <a:round/>
    </a:ln>
    <a:effectLst/>
  </c:spPr>
  <c:txPr>
    <a:bodyPr/>
    <a:lstStyle/>
    <a:p>
      <a:pPr>
        <a:defRPr sz="1000" b="0" baseline="0">
          <a:solidFill>
            <a:schemeClr val="tx1"/>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4896121580716583E-2"/>
          <c:y val="4.9182313749242881E-2"/>
          <c:w val="0.96581669323714081"/>
          <c:h val="0.69428706953799435"/>
        </c:manualLayout>
      </c:layout>
      <c:lineChart>
        <c:grouping val="standard"/>
        <c:varyColors val="0"/>
        <c:ser>
          <c:idx val="0"/>
          <c:order val="0"/>
          <c:tx>
            <c:strRef>
              <c:f>gads!$A$2</c:f>
              <c:strCache>
                <c:ptCount val="1"/>
                <c:pt idx="0">
                  <c:v>Plāni</c:v>
                </c:pt>
              </c:strCache>
            </c:strRef>
          </c:tx>
          <c:spPr>
            <a:ln w="28575" cap="rnd">
              <a:solidFill>
                <a:schemeClr val="bg2">
                  <a:lumMod val="90000"/>
                </a:schemeClr>
              </a:solidFill>
              <a:round/>
            </a:ln>
            <a:effectLst/>
          </c:spPr>
          <c:marker>
            <c:symbol val="circle"/>
            <c:size val="5"/>
            <c:spPr>
              <a:solidFill>
                <a:schemeClr val="tx1"/>
              </a:solidFill>
              <a:ln w="9525">
                <a:solidFill>
                  <a:schemeClr val="tx1"/>
                </a:solidFill>
              </a:ln>
              <a:effectLst/>
            </c:spPr>
          </c:marker>
          <c:dLbls>
            <c:dLbl>
              <c:idx val="11"/>
              <c:layout>
                <c:manualLayout>
                  <c:x val="-1.4830580418675283E-2"/>
                  <c:y val="-5.019857629458848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39EE-4F06-BB89-6F5F257ED2F2}"/>
                </c:ext>
              </c:extLst>
            </c:dLbl>
            <c:numFmt formatCode="#,##0.0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gads!$B$1:$M$1</c:f>
              <c:strCache>
                <c:ptCount val="12"/>
                <c:pt idx="0">
                  <c:v>Janvāris </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gads!$B$2:$M$2</c:f>
              <c:numCache>
                <c:formatCode>#\ ##0.0</c:formatCode>
                <c:ptCount val="12"/>
                <c:pt idx="0">
                  <c:v>129504820.94999996</c:v>
                </c:pt>
                <c:pt idx="1">
                  <c:v>171639003.84379998</c:v>
                </c:pt>
                <c:pt idx="2">
                  <c:v>217083599.22380018</c:v>
                </c:pt>
                <c:pt idx="3">
                  <c:v>308183905.44379979</c:v>
                </c:pt>
                <c:pt idx="4">
                  <c:v>358176482.87379974</c:v>
                </c:pt>
                <c:pt idx="5">
                  <c:v>408514820.02379954</c:v>
                </c:pt>
                <c:pt idx="6">
                  <c:v>517995089.78379989</c:v>
                </c:pt>
                <c:pt idx="7">
                  <c:v>539329602.61380017</c:v>
                </c:pt>
                <c:pt idx="8">
                  <c:v>598557706.55380046</c:v>
                </c:pt>
                <c:pt idx="9">
                  <c:v>710978039.87380028</c:v>
                </c:pt>
                <c:pt idx="10">
                  <c:v>775504662.33380055</c:v>
                </c:pt>
                <c:pt idx="11">
                  <c:v>889602304.99380088</c:v>
                </c:pt>
              </c:numCache>
            </c:numRef>
          </c:val>
          <c:smooth val="0"/>
          <c:extLst>
            <c:ext xmlns:c16="http://schemas.microsoft.com/office/drawing/2014/chart" uri="{C3380CC4-5D6E-409C-BE32-E72D297353CC}">
              <c16:uniqueId val="{00000001-39EE-4F06-BB89-6F5F257ED2F2}"/>
            </c:ext>
          </c:extLst>
        </c:ser>
        <c:ser>
          <c:idx val="1"/>
          <c:order val="1"/>
          <c:tx>
            <c:strRef>
              <c:f>gads!$A$3</c:f>
              <c:strCache>
                <c:ptCount val="1"/>
                <c:pt idx="0">
                  <c:v>Izpilde</c:v>
                </c:pt>
              </c:strCache>
            </c:strRef>
          </c:tx>
          <c:spPr>
            <a:ln w="28575" cap="rnd">
              <a:solidFill>
                <a:schemeClr val="accent2">
                  <a:lumMod val="40000"/>
                  <a:lumOff val="60000"/>
                </a:schemeClr>
              </a:solidFill>
              <a:round/>
            </a:ln>
            <a:effectLst/>
          </c:spPr>
          <c:marker>
            <c:symbol val="circle"/>
            <c:size val="5"/>
            <c:spPr>
              <a:solidFill>
                <a:srgbClr val="C00000"/>
              </a:solidFill>
              <a:ln w="9525">
                <a:solidFill>
                  <a:srgbClr val="C00000"/>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C00000"/>
                    </a:solidFill>
                    <a:latin typeface="Times New Roman" panose="02020603050405020304" pitchFamily="18" charset="0"/>
                    <a:ea typeface="+mn-ea"/>
                    <a:cs typeface="Times New Roman" panose="02020603050405020304" pitchFamily="18" charset="0"/>
                  </a:defRPr>
                </a:pPr>
                <a:endParaRPr lang="lv-LV"/>
              </a:p>
            </c:txPr>
            <c:dLblPos val="b"/>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gads!$B$1:$M$1</c:f>
              <c:strCache>
                <c:ptCount val="12"/>
                <c:pt idx="0">
                  <c:v>Janvāris </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gads!$B$3:$M$3</c:f>
              <c:numCache>
                <c:formatCode>#\ ##0.0</c:formatCode>
                <c:ptCount val="12"/>
                <c:pt idx="0">
                  <c:v>126483190.51999997</c:v>
                </c:pt>
                <c:pt idx="1">
                  <c:v>169624487.31999996</c:v>
                </c:pt>
                <c:pt idx="2">
                  <c:v>211217989.88999981</c:v>
                </c:pt>
                <c:pt idx="3">
                  <c:v>277764114.48999983</c:v>
                </c:pt>
                <c:pt idx="4">
                  <c:v>341823507.28999996</c:v>
                </c:pt>
                <c:pt idx="5">
                  <c:v>391813994.60999984</c:v>
                </c:pt>
                <c:pt idx="6">
                  <c:v>471934332.34000003</c:v>
                </c:pt>
              </c:numCache>
            </c:numRef>
          </c:val>
          <c:smooth val="0"/>
          <c:extLst>
            <c:ext xmlns:c16="http://schemas.microsoft.com/office/drawing/2014/chart" uri="{C3380CC4-5D6E-409C-BE32-E72D297353CC}">
              <c16:uniqueId val="{00000002-39EE-4F06-BB89-6F5F257ED2F2}"/>
            </c:ext>
          </c:extLst>
        </c:ser>
        <c:ser>
          <c:idx val="2"/>
          <c:order val="2"/>
          <c:tx>
            <c:strRef>
              <c:f>gads!$A$4</c:f>
              <c:strCache>
                <c:ptCount val="1"/>
                <c:pt idx="0">
                  <c:v>01.08.2019 gada plāns</c:v>
                </c:pt>
              </c:strCache>
            </c:strRef>
          </c:tx>
          <c:spPr>
            <a:ln w="25400" cap="rnd">
              <a:noFill/>
              <a:round/>
            </a:ln>
            <a:effectLst/>
          </c:spPr>
          <c:marker>
            <c:symbol val="circle"/>
            <c:size val="5"/>
            <c:spPr>
              <a:solidFill>
                <a:schemeClr val="accent2"/>
              </a:solidFill>
              <a:ln w="9525">
                <a:solidFill>
                  <a:schemeClr val="accent2"/>
                </a:solidFill>
              </a:ln>
              <a:effectLst/>
            </c:spPr>
          </c:marker>
          <c:dLbls>
            <c:dLbl>
              <c:idx val="11"/>
              <c:layout>
                <c:manualLayout>
                  <c:x val="-0.1015623320191687"/>
                  <c:y val="-1.85561048045173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39EE-4F06-BB89-6F5F257ED2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accent2"/>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gads!$B$1:$M$1</c:f>
              <c:strCache>
                <c:ptCount val="12"/>
                <c:pt idx="0">
                  <c:v>Janvāris </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gads!$B$4:$M$4</c:f>
              <c:numCache>
                <c:formatCode>General</c:formatCode>
                <c:ptCount val="12"/>
                <c:pt idx="11" formatCode="#\ ##0.0">
                  <c:v>917628722.11000049</c:v>
                </c:pt>
              </c:numCache>
            </c:numRef>
          </c:val>
          <c:smooth val="0"/>
          <c:extLst>
            <c:ext xmlns:c16="http://schemas.microsoft.com/office/drawing/2014/chart" uri="{C3380CC4-5D6E-409C-BE32-E72D297353CC}">
              <c16:uniqueId val="{00000004-39EE-4F06-BB89-6F5F257ED2F2}"/>
            </c:ext>
          </c:extLst>
        </c:ser>
        <c:ser>
          <c:idx val="3"/>
          <c:order val="3"/>
          <c:tx>
            <c:strRef>
              <c:f>gads!$A$5</c:f>
              <c:strCache>
                <c:ptCount val="1"/>
                <c:pt idx="0">
                  <c:v>01.02.2019 gada plāns</c:v>
                </c:pt>
              </c:strCache>
            </c:strRef>
          </c:tx>
          <c:spPr>
            <a:ln w="28575" cap="rnd">
              <a:noFill/>
              <a:round/>
            </a:ln>
            <a:effectLst/>
          </c:spPr>
          <c:marker>
            <c:symbol val="circle"/>
            <c:size val="5"/>
            <c:spPr>
              <a:solidFill>
                <a:srgbClr val="00B050"/>
              </a:solidFill>
              <a:ln w="9525">
                <a:solidFill>
                  <a:srgbClr val="00B050"/>
                </a:solidFill>
              </a:ln>
              <a:effectLst/>
            </c:spPr>
          </c:marker>
          <c:dPt>
            <c:idx val="11"/>
            <c:marker>
              <c:symbol val="circle"/>
              <c:size val="5"/>
              <c:spPr>
                <a:solidFill>
                  <a:srgbClr val="00B050"/>
                </a:solidFill>
                <a:ln w="9525">
                  <a:solidFill>
                    <a:srgbClr val="00B050"/>
                  </a:solidFill>
                </a:ln>
                <a:effectLst/>
              </c:spPr>
            </c:marker>
            <c:bubble3D val="0"/>
            <c:extLst>
              <c:ext xmlns:c16="http://schemas.microsoft.com/office/drawing/2014/chart" uri="{C3380CC4-5D6E-409C-BE32-E72D297353CC}">
                <c16:uniqueId val="{00000005-39EE-4F06-BB89-6F5F257ED2F2}"/>
              </c:ext>
            </c:extLst>
          </c:dPt>
          <c:dLbls>
            <c:dLbl>
              <c:idx val="11"/>
              <c:layout>
                <c:manualLayout>
                  <c:x val="-1.3228971447470121E-2"/>
                  <c:y val="6.641838276897549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39EE-4F06-BB89-6F5F257ED2F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0B050"/>
                    </a:solidFill>
                    <a:latin typeface="Times New Roman" panose="02020603050405020304" pitchFamily="18" charset="0"/>
                    <a:ea typeface="+mn-ea"/>
                    <a:cs typeface="Times New Roman" panose="02020603050405020304" pitchFamily="18" charset="0"/>
                  </a:defRPr>
                </a:pPr>
                <a:endParaRPr lang="lv-LV"/>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gads!$B$1:$M$1</c:f>
              <c:strCache>
                <c:ptCount val="12"/>
                <c:pt idx="0">
                  <c:v>Janvāris </c:v>
                </c:pt>
                <c:pt idx="1">
                  <c:v>Februāris</c:v>
                </c:pt>
                <c:pt idx="2">
                  <c:v>Marts</c:v>
                </c:pt>
                <c:pt idx="3">
                  <c:v>Aprīlis</c:v>
                </c:pt>
                <c:pt idx="4">
                  <c:v>Maijs</c:v>
                </c:pt>
                <c:pt idx="5">
                  <c:v>Jūnijs</c:v>
                </c:pt>
                <c:pt idx="6">
                  <c:v>Jūlijs</c:v>
                </c:pt>
                <c:pt idx="7">
                  <c:v>Augusts</c:v>
                </c:pt>
                <c:pt idx="8">
                  <c:v>Septembris</c:v>
                </c:pt>
                <c:pt idx="9">
                  <c:v>Oktobris</c:v>
                </c:pt>
                <c:pt idx="10">
                  <c:v>Novembris</c:v>
                </c:pt>
                <c:pt idx="11">
                  <c:v>Decembris</c:v>
                </c:pt>
              </c:strCache>
            </c:strRef>
          </c:cat>
          <c:val>
            <c:numRef>
              <c:f>gads!$B$5:$M$5</c:f>
              <c:numCache>
                <c:formatCode>General</c:formatCode>
                <c:ptCount val="12"/>
                <c:pt idx="11" formatCode="#\ ##0.0">
                  <c:v>825317620.80380142</c:v>
                </c:pt>
              </c:numCache>
            </c:numRef>
          </c:val>
          <c:smooth val="0"/>
          <c:extLst>
            <c:ext xmlns:c16="http://schemas.microsoft.com/office/drawing/2014/chart" uri="{C3380CC4-5D6E-409C-BE32-E72D297353CC}">
              <c16:uniqueId val="{00000006-39EE-4F06-BB89-6F5F257ED2F2}"/>
            </c:ext>
          </c:extLst>
        </c:ser>
        <c:dLbls>
          <c:showLegendKey val="0"/>
          <c:showVal val="0"/>
          <c:showCatName val="0"/>
          <c:showSerName val="0"/>
          <c:showPercent val="0"/>
          <c:showBubbleSize val="0"/>
        </c:dLbls>
        <c:marker val="1"/>
        <c:smooth val="0"/>
        <c:axId val="1081239167"/>
        <c:axId val="1081237087"/>
      </c:lineChart>
      <c:catAx>
        <c:axId val="1081239167"/>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081237087"/>
        <c:crosses val="autoZero"/>
        <c:auto val="1"/>
        <c:lblAlgn val="ctr"/>
        <c:lblOffset val="100"/>
        <c:noMultiLvlLbl val="0"/>
      </c:catAx>
      <c:valAx>
        <c:axId val="1081237087"/>
        <c:scaling>
          <c:orientation val="minMax"/>
        </c:scaling>
        <c:delete val="1"/>
        <c:axPos val="l"/>
        <c:numFmt formatCode="#\ ##0.0" sourceLinked="1"/>
        <c:majorTickMark val="out"/>
        <c:minorTickMark val="none"/>
        <c:tickLblPos val="nextTo"/>
        <c:crossAx val="1081239167"/>
        <c:crosses val="autoZero"/>
        <c:crossBetween val="between"/>
        <c:dispUnits>
          <c:builtInUnit val="millions"/>
        </c:dispUnits>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2.3604999896887906E-4"/>
          <c:y val="5.0701323624869473E-3"/>
          <c:w val="0.99669921997831745"/>
          <c:h val="0.80510653910196706"/>
        </c:manualLayout>
      </c:layout>
      <c:barChart>
        <c:barDir val="col"/>
        <c:grouping val="stacked"/>
        <c:varyColors val="0"/>
        <c:ser>
          <c:idx val="0"/>
          <c:order val="0"/>
          <c:tx>
            <c:strRef>
              <c:f>meneshi!$A$9</c:f>
              <c:strCache>
                <c:ptCount val="1"/>
                <c:pt idx="0">
                  <c:v>Fin disciplīnas projekti</c:v>
                </c:pt>
              </c:strCache>
            </c:strRef>
          </c:tx>
          <c:spPr>
            <a:solidFill>
              <a:schemeClr val="accent1"/>
            </a:solidFill>
            <a:ln>
              <a:noFill/>
            </a:ln>
            <a:effectLst/>
          </c:spPr>
          <c:invertIfNegative val="0"/>
          <c:cat>
            <c:strRef>
              <c:f>meneshi!$C$8:$H$8</c:f>
              <c:strCache>
                <c:ptCount val="6"/>
                <c:pt idx="0">
                  <c:v>Februāris ∑ 8</c:v>
                </c:pt>
                <c:pt idx="1">
                  <c:v>Marts ∑ 23</c:v>
                </c:pt>
                <c:pt idx="2">
                  <c:v>Aprīlis ∑ 57</c:v>
                </c:pt>
                <c:pt idx="3">
                  <c:v>Maijs ∑ 52</c:v>
                </c:pt>
                <c:pt idx="4">
                  <c:v>Jūnijs ∑ 63</c:v>
                </c:pt>
                <c:pt idx="5">
                  <c:v> Jūlijs ∑ 85</c:v>
                </c:pt>
              </c:strCache>
            </c:strRef>
          </c:cat>
          <c:val>
            <c:numRef>
              <c:f>meneshi!$C$9:$H$9</c:f>
              <c:numCache>
                <c:formatCode>0.00</c:formatCode>
                <c:ptCount val="6"/>
                <c:pt idx="0">
                  <c:v>8.3260432200000007</c:v>
                </c:pt>
                <c:pt idx="1">
                  <c:v>23.376938299999996</c:v>
                </c:pt>
                <c:pt idx="2">
                  <c:v>57.15810553</c:v>
                </c:pt>
                <c:pt idx="3">
                  <c:v>52.18244533</c:v>
                </c:pt>
                <c:pt idx="4">
                  <c:v>63.195303699999997</c:v>
                </c:pt>
                <c:pt idx="5">
                  <c:v>84.982237089999984</c:v>
                </c:pt>
              </c:numCache>
            </c:numRef>
          </c:val>
          <c:extLst>
            <c:ext xmlns:c16="http://schemas.microsoft.com/office/drawing/2014/chart" uri="{C3380CC4-5D6E-409C-BE32-E72D297353CC}">
              <c16:uniqueId val="{00000000-3CB4-4315-B18B-E7603462ECD1}"/>
            </c:ext>
          </c:extLst>
        </c:ser>
        <c:ser>
          <c:idx val="1"/>
          <c:order val="1"/>
          <c:tx>
            <c:strRef>
              <c:f>meneshi!$A$10</c:f>
              <c:strCache>
                <c:ptCount val="1"/>
                <c:pt idx="0">
                  <c:v>1 mēnesis</c:v>
                </c:pt>
              </c:strCache>
            </c:strRef>
          </c:tx>
          <c:spPr>
            <a:solidFill>
              <a:schemeClr val="accent1"/>
            </a:solidFill>
            <a:ln>
              <a:noFill/>
            </a:ln>
            <a:effectLst/>
          </c:spPr>
          <c:invertIfNegative val="0"/>
          <c:dLbls>
            <c:dLbl>
              <c:idx val="0"/>
              <c:layout/>
              <c:tx>
                <c:rich>
                  <a:bodyPr/>
                  <a:lstStyle/>
                  <a:p>
                    <a:fld id="{E2BE0626-E889-40D8-8E32-056BD4162921}"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1-3CB4-4315-B18B-E7603462ECD1}"/>
                </c:ext>
              </c:extLst>
            </c:dLbl>
            <c:dLbl>
              <c:idx val="1"/>
              <c:layout/>
              <c:tx>
                <c:rich>
                  <a:bodyPr/>
                  <a:lstStyle/>
                  <a:p>
                    <a:fld id="{2688D082-7DF8-454E-B7E2-BF30D9F98954}"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2-3CB4-4315-B18B-E7603462ECD1}"/>
                </c:ext>
              </c:extLst>
            </c:dLbl>
            <c:dLbl>
              <c:idx val="2"/>
              <c:layout/>
              <c:tx>
                <c:rich>
                  <a:bodyPr/>
                  <a:lstStyle/>
                  <a:p>
                    <a:fld id="{E4C38EBA-EA49-4109-9433-C33DC3F4167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3-3CB4-4315-B18B-E7603462ECD1}"/>
                </c:ext>
              </c:extLst>
            </c:dLbl>
            <c:dLbl>
              <c:idx val="3"/>
              <c:layout/>
              <c:tx>
                <c:rich>
                  <a:bodyPr/>
                  <a:lstStyle/>
                  <a:p>
                    <a:fld id="{F7728775-1EF4-42A5-B7F1-6B5CA1EEED58}"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4-3CB4-4315-B18B-E7603462ECD1}"/>
                </c:ext>
              </c:extLst>
            </c:dLbl>
            <c:dLbl>
              <c:idx val="4"/>
              <c:layout/>
              <c:tx>
                <c:rich>
                  <a:bodyPr/>
                  <a:lstStyle/>
                  <a:p>
                    <a:fld id="{58759888-4BB4-45BE-929F-C4D2A73A20BA}"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5-3CB4-4315-B18B-E7603462ECD1}"/>
                </c:ext>
              </c:extLst>
            </c:dLbl>
            <c:dLbl>
              <c:idx val="5"/>
              <c:layout/>
              <c:tx>
                <c:rich>
                  <a:bodyPr/>
                  <a:lstStyle/>
                  <a:p>
                    <a:fld id="{673E0580-A146-4703-BBC4-4C1F38E54251}"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6-3CB4-4315-B18B-E7603462ECD1}"/>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meneshi!$C$8:$H$8</c:f>
              <c:strCache>
                <c:ptCount val="6"/>
                <c:pt idx="0">
                  <c:v>Februāris ∑ 8</c:v>
                </c:pt>
                <c:pt idx="1">
                  <c:v>Marts ∑ 23</c:v>
                </c:pt>
                <c:pt idx="2">
                  <c:v>Aprīlis ∑ 57</c:v>
                </c:pt>
                <c:pt idx="3">
                  <c:v>Maijs ∑ 52</c:v>
                </c:pt>
                <c:pt idx="4">
                  <c:v>Jūnijs ∑ 63</c:v>
                </c:pt>
                <c:pt idx="5">
                  <c:v> Jūlijs ∑ 85</c:v>
                </c:pt>
              </c:strCache>
            </c:strRef>
          </c:cat>
          <c:val>
            <c:numRef>
              <c:f>meneshi!$C$10:$H$10</c:f>
              <c:numCache>
                <c:formatCode>#,##0</c:formatCode>
                <c:ptCount val="6"/>
                <c:pt idx="0">
                  <c:v>5299793.2</c:v>
                </c:pt>
                <c:pt idx="1">
                  <c:v>15927935.449999999</c:v>
                </c:pt>
                <c:pt idx="2" formatCode="General">
                  <c:v>38823707.939999998</c:v>
                </c:pt>
                <c:pt idx="3">
                  <c:v>9803211.3699999992</c:v>
                </c:pt>
                <c:pt idx="4">
                  <c:v>10417740.18</c:v>
                </c:pt>
                <c:pt idx="5">
                  <c:v>26472644.239999998</c:v>
                </c:pt>
              </c:numCache>
            </c:numRef>
          </c:val>
          <c:extLst>
            <c:ext xmlns:c15="http://schemas.microsoft.com/office/drawing/2012/chart" uri="{02D57815-91ED-43cb-92C2-25804820EDAC}">
              <c15:datalabelsRange>
                <c15:f>meneshi!$C$14:$H$14</c15:f>
                <c15:dlblRangeCache>
                  <c:ptCount val="6"/>
                  <c:pt idx="0">
                    <c:v>5,3 (45)</c:v>
                  </c:pt>
                  <c:pt idx="1">
                    <c:v>15,9 (79)</c:v>
                  </c:pt>
                  <c:pt idx="2">
                    <c:v>38,8 (100)</c:v>
                  </c:pt>
                  <c:pt idx="3">
                    <c:v>9,8 (73)</c:v>
                  </c:pt>
                  <c:pt idx="4">
                    <c:v>10,4 (68)</c:v>
                  </c:pt>
                  <c:pt idx="5">
                    <c:v>26,5 (107)</c:v>
                  </c:pt>
                </c15:dlblRangeCache>
              </c15:datalabelsRange>
            </c:ext>
            <c:ext xmlns:c16="http://schemas.microsoft.com/office/drawing/2014/chart" uri="{C3380CC4-5D6E-409C-BE32-E72D297353CC}">
              <c16:uniqueId val="{00000007-3CB4-4315-B18B-E7603462ECD1}"/>
            </c:ext>
          </c:extLst>
        </c:ser>
        <c:ser>
          <c:idx val="2"/>
          <c:order val="2"/>
          <c:tx>
            <c:strRef>
              <c:f>meneshi!$A$11</c:f>
              <c:strCache>
                <c:ptCount val="1"/>
                <c:pt idx="0">
                  <c:v>2 - 3 mēnešus </c:v>
                </c:pt>
              </c:strCache>
            </c:strRef>
          </c:tx>
          <c:spPr>
            <a:solidFill>
              <a:schemeClr val="accent3"/>
            </a:solidFill>
            <a:ln>
              <a:noFill/>
            </a:ln>
            <a:effectLst/>
          </c:spPr>
          <c:invertIfNegative val="0"/>
          <c:dLbls>
            <c:dLbl>
              <c:idx val="0"/>
              <c:layout/>
              <c:tx>
                <c:rich>
                  <a:bodyPr/>
                  <a:lstStyle/>
                  <a:p>
                    <a:fld id="{6594E968-31D7-4415-B45D-D19CAFA599E1}"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08-3CB4-4315-B18B-E7603462ECD1}"/>
                </c:ext>
              </c:extLst>
            </c:dLbl>
            <c:dLbl>
              <c:idx val="1"/>
              <c:layout/>
              <c:tx>
                <c:rich>
                  <a:bodyPr/>
                  <a:lstStyle/>
                  <a:p>
                    <a:fld id="{4D4804C5-A3DF-4485-880A-3DC1DB9E3987}"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9-3CB4-4315-B18B-E7603462ECD1}"/>
                </c:ext>
              </c:extLst>
            </c:dLbl>
            <c:dLbl>
              <c:idx val="2"/>
              <c:layout/>
              <c:tx>
                <c:rich>
                  <a:bodyPr/>
                  <a:lstStyle/>
                  <a:p>
                    <a:fld id="{82CEAA77-A635-4B5E-85A0-38B1D2F52DC5}"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A-3CB4-4315-B18B-E7603462ECD1}"/>
                </c:ext>
              </c:extLst>
            </c:dLbl>
            <c:dLbl>
              <c:idx val="3"/>
              <c:layout/>
              <c:tx>
                <c:rich>
                  <a:bodyPr/>
                  <a:lstStyle/>
                  <a:p>
                    <a:fld id="{8190E692-34A4-46F8-9ABB-F8C18A2BB14C}"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B-3CB4-4315-B18B-E7603462ECD1}"/>
                </c:ext>
              </c:extLst>
            </c:dLbl>
            <c:dLbl>
              <c:idx val="4"/>
              <c:layout/>
              <c:tx>
                <c:rich>
                  <a:bodyPr/>
                  <a:lstStyle/>
                  <a:p>
                    <a:fld id="{9462CAA2-A477-4A79-B6E6-164B75C5D768}"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C-3CB4-4315-B18B-E7603462ECD1}"/>
                </c:ext>
              </c:extLst>
            </c:dLbl>
            <c:dLbl>
              <c:idx val="5"/>
              <c:layout/>
              <c:tx>
                <c:rich>
                  <a:bodyPr/>
                  <a:lstStyle/>
                  <a:p>
                    <a:fld id="{D720DC4D-C2DF-4ECF-A8C0-3834D3E856FF}"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0D-3CB4-4315-B18B-E7603462ECD1}"/>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meneshi!$C$8:$H$8</c:f>
              <c:strCache>
                <c:ptCount val="6"/>
                <c:pt idx="0">
                  <c:v>Februāris ∑ 8</c:v>
                </c:pt>
                <c:pt idx="1">
                  <c:v>Marts ∑ 23</c:v>
                </c:pt>
                <c:pt idx="2">
                  <c:v>Aprīlis ∑ 57</c:v>
                </c:pt>
                <c:pt idx="3">
                  <c:v>Maijs ∑ 52</c:v>
                </c:pt>
                <c:pt idx="4">
                  <c:v>Jūnijs ∑ 63</c:v>
                </c:pt>
                <c:pt idx="5">
                  <c:v> Jūlijs ∑ 85</c:v>
                </c:pt>
              </c:strCache>
            </c:strRef>
          </c:cat>
          <c:val>
            <c:numRef>
              <c:f>meneshi!$C$11:$H$11</c:f>
              <c:numCache>
                <c:formatCode>#,##0</c:formatCode>
                <c:ptCount val="6"/>
                <c:pt idx="0">
                  <c:v>3026250.02</c:v>
                </c:pt>
                <c:pt idx="1">
                  <c:v>7449002.8499999996</c:v>
                </c:pt>
                <c:pt idx="2">
                  <c:v>16277170.59</c:v>
                </c:pt>
                <c:pt idx="3">
                  <c:v>35936924.329999998</c:v>
                </c:pt>
                <c:pt idx="4">
                  <c:v>27838417.809999999</c:v>
                </c:pt>
                <c:pt idx="5">
                  <c:v>12476090.42</c:v>
                </c:pt>
              </c:numCache>
            </c:numRef>
          </c:val>
          <c:extLst>
            <c:ext xmlns:c15="http://schemas.microsoft.com/office/drawing/2012/chart" uri="{02D57815-91ED-43cb-92C2-25804820EDAC}">
              <c15:datalabelsRange>
                <c15:f>meneshi!$C$15:$H$15</c15:f>
                <c15:dlblRangeCache>
                  <c:ptCount val="6"/>
                  <c:pt idx="0">
                    <c:v>3,0 (19)</c:v>
                  </c:pt>
                  <c:pt idx="1">
                    <c:v>7,4 (45)</c:v>
                  </c:pt>
                  <c:pt idx="2">
                    <c:v>16,3 (77)</c:v>
                  </c:pt>
                  <c:pt idx="3">
                    <c:v>35,9 (117)</c:v>
                  </c:pt>
                  <c:pt idx="4">
                    <c:v>27,8 (107)</c:v>
                  </c:pt>
                  <c:pt idx="5">
                    <c:v>12,5 (81)</c:v>
                  </c:pt>
                </c15:dlblRangeCache>
              </c15:datalabelsRange>
            </c:ext>
            <c:ext xmlns:c16="http://schemas.microsoft.com/office/drawing/2014/chart" uri="{C3380CC4-5D6E-409C-BE32-E72D297353CC}">
              <c16:uniqueId val="{0000000E-3CB4-4315-B18B-E7603462ECD1}"/>
            </c:ext>
          </c:extLst>
        </c:ser>
        <c:ser>
          <c:idx val="3"/>
          <c:order val="3"/>
          <c:tx>
            <c:strRef>
              <c:f>meneshi!$A$12</c:f>
              <c:strCache>
                <c:ptCount val="1"/>
                <c:pt idx="0">
                  <c:v>4 - 6 mēnešus</c:v>
                </c:pt>
              </c:strCache>
            </c:strRef>
          </c:tx>
          <c:spPr>
            <a:solidFill>
              <a:schemeClr val="accent2"/>
            </a:solidFill>
            <a:ln>
              <a:noFill/>
            </a:ln>
            <a:effectLst/>
          </c:spPr>
          <c:invertIfNegative val="0"/>
          <c:dLbls>
            <c:dLbl>
              <c:idx val="0"/>
              <c:tx>
                <c:rich>
                  <a:bodyPr/>
                  <a:lstStyle/>
                  <a:p>
                    <a:fld id="{6DE6E462-6D56-4AD6-AFBF-5CBE62F1E8E3}"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0F-3CB4-4315-B18B-E7603462ECD1}"/>
                </c:ext>
              </c:extLst>
            </c:dLbl>
            <c:dLbl>
              <c:idx val="1"/>
              <c:tx>
                <c:rich>
                  <a:bodyPr/>
                  <a:lstStyle/>
                  <a:p>
                    <a:endParaRPr lang="en-US"/>
                  </a:p>
                </c:rich>
              </c:tx>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3CB4-4315-B18B-E7603462ECD1}"/>
                </c:ext>
              </c:extLst>
            </c:dLbl>
            <c:dLbl>
              <c:idx val="2"/>
              <c:layout>
                <c:manualLayout>
                  <c:x val="-4.3290035911982949E-3"/>
                  <c:y val="-3.9426523297491037E-2"/>
                </c:manualLayout>
              </c:layout>
              <c:tx>
                <c:rich>
                  <a:bodyPr/>
                  <a:lstStyle/>
                  <a:p>
                    <a:fld id="{2BABCF24-2A17-4174-A188-02809864B287}" type="CELLRANGE">
                      <a:rPr lang="en-US"/>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1-3CB4-4315-B18B-E7603462ECD1}"/>
                </c:ext>
              </c:extLst>
            </c:dLbl>
            <c:dLbl>
              <c:idx val="3"/>
              <c:layout/>
              <c:tx>
                <c:rich>
                  <a:bodyPr/>
                  <a:lstStyle/>
                  <a:p>
                    <a:fld id="{581B80E2-B07F-440F-AAE8-51CA960B3BD4}"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2-3CB4-4315-B18B-E7603462ECD1}"/>
                </c:ext>
              </c:extLst>
            </c:dLbl>
            <c:dLbl>
              <c:idx val="4"/>
              <c:layout/>
              <c:tx>
                <c:rich>
                  <a:bodyPr/>
                  <a:lstStyle/>
                  <a:p>
                    <a:fld id="{99C53545-5A16-49F4-83CC-00662FA2005D}"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3-3CB4-4315-B18B-E7603462ECD1}"/>
                </c:ext>
              </c:extLst>
            </c:dLbl>
            <c:dLbl>
              <c:idx val="5"/>
              <c:layout/>
              <c:tx>
                <c:rich>
                  <a:bodyPr/>
                  <a:lstStyle/>
                  <a:p>
                    <a:fld id="{F82E1478-4A15-401E-AEE9-C6BB829A012D}" type="CELLRANGE">
                      <a:rPr lang="lv-LV"/>
                      <a:pPr/>
                      <a:t>[CELLRANGE]</a:t>
                    </a:fld>
                    <a:endParaRPr lang="lv-LV"/>
                  </a:p>
                </c:rich>
              </c:tx>
              <c:showLegendKey val="0"/>
              <c:showVal val="0"/>
              <c:showCatName val="0"/>
              <c:showSerName val="0"/>
              <c:showPercent val="0"/>
              <c:showBubbleSize val="0"/>
              <c:extLst>
                <c:ext xmlns:c15="http://schemas.microsoft.com/office/drawing/2012/chart" uri="{CE6537A1-D6FC-4f65-9D91-7224C49458BB}">
                  <c15:layout/>
                  <c15:dlblFieldTable/>
                  <c15:xForSave val="1"/>
                  <c15:showDataLabelsRange val="1"/>
                </c:ext>
                <c:ext xmlns:c16="http://schemas.microsoft.com/office/drawing/2014/chart" uri="{C3380CC4-5D6E-409C-BE32-E72D297353CC}">
                  <c16:uniqueId val="{00000014-3CB4-4315-B18B-E7603462ECD1}"/>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showLegendKey val="0"/>
            <c:showVal val="0"/>
            <c:showCatName val="0"/>
            <c:showSerName val="0"/>
            <c:showPercent val="0"/>
            <c:showBubbleSize val="0"/>
            <c:showLeaderLines val="0"/>
            <c:extLst>
              <c:ext xmlns:c15="http://schemas.microsoft.com/office/drawing/2012/chart" uri="{CE6537A1-D6FC-4f65-9D91-7224C49458BB}">
                <c15:layout/>
                <c15:showDataLabelsRange val="1"/>
                <c15:showLeaderLines val="1"/>
                <c15:leaderLines>
                  <c:spPr>
                    <a:ln w="9525" cap="flat" cmpd="sng" algn="ctr">
                      <a:solidFill>
                        <a:schemeClr val="tx1">
                          <a:lumMod val="35000"/>
                          <a:lumOff val="65000"/>
                        </a:schemeClr>
                      </a:solidFill>
                      <a:round/>
                    </a:ln>
                    <a:effectLst/>
                  </c:spPr>
                </c15:leaderLines>
              </c:ext>
            </c:extLst>
          </c:dLbls>
          <c:cat>
            <c:strRef>
              <c:f>meneshi!$C$8:$H$8</c:f>
              <c:strCache>
                <c:ptCount val="6"/>
                <c:pt idx="0">
                  <c:v>Februāris ∑ 8</c:v>
                </c:pt>
                <c:pt idx="1">
                  <c:v>Marts ∑ 23</c:v>
                </c:pt>
                <c:pt idx="2">
                  <c:v>Aprīlis ∑ 57</c:v>
                </c:pt>
                <c:pt idx="3">
                  <c:v>Maijs ∑ 52</c:v>
                </c:pt>
                <c:pt idx="4">
                  <c:v>Jūnijs ∑ 63</c:v>
                </c:pt>
                <c:pt idx="5">
                  <c:v> Jūlijs ∑ 85</c:v>
                </c:pt>
              </c:strCache>
            </c:strRef>
          </c:cat>
          <c:val>
            <c:numRef>
              <c:f>meneshi!$C$12:$H$12</c:f>
              <c:numCache>
                <c:formatCode>General</c:formatCode>
                <c:ptCount val="6"/>
                <c:pt idx="2" formatCode="#,##0">
                  <c:v>2057227</c:v>
                </c:pt>
                <c:pt idx="3" formatCode="#,##0">
                  <c:v>6442309.6299999999</c:v>
                </c:pt>
                <c:pt idx="4" formatCode="#,##0">
                  <c:v>24939145.710000001</c:v>
                </c:pt>
                <c:pt idx="5" formatCode="#,##0">
                  <c:v>44086413.299999997</c:v>
                </c:pt>
              </c:numCache>
            </c:numRef>
          </c:val>
          <c:extLst>
            <c:ext xmlns:c15="http://schemas.microsoft.com/office/drawing/2012/chart" uri="{02D57815-91ED-43cb-92C2-25804820EDAC}">
              <c15:datalabelsRange>
                <c15:f>meneshi!$C$16:$H$16</c15:f>
                <c15:dlblRangeCache>
                  <c:ptCount val="6"/>
                  <c:pt idx="0">
                    <c:v>0,0 ()</c:v>
                  </c:pt>
                  <c:pt idx="1">
                    <c:v>0,0 ()</c:v>
                  </c:pt>
                  <c:pt idx="2">
                    <c:v>2,1 (9)</c:v>
                  </c:pt>
                  <c:pt idx="3">
                    <c:v>6,4 (27)</c:v>
                  </c:pt>
                  <c:pt idx="4">
                    <c:v>24,9 (61)</c:v>
                  </c:pt>
                  <c:pt idx="5">
                    <c:v>44,1 (92)</c:v>
                  </c:pt>
                </c15:dlblRangeCache>
              </c15:datalabelsRange>
            </c:ext>
            <c:ext xmlns:c16="http://schemas.microsoft.com/office/drawing/2014/chart" uri="{C3380CC4-5D6E-409C-BE32-E72D297353CC}">
              <c16:uniqueId val="{00000015-3CB4-4315-B18B-E7603462ECD1}"/>
            </c:ext>
          </c:extLst>
        </c:ser>
        <c:ser>
          <c:idx val="4"/>
          <c:order val="4"/>
          <c:tx>
            <c:strRef>
              <c:f>meneshi!$A$13</c:f>
              <c:strCache>
                <c:ptCount val="1"/>
                <c:pt idx="0">
                  <c:v> &gt; 6 mēnešus</c:v>
                </c:pt>
              </c:strCache>
            </c:strRef>
          </c:tx>
          <c:spPr>
            <a:solidFill>
              <a:srgbClr val="C00000"/>
            </a:solidFill>
            <a:ln>
              <a:noFill/>
            </a:ln>
            <a:effectLst/>
          </c:spPr>
          <c:invertIfNegative val="0"/>
          <c:dLbls>
            <c:dLbl>
              <c:idx val="0"/>
              <c:tx>
                <c:rich>
                  <a:bodyPr/>
                  <a:lstStyle/>
                  <a:p>
                    <a:endParaRPr lang="en-US"/>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3CB4-4315-B18B-E7603462ECD1}"/>
                </c:ext>
              </c:extLst>
            </c:dLbl>
            <c:dLbl>
              <c:idx val="1"/>
              <c:tx>
                <c:rich>
                  <a:bodyPr/>
                  <a:lstStyle/>
                  <a:p>
                    <a:endParaRPr lang="en-US"/>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3CB4-4315-B18B-E7603462ECD1}"/>
                </c:ext>
              </c:extLst>
            </c:dLbl>
            <c:dLbl>
              <c:idx val="2"/>
              <c:tx>
                <c:rich>
                  <a:bodyPr/>
                  <a:lstStyle/>
                  <a:p>
                    <a:endParaRPr lang="en-US"/>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3CB4-4315-B18B-E7603462ECD1}"/>
                </c:ext>
              </c:extLst>
            </c:dLbl>
            <c:dLbl>
              <c:idx val="3"/>
              <c:tx>
                <c:rich>
                  <a:bodyPr/>
                  <a:lstStyle/>
                  <a:p>
                    <a:endParaRPr lang="en-US"/>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9-3CB4-4315-B18B-E7603462ECD1}"/>
                </c:ext>
              </c:extLst>
            </c:dLbl>
            <c:dLbl>
              <c:idx val="4"/>
              <c:tx>
                <c:rich>
                  <a:bodyPr/>
                  <a:lstStyle/>
                  <a:p>
                    <a:endParaRPr lang="en-US"/>
                  </a:p>
                </c:rich>
              </c:tx>
              <c:dLblPos val="ctr"/>
              <c:showLegendKey val="0"/>
              <c:showVal val="0"/>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A-3CB4-4315-B18B-E7603462ECD1}"/>
                </c:ext>
              </c:extLst>
            </c:dLbl>
            <c:dLbl>
              <c:idx val="5"/>
              <c:layout>
                <c:manualLayout>
                  <c:x val="-2.1645017955991075E-3"/>
                  <c:y val="-6.093189964157706E-2"/>
                </c:manualLayout>
              </c:layout>
              <c:tx>
                <c:rich>
                  <a:bodyPr/>
                  <a:lstStyle/>
                  <a:p>
                    <a:fld id="{25EE6F67-D609-478A-85B7-EE05DA8845F6}" type="CELLRANGE">
                      <a:rPr lang="en-US"/>
                      <a:pPr/>
                      <a:t>[CELLRANGE]</a:t>
                    </a:fld>
                    <a:endParaRPr lang="lv-LV"/>
                  </a:p>
                </c:rich>
              </c:tx>
              <c:dLblPos val="ctr"/>
              <c:showLegendKey val="0"/>
              <c:showVal val="0"/>
              <c:showCatName val="0"/>
              <c:showSerName val="0"/>
              <c:showPercent val="0"/>
              <c:showBubbleSize val="0"/>
              <c:extLst>
                <c:ext xmlns:c15="http://schemas.microsoft.com/office/drawing/2012/chart" uri="{CE6537A1-D6FC-4f65-9D91-7224C49458BB}">
                  <c15:layout/>
                  <c15:dlblFieldTable/>
                  <c15:showDataLabelsRange val="1"/>
                </c:ext>
                <c:ext xmlns:c16="http://schemas.microsoft.com/office/drawing/2014/chart" uri="{C3380CC4-5D6E-409C-BE32-E72D297353CC}">
                  <c16:uniqueId val="{0000001B-3CB4-4315-B18B-E7603462ECD1}"/>
                </c:ext>
              </c:extLst>
            </c:dLbl>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LblPos val="ctr"/>
            <c:showLegendKey val="0"/>
            <c:showVal val="0"/>
            <c:showCatName val="0"/>
            <c:showSerName val="0"/>
            <c:showPercent val="0"/>
            <c:showBubbleSize val="0"/>
            <c:showLeaderLines val="0"/>
            <c:extLst>
              <c:ext xmlns:c15="http://schemas.microsoft.com/office/drawing/2012/chart" uri="{CE6537A1-D6FC-4f65-9D91-7224C49458BB}">
                <c15:showDataLabelsRange val="1"/>
                <c15:showLeaderLines val="1"/>
                <c15:leaderLines>
                  <c:spPr>
                    <a:ln w="9525" cap="flat" cmpd="sng" algn="ctr">
                      <a:solidFill>
                        <a:schemeClr val="tx1">
                          <a:lumMod val="35000"/>
                          <a:lumOff val="65000"/>
                        </a:schemeClr>
                      </a:solidFill>
                      <a:round/>
                    </a:ln>
                    <a:effectLst/>
                  </c:spPr>
                </c15:leaderLines>
              </c:ext>
            </c:extLst>
          </c:dLbls>
          <c:cat>
            <c:strRef>
              <c:f>meneshi!$C$8:$H$8</c:f>
              <c:strCache>
                <c:ptCount val="6"/>
                <c:pt idx="0">
                  <c:v>Februāris ∑ 8</c:v>
                </c:pt>
                <c:pt idx="1">
                  <c:v>Marts ∑ 23</c:v>
                </c:pt>
                <c:pt idx="2">
                  <c:v>Aprīlis ∑ 57</c:v>
                </c:pt>
                <c:pt idx="3">
                  <c:v>Maijs ∑ 52</c:v>
                </c:pt>
                <c:pt idx="4">
                  <c:v>Jūnijs ∑ 63</c:v>
                </c:pt>
                <c:pt idx="5">
                  <c:v> Jūlijs ∑ 85</c:v>
                </c:pt>
              </c:strCache>
            </c:strRef>
          </c:cat>
          <c:val>
            <c:numRef>
              <c:f>meneshi!$C$13:$H$13</c:f>
              <c:numCache>
                <c:formatCode>General</c:formatCode>
                <c:ptCount val="6"/>
                <c:pt idx="5" formatCode="#,##0">
                  <c:v>1947089.13</c:v>
                </c:pt>
              </c:numCache>
            </c:numRef>
          </c:val>
          <c:extLst>
            <c:ext xmlns:c15="http://schemas.microsoft.com/office/drawing/2012/chart" uri="{02D57815-91ED-43cb-92C2-25804820EDAC}">
              <c15:datalabelsRange>
                <c15:f>meneshi!$C$17:$H$17</c15:f>
                <c15:dlblRangeCache>
                  <c:ptCount val="6"/>
                  <c:pt idx="5">
                    <c:v>1,9 (6)</c:v>
                  </c:pt>
                </c15:dlblRangeCache>
              </c15:datalabelsRange>
            </c:ext>
            <c:ext xmlns:c16="http://schemas.microsoft.com/office/drawing/2014/chart" uri="{C3380CC4-5D6E-409C-BE32-E72D297353CC}">
              <c16:uniqueId val="{0000001C-3CB4-4315-B18B-E7603462ECD1}"/>
            </c:ext>
          </c:extLst>
        </c:ser>
        <c:dLbls>
          <c:showLegendKey val="0"/>
          <c:showVal val="0"/>
          <c:showCatName val="0"/>
          <c:showSerName val="0"/>
          <c:showPercent val="0"/>
          <c:showBubbleSize val="0"/>
        </c:dLbls>
        <c:gapWidth val="45"/>
        <c:overlap val="100"/>
        <c:axId val="1417755663"/>
        <c:axId val="1417771471"/>
      </c:barChart>
      <c:catAx>
        <c:axId val="1417755663"/>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crossAx val="1417771471"/>
        <c:crosses val="autoZero"/>
        <c:auto val="0"/>
        <c:lblAlgn val="ctr"/>
        <c:lblOffset val="100"/>
        <c:noMultiLvlLbl val="0"/>
      </c:catAx>
      <c:valAx>
        <c:axId val="1417771471"/>
        <c:scaling>
          <c:orientation val="minMax"/>
        </c:scaling>
        <c:delete val="1"/>
        <c:axPos val="l"/>
        <c:numFmt formatCode="0.00" sourceLinked="1"/>
        <c:majorTickMark val="none"/>
        <c:minorTickMark val="none"/>
        <c:tickLblPos val="nextTo"/>
        <c:crossAx val="1417755663"/>
        <c:crosses val="autoZero"/>
        <c:crossBetween val="between"/>
        <c:dispUnits>
          <c:builtInUnit val="millions"/>
          <c:dispUnitsLbl>
            <c:layout/>
            <c:spPr>
              <a:noFill/>
              <a:ln>
                <a:noFill/>
              </a:ln>
              <a:effectLst/>
            </c:spPr>
            <c:txPr>
              <a:bodyPr rot="-540000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dispUnitsLbl>
        </c:dispUnits>
      </c:valAx>
      <c:spPr>
        <a:noFill/>
        <a:ln>
          <a:noFill/>
        </a:ln>
        <a:effectLst/>
      </c:spPr>
    </c:plotArea>
    <c:legend>
      <c:legendPos val="b"/>
      <c:legendEntry>
        <c:idx val="0"/>
        <c:delete val="1"/>
      </c:legendEntry>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lv-LV"/>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solidFill>
            <a:sysClr val="windowText" lastClr="000000"/>
          </a:solidFill>
          <a:latin typeface="Times New Roman" panose="02020603050405020304" pitchFamily="18" charset="0"/>
          <a:cs typeface="Times New Roman" panose="02020603050405020304" pitchFamily="18" charset="0"/>
        </a:defRPr>
      </a:pPr>
      <a:endParaRPr lang="lv-LV"/>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66">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0.08497</cdr:x>
      <cdr:y>0.52838</cdr:y>
    </cdr:from>
    <cdr:to>
      <cdr:x>0.77775</cdr:x>
      <cdr:y>0.75109</cdr:y>
    </cdr:to>
    <cdr:sp macro="" textlink="">
      <cdr:nvSpPr>
        <cdr:cNvPr id="3" name="Rounded Rectangle 2"/>
        <cdr:cNvSpPr/>
      </cdr:nvSpPr>
      <cdr:spPr>
        <a:xfrm xmlns:a="http://schemas.openxmlformats.org/drawingml/2006/main">
          <a:off x="487007" y="2305051"/>
          <a:ext cx="3970693" cy="971550"/>
        </a:xfrm>
        <a:prstGeom xmlns:a="http://schemas.openxmlformats.org/drawingml/2006/main" prst="roundRect">
          <a:avLst/>
        </a:prstGeom>
        <a:noFill xmlns:a="http://schemas.openxmlformats.org/drawingml/2006/main"/>
        <a:ln xmlns:a="http://schemas.openxmlformats.org/drawingml/2006/main" w="19050">
          <a:solidFill>
            <a:srgbClr val="00B050"/>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rot="0" spcFirstLastPara="0" vert="horz" wrap="square" lIns="91440" tIns="45720" rIns="91440" bIns="45720" numCol="1" spcCol="0" rtlCol="0" fromWordArt="0" anchor="ctr" anchorCtr="0" forceAA="0" compatLnSpc="1">
          <a:prstTxWarp prst="textNoShape">
            <a:avLst/>
          </a:prstTxWarp>
          <a:noAutofit/>
        </a:bodyPr>
        <a:lstStyle xmlns:a="http://schemas.openxmlformats.org/drawingml/2006/main"/>
        <a:p xmlns:a="http://schemas.openxmlformats.org/drawingml/2006/main">
          <a:endParaRPr lang="lv-LV"/>
        </a:p>
      </cdr:txBody>
    </cdr:sp>
  </cdr:relSizeAnchor>
  <cdr:relSizeAnchor xmlns:cdr="http://schemas.openxmlformats.org/drawingml/2006/chartDrawing">
    <cdr:from>
      <cdr:x>0</cdr:x>
      <cdr:y>0.88795</cdr:y>
    </cdr:from>
    <cdr:to>
      <cdr:x>1</cdr:x>
      <cdr:y>1</cdr:y>
    </cdr:to>
    <cdr:sp macro="" textlink="">
      <cdr:nvSpPr>
        <cdr:cNvPr id="4" name="TextBox 1"/>
        <cdr:cNvSpPr txBox="1"/>
      </cdr:nvSpPr>
      <cdr:spPr>
        <a:xfrm xmlns:a="http://schemas.openxmlformats.org/drawingml/2006/main">
          <a:off x="0" y="4000500"/>
          <a:ext cx="6438899" cy="504825"/>
        </a:xfrm>
        <a:prstGeom xmlns:a="http://schemas.openxmlformats.org/drawingml/2006/main" prst="rect">
          <a:avLst/>
        </a:prstGeom>
      </cdr:spPr>
      <cdr:txBody>
        <a:bodyPr xmlns:a="http://schemas.openxmlformats.org/drawingml/2006/main" wrap="square" rtlCol="0" anchor="t"/>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000" i="1">
              <a:latin typeface="Times New Roman" panose="02020603050405020304" pitchFamily="18" charset="0"/>
              <a:ea typeface="Verdana" panose="020B0604030504040204" pitchFamily="34" charset="0"/>
              <a:cs typeface="Times New Roman" panose="02020603050405020304" pitchFamily="18" charset="0"/>
            </a:rPr>
            <a:t>*Virssaistības - ar MK lēmumu piešķirti valsts budžeta papildus izdevumi – līdz 2019. gada februārim kopā 66,3 milj. euro šādās jomās: vide un teritoriālā attīstība (41,4), videi draudzīga ekonomika (15,6), MVK konkurētspēja (5,2) un izglītība (4,1) </a:t>
          </a:r>
        </a:p>
      </cdr:txBody>
    </cdr:sp>
  </cdr:relSizeAnchor>
  <cdr:relSizeAnchor xmlns:cdr="http://schemas.openxmlformats.org/drawingml/2006/chartDrawing">
    <cdr:from>
      <cdr:x>0.78108</cdr:x>
      <cdr:y>0.50073</cdr:y>
    </cdr:from>
    <cdr:to>
      <cdr:x>0.98506</cdr:x>
      <cdr:y>0.76638</cdr:y>
    </cdr:to>
    <cdr:sp macro="" textlink="">
      <cdr:nvSpPr>
        <cdr:cNvPr id="5" name="Text Box 1"/>
        <cdr:cNvSpPr txBox="1"/>
      </cdr:nvSpPr>
      <cdr:spPr>
        <a:xfrm xmlns:a="http://schemas.openxmlformats.org/drawingml/2006/main">
          <a:off x="4476750" y="2184399"/>
          <a:ext cx="1169130" cy="1158875"/>
        </a:xfrm>
        <a:prstGeom xmlns:a="http://schemas.openxmlformats.org/drawingml/2006/main" prst="rect">
          <a:avLst/>
        </a:prstGeom>
      </cdr:spPr>
      <cdr:txBody>
        <a:bodyPr xmlns:a="http://schemas.openxmlformats.org/drawingml/2006/main" wrap="non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lv-LV" sz="1100" b="1" u="sng" baseline="0">
              <a:latin typeface="Times New Roman" panose="02020603050405020304" pitchFamily="18" charset="0"/>
              <a:cs typeface="Times New Roman" panose="02020603050405020304" pitchFamily="18" charset="0"/>
            </a:rPr>
            <a:t>Augustā uz 23.08. </a:t>
          </a:r>
        </a:p>
        <a:p xmlns:a="http://schemas.openxmlformats.org/drawingml/2006/main">
          <a:r>
            <a:rPr lang="lv-LV" sz="1100" b="0" u="sng" baseline="0">
              <a:latin typeface="Times New Roman" panose="02020603050405020304" pitchFamily="18" charset="0"/>
              <a:cs typeface="Times New Roman" panose="02020603050405020304" pitchFamily="18" charset="0"/>
            </a:rPr>
            <a:t>milj</a:t>
          </a:r>
          <a:r>
            <a:rPr lang="lv-LV" sz="1100" b="0" i="1" u="sng" baseline="0">
              <a:latin typeface="Times New Roman" panose="02020603050405020304" pitchFamily="18" charset="0"/>
              <a:cs typeface="Times New Roman" panose="02020603050405020304" pitchFamily="18" charset="0"/>
            </a:rPr>
            <a:t>.euro</a:t>
          </a:r>
          <a:r>
            <a:rPr lang="lv-LV" sz="1100" b="1" i="1" u="sng" baseline="0">
              <a:latin typeface="Times New Roman" panose="02020603050405020304" pitchFamily="18" charset="0"/>
              <a:cs typeface="Times New Roman" panose="02020603050405020304" pitchFamily="18" charset="0"/>
            </a:rPr>
            <a:t>.</a:t>
          </a:r>
        </a:p>
        <a:p xmlns:a="http://schemas.openxmlformats.org/drawingml/2006/main">
          <a:r>
            <a:rPr lang="lv-LV" sz="1100">
              <a:latin typeface="Times New Roman" panose="02020603050405020304" pitchFamily="18" charset="0"/>
              <a:cs typeface="Times New Roman" panose="02020603050405020304" pitchFamily="18" charset="0"/>
            </a:rPr>
            <a:t>Apstiprināti:</a:t>
          </a:r>
          <a:r>
            <a:rPr lang="lv-LV" sz="1100" baseline="0">
              <a:latin typeface="Times New Roman" panose="02020603050405020304" pitchFamily="18" charset="0"/>
              <a:cs typeface="Times New Roman" panose="02020603050405020304" pitchFamily="18" charset="0"/>
            </a:rPr>
            <a:t> +7,5</a:t>
          </a:r>
        </a:p>
        <a:p xmlns:a="http://schemas.openxmlformats.org/drawingml/2006/main">
          <a:r>
            <a:rPr lang="lv-LV" sz="1100" baseline="0">
              <a:latin typeface="Times New Roman" panose="02020603050405020304" pitchFamily="18" charset="0"/>
              <a:cs typeface="Times New Roman" panose="02020603050405020304" pitchFamily="18" charset="0"/>
            </a:rPr>
            <a:t>Projektu</a:t>
          </a:r>
        </a:p>
        <a:p xmlns:a="http://schemas.openxmlformats.org/drawingml/2006/main">
          <a:r>
            <a:rPr lang="lv-LV" sz="1100" baseline="0">
              <a:latin typeface="Times New Roman" panose="02020603050405020304" pitchFamily="18" charset="0"/>
              <a:cs typeface="Times New Roman" panose="02020603050405020304" pitchFamily="18" charset="0"/>
            </a:rPr>
            <a:t>līgumi: +23,2</a:t>
          </a:r>
        </a:p>
        <a:p xmlns:a="http://schemas.openxmlformats.org/drawingml/2006/main">
          <a:r>
            <a:rPr lang="lv-LV" sz="1100" baseline="0">
              <a:latin typeface="Times New Roman" panose="02020603050405020304" pitchFamily="18" charset="0"/>
              <a:cs typeface="Times New Roman" panose="02020603050405020304" pitchFamily="18" charset="0"/>
            </a:rPr>
            <a:t>Maksājumi: +26,1</a:t>
          </a:r>
          <a:endParaRPr lang="lv-LV" sz="1100">
            <a:latin typeface="Times New Roman" panose="02020603050405020304" pitchFamily="18" charset="0"/>
            <a:cs typeface="Times New Roman" panose="02020603050405020304" pitchFamily="18" charset="0"/>
          </a:endParaRPr>
        </a:p>
      </cdr:txBody>
    </cdr:sp>
  </cdr:relSizeAnchor>
</c:userShapes>
</file>

<file path=word/drawings/drawing2.xml><?xml version="1.0" encoding="utf-8"?>
<c:userShapes xmlns:c="http://schemas.openxmlformats.org/drawingml/2006/chart">
  <cdr:relSizeAnchor xmlns:cdr="http://schemas.openxmlformats.org/drawingml/2006/chartDrawing">
    <cdr:from>
      <cdr:x>0.22115</cdr:x>
      <cdr:y>0.0828</cdr:y>
    </cdr:from>
    <cdr:to>
      <cdr:x>0.375</cdr:x>
      <cdr:y>0.28662</cdr:y>
    </cdr:to>
    <cdr:sp macro="" textlink="">
      <cdr:nvSpPr>
        <cdr:cNvPr id="2" name="TextBox 1"/>
        <cdr:cNvSpPr txBox="1"/>
      </cdr:nvSpPr>
      <cdr:spPr>
        <a:xfrm xmlns:a="http://schemas.openxmlformats.org/drawingml/2006/main">
          <a:off x="1314451" y="371476"/>
          <a:ext cx="914400" cy="914400"/>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lv-LV"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ngles">
    <a:majorFont>
      <a:latin typeface="Franklin Gothic Medium"/>
      <a:ea typeface=""/>
      <a:cs typeface=""/>
      <a:font script="Jpan" typeface="HG創英角ｺﾞｼｯｸUB"/>
      <a:font script="Hang" typeface="돋움"/>
      <a:font script="Hans" typeface="微软雅黑"/>
      <a:font script="Hant" typeface="微軟正黑體"/>
      <a:font script="Arab" typeface="Tahoma"/>
      <a:font script="Hebr" typeface="Aharoni"/>
      <a:font script="Thai" typeface="Lily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Franklin Gothic Book"/>
      <a:ea typeface=""/>
      <a:cs typeface=""/>
      <a:font script="Jpan" typeface="ＭＳ Ｐゴシック"/>
      <a:font script="Hang" typeface="맑은 고딕"/>
      <a:font script="Hans" typeface="隶书"/>
      <a:font script="Hant" typeface="新細明體"/>
      <a:font script="Arab" typeface="Arial"/>
      <a:font script="Hebr" typeface="Arial"/>
      <a:font script="Thai" typeface="Cordi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D6E59C-DE84-4184-9BDF-380CB2DFA5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1900</TotalTime>
  <Pages>32</Pages>
  <Words>35708</Words>
  <Characters>20354</Characters>
  <Application>Microsoft Office Word</Application>
  <DocSecurity>0</DocSecurity>
  <Lines>169</Lines>
  <Paragraphs>111</Paragraphs>
  <ScaleCrop>false</ScaleCrop>
  <HeadingPairs>
    <vt:vector size="2" baseType="variant">
      <vt:variant>
        <vt:lpstr>Title</vt:lpstr>
      </vt:variant>
      <vt:variant>
        <vt:i4>1</vt:i4>
      </vt:variant>
    </vt:vector>
  </HeadingPairs>
  <TitlesOfParts>
    <vt:vector size="1" baseType="lpstr">
      <vt:lpstr>Informatīvais ziņojums Kohēzijas politikas Eiropas Savienības fondu investīciju aktualitātēm līdz 2019. gada 30. jūnijam un 2019. gada augusta ikmēneša operatīvā informācija</vt:lpstr>
    </vt:vector>
  </TitlesOfParts>
  <Company>Finanšu ministrija</Company>
  <LinksUpToDate>false</LinksUpToDate>
  <CharactersWithSpaces>55951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Informatīvais ziņojums Kohēzijas politikas Eiropas Savienības fondu investīciju aktualitātēm līdz 2019. gada 30. jūnijam un 2019. gada augusta ikmēneša operatīvā informācija</dc:title>
  <dc:subject>Informatīvais ziņojums</dc:subject>
  <dc:creator>astra.rudolfa@fm.gov.lv</dc:creator>
  <cp:keywords/>
  <dc:description>Rūdolfa, 67083925_x000d_
Astra.Rudolfa@fm.gov.lv</dc:description>
  <cp:lastModifiedBy>Astra Rūdolfa</cp:lastModifiedBy>
  <cp:revision>472</cp:revision>
  <cp:lastPrinted>2019-08-29T11:30:00Z</cp:lastPrinted>
  <dcterms:created xsi:type="dcterms:W3CDTF">2019-07-15T13:31:00Z</dcterms:created>
  <dcterms:modified xsi:type="dcterms:W3CDTF">2019-08-29T12:06:00Z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-1761477578</vt:i4>
  </property>
</Properties>
</file>