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C1BEF" w14:textId="77777777" w:rsidR="00D052C5" w:rsidRPr="00D052C5" w:rsidRDefault="00D052C5" w:rsidP="00D052C5">
      <w:pPr>
        <w:spacing w:after="0" w:line="240" w:lineRule="auto"/>
        <w:ind w:firstLine="709"/>
        <w:jc w:val="center"/>
        <w:rPr>
          <w:rFonts w:ascii="Times New Roman" w:hAnsi="Times New Roman" w:cs="Times New Roman"/>
          <w:b/>
          <w:sz w:val="24"/>
          <w:szCs w:val="24"/>
        </w:rPr>
      </w:pPr>
      <w:bookmarkStart w:id="0" w:name="_GoBack"/>
      <w:bookmarkEnd w:id="0"/>
    </w:p>
    <w:p w14:paraId="3E6889EC" w14:textId="381267EC" w:rsidR="00D052C5" w:rsidRPr="00D052C5" w:rsidRDefault="00D052C5" w:rsidP="00D052C5">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Likumprojekta</w:t>
      </w:r>
    </w:p>
    <w:p w14:paraId="3529978F" w14:textId="77777777" w:rsidR="00D052C5" w:rsidRDefault="00D052C5" w:rsidP="00D052C5">
      <w:pPr>
        <w:spacing w:after="0" w:line="240" w:lineRule="auto"/>
        <w:ind w:firstLine="709"/>
        <w:jc w:val="center"/>
        <w:rPr>
          <w:rFonts w:ascii="Times New Roman" w:hAnsi="Times New Roman" w:cs="Times New Roman"/>
          <w:b/>
          <w:sz w:val="24"/>
          <w:szCs w:val="24"/>
        </w:rPr>
      </w:pPr>
      <w:r w:rsidRPr="00D052C5">
        <w:rPr>
          <w:rFonts w:ascii="Times New Roman" w:hAnsi="Times New Roman" w:cs="Times New Roman"/>
          <w:b/>
          <w:sz w:val="24"/>
          <w:szCs w:val="24"/>
        </w:rPr>
        <w:t>“Par Latvijas Republikas valdības un Eiropas Kosmosa aģentūras Asociētās dalībvalsts līgumu”</w:t>
      </w:r>
    </w:p>
    <w:p w14:paraId="3560112B" w14:textId="17A82616" w:rsidR="000E511D" w:rsidRDefault="000E511D" w:rsidP="00D052C5">
      <w:pPr>
        <w:spacing w:after="0" w:line="240" w:lineRule="auto"/>
        <w:ind w:firstLine="709"/>
        <w:jc w:val="center"/>
        <w:rPr>
          <w:rFonts w:ascii="Times New Roman" w:eastAsia="Times New Roman" w:hAnsi="Times New Roman" w:cs="Times New Roman"/>
          <w:b/>
          <w:bCs/>
          <w:sz w:val="24"/>
          <w:szCs w:val="24"/>
          <w:lang w:eastAsia="lv-LV"/>
        </w:rPr>
      </w:pPr>
      <w:r w:rsidRPr="00BE0A8F">
        <w:rPr>
          <w:rFonts w:ascii="Times New Roman" w:eastAsia="Times New Roman" w:hAnsi="Times New Roman" w:cs="Times New Roman"/>
          <w:b/>
          <w:bCs/>
          <w:sz w:val="24"/>
          <w:szCs w:val="24"/>
          <w:lang w:eastAsia="lv-LV"/>
        </w:rPr>
        <w:t>sākotnējās ietekmes novērtējuma ziņojums (anotācija)</w:t>
      </w:r>
    </w:p>
    <w:p w14:paraId="365838AC" w14:textId="77777777" w:rsidR="00A54879" w:rsidRDefault="00A54879" w:rsidP="000E511D">
      <w:pPr>
        <w:spacing w:after="0" w:line="240" w:lineRule="auto"/>
        <w:ind w:firstLine="709"/>
        <w:jc w:val="center"/>
        <w:rPr>
          <w:rFonts w:ascii="Times New Roman" w:eastAsia="Times New Roman" w:hAnsi="Times New Roman" w:cs="Times New Roman"/>
          <w:b/>
          <w:bCs/>
          <w:sz w:val="24"/>
          <w:szCs w:val="24"/>
          <w:lang w:eastAsia="lv-LV"/>
        </w:rPr>
      </w:pPr>
    </w:p>
    <w:tbl>
      <w:tblPr>
        <w:tblW w:w="5376"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83"/>
        <w:gridCol w:w="6348"/>
      </w:tblGrid>
      <w:tr w:rsidR="00A54879" w:rsidRPr="00E5323B" w14:paraId="7306AFD5" w14:textId="77777777" w:rsidTr="00947F3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43962B44" w14:textId="77777777" w:rsidR="00A54879" w:rsidRPr="00E5323B" w:rsidRDefault="00A54879" w:rsidP="00A54879">
            <w:pPr>
              <w:spacing w:after="0" w:line="240" w:lineRule="auto"/>
              <w:jc w:val="center"/>
              <w:rPr>
                <w:rFonts w:ascii="Times New Roman" w:eastAsia="Times New Roman" w:hAnsi="Times New Roman" w:cs="Times New Roman"/>
                <w:b/>
                <w:bCs/>
                <w:iCs/>
                <w:color w:val="414142"/>
                <w:sz w:val="24"/>
                <w:szCs w:val="24"/>
                <w:lang w:val="sv-SE" w:eastAsia="lv-LV"/>
              </w:rPr>
            </w:pPr>
            <w:r w:rsidRPr="00E6517A">
              <w:rPr>
                <w:rFonts w:ascii="Times New Roman" w:eastAsia="Times New Roman" w:hAnsi="Times New Roman" w:cs="Times New Roman"/>
                <w:b/>
                <w:bCs/>
                <w:sz w:val="24"/>
                <w:szCs w:val="24"/>
                <w:lang w:eastAsia="lv-LV"/>
              </w:rPr>
              <w:t>Tiesību akta projekta anotācijas kopsavilkums</w:t>
            </w:r>
          </w:p>
        </w:tc>
      </w:tr>
      <w:tr w:rsidR="00A54879" w:rsidRPr="00E5323B" w14:paraId="20643417" w14:textId="77777777" w:rsidTr="00947F38">
        <w:trPr>
          <w:tblCellSpacing w:w="15" w:type="dxa"/>
        </w:trPr>
        <w:tc>
          <w:tcPr>
            <w:tcW w:w="1686" w:type="pct"/>
            <w:tcBorders>
              <w:top w:val="outset" w:sz="6" w:space="0" w:color="auto"/>
              <w:left w:val="outset" w:sz="6" w:space="0" w:color="auto"/>
              <w:bottom w:val="outset" w:sz="6" w:space="0" w:color="auto"/>
              <w:right w:val="outset" w:sz="6" w:space="0" w:color="auto"/>
            </w:tcBorders>
            <w:hideMark/>
          </w:tcPr>
          <w:p w14:paraId="6294804E" w14:textId="77777777" w:rsidR="00A54879" w:rsidRPr="00E5323B" w:rsidRDefault="00A54879" w:rsidP="000A5473">
            <w:pPr>
              <w:spacing w:after="0" w:line="240" w:lineRule="auto"/>
              <w:rPr>
                <w:rFonts w:ascii="Times New Roman" w:eastAsia="Times New Roman" w:hAnsi="Times New Roman" w:cs="Times New Roman"/>
                <w:iCs/>
                <w:color w:val="414142"/>
                <w:sz w:val="24"/>
                <w:szCs w:val="24"/>
                <w:lang w:val="sv-SE" w:eastAsia="lv-LV"/>
              </w:rPr>
            </w:pPr>
            <w:r w:rsidRPr="00E6517A">
              <w:rPr>
                <w:rFonts w:ascii="Times New Roman" w:eastAsia="Times New Roman" w:hAnsi="Times New Roman" w:cs="Times New Roman"/>
                <w:sz w:val="24"/>
                <w:szCs w:val="24"/>
                <w:lang w:eastAsia="lv-LV"/>
              </w:rPr>
              <w:t>Mērķis, risinājums un projekta spēkā stāšanās laiks (500 zīmes bez atstarpēm)</w:t>
            </w:r>
          </w:p>
        </w:tc>
        <w:tc>
          <w:tcPr>
            <w:tcW w:w="3267" w:type="pct"/>
            <w:tcBorders>
              <w:top w:val="outset" w:sz="6" w:space="0" w:color="auto"/>
              <w:left w:val="outset" w:sz="6" w:space="0" w:color="auto"/>
              <w:bottom w:val="outset" w:sz="6" w:space="0" w:color="auto"/>
              <w:right w:val="outset" w:sz="6" w:space="0" w:color="auto"/>
            </w:tcBorders>
            <w:hideMark/>
          </w:tcPr>
          <w:p w14:paraId="7F82E8F7" w14:textId="673CC7F5" w:rsidR="00262D58" w:rsidRDefault="00237C91" w:rsidP="00262D58">
            <w:pPr>
              <w:spacing w:after="0" w:line="240" w:lineRule="auto"/>
              <w:jc w:val="both"/>
              <w:rPr>
                <w:rFonts w:ascii="Times New Roman" w:hAnsi="Times New Roman" w:cs="Times New Roman"/>
                <w:color w:val="000000"/>
                <w:sz w:val="24"/>
                <w:szCs w:val="26"/>
                <w:lang w:eastAsia="lv-LV"/>
              </w:rPr>
            </w:pPr>
            <w:r>
              <w:rPr>
                <w:rFonts w:ascii="Times New Roman" w:hAnsi="Times New Roman" w:cs="Times New Roman"/>
                <w:color w:val="000000"/>
                <w:sz w:val="24"/>
                <w:szCs w:val="26"/>
                <w:lang w:eastAsia="lv-LV"/>
              </w:rPr>
              <w:t>Likumprojek</w:t>
            </w:r>
            <w:r w:rsidR="00D450CF">
              <w:rPr>
                <w:rFonts w:ascii="Times New Roman" w:hAnsi="Times New Roman" w:cs="Times New Roman"/>
                <w:color w:val="000000"/>
                <w:sz w:val="24"/>
                <w:szCs w:val="26"/>
                <w:lang w:eastAsia="lv-LV"/>
              </w:rPr>
              <w:t>ts</w:t>
            </w:r>
            <w:r>
              <w:rPr>
                <w:rFonts w:ascii="Times New Roman" w:hAnsi="Times New Roman" w:cs="Times New Roman"/>
                <w:color w:val="000000"/>
                <w:sz w:val="24"/>
                <w:szCs w:val="26"/>
                <w:lang w:eastAsia="lv-LV"/>
              </w:rPr>
              <w:t xml:space="preserve"> </w:t>
            </w:r>
            <w:r w:rsidRPr="00237C91">
              <w:rPr>
                <w:rFonts w:ascii="Times New Roman" w:hAnsi="Times New Roman" w:cs="Times New Roman"/>
                <w:color w:val="000000"/>
                <w:sz w:val="24"/>
                <w:szCs w:val="26"/>
                <w:lang w:eastAsia="lv-LV"/>
              </w:rPr>
              <w:t>“Par Latvijas Republikas valdības un Eiropas Kosmosa aģentūras Asociētās dalībvalsts līgumu”</w:t>
            </w:r>
            <w:r>
              <w:rPr>
                <w:rFonts w:ascii="Times New Roman" w:hAnsi="Times New Roman" w:cs="Times New Roman"/>
                <w:color w:val="000000"/>
                <w:sz w:val="24"/>
                <w:szCs w:val="26"/>
                <w:lang w:eastAsia="lv-LV"/>
              </w:rPr>
              <w:t>,</w:t>
            </w:r>
            <w:r w:rsidR="00262D58">
              <w:rPr>
                <w:rFonts w:ascii="Times New Roman" w:hAnsi="Times New Roman" w:cs="Times New Roman"/>
                <w:color w:val="000000"/>
                <w:sz w:val="24"/>
                <w:szCs w:val="26"/>
                <w:lang w:eastAsia="lv-LV"/>
              </w:rPr>
              <w:t xml:space="preserve"> (turpmāk </w:t>
            </w:r>
            <w:r w:rsidR="00B41F77">
              <w:rPr>
                <w:rFonts w:ascii="Times New Roman" w:hAnsi="Times New Roman" w:cs="Times New Roman"/>
                <w:color w:val="000000"/>
                <w:sz w:val="24"/>
                <w:szCs w:val="26"/>
                <w:lang w:eastAsia="lv-LV"/>
              </w:rPr>
              <w:t xml:space="preserve">– </w:t>
            </w:r>
            <w:r w:rsidR="00B67A0D">
              <w:rPr>
                <w:rFonts w:ascii="Times New Roman" w:hAnsi="Times New Roman" w:cs="Times New Roman"/>
                <w:color w:val="000000"/>
                <w:sz w:val="24"/>
                <w:szCs w:val="26"/>
                <w:lang w:eastAsia="lv-LV"/>
              </w:rPr>
              <w:t>L</w:t>
            </w:r>
            <w:r w:rsidR="00B41F77">
              <w:rPr>
                <w:rFonts w:ascii="Times New Roman" w:hAnsi="Times New Roman" w:cs="Times New Roman"/>
                <w:color w:val="000000"/>
                <w:sz w:val="24"/>
                <w:szCs w:val="26"/>
                <w:lang w:eastAsia="lv-LV"/>
              </w:rPr>
              <w:t>ikumprojekts</w:t>
            </w:r>
            <w:r w:rsidR="00D450CF">
              <w:rPr>
                <w:rFonts w:ascii="Times New Roman" w:hAnsi="Times New Roman" w:cs="Times New Roman"/>
                <w:color w:val="000000"/>
                <w:sz w:val="24"/>
                <w:szCs w:val="26"/>
                <w:lang w:eastAsia="lv-LV"/>
              </w:rPr>
              <w:t>)</w:t>
            </w:r>
            <w:r>
              <w:rPr>
                <w:rFonts w:ascii="Times New Roman" w:hAnsi="Times New Roman" w:cs="Times New Roman"/>
                <w:color w:val="000000"/>
                <w:sz w:val="24"/>
                <w:szCs w:val="26"/>
                <w:lang w:eastAsia="lv-LV"/>
              </w:rPr>
              <w:t xml:space="preserve"> paredz</w:t>
            </w:r>
            <w:r w:rsidR="00B41F77">
              <w:t xml:space="preserve"> </w:t>
            </w:r>
            <w:r w:rsidR="00B41F77">
              <w:rPr>
                <w:rFonts w:ascii="Times New Roman" w:hAnsi="Times New Roman" w:cs="Times New Roman"/>
                <w:color w:val="000000"/>
                <w:sz w:val="24"/>
                <w:szCs w:val="26"/>
                <w:lang w:eastAsia="lv-LV"/>
              </w:rPr>
              <w:t>pieņemt un apstiprināt</w:t>
            </w:r>
            <w:r w:rsidR="00B41F77">
              <w:t xml:space="preserve"> </w:t>
            </w:r>
            <w:r w:rsidR="00B41F77" w:rsidRPr="00B41F77">
              <w:rPr>
                <w:rFonts w:ascii="Times New Roman" w:hAnsi="Times New Roman" w:cs="Times New Roman"/>
                <w:color w:val="000000"/>
                <w:sz w:val="24"/>
                <w:szCs w:val="26"/>
                <w:lang w:eastAsia="lv-LV"/>
              </w:rPr>
              <w:t>Latvijas Republikas valdības un Eiropas Kosmosa aģentūras Asociētās dalībvalsts līgum</w:t>
            </w:r>
            <w:r w:rsidR="000A276D">
              <w:rPr>
                <w:rFonts w:ascii="Times New Roman" w:hAnsi="Times New Roman" w:cs="Times New Roman"/>
                <w:color w:val="000000"/>
                <w:sz w:val="24"/>
                <w:szCs w:val="26"/>
                <w:lang w:eastAsia="lv-LV"/>
              </w:rPr>
              <w:t>u</w:t>
            </w:r>
            <w:r w:rsidR="00B41F77" w:rsidRPr="00B41F77">
              <w:rPr>
                <w:rFonts w:ascii="Times New Roman" w:hAnsi="Times New Roman" w:cs="Times New Roman"/>
                <w:color w:val="000000"/>
                <w:sz w:val="24"/>
                <w:szCs w:val="26"/>
                <w:lang w:eastAsia="lv-LV"/>
              </w:rPr>
              <w:t xml:space="preserve"> (turpmāk - Asociētās dalībvalsts līgums)</w:t>
            </w:r>
            <w:r w:rsidR="00B41F77">
              <w:rPr>
                <w:rFonts w:ascii="Times New Roman" w:hAnsi="Times New Roman" w:cs="Times New Roman"/>
                <w:color w:val="000000"/>
                <w:sz w:val="24"/>
                <w:szCs w:val="26"/>
                <w:lang w:eastAsia="lv-LV"/>
              </w:rPr>
              <w:t>, kas ietver</w:t>
            </w:r>
            <w:r>
              <w:rPr>
                <w:rFonts w:ascii="Times New Roman" w:hAnsi="Times New Roman" w:cs="Times New Roman"/>
                <w:color w:val="000000"/>
                <w:sz w:val="24"/>
                <w:szCs w:val="26"/>
                <w:lang w:eastAsia="lv-LV"/>
              </w:rPr>
              <w:t xml:space="preserve"> sadarbības turpināšanu un padziļināšu </w:t>
            </w:r>
            <w:r w:rsidRPr="00237C91">
              <w:rPr>
                <w:rFonts w:ascii="Times New Roman" w:hAnsi="Times New Roman" w:cs="Times New Roman"/>
                <w:color w:val="000000"/>
                <w:sz w:val="24"/>
                <w:szCs w:val="26"/>
                <w:lang w:eastAsia="lv-LV"/>
              </w:rPr>
              <w:t>ar Eiropas Kosmosa aģentūru</w:t>
            </w:r>
            <w:r>
              <w:rPr>
                <w:rFonts w:ascii="Times New Roman" w:hAnsi="Times New Roman" w:cs="Times New Roman"/>
                <w:color w:val="000000"/>
                <w:sz w:val="24"/>
                <w:szCs w:val="26"/>
                <w:lang w:eastAsia="lv-LV"/>
              </w:rPr>
              <w:t xml:space="preserve"> (turpmāk - EKA)</w:t>
            </w:r>
            <w:r w:rsidR="00D450CF">
              <w:rPr>
                <w:rFonts w:ascii="Times New Roman" w:hAnsi="Times New Roman" w:cs="Times New Roman"/>
                <w:color w:val="000000"/>
                <w:sz w:val="24"/>
                <w:szCs w:val="26"/>
                <w:lang w:eastAsia="lv-LV"/>
              </w:rPr>
              <w:t>, sākot</w:t>
            </w:r>
            <w:r w:rsidRPr="00237C91">
              <w:rPr>
                <w:rFonts w:ascii="Times New Roman" w:hAnsi="Times New Roman" w:cs="Times New Roman"/>
                <w:color w:val="000000"/>
                <w:sz w:val="24"/>
                <w:szCs w:val="26"/>
                <w:lang w:eastAsia="lv-LV"/>
              </w:rPr>
              <w:t xml:space="preserve"> n</w:t>
            </w:r>
            <w:r>
              <w:rPr>
                <w:rFonts w:ascii="Times New Roman" w:hAnsi="Times New Roman" w:cs="Times New Roman"/>
                <w:color w:val="000000"/>
                <w:sz w:val="24"/>
                <w:szCs w:val="26"/>
                <w:lang w:eastAsia="lv-LV"/>
              </w:rPr>
              <w:t>o 2020.gada</w:t>
            </w:r>
            <w:r w:rsidR="00EF1B6C">
              <w:rPr>
                <w:rFonts w:ascii="Times New Roman" w:hAnsi="Times New Roman" w:cs="Times New Roman"/>
                <w:color w:val="000000"/>
                <w:sz w:val="24"/>
                <w:szCs w:val="26"/>
                <w:lang w:eastAsia="lv-LV"/>
              </w:rPr>
              <w:t>.</w:t>
            </w:r>
            <w:r w:rsidRPr="00237C91">
              <w:rPr>
                <w:rFonts w:ascii="Times New Roman" w:hAnsi="Times New Roman" w:cs="Times New Roman"/>
                <w:color w:val="000000"/>
                <w:sz w:val="24"/>
                <w:szCs w:val="26"/>
                <w:lang w:eastAsia="lv-LV"/>
              </w:rPr>
              <w:t xml:space="preserve"> Latvijas Republikas valdības un Eiropas Kosmosa aģentūras E</w:t>
            </w:r>
            <w:r w:rsidR="00B41F77">
              <w:rPr>
                <w:rFonts w:ascii="Times New Roman" w:hAnsi="Times New Roman" w:cs="Times New Roman"/>
                <w:color w:val="000000"/>
                <w:sz w:val="24"/>
                <w:szCs w:val="26"/>
                <w:lang w:eastAsia="lv-LV"/>
              </w:rPr>
              <w:t>iropas sadarbības valsts līgum</w:t>
            </w:r>
            <w:r w:rsidR="00EF1B6C">
              <w:rPr>
                <w:rFonts w:ascii="Times New Roman" w:hAnsi="Times New Roman" w:cs="Times New Roman"/>
                <w:color w:val="000000"/>
                <w:sz w:val="24"/>
                <w:szCs w:val="26"/>
                <w:lang w:eastAsia="lv-LV"/>
              </w:rPr>
              <w:t>a</w:t>
            </w:r>
            <w:r w:rsidRPr="00237C91">
              <w:rPr>
                <w:rFonts w:ascii="Times New Roman" w:hAnsi="Times New Roman" w:cs="Times New Roman"/>
                <w:color w:val="000000"/>
                <w:sz w:val="24"/>
                <w:szCs w:val="26"/>
                <w:lang w:eastAsia="lv-LV"/>
              </w:rPr>
              <w:t xml:space="preserve"> (turpmāk – ESV līgums), kas stājās spēkā 2015.gada 30.janvārī un ir noslēgts uz pieciem gadiem, </w:t>
            </w:r>
            <w:r w:rsidR="00EF1B6C">
              <w:rPr>
                <w:rFonts w:ascii="Times New Roman" w:hAnsi="Times New Roman" w:cs="Times New Roman"/>
                <w:color w:val="000000"/>
                <w:sz w:val="24"/>
                <w:szCs w:val="26"/>
                <w:lang w:eastAsia="lv-LV"/>
              </w:rPr>
              <w:t>(</w:t>
            </w:r>
            <w:r w:rsidRPr="00237C91">
              <w:rPr>
                <w:rFonts w:ascii="Times New Roman" w:hAnsi="Times New Roman" w:cs="Times New Roman"/>
                <w:color w:val="000000"/>
                <w:sz w:val="24"/>
                <w:szCs w:val="26"/>
                <w:lang w:eastAsia="lv-LV"/>
              </w:rPr>
              <w:t>ESV līguma 15.1. un 15.2.punktu</w:t>
            </w:r>
            <w:r w:rsidR="00EF1B6C">
              <w:rPr>
                <w:rFonts w:ascii="Times New Roman" w:hAnsi="Times New Roman" w:cs="Times New Roman"/>
                <w:color w:val="000000"/>
                <w:sz w:val="24"/>
                <w:szCs w:val="26"/>
                <w:lang w:eastAsia="lv-LV"/>
              </w:rPr>
              <w:t>)</w:t>
            </w:r>
            <w:r w:rsidRPr="00237C91">
              <w:rPr>
                <w:rFonts w:ascii="Times New Roman" w:hAnsi="Times New Roman" w:cs="Times New Roman"/>
                <w:color w:val="000000"/>
                <w:sz w:val="24"/>
                <w:szCs w:val="26"/>
                <w:lang w:eastAsia="lv-LV"/>
              </w:rPr>
              <w:t xml:space="preserve"> darbības termiņš</w:t>
            </w:r>
            <w:r w:rsidR="00162A9A">
              <w:rPr>
                <w:rFonts w:ascii="Times New Roman" w:hAnsi="Times New Roman" w:cs="Times New Roman"/>
                <w:color w:val="000000"/>
                <w:sz w:val="24"/>
                <w:szCs w:val="26"/>
                <w:lang w:eastAsia="lv-LV"/>
              </w:rPr>
              <w:t xml:space="preserve"> beigsies</w:t>
            </w:r>
            <w:r w:rsidRPr="00237C91">
              <w:rPr>
                <w:rFonts w:ascii="Times New Roman" w:hAnsi="Times New Roman" w:cs="Times New Roman"/>
                <w:color w:val="000000"/>
                <w:sz w:val="24"/>
                <w:szCs w:val="26"/>
                <w:lang w:eastAsia="lv-LV"/>
              </w:rPr>
              <w:t xml:space="preserve"> 2020.gada 29.janvārī</w:t>
            </w:r>
            <w:r w:rsidR="00EF1B6C">
              <w:rPr>
                <w:rFonts w:ascii="Times New Roman" w:hAnsi="Times New Roman" w:cs="Times New Roman"/>
                <w:color w:val="000000"/>
                <w:sz w:val="24"/>
                <w:szCs w:val="26"/>
                <w:lang w:eastAsia="lv-LV"/>
              </w:rPr>
              <w:t>. L</w:t>
            </w:r>
            <w:r w:rsidRPr="00237C91">
              <w:rPr>
                <w:rFonts w:ascii="Times New Roman" w:hAnsi="Times New Roman" w:cs="Times New Roman"/>
                <w:color w:val="000000"/>
                <w:sz w:val="24"/>
                <w:szCs w:val="26"/>
                <w:lang w:eastAsia="lv-LV"/>
              </w:rPr>
              <w:t>ai</w:t>
            </w:r>
            <w:r w:rsidR="00EF1B6C">
              <w:rPr>
                <w:rFonts w:ascii="Times New Roman" w:hAnsi="Times New Roman" w:cs="Times New Roman"/>
                <w:color w:val="000000"/>
                <w:sz w:val="24"/>
                <w:szCs w:val="26"/>
                <w:lang w:eastAsia="lv-LV"/>
              </w:rPr>
              <w:t xml:space="preserve"> Latvija varētu </w:t>
            </w:r>
            <w:r w:rsidRPr="00237C91">
              <w:rPr>
                <w:rFonts w:ascii="Times New Roman" w:hAnsi="Times New Roman" w:cs="Times New Roman"/>
                <w:color w:val="000000"/>
                <w:sz w:val="24"/>
                <w:szCs w:val="26"/>
                <w:lang w:eastAsia="lv-LV"/>
              </w:rPr>
              <w:t xml:space="preserve"> turpināt sadarbību ar </w:t>
            </w:r>
            <w:r w:rsidR="00B41F77">
              <w:rPr>
                <w:rFonts w:ascii="Times New Roman" w:hAnsi="Times New Roman" w:cs="Times New Roman"/>
                <w:color w:val="000000"/>
                <w:sz w:val="24"/>
                <w:szCs w:val="26"/>
                <w:lang w:eastAsia="lv-LV"/>
              </w:rPr>
              <w:t>EKA</w:t>
            </w:r>
            <w:r w:rsidRPr="00237C91">
              <w:rPr>
                <w:rFonts w:ascii="Times New Roman" w:hAnsi="Times New Roman" w:cs="Times New Roman"/>
                <w:color w:val="000000"/>
                <w:sz w:val="24"/>
                <w:szCs w:val="26"/>
                <w:lang w:eastAsia="lv-LV"/>
              </w:rPr>
              <w:t xml:space="preserve">, ir jānoslēdz </w:t>
            </w:r>
            <w:r w:rsidR="005E29A4">
              <w:rPr>
                <w:rFonts w:ascii="Times New Roman" w:hAnsi="Times New Roman" w:cs="Times New Roman"/>
                <w:color w:val="000000"/>
                <w:sz w:val="24"/>
                <w:szCs w:val="26"/>
                <w:lang w:eastAsia="lv-LV"/>
              </w:rPr>
              <w:t>A</w:t>
            </w:r>
            <w:r w:rsidR="00262D58" w:rsidRPr="00262D58">
              <w:rPr>
                <w:rFonts w:ascii="Times New Roman" w:hAnsi="Times New Roman" w:cs="Times New Roman"/>
                <w:color w:val="000000"/>
                <w:sz w:val="24"/>
                <w:szCs w:val="26"/>
                <w:lang w:eastAsia="lv-LV"/>
              </w:rPr>
              <w:t>sociētās dalībvalsts līgums</w:t>
            </w:r>
            <w:r w:rsidR="00262D58">
              <w:rPr>
                <w:rFonts w:ascii="Times New Roman" w:hAnsi="Times New Roman" w:cs="Times New Roman"/>
                <w:color w:val="000000"/>
                <w:sz w:val="24"/>
                <w:szCs w:val="26"/>
                <w:lang w:eastAsia="lv-LV"/>
              </w:rPr>
              <w:t xml:space="preserve">. </w:t>
            </w:r>
          </w:p>
          <w:p w14:paraId="760B08F9" w14:textId="21CFF073" w:rsidR="00623C7E" w:rsidRPr="00262D58" w:rsidRDefault="00262D58" w:rsidP="00D450CF">
            <w:pPr>
              <w:spacing w:after="0" w:line="240" w:lineRule="auto"/>
              <w:jc w:val="both"/>
              <w:rPr>
                <w:rFonts w:ascii="Times New Roman" w:hAnsi="Times New Roman" w:cs="Times New Roman"/>
                <w:b/>
                <w:bCs/>
                <w:sz w:val="20"/>
                <w:szCs w:val="20"/>
              </w:rPr>
            </w:pPr>
            <w:r>
              <w:rPr>
                <w:rFonts w:ascii="Times New Roman" w:hAnsi="Times New Roman" w:cs="Times New Roman"/>
                <w:sz w:val="24"/>
                <w:szCs w:val="24"/>
              </w:rPr>
              <w:t>Asociētās dalībvalsts līgum</w:t>
            </w:r>
            <w:r w:rsidR="00D450CF">
              <w:rPr>
                <w:rFonts w:ascii="Times New Roman" w:hAnsi="Times New Roman" w:cs="Times New Roman"/>
                <w:sz w:val="24"/>
                <w:szCs w:val="24"/>
              </w:rPr>
              <w:t>s stāsies spēkā tā</w:t>
            </w:r>
            <w:r>
              <w:rPr>
                <w:rFonts w:ascii="Times New Roman" w:hAnsi="Times New Roman" w:cs="Times New Roman"/>
                <w:sz w:val="24"/>
                <w:szCs w:val="24"/>
              </w:rPr>
              <w:t xml:space="preserve"> 17</w:t>
            </w:r>
            <w:r w:rsidR="00623C7E" w:rsidRPr="00262D58">
              <w:rPr>
                <w:rFonts w:ascii="Times New Roman" w:hAnsi="Times New Roman" w:cs="Times New Roman"/>
                <w:sz w:val="24"/>
                <w:szCs w:val="24"/>
              </w:rPr>
              <w:t>.pantā</w:t>
            </w:r>
            <w:r w:rsidR="00D450CF">
              <w:rPr>
                <w:rFonts w:ascii="Times New Roman" w:hAnsi="Times New Roman" w:cs="Times New Roman"/>
                <w:sz w:val="24"/>
                <w:szCs w:val="24"/>
              </w:rPr>
              <w:t xml:space="preserve"> noteiktajā kārtībā un laikā.</w:t>
            </w:r>
          </w:p>
        </w:tc>
      </w:tr>
    </w:tbl>
    <w:p w14:paraId="417F6C52" w14:textId="5C303D3F" w:rsidR="000E511D" w:rsidRPr="000E511D" w:rsidRDefault="000E511D" w:rsidP="00A54879">
      <w:pPr>
        <w:spacing w:after="0" w:line="240" w:lineRule="auto"/>
        <w:rPr>
          <w:rFonts w:ascii="Times New Roman" w:hAnsi="Times New Roman" w:cs="Times New Roman"/>
          <w:b/>
          <w:sz w:val="24"/>
          <w:szCs w:val="24"/>
        </w:rPr>
      </w:pPr>
    </w:p>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2490"/>
        <w:gridCol w:w="6385"/>
      </w:tblGrid>
      <w:tr w:rsidR="00B471B7" w:rsidRPr="00B471B7" w14:paraId="44543D3C" w14:textId="77777777" w:rsidTr="00947F38">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06B6D7D"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 Tiesību akta projekta izstrādes nepieciešamība</w:t>
            </w:r>
          </w:p>
        </w:tc>
      </w:tr>
      <w:tr w:rsidR="00B471B7" w:rsidRPr="00B471B7" w14:paraId="5D54F29E" w14:textId="77777777" w:rsidTr="00947F38">
        <w:trPr>
          <w:trHeight w:val="40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6EBE050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286" w:type="pct"/>
            <w:tcBorders>
              <w:top w:val="outset" w:sz="6" w:space="0" w:color="auto"/>
              <w:left w:val="outset" w:sz="6" w:space="0" w:color="auto"/>
              <w:bottom w:val="outset" w:sz="6" w:space="0" w:color="auto"/>
              <w:right w:val="outset" w:sz="6" w:space="0" w:color="auto"/>
            </w:tcBorders>
            <w:hideMark/>
          </w:tcPr>
          <w:p w14:paraId="0AD4D74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Pamatojums</w:t>
            </w:r>
          </w:p>
        </w:tc>
        <w:tc>
          <w:tcPr>
            <w:tcW w:w="3283" w:type="pct"/>
            <w:tcBorders>
              <w:top w:val="outset" w:sz="6" w:space="0" w:color="auto"/>
              <w:left w:val="outset" w:sz="6" w:space="0" w:color="auto"/>
              <w:bottom w:val="outset" w:sz="6" w:space="0" w:color="auto"/>
              <w:right w:val="outset" w:sz="6" w:space="0" w:color="auto"/>
            </w:tcBorders>
            <w:hideMark/>
          </w:tcPr>
          <w:p w14:paraId="2252CB7B" w14:textId="22420C84" w:rsidR="00B471B7" w:rsidRPr="00751B7E" w:rsidRDefault="00B67A0D" w:rsidP="00162A9A">
            <w:pPr>
              <w:spacing w:after="0" w:line="240" w:lineRule="auto"/>
              <w:jc w:val="both"/>
              <w:rPr>
                <w:rFonts w:ascii="Times New Roman" w:hAnsi="Times New Roman"/>
                <w:sz w:val="24"/>
                <w:szCs w:val="24"/>
              </w:rPr>
            </w:pPr>
            <w:r>
              <w:rPr>
                <w:rFonts w:ascii="Times New Roman" w:hAnsi="Times New Roman"/>
                <w:sz w:val="24"/>
                <w:szCs w:val="24"/>
              </w:rPr>
              <w:t>Likumprojekt</w:t>
            </w:r>
            <w:r w:rsidR="00D450CF">
              <w:rPr>
                <w:rFonts w:ascii="Times New Roman" w:hAnsi="Times New Roman"/>
                <w:sz w:val="24"/>
                <w:szCs w:val="24"/>
              </w:rPr>
              <w:t xml:space="preserve">s sagatavots </w:t>
            </w:r>
            <w:r>
              <w:rPr>
                <w:rFonts w:ascii="Times New Roman" w:hAnsi="Times New Roman"/>
                <w:sz w:val="24"/>
                <w:szCs w:val="24"/>
              </w:rPr>
              <w:t xml:space="preserve"> </w:t>
            </w:r>
            <w:r w:rsidR="00B471B7" w:rsidRPr="00BE0A8F">
              <w:rPr>
                <w:rFonts w:ascii="Times New Roman" w:hAnsi="Times New Roman"/>
                <w:sz w:val="24"/>
                <w:szCs w:val="24"/>
              </w:rPr>
              <w:t>saskaņā ar Ministru kabineta</w:t>
            </w:r>
            <w:r w:rsidR="00275D30">
              <w:rPr>
                <w:rFonts w:ascii="Times New Roman" w:hAnsi="Times New Roman"/>
                <w:sz w:val="24"/>
                <w:szCs w:val="24"/>
              </w:rPr>
              <w:t xml:space="preserve"> iekārtas</w:t>
            </w:r>
            <w:r>
              <w:rPr>
                <w:rFonts w:ascii="Times New Roman" w:hAnsi="Times New Roman"/>
                <w:sz w:val="24"/>
                <w:szCs w:val="24"/>
              </w:rPr>
              <w:t xml:space="preserve"> </w:t>
            </w:r>
            <w:r w:rsidR="00CE3310">
              <w:rPr>
                <w:rFonts w:ascii="Times New Roman" w:hAnsi="Times New Roman"/>
                <w:sz w:val="24"/>
                <w:szCs w:val="24"/>
              </w:rPr>
              <w:t xml:space="preserve">likuma </w:t>
            </w:r>
            <w:r>
              <w:rPr>
                <w:rFonts w:ascii="Times New Roman" w:hAnsi="Times New Roman"/>
                <w:sz w:val="24"/>
                <w:szCs w:val="24"/>
              </w:rPr>
              <w:t>31.panta pirmās daļas 2.punktu un</w:t>
            </w:r>
            <w:r w:rsidRPr="00B67A0D">
              <w:rPr>
                <w:rFonts w:ascii="Times New Roman" w:hAnsi="Times New Roman"/>
                <w:sz w:val="24"/>
                <w:szCs w:val="24"/>
              </w:rPr>
              <w:t xml:space="preserve"> likuma „Par Latvijas Republikas Starptautiskaji</w:t>
            </w:r>
            <w:r>
              <w:rPr>
                <w:rFonts w:ascii="Times New Roman" w:hAnsi="Times New Roman"/>
                <w:sz w:val="24"/>
                <w:szCs w:val="24"/>
              </w:rPr>
              <w:t>em līgumiem” 9. panta 1. punktā noteikto</w:t>
            </w:r>
            <w:r w:rsidR="00EF1B6C">
              <w:rPr>
                <w:rFonts w:ascii="Times New Roman" w:hAnsi="Times New Roman"/>
                <w:sz w:val="24"/>
                <w:szCs w:val="24"/>
              </w:rPr>
              <w:t xml:space="preserve">, kā arī ņemot vērā </w:t>
            </w:r>
            <w:r w:rsidR="00EF1B6C" w:rsidRPr="00EF1B6C">
              <w:rPr>
                <w:rFonts w:ascii="Times New Roman" w:hAnsi="Times New Roman"/>
                <w:sz w:val="24"/>
                <w:szCs w:val="24"/>
              </w:rPr>
              <w:t xml:space="preserve">Valdības rīcības plāna Deklarācijas par Artura Krišjāņa Kariņa vadītā Ministru kabineta iecerēto </w:t>
            </w:r>
            <w:r w:rsidR="00EF1B6C">
              <w:rPr>
                <w:rFonts w:ascii="Times New Roman" w:hAnsi="Times New Roman"/>
                <w:sz w:val="24"/>
                <w:szCs w:val="24"/>
              </w:rPr>
              <w:t>darbību īstenošanai 57.1. punkta 4.apakšpunktā minēto pasākumu  s</w:t>
            </w:r>
            <w:r w:rsidR="00EF1B6C" w:rsidRPr="00EF1B6C">
              <w:rPr>
                <w:rFonts w:ascii="Times New Roman" w:hAnsi="Times New Roman"/>
                <w:sz w:val="24"/>
                <w:szCs w:val="24"/>
              </w:rPr>
              <w:t>agatavot priekšnoteikum</w:t>
            </w:r>
            <w:r w:rsidR="00EF1B6C">
              <w:rPr>
                <w:rFonts w:ascii="Times New Roman" w:hAnsi="Times New Roman"/>
                <w:sz w:val="24"/>
                <w:szCs w:val="24"/>
              </w:rPr>
              <w:t>us</w:t>
            </w:r>
            <w:r w:rsidR="00EF1B6C" w:rsidRPr="00EF1B6C">
              <w:rPr>
                <w:rFonts w:ascii="Times New Roman" w:hAnsi="Times New Roman"/>
                <w:sz w:val="24"/>
                <w:szCs w:val="24"/>
              </w:rPr>
              <w:t xml:space="preserve"> Latvija</w:t>
            </w:r>
            <w:r w:rsidR="00EF1B6C">
              <w:rPr>
                <w:rFonts w:ascii="Times New Roman" w:hAnsi="Times New Roman"/>
                <w:sz w:val="24"/>
                <w:szCs w:val="24"/>
              </w:rPr>
              <w:t>s</w:t>
            </w:r>
            <w:r w:rsidR="00EF1B6C" w:rsidRPr="00EF1B6C">
              <w:rPr>
                <w:rFonts w:ascii="Times New Roman" w:hAnsi="Times New Roman"/>
                <w:sz w:val="24"/>
                <w:szCs w:val="24"/>
              </w:rPr>
              <w:t xml:space="preserve"> kļū</w:t>
            </w:r>
            <w:r w:rsidR="00EF1B6C">
              <w:rPr>
                <w:rFonts w:ascii="Times New Roman" w:hAnsi="Times New Roman"/>
                <w:sz w:val="24"/>
                <w:szCs w:val="24"/>
              </w:rPr>
              <w:t>šanai</w:t>
            </w:r>
            <w:r w:rsidR="00162A9A">
              <w:rPr>
                <w:rFonts w:ascii="Times New Roman" w:hAnsi="Times New Roman"/>
                <w:sz w:val="24"/>
                <w:szCs w:val="24"/>
              </w:rPr>
              <w:t xml:space="preserve"> par </w:t>
            </w:r>
            <w:r w:rsidR="00EF1B6C" w:rsidRPr="00EF1B6C">
              <w:rPr>
                <w:rFonts w:ascii="Times New Roman" w:hAnsi="Times New Roman"/>
                <w:sz w:val="24"/>
                <w:szCs w:val="24"/>
              </w:rPr>
              <w:t xml:space="preserve">Eiropas Kosmosa aģentūras asociēto </w:t>
            </w:r>
            <w:r w:rsidR="00EF1B6C">
              <w:rPr>
                <w:rFonts w:ascii="Times New Roman" w:hAnsi="Times New Roman"/>
                <w:sz w:val="24"/>
                <w:szCs w:val="24"/>
              </w:rPr>
              <w:t>valsti</w:t>
            </w:r>
            <w:r w:rsidR="00EF1B6C" w:rsidRPr="00EF1B6C">
              <w:rPr>
                <w:rFonts w:ascii="Times New Roman" w:hAnsi="Times New Roman"/>
                <w:sz w:val="24"/>
                <w:szCs w:val="24"/>
              </w:rPr>
              <w:t>.</w:t>
            </w:r>
          </w:p>
        </w:tc>
      </w:tr>
      <w:tr w:rsidR="00B471B7" w:rsidRPr="00B471B7" w14:paraId="7B4944A7" w14:textId="77777777"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1EEC7570"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286" w:type="pct"/>
            <w:tcBorders>
              <w:top w:val="outset" w:sz="6" w:space="0" w:color="auto"/>
              <w:left w:val="outset" w:sz="6" w:space="0" w:color="auto"/>
              <w:bottom w:val="outset" w:sz="6" w:space="0" w:color="auto"/>
              <w:right w:val="outset" w:sz="6" w:space="0" w:color="auto"/>
            </w:tcBorders>
            <w:hideMark/>
          </w:tcPr>
          <w:p w14:paraId="7061FB96"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83" w:type="pct"/>
            <w:tcBorders>
              <w:top w:val="outset" w:sz="6" w:space="0" w:color="auto"/>
              <w:left w:val="outset" w:sz="6" w:space="0" w:color="auto"/>
              <w:bottom w:val="outset" w:sz="6" w:space="0" w:color="auto"/>
              <w:right w:val="outset" w:sz="6" w:space="0" w:color="auto"/>
            </w:tcBorders>
            <w:hideMark/>
          </w:tcPr>
          <w:p w14:paraId="22DAA7EE" w14:textId="0B455352" w:rsidR="001E6E21" w:rsidRPr="001E6E21" w:rsidRDefault="001E6E21" w:rsidP="001E6E21">
            <w:pPr>
              <w:pStyle w:val="BodyText"/>
              <w:spacing w:after="0"/>
              <w:jc w:val="both"/>
              <w:rPr>
                <w:b w:val="0"/>
                <w:sz w:val="24"/>
                <w:szCs w:val="24"/>
                <w:lang w:val="lv-LV"/>
              </w:rPr>
            </w:pPr>
            <w:r>
              <w:rPr>
                <w:b w:val="0"/>
                <w:sz w:val="24"/>
                <w:szCs w:val="24"/>
                <w:lang w:val="lv-LV"/>
              </w:rPr>
              <w:t>EKA</w:t>
            </w:r>
            <w:r w:rsidRPr="001E6E21">
              <w:rPr>
                <w:b w:val="0"/>
                <w:sz w:val="24"/>
                <w:szCs w:val="24"/>
                <w:lang w:val="lv-LV"/>
              </w:rPr>
              <w:t xml:space="preserve"> ir starpvaldību organizācija kosmosa apgūšanai, kuru veido 22 dalībvalstis no Eiropas un Kanāda.</w:t>
            </w:r>
            <w:r w:rsidRPr="001E6E21">
              <w:rPr>
                <w:rFonts w:ascii="Helvetica" w:eastAsiaTheme="minorHAnsi" w:hAnsi="Helvetica" w:cs="Helvetica"/>
                <w:b w:val="0"/>
                <w:bCs w:val="0"/>
                <w:noProof w:val="0"/>
                <w:color w:val="000000"/>
                <w:sz w:val="21"/>
                <w:szCs w:val="21"/>
                <w:shd w:val="clear" w:color="auto" w:fill="FBFCFC"/>
                <w:lang w:val="lv-LV"/>
              </w:rPr>
              <w:t xml:space="preserve"> </w:t>
            </w:r>
            <w:r w:rsidRPr="001E6E21">
              <w:rPr>
                <w:b w:val="0"/>
                <w:sz w:val="24"/>
                <w:szCs w:val="24"/>
                <w:lang w:val="lv-LV"/>
              </w:rPr>
              <w:t xml:space="preserve">EKA darbojas uz EKA </w:t>
            </w:r>
            <w:r w:rsidR="00162A9A">
              <w:rPr>
                <w:b w:val="0"/>
                <w:sz w:val="24"/>
                <w:szCs w:val="24"/>
                <w:lang w:val="lv-LV"/>
              </w:rPr>
              <w:t>d</w:t>
            </w:r>
            <w:r w:rsidRPr="001E6E21">
              <w:rPr>
                <w:b w:val="0"/>
                <w:sz w:val="24"/>
                <w:szCs w:val="24"/>
                <w:lang w:val="lv-LV"/>
              </w:rPr>
              <w:t>ibināšanas konvencijas pamata, kuru ratificē katra dalībvalsts</w:t>
            </w:r>
            <w:r>
              <w:rPr>
                <w:b w:val="0"/>
                <w:sz w:val="24"/>
                <w:szCs w:val="24"/>
                <w:lang w:val="lv-LV"/>
              </w:rPr>
              <w:t xml:space="preserve">. </w:t>
            </w:r>
            <w:r w:rsidRPr="001E6E21">
              <w:rPr>
                <w:b w:val="0"/>
                <w:sz w:val="24"/>
                <w:szCs w:val="24"/>
                <w:lang w:val="lv-LV"/>
              </w:rPr>
              <w:t xml:space="preserve">EKA jaunās dalībvalstis uzņem šādas </w:t>
            </w:r>
            <w:r w:rsidR="00162A9A">
              <w:rPr>
                <w:b w:val="0"/>
                <w:sz w:val="24"/>
                <w:szCs w:val="24"/>
                <w:lang w:val="lv-LV"/>
              </w:rPr>
              <w:t>četr</w:t>
            </w:r>
            <w:r w:rsidR="00E37349">
              <w:rPr>
                <w:b w:val="0"/>
                <w:sz w:val="24"/>
                <w:szCs w:val="24"/>
                <w:lang w:val="lv-LV"/>
              </w:rPr>
              <w:t>ās</w:t>
            </w:r>
            <w:r>
              <w:rPr>
                <w:b w:val="0"/>
                <w:sz w:val="24"/>
                <w:szCs w:val="24"/>
                <w:lang w:val="lv-LV"/>
              </w:rPr>
              <w:t xml:space="preserve"> pakāpju procedūras ietvaros:</w:t>
            </w:r>
          </w:p>
          <w:p w14:paraId="39691E84" w14:textId="72D56699" w:rsidR="001E6E21" w:rsidRPr="001E6E21" w:rsidRDefault="001E6E21" w:rsidP="001E6E21">
            <w:pPr>
              <w:pStyle w:val="BodyText"/>
              <w:spacing w:after="0"/>
              <w:jc w:val="both"/>
              <w:rPr>
                <w:b w:val="0"/>
                <w:sz w:val="24"/>
                <w:szCs w:val="24"/>
                <w:lang w:val="lv-LV"/>
              </w:rPr>
            </w:pPr>
            <w:r>
              <w:rPr>
                <w:b w:val="0"/>
                <w:sz w:val="24"/>
                <w:szCs w:val="24"/>
                <w:lang w:val="lv-LV"/>
              </w:rPr>
              <w:t>1)</w:t>
            </w:r>
            <w:r w:rsidRPr="001E6E21">
              <w:rPr>
                <w:b w:val="0"/>
                <w:sz w:val="24"/>
                <w:szCs w:val="24"/>
                <w:lang w:val="lv-LV"/>
              </w:rPr>
              <w:t xml:space="preserve"> Pirmās pakāpes ietvaros potenciālā dalībvalsts noslēdz sadarbības līgumu ar EKA. Valsts iegūst novērotājas statusu EKA un tai vēl nav finansiālu saistību.</w:t>
            </w:r>
          </w:p>
          <w:p w14:paraId="4C9F74E8" w14:textId="1E540C08" w:rsidR="001E6E21" w:rsidRPr="001E6E21" w:rsidRDefault="001E6E21" w:rsidP="001E6E21">
            <w:pPr>
              <w:pStyle w:val="BodyText"/>
              <w:spacing w:after="0"/>
              <w:jc w:val="both"/>
              <w:rPr>
                <w:b w:val="0"/>
                <w:sz w:val="24"/>
                <w:szCs w:val="24"/>
                <w:lang w:val="lv-LV"/>
              </w:rPr>
            </w:pPr>
            <w:r>
              <w:rPr>
                <w:b w:val="0"/>
                <w:sz w:val="24"/>
                <w:szCs w:val="24"/>
                <w:lang w:val="lv-LV"/>
              </w:rPr>
              <w:t xml:space="preserve">2) </w:t>
            </w:r>
            <w:r w:rsidRPr="001E6E21">
              <w:rPr>
                <w:b w:val="0"/>
                <w:sz w:val="24"/>
                <w:szCs w:val="24"/>
                <w:lang w:val="lv-LV"/>
              </w:rPr>
              <w:t xml:space="preserve">Ja valsts </w:t>
            </w:r>
            <w:r w:rsidR="00162A9A">
              <w:rPr>
                <w:b w:val="0"/>
                <w:sz w:val="24"/>
                <w:szCs w:val="24"/>
                <w:lang w:val="lv-LV"/>
              </w:rPr>
              <w:t>vēlas padziļināt sadarbību ar EK</w:t>
            </w:r>
            <w:r w:rsidRPr="001E6E21">
              <w:rPr>
                <w:b w:val="0"/>
                <w:sz w:val="24"/>
                <w:szCs w:val="24"/>
                <w:lang w:val="lv-LV"/>
              </w:rPr>
              <w:t>A, tā slēdz E</w:t>
            </w:r>
            <w:r w:rsidR="00E37349">
              <w:rPr>
                <w:b w:val="0"/>
                <w:sz w:val="24"/>
                <w:szCs w:val="24"/>
                <w:lang w:val="lv-LV"/>
              </w:rPr>
              <w:t>iropas s</w:t>
            </w:r>
            <w:r w:rsidRPr="001E6E21">
              <w:rPr>
                <w:b w:val="0"/>
                <w:sz w:val="24"/>
                <w:szCs w:val="24"/>
                <w:lang w:val="lv-LV"/>
              </w:rPr>
              <w:t>adarbības valsts līgumu, šādi sasniedzot otro iestāšanās pakāpi. Šī līguma ietvaros va</w:t>
            </w:r>
            <w:r w:rsidR="00162A9A">
              <w:rPr>
                <w:b w:val="0"/>
                <w:sz w:val="24"/>
                <w:szCs w:val="24"/>
                <w:lang w:val="lv-LV"/>
              </w:rPr>
              <w:t>lsts apņemas veikt maksājumus EK</w:t>
            </w:r>
            <w:r w:rsidRPr="001E6E21">
              <w:rPr>
                <w:b w:val="0"/>
                <w:sz w:val="24"/>
                <w:szCs w:val="24"/>
                <w:lang w:val="lv-LV"/>
              </w:rPr>
              <w:t>A, kas gan ir ievērojami ma</w:t>
            </w:r>
            <w:r w:rsidR="00162A9A">
              <w:rPr>
                <w:b w:val="0"/>
                <w:sz w:val="24"/>
                <w:szCs w:val="24"/>
                <w:lang w:val="lv-LV"/>
              </w:rPr>
              <w:t xml:space="preserve">zāki nekā dalībvalstu iemaksas un sastāda 1 milj. euro 2001.gada ekonomiskajos apstākļos. </w:t>
            </w:r>
          </w:p>
          <w:p w14:paraId="1C54C040" w14:textId="726A7848" w:rsidR="001E6E21" w:rsidRPr="001E6E21" w:rsidRDefault="001E6E21" w:rsidP="001E6E21">
            <w:pPr>
              <w:pStyle w:val="BodyText"/>
              <w:spacing w:after="0"/>
              <w:jc w:val="both"/>
              <w:rPr>
                <w:b w:val="0"/>
                <w:sz w:val="24"/>
                <w:szCs w:val="24"/>
                <w:lang w:val="lv-LV"/>
              </w:rPr>
            </w:pPr>
            <w:r>
              <w:rPr>
                <w:b w:val="0"/>
                <w:sz w:val="24"/>
                <w:szCs w:val="24"/>
                <w:lang w:val="lv-LV"/>
              </w:rPr>
              <w:t xml:space="preserve">3) </w:t>
            </w:r>
            <w:r w:rsidR="00162A9A">
              <w:rPr>
                <w:b w:val="0"/>
                <w:sz w:val="24"/>
                <w:szCs w:val="24"/>
                <w:lang w:val="lv-LV"/>
              </w:rPr>
              <w:t xml:space="preserve">Pēc piecu gadu termiņa beigām valsts var </w:t>
            </w:r>
            <w:r w:rsidR="00E37349">
              <w:rPr>
                <w:b w:val="0"/>
                <w:sz w:val="24"/>
                <w:szCs w:val="24"/>
                <w:lang w:val="lv-LV"/>
              </w:rPr>
              <w:t>pagarināt</w:t>
            </w:r>
            <w:r w:rsidR="00162A9A">
              <w:rPr>
                <w:b w:val="0"/>
                <w:sz w:val="24"/>
                <w:szCs w:val="24"/>
                <w:lang w:val="lv-LV"/>
              </w:rPr>
              <w:t xml:space="preserve"> sadarbības</w:t>
            </w:r>
            <w:r w:rsidR="00E37349">
              <w:rPr>
                <w:b w:val="0"/>
                <w:sz w:val="24"/>
                <w:szCs w:val="24"/>
                <w:lang w:val="lv-LV"/>
              </w:rPr>
              <w:t xml:space="preserve"> valsts līgumu</w:t>
            </w:r>
            <w:r w:rsidR="00162A9A">
              <w:rPr>
                <w:b w:val="0"/>
                <w:sz w:val="24"/>
                <w:szCs w:val="24"/>
                <w:lang w:val="lv-LV"/>
              </w:rPr>
              <w:t xml:space="preserve"> vēl uz pieciem gadiem vai kļūs asociēto dalībvalsti, </w:t>
            </w:r>
            <w:r w:rsidR="00162A9A">
              <w:rPr>
                <w:b w:val="0"/>
                <w:sz w:val="24"/>
                <w:szCs w:val="24"/>
                <w:lang w:val="lv-LV"/>
              </w:rPr>
              <w:lastRenderedPageBreak/>
              <w:t>kam pamatā ir pilntiesīgas dalībvalsts iez</w:t>
            </w:r>
            <w:r w:rsidR="00E37349">
              <w:rPr>
                <w:b w:val="0"/>
                <w:sz w:val="24"/>
                <w:szCs w:val="24"/>
                <w:lang w:val="lv-LV"/>
              </w:rPr>
              <w:t>īmes ar</w:t>
            </w:r>
            <w:r w:rsidR="00162A9A">
              <w:rPr>
                <w:b w:val="0"/>
                <w:sz w:val="24"/>
                <w:szCs w:val="24"/>
                <w:lang w:val="lv-LV"/>
              </w:rPr>
              <w:t xml:space="preserve"> atvieglotiem nosacījumiem Obligātājā programmā.</w:t>
            </w:r>
          </w:p>
          <w:p w14:paraId="52F282F2" w14:textId="4A766FC5" w:rsidR="001E6E21" w:rsidRPr="001E6E21" w:rsidRDefault="001E6E21" w:rsidP="001E6E21">
            <w:pPr>
              <w:pStyle w:val="BodyText"/>
              <w:spacing w:after="0"/>
              <w:jc w:val="both"/>
              <w:rPr>
                <w:b w:val="0"/>
                <w:sz w:val="24"/>
                <w:szCs w:val="24"/>
                <w:lang w:val="lv-LV"/>
              </w:rPr>
            </w:pPr>
            <w:r>
              <w:rPr>
                <w:b w:val="0"/>
                <w:sz w:val="24"/>
                <w:szCs w:val="24"/>
                <w:lang w:val="lv-LV"/>
              </w:rPr>
              <w:t xml:space="preserve">4) </w:t>
            </w:r>
            <w:r w:rsidR="00162A9A">
              <w:rPr>
                <w:b w:val="0"/>
                <w:sz w:val="24"/>
                <w:szCs w:val="24"/>
                <w:lang w:val="lv-LV"/>
              </w:rPr>
              <w:t>Visbeidzot ceturtais poms ir pievienošanās EKA, kļūtot</w:t>
            </w:r>
            <w:r w:rsidRPr="001E6E21">
              <w:rPr>
                <w:b w:val="0"/>
                <w:sz w:val="24"/>
                <w:szCs w:val="24"/>
                <w:lang w:val="lv-LV"/>
              </w:rPr>
              <w:t xml:space="preserve"> par pilntiesīgu tās dalīb</w:t>
            </w:r>
            <w:r w:rsidR="00162A9A">
              <w:rPr>
                <w:b w:val="0"/>
                <w:sz w:val="24"/>
                <w:szCs w:val="24"/>
                <w:lang w:val="lv-LV"/>
              </w:rPr>
              <w:t>valsti un parakstot</w:t>
            </w:r>
            <w:r w:rsidRPr="001E6E21">
              <w:rPr>
                <w:b w:val="0"/>
                <w:sz w:val="24"/>
                <w:szCs w:val="24"/>
                <w:lang w:val="lv-LV"/>
              </w:rPr>
              <w:t xml:space="preserve"> EKA Konvenciju.</w:t>
            </w:r>
          </w:p>
          <w:p w14:paraId="3C966923" w14:textId="77777777" w:rsidR="001E6E21" w:rsidRPr="001E6E21" w:rsidRDefault="001E6E21" w:rsidP="001E6E21">
            <w:pPr>
              <w:pStyle w:val="BodyText"/>
              <w:spacing w:after="0"/>
              <w:jc w:val="both"/>
              <w:rPr>
                <w:b w:val="0"/>
                <w:sz w:val="24"/>
                <w:szCs w:val="24"/>
                <w:lang w:val="lv-LV"/>
              </w:rPr>
            </w:pPr>
          </w:p>
          <w:p w14:paraId="1477E70C" w14:textId="1761AC31" w:rsidR="001E6E21" w:rsidRPr="001E6E21" w:rsidRDefault="00E37349" w:rsidP="001E6E21">
            <w:pPr>
              <w:pStyle w:val="BodyText"/>
              <w:spacing w:after="0"/>
              <w:jc w:val="both"/>
              <w:rPr>
                <w:b w:val="0"/>
                <w:sz w:val="24"/>
                <w:szCs w:val="24"/>
                <w:lang w:val="lv-LV"/>
              </w:rPr>
            </w:pPr>
            <w:r>
              <w:rPr>
                <w:b w:val="0"/>
                <w:sz w:val="24"/>
                <w:szCs w:val="24"/>
                <w:lang w:val="lv-LV"/>
              </w:rPr>
              <w:t xml:space="preserve">Līdzšinējo </w:t>
            </w:r>
            <w:r w:rsidR="001E6E21" w:rsidRPr="001E6E21">
              <w:rPr>
                <w:b w:val="0"/>
                <w:sz w:val="24"/>
                <w:szCs w:val="24"/>
                <w:lang w:val="lv-LV"/>
              </w:rPr>
              <w:t>Latvi</w:t>
            </w:r>
            <w:r w:rsidR="001E6E21">
              <w:rPr>
                <w:b w:val="0"/>
                <w:sz w:val="24"/>
                <w:szCs w:val="24"/>
                <w:lang w:val="lv-LV"/>
              </w:rPr>
              <w:t>jas sadarbību ar EKA nodrošina:</w:t>
            </w:r>
          </w:p>
          <w:p w14:paraId="06C6A7BF" w14:textId="00B4CBB5" w:rsidR="001E6E21" w:rsidRPr="001E6E21" w:rsidRDefault="001E6E21" w:rsidP="00162A9A">
            <w:pPr>
              <w:pStyle w:val="BodyText"/>
              <w:numPr>
                <w:ilvl w:val="0"/>
                <w:numId w:val="4"/>
              </w:numPr>
              <w:spacing w:after="0"/>
              <w:jc w:val="both"/>
              <w:rPr>
                <w:b w:val="0"/>
                <w:sz w:val="24"/>
                <w:szCs w:val="24"/>
                <w:lang w:val="lv-LV"/>
              </w:rPr>
            </w:pPr>
            <w:r w:rsidRPr="001E6E21">
              <w:rPr>
                <w:b w:val="0"/>
                <w:sz w:val="24"/>
                <w:szCs w:val="24"/>
                <w:lang w:val="lv-LV"/>
              </w:rPr>
              <w:t>Likums "Par Latvijas Republikas valdības un Eiropas Kosmosa aģentūras Ei</w:t>
            </w:r>
            <w:r>
              <w:rPr>
                <w:b w:val="0"/>
                <w:sz w:val="24"/>
                <w:szCs w:val="24"/>
                <w:lang w:val="lv-LV"/>
              </w:rPr>
              <w:t>ropas sadarbības valsts līgumu"</w:t>
            </w:r>
          </w:p>
          <w:p w14:paraId="464325B8" w14:textId="78137C4D" w:rsidR="001E6E21" w:rsidRDefault="001E6E21" w:rsidP="00162A9A">
            <w:pPr>
              <w:pStyle w:val="BodyText"/>
              <w:numPr>
                <w:ilvl w:val="0"/>
                <w:numId w:val="4"/>
              </w:numPr>
              <w:spacing w:after="0"/>
              <w:jc w:val="both"/>
              <w:rPr>
                <w:b w:val="0"/>
                <w:sz w:val="24"/>
                <w:szCs w:val="24"/>
                <w:lang w:val="lv-LV"/>
              </w:rPr>
            </w:pPr>
            <w:r w:rsidRPr="001E6E21">
              <w:rPr>
                <w:b w:val="0"/>
                <w:sz w:val="24"/>
                <w:szCs w:val="24"/>
                <w:lang w:val="lv-LV"/>
              </w:rPr>
              <w:t xml:space="preserve">Ministru kabineta 2015. gada 27. janvāra noteikumi Nr. 50 "Par Latvijas Republikas valdības un Eiropas Kosmosa </w:t>
            </w:r>
            <w:r w:rsidRPr="00162A9A">
              <w:rPr>
                <w:b w:val="0"/>
                <w:sz w:val="24"/>
                <w:szCs w:val="24"/>
                <w:lang w:val="lv-LV"/>
              </w:rPr>
              <w:t>aģentūras Eiropas sadarbības valsts plāna hartu"</w:t>
            </w:r>
          </w:p>
          <w:p w14:paraId="390E4C74" w14:textId="77777777" w:rsidR="00EF7315" w:rsidRPr="00162A9A" w:rsidRDefault="00EF7315" w:rsidP="00EF7315">
            <w:pPr>
              <w:pStyle w:val="BodyText"/>
              <w:spacing w:after="0"/>
              <w:ind w:left="720"/>
              <w:jc w:val="both"/>
              <w:rPr>
                <w:b w:val="0"/>
                <w:sz w:val="24"/>
                <w:szCs w:val="24"/>
                <w:lang w:val="lv-LV"/>
              </w:rPr>
            </w:pPr>
          </w:p>
          <w:p w14:paraId="31EFDB53" w14:textId="1917A447" w:rsidR="00375960" w:rsidRDefault="00CF6990" w:rsidP="00617E89">
            <w:pPr>
              <w:spacing w:after="0" w:line="240" w:lineRule="auto"/>
              <w:jc w:val="both"/>
              <w:rPr>
                <w:rFonts w:ascii="Times New Roman" w:eastAsiaTheme="minorEastAsia" w:hAnsi="Times New Roman" w:cs="Times New Roman"/>
                <w:sz w:val="24"/>
                <w:szCs w:val="24"/>
                <w:lang w:eastAsia="lv-LV"/>
              </w:rPr>
            </w:pPr>
            <w:r w:rsidRPr="00162A9A">
              <w:rPr>
                <w:rFonts w:ascii="Times New Roman" w:hAnsi="Times New Roman" w:cs="Times New Roman"/>
                <w:sz w:val="24"/>
                <w:szCs w:val="24"/>
              </w:rPr>
              <w:t xml:space="preserve">Ar </w:t>
            </w:r>
            <w:r w:rsidR="00B67A0D" w:rsidRPr="00162A9A">
              <w:rPr>
                <w:rFonts w:ascii="Times New Roman" w:hAnsi="Times New Roman" w:cs="Times New Roman"/>
                <w:sz w:val="24"/>
                <w:szCs w:val="24"/>
              </w:rPr>
              <w:t>L</w:t>
            </w:r>
            <w:r w:rsidR="00602928" w:rsidRPr="00162A9A">
              <w:rPr>
                <w:rFonts w:ascii="Times New Roman" w:hAnsi="Times New Roman" w:cs="Times New Roman"/>
                <w:sz w:val="24"/>
                <w:szCs w:val="24"/>
              </w:rPr>
              <w:t>ikumprojekta apstiprināšanu</w:t>
            </w:r>
            <w:r w:rsidRPr="00162A9A">
              <w:rPr>
                <w:rFonts w:ascii="Times New Roman" w:hAnsi="Times New Roman" w:cs="Times New Roman"/>
                <w:sz w:val="24"/>
                <w:szCs w:val="24"/>
              </w:rPr>
              <w:t xml:space="preserve"> </w:t>
            </w:r>
            <w:r w:rsidR="00461A52" w:rsidRPr="00162A9A">
              <w:rPr>
                <w:rFonts w:ascii="Times New Roman" w:hAnsi="Times New Roman" w:cs="Times New Roman"/>
                <w:sz w:val="24"/>
                <w:szCs w:val="24"/>
              </w:rPr>
              <w:t xml:space="preserve">tiks pieņemts </w:t>
            </w:r>
            <w:r w:rsidR="00602928" w:rsidRPr="00162A9A">
              <w:rPr>
                <w:rFonts w:ascii="Times New Roman" w:hAnsi="Times New Roman" w:cs="Times New Roman"/>
                <w:sz w:val="24"/>
                <w:szCs w:val="24"/>
              </w:rPr>
              <w:t>Asociētās dalībvalsts līgums</w:t>
            </w:r>
            <w:r w:rsidR="00B67A0D" w:rsidRPr="00162A9A">
              <w:rPr>
                <w:rFonts w:ascii="Times New Roman" w:hAnsi="Times New Roman" w:cs="Times New Roman"/>
                <w:sz w:val="24"/>
                <w:szCs w:val="24"/>
              </w:rPr>
              <w:t>.</w:t>
            </w:r>
            <w:r w:rsidR="001E6E21" w:rsidRPr="00162A9A">
              <w:rPr>
                <w:rStyle w:val="CommentReference"/>
                <w:sz w:val="24"/>
                <w:szCs w:val="24"/>
                <w:lang w:val="lv-LV"/>
              </w:rPr>
              <w:t xml:space="preserve"> </w:t>
            </w:r>
            <w:r w:rsidR="00D450CF">
              <w:rPr>
                <w:rStyle w:val="CommentReference"/>
                <w:sz w:val="24"/>
                <w:szCs w:val="24"/>
                <w:lang w:val="lv-LV"/>
              </w:rPr>
              <w:t xml:space="preserve">Atbilstoši </w:t>
            </w:r>
            <w:r w:rsidR="00602928" w:rsidRPr="00602928">
              <w:rPr>
                <w:rStyle w:val="CommentReference"/>
                <w:sz w:val="24"/>
                <w:szCs w:val="24"/>
                <w:lang w:val="lv-LV"/>
              </w:rPr>
              <w:t>Asociētās dalībvalsts līgum</w:t>
            </w:r>
            <w:r w:rsidR="00D450CF">
              <w:rPr>
                <w:rStyle w:val="CommentReference"/>
                <w:sz w:val="24"/>
                <w:szCs w:val="24"/>
                <w:lang w:val="lv-LV"/>
              </w:rPr>
              <w:t>am</w:t>
            </w:r>
            <w:r w:rsidR="00602928">
              <w:rPr>
                <w:rStyle w:val="CommentReference"/>
                <w:sz w:val="24"/>
                <w:szCs w:val="24"/>
                <w:lang w:val="lv-LV"/>
              </w:rPr>
              <w:t xml:space="preserve"> Latvija kļūs par</w:t>
            </w:r>
            <w:r w:rsidR="00602928" w:rsidRPr="00602928">
              <w:rPr>
                <w:rFonts w:ascii="Times New Roman" w:eastAsiaTheme="minorEastAsia" w:hAnsi="Times New Roman" w:cs="Times New Roman"/>
                <w:sz w:val="24"/>
                <w:szCs w:val="24"/>
                <w:lang w:eastAsia="lv-LV"/>
              </w:rPr>
              <w:t xml:space="preserve"> asociēto dalībvalsti </w:t>
            </w:r>
            <w:r w:rsidR="00602928">
              <w:rPr>
                <w:rFonts w:ascii="Times New Roman" w:eastAsiaTheme="minorEastAsia" w:hAnsi="Times New Roman" w:cs="Times New Roman"/>
                <w:sz w:val="24"/>
                <w:szCs w:val="24"/>
                <w:lang w:eastAsia="lv-LV"/>
              </w:rPr>
              <w:t>EKA</w:t>
            </w:r>
            <w:r w:rsidR="00E37349">
              <w:rPr>
                <w:rFonts w:ascii="Times New Roman" w:eastAsiaTheme="minorEastAsia" w:hAnsi="Times New Roman" w:cs="Times New Roman"/>
                <w:sz w:val="24"/>
                <w:szCs w:val="24"/>
                <w:lang w:eastAsia="lv-LV"/>
              </w:rPr>
              <w:t>,</w:t>
            </w:r>
            <w:r w:rsidR="00602928" w:rsidRPr="00947F38">
              <w:rPr>
                <w:rFonts w:ascii="Times New Roman" w:hAnsi="Times New Roman" w:cs="Times New Roman"/>
                <w:sz w:val="24"/>
                <w:szCs w:val="24"/>
              </w:rPr>
              <w:t xml:space="preserve"> </w:t>
            </w:r>
            <w:r w:rsidR="00602928">
              <w:rPr>
                <w:rFonts w:ascii="Times New Roman" w:hAnsi="Times New Roman" w:cs="Times New Roman"/>
                <w:sz w:val="24"/>
              </w:rPr>
              <w:t xml:space="preserve">saskaņā ar </w:t>
            </w:r>
            <w:r w:rsidR="00602928" w:rsidRPr="00602928">
              <w:rPr>
                <w:rFonts w:ascii="Times New Roman" w:eastAsiaTheme="minorEastAsia" w:hAnsi="Times New Roman" w:cs="Times New Roman"/>
                <w:sz w:val="24"/>
                <w:szCs w:val="24"/>
                <w:lang w:eastAsia="lv-LV"/>
              </w:rPr>
              <w:t>EKA k</w:t>
            </w:r>
            <w:r w:rsidR="00602928">
              <w:rPr>
                <w:rFonts w:ascii="Times New Roman" w:eastAsiaTheme="minorEastAsia" w:hAnsi="Times New Roman" w:cs="Times New Roman"/>
                <w:sz w:val="24"/>
                <w:szCs w:val="24"/>
                <w:lang w:eastAsia="lv-LV"/>
              </w:rPr>
              <w:t>onvencijas XIV panta treš</w:t>
            </w:r>
            <w:r w:rsidR="00EF1B6C">
              <w:rPr>
                <w:rFonts w:ascii="Times New Roman" w:eastAsiaTheme="minorEastAsia" w:hAnsi="Times New Roman" w:cs="Times New Roman"/>
                <w:sz w:val="24"/>
                <w:szCs w:val="24"/>
                <w:lang w:eastAsia="lv-LV"/>
              </w:rPr>
              <w:t>o</w:t>
            </w:r>
            <w:r w:rsidR="00602928">
              <w:rPr>
                <w:rFonts w:ascii="Times New Roman" w:eastAsiaTheme="minorEastAsia" w:hAnsi="Times New Roman" w:cs="Times New Roman"/>
                <w:sz w:val="24"/>
                <w:szCs w:val="24"/>
                <w:lang w:eastAsia="lv-LV"/>
              </w:rPr>
              <w:t xml:space="preserve"> daļ</w:t>
            </w:r>
            <w:r w:rsidR="00EF1B6C">
              <w:rPr>
                <w:rFonts w:ascii="Times New Roman" w:eastAsiaTheme="minorEastAsia" w:hAnsi="Times New Roman" w:cs="Times New Roman"/>
                <w:sz w:val="24"/>
                <w:szCs w:val="24"/>
                <w:lang w:eastAsia="lv-LV"/>
              </w:rPr>
              <w:t>u</w:t>
            </w:r>
            <w:r w:rsidR="00602928">
              <w:rPr>
                <w:rFonts w:ascii="Times New Roman" w:eastAsiaTheme="minorEastAsia" w:hAnsi="Times New Roman" w:cs="Times New Roman"/>
                <w:sz w:val="24"/>
                <w:szCs w:val="24"/>
                <w:lang w:eastAsia="lv-LV"/>
              </w:rPr>
              <w:t xml:space="preserve">, kas </w:t>
            </w:r>
            <w:r w:rsidR="00602928" w:rsidRPr="00602928">
              <w:rPr>
                <w:rFonts w:ascii="Times New Roman" w:eastAsiaTheme="minorEastAsia" w:hAnsi="Times New Roman" w:cs="Times New Roman"/>
                <w:sz w:val="24"/>
                <w:szCs w:val="24"/>
                <w:lang w:eastAsia="lv-LV"/>
              </w:rPr>
              <w:t>nosaka</w:t>
            </w:r>
            <w:r w:rsidR="00602928">
              <w:rPr>
                <w:rFonts w:ascii="Times New Roman" w:eastAsiaTheme="minorEastAsia" w:hAnsi="Times New Roman" w:cs="Times New Roman"/>
                <w:sz w:val="24"/>
                <w:szCs w:val="24"/>
                <w:lang w:eastAsia="lv-LV"/>
              </w:rPr>
              <w:t xml:space="preserve"> Eiropas valstīm</w:t>
            </w:r>
            <w:r w:rsidR="00602928" w:rsidRPr="00602928">
              <w:rPr>
                <w:rFonts w:ascii="Times New Roman" w:eastAsiaTheme="minorEastAsia" w:hAnsi="Times New Roman" w:cs="Times New Roman"/>
                <w:sz w:val="24"/>
                <w:szCs w:val="24"/>
                <w:lang w:eastAsia="lv-LV"/>
              </w:rPr>
              <w:t xml:space="preserve"> iespēju pievienoties EKA asociētās dalībvalsts statusā</w:t>
            </w:r>
            <w:r w:rsidR="00EF7315">
              <w:rPr>
                <w:rFonts w:ascii="Times New Roman" w:eastAsiaTheme="minorEastAsia" w:hAnsi="Times New Roman" w:cs="Times New Roman"/>
                <w:sz w:val="24"/>
                <w:szCs w:val="24"/>
                <w:lang w:eastAsia="lv-LV"/>
              </w:rPr>
              <w:t>.</w:t>
            </w:r>
            <w:r w:rsidR="00EF1B6C">
              <w:rPr>
                <w:rFonts w:ascii="Times New Roman" w:eastAsiaTheme="minorEastAsia" w:hAnsi="Times New Roman" w:cs="Times New Roman"/>
                <w:sz w:val="24"/>
                <w:szCs w:val="24"/>
                <w:lang w:eastAsia="lv-LV"/>
              </w:rPr>
              <w:t xml:space="preserve"> </w:t>
            </w:r>
            <w:r w:rsidR="00602928">
              <w:rPr>
                <w:rFonts w:ascii="Times New Roman" w:eastAsiaTheme="minorEastAsia" w:hAnsi="Times New Roman" w:cs="Times New Roman"/>
                <w:sz w:val="24"/>
                <w:szCs w:val="24"/>
                <w:lang w:eastAsia="lv-LV"/>
              </w:rPr>
              <w:t xml:space="preserve">Asociētās dalībvalsts statuss </w:t>
            </w:r>
            <w:r w:rsidR="005E29A4">
              <w:rPr>
                <w:rFonts w:ascii="Times New Roman" w:eastAsiaTheme="minorEastAsia" w:hAnsi="Times New Roman" w:cs="Times New Roman"/>
                <w:sz w:val="24"/>
                <w:szCs w:val="24"/>
                <w:lang w:eastAsia="lv-LV"/>
              </w:rPr>
              <w:t>nosaka, ka Latvijai jāpiedalās EKA obligātajā programmā, EKA</w:t>
            </w:r>
            <w:r w:rsidR="009E4742">
              <w:rPr>
                <w:rFonts w:ascii="Times New Roman" w:eastAsiaTheme="minorEastAsia" w:hAnsi="Times New Roman" w:cs="Times New Roman"/>
                <w:sz w:val="24"/>
                <w:szCs w:val="24"/>
                <w:lang w:eastAsia="lv-LV"/>
              </w:rPr>
              <w:t xml:space="preserve"> </w:t>
            </w:r>
            <w:r w:rsidR="005E29A4">
              <w:rPr>
                <w:rFonts w:ascii="Times New Roman" w:eastAsiaTheme="minorEastAsia" w:hAnsi="Times New Roman" w:cs="Times New Roman"/>
                <w:sz w:val="24"/>
                <w:szCs w:val="24"/>
                <w:lang w:eastAsia="lv-LV"/>
              </w:rPr>
              <w:t>izvēles programmās pēc Latvijas ieskatiem un Pieprasītā</w:t>
            </w:r>
            <w:r w:rsidR="00D450CF">
              <w:rPr>
                <w:rFonts w:ascii="Times New Roman" w:eastAsiaTheme="minorEastAsia" w:hAnsi="Times New Roman" w:cs="Times New Roman"/>
                <w:sz w:val="24"/>
                <w:szCs w:val="24"/>
                <w:lang w:eastAsia="lv-LV"/>
              </w:rPr>
              <w:t>jas</w:t>
            </w:r>
            <w:r w:rsidR="005E29A4">
              <w:rPr>
                <w:rFonts w:ascii="Times New Roman" w:eastAsiaTheme="minorEastAsia" w:hAnsi="Times New Roman" w:cs="Times New Roman"/>
                <w:sz w:val="24"/>
                <w:szCs w:val="24"/>
                <w:lang w:eastAsia="lv-LV"/>
              </w:rPr>
              <w:t xml:space="preserve"> puses aktivitātēs (</w:t>
            </w:r>
            <w:r w:rsidR="005E29A4" w:rsidRPr="007041F2">
              <w:rPr>
                <w:rFonts w:ascii="Times New Roman" w:eastAsia="Times New Roman" w:hAnsi="Times New Roman" w:cs="Times New Roman"/>
                <w:i/>
                <w:color w:val="000000"/>
                <w:sz w:val="24"/>
                <w:szCs w:val="24"/>
              </w:rPr>
              <w:t>Requesting Party Activities</w:t>
            </w:r>
            <w:r w:rsidR="005E29A4" w:rsidRPr="005E29A4">
              <w:rPr>
                <w:rFonts w:ascii="Times New Roman" w:eastAsia="Times New Roman" w:hAnsi="Times New Roman" w:cs="Times New Roman"/>
                <w:color w:val="000000"/>
                <w:sz w:val="24"/>
                <w:szCs w:val="24"/>
              </w:rPr>
              <w:t>)</w:t>
            </w:r>
            <w:r w:rsidR="00947F38">
              <w:rPr>
                <w:rFonts w:ascii="Times New Roman" w:eastAsia="Times New Roman" w:hAnsi="Times New Roman" w:cs="Times New Roman"/>
                <w:color w:val="000000"/>
                <w:sz w:val="24"/>
                <w:szCs w:val="24"/>
              </w:rPr>
              <w:t>.</w:t>
            </w:r>
          </w:p>
          <w:p w14:paraId="05C01B4D" w14:textId="77777777" w:rsidR="009E4742" w:rsidRDefault="009E4742" w:rsidP="00617E89">
            <w:pPr>
              <w:spacing w:after="0" w:line="240" w:lineRule="auto"/>
              <w:jc w:val="both"/>
              <w:rPr>
                <w:rFonts w:ascii="Times New Roman" w:eastAsiaTheme="minorEastAsia" w:hAnsi="Times New Roman" w:cs="Times New Roman"/>
                <w:sz w:val="24"/>
                <w:szCs w:val="24"/>
                <w:lang w:eastAsia="lv-LV"/>
              </w:rPr>
            </w:pPr>
          </w:p>
          <w:p w14:paraId="5B1DA3AC" w14:textId="7027DE4A" w:rsidR="009E4742" w:rsidRDefault="009E4742" w:rsidP="009E4742">
            <w:pPr>
              <w:spacing w:after="0" w:line="240" w:lineRule="auto"/>
              <w:jc w:val="both"/>
              <w:rPr>
                <w:rFonts w:ascii="Times New Roman" w:eastAsiaTheme="minorEastAsia" w:hAnsi="Times New Roman" w:cs="Times New Roman"/>
                <w:sz w:val="24"/>
                <w:szCs w:val="24"/>
                <w:lang w:eastAsia="lv-LV"/>
              </w:rPr>
            </w:pPr>
            <w:r w:rsidRPr="009E4742">
              <w:rPr>
                <w:rFonts w:ascii="Times New Roman" w:eastAsiaTheme="minorEastAsia" w:hAnsi="Times New Roman" w:cs="Times New Roman"/>
                <w:sz w:val="24"/>
                <w:szCs w:val="24"/>
                <w:lang w:eastAsia="lv-LV"/>
              </w:rPr>
              <w:t xml:space="preserve">Asociētās dalībvalsts statuss tika uzlabots un apstiprināts 2018.gada EKA Padomes laikā, lai nodrošinātu ESV līguma valstīm plūstošāku pāreju uz EKA dalībvalsts statusu. </w:t>
            </w:r>
            <w:r w:rsidR="00FB03E1">
              <w:rPr>
                <w:rFonts w:ascii="Times New Roman" w:eastAsiaTheme="minorEastAsia" w:hAnsi="Times New Roman" w:cs="Times New Roman"/>
                <w:sz w:val="24"/>
                <w:szCs w:val="24"/>
                <w:lang w:eastAsia="lv-LV"/>
              </w:rPr>
              <w:t>Asociētās dalībvalsts statusā</w:t>
            </w:r>
            <w:r w:rsidRPr="009E4742">
              <w:rPr>
                <w:rFonts w:ascii="Times New Roman" w:eastAsiaTheme="minorEastAsia" w:hAnsi="Times New Roman" w:cs="Times New Roman"/>
                <w:sz w:val="24"/>
                <w:szCs w:val="24"/>
                <w:lang w:eastAsia="lv-LV"/>
              </w:rPr>
              <w:t xml:space="preserve"> ir samazināta iemaksa EKA obligātajā programmā, kas sastāda 7</w:t>
            </w:r>
            <w:r w:rsidR="00FB03E1">
              <w:rPr>
                <w:rFonts w:ascii="Times New Roman" w:eastAsiaTheme="minorEastAsia" w:hAnsi="Times New Roman" w:cs="Times New Roman"/>
                <w:sz w:val="24"/>
                <w:szCs w:val="24"/>
                <w:lang w:eastAsia="lv-LV"/>
              </w:rPr>
              <w:t xml:space="preserve">0% no EKA dalībvalsts iemaksas. </w:t>
            </w:r>
            <w:r>
              <w:rPr>
                <w:rFonts w:ascii="Times New Roman" w:eastAsiaTheme="minorEastAsia" w:hAnsi="Times New Roman" w:cs="Times New Roman"/>
                <w:sz w:val="24"/>
                <w:szCs w:val="24"/>
                <w:lang w:eastAsia="lv-LV"/>
              </w:rPr>
              <w:t>EKA obligātā programma sastāv no kosmosa zinātnes programmas un vispārējā budžeta</w:t>
            </w:r>
            <w:r w:rsidR="00081C60">
              <w:rPr>
                <w:rFonts w:ascii="Times New Roman" w:eastAsiaTheme="minorEastAsia" w:hAnsi="Times New Roman" w:cs="Times New Roman"/>
                <w:sz w:val="24"/>
                <w:szCs w:val="24"/>
                <w:lang w:eastAsia="lv-LV"/>
              </w:rPr>
              <w:t xml:space="preserve">, kuru finansēšanā proporcionāli piedalās visas EKA dalībvalstis un 70% apmērā no aprēķinātā apjomā EKA </w:t>
            </w:r>
            <w:r w:rsidR="0068374E">
              <w:rPr>
                <w:rFonts w:ascii="Times New Roman" w:eastAsiaTheme="minorEastAsia" w:hAnsi="Times New Roman" w:cs="Times New Roman"/>
                <w:sz w:val="24"/>
                <w:szCs w:val="24"/>
                <w:lang w:eastAsia="lv-LV"/>
              </w:rPr>
              <w:t>dalībvalstī</w:t>
            </w:r>
            <w:r w:rsidR="00081C60">
              <w:rPr>
                <w:rFonts w:ascii="Times New Roman" w:eastAsiaTheme="minorEastAsia" w:hAnsi="Times New Roman" w:cs="Times New Roman"/>
                <w:sz w:val="24"/>
                <w:szCs w:val="24"/>
                <w:lang w:eastAsia="lv-LV"/>
              </w:rPr>
              <w:t xml:space="preserve">s. </w:t>
            </w:r>
          </w:p>
          <w:p w14:paraId="14A0F783" w14:textId="60CAA7A3" w:rsidR="00FB03E1" w:rsidRDefault="00FB03E1" w:rsidP="009E4742">
            <w:pPr>
              <w:spacing w:after="0" w:line="240" w:lineRule="auto"/>
              <w:jc w:val="both"/>
              <w:rPr>
                <w:rFonts w:ascii="Times New Roman" w:eastAsiaTheme="minorEastAsia" w:hAnsi="Times New Roman" w:cs="Times New Roman"/>
                <w:sz w:val="24"/>
                <w:szCs w:val="24"/>
                <w:lang w:eastAsia="lv-LV"/>
              </w:rPr>
            </w:pPr>
            <w:r w:rsidRPr="00FB03E1">
              <w:rPr>
                <w:rFonts w:ascii="Times New Roman" w:eastAsiaTheme="minorEastAsia" w:hAnsi="Times New Roman" w:cs="Times New Roman"/>
                <w:sz w:val="24"/>
                <w:szCs w:val="24"/>
                <w:lang w:eastAsia="lv-LV"/>
              </w:rPr>
              <w:t xml:space="preserve">Galvenie ieguvumi no </w:t>
            </w:r>
            <w:r>
              <w:rPr>
                <w:rFonts w:ascii="Times New Roman" w:eastAsiaTheme="minorEastAsia" w:hAnsi="Times New Roman" w:cs="Times New Roman"/>
                <w:sz w:val="24"/>
                <w:szCs w:val="24"/>
                <w:lang w:eastAsia="lv-LV"/>
              </w:rPr>
              <w:t xml:space="preserve">dalības asociētās dalībvalsts statusā ir </w:t>
            </w:r>
            <w:r w:rsidRPr="00FB03E1">
              <w:rPr>
                <w:rFonts w:ascii="Times New Roman" w:eastAsiaTheme="minorEastAsia" w:hAnsi="Times New Roman" w:cs="Times New Roman"/>
                <w:sz w:val="24"/>
                <w:szCs w:val="24"/>
                <w:lang w:eastAsia="lv-LV"/>
              </w:rPr>
              <w:t xml:space="preserve"> iespēja veidot savu nacionālo kosmosa programmu jeb Pieprasītājas puses aktivitātes EKA ietvaros, kur projektu konkursos piedalās tikai</w:t>
            </w:r>
            <w:r>
              <w:rPr>
                <w:rFonts w:ascii="Times New Roman" w:eastAsiaTheme="minorEastAsia" w:hAnsi="Times New Roman" w:cs="Times New Roman"/>
                <w:sz w:val="24"/>
                <w:szCs w:val="24"/>
                <w:lang w:eastAsia="lv-LV"/>
              </w:rPr>
              <w:t xml:space="preserve"> konkrētās valsts organizācijas un iespēja dalībai EKA izvēles programmās, kas nodrošina plašākas iespējas sadarbībai ar Eiropas kosmosa industriju. </w:t>
            </w:r>
          </w:p>
          <w:p w14:paraId="3F99D518" w14:textId="6B8CFE63" w:rsidR="009E4742" w:rsidRPr="009E4742" w:rsidRDefault="00081C60" w:rsidP="009E4742">
            <w:pPr>
              <w:spacing w:after="0" w:line="240" w:lineRule="auto"/>
              <w:jc w:val="both"/>
              <w:rPr>
                <w:rFonts w:ascii="Times New Roman" w:eastAsiaTheme="minorEastAsia" w:hAnsi="Times New Roman" w:cs="Times New Roman"/>
                <w:sz w:val="24"/>
                <w:szCs w:val="24"/>
                <w:lang w:eastAsia="lv-LV"/>
              </w:rPr>
            </w:pPr>
            <w:r>
              <w:rPr>
                <w:rFonts w:ascii="Times New Roman" w:eastAsiaTheme="minorEastAsia" w:hAnsi="Times New Roman" w:cs="Times New Roman"/>
                <w:sz w:val="24"/>
                <w:szCs w:val="24"/>
                <w:lang w:eastAsia="lv-LV"/>
              </w:rPr>
              <w:t>A</w:t>
            </w:r>
            <w:r w:rsidR="009E4742" w:rsidRPr="009E4742">
              <w:rPr>
                <w:rFonts w:ascii="Times New Roman" w:eastAsiaTheme="minorEastAsia" w:hAnsi="Times New Roman" w:cs="Times New Roman"/>
                <w:sz w:val="24"/>
                <w:szCs w:val="24"/>
                <w:lang w:eastAsia="lv-LV"/>
              </w:rPr>
              <w:t>sociētās dalībvalsts statuss dod iespēju piedalīties visās EKA izvēles programmās, kas ir EKA funkcionēšanas pamatā un kurās tiek īstenotas visas EKA tehnoloģiju misijas. Katrai EKA izvēles programmai ir savi mērķi, noteikumi un EKA dalībvalstis un asociētās valstis var piedalīties jebkurā EKA izvēles programmā, attiecīgi ieguldot tajā finansējumu. Kopējie EKA izvēles programmu mērķi ir sekmēt Eiropas industrijas konkurētspēju un inovācijas, radot jaunus produktus, un uzlabot Eiropas tehnoloģisko neatkarību un pieeju kritiskajām tehnoloģijām, kā arī veicināt tehnoloģiju izplatību ārpus kosmosa sektora.</w:t>
            </w:r>
          </w:p>
          <w:p w14:paraId="35E3FEF6" w14:textId="0B90D7FB" w:rsidR="009E4742" w:rsidRDefault="009E4742" w:rsidP="009E4742">
            <w:pPr>
              <w:spacing w:after="0" w:line="240" w:lineRule="auto"/>
              <w:jc w:val="both"/>
              <w:rPr>
                <w:rStyle w:val="CommentReference"/>
                <w:sz w:val="24"/>
                <w:szCs w:val="24"/>
                <w:lang w:val="lv-LV"/>
              </w:rPr>
            </w:pPr>
            <w:r w:rsidRPr="009E4742">
              <w:rPr>
                <w:rFonts w:ascii="Times New Roman" w:eastAsiaTheme="minorEastAsia" w:hAnsi="Times New Roman" w:cs="Times New Roman"/>
                <w:sz w:val="24"/>
                <w:szCs w:val="24"/>
                <w:lang w:eastAsia="lv-LV"/>
              </w:rPr>
              <w:tab/>
              <w:t xml:space="preserve">Izvērtējot Latvijas industrijas kompetences piedalīties EKA izvēlēs programmās, atbilstoši EKA un neatkarīgo ekspertu rekomendācijām, Latvijai šobrīd ir vislabākās iespējas un augstākais potenciāls piedalīties divās izvēles programmās – </w:t>
            </w:r>
            <w:r w:rsidRPr="009E4742">
              <w:rPr>
                <w:rFonts w:ascii="Times New Roman" w:eastAsiaTheme="minorEastAsia" w:hAnsi="Times New Roman" w:cs="Times New Roman"/>
                <w:sz w:val="24"/>
                <w:szCs w:val="24"/>
                <w:lang w:eastAsia="lv-LV"/>
              </w:rPr>
              <w:lastRenderedPageBreak/>
              <w:t>Galvenā tehnoloģiju atbalsta programma (</w:t>
            </w:r>
            <w:r w:rsidRPr="009E4742">
              <w:rPr>
                <w:rFonts w:ascii="Times New Roman" w:eastAsiaTheme="minorEastAsia" w:hAnsi="Times New Roman" w:cs="Times New Roman"/>
                <w:i/>
                <w:sz w:val="24"/>
                <w:szCs w:val="24"/>
                <w:lang w:eastAsia="lv-LV"/>
              </w:rPr>
              <w:t>General Support Technology Programme – GSTP</w:t>
            </w:r>
            <w:r w:rsidRPr="009E4742">
              <w:rPr>
                <w:rFonts w:ascii="Times New Roman" w:eastAsiaTheme="minorEastAsia" w:hAnsi="Times New Roman" w:cs="Times New Roman"/>
                <w:i/>
                <w:sz w:val="24"/>
                <w:szCs w:val="24"/>
                <w:vertAlign w:val="superscript"/>
                <w:lang w:eastAsia="lv-LV"/>
              </w:rPr>
              <w:footnoteReference w:id="1"/>
            </w:r>
            <w:r w:rsidRPr="009E4742">
              <w:rPr>
                <w:rFonts w:ascii="Times New Roman" w:eastAsiaTheme="minorEastAsia" w:hAnsi="Times New Roman" w:cs="Times New Roman"/>
                <w:sz w:val="24"/>
                <w:szCs w:val="24"/>
                <w:lang w:eastAsia="lv-LV"/>
              </w:rPr>
              <w:t>) un Zemes novērošanas programmā (</w:t>
            </w:r>
            <w:r w:rsidRPr="009E4742">
              <w:rPr>
                <w:rFonts w:ascii="Times New Roman" w:eastAsiaTheme="minorEastAsia" w:hAnsi="Times New Roman" w:cs="Times New Roman"/>
                <w:i/>
                <w:sz w:val="24"/>
                <w:szCs w:val="24"/>
                <w:lang w:eastAsia="lv-LV"/>
              </w:rPr>
              <w:t>Earth Observation Envelope Programme – EOEP</w:t>
            </w:r>
            <w:r w:rsidRPr="009E4742">
              <w:rPr>
                <w:rFonts w:ascii="Times New Roman" w:eastAsiaTheme="minorEastAsia" w:hAnsi="Times New Roman" w:cs="Times New Roman"/>
                <w:sz w:val="24"/>
                <w:szCs w:val="24"/>
                <w:lang w:eastAsia="lv-LV"/>
              </w:rPr>
              <w:t>). Šajās programmās Latvijas industrija varētu piedāvāt atbilstošu kritisko masu, lai nodrošinātu ieguldīto investīciju atdevi. Vienlaikus, redzeslokā jāpatur vairākas citas EKA izvēles programmas, piemēram, Industriālās attīstības un zinātnisko eksperimentu programma – (</w:t>
            </w:r>
            <w:r w:rsidRPr="009E4742">
              <w:rPr>
                <w:rFonts w:ascii="Times New Roman" w:eastAsiaTheme="minorEastAsia" w:hAnsi="Times New Roman" w:cs="Times New Roman"/>
                <w:i/>
                <w:sz w:val="24"/>
                <w:szCs w:val="24"/>
                <w:lang w:eastAsia="lv-LV"/>
              </w:rPr>
              <w:t>PROgramme de Développement d'Expériences scientifiques – PRODEX</w:t>
            </w:r>
            <w:r w:rsidRPr="009E4742">
              <w:rPr>
                <w:rFonts w:ascii="Times New Roman" w:eastAsiaTheme="minorEastAsia" w:hAnsi="Times New Roman" w:cs="Times New Roman"/>
                <w:sz w:val="24"/>
                <w:szCs w:val="24"/>
                <w:lang w:eastAsia="lv-LV"/>
              </w:rPr>
              <w:t>), izvēles programma par kosmosa situācijas apzināšanu (</w:t>
            </w:r>
            <w:r w:rsidRPr="009E4742">
              <w:rPr>
                <w:rFonts w:ascii="Times New Roman" w:eastAsiaTheme="minorEastAsia" w:hAnsi="Times New Roman" w:cs="Times New Roman"/>
                <w:i/>
                <w:sz w:val="24"/>
                <w:szCs w:val="24"/>
                <w:lang w:eastAsia="lv-LV"/>
              </w:rPr>
              <w:t>Space Situational Awareness Programme – SSA</w:t>
            </w:r>
            <w:r w:rsidRPr="009E4742">
              <w:rPr>
                <w:rFonts w:ascii="Times New Roman" w:eastAsiaTheme="minorEastAsia" w:hAnsi="Times New Roman" w:cs="Times New Roman"/>
                <w:sz w:val="24"/>
                <w:szCs w:val="24"/>
                <w:lang w:eastAsia="lv-LV"/>
              </w:rPr>
              <w:t>) un Eiropas izpētes pamatprogramma (</w:t>
            </w:r>
            <w:r w:rsidRPr="009E4742">
              <w:rPr>
                <w:rFonts w:ascii="Times New Roman" w:eastAsiaTheme="minorEastAsia" w:hAnsi="Times New Roman" w:cs="Times New Roman"/>
                <w:i/>
                <w:sz w:val="24"/>
                <w:szCs w:val="24"/>
                <w:lang w:eastAsia="lv-LV"/>
              </w:rPr>
              <w:t>European Exploration Envelope – E3P</w:t>
            </w:r>
            <w:r w:rsidRPr="009E4742">
              <w:rPr>
                <w:rFonts w:ascii="Times New Roman" w:eastAsiaTheme="minorEastAsia" w:hAnsi="Times New Roman" w:cs="Times New Roman"/>
                <w:sz w:val="24"/>
                <w:szCs w:val="24"/>
                <w:lang w:eastAsia="lv-LV"/>
              </w:rPr>
              <w:t>), kurās Latvijas industrijai ir vērā ņemama ekspertīze un kurās dalība ir apsverama nākotnē.</w:t>
            </w:r>
          </w:p>
          <w:p w14:paraId="5FAE4762" w14:textId="3B05EE6B" w:rsidR="00602928" w:rsidRDefault="001E6E21" w:rsidP="00617E89">
            <w:pPr>
              <w:spacing w:after="0" w:line="240" w:lineRule="auto"/>
              <w:jc w:val="both"/>
              <w:rPr>
                <w:rFonts w:ascii="Times New Roman" w:hAnsi="Times New Roman" w:cs="Times New Roman"/>
                <w:sz w:val="24"/>
                <w:szCs w:val="24"/>
              </w:rPr>
            </w:pPr>
            <w:r w:rsidRPr="001E6E21">
              <w:rPr>
                <w:rFonts w:ascii="Times New Roman" w:hAnsi="Times New Roman" w:cs="Times New Roman"/>
                <w:sz w:val="24"/>
                <w:szCs w:val="24"/>
              </w:rPr>
              <w:t>Likumprojekts nosaka, ka Asociētās dalībvalsts līgumā paredzēto saistību izpildi koordinēs Izglītības un zinātnes ministrija (turpmāk –</w:t>
            </w:r>
            <w:r w:rsidR="00E37349">
              <w:rPr>
                <w:rFonts w:ascii="Times New Roman" w:hAnsi="Times New Roman" w:cs="Times New Roman"/>
                <w:sz w:val="24"/>
                <w:szCs w:val="24"/>
              </w:rPr>
              <w:t xml:space="preserve"> </w:t>
            </w:r>
            <w:r w:rsidRPr="001E6E21">
              <w:rPr>
                <w:rFonts w:ascii="Times New Roman" w:hAnsi="Times New Roman" w:cs="Times New Roman"/>
                <w:sz w:val="24"/>
                <w:szCs w:val="24"/>
              </w:rPr>
              <w:t>IZM), kā arī Asociētās dalībvalsts līguma spēkā stāšanās laiku un kārtību</w:t>
            </w:r>
          </w:p>
          <w:p w14:paraId="2DEAEBC4" w14:textId="77777777" w:rsidR="00602928" w:rsidRDefault="00602928" w:rsidP="00B160E3">
            <w:pPr>
              <w:spacing w:after="0" w:line="240" w:lineRule="auto"/>
              <w:jc w:val="both"/>
              <w:rPr>
                <w:rFonts w:ascii="Times New Roman" w:eastAsia="Times New Roman" w:hAnsi="Times New Roman" w:cs="Times New Roman"/>
                <w:bCs/>
                <w:noProof/>
                <w:sz w:val="24"/>
                <w:szCs w:val="24"/>
              </w:rPr>
            </w:pPr>
          </w:p>
          <w:p w14:paraId="2BB28947" w14:textId="486D405F" w:rsidR="004C1A6B" w:rsidRPr="00B471B7" w:rsidRDefault="00602928" w:rsidP="00B160E3">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Asociētās dalībvalsts līgumu </w:t>
            </w:r>
            <w:r w:rsidR="00162A9A">
              <w:rPr>
                <w:rFonts w:ascii="Times New Roman" w:hAnsi="Times New Roman" w:cs="Times New Roman"/>
                <w:sz w:val="24"/>
                <w:szCs w:val="24"/>
              </w:rPr>
              <w:t xml:space="preserve">paraksta </w:t>
            </w:r>
            <w:r w:rsidR="004C1A6B" w:rsidRPr="00B160E3">
              <w:rPr>
                <w:rFonts w:ascii="Times New Roman" w:hAnsi="Times New Roman" w:cs="Times New Roman"/>
                <w:sz w:val="24"/>
                <w:szCs w:val="24"/>
              </w:rPr>
              <w:t>divos oriģi</w:t>
            </w:r>
            <w:r w:rsidR="00B160E3" w:rsidRPr="00B160E3">
              <w:rPr>
                <w:rFonts w:ascii="Times New Roman" w:hAnsi="Times New Roman" w:cs="Times New Roman"/>
                <w:sz w:val="24"/>
                <w:szCs w:val="24"/>
              </w:rPr>
              <w:t>nāl</w:t>
            </w:r>
            <w:r w:rsidR="001F3206" w:rsidRPr="00B160E3">
              <w:rPr>
                <w:rFonts w:ascii="Times New Roman" w:hAnsi="Times New Roman" w:cs="Times New Roman"/>
                <w:sz w:val="24"/>
                <w:szCs w:val="24"/>
              </w:rPr>
              <w:t>eksemplāros, katrs – latviešu un angļu</w:t>
            </w:r>
            <w:r w:rsidR="00B160E3" w:rsidRPr="00B160E3">
              <w:rPr>
                <w:rFonts w:ascii="Times New Roman" w:hAnsi="Times New Roman" w:cs="Times New Roman"/>
                <w:sz w:val="24"/>
                <w:szCs w:val="24"/>
              </w:rPr>
              <w:t xml:space="preserve"> valodā. Abi teksti</w:t>
            </w:r>
            <w:r w:rsidR="00E432D8">
              <w:rPr>
                <w:rFonts w:ascii="Times New Roman" w:hAnsi="Times New Roman" w:cs="Times New Roman"/>
                <w:sz w:val="24"/>
                <w:szCs w:val="24"/>
              </w:rPr>
              <w:t xml:space="preserve"> ir</w:t>
            </w:r>
            <w:r w:rsidR="00B160E3" w:rsidRPr="00B160E3">
              <w:rPr>
                <w:rFonts w:ascii="Times New Roman" w:hAnsi="Times New Roman" w:cs="Times New Roman"/>
                <w:sz w:val="24"/>
                <w:szCs w:val="24"/>
              </w:rPr>
              <w:t xml:space="preserve"> vienlīdz autentiski</w:t>
            </w:r>
            <w:r w:rsidR="00B160E3">
              <w:rPr>
                <w:rFonts w:ascii="Times New Roman" w:hAnsi="Times New Roman" w:cs="Times New Roman"/>
                <w:sz w:val="24"/>
                <w:szCs w:val="24"/>
              </w:rPr>
              <w:t>, taču l</w:t>
            </w:r>
            <w:r w:rsidR="00B160E3" w:rsidRPr="00B160E3">
              <w:rPr>
                <w:rFonts w:ascii="Times New Roman" w:hAnsi="Times New Roman" w:cs="Times New Roman"/>
                <w:sz w:val="24"/>
                <w:szCs w:val="24"/>
              </w:rPr>
              <w:t>īguma noteikumu atšķirīgas interpretācijas gadījumā noteicošai</w:t>
            </w:r>
            <w:r w:rsidR="00286509">
              <w:rPr>
                <w:rFonts w:ascii="Times New Roman" w:hAnsi="Times New Roman" w:cs="Times New Roman"/>
                <w:sz w:val="24"/>
                <w:szCs w:val="24"/>
              </w:rPr>
              <w:t xml:space="preserve">s </w:t>
            </w:r>
            <w:r w:rsidR="00E432D8">
              <w:rPr>
                <w:rFonts w:ascii="Times New Roman" w:hAnsi="Times New Roman" w:cs="Times New Roman"/>
                <w:sz w:val="24"/>
                <w:szCs w:val="24"/>
              </w:rPr>
              <w:t>ir</w:t>
            </w:r>
            <w:r w:rsidR="00B160E3" w:rsidRPr="00B160E3">
              <w:rPr>
                <w:rFonts w:ascii="Times New Roman" w:hAnsi="Times New Roman" w:cs="Times New Roman"/>
                <w:sz w:val="24"/>
                <w:szCs w:val="24"/>
              </w:rPr>
              <w:t xml:space="preserve"> teksts angļu valodā.</w:t>
            </w:r>
          </w:p>
        </w:tc>
      </w:tr>
      <w:tr w:rsidR="00B471B7" w:rsidRPr="00B471B7" w14:paraId="5F4EFBA8" w14:textId="77777777" w:rsidTr="00947F38">
        <w:trPr>
          <w:trHeight w:val="465"/>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44DBAF08" w14:textId="190ADCDC"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3.</w:t>
            </w:r>
          </w:p>
        </w:tc>
        <w:tc>
          <w:tcPr>
            <w:tcW w:w="1286" w:type="pct"/>
            <w:tcBorders>
              <w:top w:val="outset" w:sz="6" w:space="0" w:color="auto"/>
              <w:left w:val="outset" w:sz="6" w:space="0" w:color="auto"/>
              <w:bottom w:val="outset" w:sz="6" w:space="0" w:color="auto"/>
              <w:right w:val="outset" w:sz="6" w:space="0" w:color="auto"/>
            </w:tcBorders>
            <w:hideMark/>
          </w:tcPr>
          <w:p w14:paraId="3AD6A331"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Projekta izstrādē iesaistītās institūcijas</w:t>
            </w:r>
          </w:p>
        </w:tc>
        <w:tc>
          <w:tcPr>
            <w:tcW w:w="3283" w:type="pct"/>
            <w:tcBorders>
              <w:top w:val="outset" w:sz="6" w:space="0" w:color="auto"/>
              <w:left w:val="outset" w:sz="6" w:space="0" w:color="auto"/>
              <w:bottom w:val="outset" w:sz="6" w:space="0" w:color="auto"/>
              <w:right w:val="outset" w:sz="6" w:space="0" w:color="auto"/>
            </w:tcBorders>
            <w:hideMark/>
          </w:tcPr>
          <w:p w14:paraId="377003CF" w14:textId="1790D3D9" w:rsidR="00B471B7" w:rsidRPr="00B471B7" w:rsidRDefault="004B042C" w:rsidP="00AA22A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 </w:t>
            </w:r>
            <w:r w:rsidR="00EF3BA0">
              <w:rPr>
                <w:rFonts w:ascii="Times New Roman" w:eastAsia="Times New Roman" w:hAnsi="Times New Roman" w:cs="Times New Roman"/>
                <w:sz w:val="24"/>
                <w:szCs w:val="24"/>
                <w:lang w:eastAsia="lv-LV"/>
              </w:rPr>
              <w:t>Tieslietu ministrija, Finanšu ministrija, Aizsardzības ministrija, Ārlietu ministrija, Zemkopības mini</w:t>
            </w:r>
            <w:r w:rsidR="00E37349">
              <w:rPr>
                <w:rFonts w:ascii="Times New Roman" w:eastAsia="Times New Roman" w:hAnsi="Times New Roman" w:cs="Times New Roman"/>
                <w:sz w:val="24"/>
                <w:szCs w:val="24"/>
                <w:lang w:eastAsia="lv-LV"/>
              </w:rPr>
              <w:t xml:space="preserve">strija, Pārresoru koordinācijas </w:t>
            </w:r>
            <w:r w:rsidR="00EF3BA0">
              <w:rPr>
                <w:rFonts w:ascii="Times New Roman" w:eastAsia="Times New Roman" w:hAnsi="Times New Roman" w:cs="Times New Roman"/>
                <w:sz w:val="24"/>
                <w:szCs w:val="24"/>
                <w:lang w:eastAsia="lv-LV"/>
              </w:rPr>
              <w:t>centrs,</w:t>
            </w:r>
            <w:r w:rsidR="00E37349">
              <w:rPr>
                <w:rFonts w:ascii="Times New Roman" w:eastAsia="Times New Roman" w:hAnsi="Times New Roman" w:cs="Times New Roman"/>
                <w:sz w:val="24"/>
                <w:szCs w:val="24"/>
                <w:lang w:eastAsia="lv-LV"/>
              </w:rPr>
              <w:t xml:space="preserve"> </w:t>
            </w:r>
            <w:r w:rsidR="00EF3BA0" w:rsidRPr="00EF3BA0">
              <w:rPr>
                <w:rFonts w:ascii="Times New Roman" w:eastAsia="Times New Roman" w:hAnsi="Times New Roman" w:cs="Times New Roman"/>
                <w:sz w:val="24"/>
                <w:szCs w:val="24"/>
                <w:lang w:eastAsia="lv-LV"/>
              </w:rPr>
              <w:t>La</w:t>
            </w:r>
            <w:r w:rsidR="00EF3BA0">
              <w:rPr>
                <w:rFonts w:ascii="Times New Roman" w:eastAsia="Times New Roman" w:hAnsi="Times New Roman" w:cs="Times New Roman"/>
                <w:sz w:val="24"/>
                <w:szCs w:val="24"/>
                <w:lang w:eastAsia="lv-LV"/>
              </w:rPr>
              <w:t>tvijas Kosmosa asociācija</w:t>
            </w:r>
            <w:r w:rsidR="00EF3BA0" w:rsidRPr="00EF3BA0">
              <w:rPr>
                <w:rFonts w:ascii="Times New Roman" w:eastAsia="Times New Roman" w:hAnsi="Times New Roman" w:cs="Times New Roman"/>
                <w:sz w:val="24"/>
                <w:szCs w:val="24"/>
                <w:lang w:eastAsia="lv-LV"/>
              </w:rPr>
              <w:t xml:space="preserve"> un Latvijas Ti</w:t>
            </w:r>
            <w:r w:rsidR="00EF3BA0">
              <w:rPr>
                <w:rFonts w:ascii="Times New Roman" w:eastAsia="Times New Roman" w:hAnsi="Times New Roman" w:cs="Times New Roman"/>
                <w:sz w:val="24"/>
                <w:szCs w:val="24"/>
                <w:lang w:eastAsia="lv-LV"/>
              </w:rPr>
              <w:t xml:space="preserve">rdzniecības rūpniecības kamera. </w:t>
            </w:r>
          </w:p>
        </w:tc>
      </w:tr>
      <w:tr w:rsidR="00B471B7" w:rsidRPr="00B471B7" w14:paraId="5C284B89" w14:textId="77777777" w:rsidTr="00947F38">
        <w:trPr>
          <w:tblCellSpacing w:w="15" w:type="dxa"/>
        </w:trPr>
        <w:tc>
          <w:tcPr>
            <w:tcW w:w="369" w:type="pct"/>
            <w:tcBorders>
              <w:top w:val="outset" w:sz="6" w:space="0" w:color="auto"/>
              <w:left w:val="outset" w:sz="6" w:space="0" w:color="auto"/>
              <w:bottom w:val="outset" w:sz="6" w:space="0" w:color="auto"/>
              <w:right w:val="outset" w:sz="6" w:space="0" w:color="auto"/>
            </w:tcBorders>
            <w:hideMark/>
          </w:tcPr>
          <w:p w14:paraId="7419459A"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286" w:type="pct"/>
            <w:tcBorders>
              <w:top w:val="outset" w:sz="6" w:space="0" w:color="auto"/>
              <w:left w:val="outset" w:sz="6" w:space="0" w:color="auto"/>
              <w:bottom w:val="outset" w:sz="6" w:space="0" w:color="auto"/>
              <w:right w:val="outset" w:sz="6" w:space="0" w:color="auto"/>
            </w:tcBorders>
            <w:hideMark/>
          </w:tcPr>
          <w:p w14:paraId="08902287"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283" w:type="pct"/>
            <w:tcBorders>
              <w:top w:val="outset" w:sz="6" w:space="0" w:color="auto"/>
              <w:left w:val="outset" w:sz="6" w:space="0" w:color="auto"/>
              <w:bottom w:val="outset" w:sz="6" w:space="0" w:color="auto"/>
              <w:right w:val="outset" w:sz="6" w:space="0" w:color="auto"/>
            </w:tcBorders>
            <w:hideMark/>
          </w:tcPr>
          <w:p w14:paraId="73DF08D8" w14:textId="77777777" w:rsidR="00124237" w:rsidRDefault="00081C60" w:rsidP="008604F6">
            <w:pPr>
              <w:spacing w:before="100" w:beforeAutospacing="1" w:after="100" w:afterAutospacing="1" w:line="240" w:lineRule="auto"/>
              <w:jc w:val="both"/>
              <w:rPr>
                <w:rFonts w:ascii="Times New Roman" w:eastAsia="Times New Roman" w:hAnsi="Times New Roman" w:cs="Times New Roman"/>
                <w:sz w:val="24"/>
                <w:szCs w:val="24"/>
                <w:lang w:eastAsia="lv-LV"/>
              </w:rPr>
            </w:pPr>
            <w:r w:rsidRPr="00081C60">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081C60">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29.janvārī spēku zaudē</w:t>
            </w:r>
            <w:r w:rsidRPr="00081C60">
              <w:rPr>
                <w:rFonts w:ascii="Times New Roman" w:eastAsia="Times New Roman" w:hAnsi="Times New Roman" w:cs="Times New Roman"/>
                <w:sz w:val="24"/>
                <w:szCs w:val="24"/>
                <w:lang w:eastAsia="lv-LV"/>
              </w:rPr>
              <w:t xml:space="preserve"> Latvijas Republikas valdības un Eiropas Kosmosa aģentūras Eiropas Sa</w:t>
            </w:r>
            <w:r w:rsidR="00EF3BA0">
              <w:rPr>
                <w:rFonts w:ascii="Times New Roman" w:eastAsia="Times New Roman" w:hAnsi="Times New Roman" w:cs="Times New Roman"/>
                <w:sz w:val="24"/>
                <w:szCs w:val="24"/>
                <w:lang w:eastAsia="lv-LV"/>
              </w:rPr>
              <w:t>darbības valsts līgums</w:t>
            </w:r>
            <w:r w:rsidRPr="00081C60">
              <w:rPr>
                <w:rFonts w:ascii="Times New Roman" w:eastAsia="Times New Roman" w:hAnsi="Times New Roman" w:cs="Times New Roman"/>
                <w:sz w:val="24"/>
                <w:szCs w:val="24"/>
                <w:lang w:eastAsia="lv-LV"/>
              </w:rPr>
              <w:t>, kas stājās spēkā parakstot hartu 2015.gada 30.janvārī</w:t>
            </w:r>
            <w:r>
              <w:rPr>
                <w:rFonts w:ascii="Times New Roman" w:eastAsia="Times New Roman" w:hAnsi="Times New Roman" w:cs="Times New Roman"/>
                <w:sz w:val="24"/>
                <w:szCs w:val="24"/>
                <w:lang w:eastAsia="lv-LV"/>
              </w:rPr>
              <w:t>.</w:t>
            </w:r>
          </w:p>
          <w:p w14:paraId="1C895901" w14:textId="2A1BE8AD" w:rsidR="00C41B9C" w:rsidRPr="00146CEB" w:rsidRDefault="00124237" w:rsidP="00124237">
            <w:pPr>
              <w:spacing w:before="100" w:beforeAutospacing="1" w:after="100" w:afterAutospacing="1" w:line="240" w:lineRule="auto"/>
              <w:jc w:val="both"/>
            </w:pPr>
            <w:r w:rsidRPr="00124237">
              <w:rPr>
                <w:rFonts w:ascii="Times New Roman" w:eastAsia="Times New Roman" w:hAnsi="Times New Roman" w:cs="Times New Roman"/>
                <w:bCs/>
                <w:sz w:val="24"/>
                <w:szCs w:val="24"/>
                <w:lang w:eastAsia="lv-LV"/>
              </w:rPr>
              <w:t>Asociētās dalībvalsts līgums paredz, ka Latvijai jādeleģē līdz diviem pārstāvjiem EKA padomē, Industriālās politikas komitejā, ja Latvijas iesaistās EKA izvēles programmā GSTP, Zemes novērošanas programmas valdē, ja Latvija iesaistās EKA izvēles programmā EOEP un Tehnoloģiju saskaņošanas padomdevēju grupā.</w:t>
            </w:r>
          </w:p>
        </w:tc>
      </w:tr>
    </w:tbl>
    <w:p w14:paraId="10E6AE40" w14:textId="77777777" w:rsidR="00824072" w:rsidRDefault="00824072"/>
    <w:tbl>
      <w:tblPr>
        <w:tblW w:w="5373"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7"/>
        <w:gridCol w:w="2669"/>
        <w:gridCol w:w="6199"/>
      </w:tblGrid>
      <w:tr w:rsidR="00B471B7" w:rsidRPr="00B471B7" w14:paraId="25EF1B76" w14:textId="77777777" w:rsidTr="008B4F5A">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CB77ACE" w14:textId="77777777" w:rsidR="00B471B7" w:rsidRPr="00B471B7" w:rsidRDefault="00B471B7" w:rsidP="00B471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B471B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71B7" w:rsidRPr="00B471B7" w14:paraId="79F063DE" w14:textId="77777777" w:rsidTr="008B4F5A">
        <w:trPr>
          <w:trHeight w:val="465"/>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60FD43A0"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1.</w:t>
            </w:r>
          </w:p>
        </w:tc>
        <w:tc>
          <w:tcPr>
            <w:tcW w:w="1379" w:type="pct"/>
            <w:tcBorders>
              <w:top w:val="outset" w:sz="6" w:space="0" w:color="auto"/>
              <w:left w:val="outset" w:sz="6" w:space="0" w:color="auto"/>
              <w:bottom w:val="outset" w:sz="6" w:space="0" w:color="auto"/>
              <w:right w:val="outset" w:sz="6" w:space="0" w:color="auto"/>
            </w:tcBorders>
            <w:hideMark/>
          </w:tcPr>
          <w:p w14:paraId="6F182F15" w14:textId="730F078A" w:rsidR="00B471B7" w:rsidRPr="00B471B7" w:rsidRDefault="00B471B7" w:rsidP="00846AA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Sabiedrības mēr</w:t>
            </w:r>
            <w:r w:rsidR="00846AAA">
              <w:rPr>
                <w:rFonts w:ascii="Times New Roman" w:eastAsia="Times New Roman" w:hAnsi="Times New Roman" w:cs="Times New Roman"/>
                <w:sz w:val="24"/>
                <w:szCs w:val="24"/>
                <w:lang w:eastAsia="lv-LV"/>
              </w:rPr>
              <w:t>ķ</w:t>
            </w:r>
            <w:r w:rsidRPr="00B471B7">
              <w:rPr>
                <w:rFonts w:ascii="Times New Roman" w:eastAsia="Times New Roman" w:hAnsi="Times New Roman" w:cs="Times New Roman"/>
                <w:sz w:val="24"/>
                <w:szCs w:val="24"/>
                <w:lang w:eastAsia="lv-LV"/>
              </w:rPr>
              <w:t>grupas, kuras tiesiskais regulējums ietekmē vai varētu ietekmēt</w:t>
            </w:r>
          </w:p>
        </w:tc>
        <w:tc>
          <w:tcPr>
            <w:tcW w:w="3186" w:type="pct"/>
            <w:tcBorders>
              <w:top w:val="outset" w:sz="6" w:space="0" w:color="auto"/>
              <w:left w:val="outset" w:sz="6" w:space="0" w:color="auto"/>
              <w:bottom w:val="outset" w:sz="6" w:space="0" w:color="auto"/>
              <w:right w:val="outset" w:sz="6" w:space="0" w:color="auto"/>
            </w:tcBorders>
            <w:hideMark/>
          </w:tcPr>
          <w:p w14:paraId="0DD3304B" w14:textId="3A25E222" w:rsidR="00B471B7" w:rsidRPr="00B471B7" w:rsidRDefault="00A72C3F" w:rsidP="008B4F5A">
            <w:pPr>
              <w:spacing w:after="0" w:line="240" w:lineRule="auto"/>
              <w:jc w:val="both"/>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Latvijas Republikas </w:t>
            </w:r>
            <w:r w:rsidR="008B4F5A">
              <w:rPr>
                <w:rFonts w:ascii="Times New Roman" w:eastAsia="Times New Roman" w:hAnsi="Times New Roman" w:cs="Times New Roman"/>
                <w:sz w:val="24"/>
                <w:szCs w:val="24"/>
                <w:lang w:eastAsia="lv-LV"/>
              </w:rPr>
              <w:t>zinātniskie institūti, augstskolas,</w:t>
            </w:r>
            <w:r w:rsidR="00865505">
              <w:rPr>
                <w:rFonts w:ascii="Times New Roman" w:eastAsia="Times New Roman" w:hAnsi="Times New Roman" w:cs="Times New Roman"/>
                <w:sz w:val="24"/>
                <w:szCs w:val="24"/>
                <w:lang w:eastAsia="lv-LV"/>
              </w:rPr>
              <w:t xml:space="preserve"> </w:t>
            </w:r>
            <w:r w:rsidR="00081C60">
              <w:rPr>
                <w:rFonts w:ascii="Times New Roman" w:eastAsia="Times New Roman" w:hAnsi="Times New Roman" w:cs="Times New Roman"/>
                <w:sz w:val="24"/>
                <w:szCs w:val="24"/>
                <w:lang w:eastAsia="lv-LV"/>
              </w:rPr>
              <w:t xml:space="preserve">komersanti, </w:t>
            </w:r>
            <w:r w:rsidR="00865505">
              <w:rPr>
                <w:rFonts w:ascii="Times New Roman" w:eastAsia="Times New Roman" w:hAnsi="Times New Roman" w:cs="Times New Roman"/>
                <w:sz w:val="24"/>
                <w:szCs w:val="24"/>
                <w:lang w:eastAsia="lv-LV"/>
              </w:rPr>
              <w:t xml:space="preserve">izglītības iestādes, kā arī tajos </w:t>
            </w:r>
            <w:r w:rsidR="00C13ACB">
              <w:rPr>
                <w:rFonts w:ascii="Times New Roman" w:eastAsia="Times New Roman" w:hAnsi="Times New Roman" w:cs="Times New Roman"/>
                <w:sz w:val="24"/>
                <w:szCs w:val="24"/>
                <w:lang w:eastAsia="lv-LV"/>
              </w:rPr>
              <w:t xml:space="preserve">studējošie un nodarbinātie, </w:t>
            </w:r>
          </w:p>
        </w:tc>
      </w:tr>
      <w:tr w:rsidR="00B471B7" w:rsidRPr="00B471B7" w14:paraId="46810A3B" w14:textId="77777777" w:rsidTr="008B4F5A">
        <w:trPr>
          <w:trHeight w:val="510"/>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16342573"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lastRenderedPageBreak/>
              <w:t>2.</w:t>
            </w:r>
          </w:p>
        </w:tc>
        <w:tc>
          <w:tcPr>
            <w:tcW w:w="1379" w:type="pct"/>
            <w:tcBorders>
              <w:top w:val="outset" w:sz="6" w:space="0" w:color="auto"/>
              <w:left w:val="outset" w:sz="6" w:space="0" w:color="auto"/>
              <w:bottom w:val="outset" w:sz="6" w:space="0" w:color="auto"/>
              <w:right w:val="outset" w:sz="6" w:space="0" w:color="auto"/>
            </w:tcBorders>
            <w:hideMark/>
          </w:tcPr>
          <w:p w14:paraId="698D7289"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Tiesiskā regulējuma ietekme uz tautsaimniecību un administratīvo slogu</w:t>
            </w:r>
          </w:p>
        </w:tc>
        <w:tc>
          <w:tcPr>
            <w:tcW w:w="3186" w:type="pct"/>
            <w:tcBorders>
              <w:top w:val="outset" w:sz="6" w:space="0" w:color="auto"/>
              <w:left w:val="outset" w:sz="6" w:space="0" w:color="auto"/>
              <w:bottom w:val="outset" w:sz="6" w:space="0" w:color="auto"/>
              <w:right w:val="outset" w:sz="6" w:space="0" w:color="auto"/>
            </w:tcBorders>
            <w:hideMark/>
          </w:tcPr>
          <w:p w14:paraId="672C0978" w14:textId="3A0C0662" w:rsidR="00081C60" w:rsidRPr="00081C60" w:rsidRDefault="00081C60" w:rsidP="00081C60">
            <w:pPr>
              <w:spacing w:after="0" w:line="240" w:lineRule="auto"/>
              <w:jc w:val="both"/>
              <w:rPr>
                <w:rFonts w:ascii="Times New Roman" w:hAnsi="Times New Roman" w:cs="Times New Roman"/>
                <w:bCs/>
                <w:sz w:val="24"/>
                <w:szCs w:val="24"/>
              </w:rPr>
            </w:pPr>
            <w:r w:rsidRPr="00081C60">
              <w:rPr>
                <w:rFonts w:ascii="Times New Roman" w:hAnsi="Times New Roman" w:cs="Times New Roman"/>
                <w:bCs/>
                <w:sz w:val="24"/>
                <w:szCs w:val="24"/>
              </w:rPr>
              <w:t xml:space="preserve">Sakarā ar tirgus iespējamo papildināšanos ar tautsaimniecībai </w:t>
            </w:r>
            <w:r>
              <w:rPr>
                <w:rFonts w:ascii="Times New Roman" w:hAnsi="Times New Roman" w:cs="Times New Roman"/>
                <w:bCs/>
                <w:sz w:val="24"/>
                <w:szCs w:val="24"/>
              </w:rPr>
              <w:t xml:space="preserve">nepieciešamiem produktiem </w:t>
            </w:r>
            <w:r w:rsidRPr="00081C60">
              <w:rPr>
                <w:rFonts w:ascii="Times New Roman" w:hAnsi="Times New Roman" w:cs="Times New Roman"/>
                <w:bCs/>
                <w:sz w:val="24"/>
                <w:szCs w:val="24"/>
              </w:rPr>
              <w:t>un pakalpojumiem, kā arī ar jaunu darba vietu izveidi</w:t>
            </w:r>
            <w:r w:rsidR="00EE1DE6">
              <w:rPr>
                <w:rFonts w:ascii="Times New Roman" w:hAnsi="Times New Roman" w:cs="Times New Roman"/>
                <w:bCs/>
                <w:sz w:val="24"/>
                <w:szCs w:val="24"/>
              </w:rPr>
              <w:t>,</w:t>
            </w:r>
            <w:r w:rsidRPr="00081C60">
              <w:rPr>
                <w:rFonts w:ascii="Times New Roman" w:hAnsi="Times New Roman" w:cs="Times New Roman"/>
                <w:bCs/>
                <w:sz w:val="24"/>
                <w:szCs w:val="24"/>
              </w:rPr>
              <w:t xml:space="preserve"> ietekme uz </w:t>
            </w:r>
            <w:r w:rsidR="0005076E">
              <w:rPr>
                <w:rFonts w:ascii="Times New Roman" w:hAnsi="Times New Roman" w:cs="Times New Roman"/>
                <w:bCs/>
                <w:sz w:val="24"/>
                <w:szCs w:val="24"/>
              </w:rPr>
              <w:t>tautsaimniecību</w:t>
            </w:r>
            <w:r w:rsidRPr="00081C60">
              <w:rPr>
                <w:rFonts w:ascii="Times New Roman" w:hAnsi="Times New Roman" w:cs="Times New Roman"/>
                <w:bCs/>
                <w:sz w:val="24"/>
                <w:szCs w:val="24"/>
              </w:rPr>
              <w:t xml:space="preserve"> varētu būt pozitīva.  </w:t>
            </w:r>
          </w:p>
          <w:p w14:paraId="726FCFBA" w14:textId="2288C44A" w:rsidR="0005076E" w:rsidRPr="0005076E" w:rsidRDefault="00081C60" w:rsidP="00081C60">
            <w:pPr>
              <w:spacing w:after="0" w:line="240" w:lineRule="auto"/>
              <w:jc w:val="both"/>
              <w:rPr>
                <w:rFonts w:ascii="Times New Roman" w:hAnsi="Times New Roman" w:cs="Times New Roman"/>
                <w:bCs/>
                <w:sz w:val="24"/>
                <w:szCs w:val="24"/>
              </w:rPr>
            </w:pPr>
            <w:r w:rsidRPr="00081C60">
              <w:rPr>
                <w:rFonts w:ascii="Times New Roman" w:hAnsi="Times New Roman" w:cs="Times New Roman"/>
                <w:bCs/>
                <w:sz w:val="24"/>
                <w:szCs w:val="24"/>
              </w:rPr>
              <w:t>Nodarbinātība varētu pieaugt sakarā ar jaunu, augsti kvalificētu darba vietu veidošanos.</w:t>
            </w:r>
          </w:p>
        </w:tc>
      </w:tr>
      <w:tr w:rsidR="00B471B7" w:rsidRPr="00B471B7" w14:paraId="79AEB47B" w14:textId="77777777" w:rsidTr="008B4F5A">
        <w:trPr>
          <w:trHeight w:val="510"/>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5F72566B"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379" w:type="pct"/>
            <w:tcBorders>
              <w:top w:val="outset" w:sz="6" w:space="0" w:color="auto"/>
              <w:left w:val="outset" w:sz="6" w:space="0" w:color="auto"/>
              <w:bottom w:val="outset" w:sz="6" w:space="0" w:color="auto"/>
              <w:right w:val="outset" w:sz="6" w:space="0" w:color="auto"/>
            </w:tcBorders>
            <w:hideMark/>
          </w:tcPr>
          <w:p w14:paraId="406A30AC"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Administratīvo izmaksu monetārs novērtējums</w:t>
            </w:r>
          </w:p>
        </w:tc>
        <w:tc>
          <w:tcPr>
            <w:tcW w:w="3186" w:type="pct"/>
            <w:tcBorders>
              <w:top w:val="outset" w:sz="6" w:space="0" w:color="auto"/>
              <w:left w:val="outset" w:sz="6" w:space="0" w:color="auto"/>
              <w:bottom w:val="outset" w:sz="6" w:space="0" w:color="auto"/>
              <w:right w:val="outset" w:sz="6" w:space="0" w:color="auto"/>
            </w:tcBorders>
            <w:hideMark/>
          </w:tcPr>
          <w:p w14:paraId="44D9FC3E" w14:textId="5A6106CB" w:rsidR="00B471B7" w:rsidRPr="00B471B7" w:rsidRDefault="008B4F5A" w:rsidP="00A72C3F">
            <w:pPr>
              <w:jc w:val="both"/>
              <w:rPr>
                <w:rFonts w:ascii="Times New Roman" w:hAnsi="Times New Roman" w:cs="Times New Roman"/>
                <w:sz w:val="24"/>
                <w:szCs w:val="24"/>
                <w:lang w:eastAsia="lv-LV"/>
              </w:rPr>
            </w:pPr>
            <w:r w:rsidRPr="008B4F5A">
              <w:rPr>
                <w:rFonts w:ascii="Times New Roman" w:hAnsi="Times New Roman" w:cs="Times New Roman"/>
                <w:sz w:val="24"/>
                <w:szCs w:val="24"/>
              </w:rPr>
              <w:t xml:space="preserve">Projekts šo jomu neskar </w:t>
            </w:r>
          </w:p>
        </w:tc>
      </w:tr>
      <w:tr w:rsidR="00B471B7" w:rsidRPr="00B471B7" w14:paraId="0DDC64D0" w14:textId="77777777" w:rsidTr="008B4F5A">
        <w:trPr>
          <w:trHeight w:val="300"/>
          <w:tblCellSpacing w:w="15" w:type="dxa"/>
        </w:trPr>
        <w:tc>
          <w:tcPr>
            <w:tcW w:w="373" w:type="pct"/>
            <w:tcBorders>
              <w:top w:val="outset" w:sz="6" w:space="0" w:color="auto"/>
              <w:left w:val="outset" w:sz="6" w:space="0" w:color="auto"/>
              <w:bottom w:val="outset" w:sz="6" w:space="0" w:color="auto"/>
              <w:right w:val="outset" w:sz="6" w:space="0" w:color="auto"/>
            </w:tcBorders>
            <w:hideMark/>
          </w:tcPr>
          <w:p w14:paraId="3E4ECA58"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4.</w:t>
            </w:r>
          </w:p>
        </w:tc>
        <w:tc>
          <w:tcPr>
            <w:tcW w:w="1379" w:type="pct"/>
            <w:tcBorders>
              <w:top w:val="outset" w:sz="6" w:space="0" w:color="auto"/>
              <w:left w:val="outset" w:sz="6" w:space="0" w:color="auto"/>
              <w:bottom w:val="outset" w:sz="6" w:space="0" w:color="auto"/>
              <w:right w:val="outset" w:sz="6" w:space="0" w:color="auto"/>
            </w:tcBorders>
            <w:hideMark/>
          </w:tcPr>
          <w:p w14:paraId="6FB56EF4" w14:textId="77777777" w:rsidR="00B471B7" w:rsidRPr="00B471B7" w:rsidRDefault="00B471B7" w:rsidP="00B471B7">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186" w:type="pct"/>
            <w:tcBorders>
              <w:top w:val="outset" w:sz="6" w:space="0" w:color="auto"/>
              <w:left w:val="outset" w:sz="6" w:space="0" w:color="auto"/>
              <w:bottom w:val="outset" w:sz="6" w:space="0" w:color="auto"/>
              <w:right w:val="outset" w:sz="6" w:space="0" w:color="auto"/>
            </w:tcBorders>
            <w:hideMark/>
          </w:tcPr>
          <w:p w14:paraId="1E6E7071" w14:textId="4B69EC2B" w:rsidR="00FF300D" w:rsidRPr="00B471B7" w:rsidRDefault="00533410" w:rsidP="00FF300D">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14:paraId="2A1F0C01" w14:textId="77777777" w:rsidR="00B471B7" w:rsidRDefault="00B471B7">
      <w:pPr>
        <w:rPr>
          <w:rFonts w:ascii="Times New Roman" w:hAnsi="Times New Roman" w:cs="Times New Roman"/>
          <w:sz w:val="24"/>
          <w:szCs w:val="24"/>
        </w:rPr>
      </w:pPr>
    </w:p>
    <w:tbl>
      <w:tblPr>
        <w:tblW w:w="9753" w:type="dxa"/>
        <w:tblCellSpacing w:w="20" w:type="dxa"/>
        <w:tblInd w:w="-27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587"/>
        <w:gridCol w:w="1203"/>
        <w:gridCol w:w="1170"/>
        <w:gridCol w:w="1260"/>
        <w:gridCol w:w="1080"/>
        <w:gridCol w:w="1200"/>
        <w:gridCol w:w="1080"/>
        <w:gridCol w:w="1173"/>
      </w:tblGrid>
      <w:tr w:rsidR="00FC2FE5" w:rsidRPr="00FC2FE5" w14:paraId="6E89C54C" w14:textId="77777777" w:rsidTr="0094545A">
        <w:trPr>
          <w:trHeight w:val="212"/>
          <w:tblCellSpacing w:w="20" w:type="dxa"/>
        </w:trPr>
        <w:tc>
          <w:tcPr>
            <w:tcW w:w="9673" w:type="dxa"/>
            <w:gridSpan w:val="8"/>
            <w:shd w:val="clear" w:color="auto" w:fill="auto"/>
            <w:hideMark/>
          </w:tcPr>
          <w:p w14:paraId="676A27E7" w14:textId="77777777" w:rsidR="00FC2FE5" w:rsidRPr="00FC2FE5" w:rsidRDefault="00FC2FE5" w:rsidP="00FC2FE5">
            <w:pPr>
              <w:jc w:val="center"/>
              <w:rPr>
                <w:rFonts w:ascii="Times New Roman" w:hAnsi="Times New Roman" w:cs="Times New Roman"/>
                <w:b/>
                <w:bCs/>
                <w:sz w:val="24"/>
                <w:szCs w:val="24"/>
              </w:rPr>
            </w:pPr>
            <w:r w:rsidRPr="00FC2FE5">
              <w:rPr>
                <w:rFonts w:ascii="Times New Roman" w:hAnsi="Times New Roman" w:cs="Times New Roman"/>
                <w:b/>
                <w:bCs/>
                <w:sz w:val="24"/>
                <w:szCs w:val="24"/>
              </w:rPr>
              <w:t>III. Tiesību akta projekta ietekme uz valsts budžetu un pašvaldību budžetiem</w:t>
            </w:r>
          </w:p>
        </w:tc>
      </w:tr>
      <w:tr w:rsidR="00FC2FE5" w:rsidRPr="00FC2FE5" w14:paraId="06587C15" w14:textId="77777777" w:rsidTr="0094545A">
        <w:trPr>
          <w:trHeight w:val="300"/>
          <w:tblCellSpacing w:w="20" w:type="dxa"/>
        </w:trPr>
        <w:tc>
          <w:tcPr>
            <w:tcW w:w="1527" w:type="dxa"/>
            <w:vMerge w:val="restart"/>
            <w:shd w:val="clear" w:color="auto" w:fill="FFFFFF"/>
            <w:vAlign w:val="center"/>
          </w:tcPr>
          <w:p w14:paraId="3662E288"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Rādītāji</w:t>
            </w:r>
          </w:p>
        </w:tc>
        <w:tc>
          <w:tcPr>
            <w:tcW w:w="2333" w:type="dxa"/>
            <w:gridSpan w:val="2"/>
            <w:vMerge w:val="restart"/>
            <w:shd w:val="clear" w:color="auto" w:fill="FFFFFF"/>
            <w:vAlign w:val="center"/>
            <w:hideMark/>
          </w:tcPr>
          <w:p w14:paraId="0A9940DE"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2019. gads</w:t>
            </w:r>
          </w:p>
        </w:tc>
        <w:tc>
          <w:tcPr>
            <w:tcW w:w="5733" w:type="dxa"/>
            <w:gridSpan w:val="5"/>
            <w:shd w:val="clear" w:color="auto" w:fill="FFFFFF"/>
            <w:vAlign w:val="center"/>
            <w:hideMark/>
          </w:tcPr>
          <w:p w14:paraId="345A46BC"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Turpmākie trīs gadi (</w:t>
            </w:r>
            <w:r w:rsidRPr="00FC2FE5">
              <w:rPr>
                <w:rFonts w:ascii="Times New Roman" w:hAnsi="Times New Roman" w:cs="Times New Roman"/>
                <w:i/>
                <w:iCs/>
                <w:sz w:val="24"/>
                <w:szCs w:val="24"/>
              </w:rPr>
              <w:t>euro</w:t>
            </w:r>
            <w:r w:rsidRPr="00FC2FE5">
              <w:rPr>
                <w:rFonts w:ascii="Times New Roman" w:hAnsi="Times New Roman" w:cs="Times New Roman"/>
                <w:sz w:val="24"/>
                <w:szCs w:val="24"/>
              </w:rPr>
              <w:t>)</w:t>
            </w:r>
          </w:p>
        </w:tc>
      </w:tr>
      <w:tr w:rsidR="00FB03E1" w:rsidRPr="00FC2FE5" w14:paraId="59996009" w14:textId="77777777" w:rsidTr="0094545A">
        <w:trPr>
          <w:trHeight w:val="300"/>
          <w:tblCellSpacing w:w="20" w:type="dxa"/>
        </w:trPr>
        <w:tc>
          <w:tcPr>
            <w:tcW w:w="1527" w:type="dxa"/>
            <w:vMerge/>
            <w:shd w:val="clear" w:color="auto" w:fill="auto"/>
            <w:vAlign w:val="center"/>
            <w:hideMark/>
          </w:tcPr>
          <w:p w14:paraId="0B9CE6AF" w14:textId="77777777" w:rsidR="00FC2FE5" w:rsidRPr="00FC2FE5" w:rsidRDefault="00FC2FE5" w:rsidP="00FC2FE5">
            <w:pPr>
              <w:jc w:val="center"/>
              <w:rPr>
                <w:rFonts w:ascii="Times New Roman" w:hAnsi="Times New Roman" w:cs="Times New Roman"/>
                <w:bCs/>
                <w:sz w:val="24"/>
                <w:szCs w:val="24"/>
              </w:rPr>
            </w:pPr>
          </w:p>
        </w:tc>
        <w:tc>
          <w:tcPr>
            <w:tcW w:w="2333" w:type="dxa"/>
            <w:gridSpan w:val="2"/>
            <w:vMerge/>
            <w:shd w:val="clear" w:color="auto" w:fill="auto"/>
            <w:vAlign w:val="center"/>
            <w:hideMark/>
          </w:tcPr>
          <w:p w14:paraId="1D4A6BC4" w14:textId="77777777" w:rsidR="00FC2FE5" w:rsidRPr="00FC2FE5" w:rsidRDefault="00FC2FE5" w:rsidP="00FC2FE5">
            <w:pPr>
              <w:jc w:val="center"/>
              <w:rPr>
                <w:rFonts w:ascii="Times New Roman" w:hAnsi="Times New Roman" w:cs="Times New Roman"/>
                <w:bCs/>
                <w:sz w:val="24"/>
                <w:szCs w:val="24"/>
              </w:rPr>
            </w:pPr>
          </w:p>
        </w:tc>
        <w:tc>
          <w:tcPr>
            <w:tcW w:w="2300" w:type="dxa"/>
            <w:gridSpan w:val="2"/>
            <w:shd w:val="clear" w:color="auto" w:fill="FFFFFF"/>
            <w:vAlign w:val="center"/>
            <w:hideMark/>
          </w:tcPr>
          <w:p w14:paraId="4B150DC7"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2020</w:t>
            </w:r>
          </w:p>
        </w:tc>
        <w:tc>
          <w:tcPr>
            <w:tcW w:w="2240" w:type="dxa"/>
            <w:gridSpan w:val="2"/>
            <w:shd w:val="clear" w:color="auto" w:fill="FFFFFF"/>
            <w:vAlign w:val="center"/>
            <w:hideMark/>
          </w:tcPr>
          <w:p w14:paraId="01BE6164"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2021</w:t>
            </w:r>
          </w:p>
        </w:tc>
        <w:tc>
          <w:tcPr>
            <w:tcW w:w="1113" w:type="dxa"/>
            <w:shd w:val="clear" w:color="auto" w:fill="FFFFFF"/>
            <w:vAlign w:val="center"/>
            <w:hideMark/>
          </w:tcPr>
          <w:p w14:paraId="7FAAE17C" w14:textId="77777777" w:rsidR="00FC2FE5" w:rsidRPr="00FC2FE5" w:rsidRDefault="00FC2FE5" w:rsidP="00FC2FE5">
            <w:pPr>
              <w:jc w:val="center"/>
              <w:rPr>
                <w:rFonts w:ascii="Times New Roman" w:hAnsi="Times New Roman" w:cs="Times New Roman"/>
                <w:bCs/>
                <w:sz w:val="24"/>
                <w:szCs w:val="24"/>
              </w:rPr>
            </w:pPr>
            <w:r w:rsidRPr="00FC2FE5">
              <w:rPr>
                <w:rFonts w:ascii="Times New Roman" w:hAnsi="Times New Roman" w:cs="Times New Roman"/>
                <w:bCs/>
                <w:sz w:val="24"/>
                <w:szCs w:val="24"/>
              </w:rPr>
              <w:t>2022</w:t>
            </w:r>
          </w:p>
        </w:tc>
      </w:tr>
      <w:tr w:rsidR="002F79F1" w:rsidRPr="00FC2FE5" w14:paraId="691CB5E8" w14:textId="77777777" w:rsidTr="0094545A">
        <w:trPr>
          <w:trHeight w:val="1785"/>
          <w:tblCellSpacing w:w="20" w:type="dxa"/>
        </w:trPr>
        <w:tc>
          <w:tcPr>
            <w:tcW w:w="1527" w:type="dxa"/>
            <w:vMerge/>
            <w:shd w:val="clear" w:color="auto" w:fill="auto"/>
            <w:vAlign w:val="center"/>
            <w:hideMark/>
          </w:tcPr>
          <w:p w14:paraId="6C063220" w14:textId="77777777" w:rsidR="00FC2FE5" w:rsidRPr="00FC2FE5" w:rsidRDefault="00FC2FE5" w:rsidP="00FC2FE5">
            <w:pPr>
              <w:jc w:val="center"/>
              <w:rPr>
                <w:rFonts w:ascii="Times New Roman" w:hAnsi="Times New Roman" w:cs="Times New Roman"/>
                <w:b/>
                <w:bCs/>
                <w:sz w:val="24"/>
                <w:szCs w:val="24"/>
              </w:rPr>
            </w:pPr>
          </w:p>
        </w:tc>
        <w:tc>
          <w:tcPr>
            <w:tcW w:w="1163" w:type="dxa"/>
            <w:shd w:val="clear" w:color="auto" w:fill="FFFFFF"/>
            <w:vAlign w:val="center"/>
            <w:hideMark/>
          </w:tcPr>
          <w:p w14:paraId="44BDF54E"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saskaņā ar valsts budžetu kārtējam gadam</w:t>
            </w:r>
          </w:p>
        </w:tc>
        <w:tc>
          <w:tcPr>
            <w:tcW w:w="1130" w:type="dxa"/>
            <w:shd w:val="clear" w:color="auto" w:fill="FFFFFF"/>
            <w:vAlign w:val="center"/>
            <w:hideMark/>
          </w:tcPr>
          <w:p w14:paraId="46787898"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izmaiņas kārtējā gadā, salīdzinot ar valsts budžetu kārtējam gadam</w:t>
            </w:r>
          </w:p>
        </w:tc>
        <w:tc>
          <w:tcPr>
            <w:tcW w:w="1220" w:type="dxa"/>
            <w:shd w:val="clear" w:color="auto" w:fill="FFFFFF"/>
            <w:vAlign w:val="center"/>
            <w:hideMark/>
          </w:tcPr>
          <w:p w14:paraId="16B72F18"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saskaņā ar vidēja termiņa budžeta ietvaru</w:t>
            </w:r>
          </w:p>
        </w:tc>
        <w:tc>
          <w:tcPr>
            <w:tcW w:w="1040" w:type="dxa"/>
            <w:shd w:val="clear" w:color="auto" w:fill="FFFFFF"/>
            <w:vAlign w:val="center"/>
            <w:hideMark/>
          </w:tcPr>
          <w:p w14:paraId="0C967753"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izmaiņas, salīdzinot ar vidēja termiņa budžeta ietvaru 2020.</w:t>
            </w:r>
          </w:p>
          <w:p w14:paraId="036C6932"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gadam</w:t>
            </w:r>
          </w:p>
        </w:tc>
        <w:tc>
          <w:tcPr>
            <w:tcW w:w="1160" w:type="dxa"/>
            <w:shd w:val="clear" w:color="auto" w:fill="FFFFFF"/>
            <w:vAlign w:val="center"/>
            <w:hideMark/>
          </w:tcPr>
          <w:p w14:paraId="710C65EC"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saskaņā ar vidēja termiņa budžeta ietvaru</w:t>
            </w:r>
          </w:p>
        </w:tc>
        <w:tc>
          <w:tcPr>
            <w:tcW w:w="1040" w:type="dxa"/>
            <w:shd w:val="clear" w:color="auto" w:fill="FFFFFF"/>
            <w:vAlign w:val="center"/>
            <w:hideMark/>
          </w:tcPr>
          <w:p w14:paraId="03AF08DF"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izmaiņas, salīdzinot ar vidēja termiņa budžeta ietvaru 2021. gadam</w:t>
            </w:r>
          </w:p>
        </w:tc>
        <w:tc>
          <w:tcPr>
            <w:tcW w:w="1113" w:type="dxa"/>
            <w:shd w:val="clear" w:color="auto" w:fill="FFFFFF"/>
            <w:vAlign w:val="center"/>
            <w:hideMark/>
          </w:tcPr>
          <w:p w14:paraId="6CF4097B"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izmaiņas, salīdzinot ar vidēja termiņa budžeta ietvaru 2021. gadam</w:t>
            </w:r>
          </w:p>
        </w:tc>
      </w:tr>
      <w:tr w:rsidR="002F79F1" w:rsidRPr="00FC2FE5" w14:paraId="38269F27" w14:textId="77777777" w:rsidTr="0094545A">
        <w:trPr>
          <w:trHeight w:val="300"/>
          <w:tblCellSpacing w:w="20" w:type="dxa"/>
        </w:trPr>
        <w:tc>
          <w:tcPr>
            <w:tcW w:w="1527" w:type="dxa"/>
            <w:shd w:val="clear" w:color="auto" w:fill="FFFFFF"/>
            <w:vAlign w:val="center"/>
            <w:hideMark/>
          </w:tcPr>
          <w:p w14:paraId="0D7B79CC" w14:textId="77777777" w:rsidR="00FC2FE5" w:rsidRPr="00FC2FE5" w:rsidRDefault="00FC2FE5" w:rsidP="00FC2FE5">
            <w:pPr>
              <w:jc w:val="center"/>
              <w:rPr>
                <w:rFonts w:ascii="Times New Roman" w:hAnsi="Times New Roman" w:cs="Times New Roman"/>
                <w:sz w:val="24"/>
                <w:szCs w:val="24"/>
              </w:rPr>
            </w:pPr>
            <w:r w:rsidRPr="00FC2FE5">
              <w:rPr>
                <w:rFonts w:ascii="Times New Roman" w:hAnsi="Times New Roman" w:cs="Times New Roman"/>
                <w:sz w:val="24"/>
                <w:szCs w:val="24"/>
              </w:rPr>
              <w:t>1</w:t>
            </w:r>
          </w:p>
        </w:tc>
        <w:tc>
          <w:tcPr>
            <w:tcW w:w="1163" w:type="dxa"/>
            <w:shd w:val="clear" w:color="auto" w:fill="FFFFFF"/>
            <w:vAlign w:val="center"/>
            <w:hideMark/>
          </w:tcPr>
          <w:p w14:paraId="54FC4BE5"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2</w:t>
            </w:r>
          </w:p>
        </w:tc>
        <w:tc>
          <w:tcPr>
            <w:tcW w:w="1130" w:type="dxa"/>
            <w:shd w:val="clear" w:color="auto" w:fill="FFFFFF"/>
            <w:vAlign w:val="center"/>
            <w:hideMark/>
          </w:tcPr>
          <w:p w14:paraId="6DF8604A"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3</w:t>
            </w:r>
          </w:p>
        </w:tc>
        <w:tc>
          <w:tcPr>
            <w:tcW w:w="1220" w:type="dxa"/>
            <w:shd w:val="clear" w:color="auto" w:fill="FFFFFF"/>
            <w:vAlign w:val="center"/>
            <w:hideMark/>
          </w:tcPr>
          <w:p w14:paraId="6C92D763"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4</w:t>
            </w:r>
          </w:p>
        </w:tc>
        <w:tc>
          <w:tcPr>
            <w:tcW w:w="1040" w:type="dxa"/>
            <w:shd w:val="clear" w:color="auto" w:fill="FFFFFF"/>
            <w:vAlign w:val="center"/>
            <w:hideMark/>
          </w:tcPr>
          <w:p w14:paraId="585DEF5E"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5</w:t>
            </w:r>
          </w:p>
        </w:tc>
        <w:tc>
          <w:tcPr>
            <w:tcW w:w="1160" w:type="dxa"/>
            <w:shd w:val="clear" w:color="auto" w:fill="FFFFFF"/>
            <w:vAlign w:val="center"/>
            <w:hideMark/>
          </w:tcPr>
          <w:p w14:paraId="26B4D379"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6</w:t>
            </w:r>
          </w:p>
        </w:tc>
        <w:tc>
          <w:tcPr>
            <w:tcW w:w="1040" w:type="dxa"/>
            <w:shd w:val="clear" w:color="auto" w:fill="FFFFFF"/>
            <w:vAlign w:val="center"/>
            <w:hideMark/>
          </w:tcPr>
          <w:p w14:paraId="02219922"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7</w:t>
            </w:r>
          </w:p>
        </w:tc>
        <w:tc>
          <w:tcPr>
            <w:tcW w:w="1113" w:type="dxa"/>
            <w:shd w:val="clear" w:color="auto" w:fill="FFFFFF"/>
            <w:vAlign w:val="center"/>
            <w:hideMark/>
          </w:tcPr>
          <w:p w14:paraId="5DFC6E76" w14:textId="77777777" w:rsidR="00FC2FE5" w:rsidRPr="00FC2FE5" w:rsidRDefault="00FC2FE5" w:rsidP="00FC2FE5">
            <w:pPr>
              <w:jc w:val="center"/>
              <w:rPr>
                <w:rFonts w:ascii="Times New Roman" w:hAnsi="Times New Roman" w:cs="Times New Roman"/>
                <w:sz w:val="20"/>
                <w:szCs w:val="20"/>
              </w:rPr>
            </w:pPr>
            <w:r w:rsidRPr="00FC2FE5">
              <w:rPr>
                <w:rFonts w:ascii="Times New Roman" w:hAnsi="Times New Roman" w:cs="Times New Roman"/>
                <w:sz w:val="20"/>
                <w:szCs w:val="20"/>
              </w:rPr>
              <w:t>8</w:t>
            </w:r>
          </w:p>
        </w:tc>
      </w:tr>
      <w:tr w:rsidR="00FB03E1" w:rsidRPr="00FC2FE5" w14:paraId="18D918D8" w14:textId="77777777" w:rsidTr="0094545A">
        <w:trPr>
          <w:trHeight w:val="184"/>
          <w:tblCellSpacing w:w="20" w:type="dxa"/>
        </w:trPr>
        <w:tc>
          <w:tcPr>
            <w:tcW w:w="1527" w:type="dxa"/>
            <w:shd w:val="clear" w:color="auto" w:fill="FFFFFF"/>
            <w:hideMark/>
          </w:tcPr>
          <w:p w14:paraId="3CB4766E"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1. Budžeta ieņēmumi</w:t>
            </w:r>
          </w:p>
        </w:tc>
        <w:tc>
          <w:tcPr>
            <w:tcW w:w="1163" w:type="dxa"/>
            <w:shd w:val="clear" w:color="auto" w:fill="auto"/>
            <w:hideMark/>
          </w:tcPr>
          <w:p w14:paraId="72303CF0" w14:textId="17891107" w:rsidR="00E40704" w:rsidRPr="00FC2FE5" w:rsidRDefault="00E40704" w:rsidP="00E40704">
            <w:pPr>
              <w:ind w:firstLine="91"/>
              <w:jc w:val="center"/>
              <w:rPr>
                <w:rFonts w:ascii="Times New Roman" w:hAnsi="Times New Roman" w:cs="Times New Roman"/>
                <w:sz w:val="20"/>
                <w:szCs w:val="20"/>
              </w:rPr>
            </w:pPr>
            <w:r>
              <w:rPr>
                <w:rFonts w:ascii="Times New Roman" w:hAnsi="Times New Roman" w:cs="Times New Roman"/>
                <w:sz w:val="20"/>
                <w:szCs w:val="20"/>
              </w:rPr>
              <w:t>0</w:t>
            </w:r>
          </w:p>
        </w:tc>
        <w:tc>
          <w:tcPr>
            <w:tcW w:w="1130" w:type="dxa"/>
            <w:shd w:val="clear" w:color="auto" w:fill="FFFFFF"/>
            <w:hideMark/>
          </w:tcPr>
          <w:p w14:paraId="3F9EC15E" w14:textId="5721AEAF"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486D087E" w14:textId="5D6A2EAD" w:rsidR="00E40704" w:rsidRPr="00FC2FE5" w:rsidRDefault="00E40704" w:rsidP="00E40704">
            <w:pPr>
              <w:jc w:val="center"/>
              <w:rPr>
                <w:rFonts w:ascii="Times New Roman" w:hAnsi="Times New Roman" w:cs="Times New Roman"/>
                <w:sz w:val="20"/>
                <w:szCs w:val="20"/>
              </w:rPr>
            </w:pPr>
            <w:r w:rsidRPr="00533410">
              <w:rPr>
                <w:rFonts w:ascii="Times New Roman" w:hAnsi="Times New Roman" w:cs="Times New Roman"/>
                <w:sz w:val="20"/>
                <w:szCs w:val="20"/>
              </w:rPr>
              <w:t>4,</w:t>
            </w:r>
            <w:r>
              <w:rPr>
                <w:rFonts w:ascii="Times New Roman" w:hAnsi="Times New Roman" w:cs="Times New Roman"/>
                <w:sz w:val="20"/>
                <w:szCs w:val="20"/>
              </w:rPr>
              <w:t>16</w:t>
            </w:r>
            <w:r w:rsidRPr="00533410">
              <w:rPr>
                <w:rFonts w:ascii="Times New Roman" w:hAnsi="Times New Roman" w:cs="Times New Roman"/>
                <w:sz w:val="20"/>
                <w:szCs w:val="20"/>
              </w:rPr>
              <w:t>8,784</w:t>
            </w:r>
          </w:p>
        </w:tc>
        <w:tc>
          <w:tcPr>
            <w:tcW w:w="1040" w:type="dxa"/>
            <w:shd w:val="clear" w:color="auto" w:fill="FFFFFF"/>
            <w:hideMark/>
          </w:tcPr>
          <w:p w14:paraId="19EB9F58" w14:textId="4C64AA86"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7F4CB713" w14:textId="7F29EB20" w:rsidR="00E40704" w:rsidRPr="00FC2FE5" w:rsidRDefault="00E40704" w:rsidP="00E40704">
            <w:pPr>
              <w:jc w:val="center"/>
              <w:rPr>
                <w:rFonts w:ascii="Times New Roman" w:hAnsi="Times New Roman" w:cs="Times New Roman"/>
                <w:sz w:val="20"/>
                <w:szCs w:val="20"/>
              </w:rPr>
            </w:pPr>
            <w:r w:rsidRPr="000A5473">
              <w:rPr>
                <w:rFonts w:ascii="Times New Roman" w:hAnsi="Times New Roman" w:cs="Times New Roman"/>
                <w:sz w:val="20"/>
                <w:szCs w:val="20"/>
              </w:rPr>
              <w:t>3,000,000</w:t>
            </w:r>
          </w:p>
        </w:tc>
        <w:tc>
          <w:tcPr>
            <w:tcW w:w="1040" w:type="dxa"/>
            <w:shd w:val="clear" w:color="auto" w:fill="auto"/>
            <w:hideMark/>
          </w:tcPr>
          <w:p w14:paraId="3D185860" w14:textId="062E3924" w:rsidR="00E40704" w:rsidRPr="00FC2FE5" w:rsidRDefault="00E40704" w:rsidP="00E40704">
            <w:pPr>
              <w:jc w:val="center"/>
              <w:rPr>
                <w:rFonts w:ascii="Times New Roman" w:hAnsi="Times New Roman" w:cs="Times New Roman"/>
                <w:sz w:val="20"/>
                <w:szCs w:val="20"/>
              </w:rPr>
            </w:pPr>
          </w:p>
        </w:tc>
        <w:tc>
          <w:tcPr>
            <w:tcW w:w="1113" w:type="dxa"/>
            <w:shd w:val="clear" w:color="auto" w:fill="auto"/>
            <w:hideMark/>
          </w:tcPr>
          <w:p w14:paraId="6A033A1B" w14:textId="246D7230"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-1 878 034</w:t>
            </w:r>
          </w:p>
        </w:tc>
      </w:tr>
      <w:tr w:rsidR="002F79F1" w:rsidRPr="00FC2FE5" w14:paraId="70E529DB" w14:textId="77777777" w:rsidTr="0094545A">
        <w:trPr>
          <w:trHeight w:val="1354"/>
          <w:tblCellSpacing w:w="20" w:type="dxa"/>
        </w:trPr>
        <w:tc>
          <w:tcPr>
            <w:tcW w:w="1527" w:type="dxa"/>
            <w:shd w:val="clear" w:color="auto" w:fill="auto"/>
            <w:hideMark/>
          </w:tcPr>
          <w:p w14:paraId="5B9AD3AF"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 xml:space="preserve">1.1. valsts pamatbudžets, tai skaitā ieņēmumi no maksas pakalpojumiem un citi pašu ieņēmumi </w:t>
            </w:r>
          </w:p>
        </w:tc>
        <w:tc>
          <w:tcPr>
            <w:tcW w:w="1163" w:type="dxa"/>
            <w:shd w:val="clear" w:color="auto" w:fill="auto"/>
            <w:hideMark/>
          </w:tcPr>
          <w:p w14:paraId="5DB7C9C6" w14:textId="5C59E1A9" w:rsidR="00E40704" w:rsidRPr="00FC2FE5" w:rsidRDefault="00E40704" w:rsidP="00E40704">
            <w:pPr>
              <w:ind w:firstLine="91"/>
              <w:jc w:val="center"/>
              <w:rPr>
                <w:rFonts w:ascii="Times New Roman" w:hAnsi="Times New Roman" w:cs="Times New Roman"/>
                <w:sz w:val="20"/>
                <w:szCs w:val="20"/>
              </w:rPr>
            </w:pPr>
            <w:r>
              <w:rPr>
                <w:rFonts w:ascii="Times New Roman" w:hAnsi="Times New Roman" w:cs="Times New Roman"/>
                <w:sz w:val="20"/>
                <w:szCs w:val="20"/>
              </w:rPr>
              <w:t>0</w:t>
            </w:r>
          </w:p>
        </w:tc>
        <w:tc>
          <w:tcPr>
            <w:tcW w:w="1130" w:type="dxa"/>
            <w:shd w:val="clear" w:color="auto" w:fill="FFFFFF"/>
            <w:hideMark/>
          </w:tcPr>
          <w:p w14:paraId="6EC48BAA" w14:textId="5E8D5A43"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052EF7B1" w14:textId="185F20BA" w:rsidR="00E40704" w:rsidRPr="00FC2FE5" w:rsidRDefault="00E40704" w:rsidP="00E40704">
            <w:pPr>
              <w:jc w:val="center"/>
              <w:rPr>
                <w:rFonts w:ascii="Times New Roman" w:hAnsi="Times New Roman" w:cs="Times New Roman"/>
                <w:sz w:val="20"/>
                <w:szCs w:val="20"/>
              </w:rPr>
            </w:pPr>
            <w:r w:rsidRPr="00533410">
              <w:rPr>
                <w:rFonts w:ascii="Times New Roman" w:hAnsi="Times New Roman" w:cs="Times New Roman"/>
                <w:sz w:val="20"/>
                <w:szCs w:val="20"/>
              </w:rPr>
              <w:t>4,</w:t>
            </w:r>
            <w:r>
              <w:rPr>
                <w:rFonts w:ascii="Times New Roman" w:hAnsi="Times New Roman" w:cs="Times New Roman"/>
                <w:sz w:val="20"/>
                <w:szCs w:val="20"/>
              </w:rPr>
              <w:t>16</w:t>
            </w:r>
            <w:r w:rsidRPr="00533410">
              <w:rPr>
                <w:rFonts w:ascii="Times New Roman" w:hAnsi="Times New Roman" w:cs="Times New Roman"/>
                <w:sz w:val="20"/>
                <w:szCs w:val="20"/>
              </w:rPr>
              <w:t>8,784</w:t>
            </w:r>
          </w:p>
        </w:tc>
        <w:tc>
          <w:tcPr>
            <w:tcW w:w="1040" w:type="dxa"/>
            <w:shd w:val="clear" w:color="auto" w:fill="FFFFFF"/>
            <w:hideMark/>
          </w:tcPr>
          <w:p w14:paraId="75E0E962" w14:textId="3FBF7910"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50665B9F" w14:textId="60A11FC6" w:rsidR="00E40704" w:rsidRPr="00FC2FE5" w:rsidRDefault="00E40704" w:rsidP="00E40704">
            <w:pPr>
              <w:jc w:val="center"/>
              <w:rPr>
                <w:rFonts w:ascii="Times New Roman" w:hAnsi="Times New Roman" w:cs="Times New Roman"/>
                <w:sz w:val="20"/>
                <w:szCs w:val="20"/>
              </w:rPr>
            </w:pPr>
            <w:r w:rsidRPr="000A5473">
              <w:rPr>
                <w:rFonts w:ascii="Times New Roman" w:hAnsi="Times New Roman" w:cs="Times New Roman"/>
                <w:sz w:val="20"/>
                <w:szCs w:val="20"/>
              </w:rPr>
              <w:t>3,000,000</w:t>
            </w:r>
          </w:p>
        </w:tc>
        <w:tc>
          <w:tcPr>
            <w:tcW w:w="1040" w:type="dxa"/>
            <w:shd w:val="clear" w:color="auto" w:fill="auto"/>
            <w:hideMark/>
          </w:tcPr>
          <w:p w14:paraId="01D5C8E5" w14:textId="204CD8F5" w:rsidR="00E40704" w:rsidRPr="00FC2FE5" w:rsidRDefault="00E40704" w:rsidP="00E40704">
            <w:pPr>
              <w:jc w:val="center"/>
              <w:rPr>
                <w:rFonts w:ascii="Times New Roman" w:hAnsi="Times New Roman" w:cs="Times New Roman"/>
                <w:sz w:val="20"/>
                <w:szCs w:val="20"/>
              </w:rPr>
            </w:pPr>
          </w:p>
        </w:tc>
        <w:tc>
          <w:tcPr>
            <w:tcW w:w="1113" w:type="dxa"/>
            <w:shd w:val="clear" w:color="auto" w:fill="auto"/>
            <w:hideMark/>
          </w:tcPr>
          <w:p w14:paraId="01889C69" w14:textId="11BBF8F0"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-1 878 034</w:t>
            </w:r>
          </w:p>
        </w:tc>
      </w:tr>
      <w:tr w:rsidR="002F79F1" w:rsidRPr="00FC2FE5" w14:paraId="150A77A2" w14:textId="77777777" w:rsidTr="0094545A">
        <w:trPr>
          <w:trHeight w:val="510"/>
          <w:tblCellSpacing w:w="20" w:type="dxa"/>
        </w:trPr>
        <w:tc>
          <w:tcPr>
            <w:tcW w:w="1527" w:type="dxa"/>
            <w:shd w:val="clear" w:color="auto" w:fill="auto"/>
            <w:hideMark/>
          </w:tcPr>
          <w:p w14:paraId="2283B2DC"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1.2. valsts speciālais budžets</w:t>
            </w:r>
          </w:p>
        </w:tc>
        <w:tc>
          <w:tcPr>
            <w:tcW w:w="1163" w:type="dxa"/>
            <w:shd w:val="clear" w:color="auto" w:fill="auto"/>
            <w:hideMark/>
          </w:tcPr>
          <w:p w14:paraId="317175C5" w14:textId="6EA1323B"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0" w:type="dxa"/>
            <w:shd w:val="clear" w:color="auto" w:fill="auto"/>
            <w:hideMark/>
          </w:tcPr>
          <w:p w14:paraId="68BFC3DB" w14:textId="5A50B4CA"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1FC998BB" w14:textId="2F2CDEBF"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13F4EE31" w14:textId="6906D63D"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36628061" w14:textId="63A9ABB2"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7BE3D403" w14:textId="6F2973C8"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13" w:type="dxa"/>
            <w:shd w:val="clear" w:color="auto" w:fill="auto"/>
            <w:hideMark/>
          </w:tcPr>
          <w:p w14:paraId="6E4981EE" w14:textId="085434F3"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2F79F1" w:rsidRPr="00FC2FE5" w14:paraId="6CD168CC" w14:textId="77777777" w:rsidTr="0094545A">
        <w:trPr>
          <w:trHeight w:val="510"/>
          <w:tblCellSpacing w:w="20" w:type="dxa"/>
        </w:trPr>
        <w:tc>
          <w:tcPr>
            <w:tcW w:w="1527" w:type="dxa"/>
            <w:shd w:val="clear" w:color="auto" w:fill="auto"/>
            <w:hideMark/>
          </w:tcPr>
          <w:p w14:paraId="4D9C322E"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lastRenderedPageBreak/>
              <w:t>1.3. pašvaldību budžets</w:t>
            </w:r>
          </w:p>
        </w:tc>
        <w:tc>
          <w:tcPr>
            <w:tcW w:w="1163" w:type="dxa"/>
            <w:shd w:val="clear" w:color="auto" w:fill="auto"/>
            <w:hideMark/>
          </w:tcPr>
          <w:p w14:paraId="7C3DEE9E" w14:textId="471237CF"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0" w:type="dxa"/>
            <w:shd w:val="clear" w:color="auto" w:fill="auto"/>
            <w:hideMark/>
          </w:tcPr>
          <w:p w14:paraId="6EF8106B" w14:textId="48FA4108"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3D9ABDCD" w14:textId="15855388"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74702EB9" w14:textId="21E36A79"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0EBD5377" w14:textId="207426DA"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1037B135" w14:textId="4D1A658B"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13" w:type="dxa"/>
            <w:shd w:val="clear" w:color="auto" w:fill="auto"/>
            <w:hideMark/>
          </w:tcPr>
          <w:p w14:paraId="439601D7" w14:textId="5696E1DF"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2F79F1" w:rsidRPr="00FC2FE5" w14:paraId="09BFB1DC" w14:textId="77777777" w:rsidTr="0094545A">
        <w:trPr>
          <w:trHeight w:val="300"/>
          <w:tblCellSpacing w:w="20" w:type="dxa"/>
        </w:trPr>
        <w:tc>
          <w:tcPr>
            <w:tcW w:w="1527" w:type="dxa"/>
            <w:shd w:val="clear" w:color="auto" w:fill="auto"/>
            <w:hideMark/>
          </w:tcPr>
          <w:p w14:paraId="38AE5631"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2. Budžeta izdevumi</w:t>
            </w:r>
          </w:p>
        </w:tc>
        <w:tc>
          <w:tcPr>
            <w:tcW w:w="1163" w:type="dxa"/>
            <w:shd w:val="clear" w:color="auto" w:fill="auto"/>
            <w:hideMark/>
          </w:tcPr>
          <w:p w14:paraId="132D67DA" w14:textId="625F4193" w:rsidR="00E40704" w:rsidRPr="00FC2FE5" w:rsidRDefault="001E1A80" w:rsidP="00E40704">
            <w:pPr>
              <w:ind w:firstLine="91"/>
              <w:jc w:val="center"/>
              <w:rPr>
                <w:rFonts w:ascii="Times New Roman" w:hAnsi="Times New Roman" w:cs="Times New Roman"/>
                <w:sz w:val="20"/>
                <w:szCs w:val="20"/>
              </w:rPr>
            </w:pPr>
            <w:r>
              <w:rPr>
                <w:rFonts w:ascii="Times New Roman" w:hAnsi="Times New Roman" w:cs="Times New Roman"/>
                <w:sz w:val="20"/>
                <w:szCs w:val="20"/>
              </w:rPr>
              <w:t>0</w:t>
            </w:r>
          </w:p>
        </w:tc>
        <w:tc>
          <w:tcPr>
            <w:tcW w:w="1130" w:type="dxa"/>
            <w:shd w:val="clear" w:color="auto" w:fill="FFFFFF"/>
            <w:hideMark/>
          </w:tcPr>
          <w:p w14:paraId="4FF5C5B3" w14:textId="59F67948" w:rsidR="00E40704" w:rsidRPr="00FC2FE5" w:rsidRDefault="001E1A80" w:rsidP="00E40704">
            <w:pPr>
              <w:jc w:val="center"/>
              <w:rPr>
                <w:rFonts w:ascii="Times New Roman" w:hAnsi="Times New Roman" w:cs="Times New Roman"/>
                <w:sz w:val="20"/>
                <w:szCs w:val="20"/>
              </w:rPr>
            </w:pPr>
            <w:r>
              <w:rPr>
                <w:rFonts w:ascii="Times New Roman" w:hAnsi="Times New Roman" w:cs="Times New Roman"/>
                <w:sz w:val="20"/>
                <w:szCs w:val="20"/>
              </w:rPr>
              <w:t>846 450</w:t>
            </w:r>
          </w:p>
        </w:tc>
        <w:tc>
          <w:tcPr>
            <w:tcW w:w="1220" w:type="dxa"/>
            <w:shd w:val="clear" w:color="auto" w:fill="auto"/>
            <w:hideMark/>
          </w:tcPr>
          <w:p w14:paraId="22AE4403" w14:textId="2BCED5A5" w:rsidR="00E40704" w:rsidRPr="00FC2FE5" w:rsidRDefault="00E40704" w:rsidP="00E40704">
            <w:pPr>
              <w:jc w:val="center"/>
              <w:rPr>
                <w:rFonts w:ascii="Times New Roman" w:hAnsi="Times New Roman" w:cs="Times New Roman"/>
                <w:sz w:val="20"/>
                <w:szCs w:val="20"/>
              </w:rPr>
            </w:pPr>
            <w:r w:rsidRPr="00533410">
              <w:rPr>
                <w:rFonts w:ascii="Times New Roman" w:hAnsi="Times New Roman" w:cs="Times New Roman"/>
                <w:sz w:val="20"/>
                <w:szCs w:val="20"/>
              </w:rPr>
              <w:t>4,</w:t>
            </w:r>
            <w:r>
              <w:rPr>
                <w:rFonts w:ascii="Times New Roman" w:hAnsi="Times New Roman" w:cs="Times New Roman"/>
                <w:sz w:val="20"/>
                <w:szCs w:val="20"/>
              </w:rPr>
              <w:t>16</w:t>
            </w:r>
            <w:r w:rsidRPr="00533410">
              <w:rPr>
                <w:rFonts w:ascii="Times New Roman" w:hAnsi="Times New Roman" w:cs="Times New Roman"/>
                <w:sz w:val="20"/>
                <w:szCs w:val="20"/>
              </w:rPr>
              <w:t>8,784</w:t>
            </w:r>
          </w:p>
        </w:tc>
        <w:tc>
          <w:tcPr>
            <w:tcW w:w="1040" w:type="dxa"/>
            <w:shd w:val="clear" w:color="auto" w:fill="FFFFFF"/>
            <w:hideMark/>
          </w:tcPr>
          <w:p w14:paraId="1273F4B8" w14:textId="0AC30273"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057FF137" w14:textId="7641B3F7" w:rsidR="00E40704" w:rsidRPr="00FC2FE5" w:rsidRDefault="00E40704" w:rsidP="00E40704">
            <w:pPr>
              <w:jc w:val="center"/>
              <w:rPr>
                <w:rFonts w:ascii="Times New Roman" w:hAnsi="Times New Roman" w:cs="Times New Roman"/>
                <w:sz w:val="20"/>
                <w:szCs w:val="20"/>
              </w:rPr>
            </w:pPr>
            <w:r w:rsidRPr="000A5473">
              <w:rPr>
                <w:rFonts w:ascii="Times New Roman" w:hAnsi="Times New Roman" w:cs="Times New Roman"/>
                <w:sz w:val="20"/>
                <w:szCs w:val="20"/>
              </w:rPr>
              <w:t>3,000,000</w:t>
            </w:r>
          </w:p>
        </w:tc>
        <w:tc>
          <w:tcPr>
            <w:tcW w:w="1040" w:type="dxa"/>
            <w:shd w:val="clear" w:color="auto" w:fill="auto"/>
            <w:hideMark/>
          </w:tcPr>
          <w:p w14:paraId="18559191" w14:textId="51A201CA" w:rsidR="00E40704" w:rsidRPr="00FC2FE5" w:rsidRDefault="00E40704" w:rsidP="00E40704">
            <w:pPr>
              <w:jc w:val="center"/>
              <w:rPr>
                <w:rFonts w:ascii="Times New Roman" w:hAnsi="Times New Roman" w:cs="Times New Roman"/>
                <w:sz w:val="20"/>
                <w:szCs w:val="20"/>
              </w:rPr>
            </w:pPr>
          </w:p>
        </w:tc>
        <w:tc>
          <w:tcPr>
            <w:tcW w:w="1113" w:type="dxa"/>
            <w:shd w:val="clear" w:color="auto" w:fill="auto"/>
            <w:hideMark/>
          </w:tcPr>
          <w:p w14:paraId="25BE1F33" w14:textId="55E6FEBC"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-1 878 034</w:t>
            </w:r>
          </w:p>
        </w:tc>
      </w:tr>
      <w:tr w:rsidR="002F79F1" w:rsidRPr="00FC2FE5" w14:paraId="5F665370" w14:textId="77777777" w:rsidTr="0094545A">
        <w:trPr>
          <w:trHeight w:val="510"/>
          <w:tblCellSpacing w:w="20" w:type="dxa"/>
        </w:trPr>
        <w:tc>
          <w:tcPr>
            <w:tcW w:w="1527" w:type="dxa"/>
            <w:shd w:val="clear" w:color="auto" w:fill="auto"/>
            <w:hideMark/>
          </w:tcPr>
          <w:p w14:paraId="1A16FF98"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 xml:space="preserve">2.1. valsts pamatbudžets </w:t>
            </w:r>
          </w:p>
        </w:tc>
        <w:tc>
          <w:tcPr>
            <w:tcW w:w="1163" w:type="dxa"/>
            <w:shd w:val="clear" w:color="auto" w:fill="auto"/>
            <w:hideMark/>
          </w:tcPr>
          <w:p w14:paraId="7F58264F" w14:textId="36AC1721" w:rsidR="00E40704" w:rsidRPr="00FC2FE5" w:rsidRDefault="001E1A80" w:rsidP="00E40704">
            <w:pPr>
              <w:ind w:firstLine="91"/>
              <w:jc w:val="center"/>
              <w:rPr>
                <w:rFonts w:ascii="Times New Roman" w:hAnsi="Times New Roman" w:cs="Times New Roman"/>
                <w:sz w:val="20"/>
                <w:szCs w:val="20"/>
              </w:rPr>
            </w:pPr>
            <w:r>
              <w:rPr>
                <w:rFonts w:ascii="Times New Roman" w:hAnsi="Times New Roman" w:cs="Times New Roman"/>
                <w:sz w:val="20"/>
                <w:szCs w:val="20"/>
              </w:rPr>
              <w:t>0</w:t>
            </w:r>
          </w:p>
        </w:tc>
        <w:tc>
          <w:tcPr>
            <w:tcW w:w="1130" w:type="dxa"/>
            <w:shd w:val="clear" w:color="auto" w:fill="auto"/>
            <w:hideMark/>
          </w:tcPr>
          <w:p w14:paraId="73C29876" w14:textId="491815FE" w:rsidR="00E40704" w:rsidRPr="00FC2FE5" w:rsidRDefault="001E1A80" w:rsidP="00E40704">
            <w:pPr>
              <w:jc w:val="center"/>
              <w:rPr>
                <w:rFonts w:ascii="Times New Roman" w:hAnsi="Times New Roman" w:cs="Times New Roman"/>
                <w:sz w:val="20"/>
                <w:szCs w:val="20"/>
              </w:rPr>
            </w:pPr>
            <w:r>
              <w:rPr>
                <w:rFonts w:ascii="Times New Roman" w:hAnsi="Times New Roman" w:cs="Times New Roman"/>
                <w:sz w:val="20"/>
                <w:szCs w:val="20"/>
              </w:rPr>
              <w:t>846 450</w:t>
            </w:r>
          </w:p>
        </w:tc>
        <w:tc>
          <w:tcPr>
            <w:tcW w:w="1220" w:type="dxa"/>
            <w:shd w:val="clear" w:color="auto" w:fill="auto"/>
            <w:hideMark/>
          </w:tcPr>
          <w:p w14:paraId="0B5FD923" w14:textId="6B0E7652" w:rsidR="00E40704" w:rsidRPr="00FC2FE5" w:rsidRDefault="00E40704" w:rsidP="00E40704">
            <w:pPr>
              <w:jc w:val="center"/>
              <w:rPr>
                <w:rFonts w:ascii="Times New Roman" w:hAnsi="Times New Roman" w:cs="Times New Roman"/>
                <w:sz w:val="20"/>
                <w:szCs w:val="20"/>
              </w:rPr>
            </w:pPr>
            <w:r w:rsidRPr="00533410">
              <w:rPr>
                <w:rFonts w:ascii="Times New Roman" w:hAnsi="Times New Roman" w:cs="Times New Roman"/>
                <w:sz w:val="20"/>
                <w:szCs w:val="20"/>
              </w:rPr>
              <w:t>4,</w:t>
            </w:r>
            <w:r>
              <w:rPr>
                <w:rFonts w:ascii="Times New Roman" w:hAnsi="Times New Roman" w:cs="Times New Roman"/>
                <w:sz w:val="20"/>
                <w:szCs w:val="20"/>
              </w:rPr>
              <w:t>16</w:t>
            </w:r>
            <w:r w:rsidRPr="00533410">
              <w:rPr>
                <w:rFonts w:ascii="Times New Roman" w:hAnsi="Times New Roman" w:cs="Times New Roman"/>
                <w:sz w:val="20"/>
                <w:szCs w:val="20"/>
              </w:rPr>
              <w:t>8,784</w:t>
            </w:r>
          </w:p>
        </w:tc>
        <w:tc>
          <w:tcPr>
            <w:tcW w:w="1040" w:type="dxa"/>
            <w:shd w:val="clear" w:color="auto" w:fill="FFFFFF"/>
            <w:hideMark/>
          </w:tcPr>
          <w:p w14:paraId="7719C756" w14:textId="74C61C97"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33013437" w14:textId="15FC3756" w:rsidR="00E40704" w:rsidRPr="00FC2FE5" w:rsidRDefault="00E40704" w:rsidP="00E40704">
            <w:pPr>
              <w:jc w:val="center"/>
              <w:rPr>
                <w:rFonts w:ascii="Times New Roman" w:hAnsi="Times New Roman" w:cs="Times New Roman"/>
                <w:sz w:val="20"/>
                <w:szCs w:val="20"/>
              </w:rPr>
            </w:pPr>
            <w:r w:rsidRPr="000A5473">
              <w:rPr>
                <w:rFonts w:ascii="Times New Roman" w:hAnsi="Times New Roman" w:cs="Times New Roman"/>
                <w:sz w:val="20"/>
                <w:szCs w:val="20"/>
              </w:rPr>
              <w:t>3,000,000</w:t>
            </w:r>
          </w:p>
        </w:tc>
        <w:tc>
          <w:tcPr>
            <w:tcW w:w="1040" w:type="dxa"/>
            <w:shd w:val="clear" w:color="auto" w:fill="auto"/>
            <w:hideMark/>
          </w:tcPr>
          <w:p w14:paraId="503CF321" w14:textId="41850411"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 xml:space="preserve"> </w:t>
            </w:r>
          </w:p>
        </w:tc>
        <w:tc>
          <w:tcPr>
            <w:tcW w:w="1113" w:type="dxa"/>
            <w:shd w:val="clear" w:color="auto" w:fill="auto"/>
            <w:hideMark/>
          </w:tcPr>
          <w:p w14:paraId="4D4807F6" w14:textId="591F6948"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-1 878 034</w:t>
            </w:r>
          </w:p>
        </w:tc>
      </w:tr>
      <w:tr w:rsidR="002F79F1" w:rsidRPr="00FC2FE5" w14:paraId="4AB73D47" w14:textId="77777777" w:rsidTr="0094545A">
        <w:trPr>
          <w:trHeight w:val="510"/>
          <w:tblCellSpacing w:w="20" w:type="dxa"/>
        </w:trPr>
        <w:tc>
          <w:tcPr>
            <w:tcW w:w="1527" w:type="dxa"/>
            <w:shd w:val="clear" w:color="auto" w:fill="auto"/>
            <w:hideMark/>
          </w:tcPr>
          <w:p w14:paraId="739BDF2E"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2.2. valsts speciālais budžets</w:t>
            </w:r>
          </w:p>
        </w:tc>
        <w:tc>
          <w:tcPr>
            <w:tcW w:w="1163" w:type="dxa"/>
            <w:shd w:val="clear" w:color="auto" w:fill="auto"/>
            <w:hideMark/>
          </w:tcPr>
          <w:p w14:paraId="3DCDCC57" w14:textId="76A82A9D"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0" w:type="dxa"/>
            <w:shd w:val="clear" w:color="auto" w:fill="auto"/>
            <w:hideMark/>
          </w:tcPr>
          <w:p w14:paraId="1B24FD59" w14:textId="0BF12995"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3DD4E3FD" w14:textId="77777777"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p w14:paraId="36D2B272" w14:textId="77777777" w:rsidR="00E40704" w:rsidRPr="00FC2FE5" w:rsidRDefault="00E40704" w:rsidP="00E40704">
            <w:pPr>
              <w:jc w:val="center"/>
              <w:rPr>
                <w:rFonts w:ascii="Times New Roman" w:hAnsi="Times New Roman" w:cs="Times New Roman"/>
                <w:sz w:val="20"/>
                <w:szCs w:val="20"/>
              </w:rPr>
            </w:pPr>
          </w:p>
        </w:tc>
        <w:tc>
          <w:tcPr>
            <w:tcW w:w="1040" w:type="dxa"/>
            <w:shd w:val="clear" w:color="auto" w:fill="auto"/>
            <w:hideMark/>
          </w:tcPr>
          <w:p w14:paraId="4C148339" w14:textId="19B43026"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49FB0A4F" w14:textId="34FB16CF"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3EC7420E" w14:textId="5C10C19E"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13" w:type="dxa"/>
            <w:shd w:val="clear" w:color="auto" w:fill="auto"/>
            <w:hideMark/>
          </w:tcPr>
          <w:p w14:paraId="7D3DE641" w14:textId="0DBE1F28"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2F79F1" w:rsidRPr="00FC2FE5" w14:paraId="1229634C" w14:textId="77777777" w:rsidTr="0094545A">
        <w:trPr>
          <w:trHeight w:val="510"/>
          <w:tblCellSpacing w:w="20" w:type="dxa"/>
        </w:trPr>
        <w:tc>
          <w:tcPr>
            <w:tcW w:w="1527" w:type="dxa"/>
            <w:shd w:val="clear" w:color="auto" w:fill="auto"/>
            <w:hideMark/>
          </w:tcPr>
          <w:p w14:paraId="72B6BBC2"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2.3. pašvaldību budžets</w:t>
            </w:r>
          </w:p>
        </w:tc>
        <w:tc>
          <w:tcPr>
            <w:tcW w:w="1163" w:type="dxa"/>
            <w:shd w:val="clear" w:color="auto" w:fill="auto"/>
            <w:hideMark/>
          </w:tcPr>
          <w:p w14:paraId="674E020D" w14:textId="02867BB5"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0" w:type="dxa"/>
            <w:shd w:val="clear" w:color="auto" w:fill="auto"/>
            <w:hideMark/>
          </w:tcPr>
          <w:p w14:paraId="36B1A13D" w14:textId="6D390C9A"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578365F1" w14:textId="2536BA47"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66EAC503" w14:textId="531E3BB0"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5794E499" w14:textId="668FF06B"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061299A0" w14:textId="1A03BAAE"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13" w:type="dxa"/>
            <w:shd w:val="clear" w:color="auto" w:fill="auto"/>
            <w:hideMark/>
          </w:tcPr>
          <w:p w14:paraId="129C5303" w14:textId="2D56044F"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2F79F1" w:rsidRPr="00FC2FE5" w14:paraId="02F0C5B8" w14:textId="77777777" w:rsidTr="0094545A">
        <w:trPr>
          <w:trHeight w:val="222"/>
          <w:tblCellSpacing w:w="20" w:type="dxa"/>
        </w:trPr>
        <w:tc>
          <w:tcPr>
            <w:tcW w:w="1527" w:type="dxa"/>
            <w:shd w:val="clear" w:color="auto" w:fill="auto"/>
            <w:hideMark/>
          </w:tcPr>
          <w:p w14:paraId="58D31FD8"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3. Finansiālā ietekme</w:t>
            </w:r>
          </w:p>
        </w:tc>
        <w:tc>
          <w:tcPr>
            <w:tcW w:w="1163" w:type="dxa"/>
            <w:shd w:val="clear" w:color="auto" w:fill="auto"/>
            <w:hideMark/>
          </w:tcPr>
          <w:p w14:paraId="36797504" w14:textId="3163FF67" w:rsidR="00E40704" w:rsidRPr="00FC2FE5" w:rsidRDefault="001E1A80"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30" w:type="dxa"/>
            <w:shd w:val="clear" w:color="auto" w:fill="auto"/>
            <w:hideMark/>
          </w:tcPr>
          <w:p w14:paraId="6C8AE23B" w14:textId="2897E116" w:rsidR="00E40704" w:rsidRPr="00FC2FE5" w:rsidRDefault="001E1A80" w:rsidP="00E40704">
            <w:pPr>
              <w:jc w:val="center"/>
              <w:rPr>
                <w:rFonts w:ascii="Times New Roman" w:hAnsi="Times New Roman" w:cs="Times New Roman"/>
                <w:sz w:val="20"/>
                <w:szCs w:val="20"/>
              </w:rPr>
            </w:pPr>
            <w:r>
              <w:rPr>
                <w:rFonts w:ascii="Times New Roman" w:hAnsi="Times New Roman" w:cs="Times New Roman"/>
                <w:sz w:val="20"/>
                <w:szCs w:val="20"/>
              </w:rPr>
              <w:t>-846 450</w:t>
            </w:r>
          </w:p>
        </w:tc>
        <w:tc>
          <w:tcPr>
            <w:tcW w:w="1220" w:type="dxa"/>
            <w:shd w:val="clear" w:color="auto" w:fill="auto"/>
            <w:hideMark/>
          </w:tcPr>
          <w:p w14:paraId="2715F216" w14:textId="4C8277C4"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040" w:type="dxa"/>
            <w:shd w:val="clear" w:color="auto" w:fill="auto"/>
            <w:hideMark/>
          </w:tcPr>
          <w:p w14:paraId="0FF50B30" w14:textId="6B64E449"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60" w:type="dxa"/>
            <w:shd w:val="clear" w:color="auto" w:fill="auto"/>
            <w:hideMark/>
          </w:tcPr>
          <w:p w14:paraId="46BAF812" w14:textId="5ED586E5" w:rsidR="00E40704" w:rsidRPr="00FC2FE5" w:rsidRDefault="00994683"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040" w:type="dxa"/>
            <w:shd w:val="clear" w:color="auto" w:fill="auto"/>
            <w:hideMark/>
          </w:tcPr>
          <w:p w14:paraId="0DCB96E5" w14:textId="67AA458C"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13" w:type="dxa"/>
            <w:shd w:val="clear" w:color="auto" w:fill="auto"/>
            <w:hideMark/>
          </w:tcPr>
          <w:p w14:paraId="56688630" w14:textId="0FED30A8" w:rsidR="00E40704" w:rsidRPr="00FC2FE5" w:rsidRDefault="00994683" w:rsidP="00E40704">
            <w:pPr>
              <w:jc w:val="center"/>
              <w:rPr>
                <w:rFonts w:ascii="Times New Roman" w:hAnsi="Times New Roman" w:cs="Times New Roman"/>
                <w:sz w:val="20"/>
                <w:szCs w:val="20"/>
              </w:rPr>
            </w:pPr>
            <w:r>
              <w:rPr>
                <w:rFonts w:ascii="Times New Roman" w:hAnsi="Times New Roman" w:cs="Times New Roman"/>
                <w:sz w:val="20"/>
                <w:szCs w:val="20"/>
              </w:rPr>
              <w:t>0</w:t>
            </w:r>
          </w:p>
        </w:tc>
      </w:tr>
      <w:tr w:rsidR="002F79F1" w:rsidRPr="00FC2FE5" w14:paraId="68C73D96" w14:textId="77777777" w:rsidTr="0094545A">
        <w:trPr>
          <w:trHeight w:val="510"/>
          <w:tblCellSpacing w:w="20" w:type="dxa"/>
        </w:trPr>
        <w:tc>
          <w:tcPr>
            <w:tcW w:w="1527" w:type="dxa"/>
            <w:shd w:val="clear" w:color="auto" w:fill="auto"/>
            <w:hideMark/>
          </w:tcPr>
          <w:p w14:paraId="69DDD4FF"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3.1. valsts pamatbudžets</w:t>
            </w:r>
          </w:p>
        </w:tc>
        <w:tc>
          <w:tcPr>
            <w:tcW w:w="1163" w:type="dxa"/>
            <w:shd w:val="clear" w:color="auto" w:fill="auto"/>
            <w:hideMark/>
          </w:tcPr>
          <w:p w14:paraId="7E411A78" w14:textId="78B5CB3F"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0" w:type="dxa"/>
            <w:shd w:val="clear" w:color="auto" w:fill="auto"/>
            <w:hideMark/>
          </w:tcPr>
          <w:p w14:paraId="22A16AA7" w14:textId="37346FB9"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2585424A" w14:textId="5F151C83"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044CDE83" w14:textId="6A0071E8"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60" w:type="dxa"/>
            <w:shd w:val="clear" w:color="auto" w:fill="auto"/>
            <w:hideMark/>
          </w:tcPr>
          <w:p w14:paraId="140101F6" w14:textId="6BE7BB4A"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05B500F4" w14:textId="586C550D"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0</w:t>
            </w:r>
          </w:p>
        </w:tc>
        <w:tc>
          <w:tcPr>
            <w:tcW w:w="1113" w:type="dxa"/>
            <w:shd w:val="clear" w:color="auto" w:fill="auto"/>
            <w:hideMark/>
          </w:tcPr>
          <w:p w14:paraId="0BF2482A" w14:textId="740D6552" w:rsidR="00E40704" w:rsidRPr="00FC2FE5" w:rsidRDefault="00E40704" w:rsidP="00E40704">
            <w:pPr>
              <w:jc w:val="center"/>
              <w:rPr>
                <w:rFonts w:ascii="Times New Roman" w:hAnsi="Times New Roman" w:cs="Times New Roman"/>
                <w:sz w:val="20"/>
                <w:szCs w:val="20"/>
              </w:rPr>
            </w:pPr>
            <w:r>
              <w:rPr>
                <w:rFonts w:ascii="Times New Roman" w:hAnsi="Times New Roman" w:cs="Times New Roman"/>
                <w:sz w:val="20"/>
                <w:szCs w:val="20"/>
              </w:rPr>
              <w:t>0</w:t>
            </w:r>
          </w:p>
        </w:tc>
      </w:tr>
      <w:tr w:rsidR="002F79F1" w:rsidRPr="00FC2FE5" w14:paraId="3EDB4F41" w14:textId="77777777" w:rsidTr="0094545A">
        <w:trPr>
          <w:trHeight w:val="325"/>
          <w:tblCellSpacing w:w="20" w:type="dxa"/>
        </w:trPr>
        <w:tc>
          <w:tcPr>
            <w:tcW w:w="1527" w:type="dxa"/>
            <w:shd w:val="clear" w:color="auto" w:fill="auto"/>
            <w:hideMark/>
          </w:tcPr>
          <w:p w14:paraId="3E928486"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3.2. speciālais budžets</w:t>
            </w:r>
          </w:p>
        </w:tc>
        <w:tc>
          <w:tcPr>
            <w:tcW w:w="1163" w:type="dxa"/>
            <w:shd w:val="clear" w:color="auto" w:fill="auto"/>
            <w:hideMark/>
          </w:tcPr>
          <w:p w14:paraId="15F2EB23" w14:textId="0D00C57B"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0" w:type="dxa"/>
            <w:shd w:val="clear" w:color="auto" w:fill="auto"/>
            <w:hideMark/>
          </w:tcPr>
          <w:p w14:paraId="23336B1E" w14:textId="573A94E7"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06A129BB" w14:textId="2E23A0DC"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6FCA9783" w14:textId="2B55C0E6"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4A237FB7" w14:textId="12BD0B87"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4EE76486" w14:textId="56035878"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13" w:type="dxa"/>
            <w:shd w:val="clear" w:color="auto" w:fill="auto"/>
            <w:hideMark/>
          </w:tcPr>
          <w:p w14:paraId="1E0848BD" w14:textId="34C2C7C0"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2F79F1" w:rsidRPr="00FC2FE5" w14:paraId="3ABFB455" w14:textId="77777777" w:rsidTr="0094545A">
        <w:trPr>
          <w:trHeight w:val="510"/>
          <w:tblCellSpacing w:w="20" w:type="dxa"/>
        </w:trPr>
        <w:tc>
          <w:tcPr>
            <w:tcW w:w="1527" w:type="dxa"/>
            <w:shd w:val="clear" w:color="auto" w:fill="auto"/>
            <w:hideMark/>
          </w:tcPr>
          <w:p w14:paraId="7E7C4D39"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3.3. pašvaldību budžets</w:t>
            </w:r>
          </w:p>
        </w:tc>
        <w:tc>
          <w:tcPr>
            <w:tcW w:w="1163" w:type="dxa"/>
            <w:shd w:val="clear" w:color="auto" w:fill="auto"/>
            <w:hideMark/>
          </w:tcPr>
          <w:p w14:paraId="01AB7108" w14:textId="5A00312A"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30" w:type="dxa"/>
            <w:shd w:val="clear" w:color="auto" w:fill="auto"/>
            <w:hideMark/>
          </w:tcPr>
          <w:p w14:paraId="291BF3FC" w14:textId="26F5EDD3"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220" w:type="dxa"/>
            <w:shd w:val="clear" w:color="auto" w:fill="auto"/>
            <w:hideMark/>
          </w:tcPr>
          <w:p w14:paraId="306BC73E" w14:textId="09D1D25E"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31C764F3" w14:textId="3C1894CB"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4978866F" w14:textId="270B4CC5"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2FCA2718" w14:textId="72C4426C"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13" w:type="dxa"/>
            <w:shd w:val="clear" w:color="auto" w:fill="auto"/>
            <w:hideMark/>
          </w:tcPr>
          <w:p w14:paraId="794A843B" w14:textId="05BA9F83"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2F79F1" w:rsidRPr="00FC2FE5" w14:paraId="2DC95810" w14:textId="77777777" w:rsidTr="0094545A">
        <w:trPr>
          <w:trHeight w:val="849"/>
          <w:tblCellSpacing w:w="20" w:type="dxa"/>
        </w:trPr>
        <w:tc>
          <w:tcPr>
            <w:tcW w:w="1527" w:type="dxa"/>
            <w:shd w:val="clear" w:color="auto" w:fill="auto"/>
            <w:hideMark/>
          </w:tcPr>
          <w:p w14:paraId="6776061B"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4. Finanšu līdzekļi papildu izdevumu finansēšanai (kompensējošu izdevumu samazinājumu norāda ar "+" zīmi)</w:t>
            </w:r>
          </w:p>
        </w:tc>
        <w:tc>
          <w:tcPr>
            <w:tcW w:w="1163" w:type="dxa"/>
            <w:shd w:val="clear" w:color="auto" w:fill="auto"/>
            <w:hideMark/>
          </w:tcPr>
          <w:p w14:paraId="677BEB20" w14:textId="73837E77" w:rsidR="00E40704" w:rsidRPr="00FC2FE5" w:rsidRDefault="001E1A80" w:rsidP="001E1A80">
            <w:pPr>
              <w:jc w:val="center"/>
              <w:rPr>
                <w:rFonts w:ascii="Times New Roman" w:hAnsi="Times New Roman" w:cs="Times New Roman"/>
                <w:sz w:val="20"/>
                <w:szCs w:val="20"/>
              </w:rPr>
            </w:pPr>
            <w:r>
              <w:rPr>
                <w:rFonts w:ascii="Times New Roman" w:hAnsi="Times New Roman" w:cs="Times New Roman"/>
                <w:sz w:val="20"/>
                <w:szCs w:val="20"/>
              </w:rPr>
              <w:t>0</w:t>
            </w:r>
          </w:p>
        </w:tc>
        <w:tc>
          <w:tcPr>
            <w:tcW w:w="1130" w:type="dxa"/>
            <w:shd w:val="clear" w:color="auto" w:fill="auto"/>
            <w:hideMark/>
          </w:tcPr>
          <w:p w14:paraId="17F81BD8" w14:textId="4CACB677" w:rsidR="00E40704" w:rsidRPr="00FC2FE5" w:rsidRDefault="001E1A80" w:rsidP="00E40704">
            <w:pPr>
              <w:jc w:val="center"/>
              <w:rPr>
                <w:rFonts w:ascii="Times New Roman" w:hAnsi="Times New Roman" w:cs="Times New Roman"/>
                <w:sz w:val="20"/>
                <w:szCs w:val="20"/>
              </w:rPr>
            </w:pPr>
            <w:r>
              <w:rPr>
                <w:rFonts w:ascii="Times New Roman" w:hAnsi="Times New Roman" w:cs="Times New Roman"/>
                <w:sz w:val="20"/>
                <w:szCs w:val="20"/>
              </w:rPr>
              <w:t>+846 450</w:t>
            </w:r>
          </w:p>
        </w:tc>
        <w:tc>
          <w:tcPr>
            <w:tcW w:w="1220" w:type="dxa"/>
            <w:shd w:val="clear" w:color="auto" w:fill="auto"/>
            <w:hideMark/>
          </w:tcPr>
          <w:p w14:paraId="2450F28E" w14:textId="5D058E27"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5075F732" w14:textId="4DDD963B"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60" w:type="dxa"/>
            <w:shd w:val="clear" w:color="auto" w:fill="auto"/>
            <w:hideMark/>
          </w:tcPr>
          <w:p w14:paraId="58990930" w14:textId="52305CFC"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040" w:type="dxa"/>
            <w:shd w:val="clear" w:color="auto" w:fill="auto"/>
            <w:hideMark/>
          </w:tcPr>
          <w:p w14:paraId="02024FFB" w14:textId="6099C229"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c>
          <w:tcPr>
            <w:tcW w:w="1113" w:type="dxa"/>
            <w:shd w:val="clear" w:color="auto" w:fill="auto"/>
            <w:hideMark/>
          </w:tcPr>
          <w:p w14:paraId="2DC305FC" w14:textId="5F5D22F5" w:rsidR="00E40704" w:rsidRPr="00FC2FE5" w:rsidRDefault="00E40704" w:rsidP="00E40704">
            <w:pPr>
              <w:jc w:val="center"/>
              <w:rPr>
                <w:rFonts w:ascii="Times New Roman" w:hAnsi="Times New Roman" w:cs="Times New Roman"/>
                <w:sz w:val="20"/>
                <w:szCs w:val="20"/>
              </w:rPr>
            </w:pPr>
            <w:r w:rsidRPr="00FC2FE5">
              <w:rPr>
                <w:rFonts w:ascii="Times New Roman" w:hAnsi="Times New Roman" w:cs="Times New Roman"/>
                <w:sz w:val="20"/>
                <w:szCs w:val="20"/>
              </w:rPr>
              <w:t>0</w:t>
            </w:r>
          </w:p>
        </w:tc>
      </w:tr>
      <w:tr w:rsidR="002F79F1" w:rsidRPr="00FC2FE5" w14:paraId="342E4793" w14:textId="77777777" w:rsidTr="0094545A">
        <w:trPr>
          <w:trHeight w:val="510"/>
          <w:tblCellSpacing w:w="20" w:type="dxa"/>
        </w:trPr>
        <w:tc>
          <w:tcPr>
            <w:tcW w:w="1527" w:type="dxa"/>
            <w:shd w:val="clear" w:color="auto" w:fill="auto"/>
            <w:hideMark/>
          </w:tcPr>
          <w:p w14:paraId="20441B2E"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5. Precizēta finansiālā ietekme</w:t>
            </w:r>
          </w:p>
        </w:tc>
        <w:tc>
          <w:tcPr>
            <w:tcW w:w="1163" w:type="dxa"/>
            <w:vMerge w:val="restart"/>
            <w:shd w:val="clear" w:color="auto" w:fill="auto"/>
            <w:hideMark/>
          </w:tcPr>
          <w:p w14:paraId="58EA8514" w14:textId="77777777" w:rsidR="00E40704" w:rsidRPr="00FC2FE5" w:rsidRDefault="00E40704" w:rsidP="00E40704">
            <w:pPr>
              <w:rPr>
                <w:rFonts w:ascii="Times New Roman" w:hAnsi="Times New Roman" w:cs="Times New Roman"/>
                <w:sz w:val="24"/>
                <w:szCs w:val="24"/>
              </w:rPr>
            </w:pPr>
            <w:r>
              <w:rPr>
                <w:rFonts w:ascii="Times New Roman" w:hAnsi="Times New Roman" w:cs="Times New Roman"/>
                <w:sz w:val="24"/>
                <w:szCs w:val="24"/>
              </w:rPr>
              <w:t>0</w:t>
            </w:r>
          </w:p>
          <w:p w14:paraId="38002F6D" w14:textId="77777777" w:rsidR="00E40704" w:rsidRPr="00FC2FE5" w:rsidRDefault="00E40704" w:rsidP="00E40704">
            <w:pPr>
              <w:rPr>
                <w:rFonts w:ascii="Times New Roman" w:hAnsi="Times New Roman" w:cs="Times New Roman"/>
                <w:sz w:val="24"/>
                <w:szCs w:val="24"/>
              </w:rPr>
            </w:pPr>
          </w:p>
          <w:p w14:paraId="7A28364C" w14:textId="77777777" w:rsidR="00E40704" w:rsidRPr="00FC2FE5" w:rsidRDefault="00E40704" w:rsidP="00E40704">
            <w:pPr>
              <w:rPr>
                <w:rFonts w:ascii="Times New Roman" w:hAnsi="Times New Roman" w:cs="Times New Roman"/>
                <w:sz w:val="24"/>
                <w:szCs w:val="24"/>
              </w:rPr>
            </w:pPr>
          </w:p>
          <w:p w14:paraId="73B7E94F" w14:textId="77777777" w:rsidR="00E40704" w:rsidRPr="00FC2FE5" w:rsidRDefault="00E40704" w:rsidP="00E40704">
            <w:pPr>
              <w:rPr>
                <w:rFonts w:ascii="Times New Roman" w:hAnsi="Times New Roman" w:cs="Times New Roman"/>
                <w:sz w:val="24"/>
                <w:szCs w:val="24"/>
              </w:rPr>
            </w:pPr>
          </w:p>
          <w:p w14:paraId="717E6485" w14:textId="77777777" w:rsidR="00E40704" w:rsidRPr="00FC2FE5" w:rsidRDefault="00E40704" w:rsidP="00E40704">
            <w:pPr>
              <w:rPr>
                <w:rFonts w:ascii="Times New Roman" w:hAnsi="Times New Roman" w:cs="Times New Roman"/>
                <w:sz w:val="24"/>
                <w:szCs w:val="24"/>
              </w:rPr>
            </w:pPr>
          </w:p>
          <w:p w14:paraId="0DF63D11" w14:textId="18E34704"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X</w:t>
            </w:r>
          </w:p>
        </w:tc>
        <w:tc>
          <w:tcPr>
            <w:tcW w:w="1130" w:type="dxa"/>
            <w:shd w:val="clear" w:color="auto" w:fill="auto"/>
            <w:hideMark/>
          </w:tcPr>
          <w:p w14:paraId="3A916FB2" w14:textId="3B1EA99C"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lastRenderedPageBreak/>
              <w:t>0</w:t>
            </w:r>
          </w:p>
        </w:tc>
        <w:tc>
          <w:tcPr>
            <w:tcW w:w="1220" w:type="dxa"/>
            <w:vMerge w:val="restart"/>
            <w:shd w:val="clear" w:color="auto" w:fill="auto"/>
            <w:hideMark/>
          </w:tcPr>
          <w:p w14:paraId="7876D42E" w14:textId="7DBFEA9E"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040" w:type="dxa"/>
            <w:shd w:val="clear" w:color="auto" w:fill="auto"/>
            <w:hideMark/>
          </w:tcPr>
          <w:p w14:paraId="01B6E4B9" w14:textId="6C6CE37B" w:rsidR="00E40704" w:rsidRPr="00FC2FE5" w:rsidRDefault="00E40704" w:rsidP="00E40704">
            <w:pPr>
              <w:jc w:val="center"/>
              <w:rPr>
                <w:rFonts w:ascii="Times New Roman" w:hAnsi="Times New Roman" w:cs="Times New Roman"/>
                <w:sz w:val="24"/>
                <w:szCs w:val="24"/>
              </w:rPr>
            </w:pPr>
            <w:r>
              <w:rPr>
                <w:rFonts w:ascii="Times New Roman" w:hAnsi="Times New Roman" w:cs="Times New Roman"/>
                <w:sz w:val="20"/>
                <w:szCs w:val="20"/>
              </w:rPr>
              <w:t>0</w:t>
            </w:r>
          </w:p>
        </w:tc>
        <w:tc>
          <w:tcPr>
            <w:tcW w:w="1160" w:type="dxa"/>
            <w:vMerge w:val="restart"/>
            <w:shd w:val="clear" w:color="auto" w:fill="auto"/>
            <w:hideMark/>
          </w:tcPr>
          <w:p w14:paraId="607131FF" w14:textId="7F70C4E6"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040" w:type="dxa"/>
            <w:shd w:val="clear" w:color="auto" w:fill="auto"/>
            <w:hideMark/>
          </w:tcPr>
          <w:p w14:paraId="7197E498" w14:textId="13082689" w:rsidR="00E40704" w:rsidRPr="00FC2FE5" w:rsidRDefault="00E40704" w:rsidP="00E40704">
            <w:pPr>
              <w:jc w:val="center"/>
              <w:rPr>
                <w:rFonts w:ascii="Times New Roman" w:hAnsi="Times New Roman" w:cs="Times New Roman"/>
                <w:sz w:val="24"/>
                <w:szCs w:val="24"/>
              </w:rPr>
            </w:pPr>
            <w:r>
              <w:rPr>
                <w:rFonts w:ascii="Times New Roman" w:hAnsi="Times New Roman" w:cs="Times New Roman"/>
                <w:sz w:val="20"/>
                <w:szCs w:val="20"/>
              </w:rPr>
              <w:t>0</w:t>
            </w:r>
          </w:p>
        </w:tc>
        <w:tc>
          <w:tcPr>
            <w:tcW w:w="1113" w:type="dxa"/>
            <w:shd w:val="clear" w:color="auto" w:fill="auto"/>
            <w:hideMark/>
          </w:tcPr>
          <w:p w14:paraId="6B298DB5" w14:textId="3495251A" w:rsidR="00E40704" w:rsidRPr="00FC2FE5" w:rsidRDefault="00E40704" w:rsidP="00E40704">
            <w:pPr>
              <w:jc w:val="center"/>
              <w:rPr>
                <w:rFonts w:ascii="Times New Roman" w:hAnsi="Times New Roman" w:cs="Times New Roman"/>
                <w:sz w:val="24"/>
                <w:szCs w:val="24"/>
              </w:rPr>
            </w:pPr>
            <w:r>
              <w:rPr>
                <w:rFonts w:ascii="Times New Roman" w:hAnsi="Times New Roman" w:cs="Times New Roman"/>
                <w:sz w:val="20"/>
                <w:szCs w:val="20"/>
              </w:rPr>
              <w:t>0</w:t>
            </w:r>
          </w:p>
        </w:tc>
      </w:tr>
      <w:tr w:rsidR="002F79F1" w:rsidRPr="00FC2FE5" w14:paraId="5779A451" w14:textId="77777777" w:rsidTr="0094545A">
        <w:trPr>
          <w:trHeight w:val="510"/>
          <w:tblCellSpacing w:w="20" w:type="dxa"/>
        </w:trPr>
        <w:tc>
          <w:tcPr>
            <w:tcW w:w="1527" w:type="dxa"/>
            <w:shd w:val="clear" w:color="auto" w:fill="auto"/>
            <w:hideMark/>
          </w:tcPr>
          <w:p w14:paraId="6E7C9EC0"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lastRenderedPageBreak/>
              <w:t>5.1. valsts pamatbudžets</w:t>
            </w:r>
          </w:p>
        </w:tc>
        <w:tc>
          <w:tcPr>
            <w:tcW w:w="1163" w:type="dxa"/>
            <w:vMerge/>
            <w:shd w:val="clear" w:color="auto" w:fill="auto"/>
            <w:vAlign w:val="center"/>
            <w:hideMark/>
          </w:tcPr>
          <w:p w14:paraId="3DE32F79" w14:textId="77777777" w:rsidR="00E40704" w:rsidRPr="00FC2FE5" w:rsidRDefault="00E40704" w:rsidP="00E40704">
            <w:pPr>
              <w:rPr>
                <w:rFonts w:ascii="Times New Roman" w:hAnsi="Times New Roman" w:cs="Times New Roman"/>
                <w:sz w:val="24"/>
                <w:szCs w:val="24"/>
              </w:rPr>
            </w:pPr>
          </w:p>
        </w:tc>
        <w:tc>
          <w:tcPr>
            <w:tcW w:w="1130" w:type="dxa"/>
            <w:shd w:val="clear" w:color="auto" w:fill="auto"/>
            <w:hideMark/>
          </w:tcPr>
          <w:p w14:paraId="4FA11B62" w14:textId="6CA495AE"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220" w:type="dxa"/>
            <w:vMerge/>
            <w:shd w:val="clear" w:color="auto" w:fill="auto"/>
            <w:vAlign w:val="center"/>
            <w:hideMark/>
          </w:tcPr>
          <w:p w14:paraId="72A4640D" w14:textId="77777777" w:rsidR="00E40704" w:rsidRPr="00FC2FE5" w:rsidRDefault="00E40704" w:rsidP="00E40704">
            <w:pPr>
              <w:jc w:val="center"/>
              <w:rPr>
                <w:rFonts w:ascii="Times New Roman" w:hAnsi="Times New Roman" w:cs="Times New Roman"/>
                <w:sz w:val="24"/>
                <w:szCs w:val="24"/>
              </w:rPr>
            </w:pPr>
          </w:p>
        </w:tc>
        <w:tc>
          <w:tcPr>
            <w:tcW w:w="1040" w:type="dxa"/>
            <w:shd w:val="clear" w:color="auto" w:fill="auto"/>
            <w:hideMark/>
          </w:tcPr>
          <w:p w14:paraId="279F44AE" w14:textId="3EB6BFB4" w:rsidR="00E40704" w:rsidRPr="00FC2FE5" w:rsidRDefault="00E40704" w:rsidP="00E40704">
            <w:pPr>
              <w:jc w:val="center"/>
              <w:rPr>
                <w:rFonts w:ascii="Times New Roman" w:hAnsi="Times New Roman" w:cs="Times New Roman"/>
                <w:sz w:val="24"/>
                <w:szCs w:val="24"/>
              </w:rPr>
            </w:pPr>
            <w:r>
              <w:rPr>
                <w:rFonts w:ascii="Times New Roman" w:hAnsi="Times New Roman" w:cs="Times New Roman"/>
                <w:sz w:val="20"/>
                <w:szCs w:val="20"/>
              </w:rPr>
              <w:t>0</w:t>
            </w:r>
          </w:p>
        </w:tc>
        <w:tc>
          <w:tcPr>
            <w:tcW w:w="1160" w:type="dxa"/>
            <w:vMerge/>
            <w:shd w:val="clear" w:color="auto" w:fill="auto"/>
            <w:vAlign w:val="center"/>
            <w:hideMark/>
          </w:tcPr>
          <w:p w14:paraId="241A87BA" w14:textId="77777777" w:rsidR="00E40704" w:rsidRPr="00FC2FE5" w:rsidRDefault="00E40704" w:rsidP="00E40704">
            <w:pPr>
              <w:jc w:val="center"/>
              <w:rPr>
                <w:rFonts w:ascii="Times New Roman" w:hAnsi="Times New Roman" w:cs="Times New Roman"/>
                <w:sz w:val="24"/>
                <w:szCs w:val="24"/>
              </w:rPr>
            </w:pPr>
          </w:p>
        </w:tc>
        <w:tc>
          <w:tcPr>
            <w:tcW w:w="1040" w:type="dxa"/>
            <w:shd w:val="clear" w:color="auto" w:fill="auto"/>
            <w:hideMark/>
          </w:tcPr>
          <w:p w14:paraId="28D5AD1C" w14:textId="0859155D" w:rsidR="00E40704" w:rsidRPr="00FC2FE5" w:rsidRDefault="00E40704" w:rsidP="00E40704">
            <w:pPr>
              <w:jc w:val="center"/>
              <w:rPr>
                <w:rFonts w:ascii="Times New Roman" w:hAnsi="Times New Roman" w:cs="Times New Roman"/>
                <w:sz w:val="24"/>
                <w:szCs w:val="24"/>
              </w:rPr>
            </w:pPr>
            <w:r>
              <w:rPr>
                <w:rFonts w:ascii="Times New Roman" w:hAnsi="Times New Roman" w:cs="Times New Roman"/>
                <w:sz w:val="20"/>
                <w:szCs w:val="20"/>
              </w:rPr>
              <w:t>0</w:t>
            </w:r>
          </w:p>
        </w:tc>
        <w:tc>
          <w:tcPr>
            <w:tcW w:w="1113" w:type="dxa"/>
            <w:shd w:val="clear" w:color="auto" w:fill="auto"/>
            <w:hideMark/>
          </w:tcPr>
          <w:p w14:paraId="285ECA0A" w14:textId="638B657A" w:rsidR="00E40704" w:rsidRPr="00FC2FE5" w:rsidRDefault="00E40704" w:rsidP="00E40704">
            <w:pPr>
              <w:jc w:val="center"/>
              <w:rPr>
                <w:rFonts w:ascii="Times New Roman" w:hAnsi="Times New Roman" w:cs="Times New Roman"/>
                <w:sz w:val="24"/>
                <w:szCs w:val="24"/>
              </w:rPr>
            </w:pPr>
            <w:r>
              <w:rPr>
                <w:rFonts w:ascii="Times New Roman" w:hAnsi="Times New Roman" w:cs="Times New Roman"/>
                <w:sz w:val="20"/>
                <w:szCs w:val="20"/>
              </w:rPr>
              <w:t>0</w:t>
            </w:r>
          </w:p>
        </w:tc>
      </w:tr>
      <w:tr w:rsidR="002F79F1" w:rsidRPr="00FC2FE5" w14:paraId="7F3BB411" w14:textId="77777777" w:rsidTr="0094545A">
        <w:trPr>
          <w:trHeight w:val="215"/>
          <w:tblCellSpacing w:w="20" w:type="dxa"/>
        </w:trPr>
        <w:tc>
          <w:tcPr>
            <w:tcW w:w="1527" w:type="dxa"/>
            <w:shd w:val="clear" w:color="auto" w:fill="auto"/>
            <w:hideMark/>
          </w:tcPr>
          <w:p w14:paraId="70A1AA97"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5.2. speciālais budžets</w:t>
            </w:r>
          </w:p>
        </w:tc>
        <w:tc>
          <w:tcPr>
            <w:tcW w:w="1163" w:type="dxa"/>
            <w:vMerge/>
            <w:shd w:val="clear" w:color="auto" w:fill="auto"/>
            <w:vAlign w:val="center"/>
            <w:hideMark/>
          </w:tcPr>
          <w:p w14:paraId="051A43AB" w14:textId="77777777" w:rsidR="00E40704" w:rsidRPr="00FC2FE5" w:rsidRDefault="00E40704" w:rsidP="00E40704">
            <w:pPr>
              <w:rPr>
                <w:rFonts w:ascii="Times New Roman" w:hAnsi="Times New Roman" w:cs="Times New Roman"/>
                <w:sz w:val="24"/>
                <w:szCs w:val="24"/>
              </w:rPr>
            </w:pPr>
          </w:p>
        </w:tc>
        <w:tc>
          <w:tcPr>
            <w:tcW w:w="1130" w:type="dxa"/>
            <w:shd w:val="clear" w:color="auto" w:fill="auto"/>
            <w:hideMark/>
          </w:tcPr>
          <w:p w14:paraId="5BA29E4F" w14:textId="0628E741"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220" w:type="dxa"/>
            <w:vMerge/>
            <w:shd w:val="clear" w:color="auto" w:fill="auto"/>
            <w:vAlign w:val="center"/>
            <w:hideMark/>
          </w:tcPr>
          <w:p w14:paraId="08A01678" w14:textId="77777777" w:rsidR="00E40704" w:rsidRPr="00FC2FE5" w:rsidRDefault="00E40704" w:rsidP="00E40704">
            <w:pPr>
              <w:jc w:val="center"/>
              <w:rPr>
                <w:rFonts w:ascii="Times New Roman" w:hAnsi="Times New Roman" w:cs="Times New Roman"/>
                <w:sz w:val="24"/>
                <w:szCs w:val="24"/>
              </w:rPr>
            </w:pPr>
          </w:p>
        </w:tc>
        <w:tc>
          <w:tcPr>
            <w:tcW w:w="1040" w:type="dxa"/>
            <w:shd w:val="clear" w:color="auto" w:fill="auto"/>
            <w:hideMark/>
          </w:tcPr>
          <w:p w14:paraId="008A9DF0" w14:textId="27EDB84E"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60" w:type="dxa"/>
            <w:vMerge/>
            <w:shd w:val="clear" w:color="auto" w:fill="auto"/>
            <w:vAlign w:val="center"/>
            <w:hideMark/>
          </w:tcPr>
          <w:p w14:paraId="60D9B755" w14:textId="77777777" w:rsidR="00E40704" w:rsidRPr="00FC2FE5" w:rsidRDefault="00E40704" w:rsidP="00E40704">
            <w:pPr>
              <w:jc w:val="center"/>
              <w:rPr>
                <w:rFonts w:ascii="Times New Roman" w:hAnsi="Times New Roman" w:cs="Times New Roman"/>
                <w:sz w:val="24"/>
                <w:szCs w:val="24"/>
              </w:rPr>
            </w:pPr>
          </w:p>
        </w:tc>
        <w:tc>
          <w:tcPr>
            <w:tcW w:w="1040" w:type="dxa"/>
            <w:shd w:val="clear" w:color="auto" w:fill="auto"/>
            <w:hideMark/>
          </w:tcPr>
          <w:p w14:paraId="1B5B2C19" w14:textId="392DF313"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13" w:type="dxa"/>
            <w:shd w:val="clear" w:color="auto" w:fill="auto"/>
            <w:hideMark/>
          </w:tcPr>
          <w:p w14:paraId="13B76F76" w14:textId="5FEF6049"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r>
      <w:tr w:rsidR="002F79F1" w:rsidRPr="00FC2FE5" w14:paraId="03137FC5" w14:textId="77777777" w:rsidTr="0094545A">
        <w:trPr>
          <w:trHeight w:val="510"/>
          <w:tblCellSpacing w:w="20" w:type="dxa"/>
        </w:trPr>
        <w:tc>
          <w:tcPr>
            <w:tcW w:w="1527" w:type="dxa"/>
            <w:shd w:val="clear" w:color="auto" w:fill="auto"/>
            <w:hideMark/>
          </w:tcPr>
          <w:p w14:paraId="3077E4D7" w14:textId="77777777" w:rsidR="00E40704" w:rsidRPr="00FC2FE5" w:rsidRDefault="00E40704" w:rsidP="00E40704">
            <w:pPr>
              <w:rPr>
                <w:rFonts w:ascii="Times New Roman" w:hAnsi="Times New Roman" w:cs="Times New Roman"/>
                <w:sz w:val="24"/>
                <w:szCs w:val="24"/>
              </w:rPr>
            </w:pPr>
            <w:r w:rsidRPr="00FC2FE5">
              <w:rPr>
                <w:rFonts w:ascii="Times New Roman" w:hAnsi="Times New Roman" w:cs="Times New Roman"/>
                <w:sz w:val="24"/>
                <w:szCs w:val="24"/>
              </w:rPr>
              <w:t>5.3. pašvaldību budžets</w:t>
            </w:r>
          </w:p>
        </w:tc>
        <w:tc>
          <w:tcPr>
            <w:tcW w:w="1163" w:type="dxa"/>
            <w:vMerge/>
            <w:shd w:val="clear" w:color="auto" w:fill="auto"/>
            <w:vAlign w:val="center"/>
            <w:hideMark/>
          </w:tcPr>
          <w:p w14:paraId="0292DEE8" w14:textId="77777777" w:rsidR="00E40704" w:rsidRPr="00FC2FE5" w:rsidRDefault="00E40704" w:rsidP="00E40704">
            <w:pPr>
              <w:rPr>
                <w:rFonts w:ascii="Times New Roman" w:hAnsi="Times New Roman" w:cs="Times New Roman"/>
                <w:sz w:val="24"/>
                <w:szCs w:val="24"/>
              </w:rPr>
            </w:pPr>
          </w:p>
        </w:tc>
        <w:tc>
          <w:tcPr>
            <w:tcW w:w="1130" w:type="dxa"/>
            <w:shd w:val="clear" w:color="auto" w:fill="auto"/>
            <w:hideMark/>
          </w:tcPr>
          <w:p w14:paraId="577E12BE" w14:textId="27E39937"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220" w:type="dxa"/>
            <w:vMerge/>
            <w:shd w:val="clear" w:color="auto" w:fill="auto"/>
            <w:vAlign w:val="center"/>
            <w:hideMark/>
          </w:tcPr>
          <w:p w14:paraId="1AA1E02A" w14:textId="77777777" w:rsidR="00E40704" w:rsidRPr="00FC2FE5" w:rsidRDefault="00E40704" w:rsidP="00E40704">
            <w:pPr>
              <w:jc w:val="center"/>
              <w:rPr>
                <w:rFonts w:ascii="Times New Roman" w:hAnsi="Times New Roman" w:cs="Times New Roman"/>
                <w:sz w:val="24"/>
                <w:szCs w:val="24"/>
              </w:rPr>
            </w:pPr>
          </w:p>
        </w:tc>
        <w:tc>
          <w:tcPr>
            <w:tcW w:w="1040" w:type="dxa"/>
            <w:shd w:val="clear" w:color="auto" w:fill="auto"/>
            <w:hideMark/>
          </w:tcPr>
          <w:p w14:paraId="4F216D45" w14:textId="128ED57C"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60" w:type="dxa"/>
            <w:vMerge/>
            <w:shd w:val="clear" w:color="auto" w:fill="auto"/>
            <w:vAlign w:val="center"/>
            <w:hideMark/>
          </w:tcPr>
          <w:p w14:paraId="5069CAE1" w14:textId="77777777" w:rsidR="00E40704" w:rsidRPr="00FC2FE5" w:rsidRDefault="00E40704" w:rsidP="00E40704">
            <w:pPr>
              <w:jc w:val="center"/>
              <w:rPr>
                <w:rFonts w:ascii="Times New Roman" w:hAnsi="Times New Roman" w:cs="Times New Roman"/>
                <w:sz w:val="24"/>
                <w:szCs w:val="24"/>
              </w:rPr>
            </w:pPr>
          </w:p>
        </w:tc>
        <w:tc>
          <w:tcPr>
            <w:tcW w:w="1040" w:type="dxa"/>
            <w:shd w:val="clear" w:color="auto" w:fill="auto"/>
            <w:hideMark/>
          </w:tcPr>
          <w:p w14:paraId="0598F947" w14:textId="09E21360"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c>
          <w:tcPr>
            <w:tcW w:w="1113" w:type="dxa"/>
            <w:shd w:val="clear" w:color="auto" w:fill="auto"/>
            <w:hideMark/>
          </w:tcPr>
          <w:p w14:paraId="589FBC9C" w14:textId="4EB7CEA5" w:rsidR="00E40704" w:rsidRPr="00FC2FE5" w:rsidRDefault="00E40704" w:rsidP="00E40704">
            <w:pPr>
              <w:jc w:val="center"/>
              <w:rPr>
                <w:rFonts w:ascii="Times New Roman" w:hAnsi="Times New Roman" w:cs="Times New Roman"/>
                <w:sz w:val="24"/>
                <w:szCs w:val="24"/>
              </w:rPr>
            </w:pPr>
            <w:r w:rsidRPr="00FC2FE5">
              <w:rPr>
                <w:rFonts w:ascii="Times New Roman" w:hAnsi="Times New Roman" w:cs="Times New Roman"/>
                <w:sz w:val="24"/>
                <w:szCs w:val="24"/>
              </w:rPr>
              <w:t>0</w:t>
            </w:r>
          </w:p>
        </w:tc>
      </w:tr>
      <w:tr w:rsidR="00FC2FE5" w:rsidRPr="00FC2FE5" w14:paraId="4505DB89" w14:textId="77777777" w:rsidTr="0094545A">
        <w:trPr>
          <w:trHeight w:val="711"/>
          <w:tblCellSpacing w:w="20" w:type="dxa"/>
        </w:trPr>
        <w:tc>
          <w:tcPr>
            <w:tcW w:w="1527" w:type="dxa"/>
            <w:shd w:val="clear" w:color="auto" w:fill="auto"/>
            <w:hideMark/>
          </w:tcPr>
          <w:p w14:paraId="1E196CE7"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8106" w:type="dxa"/>
            <w:gridSpan w:val="7"/>
            <w:vMerge w:val="restart"/>
            <w:shd w:val="clear" w:color="auto" w:fill="auto"/>
            <w:hideMark/>
          </w:tcPr>
          <w:p w14:paraId="1AAB731F" w14:textId="77777777" w:rsidR="001E1A80" w:rsidRPr="001E1A80" w:rsidRDefault="001E1A80" w:rsidP="001E1A80">
            <w:pPr>
              <w:jc w:val="both"/>
              <w:rPr>
                <w:rFonts w:ascii="Times New Roman" w:hAnsi="Times New Roman" w:cs="Times New Roman"/>
                <w:sz w:val="24"/>
                <w:szCs w:val="24"/>
              </w:rPr>
            </w:pPr>
            <w:r w:rsidRPr="001E1A80">
              <w:rPr>
                <w:rFonts w:ascii="Times New Roman" w:hAnsi="Times New Roman" w:cs="Times New Roman"/>
                <w:sz w:val="24"/>
                <w:szCs w:val="24"/>
              </w:rPr>
              <w:t>Asociētās dalībvalsts līgums paredz:</w:t>
            </w:r>
          </w:p>
          <w:p w14:paraId="3E6C3AC9" w14:textId="77777777" w:rsidR="001E1A80" w:rsidRPr="006E5BC5" w:rsidRDefault="001E1A80" w:rsidP="001E1A80">
            <w:pPr>
              <w:pStyle w:val="ListParagraph"/>
              <w:numPr>
                <w:ilvl w:val="0"/>
                <w:numId w:val="5"/>
              </w:numPr>
              <w:jc w:val="both"/>
            </w:pPr>
            <w:r w:rsidRPr="006E5BC5">
              <w:rPr>
                <w:b/>
              </w:rPr>
              <w:t>iemaksas EKA budžetā</w:t>
            </w:r>
            <w:r w:rsidRPr="006E5BC5">
              <w:t xml:space="preserve"> vidēji 3,0 milj. </w:t>
            </w:r>
            <w:r w:rsidRPr="00E11B7D">
              <w:rPr>
                <w:i/>
              </w:rPr>
              <w:t>euro</w:t>
            </w:r>
            <w:r w:rsidRPr="006E5BC5">
              <w:t xml:space="preserve"> gadā, ko veido šādi ieguldījumi:  </w:t>
            </w:r>
          </w:p>
          <w:p w14:paraId="591818A5" w14:textId="77777777" w:rsidR="001E1A80" w:rsidRPr="000A5473" w:rsidRDefault="001E1A80" w:rsidP="001E1A80">
            <w:pPr>
              <w:jc w:val="both"/>
              <w:rPr>
                <w:rFonts w:ascii="Times New Roman" w:hAnsi="Times New Roman" w:cs="Times New Roman"/>
                <w:sz w:val="24"/>
                <w:szCs w:val="24"/>
              </w:rPr>
            </w:pPr>
            <w:r w:rsidRPr="000A5473">
              <w:rPr>
                <w:rFonts w:ascii="Times New Roman" w:hAnsi="Times New Roman" w:cs="Times New Roman"/>
                <w:sz w:val="24"/>
                <w:szCs w:val="24"/>
              </w:rPr>
              <w:t>EKA obligātā programma (</w:t>
            </w:r>
            <w:r w:rsidRPr="000A5473">
              <w:rPr>
                <w:rFonts w:ascii="Times New Roman" w:hAnsi="Times New Roman" w:cs="Times New Roman"/>
                <w:i/>
                <w:sz w:val="24"/>
                <w:szCs w:val="24"/>
              </w:rPr>
              <w:t>Mandatory Programme</w:t>
            </w:r>
            <w:r w:rsidRPr="000A5473">
              <w:rPr>
                <w:rFonts w:ascii="Times New Roman" w:hAnsi="Times New Roman" w:cs="Times New Roman"/>
                <w:sz w:val="24"/>
                <w:szCs w:val="24"/>
              </w:rPr>
              <w:t xml:space="preserve">) – aptuveni 250,0 tūkst. </w:t>
            </w:r>
            <w:r w:rsidRPr="00E11B7D">
              <w:rPr>
                <w:rFonts w:ascii="Times New Roman" w:hAnsi="Times New Roman" w:cs="Times New Roman"/>
                <w:i/>
                <w:iCs/>
                <w:sz w:val="24"/>
                <w:szCs w:val="24"/>
              </w:rPr>
              <w:t>euro</w:t>
            </w:r>
            <w:r w:rsidRPr="000A5473">
              <w:rPr>
                <w:rFonts w:ascii="Times New Roman" w:hAnsi="Times New Roman" w:cs="Times New Roman"/>
                <w:sz w:val="24"/>
                <w:szCs w:val="24"/>
                <w:vertAlign w:val="superscript"/>
              </w:rPr>
              <w:footnoteReference w:id="2"/>
            </w:r>
            <w:r w:rsidRPr="000A5473">
              <w:rPr>
                <w:rFonts w:ascii="Times New Roman" w:hAnsi="Times New Roman" w:cs="Times New Roman"/>
                <w:iCs/>
                <w:sz w:val="24"/>
                <w:szCs w:val="24"/>
              </w:rPr>
              <w:t>;</w:t>
            </w:r>
          </w:p>
          <w:p w14:paraId="0C7653CD" w14:textId="77777777" w:rsidR="001E1A80" w:rsidRPr="000A5473" w:rsidRDefault="001E1A80" w:rsidP="001E1A80">
            <w:pPr>
              <w:jc w:val="both"/>
              <w:rPr>
                <w:rFonts w:ascii="Times New Roman" w:hAnsi="Times New Roman" w:cs="Times New Roman"/>
                <w:iCs/>
                <w:sz w:val="24"/>
                <w:szCs w:val="24"/>
              </w:rPr>
            </w:pPr>
            <w:r w:rsidRPr="000A5473">
              <w:rPr>
                <w:rFonts w:ascii="Times New Roman" w:hAnsi="Times New Roman" w:cs="Times New Roman"/>
                <w:sz w:val="24"/>
                <w:szCs w:val="24"/>
              </w:rPr>
              <w:t>EKA Izvēles programma – Galvenā tehnoloģiju atbalsta programma (</w:t>
            </w:r>
            <w:r w:rsidRPr="000A5473">
              <w:rPr>
                <w:rFonts w:ascii="Times New Roman" w:hAnsi="Times New Roman" w:cs="Times New Roman"/>
                <w:i/>
                <w:sz w:val="24"/>
                <w:szCs w:val="24"/>
              </w:rPr>
              <w:t>General Support Technology Programme – GSTP</w:t>
            </w:r>
            <w:r w:rsidRPr="000A5473">
              <w:rPr>
                <w:rFonts w:ascii="Times New Roman" w:hAnsi="Times New Roman" w:cs="Times New Roman"/>
                <w:sz w:val="24"/>
                <w:szCs w:val="24"/>
              </w:rPr>
              <w:t xml:space="preserve">) – 1,1 milj. </w:t>
            </w:r>
            <w:r w:rsidRPr="00E11B7D">
              <w:rPr>
                <w:rFonts w:ascii="Times New Roman" w:hAnsi="Times New Roman" w:cs="Times New Roman"/>
                <w:i/>
                <w:iCs/>
                <w:sz w:val="24"/>
                <w:szCs w:val="24"/>
              </w:rPr>
              <w:t>euro</w:t>
            </w:r>
            <w:r w:rsidRPr="000A5473">
              <w:rPr>
                <w:rFonts w:ascii="Times New Roman" w:hAnsi="Times New Roman" w:cs="Times New Roman"/>
                <w:iCs/>
                <w:sz w:val="24"/>
                <w:szCs w:val="24"/>
              </w:rPr>
              <w:t>;</w:t>
            </w:r>
          </w:p>
          <w:p w14:paraId="32799B7E" w14:textId="77777777" w:rsidR="001E1A80" w:rsidRPr="000A5473" w:rsidRDefault="001E1A80" w:rsidP="001E1A80">
            <w:pPr>
              <w:jc w:val="both"/>
              <w:rPr>
                <w:rFonts w:ascii="Times New Roman" w:hAnsi="Times New Roman" w:cs="Times New Roman"/>
                <w:sz w:val="24"/>
                <w:szCs w:val="24"/>
              </w:rPr>
            </w:pPr>
            <w:r w:rsidRPr="000A5473">
              <w:rPr>
                <w:rFonts w:ascii="Times New Roman" w:hAnsi="Times New Roman" w:cs="Times New Roman"/>
                <w:iCs/>
                <w:sz w:val="24"/>
                <w:szCs w:val="24"/>
              </w:rPr>
              <w:t xml:space="preserve">EKA izvēles programma - </w:t>
            </w:r>
            <w:r w:rsidRPr="000A5473">
              <w:rPr>
                <w:rFonts w:ascii="Times New Roman" w:hAnsi="Times New Roman" w:cs="Times New Roman"/>
                <w:sz w:val="24"/>
                <w:szCs w:val="24"/>
              </w:rPr>
              <w:t>Zemes novērošanas programma (</w:t>
            </w:r>
            <w:r w:rsidRPr="000A5473">
              <w:rPr>
                <w:rFonts w:ascii="Times New Roman" w:hAnsi="Times New Roman" w:cs="Times New Roman"/>
                <w:i/>
                <w:sz w:val="24"/>
                <w:szCs w:val="24"/>
              </w:rPr>
              <w:t>Earth Observation Envelope Programme – EOEP</w:t>
            </w:r>
            <w:r w:rsidRPr="000A5473">
              <w:rPr>
                <w:rFonts w:ascii="Times New Roman" w:hAnsi="Times New Roman" w:cs="Times New Roman"/>
                <w:sz w:val="24"/>
                <w:szCs w:val="24"/>
              </w:rPr>
              <w:t xml:space="preserve">) – 400,0 tūkst. </w:t>
            </w:r>
            <w:r w:rsidRPr="00E11B7D">
              <w:rPr>
                <w:rFonts w:ascii="Times New Roman" w:hAnsi="Times New Roman" w:cs="Times New Roman"/>
                <w:i/>
                <w:sz w:val="24"/>
                <w:szCs w:val="24"/>
              </w:rPr>
              <w:t>euro</w:t>
            </w:r>
            <w:r w:rsidRPr="000A5473">
              <w:rPr>
                <w:rFonts w:ascii="Times New Roman" w:hAnsi="Times New Roman" w:cs="Times New Roman"/>
                <w:sz w:val="24"/>
                <w:szCs w:val="24"/>
              </w:rPr>
              <w:t xml:space="preserve"> </w:t>
            </w:r>
          </w:p>
          <w:p w14:paraId="7E4EF734" w14:textId="77777777" w:rsidR="001E1A80" w:rsidRPr="000A5473" w:rsidRDefault="001E1A80" w:rsidP="001E1A80">
            <w:pPr>
              <w:jc w:val="both"/>
              <w:rPr>
                <w:rFonts w:ascii="Times New Roman" w:hAnsi="Times New Roman" w:cs="Times New Roman"/>
                <w:sz w:val="24"/>
                <w:szCs w:val="24"/>
              </w:rPr>
            </w:pPr>
            <w:r w:rsidRPr="000A5473">
              <w:rPr>
                <w:rFonts w:ascii="Times New Roman" w:hAnsi="Times New Roman" w:cs="Times New Roman"/>
                <w:sz w:val="24"/>
                <w:szCs w:val="24"/>
              </w:rPr>
              <w:t>Trešās puses programma</w:t>
            </w:r>
            <w:r>
              <w:t xml:space="preserve"> (</w:t>
            </w:r>
            <w:r w:rsidRPr="000A5473">
              <w:rPr>
                <w:rFonts w:ascii="Times New Roman" w:hAnsi="Times New Roman" w:cs="Times New Roman"/>
                <w:sz w:val="24"/>
                <w:szCs w:val="24"/>
              </w:rPr>
              <w:t>Asociētās dalībvalsts līgumā minēta, kā Pieprasītās puses aktivitātes (</w:t>
            </w:r>
            <w:r w:rsidRPr="000A5473">
              <w:rPr>
                <w:rFonts w:ascii="Times New Roman" w:hAnsi="Times New Roman" w:cs="Times New Roman"/>
                <w:i/>
                <w:sz w:val="24"/>
                <w:szCs w:val="24"/>
              </w:rPr>
              <w:t>Requesting Party Activities</w:t>
            </w:r>
            <w:r w:rsidRPr="000A5473">
              <w:rPr>
                <w:rFonts w:ascii="Times New Roman" w:hAnsi="Times New Roman" w:cs="Times New Roman"/>
                <w:sz w:val="24"/>
                <w:szCs w:val="24"/>
              </w:rPr>
              <w:t>)</w:t>
            </w:r>
            <w:r>
              <w:rPr>
                <w:rFonts w:ascii="Times New Roman" w:hAnsi="Times New Roman" w:cs="Times New Roman"/>
                <w:sz w:val="24"/>
                <w:szCs w:val="24"/>
              </w:rPr>
              <w:t xml:space="preserve">) </w:t>
            </w:r>
            <w:r w:rsidRPr="000A5473">
              <w:rPr>
                <w:rFonts w:ascii="Times New Roman" w:hAnsi="Times New Roman" w:cs="Times New Roman"/>
                <w:sz w:val="24"/>
                <w:szCs w:val="24"/>
              </w:rPr>
              <w:t xml:space="preserve">– 1,25 milj. </w:t>
            </w:r>
            <w:r w:rsidRPr="00E11B7D">
              <w:rPr>
                <w:rFonts w:ascii="Times New Roman" w:hAnsi="Times New Roman" w:cs="Times New Roman"/>
                <w:i/>
                <w:sz w:val="24"/>
                <w:szCs w:val="24"/>
              </w:rPr>
              <w:t>euro</w:t>
            </w:r>
          </w:p>
          <w:p w14:paraId="28E2F032" w14:textId="4B44874A" w:rsidR="001E1A80" w:rsidRPr="001E1A80" w:rsidRDefault="001E1A80" w:rsidP="001E1A80">
            <w:pPr>
              <w:jc w:val="both"/>
              <w:rPr>
                <w:rFonts w:ascii="Times New Roman" w:hAnsi="Times New Roman" w:cs="Times New Roman"/>
                <w:sz w:val="24"/>
                <w:szCs w:val="24"/>
              </w:rPr>
            </w:pPr>
            <w:r>
              <w:rPr>
                <w:rFonts w:ascii="Times New Roman" w:hAnsi="Times New Roman" w:cs="Times New Roman"/>
                <w:sz w:val="24"/>
                <w:szCs w:val="24"/>
              </w:rPr>
              <w:t>(</w:t>
            </w:r>
            <w:r w:rsidRPr="001E1A80">
              <w:rPr>
                <w:rFonts w:ascii="Times New Roman" w:hAnsi="Times New Roman" w:cs="Times New Roman"/>
                <w:sz w:val="24"/>
                <w:szCs w:val="24"/>
              </w:rPr>
              <w:t>saglabājot elastību finansējuma pārdalē starp dažādām EKA programmām, atbilstoši Latvijas  industrijas vajadzībām);</w:t>
            </w:r>
          </w:p>
          <w:p w14:paraId="252567DC" w14:textId="77777777" w:rsidR="001E1A80" w:rsidRPr="001E1A80" w:rsidRDefault="001E1A80" w:rsidP="001E1A80">
            <w:pPr>
              <w:numPr>
                <w:ilvl w:val="0"/>
                <w:numId w:val="5"/>
              </w:numPr>
              <w:spacing w:after="0" w:line="240" w:lineRule="auto"/>
              <w:contextualSpacing/>
              <w:jc w:val="both"/>
              <w:rPr>
                <w:rFonts w:ascii="Times New Roman" w:eastAsia="Times New Roman" w:hAnsi="Times New Roman" w:cs="Times New Roman"/>
                <w:sz w:val="24"/>
                <w:szCs w:val="24"/>
                <w:lang w:val="en-GB"/>
              </w:rPr>
            </w:pPr>
            <w:r w:rsidRPr="001E1A80">
              <w:rPr>
                <w:rFonts w:ascii="Times New Roman" w:eastAsia="Calibri" w:hAnsi="Times New Roman" w:cs="Times New Roman"/>
                <w:i/>
                <w:sz w:val="24"/>
                <w:szCs w:val="24"/>
                <w:lang w:val="en-GB"/>
              </w:rPr>
              <w:t xml:space="preserve"> </w:t>
            </w:r>
            <w:r w:rsidRPr="001E1A80">
              <w:rPr>
                <w:rFonts w:ascii="Times New Roman" w:eastAsia="Calibri" w:hAnsi="Times New Roman" w:cs="Times New Roman"/>
                <w:b/>
                <w:sz w:val="24"/>
                <w:szCs w:val="24"/>
              </w:rPr>
              <w:t>Latvijas pārstāvju dalība</w:t>
            </w:r>
            <w:r w:rsidRPr="001E1A80">
              <w:rPr>
                <w:rFonts w:ascii="Times New Roman" w:eastAsia="Calibri" w:hAnsi="Times New Roman" w:cs="Times New Roman"/>
                <w:sz w:val="24"/>
                <w:szCs w:val="24"/>
              </w:rPr>
              <w:t xml:space="preserve"> ārvalstu  institūciju ietvaros organizētās darba grupās</w:t>
            </w:r>
            <w:r w:rsidRPr="001E1A80">
              <w:rPr>
                <w:rFonts w:ascii="Times New Roman" w:eastAsia="Calibri" w:hAnsi="Times New Roman" w:cs="Times New Roman"/>
                <w:sz w:val="24"/>
                <w:szCs w:val="24"/>
                <w:lang w:val="en-GB"/>
              </w:rPr>
              <w:t xml:space="preserve"> </w:t>
            </w:r>
            <w:r w:rsidRPr="001E1A80">
              <w:rPr>
                <w:rFonts w:ascii="Times New Roman" w:eastAsia="Calibri" w:hAnsi="Times New Roman" w:cs="Times New Roman"/>
                <w:i/>
                <w:sz w:val="24"/>
                <w:szCs w:val="24"/>
                <w:lang w:val="en-GB"/>
              </w:rPr>
              <w:t xml:space="preserve">– </w:t>
            </w:r>
            <w:r w:rsidRPr="001E1A80">
              <w:rPr>
                <w:rFonts w:ascii="Times New Roman" w:eastAsia="Calibri" w:hAnsi="Times New Roman" w:cs="Times New Roman"/>
                <w:sz w:val="24"/>
                <w:szCs w:val="24"/>
                <w:lang w:val="en-GB"/>
              </w:rPr>
              <w:t>19, 6 tūkst.</w:t>
            </w:r>
            <w:r w:rsidRPr="001E1A80">
              <w:rPr>
                <w:rFonts w:ascii="Times New Roman" w:eastAsia="Calibri" w:hAnsi="Times New Roman" w:cs="Times New Roman"/>
                <w:i/>
                <w:sz w:val="24"/>
                <w:szCs w:val="24"/>
                <w:lang w:val="en-GB"/>
              </w:rPr>
              <w:t xml:space="preserve"> euro</w:t>
            </w:r>
            <w:r w:rsidRPr="001E1A80">
              <w:rPr>
                <w:rFonts w:ascii="Times New Roman" w:eastAsia="Calibri" w:hAnsi="Times New Roman" w:cs="Times New Roman"/>
                <w:sz w:val="24"/>
                <w:szCs w:val="24"/>
                <w:lang w:val="en-GB"/>
              </w:rPr>
              <w:t xml:space="preserve"> gadā .</w:t>
            </w:r>
          </w:p>
          <w:p w14:paraId="270E3785" w14:textId="77777777" w:rsidR="001E1A80" w:rsidRPr="001E1A80" w:rsidRDefault="001E1A80" w:rsidP="001E1A80">
            <w:pPr>
              <w:jc w:val="both"/>
              <w:rPr>
                <w:rFonts w:ascii="Times New Roman" w:hAnsi="Times New Roman" w:cs="Times New Roman"/>
                <w:sz w:val="24"/>
                <w:szCs w:val="24"/>
              </w:rPr>
            </w:pPr>
          </w:p>
          <w:p w14:paraId="67749F90" w14:textId="77777777" w:rsidR="001E1A80" w:rsidRPr="001E1A80" w:rsidRDefault="001E1A80" w:rsidP="001E1A80">
            <w:pPr>
              <w:jc w:val="both"/>
              <w:rPr>
                <w:rFonts w:ascii="Times New Roman" w:hAnsi="Times New Roman" w:cs="Times New Roman"/>
                <w:sz w:val="24"/>
                <w:szCs w:val="24"/>
              </w:rPr>
            </w:pPr>
            <w:r w:rsidRPr="001E1A80">
              <w:rPr>
                <w:rFonts w:ascii="Times New Roman" w:hAnsi="Times New Roman" w:cs="Times New Roman"/>
                <w:sz w:val="24"/>
                <w:szCs w:val="24"/>
              </w:rPr>
              <w:t xml:space="preserve">Nepieciešamais kopējais finansējums ir </w:t>
            </w:r>
            <w:r w:rsidRPr="001E1A80">
              <w:rPr>
                <w:rFonts w:ascii="Times New Roman" w:hAnsi="Times New Roman" w:cs="Times New Roman"/>
                <w:b/>
                <w:sz w:val="24"/>
                <w:szCs w:val="24"/>
              </w:rPr>
              <w:t>21 137 200</w:t>
            </w:r>
            <w:r w:rsidRPr="001E1A80">
              <w:rPr>
                <w:rFonts w:ascii="Times New Roman" w:hAnsi="Times New Roman" w:cs="Times New Roman"/>
                <w:sz w:val="24"/>
                <w:szCs w:val="24"/>
              </w:rPr>
              <w:t xml:space="preserve"> </w:t>
            </w:r>
            <w:r w:rsidRPr="001E1A80">
              <w:rPr>
                <w:rFonts w:ascii="Times New Roman" w:hAnsi="Times New Roman" w:cs="Times New Roman"/>
                <w:i/>
                <w:sz w:val="24"/>
                <w:szCs w:val="24"/>
              </w:rPr>
              <w:t>euro</w:t>
            </w:r>
            <w:r w:rsidRPr="001E1A80">
              <w:rPr>
                <w:rFonts w:ascii="Times New Roman" w:hAnsi="Times New Roman" w:cs="Times New Roman"/>
                <w:sz w:val="24"/>
                <w:szCs w:val="24"/>
              </w:rPr>
              <w:t xml:space="preserve"> apmērā, no tiem 21 000 000 </w:t>
            </w:r>
            <w:r w:rsidRPr="001E1A80">
              <w:rPr>
                <w:rFonts w:ascii="Times New Roman" w:hAnsi="Times New Roman" w:cs="Times New Roman"/>
                <w:i/>
                <w:sz w:val="24"/>
                <w:szCs w:val="24"/>
              </w:rPr>
              <w:t>euro</w:t>
            </w:r>
            <w:r w:rsidRPr="001E1A80">
              <w:rPr>
                <w:rFonts w:ascii="Times New Roman" w:hAnsi="Times New Roman" w:cs="Times New Roman"/>
                <w:sz w:val="24"/>
                <w:szCs w:val="24"/>
              </w:rPr>
              <w:t xml:space="preserve"> apmērā paredzēts Latvijas dalības maksai Eiropas Kosmosa aģentūras Asociētās dalībvalsts statusā (3,0 milj. </w:t>
            </w:r>
            <w:r w:rsidRPr="001E1A80">
              <w:rPr>
                <w:rFonts w:ascii="Times New Roman" w:hAnsi="Times New Roman" w:cs="Times New Roman"/>
                <w:i/>
                <w:sz w:val="24"/>
                <w:szCs w:val="24"/>
              </w:rPr>
              <w:t>euro</w:t>
            </w:r>
            <w:r w:rsidRPr="001E1A80">
              <w:rPr>
                <w:rFonts w:ascii="Times New Roman" w:hAnsi="Times New Roman" w:cs="Times New Roman"/>
                <w:sz w:val="24"/>
                <w:szCs w:val="24"/>
              </w:rPr>
              <w:t xml:space="preserve"> x 7 gadi = 21,0 milj. </w:t>
            </w:r>
            <w:r w:rsidRPr="001E1A80">
              <w:rPr>
                <w:rFonts w:ascii="Times New Roman" w:hAnsi="Times New Roman" w:cs="Times New Roman"/>
                <w:i/>
                <w:sz w:val="24"/>
                <w:szCs w:val="24"/>
              </w:rPr>
              <w:t>euro</w:t>
            </w:r>
            <w:r w:rsidRPr="001E1A80">
              <w:rPr>
                <w:rFonts w:ascii="Times New Roman" w:hAnsi="Times New Roman" w:cs="Times New Roman"/>
                <w:sz w:val="24"/>
                <w:szCs w:val="24"/>
              </w:rPr>
              <w:t xml:space="preserve">) un 137 200 </w:t>
            </w:r>
            <w:r w:rsidRPr="001E1A80">
              <w:rPr>
                <w:rFonts w:ascii="Times New Roman" w:hAnsi="Times New Roman" w:cs="Times New Roman"/>
                <w:i/>
                <w:sz w:val="24"/>
                <w:szCs w:val="24"/>
              </w:rPr>
              <w:t>euro</w:t>
            </w:r>
            <w:r w:rsidRPr="001E1A80">
              <w:rPr>
                <w:rFonts w:ascii="Times New Roman" w:hAnsi="Times New Roman" w:cs="Times New Roman"/>
                <w:sz w:val="24"/>
                <w:szCs w:val="24"/>
              </w:rPr>
              <w:t xml:space="preserve"> apmērā paredzēts Latvijas pārstāvju dalībai ārvalstu  institūciju ietvaros organizētās darba grupās</w:t>
            </w:r>
            <w:r w:rsidRPr="001E1A80">
              <w:rPr>
                <w:rFonts w:ascii="Times New Roman" w:hAnsi="Times New Roman" w:cs="Times New Roman"/>
                <w:i/>
                <w:sz w:val="24"/>
                <w:szCs w:val="24"/>
              </w:rPr>
              <w:t xml:space="preserve"> </w:t>
            </w:r>
            <w:r w:rsidRPr="001E1A80">
              <w:rPr>
                <w:rFonts w:ascii="Times New Roman" w:hAnsi="Times New Roman" w:cs="Times New Roman"/>
                <w:sz w:val="24"/>
                <w:szCs w:val="24"/>
              </w:rPr>
              <w:t xml:space="preserve">(19,6 tūkst </w:t>
            </w:r>
            <w:r w:rsidRPr="001E1A80">
              <w:rPr>
                <w:rFonts w:ascii="Times New Roman" w:hAnsi="Times New Roman" w:cs="Times New Roman"/>
                <w:i/>
                <w:sz w:val="24"/>
                <w:szCs w:val="24"/>
              </w:rPr>
              <w:t>euro</w:t>
            </w:r>
            <w:r w:rsidRPr="001E1A80">
              <w:rPr>
                <w:rFonts w:ascii="Times New Roman" w:hAnsi="Times New Roman" w:cs="Times New Roman"/>
                <w:sz w:val="24"/>
                <w:szCs w:val="24"/>
              </w:rPr>
              <w:t xml:space="preserve"> x 7 gadi = 137,2 tūkst. </w:t>
            </w:r>
            <w:r w:rsidRPr="001E1A80">
              <w:rPr>
                <w:rFonts w:ascii="Times New Roman" w:hAnsi="Times New Roman" w:cs="Times New Roman"/>
                <w:i/>
                <w:sz w:val="24"/>
                <w:szCs w:val="24"/>
              </w:rPr>
              <w:t>euro</w:t>
            </w:r>
            <w:r w:rsidRPr="001E1A80">
              <w:rPr>
                <w:rFonts w:ascii="Times New Roman" w:hAnsi="Times New Roman" w:cs="Times New Roman"/>
                <w:sz w:val="24"/>
                <w:szCs w:val="24"/>
              </w:rPr>
              <w:t xml:space="preserve">). </w:t>
            </w:r>
          </w:p>
          <w:p w14:paraId="001A44A3" w14:textId="77777777" w:rsidR="001E1A80" w:rsidRPr="001E1A80" w:rsidRDefault="001E1A80" w:rsidP="001E1A80">
            <w:pPr>
              <w:jc w:val="both"/>
              <w:rPr>
                <w:rFonts w:ascii="Times New Roman" w:hAnsi="Times New Roman" w:cs="Times New Roman"/>
                <w:sz w:val="24"/>
                <w:szCs w:val="24"/>
                <w:u w:val="single"/>
              </w:rPr>
            </w:pPr>
            <w:r w:rsidRPr="001E1A80">
              <w:rPr>
                <w:rFonts w:ascii="Times New Roman" w:hAnsi="Times New Roman" w:cs="Times New Roman"/>
                <w:sz w:val="24"/>
                <w:szCs w:val="24"/>
                <w:u w:val="single"/>
              </w:rPr>
              <w:t>Paredzētos izdevumus ministrija nodrošinās:</w:t>
            </w:r>
          </w:p>
          <w:p w14:paraId="0AC7D538" w14:textId="77777777" w:rsidR="001E1A80" w:rsidRPr="001E1A80" w:rsidRDefault="001E1A80" w:rsidP="001E1A80">
            <w:pPr>
              <w:numPr>
                <w:ilvl w:val="0"/>
                <w:numId w:val="6"/>
              </w:numPr>
              <w:spacing w:after="0" w:line="240" w:lineRule="auto"/>
              <w:contextualSpacing/>
              <w:jc w:val="both"/>
              <w:rPr>
                <w:rFonts w:ascii="Times New Roman" w:eastAsia="Times New Roman" w:hAnsi="Times New Roman" w:cs="Times New Roman"/>
                <w:sz w:val="24"/>
                <w:szCs w:val="24"/>
              </w:rPr>
            </w:pPr>
            <w:r w:rsidRPr="001E1A80">
              <w:rPr>
                <w:rFonts w:ascii="Times New Roman" w:eastAsia="Times New Roman" w:hAnsi="Times New Roman" w:cs="Times New Roman"/>
                <w:sz w:val="24"/>
                <w:szCs w:val="24"/>
                <w:lang w:val="en-GB"/>
              </w:rPr>
              <w:t xml:space="preserve">2019.gadā - 846 450 </w:t>
            </w:r>
            <w:r w:rsidRPr="001E1A80">
              <w:rPr>
                <w:rFonts w:ascii="Times New Roman" w:eastAsia="Times New Roman" w:hAnsi="Times New Roman" w:cs="Times New Roman"/>
                <w:i/>
                <w:sz w:val="24"/>
                <w:szCs w:val="24"/>
                <w:lang w:val="en-GB"/>
              </w:rPr>
              <w:t>euro</w:t>
            </w:r>
            <w:r w:rsidRPr="001E1A80">
              <w:rPr>
                <w:rFonts w:ascii="Times New Roman" w:eastAsia="Times New Roman" w:hAnsi="Times New Roman" w:cs="Times New Roman"/>
                <w:sz w:val="24"/>
                <w:szCs w:val="24"/>
                <w:lang w:val="en-GB"/>
              </w:rPr>
              <w:t xml:space="preserve"> </w:t>
            </w:r>
            <w:r w:rsidRPr="001E1A80">
              <w:rPr>
                <w:rFonts w:ascii="Times New Roman" w:eastAsia="Times New Roman" w:hAnsi="Times New Roman" w:cs="Times New Roman"/>
                <w:sz w:val="24"/>
                <w:szCs w:val="24"/>
              </w:rPr>
              <w:t xml:space="preserve">apmērā, pārdalot finansējumu no ministrijas budžeta apakšprogrammas 01.07.00 Dotācija brīvpusdienu nodrošināšanai 1.,2.,3.un 4.klases izglītojamiem; </w:t>
            </w:r>
          </w:p>
          <w:p w14:paraId="2F4B7B12" w14:textId="77777777" w:rsidR="001E1A80" w:rsidRPr="001E1A80" w:rsidRDefault="001E1A80" w:rsidP="001E1A80">
            <w:pPr>
              <w:numPr>
                <w:ilvl w:val="0"/>
                <w:numId w:val="6"/>
              </w:numPr>
              <w:spacing w:after="0" w:line="240" w:lineRule="auto"/>
              <w:contextualSpacing/>
              <w:jc w:val="both"/>
              <w:rPr>
                <w:rFonts w:ascii="Times New Roman" w:eastAsia="Times New Roman" w:hAnsi="Times New Roman" w:cs="Times New Roman"/>
                <w:sz w:val="24"/>
                <w:szCs w:val="24"/>
              </w:rPr>
            </w:pPr>
            <w:r w:rsidRPr="001E1A80">
              <w:rPr>
                <w:rFonts w:ascii="Times New Roman" w:eastAsia="Times New Roman" w:hAnsi="Times New Roman" w:cs="Times New Roman"/>
                <w:sz w:val="24"/>
                <w:szCs w:val="24"/>
              </w:rPr>
              <w:t xml:space="preserve">8 290750 </w:t>
            </w:r>
            <w:r w:rsidRPr="001E1A80">
              <w:rPr>
                <w:rFonts w:ascii="Times New Roman" w:eastAsia="Times New Roman" w:hAnsi="Times New Roman" w:cs="Times New Roman"/>
                <w:i/>
                <w:sz w:val="24"/>
                <w:szCs w:val="24"/>
              </w:rPr>
              <w:t>euro</w:t>
            </w:r>
            <w:r w:rsidRPr="001E1A80">
              <w:rPr>
                <w:rFonts w:ascii="Times New Roman" w:eastAsia="Times New Roman" w:hAnsi="Times New Roman" w:cs="Times New Roman"/>
                <w:sz w:val="24"/>
                <w:szCs w:val="24"/>
              </w:rPr>
              <w:t xml:space="preserve"> apmērā budžeta ietvaros (finansējums apstiprināts ar Ministru kabineta 17.09.2019. sēdes prot. Nr.42 34.§.  2.punktu – 2020.g. – 4 168 784 </w:t>
            </w:r>
            <w:r w:rsidRPr="001E1A80">
              <w:rPr>
                <w:rFonts w:ascii="Times New Roman" w:eastAsia="Times New Roman" w:hAnsi="Times New Roman" w:cs="Times New Roman"/>
                <w:i/>
                <w:sz w:val="24"/>
                <w:szCs w:val="24"/>
              </w:rPr>
              <w:t>euro</w:t>
            </w:r>
            <w:r w:rsidRPr="001E1A80">
              <w:rPr>
                <w:rFonts w:ascii="Times New Roman" w:eastAsia="Times New Roman" w:hAnsi="Times New Roman" w:cs="Times New Roman"/>
                <w:sz w:val="24"/>
                <w:szCs w:val="24"/>
              </w:rPr>
              <w:t xml:space="preserve">, 2021.g.- 3 000 000 </w:t>
            </w:r>
            <w:r w:rsidRPr="001E1A80">
              <w:rPr>
                <w:rFonts w:ascii="Times New Roman" w:eastAsia="Times New Roman" w:hAnsi="Times New Roman" w:cs="Times New Roman"/>
                <w:i/>
                <w:sz w:val="24"/>
                <w:szCs w:val="24"/>
              </w:rPr>
              <w:t>euro</w:t>
            </w:r>
            <w:r w:rsidRPr="001E1A80">
              <w:rPr>
                <w:rFonts w:ascii="Times New Roman" w:eastAsia="Times New Roman" w:hAnsi="Times New Roman" w:cs="Times New Roman"/>
                <w:sz w:val="24"/>
                <w:szCs w:val="24"/>
              </w:rPr>
              <w:t xml:space="preserve">, 2022.g. – 1 121 966 </w:t>
            </w:r>
            <w:r w:rsidRPr="001E1A80">
              <w:rPr>
                <w:rFonts w:ascii="Times New Roman" w:eastAsia="Times New Roman" w:hAnsi="Times New Roman" w:cs="Times New Roman"/>
                <w:i/>
                <w:sz w:val="24"/>
                <w:szCs w:val="24"/>
              </w:rPr>
              <w:t>euro</w:t>
            </w:r>
            <w:r w:rsidRPr="001E1A80">
              <w:rPr>
                <w:rFonts w:ascii="Times New Roman" w:eastAsia="Times New Roman" w:hAnsi="Times New Roman" w:cs="Times New Roman"/>
                <w:sz w:val="24"/>
                <w:szCs w:val="24"/>
              </w:rPr>
              <w:t>.</w:t>
            </w:r>
          </w:p>
          <w:p w14:paraId="18D52C01" w14:textId="40335BF3" w:rsidR="00FA5B88" w:rsidRPr="001E1A80" w:rsidRDefault="001E1A80" w:rsidP="00FA5B88">
            <w:pPr>
              <w:numPr>
                <w:ilvl w:val="0"/>
                <w:numId w:val="6"/>
              </w:numPr>
              <w:spacing w:after="0" w:line="240" w:lineRule="auto"/>
              <w:contextualSpacing/>
              <w:jc w:val="both"/>
              <w:rPr>
                <w:rFonts w:ascii="Times New Roman" w:eastAsia="Times New Roman" w:hAnsi="Times New Roman" w:cs="Times New Roman"/>
                <w:sz w:val="24"/>
                <w:szCs w:val="24"/>
              </w:rPr>
            </w:pPr>
            <w:r w:rsidRPr="001E1A80">
              <w:rPr>
                <w:rFonts w:ascii="Times New Roman" w:eastAsia="Times New Roman" w:hAnsi="Times New Roman" w:cs="Times New Roman"/>
                <w:sz w:val="24"/>
                <w:szCs w:val="24"/>
              </w:rPr>
              <w:lastRenderedPageBreak/>
              <w:t xml:space="preserve">2023.g- 2026.g. – 3 000 000 </w:t>
            </w:r>
            <w:r w:rsidRPr="001E1A80">
              <w:rPr>
                <w:rFonts w:ascii="Times New Roman" w:eastAsia="Times New Roman" w:hAnsi="Times New Roman" w:cs="Times New Roman"/>
                <w:i/>
                <w:sz w:val="24"/>
                <w:szCs w:val="24"/>
              </w:rPr>
              <w:t>euro</w:t>
            </w:r>
            <w:r w:rsidRPr="001E1A80">
              <w:rPr>
                <w:rFonts w:ascii="Times New Roman" w:eastAsia="Times New Roman" w:hAnsi="Times New Roman" w:cs="Times New Roman"/>
                <w:sz w:val="24"/>
                <w:szCs w:val="24"/>
              </w:rPr>
              <w:t xml:space="preserve"> ik gadu (kopā 12 000 000 euro ) ministrija sniegs informatīvo ziņojumu ar lūgumu palielināt dotāciju no vispārējiem ieņēmumiem bāzes izdevumos 2023., 2024., 2025. un 2026. gadam 3 000 000 euro apmērā ik gadu ministrijas budžeta programmai 16.00.00  “Eiropas Savienības lietas un starptautiskā sadarbība”, lai nodrošinātu Latvijas dalības maksu Eiropas Kosmosa aģentūras Asociētās dalībvalsts statusā.</w:t>
            </w:r>
          </w:p>
        </w:tc>
      </w:tr>
      <w:tr w:rsidR="00FC2FE5" w:rsidRPr="00FC2FE5" w14:paraId="0D373037" w14:textId="77777777" w:rsidTr="0094545A">
        <w:trPr>
          <w:trHeight w:val="510"/>
          <w:tblCellSpacing w:w="20" w:type="dxa"/>
        </w:trPr>
        <w:tc>
          <w:tcPr>
            <w:tcW w:w="1527" w:type="dxa"/>
            <w:shd w:val="clear" w:color="auto" w:fill="auto"/>
            <w:hideMark/>
          </w:tcPr>
          <w:p w14:paraId="0CC3E0F4"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6.1. detalizēts ieņēmumu aprēķins</w:t>
            </w:r>
          </w:p>
        </w:tc>
        <w:tc>
          <w:tcPr>
            <w:tcW w:w="8106" w:type="dxa"/>
            <w:gridSpan w:val="7"/>
            <w:vMerge/>
            <w:shd w:val="clear" w:color="auto" w:fill="auto"/>
            <w:vAlign w:val="center"/>
            <w:hideMark/>
          </w:tcPr>
          <w:p w14:paraId="51999D5F" w14:textId="77777777" w:rsidR="00FC2FE5" w:rsidRPr="00FC2FE5" w:rsidRDefault="00FC2FE5" w:rsidP="00FC2FE5">
            <w:pPr>
              <w:rPr>
                <w:rFonts w:ascii="Times New Roman" w:hAnsi="Times New Roman" w:cs="Times New Roman"/>
                <w:sz w:val="24"/>
                <w:szCs w:val="24"/>
              </w:rPr>
            </w:pPr>
          </w:p>
        </w:tc>
      </w:tr>
      <w:tr w:rsidR="00FC2FE5" w:rsidRPr="00FC2FE5" w14:paraId="1DFFA5FC" w14:textId="77777777" w:rsidTr="0094545A">
        <w:trPr>
          <w:trHeight w:val="70"/>
          <w:tblCellSpacing w:w="20" w:type="dxa"/>
        </w:trPr>
        <w:tc>
          <w:tcPr>
            <w:tcW w:w="1527" w:type="dxa"/>
            <w:shd w:val="clear" w:color="auto" w:fill="auto"/>
            <w:hideMark/>
          </w:tcPr>
          <w:p w14:paraId="19415446" w14:textId="77777777" w:rsidR="00FC2FE5" w:rsidRPr="00FC2FE5" w:rsidRDefault="00FC2FE5" w:rsidP="002F79F1">
            <w:pPr>
              <w:ind w:left="-408" w:firstLine="270"/>
              <w:rPr>
                <w:rFonts w:ascii="Times New Roman" w:hAnsi="Times New Roman" w:cs="Times New Roman"/>
                <w:sz w:val="24"/>
                <w:szCs w:val="24"/>
              </w:rPr>
            </w:pPr>
            <w:r w:rsidRPr="00FC2FE5">
              <w:rPr>
                <w:rFonts w:ascii="Times New Roman" w:hAnsi="Times New Roman" w:cs="Times New Roman"/>
                <w:sz w:val="24"/>
                <w:szCs w:val="24"/>
              </w:rPr>
              <w:t>6.2. detalizēts izdevumu aprēķins</w:t>
            </w:r>
          </w:p>
        </w:tc>
        <w:tc>
          <w:tcPr>
            <w:tcW w:w="8106" w:type="dxa"/>
            <w:gridSpan w:val="7"/>
            <w:vMerge/>
            <w:shd w:val="clear" w:color="auto" w:fill="auto"/>
            <w:vAlign w:val="center"/>
            <w:hideMark/>
          </w:tcPr>
          <w:p w14:paraId="7A4AADEF" w14:textId="77777777" w:rsidR="00FC2FE5" w:rsidRPr="00FC2FE5" w:rsidRDefault="00FC2FE5" w:rsidP="00FC2FE5">
            <w:pPr>
              <w:rPr>
                <w:rFonts w:ascii="Times New Roman" w:hAnsi="Times New Roman" w:cs="Times New Roman"/>
                <w:sz w:val="24"/>
                <w:szCs w:val="24"/>
              </w:rPr>
            </w:pPr>
          </w:p>
        </w:tc>
      </w:tr>
      <w:tr w:rsidR="00FC2FE5" w:rsidRPr="00FC2FE5" w14:paraId="5CF384AD" w14:textId="77777777" w:rsidTr="0094545A">
        <w:trPr>
          <w:trHeight w:val="800"/>
          <w:tblCellSpacing w:w="20" w:type="dxa"/>
        </w:trPr>
        <w:tc>
          <w:tcPr>
            <w:tcW w:w="1527" w:type="dxa"/>
            <w:shd w:val="clear" w:color="auto" w:fill="auto"/>
            <w:hideMark/>
          </w:tcPr>
          <w:p w14:paraId="738F6745"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7. Amata vietu skaita izmaiņas</w:t>
            </w:r>
          </w:p>
        </w:tc>
        <w:tc>
          <w:tcPr>
            <w:tcW w:w="8106" w:type="dxa"/>
            <w:gridSpan w:val="7"/>
            <w:shd w:val="clear" w:color="auto" w:fill="auto"/>
            <w:hideMark/>
          </w:tcPr>
          <w:p w14:paraId="5F79C125"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Projekts šo jomu neskar.</w:t>
            </w:r>
          </w:p>
        </w:tc>
      </w:tr>
      <w:tr w:rsidR="00FC2FE5" w:rsidRPr="00FC2FE5" w14:paraId="0F990D80" w14:textId="77777777" w:rsidTr="0094545A">
        <w:trPr>
          <w:trHeight w:val="305"/>
          <w:tblCellSpacing w:w="20" w:type="dxa"/>
        </w:trPr>
        <w:tc>
          <w:tcPr>
            <w:tcW w:w="1527" w:type="dxa"/>
            <w:shd w:val="clear" w:color="auto" w:fill="auto"/>
            <w:hideMark/>
          </w:tcPr>
          <w:p w14:paraId="0535D1B2" w14:textId="77777777" w:rsidR="00FC2FE5" w:rsidRPr="00FC2FE5" w:rsidRDefault="00FC2FE5" w:rsidP="00FC2FE5">
            <w:pPr>
              <w:rPr>
                <w:rFonts w:ascii="Times New Roman" w:hAnsi="Times New Roman" w:cs="Times New Roman"/>
                <w:sz w:val="24"/>
                <w:szCs w:val="24"/>
              </w:rPr>
            </w:pPr>
            <w:r w:rsidRPr="00FC2FE5">
              <w:rPr>
                <w:rFonts w:ascii="Times New Roman" w:hAnsi="Times New Roman" w:cs="Times New Roman"/>
                <w:sz w:val="24"/>
                <w:szCs w:val="24"/>
              </w:rPr>
              <w:t>8. Cita informācija</w:t>
            </w:r>
          </w:p>
        </w:tc>
        <w:tc>
          <w:tcPr>
            <w:tcW w:w="8106" w:type="dxa"/>
            <w:gridSpan w:val="7"/>
            <w:shd w:val="clear" w:color="auto" w:fill="auto"/>
            <w:hideMark/>
          </w:tcPr>
          <w:p w14:paraId="7CBA3BE7" w14:textId="125FECA4" w:rsidR="00FC2FE5" w:rsidRPr="00FC2FE5" w:rsidRDefault="00AE6DD8" w:rsidP="00FC2FE5">
            <w:pPr>
              <w:jc w:val="both"/>
              <w:rPr>
                <w:rFonts w:ascii="Times New Roman" w:hAnsi="Times New Roman" w:cs="Times New Roman"/>
                <w:sz w:val="24"/>
                <w:szCs w:val="24"/>
              </w:rPr>
            </w:pPr>
            <w:r>
              <w:rPr>
                <w:rFonts w:ascii="Times New Roman" w:hAnsi="Times New Roman" w:cs="Times New Roman"/>
                <w:sz w:val="24"/>
                <w:szCs w:val="24"/>
              </w:rPr>
              <w:t xml:space="preserve">Nav </w:t>
            </w:r>
          </w:p>
        </w:tc>
      </w:tr>
      <w:tr w:rsidR="004E2306" w:rsidRPr="004E2306" w14:paraId="54AD50B3" w14:textId="77777777" w:rsidTr="0094545A">
        <w:tblPrEx>
          <w:tblCellSpacing w:w="15" w:type="dxa"/>
          <w:tblCellMar>
            <w:top w:w="30" w:type="dxa"/>
            <w:left w:w="30" w:type="dxa"/>
            <w:bottom w:w="30" w:type="dxa"/>
            <w:right w:w="30" w:type="dxa"/>
          </w:tblCellMar>
        </w:tblPrEx>
        <w:trPr>
          <w:tblCellSpacing w:w="15" w:type="dxa"/>
        </w:trPr>
        <w:tc>
          <w:tcPr>
            <w:tcW w:w="9673" w:type="dxa"/>
            <w:gridSpan w:val="8"/>
            <w:vAlign w:val="center"/>
            <w:hideMark/>
          </w:tcPr>
          <w:p w14:paraId="3A867E70" w14:textId="77777777" w:rsidR="004E2306" w:rsidRPr="004E2306" w:rsidRDefault="004E2306" w:rsidP="002F79F1">
            <w:pPr>
              <w:spacing w:after="0" w:line="240" w:lineRule="auto"/>
              <w:jc w:val="center"/>
              <w:rPr>
                <w:rFonts w:ascii="Times New Roman" w:eastAsia="Times New Roman" w:hAnsi="Times New Roman" w:cs="Times New Roman"/>
                <w:b/>
                <w:bCs/>
                <w:iCs/>
                <w:color w:val="414142"/>
                <w:sz w:val="24"/>
                <w:szCs w:val="24"/>
                <w:lang w:eastAsia="lv-LV"/>
              </w:rPr>
            </w:pPr>
            <w:r w:rsidRPr="004E230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F79F1" w:rsidRPr="004E2306" w14:paraId="5B2F866C" w14:textId="77777777" w:rsidTr="0094545A">
        <w:tblPrEx>
          <w:tblCellSpacing w:w="15" w:type="dxa"/>
          <w:tblCellMar>
            <w:top w:w="30" w:type="dxa"/>
            <w:left w:w="30" w:type="dxa"/>
            <w:bottom w:w="30" w:type="dxa"/>
            <w:right w:w="30" w:type="dxa"/>
          </w:tblCellMar>
        </w:tblPrEx>
        <w:trPr>
          <w:tblCellSpacing w:w="15" w:type="dxa"/>
        </w:trPr>
        <w:tc>
          <w:tcPr>
            <w:tcW w:w="9673" w:type="dxa"/>
            <w:gridSpan w:val="8"/>
            <w:vAlign w:val="center"/>
          </w:tcPr>
          <w:p w14:paraId="3F91E5F4" w14:textId="707A342B" w:rsidR="002F79F1" w:rsidRPr="004E2306" w:rsidRDefault="002F79F1" w:rsidP="002F79F1">
            <w:pPr>
              <w:spacing w:after="0" w:line="240" w:lineRule="auto"/>
              <w:jc w:val="center"/>
              <w:rPr>
                <w:rFonts w:ascii="Times New Roman" w:eastAsia="Times New Roman" w:hAnsi="Times New Roman" w:cs="Times New Roman"/>
                <w:b/>
                <w:bCs/>
                <w:iCs/>
                <w:color w:val="414142"/>
                <w:sz w:val="24"/>
                <w:szCs w:val="24"/>
                <w:lang w:eastAsia="lv-LV"/>
              </w:rPr>
            </w:pPr>
            <w:r w:rsidRPr="002F79F1">
              <w:rPr>
                <w:rFonts w:ascii="Times New Roman" w:eastAsia="Times New Roman" w:hAnsi="Times New Roman" w:cs="Times New Roman"/>
                <w:bCs/>
                <w:iCs/>
                <w:color w:val="414142"/>
                <w:sz w:val="24"/>
                <w:szCs w:val="24"/>
                <w:lang w:eastAsia="lv-LV"/>
              </w:rPr>
              <w:t>Projekts šo jomu neskar</w:t>
            </w:r>
          </w:p>
        </w:tc>
      </w:tr>
      <w:tr w:rsidR="00D47E33" w:rsidRPr="002F79F1" w14:paraId="5C7B6005" w14:textId="77777777" w:rsidTr="0094545A">
        <w:tblPrEx>
          <w:tblCellSpacing w:w="15" w:type="dxa"/>
          <w:tblCellMar>
            <w:top w:w="30" w:type="dxa"/>
            <w:left w:w="30" w:type="dxa"/>
            <w:bottom w:w="30" w:type="dxa"/>
            <w:right w:w="30" w:type="dxa"/>
          </w:tblCellMar>
        </w:tblPrEx>
        <w:trPr>
          <w:tblCellSpacing w:w="15" w:type="dxa"/>
        </w:trPr>
        <w:tc>
          <w:tcPr>
            <w:tcW w:w="9673" w:type="dxa"/>
            <w:gridSpan w:val="8"/>
            <w:vAlign w:val="center"/>
            <w:hideMark/>
          </w:tcPr>
          <w:p w14:paraId="1D3D8747" w14:textId="77777777" w:rsidR="00D47E33" w:rsidRPr="002F79F1" w:rsidRDefault="00D47E33" w:rsidP="00D47E33">
            <w:pPr>
              <w:spacing w:after="0" w:line="240" w:lineRule="auto"/>
              <w:jc w:val="center"/>
              <w:rPr>
                <w:rFonts w:ascii="Times New Roman" w:eastAsia="Times New Roman" w:hAnsi="Times New Roman" w:cs="Times New Roman"/>
                <w:b/>
                <w:bCs/>
                <w:iCs/>
                <w:color w:val="414142"/>
                <w:sz w:val="24"/>
                <w:szCs w:val="24"/>
                <w:lang w:eastAsia="lv-LV"/>
              </w:rPr>
            </w:pPr>
            <w:r w:rsidRPr="002F79F1">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D47E33" w:rsidRPr="002F79F1" w14:paraId="487C3D54" w14:textId="77777777" w:rsidTr="0094545A">
        <w:tblPrEx>
          <w:tblCellSpacing w:w="15" w:type="dxa"/>
          <w:tblCellMar>
            <w:top w:w="30" w:type="dxa"/>
            <w:left w:w="30" w:type="dxa"/>
            <w:bottom w:w="30" w:type="dxa"/>
            <w:right w:w="30" w:type="dxa"/>
          </w:tblCellMar>
        </w:tblPrEx>
        <w:trPr>
          <w:tblCellSpacing w:w="15" w:type="dxa"/>
        </w:trPr>
        <w:tc>
          <w:tcPr>
            <w:tcW w:w="9673" w:type="dxa"/>
            <w:gridSpan w:val="8"/>
            <w:vAlign w:val="center"/>
            <w:hideMark/>
          </w:tcPr>
          <w:p w14:paraId="041F869F" w14:textId="77777777" w:rsidR="00D47E33" w:rsidRPr="002F79F1" w:rsidRDefault="00D47E33" w:rsidP="00D47E33">
            <w:pPr>
              <w:spacing w:after="0" w:line="240" w:lineRule="auto"/>
              <w:jc w:val="center"/>
              <w:rPr>
                <w:rFonts w:ascii="Times New Roman" w:eastAsia="Times New Roman" w:hAnsi="Times New Roman" w:cs="Times New Roman"/>
                <w:bCs/>
                <w:iCs/>
                <w:color w:val="414142"/>
                <w:sz w:val="24"/>
                <w:szCs w:val="24"/>
                <w:lang w:eastAsia="lv-LV"/>
              </w:rPr>
            </w:pPr>
            <w:r w:rsidRPr="002F79F1">
              <w:rPr>
                <w:rFonts w:ascii="Times New Roman" w:eastAsia="Times New Roman" w:hAnsi="Times New Roman" w:cs="Times New Roman"/>
                <w:bCs/>
                <w:iCs/>
                <w:color w:val="414142"/>
                <w:sz w:val="24"/>
                <w:szCs w:val="24"/>
                <w:lang w:eastAsia="lv-LV"/>
              </w:rPr>
              <w:t>Projekts šo jomu neskar</w:t>
            </w:r>
          </w:p>
        </w:tc>
      </w:tr>
    </w:tbl>
    <w:p w14:paraId="5FF0FD29" w14:textId="77777777" w:rsidR="00367AAE" w:rsidRPr="002F79F1" w:rsidRDefault="00367AAE" w:rsidP="000B2628">
      <w:pPr>
        <w:spacing w:after="0" w:line="240" w:lineRule="auto"/>
        <w:ind w:right="-1"/>
        <w:rPr>
          <w:rFonts w:ascii="Times New Roman" w:eastAsia="Times New Roman" w:hAnsi="Times New Roman" w:cs="Times New Roman"/>
          <w:sz w:val="24"/>
          <w:szCs w:val="24"/>
          <w:lang w:eastAsia="lv-LV"/>
        </w:rPr>
      </w:pPr>
    </w:p>
    <w:tbl>
      <w:tblPr>
        <w:tblW w:w="5377" w:type="pct"/>
        <w:tblCellSpacing w:w="15" w:type="dxa"/>
        <w:tblInd w:w="-27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3064"/>
        <w:gridCol w:w="6161"/>
      </w:tblGrid>
      <w:tr w:rsidR="001A7BA7" w:rsidRPr="002F79F1" w14:paraId="4CA987A2"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55E4FC22" w14:textId="2EEA82A3" w:rsidR="001A7BA7" w:rsidRPr="002F79F1" w:rsidRDefault="001A7BA7" w:rsidP="001A7BA7">
            <w:pPr>
              <w:spacing w:after="0" w:line="240" w:lineRule="auto"/>
              <w:jc w:val="center"/>
              <w:rPr>
                <w:rFonts w:ascii="Times New Roman" w:eastAsia="Times New Roman" w:hAnsi="Times New Roman" w:cs="Times New Roman"/>
                <w:b/>
                <w:bCs/>
                <w:iCs/>
                <w:color w:val="414142"/>
                <w:sz w:val="24"/>
                <w:szCs w:val="24"/>
                <w:lang w:eastAsia="lv-LV"/>
              </w:rPr>
            </w:pPr>
            <w:r w:rsidRPr="002F79F1">
              <w:rPr>
                <w:rFonts w:ascii="Times New Roman" w:eastAsia="Times New Roman" w:hAnsi="Times New Roman" w:cs="Times New Roman"/>
                <w:b/>
                <w:bCs/>
                <w:iCs/>
                <w:color w:val="414142"/>
                <w:sz w:val="24"/>
                <w:szCs w:val="24"/>
                <w:lang w:eastAsia="lv-LV"/>
              </w:rPr>
              <w:t>VI. Sabiedrības līdzdalība un komunikācijas aktivitātes</w:t>
            </w:r>
          </w:p>
        </w:tc>
      </w:tr>
      <w:tr w:rsidR="001A7BA7" w:rsidRPr="002F79F1" w14:paraId="0B49EC93"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1EC51F2E" w14:textId="77777777" w:rsidR="001A7BA7" w:rsidRPr="002F79F1" w:rsidRDefault="001A7BA7" w:rsidP="001A7BA7">
            <w:pPr>
              <w:spacing w:after="0" w:line="240" w:lineRule="auto"/>
              <w:jc w:val="center"/>
              <w:rPr>
                <w:rFonts w:ascii="Times New Roman" w:eastAsia="Times New Roman" w:hAnsi="Times New Roman" w:cs="Times New Roman"/>
                <w:bCs/>
                <w:iCs/>
                <w:color w:val="414142"/>
                <w:sz w:val="24"/>
                <w:szCs w:val="24"/>
                <w:lang w:eastAsia="lv-LV"/>
              </w:rPr>
            </w:pPr>
            <w:r w:rsidRPr="002F79F1">
              <w:rPr>
                <w:rFonts w:ascii="Times New Roman" w:eastAsia="Times New Roman" w:hAnsi="Times New Roman" w:cs="Times New Roman"/>
                <w:bCs/>
                <w:iCs/>
                <w:color w:val="414142"/>
                <w:sz w:val="24"/>
                <w:szCs w:val="24"/>
                <w:lang w:eastAsia="lv-LV"/>
              </w:rPr>
              <w:t>Projekts šo jomu neskar</w:t>
            </w:r>
          </w:p>
        </w:tc>
      </w:tr>
      <w:tr w:rsidR="00E37349" w:rsidRPr="002F79F1" w14:paraId="0116916F" w14:textId="77777777" w:rsidTr="002F79F1">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7CCA659" w14:textId="77777777" w:rsidR="00E37349" w:rsidRPr="002F79F1" w:rsidRDefault="00E37349" w:rsidP="00E37349">
            <w:pPr>
              <w:spacing w:after="0" w:line="240" w:lineRule="auto"/>
              <w:jc w:val="center"/>
              <w:rPr>
                <w:rFonts w:ascii="Times New Roman" w:eastAsia="Times New Roman" w:hAnsi="Times New Roman" w:cs="Times New Roman"/>
                <w:b/>
                <w:bCs/>
                <w:iCs/>
                <w:color w:val="414142"/>
                <w:sz w:val="24"/>
                <w:szCs w:val="24"/>
                <w:lang w:eastAsia="lv-LV"/>
              </w:rPr>
            </w:pPr>
            <w:r w:rsidRPr="002F79F1">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37349" w:rsidRPr="002F79F1" w14:paraId="310D45E5" w14:textId="77777777" w:rsidTr="002F79F1">
        <w:trPr>
          <w:trHeight w:val="420"/>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59D5F9F5" w14:textId="77777777" w:rsidR="00E37349" w:rsidRPr="002F79F1" w:rsidRDefault="00E37349" w:rsidP="00F36DCA">
            <w:pPr>
              <w:spacing w:after="0" w:line="240" w:lineRule="auto"/>
              <w:rPr>
                <w:rFonts w:ascii="Times New Roman" w:eastAsia="Times New Roman" w:hAnsi="Times New Roman" w:cs="Times New Roman"/>
                <w:sz w:val="24"/>
                <w:szCs w:val="24"/>
                <w:lang w:eastAsia="lv-LV"/>
              </w:rPr>
            </w:pPr>
            <w:r w:rsidRPr="002F79F1">
              <w:rPr>
                <w:rFonts w:ascii="Times New Roman" w:eastAsia="Times New Roman" w:hAnsi="Times New Roman" w:cs="Times New Roman"/>
                <w:sz w:val="24"/>
                <w:szCs w:val="24"/>
                <w:lang w:eastAsia="lv-LV"/>
              </w:rPr>
              <w:t>1.</w:t>
            </w:r>
          </w:p>
        </w:tc>
        <w:tc>
          <w:tcPr>
            <w:tcW w:w="1585" w:type="pct"/>
            <w:tcBorders>
              <w:top w:val="outset" w:sz="6" w:space="0" w:color="auto"/>
              <w:left w:val="outset" w:sz="6" w:space="0" w:color="auto"/>
              <w:bottom w:val="outset" w:sz="6" w:space="0" w:color="auto"/>
              <w:right w:val="outset" w:sz="6" w:space="0" w:color="auto"/>
            </w:tcBorders>
            <w:hideMark/>
          </w:tcPr>
          <w:p w14:paraId="00E31369" w14:textId="77777777" w:rsidR="00E37349" w:rsidRPr="002F79F1" w:rsidRDefault="00E37349" w:rsidP="00F36DCA">
            <w:pPr>
              <w:spacing w:after="0" w:line="240" w:lineRule="auto"/>
              <w:rPr>
                <w:rFonts w:ascii="Times New Roman" w:eastAsia="Times New Roman" w:hAnsi="Times New Roman" w:cs="Times New Roman"/>
                <w:sz w:val="24"/>
                <w:szCs w:val="24"/>
                <w:lang w:eastAsia="lv-LV"/>
              </w:rPr>
            </w:pPr>
            <w:r w:rsidRPr="002F79F1">
              <w:rPr>
                <w:rFonts w:ascii="Times New Roman" w:eastAsia="Times New Roman" w:hAnsi="Times New Roman" w:cs="Times New Roman"/>
                <w:sz w:val="24"/>
                <w:szCs w:val="24"/>
                <w:lang w:eastAsia="lv-LV"/>
              </w:rPr>
              <w:t>Projekta izpildē iesaistītās institūcijas</w:t>
            </w:r>
          </w:p>
        </w:tc>
        <w:tc>
          <w:tcPr>
            <w:tcW w:w="3164" w:type="pct"/>
            <w:tcBorders>
              <w:top w:val="outset" w:sz="6" w:space="0" w:color="auto"/>
              <w:left w:val="outset" w:sz="6" w:space="0" w:color="auto"/>
              <w:bottom w:val="outset" w:sz="6" w:space="0" w:color="auto"/>
              <w:right w:val="outset" w:sz="6" w:space="0" w:color="auto"/>
            </w:tcBorders>
            <w:hideMark/>
          </w:tcPr>
          <w:p w14:paraId="226C5533" w14:textId="77777777" w:rsidR="00E37349" w:rsidRPr="002F79F1" w:rsidRDefault="00E37349" w:rsidP="00F36DCA">
            <w:pPr>
              <w:spacing w:after="0"/>
              <w:jc w:val="both"/>
              <w:rPr>
                <w:rFonts w:ascii="Times New Roman" w:hAnsi="Times New Roman" w:cs="Times New Roman"/>
                <w:sz w:val="24"/>
                <w:szCs w:val="24"/>
                <w:lang w:eastAsia="lv-LV"/>
              </w:rPr>
            </w:pPr>
            <w:r w:rsidRPr="002F79F1">
              <w:rPr>
                <w:rFonts w:ascii="Times New Roman" w:hAnsi="Times New Roman" w:cs="Times New Roman"/>
                <w:sz w:val="24"/>
                <w:szCs w:val="24"/>
                <w:lang w:eastAsia="lv-LV"/>
              </w:rPr>
              <w:t>Izglītības un zinātnes ministrija, komersanti, zinātniskie institūti un augstākās izglītības iestādes un citas iestādes savas kompetences ietvaros.</w:t>
            </w:r>
          </w:p>
        </w:tc>
      </w:tr>
      <w:tr w:rsidR="00E37349" w:rsidRPr="00B471B7" w14:paraId="4B2D658C" w14:textId="77777777" w:rsidTr="002F79F1">
        <w:trPr>
          <w:trHeight w:val="450"/>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653F224A" w14:textId="77777777" w:rsidR="00E37349" w:rsidRPr="00B471B7" w:rsidRDefault="00E37349" w:rsidP="00F36DC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2.</w:t>
            </w:r>
          </w:p>
        </w:tc>
        <w:tc>
          <w:tcPr>
            <w:tcW w:w="1585" w:type="pct"/>
            <w:tcBorders>
              <w:top w:val="outset" w:sz="6" w:space="0" w:color="auto"/>
              <w:left w:val="outset" w:sz="6" w:space="0" w:color="auto"/>
              <w:bottom w:val="outset" w:sz="6" w:space="0" w:color="auto"/>
              <w:right w:val="outset" w:sz="6" w:space="0" w:color="auto"/>
            </w:tcBorders>
            <w:hideMark/>
          </w:tcPr>
          <w:p w14:paraId="42136D00" w14:textId="77777777" w:rsidR="00E37349" w:rsidRPr="00B471B7" w:rsidRDefault="00E37349" w:rsidP="00F36DC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 xml:space="preserve">Projekta izpildes ietekme uz pārvaldes funkcijām un institucionālo struktūru. </w:t>
            </w:r>
          </w:p>
          <w:p w14:paraId="7E4981BF" w14:textId="77777777" w:rsidR="00E37349" w:rsidRPr="00B471B7" w:rsidRDefault="00E37349" w:rsidP="00F36DCA">
            <w:pPr>
              <w:spacing w:before="100" w:beforeAutospacing="1" w:after="100" w:afterAutospacing="1"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64" w:type="pct"/>
            <w:tcBorders>
              <w:top w:val="outset" w:sz="6" w:space="0" w:color="auto"/>
              <w:left w:val="outset" w:sz="6" w:space="0" w:color="auto"/>
              <w:bottom w:val="outset" w:sz="6" w:space="0" w:color="auto"/>
              <w:right w:val="outset" w:sz="6" w:space="0" w:color="auto"/>
            </w:tcBorders>
            <w:hideMark/>
          </w:tcPr>
          <w:p w14:paraId="65037A0A" w14:textId="77777777" w:rsidR="00E37349" w:rsidRPr="00BE0A8F" w:rsidRDefault="00E37349" w:rsidP="00F36DCA">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Projekta izpilde notiks esošo pārvaldes funkciju ietvaros.</w:t>
            </w:r>
          </w:p>
          <w:p w14:paraId="516DC300" w14:textId="77777777" w:rsidR="00E37349" w:rsidRPr="00BE0A8F" w:rsidRDefault="00E37349" w:rsidP="00F36DCA">
            <w:pPr>
              <w:spacing w:after="0" w:line="240" w:lineRule="auto"/>
              <w:jc w:val="both"/>
              <w:rPr>
                <w:rFonts w:ascii="Times New Roman" w:hAnsi="Times New Roman" w:cs="Times New Roman"/>
                <w:sz w:val="24"/>
                <w:szCs w:val="24"/>
              </w:rPr>
            </w:pPr>
            <w:r w:rsidRPr="00BE0A8F">
              <w:rPr>
                <w:rFonts w:ascii="Times New Roman" w:hAnsi="Times New Roman" w:cs="Times New Roman"/>
                <w:sz w:val="24"/>
                <w:szCs w:val="24"/>
              </w:rPr>
              <w:t>Jaunu institūciju izveide nav paredzēta.</w:t>
            </w:r>
          </w:p>
          <w:p w14:paraId="7ADEAA04" w14:textId="77777777" w:rsidR="00E37349" w:rsidRPr="00B471B7" w:rsidRDefault="00E37349" w:rsidP="00F36DCA">
            <w:pPr>
              <w:spacing w:after="0" w:line="240" w:lineRule="auto"/>
              <w:jc w:val="both"/>
              <w:rPr>
                <w:rFonts w:ascii="Times New Roman" w:eastAsia="Times New Roman" w:hAnsi="Times New Roman" w:cs="Times New Roman"/>
                <w:sz w:val="24"/>
                <w:szCs w:val="24"/>
                <w:lang w:eastAsia="lv-LV"/>
              </w:rPr>
            </w:pPr>
            <w:r w:rsidRPr="00BE0A8F">
              <w:rPr>
                <w:rFonts w:ascii="Times New Roman" w:hAnsi="Times New Roman" w:cs="Times New Roman"/>
                <w:iCs/>
                <w:sz w:val="24"/>
                <w:szCs w:val="24"/>
              </w:rPr>
              <w:t>Esošo institūciju likvidācija, reorganizācija nav paredzēta.</w:t>
            </w:r>
          </w:p>
        </w:tc>
      </w:tr>
      <w:tr w:rsidR="00E37349" w:rsidRPr="00296956" w14:paraId="377817C4" w14:textId="77777777" w:rsidTr="002F79F1">
        <w:trPr>
          <w:trHeight w:val="417"/>
          <w:tblCellSpacing w:w="15" w:type="dxa"/>
        </w:trPr>
        <w:tc>
          <w:tcPr>
            <w:tcW w:w="189" w:type="pct"/>
            <w:tcBorders>
              <w:top w:val="outset" w:sz="6" w:space="0" w:color="auto"/>
              <w:left w:val="outset" w:sz="6" w:space="0" w:color="auto"/>
              <w:bottom w:val="outset" w:sz="6" w:space="0" w:color="auto"/>
              <w:right w:val="outset" w:sz="6" w:space="0" w:color="auto"/>
            </w:tcBorders>
            <w:hideMark/>
          </w:tcPr>
          <w:p w14:paraId="279D7CB5" w14:textId="77777777" w:rsidR="00E37349" w:rsidRPr="00B471B7" w:rsidRDefault="00E37349" w:rsidP="00F36DC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3.</w:t>
            </w:r>
          </w:p>
        </w:tc>
        <w:tc>
          <w:tcPr>
            <w:tcW w:w="1585" w:type="pct"/>
            <w:tcBorders>
              <w:top w:val="outset" w:sz="6" w:space="0" w:color="auto"/>
              <w:left w:val="outset" w:sz="6" w:space="0" w:color="auto"/>
              <w:bottom w:val="outset" w:sz="6" w:space="0" w:color="auto"/>
              <w:right w:val="outset" w:sz="6" w:space="0" w:color="auto"/>
            </w:tcBorders>
            <w:hideMark/>
          </w:tcPr>
          <w:p w14:paraId="5FC60537" w14:textId="77777777" w:rsidR="00E37349" w:rsidRPr="00B471B7" w:rsidRDefault="00E37349" w:rsidP="00F36DCA">
            <w:pPr>
              <w:spacing w:after="0" w:line="240" w:lineRule="auto"/>
              <w:rPr>
                <w:rFonts w:ascii="Times New Roman" w:eastAsia="Times New Roman" w:hAnsi="Times New Roman" w:cs="Times New Roman"/>
                <w:sz w:val="24"/>
                <w:szCs w:val="24"/>
                <w:lang w:eastAsia="lv-LV"/>
              </w:rPr>
            </w:pPr>
            <w:r w:rsidRPr="00B471B7">
              <w:rPr>
                <w:rFonts w:ascii="Times New Roman" w:eastAsia="Times New Roman" w:hAnsi="Times New Roman" w:cs="Times New Roman"/>
                <w:sz w:val="24"/>
                <w:szCs w:val="24"/>
                <w:lang w:eastAsia="lv-LV"/>
              </w:rPr>
              <w:t>Cita informācija</w:t>
            </w:r>
          </w:p>
        </w:tc>
        <w:tc>
          <w:tcPr>
            <w:tcW w:w="3164" w:type="pct"/>
            <w:tcBorders>
              <w:top w:val="outset" w:sz="6" w:space="0" w:color="auto"/>
              <w:left w:val="outset" w:sz="6" w:space="0" w:color="auto"/>
              <w:bottom w:val="outset" w:sz="6" w:space="0" w:color="auto"/>
              <w:right w:val="outset" w:sz="6" w:space="0" w:color="auto"/>
            </w:tcBorders>
            <w:hideMark/>
          </w:tcPr>
          <w:p w14:paraId="4AC30A89" w14:textId="77777777" w:rsidR="00E37349" w:rsidRPr="00296956" w:rsidRDefault="00E37349" w:rsidP="00F36DCA">
            <w:pPr>
              <w:pStyle w:val="naisc"/>
              <w:spacing w:before="0" w:after="0"/>
              <w:jc w:val="both"/>
              <w:rPr>
                <w:sz w:val="20"/>
                <w:szCs w:val="20"/>
              </w:rPr>
            </w:pPr>
            <w:r w:rsidRPr="0061513A">
              <w:rPr>
                <w:szCs w:val="20"/>
              </w:rPr>
              <w:t>Nav</w:t>
            </w:r>
          </w:p>
        </w:tc>
      </w:tr>
    </w:tbl>
    <w:p w14:paraId="2E29A29A" w14:textId="1A5B3051" w:rsidR="001A7BA7" w:rsidRPr="00E37349" w:rsidRDefault="001A7BA7" w:rsidP="00E37349">
      <w:pPr>
        <w:spacing w:after="0" w:line="240" w:lineRule="auto"/>
        <w:rPr>
          <w:rFonts w:ascii="Times New Roman" w:eastAsia="Times New Roman" w:hAnsi="Times New Roman" w:cs="Times New Roman"/>
          <w:iCs/>
          <w:color w:val="414142"/>
          <w:sz w:val="24"/>
          <w:szCs w:val="24"/>
          <w:lang w:val="en-US" w:eastAsia="lv-LV"/>
        </w:rPr>
      </w:pPr>
    </w:p>
    <w:p w14:paraId="494CE61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62318BB"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p>
    <w:p w14:paraId="2B788FC2" w14:textId="77777777" w:rsidR="00B471B7" w:rsidRPr="00BE0A8F" w:rsidRDefault="00B471B7" w:rsidP="00B471B7">
      <w:pPr>
        <w:spacing w:after="0" w:line="240" w:lineRule="auto"/>
        <w:ind w:right="-1" w:firstLine="709"/>
        <w:rPr>
          <w:rFonts w:ascii="Times New Roman" w:eastAsia="Times New Roman" w:hAnsi="Times New Roman" w:cs="Times New Roman"/>
          <w:sz w:val="24"/>
          <w:szCs w:val="24"/>
          <w:lang w:eastAsia="lv-LV"/>
        </w:rPr>
      </w:pPr>
      <w:r w:rsidRPr="00BE0A8F">
        <w:rPr>
          <w:rFonts w:ascii="Times New Roman" w:eastAsia="Times New Roman" w:hAnsi="Times New Roman" w:cs="Times New Roman"/>
          <w:sz w:val="24"/>
          <w:szCs w:val="24"/>
          <w:lang w:eastAsia="lv-LV"/>
        </w:rPr>
        <w:t xml:space="preserve">Iesniedzējs:                                                                                                                                   </w:t>
      </w:r>
    </w:p>
    <w:p w14:paraId="4B2FC670" w14:textId="794525CB" w:rsidR="00B471B7" w:rsidRPr="00BE0A8F" w:rsidRDefault="00B471B7" w:rsidP="00B471B7">
      <w:pPr>
        <w:autoSpaceDE w:val="0"/>
        <w:autoSpaceDN w:val="0"/>
        <w:adjustRightInd w:val="0"/>
        <w:spacing w:after="0" w:line="240" w:lineRule="auto"/>
        <w:ind w:firstLine="709"/>
        <w:jc w:val="both"/>
        <w:rPr>
          <w:rFonts w:ascii="Times New Roman" w:eastAsia="Calibri" w:hAnsi="Times New Roman" w:cs="Times New Roman"/>
          <w:sz w:val="24"/>
          <w:szCs w:val="24"/>
          <w:lang w:eastAsia="lv-LV"/>
        </w:rPr>
      </w:pPr>
      <w:r w:rsidRPr="00BE0A8F">
        <w:rPr>
          <w:rFonts w:ascii="Times New Roman" w:eastAsia="Calibri" w:hAnsi="Times New Roman" w:cs="Times New Roman"/>
          <w:sz w:val="24"/>
          <w:szCs w:val="24"/>
          <w:lang w:eastAsia="lv-LV"/>
        </w:rPr>
        <w:t>izglī</w:t>
      </w:r>
      <w:r w:rsidR="0078464D">
        <w:rPr>
          <w:rFonts w:ascii="Times New Roman" w:eastAsia="Calibri" w:hAnsi="Times New Roman" w:cs="Times New Roman"/>
          <w:sz w:val="24"/>
          <w:szCs w:val="24"/>
          <w:lang w:eastAsia="lv-LV"/>
        </w:rPr>
        <w:t>tības un zinātnes ministre</w:t>
      </w:r>
      <w:r w:rsidR="000E511D">
        <w:rPr>
          <w:rFonts w:ascii="Times New Roman" w:eastAsia="Calibri" w:hAnsi="Times New Roman" w:cs="Times New Roman"/>
          <w:sz w:val="24"/>
          <w:szCs w:val="24"/>
          <w:lang w:eastAsia="lv-LV"/>
        </w:rPr>
        <w:t xml:space="preserve"> </w:t>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0E511D">
        <w:rPr>
          <w:rFonts w:ascii="Times New Roman" w:eastAsia="Calibri" w:hAnsi="Times New Roman" w:cs="Times New Roman"/>
          <w:sz w:val="24"/>
          <w:szCs w:val="24"/>
          <w:lang w:eastAsia="lv-LV"/>
        </w:rPr>
        <w:tab/>
      </w:r>
      <w:r w:rsidR="0078464D">
        <w:rPr>
          <w:rFonts w:ascii="Times New Roman" w:eastAsia="Calibri" w:hAnsi="Times New Roman" w:cs="Times New Roman"/>
          <w:sz w:val="24"/>
          <w:szCs w:val="24"/>
          <w:lang w:eastAsia="lv-LV"/>
        </w:rPr>
        <w:t>I</w:t>
      </w:r>
      <w:r w:rsidR="00D53EB6">
        <w:rPr>
          <w:rFonts w:ascii="Times New Roman" w:eastAsia="Calibri" w:hAnsi="Times New Roman" w:cs="Times New Roman"/>
          <w:sz w:val="24"/>
          <w:szCs w:val="24"/>
          <w:lang w:eastAsia="lv-LV"/>
        </w:rPr>
        <w:t>.</w:t>
      </w:r>
      <w:r w:rsidR="0078464D">
        <w:rPr>
          <w:rFonts w:ascii="Times New Roman" w:eastAsia="Calibri" w:hAnsi="Times New Roman" w:cs="Times New Roman"/>
          <w:sz w:val="24"/>
          <w:szCs w:val="24"/>
          <w:lang w:eastAsia="lv-LV"/>
        </w:rPr>
        <w:t xml:space="preserve"> Šuplinska</w:t>
      </w:r>
    </w:p>
    <w:p w14:paraId="65675CC5" w14:textId="745E5564" w:rsidR="00B471B7" w:rsidRPr="00BE0A8F" w:rsidRDefault="00B471B7" w:rsidP="00B471B7">
      <w:pPr>
        <w:spacing w:after="0" w:line="240" w:lineRule="auto"/>
        <w:ind w:right="-1" w:firstLine="709"/>
        <w:jc w:val="both"/>
        <w:rPr>
          <w:rFonts w:ascii="Times New Roman" w:eastAsia="Times New Roman" w:hAnsi="Times New Roman" w:cs="Times New Roman"/>
          <w:sz w:val="24"/>
          <w:szCs w:val="24"/>
          <w:lang w:eastAsia="lv-LV"/>
        </w:rPr>
      </w:pPr>
    </w:p>
    <w:p w14:paraId="495EDCDE" w14:textId="77777777" w:rsidR="00B471B7" w:rsidRPr="00BE0A8F" w:rsidRDefault="00B471B7" w:rsidP="00B471B7">
      <w:pPr>
        <w:spacing w:after="0" w:line="240" w:lineRule="auto"/>
        <w:ind w:right="-1" w:firstLine="709"/>
        <w:jc w:val="both"/>
        <w:rPr>
          <w:rFonts w:ascii="Times New Roman" w:hAnsi="Times New Roman" w:cs="Times New Roman"/>
          <w:sz w:val="24"/>
          <w:szCs w:val="24"/>
          <w:lang w:eastAsia="lv-LV"/>
        </w:rPr>
      </w:pPr>
      <w:r w:rsidRPr="00BE0A8F">
        <w:rPr>
          <w:rFonts w:ascii="Times New Roman" w:hAnsi="Times New Roman" w:cs="Times New Roman"/>
          <w:sz w:val="24"/>
          <w:szCs w:val="24"/>
          <w:lang w:eastAsia="lv-LV"/>
        </w:rPr>
        <w:t xml:space="preserve">Vizē: </w:t>
      </w:r>
    </w:p>
    <w:p w14:paraId="574BFF52" w14:textId="6CC7DE5F" w:rsidR="00B471B7" w:rsidRDefault="00367AAE" w:rsidP="0078464D">
      <w:pPr>
        <w:spacing w:after="0" w:line="240" w:lineRule="auto"/>
        <w:ind w:right="-1" w:firstLine="709"/>
        <w:jc w:val="both"/>
        <w:rPr>
          <w:rFonts w:ascii="Times New Roman" w:hAnsi="Times New Roman" w:cs="Times New Roman"/>
          <w:kern w:val="32"/>
          <w:sz w:val="24"/>
          <w:szCs w:val="24"/>
          <w:lang w:eastAsia="lv-LV"/>
        </w:rPr>
      </w:pPr>
      <w:r>
        <w:rPr>
          <w:rFonts w:ascii="Times New Roman" w:hAnsi="Times New Roman" w:cs="Times New Roman"/>
          <w:kern w:val="32"/>
          <w:sz w:val="24"/>
          <w:szCs w:val="24"/>
          <w:lang w:eastAsia="lv-LV"/>
        </w:rPr>
        <w:t>Valsts sekretār</w:t>
      </w:r>
      <w:r w:rsidR="0078464D">
        <w:rPr>
          <w:rFonts w:ascii="Times New Roman" w:hAnsi="Times New Roman" w:cs="Times New Roman"/>
          <w:kern w:val="32"/>
          <w:sz w:val="24"/>
          <w:szCs w:val="24"/>
          <w:lang w:eastAsia="lv-LV"/>
        </w:rPr>
        <w:t>e</w:t>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r>
      <w:r w:rsidR="0078464D">
        <w:rPr>
          <w:rFonts w:ascii="Times New Roman" w:hAnsi="Times New Roman" w:cs="Times New Roman"/>
          <w:kern w:val="32"/>
          <w:sz w:val="24"/>
          <w:szCs w:val="24"/>
          <w:lang w:eastAsia="lv-LV"/>
        </w:rPr>
        <w:tab/>
        <w:t>L</w:t>
      </w:r>
      <w:r w:rsidR="00D53EB6">
        <w:rPr>
          <w:rFonts w:ascii="Times New Roman" w:hAnsi="Times New Roman" w:cs="Times New Roman"/>
          <w:kern w:val="32"/>
          <w:sz w:val="24"/>
          <w:szCs w:val="24"/>
          <w:lang w:eastAsia="lv-LV"/>
        </w:rPr>
        <w:t>.</w:t>
      </w:r>
      <w:r w:rsidR="0078464D">
        <w:rPr>
          <w:rFonts w:ascii="Times New Roman" w:hAnsi="Times New Roman" w:cs="Times New Roman"/>
          <w:kern w:val="32"/>
          <w:sz w:val="24"/>
          <w:szCs w:val="24"/>
          <w:lang w:eastAsia="lv-LV"/>
        </w:rPr>
        <w:t xml:space="preserve"> Lejiņa</w:t>
      </w:r>
    </w:p>
    <w:p w14:paraId="183C7894" w14:textId="77777777" w:rsidR="00855AC9" w:rsidRDefault="00855AC9" w:rsidP="0078464D">
      <w:pPr>
        <w:spacing w:after="0" w:line="240" w:lineRule="auto"/>
        <w:ind w:right="-1" w:firstLine="709"/>
        <w:jc w:val="both"/>
        <w:rPr>
          <w:rFonts w:ascii="Times New Roman" w:hAnsi="Times New Roman" w:cs="Times New Roman"/>
          <w:kern w:val="32"/>
          <w:sz w:val="24"/>
          <w:szCs w:val="24"/>
          <w:lang w:eastAsia="lv-LV"/>
        </w:rPr>
      </w:pPr>
    </w:p>
    <w:p w14:paraId="62EA73D8" w14:textId="77777777" w:rsidR="00855AC9" w:rsidRDefault="00855AC9" w:rsidP="0078464D">
      <w:pPr>
        <w:spacing w:after="0" w:line="240" w:lineRule="auto"/>
        <w:ind w:right="-1" w:firstLine="709"/>
        <w:jc w:val="both"/>
        <w:rPr>
          <w:rFonts w:ascii="Times New Roman" w:hAnsi="Times New Roman" w:cs="Times New Roman"/>
          <w:kern w:val="32"/>
          <w:sz w:val="24"/>
          <w:szCs w:val="24"/>
          <w:lang w:eastAsia="lv-LV"/>
        </w:rPr>
      </w:pPr>
    </w:p>
    <w:p w14:paraId="66A2C770" w14:textId="7784DEF2" w:rsidR="000E511D" w:rsidRPr="00ED3F14" w:rsidRDefault="00855AC9"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lastRenderedPageBreak/>
        <w:t>2</w:t>
      </w:r>
      <w:r w:rsidR="00C62399">
        <w:rPr>
          <w:rFonts w:ascii="Times New Roman" w:hAnsi="Times New Roman" w:cs="Times New Roman"/>
          <w:sz w:val="20"/>
          <w:szCs w:val="20"/>
        </w:rPr>
        <w:t>6</w:t>
      </w:r>
      <w:r w:rsidR="00E76868">
        <w:rPr>
          <w:rFonts w:ascii="Times New Roman" w:hAnsi="Times New Roman" w:cs="Times New Roman"/>
          <w:sz w:val="20"/>
          <w:szCs w:val="20"/>
        </w:rPr>
        <w:t>.0</w:t>
      </w:r>
      <w:r>
        <w:rPr>
          <w:rFonts w:ascii="Times New Roman" w:hAnsi="Times New Roman" w:cs="Times New Roman"/>
          <w:sz w:val="20"/>
          <w:szCs w:val="20"/>
        </w:rPr>
        <w:t>9</w:t>
      </w:r>
      <w:r w:rsidR="0078464D">
        <w:rPr>
          <w:rFonts w:ascii="Times New Roman" w:hAnsi="Times New Roman" w:cs="Times New Roman"/>
          <w:sz w:val="20"/>
          <w:szCs w:val="20"/>
        </w:rPr>
        <w:t>.2019</w:t>
      </w:r>
      <w:r w:rsidR="009C12E9">
        <w:rPr>
          <w:rFonts w:ascii="Times New Roman" w:hAnsi="Times New Roman" w:cs="Times New Roman"/>
          <w:sz w:val="20"/>
          <w:szCs w:val="20"/>
        </w:rPr>
        <w:t>. 09</w:t>
      </w:r>
      <w:r w:rsidR="00E35D00" w:rsidRPr="00ED3F14">
        <w:rPr>
          <w:rFonts w:ascii="Times New Roman" w:hAnsi="Times New Roman" w:cs="Times New Roman"/>
          <w:sz w:val="20"/>
          <w:szCs w:val="20"/>
        </w:rPr>
        <w:t>:11</w:t>
      </w:r>
    </w:p>
    <w:p w14:paraId="0DC9F71F" w14:textId="74EA9BE2" w:rsidR="000E511D" w:rsidRPr="00BE0A8F" w:rsidRDefault="00E76868" w:rsidP="000E511D">
      <w:pPr>
        <w:spacing w:after="0" w:line="240" w:lineRule="auto"/>
        <w:ind w:right="-1"/>
        <w:jc w:val="both"/>
        <w:rPr>
          <w:rFonts w:ascii="Times New Roman" w:hAnsi="Times New Roman" w:cs="Times New Roman"/>
          <w:sz w:val="20"/>
          <w:szCs w:val="20"/>
          <w:lang w:eastAsia="lv-LV"/>
        </w:rPr>
      </w:pPr>
      <w:r>
        <w:rPr>
          <w:rFonts w:ascii="Times New Roman" w:hAnsi="Times New Roman" w:cs="Times New Roman"/>
          <w:sz w:val="20"/>
          <w:szCs w:val="20"/>
        </w:rPr>
        <w:t>1422</w:t>
      </w:r>
    </w:p>
    <w:p w14:paraId="181A152A" w14:textId="35F1B1B6" w:rsidR="000E511D" w:rsidRPr="00BE0A8F" w:rsidRDefault="0078464D" w:rsidP="000E511D">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Karolis</w:t>
      </w:r>
      <w:r w:rsidR="000E511D" w:rsidRPr="00BE0A8F">
        <w:rPr>
          <w:rFonts w:ascii="Times New Roman" w:hAnsi="Times New Roman" w:cs="Times New Roman"/>
          <w:sz w:val="20"/>
          <w:szCs w:val="20"/>
        </w:rPr>
        <w:t>, 6704</w:t>
      </w:r>
      <w:r>
        <w:rPr>
          <w:rFonts w:ascii="Times New Roman" w:hAnsi="Times New Roman" w:cs="Times New Roman"/>
          <w:sz w:val="20"/>
          <w:szCs w:val="20"/>
        </w:rPr>
        <w:t>7996</w:t>
      </w:r>
    </w:p>
    <w:p w14:paraId="579F7302" w14:textId="676B1C4B" w:rsidR="00B471B7" w:rsidRPr="00E76868" w:rsidRDefault="00FB4443" w:rsidP="00E76868">
      <w:pPr>
        <w:spacing w:after="0" w:line="240" w:lineRule="auto"/>
        <w:ind w:right="-1"/>
        <w:jc w:val="both"/>
        <w:rPr>
          <w:rFonts w:ascii="Times New Roman" w:hAnsi="Times New Roman" w:cs="Times New Roman"/>
          <w:sz w:val="20"/>
          <w:szCs w:val="20"/>
          <w:lang w:eastAsia="lv-LV"/>
        </w:rPr>
      </w:pPr>
      <w:hyperlink r:id="rId8" w:history="1">
        <w:r w:rsidR="0078464D" w:rsidRPr="006F0C07">
          <w:rPr>
            <w:rStyle w:val="Hyperlink"/>
            <w:rFonts w:ascii="Times New Roman" w:hAnsi="Times New Roman" w:cs="Times New Roman"/>
          </w:rPr>
          <w:t>kaspars.karolis@izm.gov.lv</w:t>
        </w:r>
      </w:hyperlink>
      <w:r w:rsidR="009C12E9">
        <w:rPr>
          <w:rFonts w:ascii="Times New Roman" w:hAnsi="Times New Roman" w:cs="Times New Roman"/>
          <w:sz w:val="24"/>
          <w:szCs w:val="24"/>
          <w:lang w:eastAsia="lv-LV"/>
        </w:rPr>
        <w:tab/>
      </w:r>
    </w:p>
    <w:sectPr w:rsidR="00B471B7" w:rsidRPr="00E76868" w:rsidSect="008B4F5A">
      <w:headerReference w:type="default" r:id="rId9"/>
      <w:footerReference w:type="default" r:id="rId10"/>
      <w:headerReference w:type="first" r:id="rId11"/>
      <w:footerReference w:type="first" r:id="rId12"/>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365B" w14:textId="77777777" w:rsidR="00FB4443" w:rsidRDefault="00FB4443" w:rsidP="00A72C3F">
      <w:pPr>
        <w:spacing w:after="0" w:line="240" w:lineRule="auto"/>
      </w:pPr>
      <w:r>
        <w:separator/>
      </w:r>
    </w:p>
  </w:endnote>
  <w:endnote w:type="continuationSeparator" w:id="0">
    <w:p w14:paraId="766E3463" w14:textId="77777777" w:rsidR="00FB4443" w:rsidRDefault="00FB4443" w:rsidP="00A7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3E14" w14:textId="205A58BA" w:rsidR="000A5473" w:rsidRPr="00260177" w:rsidRDefault="00E40704" w:rsidP="00237C91">
    <w:pPr>
      <w:pStyle w:val="Footer"/>
      <w:jc w:val="both"/>
      <w:rPr>
        <w:rFonts w:ascii="Times New Roman" w:hAnsi="Times New Roman" w:cs="Times New Roman"/>
        <w:sz w:val="20"/>
        <w:szCs w:val="20"/>
      </w:rPr>
    </w:pPr>
    <w:r>
      <w:rPr>
        <w:rFonts w:ascii="Times New Roman" w:hAnsi="Times New Roman" w:cs="Times New Roman"/>
        <w:sz w:val="20"/>
        <w:szCs w:val="20"/>
      </w:rPr>
      <w:t>IZMAnot_26</w:t>
    </w:r>
    <w:r w:rsidR="000A5473" w:rsidRPr="00237C91">
      <w:rPr>
        <w:rFonts w:ascii="Times New Roman" w:hAnsi="Times New Roman" w:cs="Times New Roman"/>
        <w:sz w:val="20"/>
        <w:szCs w:val="20"/>
      </w:rPr>
      <w:t>0919_EKA_AM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B41EA" w14:textId="40BBBA93" w:rsidR="000A5473" w:rsidRPr="00260177" w:rsidRDefault="00E40704" w:rsidP="00237C91">
    <w:pPr>
      <w:pStyle w:val="Footer"/>
      <w:jc w:val="both"/>
      <w:rPr>
        <w:rFonts w:ascii="Times New Roman" w:hAnsi="Times New Roman" w:cs="Times New Roman"/>
        <w:sz w:val="20"/>
        <w:szCs w:val="20"/>
      </w:rPr>
    </w:pPr>
    <w:r>
      <w:rPr>
        <w:rFonts w:ascii="Times New Roman" w:hAnsi="Times New Roman" w:cs="Times New Roman"/>
        <w:sz w:val="20"/>
        <w:szCs w:val="20"/>
      </w:rPr>
      <w:t>IZMAnot_26</w:t>
    </w:r>
    <w:r w:rsidR="000A5473">
      <w:rPr>
        <w:rFonts w:ascii="Times New Roman" w:hAnsi="Times New Roman" w:cs="Times New Roman"/>
        <w:sz w:val="20"/>
        <w:szCs w:val="20"/>
      </w:rPr>
      <w:t>0919</w:t>
    </w:r>
    <w:r w:rsidR="000A5473" w:rsidRPr="00260177">
      <w:rPr>
        <w:rFonts w:ascii="Times New Roman" w:hAnsi="Times New Roman" w:cs="Times New Roman"/>
        <w:sz w:val="20"/>
        <w:szCs w:val="20"/>
      </w:rPr>
      <w:t>_</w:t>
    </w:r>
    <w:r w:rsidR="000A5473">
      <w:rPr>
        <w:rFonts w:ascii="Times New Roman" w:hAnsi="Times New Roman" w:cs="Times New Roman"/>
        <w:sz w:val="20"/>
        <w:szCs w:val="20"/>
      </w:rPr>
      <w:t>EKA_AM</w:t>
    </w:r>
  </w:p>
  <w:p w14:paraId="109899CC" w14:textId="77777777" w:rsidR="000A5473" w:rsidRDefault="000A5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1D681" w14:textId="77777777" w:rsidR="00FB4443" w:rsidRDefault="00FB4443" w:rsidP="00A72C3F">
      <w:pPr>
        <w:spacing w:after="0" w:line="240" w:lineRule="auto"/>
      </w:pPr>
      <w:r>
        <w:separator/>
      </w:r>
    </w:p>
  </w:footnote>
  <w:footnote w:type="continuationSeparator" w:id="0">
    <w:p w14:paraId="2F08E795" w14:textId="77777777" w:rsidR="00FB4443" w:rsidRDefault="00FB4443" w:rsidP="00A72C3F">
      <w:pPr>
        <w:spacing w:after="0" w:line="240" w:lineRule="auto"/>
      </w:pPr>
      <w:r>
        <w:continuationSeparator/>
      </w:r>
    </w:p>
  </w:footnote>
  <w:footnote w:id="1">
    <w:p w14:paraId="4EBA7EFE" w14:textId="77777777" w:rsidR="000A5473" w:rsidRPr="00373A8E" w:rsidRDefault="000A5473" w:rsidP="00081C60">
      <w:pPr>
        <w:pStyle w:val="FootnoteText"/>
        <w:jc w:val="both"/>
        <w:rPr>
          <w:lang w:val="en-US"/>
        </w:rPr>
      </w:pPr>
      <w:r w:rsidRPr="00373A8E">
        <w:rPr>
          <w:rStyle w:val="FootnoteReference"/>
        </w:rPr>
        <w:footnoteRef/>
      </w:r>
      <w:r w:rsidRPr="00373A8E">
        <w:t xml:space="preserve"> </w:t>
      </w:r>
      <w:r w:rsidRPr="00081C60">
        <w:rPr>
          <w:lang w:val="lv-LV"/>
        </w:rPr>
        <w:t>Programmas mērķis ir attīstīt daudzsološus inženiertehniskus konceptus plaša spektra nobriedušās kosmosa tehnoloģijās</w:t>
      </w:r>
    </w:p>
  </w:footnote>
  <w:footnote w:id="2">
    <w:p w14:paraId="366E7C34" w14:textId="77777777" w:rsidR="001E1A80" w:rsidRPr="007204D6" w:rsidRDefault="001E1A80" w:rsidP="001E1A80">
      <w:pPr>
        <w:pStyle w:val="FootnoteText"/>
        <w:jc w:val="both"/>
        <w:rPr>
          <w:lang w:val="en-US"/>
        </w:rPr>
      </w:pPr>
      <w:r>
        <w:rPr>
          <w:rStyle w:val="FootnoteReference"/>
        </w:rPr>
        <w:footnoteRef/>
      </w:r>
      <w:r>
        <w:t xml:space="preserve"> </w:t>
      </w:r>
      <w:r w:rsidRPr="007204D6">
        <w:t>Tiek aprēķināta katru gadu no jauna balstoties uz EKA nepieciešamajiem resursiem, dalībvalstu skaitu un valstu IKP</w:t>
      </w:r>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645395"/>
      <w:docPartObj>
        <w:docPartGallery w:val="Page Numbers (Top of Page)"/>
        <w:docPartUnique/>
      </w:docPartObj>
    </w:sdtPr>
    <w:sdtEndPr>
      <w:rPr>
        <w:noProof/>
      </w:rPr>
    </w:sdtEndPr>
    <w:sdtContent>
      <w:p w14:paraId="7B15D234" w14:textId="1C35BC12" w:rsidR="000A5473" w:rsidRDefault="000A5473">
        <w:pPr>
          <w:pStyle w:val="Header"/>
          <w:jc w:val="center"/>
        </w:pPr>
        <w:r>
          <w:fldChar w:fldCharType="begin"/>
        </w:r>
        <w:r>
          <w:instrText xml:space="preserve"> PAGE   \* MERGEFORMAT </w:instrText>
        </w:r>
        <w:r>
          <w:fldChar w:fldCharType="separate"/>
        </w:r>
        <w:r w:rsidR="007C2E54">
          <w:rPr>
            <w:noProof/>
          </w:rPr>
          <w:t>2</w:t>
        </w:r>
        <w:r>
          <w:rPr>
            <w:noProof/>
          </w:rPr>
          <w:fldChar w:fldCharType="end"/>
        </w:r>
      </w:p>
    </w:sdtContent>
  </w:sdt>
  <w:p w14:paraId="77AB10CF" w14:textId="77777777" w:rsidR="000A5473" w:rsidRDefault="000A5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3DB5" w14:textId="77777777" w:rsidR="000A5473" w:rsidRDefault="000A5473" w:rsidP="00BA5B2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F76D1"/>
    <w:multiLevelType w:val="hybridMultilevel"/>
    <w:tmpl w:val="0E5A0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8537BB"/>
    <w:multiLevelType w:val="hybridMultilevel"/>
    <w:tmpl w:val="8CF0486C"/>
    <w:lvl w:ilvl="0" w:tplc="49546BF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76043"/>
    <w:multiLevelType w:val="hybridMultilevel"/>
    <w:tmpl w:val="08B088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C010BB"/>
    <w:multiLevelType w:val="hybridMultilevel"/>
    <w:tmpl w:val="7FF8AC58"/>
    <w:lvl w:ilvl="0" w:tplc="280259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F27243"/>
    <w:multiLevelType w:val="hybridMultilevel"/>
    <w:tmpl w:val="CD409148"/>
    <w:lvl w:ilvl="0" w:tplc="D60C2E7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7E3C45"/>
    <w:multiLevelType w:val="hybridMultilevel"/>
    <w:tmpl w:val="93328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B7"/>
    <w:rsid w:val="00003B9F"/>
    <w:rsid w:val="00022964"/>
    <w:rsid w:val="0003311A"/>
    <w:rsid w:val="00036D00"/>
    <w:rsid w:val="00047F41"/>
    <w:rsid w:val="0005076E"/>
    <w:rsid w:val="0007168B"/>
    <w:rsid w:val="00081C60"/>
    <w:rsid w:val="00085CD3"/>
    <w:rsid w:val="00093950"/>
    <w:rsid w:val="000A276D"/>
    <w:rsid w:val="000A5473"/>
    <w:rsid w:val="000A697C"/>
    <w:rsid w:val="000B1D90"/>
    <w:rsid w:val="000B2628"/>
    <w:rsid w:val="000B461F"/>
    <w:rsid w:val="000B78C7"/>
    <w:rsid w:val="000E3ACA"/>
    <w:rsid w:val="000E511D"/>
    <w:rsid w:val="000F6FAF"/>
    <w:rsid w:val="001176C4"/>
    <w:rsid w:val="00124237"/>
    <w:rsid w:val="001366F1"/>
    <w:rsid w:val="00146CEB"/>
    <w:rsid w:val="00162A9A"/>
    <w:rsid w:val="00163451"/>
    <w:rsid w:val="001648F6"/>
    <w:rsid w:val="00166CD5"/>
    <w:rsid w:val="00176BD9"/>
    <w:rsid w:val="00184120"/>
    <w:rsid w:val="001848DB"/>
    <w:rsid w:val="001915EA"/>
    <w:rsid w:val="00195FE3"/>
    <w:rsid w:val="001A7BA7"/>
    <w:rsid w:val="001B09DF"/>
    <w:rsid w:val="001B5DB5"/>
    <w:rsid w:val="001C4791"/>
    <w:rsid w:val="001E1A80"/>
    <w:rsid w:val="001E52FB"/>
    <w:rsid w:val="001E6E21"/>
    <w:rsid w:val="001F3206"/>
    <w:rsid w:val="00223A5D"/>
    <w:rsid w:val="00237C91"/>
    <w:rsid w:val="0024467D"/>
    <w:rsid w:val="00260177"/>
    <w:rsid w:val="00262387"/>
    <w:rsid w:val="00262D58"/>
    <w:rsid w:val="002717AB"/>
    <w:rsid w:val="00275D30"/>
    <w:rsid w:val="00286509"/>
    <w:rsid w:val="00287A87"/>
    <w:rsid w:val="00296956"/>
    <w:rsid w:val="002C4F1E"/>
    <w:rsid w:val="002F79F1"/>
    <w:rsid w:val="00320532"/>
    <w:rsid w:val="003234C8"/>
    <w:rsid w:val="00331401"/>
    <w:rsid w:val="00331DF3"/>
    <w:rsid w:val="003376A2"/>
    <w:rsid w:val="0034579F"/>
    <w:rsid w:val="00362A3D"/>
    <w:rsid w:val="00367AAE"/>
    <w:rsid w:val="00375960"/>
    <w:rsid w:val="00380A8C"/>
    <w:rsid w:val="00384C7C"/>
    <w:rsid w:val="00387888"/>
    <w:rsid w:val="003A38B1"/>
    <w:rsid w:val="003B3318"/>
    <w:rsid w:val="003B7AAB"/>
    <w:rsid w:val="003C2D64"/>
    <w:rsid w:val="003C4717"/>
    <w:rsid w:val="003E1524"/>
    <w:rsid w:val="003E41C0"/>
    <w:rsid w:val="00460667"/>
    <w:rsid w:val="00461A52"/>
    <w:rsid w:val="00486A1D"/>
    <w:rsid w:val="00497082"/>
    <w:rsid w:val="00497AAD"/>
    <w:rsid w:val="004A63D4"/>
    <w:rsid w:val="004B042C"/>
    <w:rsid w:val="004C1A6B"/>
    <w:rsid w:val="004D7C15"/>
    <w:rsid w:val="004E2306"/>
    <w:rsid w:val="004F1556"/>
    <w:rsid w:val="004F7218"/>
    <w:rsid w:val="0050375F"/>
    <w:rsid w:val="00504B79"/>
    <w:rsid w:val="005175DC"/>
    <w:rsid w:val="00520720"/>
    <w:rsid w:val="00521E68"/>
    <w:rsid w:val="005251CD"/>
    <w:rsid w:val="00533410"/>
    <w:rsid w:val="00535E7D"/>
    <w:rsid w:val="00537B03"/>
    <w:rsid w:val="005650E3"/>
    <w:rsid w:val="00573991"/>
    <w:rsid w:val="00573A29"/>
    <w:rsid w:val="00586393"/>
    <w:rsid w:val="00587B0B"/>
    <w:rsid w:val="0059016B"/>
    <w:rsid w:val="005A6CA3"/>
    <w:rsid w:val="005B0020"/>
    <w:rsid w:val="005B32CA"/>
    <w:rsid w:val="005B4F7D"/>
    <w:rsid w:val="005B5F49"/>
    <w:rsid w:val="005D4130"/>
    <w:rsid w:val="005E29A4"/>
    <w:rsid w:val="005F0DAC"/>
    <w:rsid w:val="00602928"/>
    <w:rsid w:val="00610D18"/>
    <w:rsid w:val="0061513A"/>
    <w:rsid w:val="00617E89"/>
    <w:rsid w:val="00623C7E"/>
    <w:rsid w:val="00630B48"/>
    <w:rsid w:val="00632640"/>
    <w:rsid w:val="00647145"/>
    <w:rsid w:val="006605DC"/>
    <w:rsid w:val="0067240D"/>
    <w:rsid w:val="0068374E"/>
    <w:rsid w:val="006A1642"/>
    <w:rsid w:val="006A1BD3"/>
    <w:rsid w:val="006B122C"/>
    <w:rsid w:val="006B50E5"/>
    <w:rsid w:val="006C6196"/>
    <w:rsid w:val="006F7BDF"/>
    <w:rsid w:val="0070564C"/>
    <w:rsid w:val="0071416D"/>
    <w:rsid w:val="007177C4"/>
    <w:rsid w:val="00751B7E"/>
    <w:rsid w:val="00764953"/>
    <w:rsid w:val="00776FC1"/>
    <w:rsid w:val="0078464D"/>
    <w:rsid w:val="0079422E"/>
    <w:rsid w:val="00795A83"/>
    <w:rsid w:val="00796656"/>
    <w:rsid w:val="007B6154"/>
    <w:rsid w:val="007B6366"/>
    <w:rsid w:val="007C2E54"/>
    <w:rsid w:val="007D0D0E"/>
    <w:rsid w:val="007D1F07"/>
    <w:rsid w:val="007E14FA"/>
    <w:rsid w:val="007E26FA"/>
    <w:rsid w:val="007E3A25"/>
    <w:rsid w:val="007F2424"/>
    <w:rsid w:val="008133A6"/>
    <w:rsid w:val="00824072"/>
    <w:rsid w:val="008429BF"/>
    <w:rsid w:val="008456DF"/>
    <w:rsid w:val="00846AAA"/>
    <w:rsid w:val="00850E63"/>
    <w:rsid w:val="00855AC9"/>
    <w:rsid w:val="00857D99"/>
    <w:rsid w:val="008604F6"/>
    <w:rsid w:val="00865505"/>
    <w:rsid w:val="00873F8C"/>
    <w:rsid w:val="00886CA4"/>
    <w:rsid w:val="00890658"/>
    <w:rsid w:val="008A416D"/>
    <w:rsid w:val="008B4F5A"/>
    <w:rsid w:val="008D7A9F"/>
    <w:rsid w:val="009020CB"/>
    <w:rsid w:val="00925F8C"/>
    <w:rsid w:val="00926230"/>
    <w:rsid w:val="0093761A"/>
    <w:rsid w:val="0094545A"/>
    <w:rsid w:val="00947F38"/>
    <w:rsid w:val="00951E36"/>
    <w:rsid w:val="00955EFF"/>
    <w:rsid w:val="009771A8"/>
    <w:rsid w:val="009921A8"/>
    <w:rsid w:val="00994683"/>
    <w:rsid w:val="009A61C7"/>
    <w:rsid w:val="009A6B5E"/>
    <w:rsid w:val="009C12E9"/>
    <w:rsid w:val="009C43CE"/>
    <w:rsid w:val="009D3DCB"/>
    <w:rsid w:val="009E28B4"/>
    <w:rsid w:val="009E4742"/>
    <w:rsid w:val="009E60CB"/>
    <w:rsid w:val="009F2006"/>
    <w:rsid w:val="00A14686"/>
    <w:rsid w:val="00A20305"/>
    <w:rsid w:val="00A2118D"/>
    <w:rsid w:val="00A22436"/>
    <w:rsid w:val="00A3077D"/>
    <w:rsid w:val="00A3663B"/>
    <w:rsid w:val="00A51731"/>
    <w:rsid w:val="00A53212"/>
    <w:rsid w:val="00A54879"/>
    <w:rsid w:val="00A57D59"/>
    <w:rsid w:val="00A72054"/>
    <w:rsid w:val="00A72C3F"/>
    <w:rsid w:val="00A77BC0"/>
    <w:rsid w:val="00A83309"/>
    <w:rsid w:val="00AA22AE"/>
    <w:rsid w:val="00AB77D3"/>
    <w:rsid w:val="00AD12EE"/>
    <w:rsid w:val="00AE61E3"/>
    <w:rsid w:val="00AE6DD8"/>
    <w:rsid w:val="00B160E3"/>
    <w:rsid w:val="00B41773"/>
    <w:rsid w:val="00B41F77"/>
    <w:rsid w:val="00B471B7"/>
    <w:rsid w:val="00B628F0"/>
    <w:rsid w:val="00B6463D"/>
    <w:rsid w:val="00B67A0D"/>
    <w:rsid w:val="00B90891"/>
    <w:rsid w:val="00BA5B2E"/>
    <w:rsid w:val="00BB28DF"/>
    <w:rsid w:val="00BC5194"/>
    <w:rsid w:val="00BD62E6"/>
    <w:rsid w:val="00BE0A91"/>
    <w:rsid w:val="00BE3D93"/>
    <w:rsid w:val="00BF5A61"/>
    <w:rsid w:val="00C02D4B"/>
    <w:rsid w:val="00C0538D"/>
    <w:rsid w:val="00C13ACB"/>
    <w:rsid w:val="00C15048"/>
    <w:rsid w:val="00C2742C"/>
    <w:rsid w:val="00C3648B"/>
    <w:rsid w:val="00C41B9C"/>
    <w:rsid w:val="00C5574B"/>
    <w:rsid w:val="00C6045F"/>
    <w:rsid w:val="00C62399"/>
    <w:rsid w:val="00C83E7D"/>
    <w:rsid w:val="00CA18C8"/>
    <w:rsid w:val="00CB0C56"/>
    <w:rsid w:val="00CB1D4B"/>
    <w:rsid w:val="00CB1EF2"/>
    <w:rsid w:val="00CB6D6E"/>
    <w:rsid w:val="00CC2898"/>
    <w:rsid w:val="00CD7BE4"/>
    <w:rsid w:val="00CE3310"/>
    <w:rsid w:val="00CE370F"/>
    <w:rsid w:val="00CE7B07"/>
    <w:rsid w:val="00CF301E"/>
    <w:rsid w:val="00CF6990"/>
    <w:rsid w:val="00D052C5"/>
    <w:rsid w:val="00D1473E"/>
    <w:rsid w:val="00D450CF"/>
    <w:rsid w:val="00D47E33"/>
    <w:rsid w:val="00D53EB6"/>
    <w:rsid w:val="00D60727"/>
    <w:rsid w:val="00D60E6D"/>
    <w:rsid w:val="00D64F61"/>
    <w:rsid w:val="00D771FB"/>
    <w:rsid w:val="00D82CC5"/>
    <w:rsid w:val="00D855AD"/>
    <w:rsid w:val="00D86767"/>
    <w:rsid w:val="00D91E90"/>
    <w:rsid w:val="00DA5E83"/>
    <w:rsid w:val="00DC581B"/>
    <w:rsid w:val="00DF52F6"/>
    <w:rsid w:val="00DF7C72"/>
    <w:rsid w:val="00E01A5E"/>
    <w:rsid w:val="00E01EF4"/>
    <w:rsid w:val="00E0296F"/>
    <w:rsid w:val="00E15532"/>
    <w:rsid w:val="00E271A4"/>
    <w:rsid w:val="00E316F7"/>
    <w:rsid w:val="00E35D00"/>
    <w:rsid w:val="00E37349"/>
    <w:rsid w:val="00E40704"/>
    <w:rsid w:val="00E432D8"/>
    <w:rsid w:val="00E53FDC"/>
    <w:rsid w:val="00E63DE2"/>
    <w:rsid w:val="00E6517A"/>
    <w:rsid w:val="00E75FA8"/>
    <w:rsid w:val="00E76868"/>
    <w:rsid w:val="00E901ED"/>
    <w:rsid w:val="00E95482"/>
    <w:rsid w:val="00EB09EB"/>
    <w:rsid w:val="00ED3F14"/>
    <w:rsid w:val="00ED45D8"/>
    <w:rsid w:val="00EE1DE6"/>
    <w:rsid w:val="00EE7398"/>
    <w:rsid w:val="00EF1B6C"/>
    <w:rsid w:val="00EF3BA0"/>
    <w:rsid w:val="00EF58EC"/>
    <w:rsid w:val="00EF7315"/>
    <w:rsid w:val="00F3298F"/>
    <w:rsid w:val="00F35A38"/>
    <w:rsid w:val="00F41E1F"/>
    <w:rsid w:val="00F435EB"/>
    <w:rsid w:val="00F4632C"/>
    <w:rsid w:val="00F606BD"/>
    <w:rsid w:val="00F613B0"/>
    <w:rsid w:val="00F709F6"/>
    <w:rsid w:val="00F81752"/>
    <w:rsid w:val="00F92812"/>
    <w:rsid w:val="00FA5B88"/>
    <w:rsid w:val="00FA77D8"/>
    <w:rsid w:val="00FB03E1"/>
    <w:rsid w:val="00FB4443"/>
    <w:rsid w:val="00FC1E1C"/>
    <w:rsid w:val="00FC2FE5"/>
    <w:rsid w:val="00FF300D"/>
    <w:rsid w:val="00FF60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A97E6"/>
  <w15:chartTrackingRefBased/>
  <w15:docId w15:val="{D42D106B-9A77-4244-BB8C-7004818F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471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rsid w:val="00A72C3F"/>
    <w:pPr>
      <w:spacing w:after="120" w:line="240" w:lineRule="auto"/>
      <w:jc w:val="center"/>
    </w:pPr>
    <w:rPr>
      <w:rFonts w:ascii="Times New Roman" w:eastAsia="Times New Roman" w:hAnsi="Times New Roman" w:cs="Times New Roman"/>
      <w:b/>
      <w:bCs/>
      <w:noProof/>
      <w:sz w:val="28"/>
      <w:szCs w:val="28"/>
      <w:lang w:val="en-GB"/>
    </w:rPr>
  </w:style>
  <w:style w:type="character" w:customStyle="1" w:styleId="BodyTextChar">
    <w:name w:val="Body Text Char"/>
    <w:basedOn w:val="DefaultParagraphFont"/>
    <w:link w:val="BodyText"/>
    <w:uiPriority w:val="99"/>
    <w:rsid w:val="00A72C3F"/>
    <w:rPr>
      <w:rFonts w:ascii="Times New Roman" w:eastAsia="Times New Roman" w:hAnsi="Times New Roman" w:cs="Times New Roman"/>
      <w:b/>
      <w:bCs/>
      <w:noProof/>
      <w:sz w:val="28"/>
      <w:szCs w:val="28"/>
      <w:lang w:val="en-GB"/>
    </w:rPr>
  </w:style>
  <w:style w:type="paragraph" w:styleId="FootnoteText">
    <w:name w:val="footnote text"/>
    <w:basedOn w:val="Normal"/>
    <w:link w:val="CommentReference"/>
    <w:uiPriority w:val="99"/>
    <w:rsid w:val="00A72C3F"/>
    <w:pPr>
      <w:spacing w:after="0" w:line="240" w:lineRule="auto"/>
    </w:pPr>
    <w:rPr>
      <w:rFonts w:ascii="Times New Roman" w:eastAsiaTheme="minorEastAsia" w:hAnsi="Times New Roman" w:cs="Times New Roman"/>
      <w:sz w:val="20"/>
      <w:szCs w:val="20"/>
      <w:lang w:val="en-GB" w:eastAsia="lv-LV"/>
    </w:rPr>
  </w:style>
  <w:style w:type="character" w:customStyle="1" w:styleId="FootnoteTextChar">
    <w:name w:val="Footnote Text Char"/>
    <w:basedOn w:val="DefaultParagraphFont"/>
    <w:uiPriority w:val="99"/>
    <w:semiHidden/>
    <w:rsid w:val="00A72C3F"/>
    <w:rPr>
      <w:sz w:val="20"/>
      <w:szCs w:val="20"/>
    </w:rPr>
  </w:style>
  <w:style w:type="character" w:styleId="CommentReference">
    <w:name w:val="annotation reference"/>
    <w:aliases w:val="Footnote Text Char1"/>
    <w:basedOn w:val="DefaultParagraphFont"/>
    <w:link w:val="FootnoteText"/>
    <w:uiPriority w:val="99"/>
    <w:rsid w:val="00A72C3F"/>
    <w:rPr>
      <w:rFonts w:ascii="Times New Roman" w:eastAsiaTheme="minorEastAsia" w:hAnsi="Times New Roman" w:cs="Times New Roman"/>
      <w:sz w:val="20"/>
      <w:szCs w:val="20"/>
      <w:lang w:val="en-GB" w:eastAsia="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rsid w:val="00A72C3F"/>
    <w:rPr>
      <w:rFonts w:cs="Times New Roman"/>
      <w:vertAlign w:val="superscript"/>
    </w:rPr>
  </w:style>
  <w:style w:type="paragraph" w:styleId="CommentText">
    <w:name w:val="annotation text"/>
    <w:basedOn w:val="Normal"/>
    <w:link w:val="CommentTextChar"/>
    <w:uiPriority w:val="99"/>
    <w:unhideWhenUsed/>
    <w:rsid w:val="00A72C3F"/>
    <w:pPr>
      <w:spacing w:line="240" w:lineRule="auto"/>
    </w:pPr>
    <w:rPr>
      <w:sz w:val="20"/>
      <w:szCs w:val="20"/>
    </w:rPr>
  </w:style>
  <w:style w:type="character" w:customStyle="1" w:styleId="CommentTextChar">
    <w:name w:val="Comment Text Char"/>
    <w:basedOn w:val="DefaultParagraphFont"/>
    <w:link w:val="CommentText"/>
    <w:uiPriority w:val="99"/>
    <w:rsid w:val="00A72C3F"/>
    <w:rPr>
      <w:sz w:val="20"/>
      <w:szCs w:val="20"/>
    </w:rPr>
  </w:style>
  <w:style w:type="character" w:styleId="Hyperlink">
    <w:name w:val="Hyperlink"/>
    <w:uiPriority w:val="99"/>
    <w:rsid w:val="000E511D"/>
    <w:rPr>
      <w:color w:val="0000FF"/>
      <w:u w:val="single"/>
    </w:rPr>
  </w:style>
  <w:style w:type="paragraph" w:styleId="Header">
    <w:name w:val="header"/>
    <w:basedOn w:val="Normal"/>
    <w:link w:val="HeaderChar"/>
    <w:uiPriority w:val="99"/>
    <w:unhideWhenUsed/>
    <w:rsid w:val="000E51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511D"/>
  </w:style>
  <w:style w:type="paragraph" w:styleId="Footer">
    <w:name w:val="footer"/>
    <w:basedOn w:val="Normal"/>
    <w:link w:val="FooterChar"/>
    <w:uiPriority w:val="99"/>
    <w:unhideWhenUsed/>
    <w:rsid w:val="000E51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511D"/>
  </w:style>
  <w:style w:type="paragraph" w:styleId="ListParagraph">
    <w:name w:val="List Paragraph"/>
    <w:basedOn w:val="Normal"/>
    <w:uiPriority w:val="34"/>
    <w:qFormat/>
    <w:rsid w:val="0034579F"/>
    <w:pPr>
      <w:spacing w:after="0" w:line="240" w:lineRule="auto"/>
      <w:ind w:left="720"/>
      <w:contextualSpacing/>
    </w:pPr>
    <w:rPr>
      <w:rFonts w:ascii="Times New Roman" w:eastAsia="Times New Roman" w:hAnsi="Times New Roman" w:cs="Times New Roman"/>
      <w:sz w:val="24"/>
      <w:szCs w:val="24"/>
      <w:lang w:val="en-GB"/>
    </w:rPr>
  </w:style>
  <w:style w:type="paragraph" w:customStyle="1" w:styleId="naisc">
    <w:name w:val="naisc"/>
    <w:basedOn w:val="Normal"/>
    <w:rsid w:val="00296956"/>
    <w:pPr>
      <w:spacing w:before="75" w:after="75" w:line="240" w:lineRule="auto"/>
      <w:jc w:val="center"/>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23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4C8"/>
    <w:rPr>
      <w:rFonts w:ascii="Segoe UI" w:hAnsi="Segoe UI" w:cs="Segoe UI"/>
      <w:sz w:val="18"/>
      <w:szCs w:val="18"/>
    </w:rPr>
  </w:style>
  <w:style w:type="paragraph" w:customStyle="1" w:styleId="naisnod">
    <w:name w:val="naisnod"/>
    <w:basedOn w:val="Normal"/>
    <w:rsid w:val="0050375F"/>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Normal"/>
    <w:rsid w:val="0050375F"/>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7D1F07"/>
    <w:rPr>
      <w:b/>
      <w:bCs/>
    </w:rPr>
  </w:style>
  <w:style w:type="character" w:customStyle="1" w:styleId="CommentSubjectChar">
    <w:name w:val="Comment Subject Char"/>
    <w:basedOn w:val="CommentTextChar"/>
    <w:link w:val="CommentSubject"/>
    <w:uiPriority w:val="99"/>
    <w:semiHidden/>
    <w:rsid w:val="007D1F07"/>
    <w:rPr>
      <w:b/>
      <w:bCs/>
      <w:sz w:val="20"/>
      <w:szCs w:val="20"/>
    </w:rPr>
  </w:style>
  <w:style w:type="paragraph" w:customStyle="1" w:styleId="tv2132">
    <w:name w:val="tv2132"/>
    <w:basedOn w:val="Normal"/>
    <w:rsid w:val="000E3ACA"/>
    <w:pPr>
      <w:spacing w:after="0" w:line="360"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7221">
      <w:bodyDiv w:val="1"/>
      <w:marLeft w:val="0"/>
      <w:marRight w:val="0"/>
      <w:marTop w:val="0"/>
      <w:marBottom w:val="0"/>
      <w:divBdr>
        <w:top w:val="none" w:sz="0" w:space="0" w:color="auto"/>
        <w:left w:val="none" w:sz="0" w:space="0" w:color="auto"/>
        <w:bottom w:val="none" w:sz="0" w:space="0" w:color="auto"/>
        <w:right w:val="none" w:sz="0" w:space="0" w:color="auto"/>
      </w:divBdr>
    </w:div>
    <w:div w:id="644435215">
      <w:bodyDiv w:val="1"/>
      <w:marLeft w:val="0"/>
      <w:marRight w:val="0"/>
      <w:marTop w:val="0"/>
      <w:marBottom w:val="0"/>
      <w:divBdr>
        <w:top w:val="none" w:sz="0" w:space="0" w:color="auto"/>
        <w:left w:val="none" w:sz="0" w:space="0" w:color="auto"/>
        <w:bottom w:val="none" w:sz="0" w:space="0" w:color="auto"/>
        <w:right w:val="none" w:sz="0" w:space="0" w:color="auto"/>
      </w:divBdr>
      <w:divsChild>
        <w:div w:id="920868611">
          <w:marLeft w:val="0"/>
          <w:marRight w:val="0"/>
          <w:marTop w:val="0"/>
          <w:marBottom w:val="0"/>
          <w:divBdr>
            <w:top w:val="none" w:sz="0" w:space="0" w:color="auto"/>
            <w:left w:val="none" w:sz="0" w:space="0" w:color="auto"/>
            <w:bottom w:val="none" w:sz="0" w:space="0" w:color="auto"/>
            <w:right w:val="none" w:sz="0" w:space="0" w:color="auto"/>
          </w:divBdr>
          <w:divsChild>
            <w:div w:id="2046366506">
              <w:marLeft w:val="0"/>
              <w:marRight w:val="0"/>
              <w:marTop w:val="0"/>
              <w:marBottom w:val="0"/>
              <w:divBdr>
                <w:top w:val="none" w:sz="0" w:space="0" w:color="auto"/>
                <w:left w:val="none" w:sz="0" w:space="0" w:color="auto"/>
                <w:bottom w:val="none" w:sz="0" w:space="0" w:color="auto"/>
                <w:right w:val="none" w:sz="0" w:space="0" w:color="auto"/>
              </w:divBdr>
              <w:divsChild>
                <w:div w:id="127941132">
                  <w:marLeft w:val="0"/>
                  <w:marRight w:val="0"/>
                  <w:marTop w:val="0"/>
                  <w:marBottom w:val="0"/>
                  <w:divBdr>
                    <w:top w:val="none" w:sz="0" w:space="0" w:color="auto"/>
                    <w:left w:val="none" w:sz="0" w:space="0" w:color="auto"/>
                    <w:bottom w:val="none" w:sz="0" w:space="0" w:color="auto"/>
                    <w:right w:val="none" w:sz="0" w:space="0" w:color="auto"/>
                  </w:divBdr>
                  <w:divsChild>
                    <w:div w:id="433329704">
                      <w:marLeft w:val="0"/>
                      <w:marRight w:val="0"/>
                      <w:marTop w:val="0"/>
                      <w:marBottom w:val="0"/>
                      <w:divBdr>
                        <w:top w:val="none" w:sz="0" w:space="0" w:color="auto"/>
                        <w:left w:val="none" w:sz="0" w:space="0" w:color="auto"/>
                        <w:bottom w:val="none" w:sz="0" w:space="0" w:color="auto"/>
                        <w:right w:val="none" w:sz="0" w:space="0" w:color="auto"/>
                      </w:divBdr>
                      <w:divsChild>
                        <w:div w:id="2038502331">
                          <w:marLeft w:val="0"/>
                          <w:marRight w:val="0"/>
                          <w:marTop w:val="0"/>
                          <w:marBottom w:val="0"/>
                          <w:divBdr>
                            <w:top w:val="none" w:sz="0" w:space="0" w:color="auto"/>
                            <w:left w:val="none" w:sz="0" w:space="0" w:color="auto"/>
                            <w:bottom w:val="none" w:sz="0" w:space="0" w:color="auto"/>
                            <w:right w:val="none" w:sz="0" w:space="0" w:color="auto"/>
                          </w:divBdr>
                          <w:divsChild>
                            <w:div w:id="9328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1826">
      <w:bodyDiv w:val="1"/>
      <w:marLeft w:val="0"/>
      <w:marRight w:val="0"/>
      <w:marTop w:val="0"/>
      <w:marBottom w:val="0"/>
      <w:divBdr>
        <w:top w:val="none" w:sz="0" w:space="0" w:color="auto"/>
        <w:left w:val="none" w:sz="0" w:space="0" w:color="auto"/>
        <w:bottom w:val="none" w:sz="0" w:space="0" w:color="auto"/>
        <w:right w:val="none" w:sz="0" w:space="0" w:color="auto"/>
      </w:divBdr>
    </w:div>
    <w:div w:id="917325047">
      <w:bodyDiv w:val="1"/>
      <w:marLeft w:val="0"/>
      <w:marRight w:val="0"/>
      <w:marTop w:val="0"/>
      <w:marBottom w:val="0"/>
      <w:divBdr>
        <w:top w:val="none" w:sz="0" w:space="0" w:color="auto"/>
        <w:left w:val="none" w:sz="0" w:space="0" w:color="auto"/>
        <w:bottom w:val="none" w:sz="0" w:space="0" w:color="auto"/>
        <w:right w:val="none" w:sz="0" w:space="0" w:color="auto"/>
      </w:divBdr>
    </w:div>
    <w:div w:id="948463612">
      <w:bodyDiv w:val="1"/>
      <w:marLeft w:val="0"/>
      <w:marRight w:val="0"/>
      <w:marTop w:val="0"/>
      <w:marBottom w:val="0"/>
      <w:divBdr>
        <w:top w:val="none" w:sz="0" w:space="0" w:color="auto"/>
        <w:left w:val="none" w:sz="0" w:space="0" w:color="auto"/>
        <w:bottom w:val="none" w:sz="0" w:space="0" w:color="auto"/>
        <w:right w:val="none" w:sz="0" w:space="0" w:color="auto"/>
      </w:divBdr>
      <w:divsChild>
        <w:div w:id="1232735604">
          <w:marLeft w:val="0"/>
          <w:marRight w:val="0"/>
          <w:marTop w:val="0"/>
          <w:marBottom w:val="0"/>
          <w:divBdr>
            <w:top w:val="none" w:sz="0" w:space="0" w:color="auto"/>
            <w:left w:val="none" w:sz="0" w:space="0" w:color="auto"/>
            <w:bottom w:val="none" w:sz="0" w:space="0" w:color="auto"/>
            <w:right w:val="none" w:sz="0" w:space="0" w:color="auto"/>
          </w:divBdr>
          <w:divsChild>
            <w:div w:id="1811748530">
              <w:marLeft w:val="0"/>
              <w:marRight w:val="0"/>
              <w:marTop w:val="0"/>
              <w:marBottom w:val="0"/>
              <w:divBdr>
                <w:top w:val="none" w:sz="0" w:space="0" w:color="auto"/>
                <w:left w:val="none" w:sz="0" w:space="0" w:color="auto"/>
                <w:bottom w:val="none" w:sz="0" w:space="0" w:color="auto"/>
                <w:right w:val="none" w:sz="0" w:space="0" w:color="auto"/>
              </w:divBdr>
              <w:divsChild>
                <w:div w:id="858004721">
                  <w:marLeft w:val="0"/>
                  <w:marRight w:val="0"/>
                  <w:marTop w:val="0"/>
                  <w:marBottom w:val="0"/>
                  <w:divBdr>
                    <w:top w:val="none" w:sz="0" w:space="0" w:color="auto"/>
                    <w:left w:val="none" w:sz="0" w:space="0" w:color="auto"/>
                    <w:bottom w:val="none" w:sz="0" w:space="0" w:color="auto"/>
                    <w:right w:val="none" w:sz="0" w:space="0" w:color="auto"/>
                  </w:divBdr>
                  <w:divsChild>
                    <w:div w:id="134445846">
                      <w:marLeft w:val="0"/>
                      <w:marRight w:val="0"/>
                      <w:marTop w:val="0"/>
                      <w:marBottom w:val="0"/>
                      <w:divBdr>
                        <w:top w:val="none" w:sz="0" w:space="0" w:color="auto"/>
                        <w:left w:val="none" w:sz="0" w:space="0" w:color="auto"/>
                        <w:bottom w:val="none" w:sz="0" w:space="0" w:color="auto"/>
                        <w:right w:val="none" w:sz="0" w:space="0" w:color="auto"/>
                      </w:divBdr>
                      <w:divsChild>
                        <w:div w:id="678040975">
                          <w:marLeft w:val="0"/>
                          <w:marRight w:val="0"/>
                          <w:marTop w:val="0"/>
                          <w:marBottom w:val="0"/>
                          <w:divBdr>
                            <w:top w:val="none" w:sz="0" w:space="0" w:color="auto"/>
                            <w:left w:val="none" w:sz="0" w:space="0" w:color="auto"/>
                            <w:bottom w:val="none" w:sz="0" w:space="0" w:color="auto"/>
                            <w:right w:val="none" w:sz="0" w:space="0" w:color="auto"/>
                          </w:divBdr>
                          <w:divsChild>
                            <w:div w:id="7267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002609">
      <w:bodyDiv w:val="1"/>
      <w:marLeft w:val="0"/>
      <w:marRight w:val="0"/>
      <w:marTop w:val="0"/>
      <w:marBottom w:val="0"/>
      <w:divBdr>
        <w:top w:val="none" w:sz="0" w:space="0" w:color="auto"/>
        <w:left w:val="none" w:sz="0" w:space="0" w:color="auto"/>
        <w:bottom w:val="none" w:sz="0" w:space="0" w:color="auto"/>
        <w:right w:val="none" w:sz="0" w:space="0" w:color="auto"/>
      </w:divBdr>
    </w:div>
    <w:div w:id="1341658859">
      <w:bodyDiv w:val="1"/>
      <w:marLeft w:val="0"/>
      <w:marRight w:val="0"/>
      <w:marTop w:val="0"/>
      <w:marBottom w:val="0"/>
      <w:divBdr>
        <w:top w:val="none" w:sz="0" w:space="0" w:color="auto"/>
        <w:left w:val="none" w:sz="0" w:space="0" w:color="auto"/>
        <w:bottom w:val="none" w:sz="0" w:space="0" w:color="auto"/>
        <w:right w:val="none" w:sz="0" w:space="0" w:color="auto"/>
      </w:divBdr>
      <w:divsChild>
        <w:div w:id="1184132456">
          <w:marLeft w:val="0"/>
          <w:marRight w:val="0"/>
          <w:marTop w:val="0"/>
          <w:marBottom w:val="0"/>
          <w:divBdr>
            <w:top w:val="none" w:sz="0" w:space="0" w:color="auto"/>
            <w:left w:val="none" w:sz="0" w:space="0" w:color="auto"/>
            <w:bottom w:val="none" w:sz="0" w:space="0" w:color="auto"/>
            <w:right w:val="none" w:sz="0" w:space="0" w:color="auto"/>
          </w:divBdr>
          <w:divsChild>
            <w:div w:id="817310431">
              <w:marLeft w:val="0"/>
              <w:marRight w:val="0"/>
              <w:marTop w:val="0"/>
              <w:marBottom w:val="0"/>
              <w:divBdr>
                <w:top w:val="none" w:sz="0" w:space="0" w:color="auto"/>
                <w:left w:val="none" w:sz="0" w:space="0" w:color="auto"/>
                <w:bottom w:val="none" w:sz="0" w:space="0" w:color="auto"/>
                <w:right w:val="none" w:sz="0" w:space="0" w:color="auto"/>
              </w:divBdr>
              <w:divsChild>
                <w:div w:id="14500786">
                  <w:marLeft w:val="0"/>
                  <w:marRight w:val="0"/>
                  <w:marTop w:val="0"/>
                  <w:marBottom w:val="0"/>
                  <w:divBdr>
                    <w:top w:val="none" w:sz="0" w:space="0" w:color="auto"/>
                    <w:left w:val="none" w:sz="0" w:space="0" w:color="auto"/>
                    <w:bottom w:val="none" w:sz="0" w:space="0" w:color="auto"/>
                    <w:right w:val="none" w:sz="0" w:space="0" w:color="auto"/>
                  </w:divBdr>
                  <w:divsChild>
                    <w:div w:id="1627348635">
                      <w:marLeft w:val="0"/>
                      <w:marRight w:val="0"/>
                      <w:marTop w:val="0"/>
                      <w:marBottom w:val="0"/>
                      <w:divBdr>
                        <w:top w:val="none" w:sz="0" w:space="0" w:color="auto"/>
                        <w:left w:val="none" w:sz="0" w:space="0" w:color="auto"/>
                        <w:bottom w:val="none" w:sz="0" w:space="0" w:color="auto"/>
                        <w:right w:val="none" w:sz="0" w:space="0" w:color="auto"/>
                      </w:divBdr>
                      <w:divsChild>
                        <w:div w:id="291710706">
                          <w:marLeft w:val="0"/>
                          <w:marRight w:val="0"/>
                          <w:marTop w:val="0"/>
                          <w:marBottom w:val="0"/>
                          <w:divBdr>
                            <w:top w:val="none" w:sz="0" w:space="0" w:color="auto"/>
                            <w:left w:val="none" w:sz="0" w:space="0" w:color="auto"/>
                            <w:bottom w:val="none" w:sz="0" w:space="0" w:color="auto"/>
                            <w:right w:val="none" w:sz="0" w:space="0" w:color="auto"/>
                          </w:divBdr>
                          <w:divsChild>
                            <w:div w:id="1180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153030">
      <w:bodyDiv w:val="1"/>
      <w:marLeft w:val="0"/>
      <w:marRight w:val="0"/>
      <w:marTop w:val="0"/>
      <w:marBottom w:val="0"/>
      <w:divBdr>
        <w:top w:val="none" w:sz="0" w:space="0" w:color="auto"/>
        <w:left w:val="none" w:sz="0" w:space="0" w:color="auto"/>
        <w:bottom w:val="none" w:sz="0" w:space="0" w:color="auto"/>
        <w:right w:val="none" w:sz="0" w:space="0" w:color="auto"/>
      </w:divBdr>
    </w:div>
    <w:div w:id="1892576680">
      <w:bodyDiv w:val="1"/>
      <w:marLeft w:val="0"/>
      <w:marRight w:val="0"/>
      <w:marTop w:val="0"/>
      <w:marBottom w:val="0"/>
      <w:divBdr>
        <w:top w:val="none" w:sz="0" w:space="0" w:color="auto"/>
        <w:left w:val="none" w:sz="0" w:space="0" w:color="auto"/>
        <w:bottom w:val="none" w:sz="0" w:space="0" w:color="auto"/>
        <w:right w:val="none" w:sz="0" w:space="0" w:color="auto"/>
      </w:divBdr>
    </w:div>
    <w:div w:id="1902448724">
      <w:bodyDiv w:val="1"/>
      <w:marLeft w:val="0"/>
      <w:marRight w:val="0"/>
      <w:marTop w:val="0"/>
      <w:marBottom w:val="0"/>
      <w:divBdr>
        <w:top w:val="none" w:sz="0" w:space="0" w:color="auto"/>
        <w:left w:val="none" w:sz="0" w:space="0" w:color="auto"/>
        <w:bottom w:val="none" w:sz="0" w:space="0" w:color="auto"/>
        <w:right w:val="none" w:sz="0" w:space="0" w:color="auto"/>
      </w:divBdr>
    </w:div>
    <w:div w:id="19269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s.karolis@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F9F6-99E0-441A-9D79-A2F877592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8464</Words>
  <Characters>4826</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Paune</dc:creator>
  <cp:keywords/>
  <dc:description/>
  <cp:lastModifiedBy>Sandra Obodova</cp:lastModifiedBy>
  <cp:revision>2</cp:revision>
  <cp:lastPrinted>2019-05-28T08:11:00Z</cp:lastPrinted>
  <dcterms:created xsi:type="dcterms:W3CDTF">2019-10-01T07:36:00Z</dcterms:created>
  <dcterms:modified xsi:type="dcterms:W3CDTF">2019-10-01T07:36:00Z</dcterms:modified>
</cp:coreProperties>
</file>