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6C69E" w14:textId="77777777" w:rsidR="00E80F28" w:rsidRDefault="00E80F28" w:rsidP="00E80F28">
      <w:pPr>
        <w:pStyle w:val="naisnod"/>
        <w:spacing w:before="0" w:after="0"/>
        <w:rPr>
          <w:sz w:val="28"/>
          <w:szCs w:val="28"/>
        </w:rPr>
      </w:pPr>
      <w:r>
        <w:rPr>
          <w:sz w:val="28"/>
          <w:szCs w:val="28"/>
        </w:rPr>
        <w:t>Izziņa par atzinumos sniegtajiem iebildumiem par</w:t>
      </w:r>
    </w:p>
    <w:p w14:paraId="323E5D90" w14:textId="77777777" w:rsidR="00E80F28" w:rsidRPr="00E80F28" w:rsidRDefault="00E80F28" w:rsidP="00E80F28">
      <w:pPr>
        <w:pStyle w:val="naisnod"/>
        <w:spacing w:before="0" w:after="0"/>
        <w:rPr>
          <w:sz w:val="28"/>
          <w:szCs w:val="28"/>
        </w:rPr>
      </w:pPr>
    </w:p>
    <w:p w14:paraId="1D981FB4" w14:textId="77777777" w:rsidR="00E80F28" w:rsidRPr="00E80F28" w:rsidRDefault="00EA4440" w:rsidP="00E80F28">
      <w:pPr>
        <w:pStyle w:val="naisc"/>
        <w:spacing w:before="0" w:after="0"/>
        <w:rPr>
          <w:b/>
          <w:bCs/>
          <w:sz w:val="28"/>
          <w:szCs w:val="28"/>
        </w:rPr>
      </w:pPr>
      <w:r>
        <w:rPr>
          <w:b/>
          <w:bCs/>
          <w:sz w:val="28"/>
          <w:szCs w:val="28"/>
        </w:rPr>
        <w:t>l</w:t>
      </w:r>
      <w:r w:rsidR="00E80F28" w:rsidRPr="00E80F28">
        <w:rPr>
          <w:b/>
          <w:bCs/>
          <w:sz w:val="28"/>
          <w:szCs w:val="28"/>
        </w:rPr>
        <w:t>ikumprojektu “Grozījumi Izglītības likumā”</w:t>
      </w:r>
    </w:p>
    <w:p w14:paraId="7004ED51" w14:textId="77777777" w:rsidR="00E80F28" w:rsidRDefault="00E80F28" w:rsidP="00E80F28">
      <w:pPr>
        <w:pStyle w:val="naisf"/>
        <w:spacing w:before="0" w:after="0"/>
        <w:ind w:firstLine="0"/>
      </w:pPr>
    </w:p>
    <w:p w14:paraId="08112DB9" w14:textId="77777777" w:rsidR="00E80F28" w:rsidRDefault="00E80F28" w:rsidP="00E80F28">
      <w:pPr>
        <w:pStyle w:val="naisf"/>
        <w:spacing w:before="0" w:after="0"/>
        <w:ind w:firstLine="0"/>
        <w:jc w:val="center"/>
        <w:rPr>
          <w:b/>
        </w:rPr>
      </w:pPr>
      <w:r>
        <w:rPr>
          <w:b/>
        </w:rPr>
        <w:t>I. Jautājumi, par kuriem saskaņošanā vienošanās nav panākta</w:t>
      </w:r>
    </w:p>
    <w:p w14:paraId="1613B7E6" w14:textId="77777777" w:rsidR="00E80F28" w:rsidRDefault="00E80F28" w:rsidP="00E80F28">
      <w:pPr>
        <w:pStyle w:val="naisf"/>
        <w:spacing w:before="0" w:after="0"/>
        <w:ind w:firstLine="0"/>
      </w:pPr>
    </w:p>
    <w:tbl>
      <w:tblPr>
        <w:tblW w:w="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E80F28" w14:paraId="1D1285CE" w14:textId="77777777" w:rsidTr="00E80F28">
        <w:tc>
          <w:tcPr>
            <w:tcW w:w="708" w:type="dxa"/>
            <w:tcBorders>
              <w:top w:val="single" w:sz="6" w:space="0" w:color="000000"/>
              <w:left w:val="single" w:sz="6" w:space="0" w:color="000000"/>
              <w:bottom w:val="single" w:sz="6" w:space="0" w:color="000000"/>
              <w:right w:val="single" w:sz="6" w:space="0" w:color="000000"/>
            </w:tcBorders>
            <w:vAlign w:val="center"/>
            <w:hideMark/>
          </w:tcPr>
          <w:p w14:paraId="0D82B40C" w14:textId="77777777" w:rsidR="00E80F28" w:rsidRDefault="00E80F28" w:rsidP="00E80F28">
            <w:pPr>
              <w:pStyle w:val="naisc"/>
              <w:spacing w:before="0" w:after="0"/>
            </w:pPr>
            <w:r>
              <w:t>Nr. p.k.</w:t>
            </w:r>
          </w:p>
        </w:tc>
        <w:tc>
          <w:tcPr>
            <w:tcW w:w="3086" w:type="dxa"/>
            <w:tcBorders>
              <w:top w:val="single" w:sz="6" w:space="0" w:color="000000"/>
              <w:left w:val="single" w:sz="6" w:space="0" w:color="000000"/>
              <w:bottom w:val="single" w:sz="6" w:space="0" w:color="000000"/>
              <w:right w:val="single" w:sz="6" w:space="0" w:color="000000"/>
            </w:tcBorders>
            <w:vAlign w:val="center"/>
            <w:hideMark/>
          </w:tcPr>
          <w:p w14:paraId="6A41DA64" w14:textId="77777777" w:rsidR="00E80F28" w:rsidRDefault="00E80F28" w:rsidP="00E80F28">
            <w:pPr>
              <w:pStyle w:val="naisc"/>
              <w:spacing w:before="0" w:after="0"/>
            </w:pPr>
            <w: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hideMark/>
          </w:tcPr>
          <w:p w14:paraId="7B642AB5" w14:textId="77777777" w:rsidR="00E80F28" w:rsidRDefault="00E80F28" w:rsidP="00E80F28">
            <w:pPr>
              <w:pStyle w:val="naisc"/>
              <w:spacing w:before="0" w:after="0"/>
              <w:ind w:right="3"/>
            </w:pPr>
            <w: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4CC74FAC" w14:textId="77777777" w:rsidR="00E80F28" w:rsidRDefault="00E80F28" w:rsidP="00E80F28">
            <w:pPr>
              <w:pStyle w:val="naisc"/>
              <w:spacing w:before="0" w:after="0"/>
            </w:pPr>
            <w:r>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hideMark/>
          </w:tcPr>
          <w:p w14:paraId="1548654F" w14:textId="77777777" w:rsidR="00E80F28" w:rsidRDefault="00E80F28" w:rsidP="00E80F28">
            <w:pPr>
              <w:jc w:val="center"/>
            </w:pPr>
            <w: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right w:val="single" w:sz="4" w:space="0" w:color="auto"/>
            </w:tcBorders>
            <w:vAlign w:val="center"/>
            <w:hideMark/>
          </w:tcPr>
          <w:p w14:paraId="156349CA" w14:textId="77777777" w:rsidR="00E80F28" w:rsidRDefault="00E80F28" w:rsidP="00E80F28">
            <w:pPr>
              <w:jc w:val="center"/>
            </w:pPr>
            <w:r>
              <w:t>Projekta attiecīgā punkta (panta) galīgā redakcija</w:t>
            </w:r>
          </w:p>
        </w:tc>
      </w:tr>
      <w:tr w:rsidR="00E80F28" w14:paraId="2FC8FE4E" w14:textId="77777777" w:rsidTr="00E80F28">
        <w:tc>
          <w:tcPr>
            <w:tcW w:w="708" w:type="dxa"/>
            <w:tcBorders>
              <w:top w:val="single" w:sz="6" w:space="0" w:color="000000"/>
              <w:left w:val="single" w:sz="6" w:space="0" w:color="000000"/>
              <w:bottom w:val="single" w:sz="6" w:space="0" w:color="000000"/>
              <w:right w:val="single" w:sz="6" w:space="0" w:color="000000"/>
            </w:tcBorders>
            <w:hideMark/>
          </w:tcPr>
          <w:p w14:paraId="6AA3E4E2" w14:textId="77777777" w:rsidR="00E80F28" w:rsidRDefault="00E80F28" w:rsidP="00E80F28">
            <w:pPr>
              <w:pStyle w:val="naisc"/>
              <w:spacing w:before="0" w:after="0"/>
              <w:rPr>
                <w:sz w:val="20"/>
                <w:szCs w:val="20"/>
              </w:rPr>
            </w:pPr>
            <w:r>
              <w:rPr>
                <w:sz w:val="20"/>
                <w:szCs w:val="20"/>
              </w:rPr>
              <w:t>1</w:t>
            </w:r>
          </w:p>
        </w:tc>
        <w:tc>
          <w:tcPr>
            <w:tcW w:w="3086" w:type="dxa"/>
            <w:tcBorders>
              <w:top w:val="single" w:sz="6" w:space="0" w:color="000000"/>
              <w:left w:val="single" w:sz="6" w:space="0" w:color="000000"/>
              <w:bottom w:val="single" w:sz="6" w:space="0" w:color="000000"/>
              <w:right w:val="single" w:sz="6" w:space="0" w:color="000000"/>
            </w:tcBorders>
            <w:hideMark/>
          </w:tcPr>
          <w:p w14:paraId="2C90A305" w14:textId="77777777" w:rsidR="00E80F28" w:rsidRDefault="00E80F28" w:rsidP="00E80F28">
            <w:pPr>
              <w:pStyle w:val="naisc"/>
              <w:spacing w:before="0" w:after="0"/>
              <w:rPr>
                <w:sz w:val="20"/>
                <w:szCs w:val="20"/>
              </w:rPr>
            </w:pPr>
            <w:r>
              <w:rPr>
                <w:sz w:val="20"/>
                <w:szCs w:val="20"/>
              </w:rPr>
              <w:t>2</w:t>
            </w:r>
          </w:p>
        </w:tc>
        <w:tc>
          <w:tcPr>
            <w:tcW w:w="3118" w:type="dxa"/>
            <w:tcBorders>
              <w:top w:val="single" w:sz="6" w:space="0" w:color="000000"/>
              <w:left w:val="single" w:sz="6" w:space="0" w:color="000000"/>
              <w:bottom w:val="single" w:sz="6" w:space="0" w:color="000000"/>
              <w:right w:val="single" w:sz="6" w:space="0" w:color="000000"/>
            </w:tcBorders>
            <w:hideMark/>
          </w:tcPr>
          <w:p w14:paraId="43CAC664" w14:textId="77777777" w:rsidR="00E80F28" w:rsidRDefault="00E80F28" w:rsidP="00E80F28">
            <w:pPr>
              <w:pStyle w:val="naisc"/>
              <w:spacing w:before="0" w:after="0"/>
              <w:rPr>
                <w:sz w:val="20"/>
                <w:szCs w:val="20"/>
              </w:rPr>
            </w:pPr>
            <w:r>
              <w:rPr>
                <w:sz w:val="20"/>
                <w:szCs w:val="20"/>
              </w:rPr>
              <w:t>3</w:t>
            </w:r>
          </w:p>
        </w:tc>
        <w:tc>
          <w:tcPr>
            <w:tcW w:w="2977" w:type="dxa"/>
            <w:tcBorders>
              <w:top w:val="single" w:sz="6" w:space="0" w:color="000000"/>
              <w:left w:val="single" w:sz="6" w:space="0" w:color="000000"/>
              <w:bottom w:val="single" w:sz="6" w:space="0" w:color="000000"/>
              <w:right w:val="single" w:sz="6" w:space="0" w:color="000000"/>
            </w:tcBorders>
            <w:hideMark/>
          </w:tcPr>
          <w:p w14:paraId="5529C06B" w14:textId="77777777" w:rsidR="00E80F28" w:rsidRDefault="00E80F28" w:rsidP="00E80F28">
            <w:pPr>
              <w:pStyle w:val="naisc"/>
              <w:spacing w:before="0" w:after="0"/>
              <w:rPr>
                <w:sz w:val="20"/>
                <w:szCs w:val="20"/>
              </w:rPr>
            </w:pPr>
            <w:r>
              <w:rPr>
                <w:sz w:val="20"/>
                <w:szCs w:val="20"/>
              </w:rPr>
              <w:t>4</w:t>
            </w:r>
          </w:p>
        </w:tc>
        <w:tc>
          <w:tcPr>
            <w:tcW w:w="2459" w:type="dxa"/>
            <w:tcBorders>
              <w:top w:val="single" w:sz="4" w:space="0" w:color="auto"/>
              <w:left w:val="single" w:sz="4" w:space="0" w:color="auto"/>
              <w:bottom w:val="single" w:sz="4" w:space="0" w:color="auto"/>
              <w:right w:val="single" w:sz="4" w:space="0" w:color="auto"/>
            </w:tcBorders>
            <w:hideMark/>
          </w:tcPr>
          <w:p w14:paraId="3DC7BDC2" w14:textId="77777777" w:rsidR="00E80F28" w:rsidRDefault="00E80F28" w:rsidP="00E80F28">
            <w:pPr>
              <w:jc w:val="center"/>
              <w:rPr>
                <w:sz w:val="20"/>
                <w:szCs w:val="20"/>
              </w:rPr>
            </w:pPr>
            <w:r>
              <w:rPr>
                <w:sz w:val="20"/>
                <w:szCs w:val="20"/>
              </w:rPr>
              <w:t>5</w:t>
            </w:r>
          </w:p>
        </w:tc>
        <w:tc>
          <w:tcPr>
            <w:tcW w:w="1920" w:type="dxa"/>
            <w:tcBorders>
              <w:top w:val="single" w:sz="4" w:space="0" w:color="auto"/>
              <w:left w:val="single" w:sz="4" w:space="0" w:color="auto"/>
              <w:bottom w:val="single" w:sz="4" w:space="0" w:color="auto"/>
              <w:right w:val="single" w:sz="4" w:space="0" w:color="auto"/>
            </w:tcBorders>
            <w:hideMark/>
          </w:tcPr>
          <w:p w14:paraId="32C7A31B" w14:textId="77777777" w:rsidR="00E80F28" w:rsidRDefault="00E80F28" w:rsidP="00E80F28">
            <w:pPr>
              <w:jc w:val="center"/>
              <w:rPr>
                <w:sz w:val="20"/>
                <w:szCs w:val="20"/>
              </w:rPr>
            </w:pPr>
            <w:r>
              <w:rPr>
                <w:sz w:val="20"/>
                <w:szCs w:val="20"/>
              </w:rPr>
              <w:t>6</w:t>
            </w:r>
          </w:p>
        </w:tc>
      </w:tr>
      <w:tr w:rsidR="00E80F28" w14:paraId="01C67F60" w14:textId="77777777" w:rsidTr="00E80F28">
        <w:tc>
          <w:tcPr>
            <w:tcW w:w="708" w:type="dxa"/>
            <w:tcBorders>
              <w:top w:val="nil"/>
              <w:left w:val="single" w:sz="6" w:space="0" w:color="000000"/>
              <w:bottom w:val="single" w:sz="4" w:space="0" w:color="auto"/>
              <w:right w:val="single" w:sz="6" w:space="0" w:color="000000"/>
            </w:tcBorders>
          </w:tcPr>
          <w:p w14:paraId="4CD0B25A" w14:textId="77777777" w:rsidR="00E80F28" w:rsidRDefault="00E80F28" w:rsidP="00E80F28">
            <w:pPr>
              <w:pStyle w:val="naisc"/>
              <w:spacing w:before="0" w:after="0"/>
            </w:pPr>
          </w:p>
        </w:tc>
        <w:tc>
          <w:tcPr>
            <w:tcW w:w="3086" w:type="dxa"/>
            <w:tcBorders>
              <w:top w:val="nil"/>
              <w:left w:val="single" w:sz="6" w:space="0" w:color="000000"/>
              <w:bottom w:val="single" w:sz="4" w:space="0" w:color="auto"/>
              <w:right w:val="single" w:sz="6" w:space="0" w:color="000000"/>
            </w:tcBorders>
          </w:tcPr>
          <w:p w14:paraId="7D57137D" w14:textId="77777777" w:rsidR="00E80F28" w:rsidRDefault="00E80F28" w:rsidP="00E80F28">
            <w:pPr>
              <w:pStyle w:val="naisc"/>
              <w:spacing w:before="0" w:after="0"/>
            </w:pPr>
          </w:p>
        </w:tc>
        <w:tc>
          <w:tcPr>
            <w:tcW w:w="3118" w:type="dxa"/>
            <w:tcBorders>
              <w:top w:val="nil"/>
              <w:left w:val="single" w:sz="6" w:space="0" w:color="000000"/>
              <w:bottom w:val="single" w:sz="4" w:space="0" w:color="auto"/>
              <w:right w:val="single" w:sz="6" w:space="0" w:color="000000"/>
            </w:tcBorders>
          </w:tcPr>
          <w:p w14:paraId="109398BA" w14:textId="77777777" w:rsidR="00E80F28" w:rsidRDefault="00E80F28" w:rsidP="00E80F28">
            <w:pPr>
              <w:pStyle w:val="naisc"/>
              <w:spacing w:before="0" w:after="0"/>
            </w:pPr>
          </w:p>
        </w:tc>
        <w:tc>
          <w:tcPr>
            <w:tcW w:w="2977" w:type="dxa"/>
            <w:tcBorders>
              <w:top w:val="nil"/>
              <w:left w:val="single" w:sz="6" w:space="0" w:color="000000"/>
              <w:bottom w:val="single" w:sz="4" w:space="0" w:color="auto"/>
              <w:right w:val="single" w:sz="6" w:space="0" w:color="000000"/>
            </w:tcBorders>
          </w:tcPr>
          <w:p w14:paraId="0956C3DB" w14:textId="77777777" w:rsidR="00E80F28" w:rsidRDefault="00E80F28" w:rsidP="00E80F28">
            <w:pPr>
              <w:pStyle w:val="naisc"/>
              <w:spacing w:before="0" w:after="0"/>
            </w:pPr>
          </w:p>
        </w:tc>
        <w:tc>
          <w:tcPr>
            <w:tcW w:w="2459" w:type="dxa"/>
            <w:tcBorders>
              <w:top w:val="single" w:sz="4" w:space="0" w:color="auto"/>
              <w:left w:val="single" w:sz="4" w:space="0" w:color="auto"/>
              <w:bottom w:val="single" w:sz="4" w:space="0" w:color="auto"/>
              <w:right w:val="single" w:sz="4" w:space="0" w:color="auto"/>
            </w:tcBorders>
          </w:tcPr>
          <w:p w14:paraId="60A46972" w14:textId="77777777" w:rsidR="00E80F28" w:rsidRDefault="00E80F28" w:rsidP="00E80F28"/>
        </w:tc>
        <w:tc>
          <w:tcPr>
            <w:tcW w:w="1920" w:type="dxa"/>
            <w:tcBorders>
              <w:top w:val="single" w:sz="4" w:space="0" w:color="auto"/>
              <w:left w:val="single" w:sz="4" w:space="0" w:color="auto"/>
              <w:bottom w:val="single" w:sz="4" w:space="0" w:color="auto"/>
              <w:right w:val="single" w:sz="4" w:space="0" w:color="auto"/>
            </w:tcBorders>
          </w:tcPr>
          <w:p w14:paraId="1E6E1FCB" w14:textId="77777777" w:rsidR="00E80F28" w:rsidRDefault="00E80F28" w:rsidP="00E80F28"/>
        </w:tc>
      </w:tr>
      <w:tr w:rsidR="00E80F28" w14:paraId="65004657" w14:textId="77777777" w:rsidTr="00E80F28">
        <w:tc>
          <w:tcPr>
            <w:tcW w:w="708" w:type="dxa"/>
            <w:tcBorders>
              <w:top w:val="nil"/>
              <w:left w:val="single" w:sz="6" w:space="0" w:color="000000"/>
              <w:bottom w:val="single" w:sz="4" w:space="0" w:color="auto"/>
              <w:right w:val="single" w:sz="6" w:space="0" w:color="000000"/>
            </w:tcBorders>
          </w:tcPr>
          <w:p w14:paraId="37112412" w14:textId="77777777" w:rsidR="00E80F28" w:rsidRDefault="00E80F28" w:rsidP="00E80F28">
            <w:pPr>
              <w:pStyle w:val="naisc"/>
              <w:spacing w:before="0" w:after="0"/>
            </w:pPr>
          </w:p>
        </w:tc>
        <w:tc>
          <w:tcPr>
            <w:tcW w:w="3086" w:type="dxa"/>
            <w:tcBorders>
              <w:top w:val="nil"/>
              <w:left w:val="single" w:sz="6" w:space="0" w:color="000000"/>
              <w:bottom w:val="single" w:sz="4" w:space="0" w:color="auto"/>
              <w:right w:val="single" w:sz="6" w:space="0" w:color="000000"/>
            </w:tcBorders>
          </w:tcPr>
          <w:p w14:paraId="27A1A81A" w14:textId="77777777" w:rsidR="00E80F28" w:rsidRDefault="00E80F28" w:rsidP="00E80F28">
            <w:pPr>
              <w:pStyle w:val="naisc"/>
              <w:spacing w:before="0" w:after="0"/>
            </w:pPr>
          </w:p>
        </w:tc>
        <w:tc>
          <w:tcPr>
            <w:tcW w:w="3118" w:type="dxa"/>
            <w:tcBorders>
              <w:top w:val="nil"/>
              <w:left w:val="single" w:sz="6" w:space="0" w:color="000000"/>
              <w:bottom w:val="single" w:sz="4" w:space="0" w:color="auto"/>
              <w:right w:val="single" w:sz="6" w:space="0" w:color="000000"/>
            </w:tcBorders>
          </w:tcPr>
          <w:p w14:paraId="7FBAA497" w14:textId="77777777" w:rsidR="00E80F28" w:rsidRDefault="00E80F28" w:rsidP="00E80F28">
            <w:pPr>
              <w:pStyle w:val="naisc"/>
              <w:spacing w:before="0" w:after="0"/>
            </w:pPr>
          </w:p>
        </w:tc>
        <w:tc>
          <w:tcPr>
            <w:tcW w:w="2977" w:type="dxa"/>
            <w:tcBorders>
              <w:top w:val="nil"/>
              <w:left w:val="single" w:sz="6" w:space="0" w:color="000000"/>
              <w:bottom w:val="single" w:sz="4" w:space="0" w:color="auto"/>
              <w:right w:val="single" w:sz="6" w:space="0" w:color="000000"/>
            </w:tcBorders>
          </w:tcPr>
          <w:p w14:paraId="36492912" w14:textId="77777777" w:rsidR="00E80F28" w:rsidRDefault="00E80F28" w:rsidP="00E80F28">
            <w:pPr>
              <w:pStyle w:val="naisc"/>
              <w:spacing w:before="0" w:after="0"/>
            </w:pPr>
          </w:p>
        </w:tc>
        <w:tc>
          <w:tcPr>
            <w:tcW w:w="2459" w:type="dxa"/>
            <w:tcBorders>
              <w:top w:val="single" w:sz="4" w:space="0" w:color="auto"/>
              <w:left w:val="single" w:sz="4" w:space="0" w:color="auto"/>
              <w:bottom w:val="single" w:sz="4" w:space="0" w:color="auto"/>
              <w:right w:val="single" w:sz="4" w:space="0" w:color="auto"/>
            </w:tcBorders>
          </w:tcPr>
          <w:p w14:paraId="2FB966E4" w14:textId="77777777" w:rsidR="00E80F28" w:rsidRDefault="00E80F28" w:rsidP="00E80F28"/>
        </w:tc>
        <w:tc>
          <w:tcPr>
            <w:tcW w:w="1920" w:type="dxa"/>
            <w:tcBorders>
              <w:top w:val="single" w:sz="4" w:space="0" w:color="auto"/>
              <w:left w:val="single" w:sz="4" w:space="0" w:color="auto"/>
              <w:bottom w:val="single" w:sz="4" w:space="0" w:color="auto"/>
              <w:right w:val="single" w:sz="4" w:space="0" w:color="auto"/>
            </w:tcBorders>
          </w:tcPr>
          <w:p w14:paraId="76ACFA03" w14:textId="77777777" w:rsidR="00E80F28" w:rsidRDefault="00E80F28" w:rsidP="00E80F28"/>
        </w:tc>
      </w:tr>
    </w:tbl>
    <w:p w14:paraId="56975E2E" w14:textId="77777777" w:rsidR="00E80F28" w:rsidRDefault="00E80F28" w:rsidP="00E80F28">
      <w:pPr>
        <w:pStyle w:val="naisf"/>
        <w:spacing w:before="0" w:after="0"/>
        <w:ind w:firstLine="0"/>
      </w:pPr>
    </w:p>
    <w:p w14:paraId="0804FE1B" w14:textId="77777777" w:rsidR="00E80F28" w:rsidRDefault="00E80F28" w:rsidP="00E80F28">
      <w:pPr>
        <w:pStyle w:val="naisf"/>
        <w:spacing w:before="0" w:after="0"/>
        <w:ind w:firstLine="0"/>
        <w:rPr>
          <w:b/>
        </w:rPr>
      </w:pPr>
      <w:r>
        <w:rPr>
          <w:b/>
        </w:rPr>
        <w:t xml:space="preserve">Informācija par </w:t>
      </w:r>
      <w:proofErr w:type="spellStart"/>
      <w:r>
        <w:rPr>
          <w:b/>
        </w:rPr>
        <w:t>starpministriju</w:t>
      </w:r>
      <w:proofErr w:type="spellEnd"/>
      <w:r>
        <w:rPr>
          <w:b/>
        </w:rPr>
        <w:t xml:space="preserve"> (starpinstitūciju) sanāksmi vai elektronisko saskaņošanu</w:t>
      </w:r>
    </w:p>
    <w:p w14:paraId="4294FACB" w14:textId="77777777" w:rsidR="00E80F28" w:rsidRDefault="00E80F28" w:rsidP="00E80F28">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E80F28" w14:paraId="08A681A4" w14:textId="77777777" w:rsidTr="00E80F28">
        <w:tc>
          <w:tcPr>
            <w:tcW w:w="6345" w:type="dxa"/>
            <w:hideMark/>
          </w:tcPr>
          <w:p w14:paraId="6866254B" w14:textId="77777777" w:rsidR="00E80F28" w:rsidRDefault="00E80F28" w:rsidP="00E80F28">
            <w:pPr>
              <w:pStyle w:val="naisf"/>
              <w:spacing w:before="0" w:after="0"/>
              <w:ind w:firstLine="0"/>
            </w:pPr>
            <w:r>
              <w:t>Datums</w:t>
            </w:r>
          </w:p>
        </w:tc>
        <w:tc>
          <w:tcPr>
            <w:tcW w:w="6237" w:type="dxa"/>
            <w:gridSpan w:val="2"/>
            <w:tcBorders>
              <w:top w:val="nil"/>
              <w:left w:val="nil"/>
              <w:bottom w:val="single" w:sz="4" w:space="0" w:color="auto"/>
              <w:right w:val="nil"/>
            </w:tcBorders>
          </w:tcPr>
          <w:p w14:paraId="31B1AF80" w14:textId="77777777" w:rsidR="00E80F28" w:rsidRDefault="00E80F28" w:rsidP="00E80F28">
            <w:pPr>
              <w:pStyle w:val="NormalWeb"/>
              <w:spacing w:before="0" w:beforeAutospacing="0" w:after="0" w:afterAutospacing="0"/>
            </w:pPr>
            <w:r>
              <w:t>2019. gada 30. septembris</w:t>
            </w:r>
          </w:p>
        </w:tc>
      </w:tr>
      <w:tr w:rsidR="00E80F28" w14:paraId="5C3FC6E6" w14:textId="77777777" w:rsidTr="00E80F28">
        <w:tc>
          <w:tcPr>
            <w:tcW w:w="6345" w:type="dxa"/>
          </w:tcPr>
          <w:p w14:paraId="76C836A2" w14:textId="77777777" w:rsidR="00E80F28" w:rsidRDefault="00E80F28" w:rsidP="00E80F28">
            <w:pPr>
              <w:pStyle w:val="naisf"/>
              <w:spacing w:before="0" w:after="0"/>
              <w:ind w:firstLine="0"/>
            </w:pPr>
          </w:p>
        </w:tc>
        <w:tc>
          <w:tcPr>
            <w:tcW w:w="6237" w:type="dxa"/>
            <w:gridSpan w:val="2"/>
            <w:tcBorders>
              <w:top w:val="single" w:sz="4" w:space="0" w:color="auto"/>
              <w:left w:val="nil"/>
              <w:bottom w:val="nil"/>
              <w:right w:val="nil"/>
            </w:tcBorders>
          </w:tcPr>
          <w:p w14:paraId="79E4DEAF" w14:textId="77777777" w:rsidR="00E80F28" w:rsidRDefault="00E80F28" w:rsidP="00E80F28">
            <w:pPr>
              <w:pStyle w:val="NormalWeb"/>
              <w:spacing w:before="0" w:beforeAutospacing="0" w:after="0" w:afterAutospacing="0"/>
            </w:pPr>
          </w:p>
        </w:tc>
      </w:tr>
      <w:tr w:rsidR="00E80F28" w14:paraId="7693790E" w14:textId="77777777" w:rsidTr="00E80F28">
        <w:tc>
          <w:tcPr>
            <w:tcW w:w="6345" w:type="dxa"/>
            <w:hideMark/>
          </w:tcPr>
          <w:p w14:paraId="15BE51FB" w14:textId="77777777" w:rsidR="00E80F28" w:rsidRDefault="00E80F28" w:rsidP="00E80F28">
            <w:pPr>
              <w:pStyle w:val="naiskr"/>
              <w:spacing w:before="0" w:after="0"/>
            </w:pPr>
            <w:r>
              <w:t>Saskaņošanas dalībnieki</w:t>
            </w:r>
          </w:p>
        </w:tc>
        <w:tc>
          <w:tcPr>
            <w:tcW w:w="6237" w:type="dxa"/>
            <w:gridSpan w:val="2"/>
          </w:tcPr>
          <w:p w14:paraId="415BB74A" w14:textId="77777777" w:rsidR="00E80F28" w:rsidRDefault="00E80F28" w:rsidP="00E80F28">
            <w:pPr>
              <w:pStyle w:val="NormalWeb"/>
              <w:spacing w:before="0" w:beforeAutospacing="0" w:after="0" w:afterAutospacing="0"/>
            </w:pPr>
            <w:r>
              <w:t>Finanšu ministrija, Tieslietu ministrija</w:t>
            </w:r>
          </w:p>
        </w:tc>
      </w:tr>
      <w:tr w:rsidR="00E80F28" w14:paraId="13C1A24F" w14:textId="77777777" w:rsidTr="00E80F28">
        <w:tc>
          <w:tcPr>
            <w:tcW w:w="6345" w:type="dxa"/>
            <w:hideMark/>
          </w:tcPr>
          <w:p w14:paraId="129812DD" w14:textId="77777777" w:rsidR="00E80F28" w:rsidRDefault="00E80F28" w:rsidP="00E80F28">
            <w:pPr>
              <w:pStyle w:val="naiskr"/>
              <w:spacing w:before="0" w:after="0"/>
            </w:pPr>
            <w:r>
              <w:t>  </w:t>
            </w:r>
          </w:p>
        </w:tc>
        <w:tc>
          <w:tcPr>
            <w:tcW w:w="6237" w:type="dxa"/>
            <w:gridSpan w:val="2"/>
            <w:tcBorders>
              <w:top w:val="single" w:sz="6" w:space="0" w:color="000000"/>
              <w:left w:val="nil"/>
              <w:bottom w:val="single" w:sz="6" w:space="0" w:color="000000"/>
              <w:right w:val="nil"/>
            </w:tcBorders>
          </w:tcPr>
          <w:p w14:paraId="6F1856AA" w14:textId="77777777" w:rsidR="00E80F28" w:rsidRDefault="00E80F28" w:rsidP="00E80F28">
            <w:pPr>
              <w:pStyle w:val="naiskr"/>
              <w:spacing w:before="0" w:after="0"/>
            </w:pPr>
          </w:p>
        </w:tc>
      </w:tr>
      <w:tr w:rsidR="00E80F28" w14:paraId="4744F760" w14:textId="77777777" w:rsidTr="00E80F28">
        <w:trPr>
          <w:trHeight w:val="285"/>
        </w:trPr>
        <w:tc>
          <w:tcPr>
            <w:tcW w:w="6345" w:type="dxa"/>
          </w:tcPr>
          <w:p w14:paraId="067C6F91" w14:textId="77777777" w:rsidR="00E80F28" w:rsidRDefault="00E80F28" w:rsidP="00E80F28">
            <w:pPr>
              <w:pStyle w:val="naiskr"/>
              <w:spacing w:before="0" w:after="0"/>
            </w:pPr>
          </w:p>
        </w:tc>
        <w:tc>
          <w:tcPr>
            <w:tcW w:w="1203" w:type="dxa"/>
          </w:tcPr>
          <w:p w14:paraId="6ED0D05C" w14:textId="77777777" w:rsidR="00E80F28" w:rsidRDefault="00E80F28" w:rsidP="00E80F28">
            <w:pPr>
              <w:pStyle w:val="naiskr"/>
              <w:spacing w:before="0" w:after="0"/>
            </w:pPr>
          </w:p>
        </w:tc>
        <w:tc>
          <w:tcPr>
            <w:tcW w:w="5034" w:type="dxa"/>
          </w:tcPr>
          <w:p w14:paraId="5BD64C96" w14:textId="77777777" w:rsidR="00E80F28" w:rsidRDefault="00E80F28" w:rsidP="00E80F28">
            <w:pPr>
              <w:pStyle w:val="naiskr"/>
              <w:spacing w:before="0" w:after="0"/>
            </w:pPr>
          </w:p>
        </w:tc>
      </w:tr>
    </w:tbl>
    <w:p w14:paraId="3BD2F265" w14:textId="77777777" w:rsidR="00E80F28" w:rsidRDefault="00E80F28" w:rsidP="00E80F28">
      <w:r>
        <w:br w:type="page"/>
      </w:r>
    </w:p>
    <w:tbl>
      <w:tblPr>
        <w:tblW w:w="12582" w:type="dxa"/>
        <w:tblLook w:val="00A0" w:firstRow="1" w:lastRow="0" w:firstColumn="1" w:lastColumn="0" w:noHBand="0" w:noVBand="0"/>
      </w:tblPr>
      <w:tblGrid>
        <w:gridCol w:w="6708"/>
        <w:gridCol w:w="840"/>
        <w:gridCol w:w="5034"/>
      </w:tblGrid>
      <w:tr w:rsidR="00E80F28" w14:paraId="7CFF70E6" w14:textId="77777777" w:rsidTr="00E80F28">
        <w:trPr>
          <w:trHeight w:val="285"/>
        </w:trPr>
        <w:tc>
          <w:tcPr>
            <w:tcW w:w="6708" w:type="dxa"/>
            <w:hideMark/>
          </w:tcPr>
          <w:p w14:paraId="26A9E256" w14:textId="77777777" w:rsidR="00E80F28" w:rsidRDefault="00E80F28" w:rsidP="00E80F28">
            <w:pPr>
              <w:pStyle w:val="naiskr"/>
              <w:spacing w:before="0" w:after="0"/>
            </w:pPr>
            <w:r>
              <w:lastRenderedPageBreak/>
              <w:t>Saskaņošanas dalībnieki izskatīja šādu ministriju (citu institūciju) iebildumus</w:t>
            </w:r>
          </w:p>
        </w:tc>
        <w:tc>
          <w:tcPr>
            <w:tcW w:w="840" w:type="dxa"/>
          </w:tcPr>
          <w:p w14:paraId="5E5CC852" w14:textId="77777777" w:rsidR="00E80F28" w:rsidRDefault="00E80F28" w:rsidP="00E80F28">
            <w:pPr>
              <w:pStyle w:val="naiskr"/>
              <w:spacing w:before="0" w:after="0"/>
            </w:pPr>
          </w:p>
        </w:tc>
        <w:tc>
          <w:tcPr>
            <w:tcW w:w="5034" w:type="dxa"/>
          </w:tcPr>
          <w:p w14:paraId="287DCBC8" w14:textId="77777777" w:rsidR="00E80F28" w:rsidRDefault="00E80F28" w:rsidP="00E80F28">
            <w:pPr>
              <w:pStyle w:val="naiskr"/>
              <w:spacing w:before="0" w:after="0"/>
            </w:pPr>
          </w:p>
        </w:tc>
      </w:tr>
      <w:tr w:rsidR="00E80F28" w14:paraId="35D9E2D3" w14:textId="77777777" w:rsidTr="00E80F28">
        <w:trPr>
          <w:trHeight w:val="465"/>
        </w:trPr>
        <w:tc>
          <w:tcPr>
            <w:tcW w:w="6708" w:type="dxa"/>
            <w:hideMark/>
          </w:tcPr>
          <w:p w14:paraId="6E9B1F10" w14:textId="77777777" w:rsidR="00E80F28" w:rsidRDefault="00E80F28" w:rsidP="00E80F28">
            <w:pPr>
              <w:pStyle w:val="naiskr"/>
              <w:spacing w:before="0" w:after="0"/>
            </w:pPr>
            <w:r>
              <w:t>  </w:t>
            </w:r>
          </w:p>
        </w:tc>
        <w:tc>
          <w:tcPr>
            <w:tcW w:w="5874" w:type="dxa"/>
            <w:gridSpan w:val="2"/>
            <w:tcBorders>
              <w:top w:val="single" w:sz="6" w:space="0" w:color="000000"/>
              <w:left w:val="nil"/>
              <w:bottom w:val="single" w:sz="6" w:space="0" w:color="000000"/>
              <w:right w:val="nil"/>
            </w:tcBorders>
          </w:tcPr>
          <w:p w14:paraId="50039E39" w14:textId="77777777" w:rsidR="00E80F28" w:rsidRDefault="00E80F28" w:rsidP="00E80F28">
            <w:pPr>
              <w:pStyle w:val="NormalWeb"/>
              <w:spacing w:before="0" w:beforeAutospacing="0" w:after="0" w:afterAutospacing="0"/>
            </w:pPr>
          </w:p>
        </w:tc>
      </w:tr>
      <w:tr w:rsidR="00E80F28" w14:paraId="53EFF55F" w14:textId="77777777" w:rsidTr="00E80F28">
        <w:trPr>
          <w:trHeight w:val="465"/>
        </w:trPr>
        <w:tc>
          <w:tcPr>
            <w:tcW w:w="12582" w:type="dxa"/>
            <w:gridSpan w:val="3"/>
          </w:tcPr>
          <w:p w14:paraId="02DF84A2" w14:textId="77777777" w:rsidR="00E80F28" w:rsidRDefault="00E80F28" w:rsidP="00E80F28">
            <w:pPr>
              <w:pStyle w:val="naisc"/>
              <w:spacing w:before="0" w:after="0"/>
            </w:pPr>
          </w:p>
        </w:tc>
      </w:tr>
      <w:tr w:rsidR="00E80F28" w14:paraId="04C26E9A" w14:textId="77777777" w:rsidTr="00E80F28">
        <w:tc>
          <w:tcPr>
            <w:tcW w:w="6708" w:type="dxa"/>
            <w:hideMark/>
          </w:tcPr>
          <w:p w14:paraId="37A51209" w14:textId="77777777" w:rsidR="00E80F28" w:rsidRDefault="00E80F28" w:rsidP="00E80F28">
            <w:pPr>
              <w:pStyle w:val="naiskr"/>
              <w:spacing w:before="0" w:after="0"/>
            </w:pPr>
            <w:r>
              <w:t>Ministrijas (citas institūcijas), kuras nav ieradušās uz sanāksmi vai kuras nav atbildējušas uz uzaicinājumu piedalīties elektroniskajā saskaņošanā</w:t>
            </w:r>
          </w:p>
        </w:tc>
        <w:tc>
          <w:tcPr>
            <w:tcW w:w="5874" w:type="dxa"/>
            <w:gridSpan w:val="2"/>
          </w:tcPr>
          <w:p w14:paraId="52B1A98D" w14:textId="77777777" w:rsidR="00E80F28" w:rsidRDefault="00E80F28" w:rsidP="00E80F28">
            <w:pPr>
              <w:pStyle w:val="naiskr"/>
              <w:spacing w:before="0" w:after="0"/>
            </w:pPr>
          </w:p>
        </w:tc>
      </w:tr>
      <w:tr w:rsidR="00E80F28" w14:paraId="360A6340" w14:textId="77777777" w:rsidTr="00E80F28">
        <w:tc>
          <w:tcPr>
            <w:tcW w:w="6708" w:type="dxa"/>
            <w:hideMark/>
          </w:tcPr>
          <w:p w14:paraId="3219BE65" w14:textId="77777777" w:rsidR="00E80F28" w:rsidRDefault="00E80F28" w:rsidP="00E80F28">
            <w:pPr>
              <w:pStyle w:val="naiskr"/>
              <w:spacing w:before="0" w:after="0"/>
            </w:pPr>
            <w:r>
              <w:t>  </w:t>
            </w:r>
          </w:p>
        </w:tc>
        <w:tc>
          <w:tcPr>
            <w:tcW w:w="5874" w:type="dxa"/>
            <w:gridSpan w:val="2"/>
            <w:tcBorders>
              <w:top w:val="single" w:sz="6" w:space="0" w:color="000000"/>
              <w:left w:val="nil"/>
              <w:bottom w:val="single" w:sz="6" w:space="0" w:color="000000"/>
              <w:right w:val="nil"/>
            </w:tcBorders>
          </w:tcPr>
          <w:p w14:paraId="20AA083A" w14:textId="77777777" w:rsidR="00E80F28" w:rsidRDefault="00E80F28" w:rsidP="00E80F28">
            <w:pPr>
              <w:pStyle w:val="naiskr"/>
              <w:spacing w:before="0" w:after="0"/>
            </w:pPr>
          </w:p>
        </w:tc>
      </w:tr>
      <w:tr w:rsidR="00E80F28" w14:paraId="7EE507C5" w14:textId="77777777" w:rsidTr="00E80F28">
        <w:tc>
          <w:tcPr>
            <w:tcW w:w="6708" w:type="dxa"/>
            <w:hideMark/>
          </w:tcPr>
          <w:p w14:paraId="478E6158" w14:textId="77777777" w:rsidR="00E80F28" w:rsidRDefault="00E80F28" w:rsidP="00E80F28">
            <w:pPr>
              <w:pStyle w:val="naiskr"/>
              <w:spacing w:before="0" w:after="0"/>
            </w:pPr>
            <w:r>
              <w:t>  </w:t>
            </w:r>
          </w:p>
        </w:tc>
        <w:tc>
          <w:tcPr>
            <w:tcW w:w="5874" w:type="dxa"/>
            <w:gridSpan w:val="2"/>
            <w:tcBorders>
              <w:top w:val="nil"/>
              <w:left w:val="nil"/>
              <w:bottom w:val="single" w:sz="6" w:space="0" w:color="000000"/>
              <w:right w:val="nil"/>
            </w:tcBorders>
          </w:tcPr>
          <w:p w14:paraId="3C3957AB" w14:textId="77777777" w:rsidR="00E80F28" w:rsidRDefault="00E80F28" w:rsidP="00E80F28">
            <w:pPr>
              <w:pStyle w:val="naiskr"/>
              <w:spacing w:before="0" w:after="0"/>
            </w:pPr>
          </w:p>
        </w:tc>
      </w:tr>
    </w:tbl>
    <w:p w14:paraId="336809CD" w14:textId="77777777" w:rsidR="00E80F28" w:rsidRDefault="00E80F28" w:rsidP="00E80F28">
      <w:pPr>
        <w:pStyle w:val="naisf"/>
        <w:spacing w:before="0" w:after="0"/>
        <w:ind w:firstLine="0"/>
      </w:pPr>
    </w:p>
    <w:p w14:paraId="394CD36B" w14:textId="77777777" w:rsidR="00E80F28" w:rsidRDefault="00E80F28" w:rsidP="00E80F28">
      <w:pPr>
        <w:pStyle w:val="naisf"/>
        <w:spacing w:before="0" w:after="0"/>
        <w:ind w:firstLine="0"/>
        <w:jc w:val="center"/>
        <w:rPr>
          <w:b/>
        </w:rPr>
      </w:pPr>
      <w:r>
        <w:rPr>
          <w:b/>
        </w:rPr>
        <w:t>II. Jautājumi, par kuriem saskaņošanā vienošanās ir panākta</w:t>
      </w:r>
    </w:p>
    <w:p w14:paraId="53577075" w14:textId="77777777" w:rsidR="00E80F28" w:rsidRDefault="00E80F28" w:rsidP="00E80F28">
      <w:pPr>
        <w:pStyle w:val="naisf"/>
        <w:spacing w:before="0" w:after="0"/>
        <w:ind w:firstLine="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570"/>
        <w:gridCol w:w="4252"/>
        <w:gridCol w:w="1357"/>
        <w:gridCol w:w="2754"/>
        <w:gridCol w:w="2951"/>
      </w:tblGrid>
      <w:tr w:rsidR="00E80F28" w14:paraId="7C8066F7" w14:textId="77777777" w:rsidTr="00913C0C">
        <w:tc>
          <w:tcPr>
            <w:tcW w:w="708" w:type="dxa"/>
            <w:tcBorders>
              <w:top w:val="single" w:sz="6" w:space="0" w:color="000000"/>
              <w:left w:val="single" w:sz="6" w:space="0" w:color="000000"/>
              <w:bottom w:val="single" w:sz="6" w:space="0" w:color="000000"/>
              <w:right w:val="single" w:sz="6" w:space="0" w:color="000000"/>
            </w:tcBorders>
            <w:vAlign w:val="center"/>
            <w:hideMark/>
          </w:tcPr>
          <w:p w14:paraId="5C82285F" w14:textId="77777777" w:rsidR="00E80F28" w:rsidRDefault="00E80F28" w:rsidP="00E80F28">
            <w:pPr>
              <w:pStyle w:val="naisc"/>
              <w:spacing w:before="0" w:after="0"/>
            </w:pPr>
            <w:r>
              <w:t>Nr. p.k.</w:t>
            </w:r>
          </w:p>
        </w:tc>
        <w:tc>
          <w:tcPr>
            <w:tcW w:w="2970" w:type="dxa"/>
            <w:gridSpan w:val="2"/>
            <w:tcBorders>
              <w:top w:val="single" w:sz="6" w:space="0" w:color="000000"/>
              <w:left w:val="single" w:sz="6" w:space="0" w:color="000000"/>
              <w:bottom w:val="single" w:sz="6" w:space="0" w:color="000000"/>
              <w:right w:val="single" w:sz="6" w:space="0" w:color="000000"/>
            </w:tcBorders>
            <w:vAlign w:val="center"/>
            <w:hideMark/>
          </w:tcPr>
          <w:p w14:paraId="0853A59F" w14:textId="77777777" w:rsidR="00E80F28" w:rsidRDefault="00E80F28" w:rsidP="00E80F28">
            <w:pPr>
              <w:pStyle w:val="naisc"/>
              <w:spacing w:before="0" w:after="0"/>
            </w:pPr>
            <w:r>
              <w:t>Saskaņošanai nosūtītā projekta redakcija (konkrēta punkta (panta) redakcija)</w:t>
            </w:r>
          </w:p>
        </w:tc>
        <w:tc>
          <w:tcPr>
            <w:tcW w:w="4252" w:type="dxa"/>
            <w:tcBorders>
              <w:top w:val="single" w:sz="6" w:space="0" w:color="000000"/>
              <w:left w:val="single" w:sz="6" w:space="0" w:color="000000"/>
              <w:bottom w:val="single" w:sz="6" w:space="0" w:color="000000"/>
              <w:right w:val="single" w:sz="6" w:space="0" w:color="000000"/>
            </w:tcBorders>
            <w:vAlign w:val="center"/>
            <w:hideMark/>
          </w:tcPr>
          <w:p w14:paraId="0C0587D3" w14:textId="77777777" w:rsidR="00E80F28" w:rsidRDefault="00E80F28" w:rsidP="00E80F28">
            <w:pPr>
              <w:pStyle w:val="naisc"/>
              <w:spacing w:before="0" w:after="0"/>
              <w:ind w:right="3"/>
            </w:pPr>
            <w:r>
              <w:t>Atzinumā norādītais ministrijas (citas institūcijas) iebildums, kā arī saskaņošanā papildus izteiktais iebildums par projekta konkrēto punktu (pantu)</w:t>
            </w:r>
          </w:p>
        </w:tc>
        <w:tc>
          <w:tcPr>
            <w:tcW w:w="4111" w:type="dxa"/>
            <w:gridSpan w:val="2"/>
            <w:tcBorders>
              <w:top w:val="single" w:sz="6" w:space="0" w:color="000000"/>
              <w:left w:val="single" w:sz="6" w:space="0" w:color="000000"/>
              <w:bottom w:val="single" w:sz="6" w:space="0" w:color="000000"/>
              <w:right w:val="single" w:sz="6" w:space="0" w:color="000000"/>
            </w:tcBorders>
            <w:vAlign w:val="center"/>
            <w:hideMark/>
          </w:tcPr>
          <w:p w14:paraId="4B3872EF" w14:textId="77777777" w:rsidR="00E80F28" w:rsidRDefault="00E80F28" w:rsidP="00E80F28">
            <w:pPr>
              <w:pStyle w:val="naisc"/>
              <w:spacing w:before="0" w:after="0"/>
            </w:pPr>
            <w:r>
              <w:t>Atbildīgās ministrijas norāde par to, ka iebildums ir ņemts vērā, vai informācija par saskaņošanā panākto alternatīvo risinājumu</w:t>
            </w:r>
          </w:p>
        </w:tc>
        <w:tc>
          <w:tcPr>
            <w:tcW w:w="2951" w:type="dxa"/>
            <w:tcBorders>
              <w:top w:val="single" w:sz="4" w:space="0" w:color="auto"/>
              <w:left w:val="single" w:sz="4" w:space="0" w:color="auto"/>
              <w:bottom w:val="single" w:sz="4" w:space="0" w:color="auto"/>
              <w:right w:val="single" w:sz="4" w:space="0" w:color="auto"/>
            </w:tcBorders>
            <w:vAlign w:val="center"/>
            <w:hideMark/>
          </w:tcPr>
          <w:p w14:paraId="4F9E0707" w14:textId="77777777" w:rsidR="00E80F28" w:rsidRDefault="00E80F28" w:rsidP="00E80F28">
            <w:pPr>
              <w:jc w:val="center"/>
            </w:pPr>
            <w:r>
              <w:t>Projekta attiecīgā punkta (panta) galīgā redakcija</w:t>
            </w:r>
          </w:p>
        </w:tc>
      </w:tr>
      <w:tr w:rsidR="00E80F28" w14:paraId="62C43CB7" w14:textId="77777777" w:rsidTr="00913C0C">
        <w:tc>
          <w:tcPr>
            <w:tcW w:w="708" w:type="dxa"/>
            <w:tcBorders>
              <w:top w:val="single" w:sz="6" w:space="0" w:color="000000"/>
              <w:left w:val="single" w:sz="6" w:space="0" w:color="000000"/>
              <w:bottom w:val="single" w:sz="6" w:space="0" w:color="000000"/>
              <w:right w:val="single" w:sz="6" w:space="0" w:color="000000"/>
            </w:tcBorders>
            <w:hideMark/>
          </w:tcPr>
          <w:p w14:paraId="64FB003F" w14:textId="77777777" w:rsidR="00E80F28" w:rsidRDefault="00E80F28" w:rsidP="00E80F28">
            <w:pPr>
              <w:pStyle w:val="naisc"/>
              <w:spacing w:before="0" w:after="0"/>
              <w:rPr>
                <w:sz w:val="20"/>
                <w:szCs w:val="20"/>
              </w:rPr>
            </w:pPr>
            <w:r>
              <w:rPr>
                <w:sz w:val="20"/>
                <w:szCs w:val="20"/>
              </w:rPr>
              <w:t>1</w:t>
            </w:r>
          </w:p>
        </w:tc>
        <w:tc>
          <w:tcPr>
            <w:tcW w:w="2970" w:type="dxa"/>
            <w:gridSpan w:val="2"/>
            <w:tcBorders>
              <w:top w:val="single" w:sz="6" w:space="0" w:color="000000"/>
              <w:left w:val="single" w:sz="6" w:space="0" w:color="000000"/>
              <w:bottom w:val="single" w:sz="6" w:space="0" w:color="000000"/>
              <w:right w:val="single" w:sz="6" w:space="0" w:color="000000"/>
            </w:tcBorders>
            <w:hideMark/>
          </w:tcPr>
          <w:p w14:paraId="0C456E18" w14:textId="77777777" w:rsidR="00E80F28" w:rsidRDefault="00E80F28" w:rsidP="00E80F28">
            <w:pPr>
              <w:pStyle w:val="naisc"/>
              <w:spacing w:before="0" w:after="0"/>
              <w:rPr>
                <w:sz w:val="20"/>
                <w:szCs w:val="20"/>
              </w:rPr>
            </w:pPr>
            <w:r>
              <w:rPr>
                <w:sz w:val="20"/>
                <w:szCs w:val="20"/>
              </w:rPr>
              <w:t>2</w:t>
            </w:r>
          </w:p>
        </w:tc>
        <w:tc>
          <w:tcPr>
            <w:tcW w:w="4252" w:type="dxa"/>
            <w:tcBorders>
              <w:top w:val="single" w:sz="6" w:space="0" w:color="000000"/>
              <w:left w:val="single" w:sz="6" w:space="0" w:color="000000"/>
              <w:bottom w:val="single" w:sz="6" w:space="0" w:color="000000"/>
              <w:right w:val="single" w:sz="6" w:space="0" w:color="000000"/>
            </w:tcBorders>
            <w:hideMark/>
          </w:tcPr>
          <w:p w14:paraId="5E9D5633" w14:textId="77777777" w:rsidR="00E80F28" w:rsidRDefault="00E80F28" w:rsidP="00E80F28">
            <w:pPr>
              <w:pStyle w:val="naisc"/>
              <w:spacing w:before="0" w:after="0"/>
              <w:rPr>
                <w:sz w:val="20"/>
                <w:szCs w:val="20"/>
              </w:rPr>
            </w:pPr>
            <w:r>
              <w:rPr>
                <w:sz w:val="20"/>
                <w:szCs w:val="20"/>
              </w:rPr>
              <w:t>3</w:t>
            </w:r>
          </w:p>
        </w:tc>
        <w:tc>
          <w:tcPr>
            <w:tcW w:w="4111" w:type="dxa"/>
            <w:gridSpan w:val="2"/>
            <w:tcBorders>
              <w:top w:val="single" w:sz="6" w:space="0" w:color="000000"/>
              <w:left w:val="single" w:sz="6" w:space="0" w:color="000000"/>
              <w:bottom w:val="single" w:sz="6" w:space="0" w:color="000000"/>
              <w:right w:val="single" w:sz="6" w:space="0" w:color="000000"/>
            </w:tcBorders>
            <w:hideMark/>
          </w:tcPr>
          <w:p w14:paraId="5500C74E" w14:textId="77777777" w:rsidR="00E80F28" w:rsidRDefault="00E80F28" w:rsidP="00E80F28">
            <w:pPr>
              <w:pStyle w:val="naisc"/>
              <w:spacing w:before="0" w:after="0"/>
              <w:rPr>
                <w:sz w:val="20"/>
                <w:szCs w:val="20"/>
              </w:rPr>
            </w:pPr>
            <w:r>
              <w:rPr>
                <w:sz w:val="20"/>
                <w:szCs w:val="20"/>
              </w:rPr>
              <w:t>4</w:t>
            </w:r>
          </w:p>
        </w:tc>
        <w:tc>
          <w:tcPr>
            <w:tcW w:w="2951" w:type="dxa"/>
            <w:tcBorders>
              <w:top w:val="single" w:sz="4" w:space="0" w:color="auto"/>
              <w:left w:val="single" w:sz="4" w:space="0" w:color="auto"/>
              <w:bottom w:val="single" w:sz="4" w:space="0" w:color="auto"/>
              <w:right w:val="single" w:sz="4" w:space="0" w:color="auto"/>
            </w:tcBorders>
            <w:hideMark/>
          </w:tcPr>
          <w:p w14:paraId="19EAE0F1" w14:textId="77777777" w:rsidR="00E80F28" w:rsidRDefault="00E80F28" w:rsidP="00E80F28">
            <w:pPr>
              <w:jc w:val="center"/>
              <w:rPr>
                <w:sz w:val="20"/>
                <w:szCs w:val="20"/>
              </w:rPr>
            </w:pPr>
            <w:r>
              <w:rPr>
                <w:sz w:val="20"/>
                <w:szCs w:val="20"/>
              </w:rPr>
              <w:t>5</w:t>
            </w:r>
          </w:p>
        </w:tc>
      </w:tr>
      <w:tr w:rsidR="00AF40A8" w14:paraId="2432BD51" w14:textId="77777777" w:rsidTr="00AF40A8">
        <w:tc>
          <w:tcPr>
            <w:tcW w:w="14992" w:type="dxa"/>
            <w:gridSpan w:val="7"/>
            <w:tcBorders>
              <w:top w:val="nil"/>
              <w:left w:val="single" w:sz="6" w:space="0" w:color="000000"/>
              <w:bottom w:val="single" w:sz="4" w:space="0" w:color="auto"/>
              <w:right w:val="single" w:sz="4" w:space="0" w:color="auto"/>
            </w:tcBorders>
            <w:shd w:val="clear" w:color="auto" w:fill="D0CECE" w:themeFill="background2" w:themeFillShade="E6"/>
          </w:tcPr>
          <w:p w14:paraId="1D5A170B" w14:textId="77777777" w:rsidR="00AF40A8" w:rsidRPr="00AF40A8" w:rsidRDefault="00AF40A8" w:rsidP="00AF40A8">
            <w:pPr>
              <w:jc w:val="center"/>
              <w:rPr>
                <w:b/>
              </w:rPr>
            </w:pPr>
            <w:r w:rsidRPr="00AF40A8">
              <w:rPr>
                <w:b/>
              </w:rPr>
              <w:t>IEBILDUMI</w:t>
            </w:r>
          </w:p>
        </w:tc>
      </w:tr>
      <w:tr w:rsidR="00AF40A8" w14:paraId="01654978" w14:textId="77777777" w:rsidTr="001B47E1">
        <w:tc>
          <w:tcPr>
            <w:tcW w:w="708" w:type="dxa"/>
            <w:tcBorders>
              <w:top w:val="single" w:sz="4" w:space="0" w:color="auto"/>
              <w:left w:val="single" w:sz="4" w:space="0" w:color="auto"/>
              <w:bottom w:val="single" w:sz="4" w:space="0" w:color="auto"/>
              <w:right w:val="single" w:sz="4" w:space="0" w:color="auto"/>
            </w:tcBorders>
          </w:tcPr>
          <w:p w14:paraId="4995885E" w14:textId="77777777" w:rsidR="00AF40A8" w:rsidRDefault="00D33193" w:rsidP="0033291F">
            <w:pPr>
              <w:pStyle w:val="naisc"/>
              <w:spacing w:before="0" w:after="0"/>
            </w:pPr>
            <w:r>
              <w:t>1.</w:t>
            </w:r>
          </w:p>
        </w:tc>
        <w:tc>
          <w:tcPr>
            <w:tcW w:w="2970" w:type="dxa"/>
            <w:gridSpan w:val="2"/>
            <w:tcBorders>
              <w:top w:val="single" w:sz="4" w:space="0" w:color="auto"/>
              <w:left w:val="single" w:sz="4" w:space="0" w:color="auto"/>
              <w:bottom w:val="single" w:sz="4" w:space="0" w:color="auto"/>
              <w:right w:val="single" w:sz="4" w:space="0" w:color="auto"/>
            </w:tcBorders>
          </w:tcPr>
          <w:p w14:paraId="089D63FB" w14:textId="77777777" w:rsidR="00913C0C" w:rsidRDefault="00913C0C" w:rsidP="00913C0C">
            <w:pPr>
              <w:pStyle w:val="naisc"/>
              <w:jc w:val="both"/>
            </w:pPr>
            <w:r>
              <w:t>1. 14. pantā:</w:t>
            </w:r>
          </w:p>
          <w:p w14:paraId="191141E4" w14:textId="77777777" w:rsidR="00913C0C" w:rsidRDefault="00913C0C" w:rsidP="00913C0C">
            <w:pPr>
              <w:pStyle w:val="naisc"/>
              <w:jc w:val="both"/>
            </w:pPr>
            <w:r>
              <w:t>izteikt 41. punktu šādā redakcijā:</w:t>
            </w:r>
          </w:p>
          <w:p w14:paraId="46199A06" w14:textId="77777777" w:rsidR="00913C0C" w:rsidRDefault="00913C0C" w:rsidP="00913C0C">
            <w:pPr>
              <w:pStyle w:val="naisc"/>
            </w:pPr>
          </w:p>
          <w:p w14:paraId="5F36BBFC" w14:textId="77777777" w:rsidR="00913C0C" w:rsidRDefault="00913C0C" w:rsidP="00913C0C">
            <w:pPr>
              <w:pStyle w:val="naisc"/>
              <w:jc w:val="both"/>
            </w:pPr>
            <w:r>
              <w:t xml:space="preserve">“41) nosaka kvalitātes kritērijus vispārējās izglītības programmas īstenošanai vidējās izglītības pakāpē pašvaldību, valsts </w:t>
            </w:r>
            <w:r>
              <w:lastRenderedPageBreak/>
              <w:t>augstskolu un privātajās vispārējās izglītības iestādēs;”;</w:t>
            </w:r>
          </w:p>
          <w:p w14:paraId="51D68A4A" w14:textId="77777777" w:rsidR="00913C0C" w:rsidRDefault="00913C0C" w:rsidP="00913C0C">
            <w:pPr>
              <w:pStyle w:val="naisc"/>
            </w:pPr>
          </w:p>
          <w:p w14:paraId="2E840742" w14:textId="77777777" w:rsidR="00913C0C" w:rsidRDefault="00913C0C" w:rsidP="00913C0C">
            <w:pPr>
              <w:pStyle w:val="naisc"/>
              <w:jc w:val="both"/>
            </w:pPr>
            <w:r>
              <w:t>4. 60. pantā:</w:t>
            </w:r>
          </w:p>
          <w:p w14:paraId="1A1748AB" w14:textId="77777777" w:rsidR="00913C0C" w:rsidRDefault="00913C0C" w:rsidP="00913C0C">
            <w:pPr>
              <w:pStyle w:val="naisc"/>
              <w:jc w:val="both"/>
            </w:pPr>
            <w:r>
              <w:t>izteikt 3.</w:t>
            </w:r>
            <w:r w:rsidRPr="00913C0C">
              <w:rPr>
                <w:vertAlign w:val="superscript"/>
              </w:rPr>
              <w:t>2</w:t>
            </w:r>
            <w:r>
              <w:t xml:space="preserve"> daļu šādā redakcijā:</w:t>
            </w:r>
          </w:p>
          <w:p w14:paraId="0A4B8BDC" w14:textId="77777777" w:rsidR="00913C0C" w:rsidRDefault="00913C0C" w:rsidP="00913C0C">
            <w:pPr>
              <w:pStyle w:val="naisc"/>
              <w:jc w:val="both"/>
            </w:pPr>
          </w:p>
          <w:p w14:paraId="0F413232" w14:textId="77777777" w:rsidR="00913C0C" w:rsidRDefault="00913C0C" w:rsidP="00913C0C">
            <w:pPr>
              <w:pStyle w:val="naisc"/>
              <w:jc w:val="both"/>
            </w:pPr>
            <w:r>
              <w:t>“(3</w:t>
            </w:r>
            <w:r w:rsidRPr="00913C0C">
              <w:rPr>
                <w:vertAlign w:val="superscript"/>
              </w:rPr>
              <w:t>2</w:t>
            </w:r>
            <w:r>
              <w:t xml:space="preserve">) Šā panta trešo daļu un 59. panta otro daļu par to pedagogu darba samaksas nodrošināšanu no valsts budžeta līdzekļiem, kuri nodarbināti pašvaldību, valsts augstskolu un privāto vispārējās izglītības iestāžu īstenotajās vispārējās izglītības programmās pamatizglītības un vidējās izglītības pakāpē nepiemēro šādos gadījumos: </w:t>
            </w:r>
          </w:p>
          <w:p w14:paraId="532F4F47" w14:textId="77777777" w:rsidR="00913C0C" w:rsidRDefault="00913C0C" w:rsidP="00913C0C">
            <w:pPr>
              <w:pStyle w:val="naisc"/>
              <w:jc w:val="both"/>
            </w:pPr>
            <w:r>
              <w:t>1) […]</w:t>
            </w:r>
          </w:p>
          <w:p w14:paraId="59012996" w14:textId="77777777" w:rsidR="00913C0C" w:rsidRDefault="00913C0C" w:rsidP="00913C0C">
            <w:pPr>
              <w:pStyle w:val="naisc"/>
              <w:jc w:val="both"/>
            </w:pPr>
            <w:r>
              <w:t xml:space="preserve">2) attiecībā uz pedagogu darba samaksu vidējās izglītības pakāpē, ja izglītojamo skaits neatbilst Ministru kabineta noteiktajam minimāli </w:t>
            </w:r>
            <w:r>
              <w:lastRenderedPageBreak/>
              <w:t>pieļaujamajam skaitam vidējās izglītības pakāpē vai izglītības iestāde neatbilst Ministru kabineta noteiktajiem kvalitātes kritērijiem.”;</w:t>
            </w:r>
          </w:p>
          <w:p w14:paraId="1CA554AF" w14:textId="77777777" w:rsidR="00913C0C" w:rsidRDefault="00913C0C" w:rsidP="00913C0C">
            <w:pPr>
              <w:pStyle w:val="naisc"/>
              <w:jc w:val="both"/>
            </w:pPr>
          </w:p>
          <w:p w14:paraId="0DAE745A" w14:textId="77777777" w:rsidR="00913C0C" w:rsidRDefault="00913C0C" w:rsidP="00913C0C">
            <w:pPr>
              <w:pStyle w:val="naisc"/>
              <w:jc w:val="both"/>
            </w:pPr>
            <w:r>
              <w:t>papildināt pantu ar 3.</w:t>
            </w:r>
            <w:r w:rsidRPr="00913C0C">
              <w:rPr>
                <w:vertAlign w:val="superscript"/>
              </w:rPr>
              <w:t>3</w:t>
            </w:r>
            <w:r>
              <w:t xml:space="preserve"> daļu šādā redakcijā:</w:t>
            </w:r>
          </w:p>
          <w:p w14:paraId="78B24BB3" w14:textId="77777777" w:rsidR="00913C0C" w:rsidRDefault="00913C0C" w:rsidP="00913C0C">
            <w:pPr>
              <w:pStyle w:val="naisc"/>
              <w:jc w:val="both"/>
            </w:pPr>
          </w:p>
          <w:p w14:paraId="6B0F1C45" w14:textId="77777777" w:rsidR="00AF40A8" w:rsidRDefault="00913C0C" w:rsidP="00913C0C">
            <w:pPr>
              <w:pStyle w:val="naisc"/>
              <w:spacing w:before="0" w:after="0"/>
              <w:jc w:val="both"/>
            </w:pPr>
            <w:r>
              <w:t>“(3</w:t>
            </w:r>
            <w:r w:rsidRPr="00913C0C">
              <w:rPr>
                <w:vertAlign w:val="superscript"/>
              </w:rPr>
              <w:t>3</w:t>
            </w:r>
            <w:r>
              <w:t>) Šā panta 3.</w:t>
            </w:r>
            <w:r w:rsidRPr="00913C0C">
              <w:rPr>
                <w:vertAlign w:val="superscript"/>
              </w:rPr>
              <w:t>2</w:t>
            </w:r>
            <w:r>
              <w:t xml:space="preserve"> daļā minētajos gadījumos pedagogu darba samaksa privātajās vispārējās izglītības iestādēs attiecīgajā izglītības pakāpē tiek nodrošināta no izglītības iestāžu dibinātāju budžeta.”</w:t>
            </w:r>
          </w:p>
        </w:tc>
        <w:tc>
          <w:tcPr>
            <w:tcW w:w="4252" w:type="dxa"/>
            <w:tcBorders>
              <w:top w:val="single" w:sz="4" w:space="0" w:color="auto"/>
              <w:left w:val="single" w:sz="4" w:space="0" w:color="auto"/>
              <w:bottom w:val="single" w:sz="4" w:space="0" w:color="auto"/>
              <w:right w:val="single" w:sz="4" w:space="0" w:color="auto"/>
            </w:tcBorders>
          </w:tcPr>
          <w:p w14:paraId="3DBC61DA" w14:textId="77777777" w:rsidR="00AF40A8" w:rsidRPr="00C10A4D" w:rsidRDefault="00C10A4D" w:rsidP="00C10A4D">
            <w:pPr>
              <w:pStyle w:val="naisc"/>
              <w:spacing w:before="0" w:after="0"/>
              <w:jc w:val="both"/>
              <w:rPr>
                <w:b/>
              </w:rPr>
            </w:pPr>
            <w:r w:rsidRPr="00C10A4D">
              <w:rPr>
                <w:b/>
              </w:rPr>
              <w:lastRenderedPageBreak/>
              <w:t>Tieslietu ministrija</w:t>
            </w:r>
          </w:p>
          <w:p w14:paraId="7F02B97D" w14:textId="77777777" w:rsidR="00C10A4D" w:rsidRDefault="00C10A4D" w:rsidP="00C10A4D">
            <w:pPr>
              <w:pStyle w:val="naisc"/>
              <w:spacing w:before="0" w:after="0"/>
              <w:jc w:val="both"/>
            </w:pPr>
            <w:r w:rsidRPr="00D37509">
              <w:t xml:space="preserve">Projekta 1.panta pirmā daļa izsaka jaunā redakcijā Izglītības likuma 14.panta 41.punktu, paredzot deleģējumu Ministru kabinetam noteikt kvalitātes kritērijus vispārējas izglītības programmas īstenošanai vidējās izglītības pakāpē pašvaldību, valsts augstskolu un privātajās vispārējās izglītības iestādēs. No minētā deleģējuma nav saprotams, uz ko šie </w:t>
            </w:r>
            <w:r w:rsidRPr="00D37509">
              <w:lastRenderedPageBreak/>
              <w:t xml:space="preserve">kvalitātes kritēriji attieksies. Atbilstoši Izglītības likuma 40.pantam vispārējās izglītības programmas nodrošina izglītojamā vispārēju garīgo un fizisko spēju attīstību, sagatavo viņu izglītības turpināšanai, darbam un dzīvei sabiedrībā. Vispārējās izglītības programmu </w:t>
            </w:r>
            <w:r w:rsidRPr="00D37509">
              <w:rPr>
                <w:u w:val="single"/>
              </w:rPr>
              <w:t xml:space="preserve">īstenošanas kārtību nosaka </w:t>
            </w:r>
            <w:hyperlink r:id="rId6" w:tgtFrame="_blank" w:history="1">
              <w:r w:rsidRPr="00D37509">
                <w:rPr>
                  <w:u w:val="single"/>
                </w:rPr>
                <w:t>vispārējās izglītības likums</w:t>
              </w:r>
            </w:hyperlink>
            <w:r w:rsidRPr="00D37509">
              <w:rPr>
                <w:u w:val="single"/>
              </w:rPr>
              <w:t>. Vispārējās izglītības programmas un īpašo veidu programmas licencējamas Ministru kabineta noteiktajā kārtībā.</w:t>
            </w:r>
            <w:r w:rsidRPr="00D37509">
              <w:t xml:space="preserve"> Norādām, ka Satversmes tiesa atzinusi, ka pilnvarojuma saturam jābūt tik skaidram, lai atklātu pilnvarojuma būtību un jēgu. Ministru kabineta noteikumi var tikt izdoti tikai tad, ja tie ir nepieciešami, lai īstenotu likumu dzīvē. Tas tiek panākts, noteikumos konkretizējot (detalizējot) likuma normas. Ministru kabineta noteikumi nedrīkst ietvert tādas tiesību normas, kas bez likumdevēja pilnvarojuma veidotu jaunas tiesiskās attiecības </w:t>
            </w:r>
            <w:r w:rsidRPr="00D37509">
              <w:rPr>
                <w:i/>
                <w:iCs/>
              </w:rPr>
              <w:t>(Satversmes tiesas 2017.gada 29.jūnija sprieduma lietā Nr.2016-23-03 16. un 17.1.punkts)</w:t>
            </w:r>
            <w:r w:rsidRPr="00D37509">
              <w:t xml:space="preserve">. Vēršam uzmanību, ka Ministru kabineta 2018.gada 11.septembra noteikumos Nr.583 "Kritēriji un kārtība, kādā valsts piedalās vispārējās izglītības iestāžu pedagogu darba samaksas finansēšanā vidējās </w:t>
            </w:r>
            <w:r w:rsidRPr="00D37509">
              <w:lastRenderedPageBreak/>
              <w:t>izglītības pakāpē", kuru izdošanas tiesiskas pamats ir Izglītības likuma 14.panta 41. un 42.punkts, kvalitātes kritēriji ir saistīti ar vispārējās vidējās izglītības programmu īstenošanā iesaistīto pedagogu darba samaksas finansēšanu. Ievērojot minēto, lūdzam precizēt pilnvarojošo normu saturu un mērķi, lai projektā ietvertais deleģējums Ministru kabinetam būtu saprotams un nepārprotams.</w:t>
            </w:r>
          </w:p>
        </w:tc>
        <w:tc>
          <w:tcPr>
            <w:tcW w:w="4111" w:type="dxa"/>
            <w:gridSpan w:val="2"/>
            <w:tcBorders>
              <w:top w:val="single" w:sz="4" w:space="0" w:color="auto"/>
              <w:left w:val="single" w:sz="4" w:space="0" w:color="auto"/>
              <w:bottom w:val="single" w:sz="4" w:space="0" w:color="auto"/>
              <w:right w:val="single" w:sz="4" w:space="0" w:color="auto"/>
            </w:tcBorders>
          </w:tcPr>
          <w:p w14:paraId="2692F3B0" w14:textId="77777777" w:rsidR="00AF40A8" w:rsidRPr="00C10A4D" w:rsidRDefault="00C10A4D" w:rsidP="00C10A4D">
            <w:pPr>
              <w:pStyle w:val="naisc"/>
              <w:spacing w:before="0" w:after="0"/>
              <w:jc w:val="both"/>
              <w:rPr>
                <w:b/>
              </w:rPr>
            </w:pPr>
            <w:r w:rsidRPr="00C10A4D">
              <w:rPr>
                <w:b/>
              </w:rPr>
              <w:lastRenderedPageBreak/>
              <w:t>Ņemts vērā.</w:t>
            </w:r>
          </w:p>
          <w:p w14:paraId="6E9B6367" w14:textId="77777777" w:rsidR="00C10A4D" w:rsidRDefault="00C10A4D" w:rsidP="00C10A4D">
            <w:pPr>
              <w:pStyle w:val="naisc"/>
              <w:spacing w:before="0" w:after="0"/>
              <w:jc w:val="both"/>
            </w:pPr>
            <w:r>
              <w:t xml:space="preserve">Skaidrojam, ka saskaņā ar likumprojekta 4. pantu paredzēts </w:t>
            </w:r>
            <w:r w:rsidR="004559FE">
              <w:t>izteikt Izglītības likuma 60. panta 3.</w:t>
            </w:r>
            <w:r w:rsidR="004559FE" w:rsidRPr="004559FE">
              <w:rPr>
                <w:vertAlign w:val="superscript"/>
              </w:rPr>
              <w:t>2</w:t>
            </w:r>
            <w:r w:rsidR="004559FE">
              <w:t xml:space="preserve"> daļu jaunā redakcijā, </w:t>
            </w:r>
            <w:proofErr w:type="spellStart"/>
            <w:r w:rsidR="004559FE">
              <w:t>citstarp</w:t>
            </w:r>
            <w:proofErr w:type="spellEnd"/>
            <w:r w:rsidR="004559FE">
              <w:t xml:space="preserve"> paredzot, ka minētā panta trešo daļu un 59. panta otro daļu par to </w:t>
            </w:r>
            <w:r w:rsidR="004559FE" w:rsidRPr="004559FE">
              <w:t xml:space="preserve">pedagogu darba samaksas nodrošināšanu no valsts budžeta līdzekļiem, kuri nodarbināti pašvaldību, valsts augstskolu un privāto vispārējās </w:t>
            </w:r>
            <w:r w:rsidR="004559FE" w:rsidRPr="004559FE">
              <w:lastRenderedPageBreak/>
              <w:t xml:space="preserve">izglītības iestāžu īstenotajās vispārējās izglītības programmās </w:t>
            </w:r>
            <w:r w:rsidR="004559FE">
              <w:t xml:space="preserve">pamatizglītības un </w:t>
            </w:r>
            <w:r w:rsidR="004559FE" w:rsidRPr="004559FE">
              <w:t>vidējās izglītības pakāpē nepiemēro</w:t>
            </w:r>
            <w:r w:rsidR="004559FE">
              <w:t xml:space="preserve"> attiecībā uz pedagogu darba samaksu </w:t>
            </w:r>
            <w:r w:rsidR="004559FE" w:rsidRPr="004559FE">
              <w:t xml:space="preserve">vidējās izglītības pakāpē, ja izglītojamo skaits neatbilst Ministru kabineta noteiktajam minimāli pieļaujamajam skaitam vidējās izglītības pakāpē </w:t>
            </w:r>
            <w:r w:rsidR="004559FE" w:rsidRPr="004559FE">
              <w:rPr>
                <w:u w:val="single"/>
              </w:rPr>
              <w:t>vai izglītības iestāde neatbilst Ministru kabineta noteiktajiem kvalitātes kritērijiem</w:t>
            </w:r>
            <w:r w:rsidR="004559FE">
              <w:rPr>
                <w:u w:val="single"/>
              </w:rPr>
              <w:t>.</w:t>
            </w:r>
            <w:r w:rsidR="004559FE" w:rsidRPr="004559FE">
              <w:t xml:space="preserve"> </w:t>
            </w:r>
            <w:r w:rsidR="004559FE">
              <w:t>Šādā gadījumā pedagogu darba samaksa privātajās vispārējās izglītības iestādēs konkrētajā izglītības pakāpē tiek nodrošināta no izglītības iestāžu dibinātāja budžeta (skat. likumprojekta 4. pantu, kas attiecas uz Izglītības likuma 60. panta 3.</w:t>
            </w:r>
            <w:r w:rsidR="004559FE" w:rsidRPr="004559FE">
              <w:rPr>
                <w:vertAlign w:val="superscript"/>
              </w:rPr>
              <w:t>2</w:t>
            </w:r>
            <w:r w:rsidR="004559FE">
              <w:t> daļas 2. punktu un 3.</w:t>
            </w:r>
            <w:r w:rsidR="004559FE" w:rsidRPr="004559FE">
              <w:rPr>
                <w:vertAlign w:val="superscript"/>
              </w:rPr>
              <w:t>3</w:t>
            </w:r>
            <w:r w:rsidR="004559FE">
              <w:t> daļu).</w:t>
            </w:r>
          </w:p>
          <w:p w14:paraId="5A4156A9" w14:textId="77777777" w:rsidR="004559FE" w:rsidRDefault="004559FE" w:rsidP="00C10A4D">
            <w:pPr>
              <w:pStyle w:val="naisc"/>
              <w:spacing w:before="0" w:after="0"/>
              <w:jc w:val="both"/>
            </w:pPr>
            <w:r>
              <w:t xml:space="preserve">Līdz ar to no likumprojekta izriet, ka Ministru kabineta noteiktajiem kvalitātes kritērijiem vispārējās izglītības programmas īstenošanai vidējās izglītības pakāpē būs tieša sasaiste ar tiesībām saņemt valsts budžeta finansējumu pedagogu darba samaksai </w:t>
            </w:r>
            <w:r w:rsidR="00974965">
              <w:t xml:space="preserve">attiecīgo </w:t>
            </w:r>
            <w:r>
              <w:t>vispārējās izglītības iestāžu vidējās izglītības pakāpē.</w:t>
            </w:r>
            <w:r w:rsidR="00974965">
              <w:t xml:space="preserve"> Ja izglītības iestāde neatbildīs vienam no kritērijiem – Ministru kabineta noteiktajam minimāli pieļaujamajam izglītojamo </w:t>
            </w:r>
            <w:r w:rsidR="00974965">
              <w:lastRenderedPageBreak/>
              <w:t xml:space="preserve">skaitam vidējās izglītības pakāpē vai Ministru kabineta noteiktajiem kvalitātes kritērijiem vidējās izglītības pakāpē – izglītības iestāde nebūs tiesīga saņemt valsts budžeta finansējumu pedagogu darba samaksai vidējās izglītības pakāpē, turklāt </w:t>
            </w:r>
            <w:r w:rsidR="00AE4747">
              <w:t>šādā gadījumā t</w:t>
            </w:r>
            <w:r w:rsidR="00974965">
              <w:t xml:space="preserve">urpināt </w:t>
            </w:r>
            <w:r w:rsidR="00AE4747">
              <w:t>nodrošināt</w:t>
            </w:r>
            <w:r w:rsidR="00974965">
              <w:t xml:space="preserve"> pedagogu darba samaksu </w:t>
            </w:r>
            <w:r w:rsidR="00AE4747">
              <w:t xml:space="preserve">vidējās izglītības pakāpē no sava budžeta </w:t>
            </w:r>
            <w:r w:rsidR="00974965">
              <w:t>būs tiesīgi tikai privāto vispārējās izglītības iestāžu dibinātāji.</w:t>
            </w:r>
          </w:p>
          <w:p w14:paraId="17A66F22" w14:textId="77777777" w:rsidR="00C10A4D" w:rsidRDefault="00C10A4D" w:rsidP="00C10A4D">
            <w:pPr>
              <w:pStyle w:val="naisc"/>
              <w:spacing w:before="0" w:after="0"/>
              <w:jc w:val="both"/>
            </w:pPr>
          </w:p>
          <w:p w14:paraId="670227BE" w14:textId="77777777" w:rsidR="00C10A4D" w:rsidRDefault="00C401F3" w:rsidP="00C401F3">
            <w:pPr>
              <w:pStyle w:val="naisc"/>
              <w:spacing w:before="0" w:after="0"/>
              <w:jc w:val="both"/>
            </w:pPr>
            <w:r>
              <w:t>Ievērojot plānotā regulējuma sasaisti ar pedagogu darba samaksas nodrošināšanas jautājumu un to, ka tieši Izglītības likumā regulēti jautājumi par izglītības sistēmas finansēšanas avotiem un izglītības iestāžu (tostarp vispārējās izglītības iestāžu) finansēšanas kārību, attiecīgais regulējums ietverams Izglītības likumā, nevis Vispārējās izglītības likumā.</w:t>
            </w:r>
          </w:p>
        </w:tc>
        <w:tc>
          <w:tcPr>
            <w:tcW w:w="2951" w:type="dxa"/>
            <w:tcBorders>
              <w:top w:val="single" w:sz="4" w:space="0" w:color="auto"/>
              <w:left w:val="single" w:sz="4" w:space="0" w:color="auto"/>
              <w:bottom w:val="single" w:sz="4" w:space="0" w:color="auto"/>
              <w:right w:val="single" w:sz="4" w:space="0" w:color="auto"/>
            </w:tcBorders>
          </w:tcPr>
          <w:p w14:paraId="58BB8D4C" w14:textId="77777777" w:rsidR="00913C0C" w:rsidRDefault="00913C0C" w:rsidP="00913C0C">
            <w:pPr>
              <w:pStyle w:val="naisc"/>
              <w:jc w:val="both"/>
            </w:pPr>
            <w:r>
              <w:lastRenderedPageBreak/>
              <w:t>1. 14. pantā:</w:t>
            </w:r>
          </w:p>
          <w:p w14:paraId="2E287E51" w14:textId="77777777" w:rsidR="00913C0C" w:rsidRDefault="00913C0C" w:rsidP="00913C0C">
            <w:pPr>
              <w:pStyle w:val="naisc"/>
              <w:jc w:val="both"/>
            </w:pPr>
            <w:r>
              <w:t>izteikt 41. punktu šādā redakcijā:</w:t>
            </w:r>
          </w:p>
          <w:p w14:paraId="6282BDDE" w14:textId="77777777" w:rsidR="00913C0C" w:rsidRDefault="00913C0C" w:rsidP="00913C0C">
            <w:pPr>
              <w:pStyle w:val="naisc"/>
            </w:pPr>
          </w:p>
          <w:p w14:paraId="4CBAE2B0" w14:textId="77777777" w:rsidR="00913C0C" w:rsidRDefault="00913C0C" w:rsidP="00913C0C">
            <w:pPr>
              <w:pStyle w:val="naisc"/>
              <w:jc w:val="both"/>
            </w:pPr>
            <w:r>
              <w:t xml:space="preserve">“41) nosaka kvalitātes kritērijus vispārējās izglītības programmas īstenošanai vidējās izglītības pakāpē pašvaldību, valsts </w:t>
            </w:r>
            <w:r>
              <w:lastRenderedPageBreak/>
              <w:t>augstskolu un privātajās vispārējās izglītības iestādēs;”;</w:t>
            </w:r>
          </w:p>
          <w:p w14:paraId="38974923" w14:textId="77777777" w:rsidR="00913C0C" w:rsidRDefault="00913C0C" w:rsidP="00913C0C">
            <w:pPr>
              <w:pStyle w:val="naisc"/>
            </w:pPr>
          </w:p>
          <w:p w14:paraId="1EDD9D55" w14:textId="77777777" w:rsidR="00913C0C" w:rsidRDefault="00913C0C" w:rsidP="00913C0C">
            <w:pPr>
              <w:pStyle w:val="naisc"/>
              <w:jc w:val="both"/>
            </w:pPr>
            <w:r>
              <w:t>4. 60. pantā:</w:t>
            </w:r>
          </w:p>
          <w:p w14:paraId="36E982A6" w14:textId="77777777" w:rsidR="00913C0C" w:rsidRDefault="00913C0C" w:rsidP="00913C0C">
            <w:pPr>
              <w:pStyle w:val="naisc"/>
              <w:jc w:val="both"/>
            </w:pPr>
            <w:r>
              <w:t>izteikt 3.</w:t>
            </w:r>
            <w:r w:rsidRPr="00913C0C">
              <w:rPr>
                <w:vertAlign w:val="superscript"/>
              </w:rPr>
              <w:t>2</w:t>
            </w:r>
            <w:r>
              <w:t xml:space="preserve"> daļu šādā redakcijā:</w:t>
            </w:r>
          </w:p>
          <w:p w14:paraId="3745D9B2" w14:textId="77777777" w:rsidR="00913C0C" w:rsidRDefault="00913C0C" w:rsidP="00913C0C">
            <w:pPr>
              <w:pStyle w:val="naisc"/>
              <w:jc w:val="both"/>
            </w:pPr>
          </w:p>
          <w:p w14:paraId="0DBD4EC5" w14:textId="77777777" w:rsidR="00913C0C" w:rsidRDefault="00913C0C" w:rsidP="00913C0C">
            <w:pPr>
              <w:pStyle w:val="naisc"/>
              <w:jc w:val="both"/>
            </w:pPr>
            <w:r>
              <w:t>“(3</w:t>
            </w:r>
            <w:r w:rsidRPr="00913C0C">
              <w:rPr>
                <w:vertAlign w:val="superscript"/>
              </w:rPr>
              <w:t>2</w:t>
            </w:r>
            <w:r>
              <w:t xml:space="preserve">) Šā panta trešo daļu un 59. panta otro daļu par to pedagogu darba samaksas nodrošināšanu no valsts budžeta līdzekļiem, kuri nodarbināti pašvaldību, valsts augstskolu un privāto vispārējās izglītības iestāžu īstenotajās vispārējās izglītības programmās pamatizglītības un vidējās izglītības pakāpē nepiemēro šādos gadījumos: </w:t>
            </w:r>
          </w:p>
          <w:p w14:paraId="32838B86" w14:textId="77777777" w:rsidR="00913C0C" w:rsidRDefault="00913C0C" w:rsidP="00913C0C">
            <w:pPr>
              <w:pStyle w:val="naisc"/>
              <w:jc w:val="both"/>
            </w:pPr>
            <w:r>
              <w:t>1) […]</w:t>
            </w:r>
          </w:p>
          <w:p w14:paraId="7B8C50BE" w14:textId="77777777" w:rsidR="00913C0C" w:rsidRDefault="00913C0C" w:rsidP="00913C0C">
            <w:pPr>
              <w:pStyle w:val="naisc"/>
              <w:jc w:val="both"/>
            </w:pPr>
            <w:r>
              <w:t xml:space="preserve">2) attiecībā uz pedagogu darba samaksu vidējās izglītības pakāpē, ja izglītojamo skaits neatbilst Ministru kabineta noteiktajam minimāli </w:t>
            </w:r>
            <w:r>
              <w:lastRenderedPageBreak/>
              <w:t>pieļaujamajam skaitam vidējās izglītības pakāpē vai izglītības iestāde neatbilst Ministru kabineta noteiktajiem kvalitātes kritērijiem.”;</w:t>
            </w:r>
          </w:p>
          <w:p w14:paraId="51028AA6" w14:textId="77777777" w:rsidR="00913C0C" w:rsidRDefault="00913C0C" w:rsidP="00913C0C">
            <w:pPr>
              <w:pStyle w:val="naisc"/>
              <w:jc w:val="both"/>
            </w:pPr>
          </w:p>
          <w:p w14:paraId="698DE56F" w14:textId="77777777" w:rsidR="00913C0C" w:rsidRDefault="00913C0C" w:rsidP="00913C0C">
            <w:pPr>
              <w:pStyle w:val="naisc"/>
              <w:jc w:val="both"/>
            </w:pPr>
            <w:r>
              <w:t>papildināt pantu ar 3.</w:t>
            </w:r>
            <w:r w:rsidRPr="00913C0C">
              <w:rPr>
                <w:vertAlign w:val="superscript"/>
              </w:rPr>
              <w:t>3</w:t>
            </w:r>
            <w:r>
              <w:t xml:space="preserve"> daļu šādā redakcijā:</w:t>
            </w:r>
          </w:p>
          <w:p w14:paraId="03A7B915" w14:textId="77777777" w:rsidR="00913C0C" w:rsidRDefault="00913C0C" w:rsidP="00913C0C">
            <w:pPr>
              <w:pStyle w:val="naisc"/>
              <w:jc w:val="both"/>
            </w:pPr>
          </w:p>
          <w:p w14:paraId="5474015E" w14:textId="77777777" w:rsidR="00AF40A8" w:rsidRDefault="00913C0C" w:rsidP="00747A2A">
            <w:pPr>
              <w:jc w:val="both"/>
            </w:pPr>
            <w:r>
              <w:t>“(3</w:t>
            </w:r>
            <w:r w:rsidRPr="00913C0C">
              <w:rPr>
                <w:vertAlign w:val="superscript"/>
              </w:rPr>
              <w:t>3</w:t>
            </w:r>
            <w:r>
              <w:t>) Šā panta 3.</w:t>
            </w:r>
            <w:r w:rsidRPr="00913C0C">
              <w:rPr>
                <w:vertAlign w:val="superscript"/>
              </w:rPr>
              <w:t>2</w:t>
            </w:r>
            <w:r>
              <w:t xml:space="preserve"> daļā minētajos gadījumos pedagogu darba samaksa privātajās vispārējās izglītības iestādēs attiecīgajā izglītības pakāpē tiek nodrošināta no izglītības iestāžu dibinātāju budžeta.”</w:t>
            </w:r>
          </w:p>
        </w:tc>
      </w:tr>
      <w:tr w:rsidR="00AF40A8" w14:paraId="5289EBE9" w14:textId="77777777" w:rsidTr="001B47E1">
        <w:tc>
          <w:tcPr>
            <w:tcW w:w="708" w:type="dxa"/>
            <w:tcBorders>
              <w:top w:val="single" w:sz="4" w:space="0" w:color="auto"/>
              <w:left w:val="single" w:sz="4" w:space="0" w:color="auto"/>
              <w:bottom w:val="single" w:sz="4" w:space="0" w:color="auto"/>
              <w:right w:val="single" w:sz="4" w:space="0" w:color="auto"/>
            </w:tcBorders>
          </w:tcPr>
          <w:p w14:paraId="25C03DAA" w14:textId="77777777" w:rsidR="00AF40A8" w:rsidRDefault="00D33193" w:rsidP="0033291F">
            <w:pPr>
              <w:pStyle w:val="naisc"/>
              <w:spacing w:before="0" w:after="0"/>
            </w:pPr>
            <w:r>
              <w:lastRenderedPageBreak/>
              <w:t>2.</w:t>
            </w:r>
          </w:p>
        </w:tc>
        <w:tc>
          <w:tcPr>
            <w:tcW w:w="2970" w:type="dxa"/>
            <w:gridSpan w:val="2"/>
            <w:tcBorders>
              <w:top w:val="single" w:sz="4" w:space="0" w:color="auto"/>
              <w:left w:val="single" w:sz="4" w:space="0" w:color="auto"/>
              <w:bottom w:val="single" w:sz="4" w:space="0" w:color="auto"/>
              <w:right w:val="single" w:sz="4" w:space="0" w:color="auto"/>
            </w:tcBorders>
          </w:tcPr>
          <w:p w14:paraId="5B0A57A8" w14:textId="77777777" w:rsidR="006C4502" w:rsidRDefault="006C4502" w:rsidP="006C4502">
            <w:pPr>
              <w:pStyle w:val="naisc"/>
              <w:jc w:val="both"/>
            </w:pPr>
            <w:r>
              <w:t>1. 14. pantā:</w:t>
            </w:r>
          </w:p>
          <w:p w14:paraId="36D1B684" w14:textId="77777777" w:rsidR="006C4502" w:rsidRDefault="006C4502" w:rsidP="006C4502">
            <w:pPr>
              <w:pStyle w:val="naisc"/>
              <w:jc w:val="both"/>
            </w:pPr>
            <w:r>
              <w:t>[…]</w:t>
            </w:r>
          </w:p>
          <w:p w14:paraId="2653A618" w14:textId="77777777" w:rsidR="006C4502" w:rsidRDefault="006C4502" w:rsidP="006C4502">
            <w:pPr>
              <w:pStyle w:val="naisc"/>
              <w:spacing w:before="0" w:after="0"/>
              <w:jc w:val="both"/>
            </w:pPr>
            <w:r>
              <w:t>izslēgt 42. punktu;</w:t>
            </w:r>
          </w:p>
          <w:p w14:paraId="7217ACC6" w14:textId="77777777" w:rsidR="006C4502" w:rsidRDefault="006C4502" w:rsidP="006C4502">
            <w:pPr>
              <w:pStyle w:val="naisc"/>
              <w:spacing w:before="0" w:after="0"/>
              <w:jc w:val="both"/>
            </w:pPr>
          </w:p>
          <w:p w14:paraId="114C21C4" w14:textId="77777777" w:rsidR="00AF40A8" w:rsidRDefault="006C4502" w:rsidP="006C4502">
            <w:pPr>
              <w:pStyle w:val="naisc"/>
              <w:spacing w:before="0" w:after="0"/>
              <w:jc w:val="both"/>
            </w:pPr>
            <w:r>
              <w:t>anotācijas I sadaļas 2. punkts.</w:t>
            </w:r>
          </w:p>
        </w:tc>
        <w:tc>
          <w:tcPr>
            <w:tcW w:w="4252" w:type="dxa"/>
            <w:tcBorders>
              <w:top w:val="single" w:sz="4" w:space="0" w:color="auto"/>
              <w:left w:val="single" w:sz="4" w:space="0" w:color="auto"/>
              <w:bottom w:val="single" w:sz="4" w:space="0" w:color="auto"/>
              <w:right w:val="single" w:sz="4" w:space="0" w:color="auto"/>
            </w:tcBorders>
          </w:tcPr>
          <w:p w14:paraId="30B81D2B" w14:textId="77777777" w:rsidR="00AF40A8" w:rsidRPr="003925D2" w:rsidRDefault="003925D2" w:rsidP="003925D2">
            <w:pPr>
              <w:pStyle w:val="naisc"/>
              <w:spacing w:before="0" w:after="0"/>
              <w:jc w:val="both"/>
              <w:rPr>
                <w:b/>
              </w:rPr>
            </w:pPr>
            <w:r w:rsidRPr="003925D2">
              <w:rPr>
                <w:b/>
              </w:rPr>
              <w:t>Tieslietu ministrija</w:t>
            </w:r>
          </w:p>
          <w:p w14:paraId="2243C09B" w14:textId="77777777" w:rsidR="003925D2" w:rsidRPr="00D37509" w:rsidRDefault="003925D2" w:rsidP="003925D2">
            <w:pPr>
              <w:ind w:right="12"/>
              <w:jc w:val="both"/>
            </w:pPr>
            <w:r w:rsidRPr="00D37509">
              <w:t xml:space="preserve">Projekta 1.panta otrā daļa paredz izslēgt Izglītības likuma 14.panta 42.punktu. Tā kā iepriekš minētā norma paredz deleģējumu Ministru kabinetam noteikt kritērijus un kārtību, kādā valsts piedalās pašvaldību, valsts augstskolu un privāto </w:t>
            </w:r>
            <w:r w:rsidRPr="00D37509">
              <w:lastRenderedPageBreak/>
              <w:t>vispārējās izglītības iestāžu vispārējas izglītības programmu īstenošanā iesaistīto pedagogu darba samaksas finansēšanā, ja izglītības iestāde neatbilst Ministru kabineta noteiktajiem kvalitātes kritērijiem, lūdzam papildināt projekta anotāciju ar skaidrojumu par šāda deleģējuma svītrošanu un norādīt tiesisko pamatu, kas turpmāk regulēs attiecīgo finansēšanas jomu.</w:t>
            </w:r>
          </w:p>
          <w:p w14:paraId="1C40C6D0" w14:textId="77777777" w:rsidR="003925D2" w:rsidRDefault="003925D2" w:rsidP="003925D2">
            <w:pPr>
              <w:pStyle w:val="naisc"/>
              <w:spacing w:before="0" w:after="0"/>
              <w:jc w:val="both"/>
            </w:pPr>
            <w:r w:rsidRPr="00D37509">
              <w:t>Tāpat lūdzam izvērtēt, vai šī norma varēs stāties spēkā no 2020.gada 1.janvāra.</w:t>
            </w:r>
          </w:p>
        </w:tc>
        <w:tc>
          <w:tcPr>
            <w:tcW w:w="4111" w:type="dxa"/>
            <w:gridSpan w:val="2"/>
            <w:tcBorders>
              <w:top w:val="single" w:sz="4" w:space="0" w:color="auto"/>
              <w:left w:val="single" w:sz="4" w:space="0" w:color="auto"/>
              <w:bottom w:val="single" w:sz="4" w:space="0" w:color="auto"/>
              <w:right w:val="single" w:sz="4" w:space="0" w:color="auto"/>
            </w:tcBorders>
          </w:tcPr>
          <w:p w14:paraId="7C17DE7E" w14:textId="77777777" w:rsidR="00AF40A8" w:rsidRPr="007D7677" w:rsidRDefault="007D7677" w:rsidP="007D7677">
            <w:pPr>
              <w:pStyle w:val="naisc"/>
              <w:spacing w:before="0" w:after="0"/>
              <w:jc w:val="both"/>
              <w:rPr>
                <w:b/>
              </w:rPr>
            </w:pPr>
            <w:r w:rsidRPr="007D7677">
              <w:rPr>
                <w:b/>
              </w:rPr>
              <w:lastRenderedPageBreak/>
              <w:t>Ņemts vērā.</w:t>
            </w:r>
          </w:p>
          <w:p w14:paraId="3ABF8C2C" w14:textId="77777777" w:rsidR="007D7677" w:rsidRDefault="00605513" w:rsidP="007D7677">
            <w:pPr>
              <w:pStyle w:val="naisc"/>
              <w:spacing w:before="0" w:after="0"/>
              <w:jc w:val="both"/>
            </w:pPr>
            <w:r>
              <w:t>Vienlaikus s</w:t>
            </w:r>
            <w:r w:rsidR="007D7677">
              <w:t>kat. skaidrojumu par iepriekšējo iebildumu.</w:t>
            </w:r>
          </w:p>
        </w:tc>
        <w:tc>
          <w:tcPr>
            <w:tcW w:w="2951" w:type="dxa"/>
            <w:tcBorders>
              <w:top w:val="single" w:sz="4" w:space="0" w:color="auto"/>
              <w:left w:val="single" w:sz="4" w:space="0" w:color="auto"/>
              <w:bottom w:val="single" w:sz="4" w:space="0" w:color="auto"/>
              <w:right w:val="single" w:sz="4" w:space="0" w:color="auto"/>
            </w:tcBorders>
          </w:tcPr>
          <w:p w14:paraId="61714C53" w14:textId="3C81E1A6" w:rsidR="00AF40A8" w:rsidRDefault="006C4502" w:rsidP="006C4502">
            <w:pPr>
              <w:jc w:val="both"/>
            </w:pPr>
            <w:r>
              <w:t>Papildināts anotācijas I sadaļas 2. punkts (8.</w:t>
            </w:r>
            <w:r w:rsidR="00733F4D">
              <w:t>-9.</w:t>
            </w:r>
            <w:r>
              <w:t> lpp.)</w:t>
            </w:r>
          </w:p>
        </w:tc>
      </w:tr>
      <w:tr w:rsidR="00AF40A8" w14:paraId="6CCBA331" w14:textId="77777777" w:rsidTr="001B47E1">
        <w:tc>
          <w:tcPr>
            <w:tcW w:w="708" w:type="dxa"/>
            <w:tcBorders>
              <w:top w:val="single" w:sz="4" w:space="0" w:color="auto"/>
              <w:left w:val="single" w:sz="4" w:space="0" w:color="auto"/>
              <w:bottom w:val="single" w:sz="4" w:space="0" w:color="auto"/>
              <w:right w:val="single" w:sz="4" w:space="0" w:color="auto"/>
            </w:tcBorders>
          </w:tcPr>
          <w:p w14:paraId="102C28BB" w14:textId="77777777" w:rsidR="00AF40A8" w:rsidRDefault="00D33193" w:rsidP="0033291F">
            <w:pPr>
              <w:pStyle w:val="naisc"/>
              <w:spacing w:before="0" w:after="0"/>
            </w:pPr>
            <w:r>
              <w:t>3.</w:t>
            </w:r>
          </w:p>
        </w:tc>
        <w:tc>
          <w:tcPr>
            <w:tcW w:w="2970" w:type="dxa"/>
            <w:gridSpan w:val="2"/>
            <w:tcBorders>
              <w:top w:val="single" w:sz="4" w:space="0" w:color="auto"/>
              <w:left w:val="single" w:sz="4" w:space="0" w:color="auto"/>
              <w:bottom w:val="single" w:sz="4" w:space="0" w:color="auto"/>
              <w:right w:val="single" w:sz="4" w:space="0" w:color="auto"/>
            </w:tcBorders>
          </w:tcPr>
          <w:p w14:paraId="092354AB" w14:textId="77777777" w:rsidR="00AF40A8" w:rsidRDefault="003B739C" w:rsidP="003B739C">
            <w:pPr>
              <w:pStyle w:val="naisc"/>
              <w:spacing w:before="0" w:after="0"/>
              <w:jc w:val="both"/>
            </w:pPr>
            <w:r>
              <w:t>Anotācijas I sadaļas 2. punkts.</w:t>
            </w:r>
          </w:p>
        </w:tc>
        <w:tc>
          <w:tcPr>
            <w:tcW w:w="4252" w:type="dxa"/>
            <w:tcBorders>
              <w:top w:val="single" w:sz="4" w:space="0" w:color="auto"/>
              <w:left w:val="single" w:sz="4" w:space="0" w:color="auto"/>
              <w:bottom w:val="single" w:sz="4" w:space="0" w:color="auto"/>
              <w:right w:val="single" w:sz="4" w:space="0" w:color="auto"/>
            </w:tcBorders>
          </w:tcPr>
          <w:p w14:paraId="2B73E995" w14:textId="77777777" w:rsidR="00AF40A8" w:rsidRPr="003B739C" w:rsidRDefault="003B739C" w:rsidP="003B739C">
            <w:pPr>
              <w:pStyle w:val="naisc"/>
              <w:spacing w:before="0" w:after="0"/>
              <w:jc w:val="both"/>
              <w:rPr>
                <w:b/>
              </w:rPr>
            </w:pPr>
            <w:r w:rsidRPr="003B739C">
              <w:rPr>
                <w:b/>
              </w:rPr>
              <w:t>Tieslietu ministrija</w:t>
            </w:r>
          </w:p>
          <w:p w14:paraId="18D4BB38" w14:textId="77777777" w:rsidR="003B739C" w:rsidRDefault="003B739C" w:rsidP="003B739C">
            <w:pPr>
              <w:pStyle w:val="naisc"/>
              <w:spacing w:before="0" w:after="0"/>
              <w:jc w:val="both"/>
            </w:pPr>
            <w:r w:rsidRPr="00D37509">
              <w:t>Projekta 1.panta trešā daļ</w:t>
            </w:r>
            <w:r>
              <w:t>a</w:t>
            </w:r>
            <w:r w:rsidRPr="00D37509">
              <w:t xml:space="preserve"> paredz papildināt Izglītības likuma 14.pantu ar 44.punktu, nosakot deleģējumu Ministru kabinetam noteikt minimāli pieļaujamo izglītojamo skaitu pamatizglītības un vidējās izglītības pakāpē pašvaldību, valsts augstskolu un privātajās vispārējās izglītības iestādēs. Norādām, ka atbilstoši Izglītības likuma 14.panta 41.punktam, Ministru kabinetam ir dots deleģējums noteikt ne tikai minimālo, bet arī maksimāli pieļaujamo izglītojamo skaitu klasē vai klašu grupā. Ievērojot minēto, lūdzam papildināt projekta 1.panta trešajā daļā ietverto deleģējumu Ministru kabinetam ar norādi uz maksimāli </w:t>
            </w:r>
            <w:r w:rsidRPr="00D37509">
              <w:lastRenderedPageBreak/>
              <w:t>pieļaujamo skolēnu skaitu klasē, vai arī sniegt projekta anotācijā atbilstošu skaidrojumu par šādas ties</w:t>
            </w:r>
            <w:r>
              <w:t>ību</w:t>
            </w:r>
            <w:r w:rsidRPr="00D37509">
              <w:t xml:space="preserve"> normas neiekļaušanu projektā.</w:t>
            </w:r>
          </w:p>
        </w:tc>
        <w:tc>
          <w:tcPr>
            <w:tcW w:w="4111" w:type="dxa"/>
            <w:gridSpan w:val="2"/>
            <w:tcBorders>
              <w:top w:val="single" w:sz="4" w:space="0" w:color="auto"/>
              <w:left w:val="single" w:sz="4" w:space="0" w:color="auto"/>
              <w:bottom w:val="single" w:sz="4" w:space="0" w:color="auto"/>
              <w:right w:val="single" w:sz="4" w:space="0" w:color="auto"/>
            </w:tcBorders>
          </w:tcPr>
          <w:p w14:paraId="341F0EC3" w14:textId="77777777" w:rsidR="00AF40A8" w:rsidRPr="003B739C" w:rsidRDefault="003B739C" w:rsidP="003B739C">
            <w:pPr>
              <w:pStyle w:val="naisc"/>
              <w:spacing w:before="0" w:after="0"/>
              <w:jc w:val="both"/>
              <w:rPr>
                <w:b/>
              </w:rPr>
            </w:pPr>
            <w:r w:rsidRPr="003B739C">
              <w:rPr>
                <w:b/>
              </w:rPr>
              <w:lastRenderedPageBreak/>
              <w:t>Ņemts vērā.</w:t>
            </w:r>
          </w:p>
          <w:p w14:paraId="26862A41" w14:textId="77777777" w:rsidR="003B739C" w:rsidRDefault="003B739C" w:rsidP="003B739C">
            <w:pPr>
              <w:pStyle w:val="naisc"/>
              <w:spacing w:before="0" w:after="0"/>
              <w:jc w:val="both"/>
            </w:pPr>
          </w:p>
        </w:tc>
        <w:tc>
          <w:tcPr>
            <w:tcW w:w="2951" w:type="dxa"/>
            <w:tcBorders>
              <w:top w:val="single" w:sz="4" w:space="0" w:color="auto"/>
              <w:left w:val="single" w:sz="4" w:space="0" w:color="auto"/>
              <w:bottom w:val="single" w:sz="4" w:space="0" w:color="auto"/>
              <w:right w:val="single" w:sz="4" w:space="0" w:color="auto"/>
            </w:tcBorders>
          </w:tcPr>
          <w:p w14:paraId="040FCA2C" w14:textId="77777777" w:rsidR="00AF40A8" w:rsidRDefault="00747A2A" w:rsidP="0071530F">
            <w:pPr>
              <w:jc w:val="both"/>
            </w:pPr>
            <w:r>
              <w:t>Papildināts anot</w:t>
            </w:r>
            <w:r w:rsidR="00605513">
              <w:t>ācijas I sadaļas 2. punkts (</w:t>
            </w:r>
            <w:r>
              <w:t>9. lpp.)</w:t>
            </w:r>
          </w:p>
        </w:tc>
      </w:tr>
      <w:tr w:rsidR="003B739C" w14:paraId="75278694" w14:textId="77777777" w:rsidTr="007F2D04">
        <w:tc>
          <w:tcPr>
            <w:tcW w:w="708" w:type="dxa"/>
            <w:tcBorders>
              <w:top w:val="single" w:sz="4" w:space="0" w:color="auto"/>
              <w:left w:val="single" w:sz="4" w:space="0" w:color="auto"/>
              <w:bottom w:val="single" w:sz="4" w:space="0" w:color="auto"/>
              <w:right w:val="single" w:sz="4" w:space="0" w:color="auto"/>
            </w:tcBorders>
          </w:tcPr>
          <w:p w14:paraId="5B408B41" w14:textId="77777777" w:rsidR="003B739C" w:rsidRDefault="00D33193" w:rsidP="0033291F">
            <w:pPr>
              <w:pStyle w:val="naisc"/>
              <w:spacing w:before="0" w:after="0"/>
            </w:pPr>
            <w:r>
              <w:t>4.</w:t>
            </w:r>
          </w:p>
        </w:tc>
        <w:tc>
          <w:tcPr>
            <w:tcW w:w="2970" w:type="dxa"/>
            <w:gridSpan w:val="2"/>
            <w:tcBorders>
              <w:top w:val="single" w:sz="4" w:space="0" w:color="auto"/>
              <w:left w:val="single" w:sz="4" w:space="0" w:color="auto"/>
              <w:bottom w:val="single" w:sz="4" w:space="0" w:color="auto"/>
              <w:right w:val="single" w:sz="4" w:space="0" w:color="auto"/>
            </w:tcBorders>
          </w:tcPr>
          <w:p w14:paraId="562B3193" w14:textId="77777777" w:rsidR="00A73EAC" w:rsidRDefault="00A73EAC" w:rsidP="00A73EAC">
            <w:pPr>
              <w:pStyle w:val="naisc"/>
              <w:jc w:val="both"/>
            </w:pPr>
            <w:r>
              <w:t>1. 14. pantā:</w:t>
            </w:r>
          </w:p>
          <w:p w14:paraId="5219C2FF" w14:textId="77777777" w:rsidR="00A73EAC" w:rsidRDefault="00A73EAC" w:rsidP="00A73EAC">
            <w:pPr>
              <w:pStyle w:val="naisc"/>
              <w:jc w:val="both"/>
            </w:pPr>
            <w:r>
              <w:t>[…]</w:t>
            </w:r>
          </w:p>
          <w:p w14:paraId="415A8E5F" w14:textId="77777777" w:rsidR="00A73EAC" w:rsidRPr="00186952" w:rsidRDefault="00A73EAC" w:rsidP="00A73EAC">
            <w:pPr>
              <w:pStyle w:val="naisc"/>
              <w:jc w:val="both"/>
            </w:pPr>
            <w:r>
              <w:t xml:space="preserve">“44) atbilstoši administratīvi teritoriālajam iedalījumam nosaka minimāli pieļaujamo izglītojamo skaitu pamatizglītības un vidējās izglītības pakāpē pašvaldību, valsts augstskolu un privātajās vispārējās izglītības iestādēs, kā arī minimāli pieļaujamo izglītojamo skaitu pašvaldību un privāto pamatizglītības iestāžu vispārējās pamatizglītības </w:t>
            </w:r>
            <w:r w:rsidRPr="00D709FB">
              <w:rPr>
                <w:u w:val="single"/>
              </w:rPr>
              <w:t>programmu īstenošanas vietās, ja īstenošanas vietas ir vairākas</w:t>
            </w:r>
            <w:r w:rsidRPr="00186952">
              <w:t>.”</w:t>
            </w:r>
          </w:p>
          <w:p w14:paraId="4A14B544" w14:textId="77777777" w:rsidR="00A73EAC" w:rsidRDefault="00A73EAC" w:rsidP="00A73EAC">
            <w:pPr>
              <w:pStyle w:val="naisc"/>
              <w:jc w:val="both"/>
            </w:pPr>
          </w:p>
          <w:p w14:paraId="177ADAFB" w14:textId="77777777" w:rsidR="00A73EAC" w:rsidRDefault="00A73EAC" w:rsidP="00A73EAC">
            <w:pPr>
              <w:pStyle w:val="naisc"/>
              <w:jc w:val="both"/>
            </w:pPr>
            <w:r>
              <w:t>3. Papildināt 36. pantu ar 2.</w:t>
            </w:r>
            <w:r w:rsidRPr="00A73EAC">
              <w:rPr>
                <w:vertAlign w:val="superscript"/>
              </w:rPr>
              <w:t>1</w:t>
            </w:r>
            <w:r>
              <w:t xml:space="preserve"> un 2.</w:t>
            </w:r>
            <w:r w:rsidRPr="00A73EAC">
              <w:rPr>
                <w:vertAlign w:val="superscript"/>
              </w:rPr>
              <w:t>2</w:t>
            </w:r>
            <w:r>
              <w:t xml:space="preserve"> daļu šādā redakcijā:</w:t>
            </w:r>
          </w:p>
          <w:p w14:paraId="5F2F8A86" w14:textId="77777777" w:rsidR="00A73EAC" w:rsidRDefault="00A73EAC" w:rsidP="00A73EAC">
            <w:pPr>
              <w:pStyle w:val="naisc"/>
              <w:jc w:val="both"/>
            </w:pPr>
          </w:p>
          <w:p w14:paraId="3DE2317D" w14:textId="77777777" w:rsidR="00A73EAC" w:rsidRDefault="00A73EAC" w:rsidP="00A73EAC">
            <w:pPr>
              <w:pStyle w:val="naisc"/>
              <w:jc w:val="both"/>
            </w:pPr>
            <w:r>
              <w:lastRenderedPageBreak/>
              <w:t>“(2</w:t>
            </w:r>
            <w:r w:rsidRPr="00A73EAC">
              <w:rPr>
                <w:vertAlign w:val="superscript"/>
              </w:rPr>
              <w:t>1</w:t>
            </w:r>
            <w:r>
              <w:t xml:space="preserve">) Pašvaldību vispārējās izglītības iestādes ir tiesīgas īstenot vispārējās izglītības programmas pamatizglītības pakāpē, ja izglītības iestāde atbilst Ministru kabineta noteiktajam minimāli pieļaujamajam izglītojamo skaitam pamatizglītības pakāpē, un ja pamatizglītības iestāde atbilst Ministru kabineta noteiktajam minimāli pieļaujamajam izglītojamo skaitam vispārējās izglītības </w:t>
            </w:r>
            <w:r w:rsidRPr="00D709FB">
              <w:rPr>
                <w:u w:val="single"/>
              </w:rPr>
              <w:t>programmas pamatizglītības pakāpē īstenošanas vietās, ja īstenošanas vietas ir vairākas</w:t>
            </w:r>
            <w:r>
              <w:t xml:space="preserve">. </w:t>
            </w:r>
          </w:p>
          <w:p w14:paraId="29915716" w14:textId="77777777" w:rsidR="00A73EAC" w:rsidRDefault="00A73EAC" w:rsidP="00A73EAC">
            <w:pPr>
              <w:pStyle w:val="naisc"/>
              <w:jc w:val="both"/>
            </w:pPr>
            <w:r>
              <w:t>[…]</w:t>
            </w:r>
          </w:p>
          <w:p w14:paraId="47C6B631" w14:textId="77777777" w:rsidR="00A73EAC" w:rsidRDefault="00A73EAC" w:rsidP="00A73EAC">
            <w:pPr>
              <w:pStyle w:val="naisc"/>
              <w:jc w:val="both"/>
            </w:pPr>
          </w:p>
          <w:p w14:paraId="2D484F6B" w14:textId="77777777" w:rsidR="00A73EAC" w:rsidRDefault="00A73EAC" w:rsidP="00A73EAC">
            <w:pPr>
              <w:pStyle w:val="naisc"/>
              <w:jc w:val="both"/>
            </w:pPr>
            <w:r>
              <w:t>4. 60. pantā:</w:t>
            </w:r>
          </w:p>
          <w:p w14:paraId="4A1B78A3" w14:textId="77777777" w:rsidR="00A73EAC" w:rsidRDefault="00A73EAC" w:rsidP="00A73EAC">
            <w:pPr>
              <w:pStyle w:val="naisc"/>
              <w:jc w:val="both"/>
            </w:pPr>
            <w:r>
              <w:t>izteikt 3.</w:t>
            </w:r>
            <w:r w:rsidRPr="00A73EAC">
              <w:rPr>
                <w:vertAlign w:val="superscript"/>
              </w:rPr>
              <w:t>2</w:t>
            </w:r>
            <w:r>
              <w:t xml:space="preserve"> daļu šādā redakcijā:</w:t>
            </w:r>
          </w:p>
          <w:p w14:paraId="1AEFEAF8" w14:textId="77777777" w:rsidR="00A73EAC" w:rsidRDefault="00A73EAC" w:rsidP="00A73EAC">
            <w:pPr>
              <w:pStyle w:val="naisc"/>
              <w:jc w:val="both"/>
            </w:pPr>
          </w:p>
          <w:p w14:paraId="0115F933" w14:textId="77777777" w:rsidR="00A73EAC" w:rsidRDefault="00A73EAC" w:rsidP="00A73EAC">
            <w:pPr>
              <w:pStyle w:val="naisc"/>
              <w:jc w:val="both"/>
            </w:pPr>
            <w:r>
              <w:t>“(3</w:t>
            </w:r>
            <w:r w:rsidRPr="00A73EAC">
              <w:rPr>
                <w:vertAlign w:val="superscript"/>
              </w:rPr>
              <w:t>2</w:t>
            </w:r>
            <w:r>
              <w:t xml:space="preserve">) Šā panta trešo daļu un 59. panta otro daļu par to pedagogu darba samaksas </w:t>
            </w:r>
            <w:r>
              <w:lastRenderedPageBreak/>
              <w:t xml:space="preserve">nodrošināšanu no valsts budžeta līdzekļiem, kuri nodarbināti pašvaldību, valsts augstskolu un privāto vispārējās izglītības iestāžu īstenotajās vispārējās izglītības programmās pamatizglītības un vidējās izglītības pakāpē nepiemēro šādos gadījumos: </w:t>
            </w:r>
          </w:p>
          <w:p w14:paraId="4305C97B" w14:textId="77777777" w:rsidR="00A73EAC" w:rsidRDefault="00A73EAC" w:rsidP="00A73EAC">
            <w:pPr>
              <w:pStyle w:val="naisc"/>
              <w:jc w:val="both"/>
            </w:pPr>
            <w:r>
              <w:t xml:space="preserve">1) attiecībā uz pedagogu darba samaksu pamatizglītības pakāpē, ja izglītojamo skaits neatbilst Ministru kabineta noteiktajam minimāli pieļaujamajam skaitam pamatizglītības pakāpē vai minimāli pieļaujamajam izglītojamo skaitam pašvaldību un privāto pamatizglītības iestāžu vispārējās pamatizglītības </w:t>
            </w:r>
            <w:r w:rsidRPr="00D709FB">
              <w:rPr>
                <w:u w:val="single"/>
              </w:rPr>
              <w:t>programmu īstenošanas vietās, ja īstenošanas vietas ir vairākas</w:t>
            </w:r>
            <w:r>
              <w:t>;</w:t>
            </w:r>
          </w:p>
          <w:p w14:paraId="500F571D" w14:textId="77777777" w:rsidR="00A73EAC" w:rsidRDefault="00A73EAC" w:rsidP="00A73EAC">
            <w:pPr>
              <w:pStyle w:val="naisc"/>
              <w:jc w:val="both"/>
            </w:pPr>
            <w:r>
              <w:t>[…]</w:t>
            </w:r>
          </w:p>
          <w:p w14:paraId="778DDA42" w14:textId="77777777" w:rsidR="00A73EAC" w:rsidRDefault="00A73EAC" w:rsidP="00A73EAC">
            <w:pPr>
              <w:pStyle w:val="naisc"/>
              <w:jc w:val="both"/>
            </w:pPr>
          </w:p>
          <w:p w14:paraId="17FB174E" w14:textId="77777777" w:rsidR="007F2D04" w:rsidRDefault="007F2D04" w:rsidP="007F2D04">
            <w:pPr>
              <w:pStyle w:val="naisc"/>
              <w:jc w:val="both"/>
            </w:pPr>
            <w:r>
              <w:lastRenderedPageBreak/>
              <w:t xml:space="preserve">Anotācijas I sadaļas 2. punkts. </w:t>
            </w:r>
          </w:p>
          <w:p w14:paraId="16B9D298" w14:textId="77777777" w:rsidR="007F2D04" w:rsidRDefault="007F2D04" w:rsidP="007F2D04">
            <w:pPr>
              <w:pStyle w:val="naisc"/>
              <w:spacing w:before="0" w:after="0"/>
              <w:jc w:val="both"/>
            </w:pPr>
          </w:p>
        </w:tc>
        <w:tc>
          <w:tcPr>
            <w:tcW w:w="4252" w:type="dxa"/>
            <w:tcBorders>
              <w:top w:val="single" w:sz="4" w:space="0" w:color="auto"/>
              <w:left w:val="single" w:sz="4" w:space="0" w:color="auto"/>
              <w:bottom w:val="single" w:sz="4" w:space="0" w:color="auto"/>
              <w:right w:val="single" w:sz="4" w:space="0" w:color="auto"/>
            </w:tcBorders>
          </w:tcPr>
          <w:p w14:paraId="71D0E117" w14:textId="77777777" w:rsidR="003B739C" w:rsidRPr="00747A2A" w:rsidRDefault="00747A2A" w:rsidP="00747A2A">
            <w:pPr>
              <w:pStyle w:val="naisc"/>
              <w:spacing w:before="0" w:after="0"/>
              <w:jc w:val="both"/>
              <w:rPr>
                <w:b/>
              </w:rPr>
            </w:pPr>
            <w:r w:rsidRPr="00747A2A">
              <w:rPr>
                <w:b/>
              </w:rPr>
              <w:lastRenderedPageBreak/>
              <w:t>Tieslietu ministrija</w:t>
            </w:r>
          </w:p>
          <w:p w14:paraId="75582152" w14:textId="77777777" w:rsidR="00747A2A" w:rsidRDefault="00747A2A" w:rsidP="00747A2A">
            <w:pPr>
              <w:pStyle w:val="naisc"/>
              <w:spacing w:before="0" w:after="0"/>
              <w:jc w:val="both"/>
            </w:pPr>
            <w:r w:rsidRPr="00D37509">
              <w:t>Projekta 1., 3 un 6.pantā ir ietverta norāde uz "vispārējās pamatizglītības programmu īstenošanu, ja īstenošanas vietas ir vairākas". Lai attiecīgo tiesību normu piemērošana būtu skaidra, lūdzam projekta anotācijā sniegt skaidrojumu, kā tā ir izprotama, un, kas šajā gadījumā ir "vairākas īstenošanas vietas".</w:t>
            </w:r>
          </w:p>
        </w:tc>
        <w:tc>
          <w:tcPr>
            <w:tcW w:w="4111" w:type="dxa"/>
            <w:gridSpan w:val="2"/>
            <w:tcBorders>
              <w:top w:val="single" w:sz="4" w:space="0" w:color="auto"/>
              <w:left w:val="single" w:sz="4" w:space="0" w:color="auto"/>
              <w:bottom w:val="single" w:sz="4" w:space="0" w:color="auto"/>
              <w:right w:val="single" w:sz="4" w:space="0" w:color="auto"/>
            </w:tcBorders>
          </w:tcPr>
          <w:p w14:paraId="51032B44" w14:textId="77777777" w:rsidR="00A73EAC" w:rsidRPr="00747A2A" w:rsidRDefault="00747A2A" w:rsidP="00747A2A">
            <w:pPr>
              <w:pStyle w:val="naisc"/>
              <w:spacing w:before="0" w:after="0"/>
              <w:jc w:val="both"/>
              <w:rPr>
                <w:b/>
              </w:rPr>
            </w:pPr>
            <w:r w:rsidRPr="00747A2A">
              <w:rPr>
                <w:b/>
              </w:rPr>
              <w:t>Ņemts vērā.</w:t>
            </w:r>
          </w:p>
        </w:tc>
        <w:tc>
          <w:tcPr>
            <w:tcW w:w="2951" w:type="dxa"/>
            <w:tcBorders>
              <w:top w:val="single" w:sz="4" w:space="0" w:color="auto"/>
              <w:left w:val="single" w:sz="4" w:space="0" w:color="auto"/>
              <w:bottom w:val="single" w:sz="4" w:space="0" w:color="auto"/>
              <w:right w:val="single" w:sz="4" w:space="0" w:color="auto"/>
            </w:tcBorders>
          </w:tcPr>
          <w:p w14:paraId="019FBFE0" w14:textId="77777777" w:rsidR="00A73EAC" w:rsidRDefault="00A73EAC" w:rsidP="00FF0651">
            <w:pPr>
              <w:jc w:val="both"/>
            </w:pPr>
            <w:r>
              <w:t>Precizēts likumprojekta 1., 3. un 4. p</w:t>
            </w:r>
            <w:r w:rsidR="00186952">
              <w:t>ants, aizstājot vārdus “ja īstenošanas vietas ir vairākas” ar vārdiem “ja īstenošanas vietu adreses ir dažādas”.</w:t>
            </w:r>
          </w:p>
          <w:p w14:paraId="6890A4A0" w14:textId="77777777" w:rsidR="00A73EAC" w:rsidRDefault="00A73EAC" w:rsidP="00FF0651">
            <w:pPr>
              <w:jc w:val="both"/>
            </w:pPr>
          </w:p>
          <w:p w14:paraId="10088D6F" w14:textId="77777777" w:rsidR="00186952" w:rsidRDefault="00186952" w:rsidP="00186952">
            <w:pPr>
              <w:jc w:val="both"/>
            </w:pPr>
            <w:r>
              <w:t>1. 14. pantā:</w:t>
            </w:r>
          </w:p>
          <w:p w14:paraId="33268B34" w14:textId="77777777" w:rsidR="00186952" w:rsidRDefault="00186952" w:rsidP="00186952">
            <w:pPr>
              <w:jc w:val="both"/>
            </w:pPr>
            <w:r>
              <w:t>[…]</w:t>
            </w:r>
          </w:p>
          <w:p w14:paraId="68B7265A" w14:textId="77777777" w:rsidR="00186952" w:rsidRDefault="00186952" w:rsidP="00186952">
            <w:pPr>
              <w:jc w:val="both"/>
            </w:pPr>
          </w:p>
          <w:p w14:paraId="55472A14" w14:textId="77777777" w:rsidR="00186952" w:rsidRDefault="00186952" w:rsidP="00186952">
            <w:pPr>
              <w:jc w:val="both"/>
            </w:pPr>
            <w:r>
              <w:t xml:space="preserve">“44) atbilstoši administratīvi teritoriālajam iedalījumam nosaka minimāli pieļaujamo izglītojamo skaitu pamatizglītības un vidējās izglītības pakāpē pašvaldību, valsts augstskolu un privātajās vispārējās izglītības iestādēs, kā arī minimāli pieļaujamo izglītojamo skaitu pašvaldību un privāto pamatizglītības iestāžu vispārējās </w:t>
            </w:r>
            <w:r w:rsidRPr="00186952">
              <w:t xml:space="preserve">pamatizglītības </w:t>
            </w:r>
            <w:r w:rsidRPr="00D709FB">
              <w:rPr>
                <w:u w:val="single"/>
              </w:rPr>
              <w:t xml:space="preserve">programmu īstenošanas </w:t>
            </w:r>
            <w:r w:rsidRPr="00D709FB">
              <w:rPr>
                <w:u w:val="single"/>
              </w:rPr>
              <w:lastRenderedPageBreak/>
              <w:t>vietās, ja īstenošanas vietu adreses ir dažādas</w:t>
            </w:r>
            <w:r w:rsidRPr="00186952">
              <w:t>.”</w:t>
            </w:r>
          </w:p>
          <w:p w14:paraId="262623E0" w14:textId="77777777" w:rsidR="00186952" w:rsidRDefault="00186952" w:rsidP="00186952">
            <w:pPr>
              <w:jc w:val="both"/>
            </w:pPr>
          </w:p>
          <w:p w14:paraId="203AFD5A" w14:textId="77777777" w:rsidR="00186952" w:rsidRDefault="00186952" w:rsidP="00186952">
            <w:pPr>
              <w:jc w:val="both"/>
            </w:pPr>
            <w:r>
              <w:t>3. Papildināt 36. pantu ar 2.</w:t>
            </w:r>
            <w:r w:rsidRPr="00186952">
              <w:rPr>
                <w:vertAlign w:val="superscript"/>
              </w:rPr>
              <w:t>1</w:t>
            </w:r>
            <w:r>
              <w:t xml:space="preserve"> un 2.</w:t>
            </w:r>
            <w:r w:rsidRPr="00186952">
              <w:rPr>
                <w:vertAlign w:val="superscript"/>
              </w:rPr>
              <w:t>2</w:t>
            </w:r>
            <w:r>
              <w:t xml:space="preserve"> daļu šādā redakcijā:</w:t>
            </w:r>
          </w:p>
          <w:p w14:paraId="12162949" w14:textId="77777777" w:rsidR="00186952" w:rsidRDefault="00186952" w:rsidP="00186952">
            <w:pPr>
              <w:jc w:val="both"/>
            </w:pPr>
          </w:p>
          <w:p w14:paraId="773A82D9" w14:textId="77777777" w:rsidR="00186952" w:rsidRDefault="00186952" w:rsidP="00186952">
            <w:pPr>
              <w:jc w:val="both"/>
            </w:pPr>
            <w:r>
              <w:t>“(2</w:t>
            </w:r>
            <w:r w:rsidRPr="00186952">
              <w:rPr>
                <w:vertAlign w:val="superscript"/>
              </w:rPr>
              <w:t>1</w:t>
            </w:r>
            <w:r>
              <w:t xml:space="preserve">) Pašvaldību vispārējās izglītības iestādes ir tiesīgas īstenot vispārējās izglītības programmas pamatizglītības pakāpē, ja izglītības iestāde atbilst Ministru kabineta noteiktajam minimāli pieļaujamajam izglītojamo skaitam pamatizglītības pakāpē, un ja pamatizglītības iestāde atbilst Ministru kabineta noteiktajam minimāli pieļaujamajam izglītojamo skaitam vispārējās izglītības </w:t>
            </w:r>
            <w:r w:rsidRPr="00D709FB">
              <w:rPr>
                <w:u w:val="single"/>
              </w:rPr>
              <w:t>programmas pamatizglītības pakāpē īstenošanas vietās, ja īstenošanas vietu adreses ir dažādas</w:t>
            </w:r>
            <w:r>
              <w:t>.</w:t>
            </w:r>
          </w:p>
          <w:p w14:paraId="1ABABAEA" w14:textId="77777777" w:rsidR="00186952" w:rsidRPr="00186952" w:rsidRDefault="00186952" w:rsidP="00186952">
            <w:pPr>
              <w:jc w:val="both"/>
            </w:pPr>
            <w:r>
              <w:t>[…]”</w:t>
            </w:r>
          </w:p>
          <w:p w14:paraId="08A1750F" w14:textId="77777777" w:rsidR="00A73EAC" w:rsidRDefault="00A73EAC" w:rsidP="00FF0651">
            <w:pPr>
              <w:jc w:val="both"/>
            </w:pPr>
          </w:p>
          <w:p w14:paraId="35146FF4" w14:textId="77777777" w:rsidR="00186952" w:rsidRDefault="00186952" w:rsidP="00186952">
            <w:pPr>
              <w:jc w:val="both"/>
            </w:pPr>
            <w:r>
              <w:t>4. 60. pantā:</w:t>
            </w:r>
          </w:p>
          <w:p w14:paraId="6C17C39F" w14:textId="77777777" w:rsidR="00186952" w:rsidRDefault="00186952" w:rsidP="00186952">
            <w:pPr>
              <w:jc w:val="both"/>
            </w:pPr>
            <w:r>
              <w:t>izteikt 3.</w:t>
            </w:r>
            <w:r w:rsidRPr="00186952">
              <w:rPr>
                <w:vertAlign w:val="superscript"/>
              </w:rPr>
              <w:t>2</w:t>
            </w:r>
            <w:r>
              <w:t xml:space="preserve"> daļu šādā redakcijā:</w:t>
            </w:r>
          </w:p>
          <w:p w14:paraId="66B89EC0" w14:textId="77777777" w:rsidR="00186952" w:rsidRDefault="00186952" w:rsidP="00186952">
            <w:pPr>
              <w:jc w:val="both"/>
            </w:pPr>
          </w:p>
          <w:p w14:paraId="53AF0C7B" w14:textId="77777777" w:rsidR="00186952" w:rsidRDefault="00186952" w:rsidP="00186952">
            <w:pPr>
              <w:jc w:val="both"/>
            </w:pPr>
            <w:r>
              <w:t>“(3</w:t>
            </w:r>
            <w:r w:rsidRPr="00186952">
              <w:rPr>
                <w:vertAlign w:val="superscript"/>
              </w:rPr>
              <w:t>2</w:t>
            </w:r>
            <w:r>
              <w:t xml:space="preserve">) Šā panta trešo daļu un 59. panta otro daļu par to pedagogu darba samaksas nodrošināšanu no valsts budžeta līdzekļiem, kuri nodarbināti pašvaldību, valsts augstskolu un privāto vispārējās izglītības iestāžu īstenotajās vispārējās izglītības programmās pamatizglītības un vidējās izglītības pakāpē nepiemēro šādos gadījumos: </w:t>
            </w:r>
          </w:p>
          <w:p w14:paraId="7D7EB7A0" w14:textId="77777777" w:rsidR="00186952" w:rsidRDefault="00186952" w:rsidP="00186952">
            <w:pPr>
              <w:jc w:val="both"/>
            </w:pPr>
            <w:r>
              <w:t xml:space="preserve">1) attiecībā uz pedagogu darba samaksu pamatizglītības pakāpē, ja izglītojamo skaits neatbilst Ministru kabineta noteiktajam minimāli pieļaujamajam skaitam pamatizglītības pakāpē vai minimāli pieļaujamajam izglītojamo skaitam pašvaldību un privāto pamatizglītības iestāžu vispārējās pamatizglītības </w:t>
            </w:r>
            <w:r w:rsidRPr="00D709FB">
              <w:rPr>
                <w:u w:val="single"/>
              </w:rPr>
              <w:t>programmu īstenošanas vietās, ja īstenošanas vietu adreses ir dažādas</w:t>
            </w:r>
            <w:r>
              <w:t>;</w:t>
            </w:r>
          </w:p>
          <w:p w14:paraId="01577961" w14:textId="77777777" w:rsidR="00186952" w:rsidRDefault="00186952" w:rsidP="00186952">
            <w:pPr>
              <w:jc w:val="both"/>
            </w:pPr>
            <w:r>
              <w:lastRenderedPageBreak/>
              <w:t>[…]”</w:t>
            </w:r>
          </w:p>
          <w:p w14:paraId="13D82248" w14:textId="77777777" w:rsidR="00186952" w:rsidRPr="00186952" w:rsidRDefault="00186952" w:rsidP="00FF0651">
            <w:pPr>
              <w:jc w:val="both"/>
            </w:pPr>
          </w:p>
          <w:p w14:paraId="65A7E5CB" w14:textId="77777777" w:rsidR="003B739C" w:rsidRDefault="00A73EAC" w:rsidP="00FF0651">
            <w:pPr>
              <w:jc w:val="both"/>
            </w:pPr>
            <w:r>
              <w:t>Atbilstoši p</w:t>
            </w:r>
            <w:r w:rsidR="00FF0651">
              <w:t>apildināts anotācijas I sadaļas 2. punkts (6. lpp.)</w:t>
            </w:r>
            <w:r>
              <w:t xml:space="preserve"> un precizēta anotācijā lietotā terminoloģija.</w:t>
            </w:r>
          </w:p>
        </w:tc>
      </w:tr>
      <w:tr w:rsidR="00AF40A8" w14:paraId="6E797285" w14:textId="77777777" w:rsidTr="007F2D04">
        <w:tc>
          <w:tcPr>
            <w:tcW w:w="708" w:type="dxa"/>
            <w:tcBorders>
              <w:top w:val="single" w:sz="4" w:space="0" w:color="auto"/>
              <w:left w:val="single" w:sz="4" w:space="0" w:color="auto"/>
              <w:bottom w:val="single" w:sz="4" w:space="0" w:color="auto"/>
              <w:right w:val="single" w:sz="4" w:space="0" w:color="auto"/>
            </w:tcBorders>
          </w:tcPr>
          <w:p w14:paraId="0862DE98" w14:textId="77777777" w:rsidR="00AF40A8" w:rsidRDefault="00D33193" w:rsidP="00E80F28">
            <w:pPr>
              <w:pStyle w:val="naisc"/>
              <w:spacing w:before="0" w:after="0"/>
            </w:pPr>
            <w:r>
              <w:lastRenderedPageBreak/>
              <w:t>5.</w:t>
            </w:r>
          </w:p>
        </w:tc>
        <w:tc>
          <w:tcPr>
            <w:tcW w:w="2970" w:type="dxa"/>
            <w:gridSpan w:val="2"/>
            <w:tcBorders>
              <w:top w:val="single" w:sz="4" w:space="0" w:color="auto"/>
              <w:left w:val="single" w:sz="4" w:space="0" w:color="auto"/>
              <w:bottom w:val="single" w:sz="4" w:space="0" w:color="auto"/>
              <w:right w:val="single" w:sz="4" w:space="0" w:color="auto"/>
            </w:tcBorders>
          </w:tcPr>
          <w:p w14:paraId="54022663" w14:textId="77777777" w:rsidR="007F2D04" w:rsidRPr="00A04F94" w:rsidRDefault="007F2D04" w:rsidP="007F2D04">
            <w:pPr>
              <w:pStyle w:val="naisc"/>
              <w:jc w:val="both"/>
            </w:pPr>
            <w:r w:rsidRPr="00A04F94">
              <w:t>2. Papildināt 17. panta trešo daļu ar 13.</w:t>
            </w:r>
            <w:r w:rsidRPr="00A04F94">
              <w:rPr>
                <w:vertAlign w:val="superscript"/>
              </w:rPr>
              <w:t>1</w:t>
            </w:r>
            <w:r w:rsidRPr="00A04F94">
              <w:t xml:space="preserve"> punktu šādā redakcijā:</w:t>
            </w:r>
          </w:p>
          <w:p w14:paraId="71879481" w14:textId="77777777" w:rsidR="007F2D04" w:rsidRPr="00A04F94" w:rsidRDefault="007F2D04" w:rsidP="007F2D04">
            <w:pPr>
              <w:pStyle w:val="naisc"/>
            </w:pPr>
          </w:p>
          <w:p w14:paraId="79591252" w14:textId="77777777" w:rsidR="00AF40A8" w:rsidRPr="00A04F94" w:rsidRDefault="007F2D04" w:rsidP="007F2D04">
            <w:pPr>
              <w:pStyle w:val="naisc"/>
              <w:spacing w:before="0" w:after="0"/>
              <w:jc w:val="both"/>
            </w:pPr>
            <w:r w:rsidRPr="00A04F94">
              <w:t>“13</w:t>
            </w:r>
            <w:r w:rsidRPr="00A04F94">
              <w:rPr>
                <w:vertAlign w:val="superscript"/>
              </w:rPr>
              <w:t>1</w:t>
            </w:r>
            <w:r w:rsidRPr="00A04F94">
              <w:t>) piedalās no sava budžeta izglītojamo, kuri tās administratīvajā teritorijā esošajās izglītības iestādēs, izņemot valsts izglītības iestādes, klātienē apgūst pamatizglītības programmas 1., 2., 3. un 4. klasē, ēdināšanas izmaksu segšanā, ievērojot, ka ēdināšanas izmaksas vienam izglītojamajam dienā no pašvaldības budžeta nodrošināmas ne mazākā apmērā, kādā tās nodrošina valsts, pamatojoties uz Bērnu tiesību aizsardzības likumā noteikto.”</w:t>
            </w:r>
          </w:p>
        </w:tc>
        <w:tc>
          <w:tcPr>
            <w:tcW w:w="4252" w:type="dxa"/>
            <w:tcBorders>
              <w:top w:val="single" w:sz="4" w:space="0" w:color="auto"/>
              <w:left w:val="single" w:sz="4" w:space="0" w:color="auto"/>
              <w:bottom w:val="single" w:sz="4" w:space="0" w:color="auto"/>
              <w:right w:val="single" w:sz="4" w:space="0" w:color="auto"/>
            </w:tcBorders>
          </w:tcPr>
          <w:p w14:paraId="6920BE8F" w14:textId="77777777" w:rsidR="00AF40A8" w:rsidRPr="00A04F94" w:rsidRDefault="00605513" w:rsidP="00605513">
            <w:pPr>
              <w:pStyle w:val="naisc"/>
              <w:spacing w:before="0" w:after="0"/>
              <w:jc w:val="both"/>
            </w:pPr>
            <w:r w:rsidRPr="00A04F94">
              <w:t>Tieslietu ministrija</w:t>
            </w:r>
          </w:p>
          <w:p w14:paraId="283B6E02" w14:textId="77777777" w:rsidR="00605513" w:rsidRPr="00A04F94" w:rsidRDefault="00605513" w:rsidP="00605513">
            <w:pPr>
              <w:pStyle w:val="naisc"/>
              <w:spacing w:before="0" w:after="0"/>
              <w:jc w:val="both"/>
            </w:pPr>
            <w:r w:rsidRPr="00A04F94">
              <w:t>Projekta 2.pants, kas paredz papildināt Izglītības likuma 17.panta trešo daļu ar 13.</w:t>
            </w:r>
            <w:r w:rsidRPr="00A04F94">
              <w:rPr>
                <w:vertAlign w:val="superscript"/>
              </w:rPr>
              <w:t>1</w:t>
            </w:r>
            <w:r w:rsidRPr="00A04F94">
              <w:t xml:space="preserve"> punktu noteic, ka pašvaldības piedalās no sava budžeta 1., 2., 3. un 4.klašu izglītojamo ēdināšanas izdevumu segšanā no 2020.gada 1.janvāra. Pašvaldībai būs pienākums ēdināšanas izdevumus nodrošināt ne mazākā apmērā, kādā tie nodrošināmi no valsts budžeta līdzekļiem. Norādām, ka, lai izpildītu šādu pienākumu, pašvaldībām jau nākamā gada budžetā ir jānodrošina papildu finanšu līdzekļi. Ievērojot minēto, un ņemot vērā to, ka šāds regulējums skar bērnu tiesības, lūdzam projekta anotācijā iekļaut informāciju, vai visas pašvaldības spēs rast papildu finanšu līdzekļus, lai nodrošinātu izglītojamo ēdināšanas pakalpojumus.</w:t>
            </w:r>
          </w:p>
        </w:tc>
        <w:tc>
          <w:tcPr>
            <w:tcW w:w="4111" w:type="dxa"/>
            <w:gridSpan w:val="2"/>
            <w:tcBorders>
              <w:top w:val="single" w:sz="4" w:space="0" w:color="auto"/>
              <w:left w:val="single" w:sz="4" w:space="0" w:color="auto"/>
              <w:bottom w:val="single" w:sz="4" w:space="0" w:color="auto"/>
              <w:right w:val="single" w:sz="4" w:space="0" w:color="auto"/>
            </w:tcBorders>
          </w:tcPr>
          <w:p w14:paraId="0AF81873" w14:textId="77777777" w:rsidR="00A04F94" w:rsidRPr="003B739C" w:rsidRDefault="00A04F94" w:rsidP="00A04F94">
            <w:pPr>
              <w:pStyle w:val="naisc"/>
              <w:spacing w:before="0" w:after="0"/>
              <w:jc w:val="both"/>
              <w:rPr>
                <w:b/>
              </w:rPr>
            </w:pPr>
            <w:r w:rsidRPr="003B739C">
              <w:rPr>
                <w:b/>
              </w:rPr>
              <w:t>Ņemts vērā.</w:t>
            </w:r>
          </w:p>
          <w:p w14:paraId="6ACE9F75" w14:textId="77777777" w:rsidR="00AF40A8" w:rsidRPr="00605513" w:rsidRDefault="00A04F94" w:rsidP="00A04F94">
            <w:pPr>
              <w:pStyle w:val="naisc"/>
              <w:spacing w:before="0" w:after="0"/>
              <w:jc w:val="both"/>
              <w:rPr>
                <w:b/>
              </w:rPr>
            </w:pPr>
            <w:r>
              <w:t xml:space="preserve">Izglītības un zinātnes ministrijas rīcībā esošā informācija ir iekļauta likumprojekta anotācijas sākotnējā redakcijā, tai skaitā sniegta informācija, ka </w:t>
            </w:r>
            <w:r w:rsidRPr="00EC7582">
              <w:t>veiktā pašvaldību aptauja 2018.gada sākumā</w:t>
            </w:r>
            <w:r>
              <w:t xml:space="preserve"> liecina</w:t>
            </w:r>
            <w:r w:rsidRPr="00EC7582">
              <w:t xml:space="preserve">, </w:t>
            </w:r>
            <w:r>
              <w:t xml:space="preserve">ka </w:t>
            </w:r>
            <w:r w:rsidRPr="00EC7582">
              <w:t>daudzas pašvaldības no saviem līdzekļiem nodrošina brīvpusdienas arī citu klašu skolēniem</w:t>
            </w:r>
            <w:r>
              <w:t xml:space="preserve"> un ka pašvaldībās veidojas valsts piešķirtā finansējuma uzkrājumi. </w:t>
            </w:r>
            <w:r w:rsidRPr="00EC7582">
              <w:t>Likumprojekt</w:t>
            </w:r>
            <w:r>
              <w:t>ā noteiktais p</w:t>
            </w:r>
            <w:r w:rsidRPr="00EC7582">
              <w:t>ienākum</w:t>
            </w:r>
            <w:r>
              <w:t>s</w:t>
            </w:r>
            <w:r w:rsidRPr="00EC7582">
              <w:t xml:space="preserve"> republikas pilsētu un novadu pašvaldībām no sava budžeta piedalīties izglītojamo ēdināšanas izmaksu segšanā</w:t>
            </w:r>
            <w:r>
              <w:t xml:space="preserve"> nodrošināms no pašvaldību budžeta, tai skaitā </w:t>
            </w:r>
            <w:proofErr w:type="spellStart"/>
            <w:r>
              <w:t>efektivizējot</w:t>
            </w:r>
            <w:proofErr w:type="spellEnd"/>
            <w:r>
              <w:t xml:space="preserve"> jau šobrīd pašvaldību brīvpusdienām piešķirto līdzekļu izlietojumu</w:t>
            </w:r>
            <w:r w:rsidRPr="00EC7582">
              <w:t>.</w:t>
            </w:r>
          </w:p>
        </w:tc>
        <w:tc>
          <w:tcPr>
            <w:tcW w:w="2951" w:type="dxa"/>
            <w:tcBorders>
              <w:top w:val="single" w:sz="4" w:space="0" w:color="auto"/>
              <w:left w:val="single" w:sz="4" w:space="0" w:color="auto"/>
              <w:bottom w:val="single" w:sz="4" w:space="0" w:color="auto"/>
              <w:right w:val="single" w:sz="4" w:space="0" w:color="auto"/>
            </w:tcBorders>
          </w:tcPr>
          <w:p w14:paraId="13C847BD" w14:textId="77777777" w:rsidR="00A04F94" w:rsidRDefault="00A04F94" w:rsidP="00A73EAC">
            <w:pPr>
              <w:jc w:val="both"/>
            </w:pPr>
            <w:r>
              <w:t xml:space="preserve">Precizēts anotācijas I sadaļas 2.punkts (4.lpp.): </w:t>
            </w:r>
          </w:p>
          <w:p w14:paraId="0574D76F" w14:textId="77777777" w:rsidR="00AF40A8" w:rsidRDefault="00A04F94" w:rsidP="00A04F94">
            <w:pPr>
              <w:jc w:val="both"/>
            </w:pPr>
            <w:r>
              <w:t xml:space="preserve">“Likumprojekts paredz noteikt pienākumu republikas pilsētu un novadu pašvaldībām no sava budžeta, </w:t>
            </w:r>
            <w:r w:rsidRPr="00A04F94">
              <w:rPr>
                <w:u w:val="single"/>
              </w:rPr>
              <w:t xml:space="preserve">tai skaitā </w:t>
            </w:r>
            <w:proofErr w:type="spellStart"/>
            <w:r w:rsidRPr="00A04F94">
              <w:rPr>
                <w:u w:val="single"/>
              </w:rPr>
              <w:t>efektivizējot</w:t>
            </w:r>
            <w:proofErr w:type="spellEnd"/>
            <w:r w:rsidRPr="00A04F94">
              <w:rPr>
                <w:u w:val="single"/>
              </w:rPr>
              <w:t xml:space="preserve"> jau šobrīd brīvpusdienām piešķirto pašvaldību finanšu līdzekļu izlietojumu</w:t>
            </w:r>
            <w:r>
              <w:t>,  piedalīties izglītojamo, kuri tās administratīvajā teritorijā esošajās izglītības iestādēs (atbilstoši izglītības programmas īstenošanas vietas adresei) klātienē apgūst pamatizglītības programmas 1., 2., 3. un 4.klasē, ēdināšanas izmaksu segšanā.”</w:t>
            </w:r>
          </w:p>
        </w:tc>
      </w:tr>
      <w:tr w:rsidR="00AF40A8" w14:paraId="4DBBFA64" w14:textId="77777777" w:rsidTr="007F2D04">
        <w:tc>
          <w:tcPr>
            <w:tcW w:w="14992"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2B572C" w14:textId="77777777" w:rsidR="00AF40A8" w:rsidRPr="00AF40A8" w:rsidRDefault="00AF40A8" w:rsidP="00AF40A8">
            <w:pPr>
              <w:jc w:val="center"/>
              <w:rPr>
                <w:b/>
              </w:rPr>
            </w:pPr>
            <w:r w:rsidRPr="00AF40A8">
              <w:rPr>
                <w:b/>
              </w:rPr>
              <w:lastRenderedPageBreak/>
              <w:t>PRIEKŠLIKUMI</w:t>
            </w:r>
          </w:p>
        </w:tc>
      </w:tr>
      <w:tr w:rsidR="00E80F28" w14:paraId="5C5ACD09" w14:textId="77777777" w:rsidTr="00913C0C">
        <w:tc>
          <w:tcPr>
            <w:tcW w:w="708" w:type="dxa"/>
            <w:tcBorders>
              <w:top w:val="single" w:sz="4" w:space="0" w:color="auto"/>
              <w:left w:val="single" w:sz="4" w:space="0" w:color="auto"/>
              <w:bottom w:val="single" w:sz="4" w:space="0" w:color="auto"/>
              <w:right w:val="single" w:sz="4" w:space="0" w:color="auto"/>
            </w:tcBorders>
          </w:tcPr>
          <w:p w14:paraId="3F81AC24" w14:textId="77777777" w:rsidR="00E80F28" w:rsidRDefault="00D33193" w:rsidP="00E80F28">
            <w:pPr>
              <w:pStyle w:val="naisc"/>
              <w:spacing w:before="0" w:after="0"/>
            </w:pPr>
            <w:r>
              <w:t>6.</w:t>
            </w:r>
          </w:p>
        </w:tc>
        <w:tc>
          <w:tcPr>
            <w:tcW w:w="2970" w:type="dxa"/>
            <w:gridSpan w:val="2"/>
            <w:tcBorders>
              <w:top w:val="single" w:sz="4" w:space="0" w:color="auto"/>
              <w:left w:val="single" w:sz="4" w:space="0" w:color="auto"/>
              <w:bottom w:val="single" w:sz="4" w:space="0" w:color="auto"/>
              <w:right w:val="single" w:sz="4" w:space="0" w:color="auto"/>
            </w:tcBorders>
          </w:tcPr>
          <w:p w14:paraId="6CB5A470" w14:textId="77777777" w:rsidR="00E80F28" w:rsidRDefault="00BA3212" w:rsidP="00BA3212">
            <w:pPr>
              <w:pStyle w:val="naisc"/>
              <w:spacing w:before="0" w:after="0"/>
              <w:jc w:val="both"/>
            </w:pPr>
            <w:r>
              <w:t>“</w:t>
            </w:r>
            <w:r w:rsidRPr="00BA3212">
              <w:t xml:space="preserve">Savukārt Ministru kabineta 2018. gada 11. septembra noteikumi Nr. 583 “Kritēriji un kārtība, kādā valsts piedalās vispārējās izglītības iestāžu pedagogu darba samaksas finansēšanā vidējās izglītības pakāpē” (turpmāk – MK noteikumi Nr. 583) nosaka izglītojamo skaitu vidējās izglītības pakāpē pamatā pēc teritoriālā iedalījuma. Izglītojamo skaitu paredzēts ņemt vērā, aprēķinot valsts budžeta finansējuma apmēru pedagogu darba samaksas finansēšanai vidējās izglītības pakāpē, ja izglītības iestāde neatbildīs šajos MK noteikumos ietvertajiem kvalitātes kritērijiem (paredzēts, ka MK noteikumi Nr. 583 stāsies spēkā 2020. gada </w:t>
            </w:r>
            <w:r w:rsidRPr="00D709FB">
              <w:rPr>
                <w:u w:val="single"/>
              </w:rPr>
              <w:t>1. septembrī</w:t>
            </w:r>
            <w:r w:rsidRPr="00BA3212">
              <w:t>).</w:t>
            </w:r>
            <w:r>
              <w:t>”</w:t>
            </w:r>
          </w:p>
        </w:tc>
        <w:tc>
          <w:tcPr>
            <w:tcW w:w="4252" w:type="dxa"/>
            <w:tcBorders>
              <w:top w:val="single" w:sz="4" w:space="0" w:color="auto"/>
              <w:left w:val="single" w:sz="4" w:space="0" w:color="auto"/>
              <w:bottom w:val="single" w:sz="4" w:space="0" w:color="auto"/>
              <w:right w:val="single" w:sz="4" w:space="0" w:color="auto"/>
            </w:tcBorders>
          </w:tcPr>
          <w:p w14:paraId="0F7241D8" w14:textId="77777777" w:rsidR="00E80F28" w:rsidRPr="00BA3212" w:rsidRDefault="00AF40A8" w:rsidP="00BA3212">
            <w:pPr>
              <w:pStyle w:val="naisc"/>
              <w:spacing w:before="0" w:after="0"/>
              <w:jc w:val="both"/>
              <w:rPr>
                <w:b/>
              </w:rPr>
            </w:pPr>
            <w:r w:rsidRPr="00BA3212">
              <w:rPr>
                <w:b/>
              </w:rPr>
              <w:t>Finanšu ministrija</w:t>
            </w:r>
          </w:p>
          <w:p w14:paraId="2D54B757" w14:textId="77777777" w:rsidR="00AF40A8" w:rsidRDefault="00BA3212" w:rsidP="00BA3212">
            <w:pPr>
              <w:pStyle w:val="naisc"/>
              <w:spacing w:before="0" w:after="0"/>
              <w:jc w:val="both"/>
            </w:pPr>
            <w:r w:rsidRPr="0017375E">
              <w:t>Lūdzam precizēt anotācijas I sadaļas 2.punktā (7.lpp.) atsauci uz Ministru kabineta 2018.gada 11.septembra noteikumu Nr.583 “</w:t>
            </w:r>
            <w:r w:rsidRPr="0017375E">
              <w:rPr>
                <w:bCs/>
              </w:rPr>
              <w:t>Kritēriji un kārtība, kādā valsts piedalās vispārējās izglītības iestāžu pedagogu darba samaksas finansēšanā vidējās izglītības pakāpē” spēkā stāšanas laiku – 2020.gada 1.</w:t>
            </w:r>
            <w:r>
              <w:rPr>
                <w:bCs/>
                <w:u w:val="single"/>
              </w:rPr>
              <w:t>augusts</w:t>
            </w:r>
            <w:r w:rsidRPr="0017375E">
              <w:rPr>
                <w:bCs/>
              </w:rPr>
              <w:t>.</w:t>
            </w:r>
          </w:p>
        </w:tc>
        <w:tc>
          <w:tcPr>
            <w:tcW w:w="4111" w:type="dxa"/>
            <w:gridSpan w:val="2"/>
            <w:tcBorders>
              <w:top w:val="single" w:sz="4" w:space="0" w:color="auto"/>
              <w:left w:val="single" w:sz="4" w:space="0" w:color="auto"/>
              <w:bottom w:val="single" w:sz="4" w:space="0" w:color="auto"/>
              <w:right w:val="single" w:sz="4" w:space="0" w:color="auto"/>
            </w:tcBorders>
          </w:tcPr>
          <w:p w14:paraId="260A3D1A" w14:textId="77777777" w:rsidR="00E80F28" w:rsidRPr="00BA3212" w:rsidRDefault="00BA3212" w:rsidP="00BA3212">
            <w:pPr>
              <w:pStyle w:val="naisc"/>
              <w:spacing w:before="0" w:after="0"/>
              <w:jc w:val="both"/>
              <w:rPr>
                <w:b/>
              </w:rPr>
            </w:pPr>
            <w:r w:rsidRPr="00BA3212">
              <w:rPr>
                <w:b/>
              </w:rPr>
              <w:t>Ņemts vērā.</w:t>
            </w:r>
          </w:p>
        </w:tc>
        <w:tc>
          <w:tcPr>
            <w:tcW w:w="2951" w:type="dxa"/>
            <w:tcBorders>
              <w:top w:val="single" w:sz="4" w:space="0" w:color="auto"/>
              <w:left w:val="single" w:sz="4" w:space="0" w:color="auto"/>
              <w:bottom w:val="single" w:sz="4" w:space="0" w:color="auto"/>
              <w:right w:val="single" w:sz="4" w:space="0" w:color="auto"/>
            </w:tcBorders>
          </w:tcPr>
          <w:p w14:paraId="71D6E6A2" w14:textId="77777777" w:rsidR="00E80F28" w:rsidRDefault="00BA3212" w:rsidP="00BA3212">
            <w:pPr>
              <w:jc w:val="both"/>
            </w:pPr>
            <w:r>
              <w:t>“</w:t>
            </w:r>
            <w:r w:rsidRPr="00BA3212">
              <w:t xml:space="preserve">Savukārt Ministru kabineta 2018. gada 11. septembra noteikumi Nr. 583 “Kritēriji un kārtība, kādā valsts piedalās vispārējās izglītības iestāžu pedagogu darba samaksas finansēšanā vidējās izglītības pakāpē” (turpmāk – MK noteikumi Nr. 583) nosaka izglītojamo skaitu vidējās izglītības pakāpē pamatā pēc teritoriālā iedalījuma. Izglītojamo skaitu paredzēts ņemt vērā, aprēķinot valsts budžeta finansējuma apmēru pedagogu darba samaksas finansēšanai vidējās izglītības pakāpē, ja izglītības iestāde neatbildīs šajos MK noteikumos ietvertajiem kvalitātes kritērijiem (paredzēts, ka MK noteikumi Nr. 583 stāsies spēkā 2020. gada </w:t>
            </w:r>
            <w:r w:rsidRPr="00D709FB">
              <w:rPr>
                <w:u w:val="single"/>
              </w:rPr>
              <w:t>1. augustā</w:t>
            </w:r>
            <w:r w:rsidRPr="00BA3212">
              <w:t>).</w:t>
            </w:r>
            <w:r>
              <w:t>”</w:t>
            </w:r>
          </w:p>
        </w:tc>
      </w:tr>
      <w:tr w:rsidR="00E80F28" w14:paraId="5A95B2C8" w14:textId="77777777" w:rsidTr="00913C0C">
        <w:tc>
          <w:tcPr>
            <w:tcW w:w="708" w:type="dxa"/>
            <w:tcBorders>
              <w:top w:val="single" w:sz="4" w:space="0" w:color="auto"/>
              <w:left w:val="single" w:sz="4" w:space="0" w:color="auto"/>
              <w:bottom w:val="single" w:sz="4" w:space="0" w:color="auto"/>
              <w:right w:val="single" w:sz="4" w:space="0" w:color="auto"/>
            </w:tcBorders>
          </w:tcPr>
          <w:p w14:paraId="2278B999" w14:textId="77777777" w:rsidR="00E80F28" w:rsidRDefault="00D33193" w:rsidP="00E80F28">
            <w:pPr>
              <w:pStyle w:val="naisc"/>
              <w:spacing w:before="0" w:after="0"/>
            </w:pPr>
            <w:r>
              <w:t>7.</w:t>
            </w:r>
          </w:p>
        </w:tc>
        <w:tc>
          <w:tcPr>
            <w:tcW w:w="2970" w:type="dxa"/>
            <w:gridSpan w:val="2"/>
            <w:tcBorders>
              <w:top w:val="single" w:sz="4" w:space="0" w:color="auto"/>
              <w:left w:val="single" w:sz="4" w:space="0" w:color="auto"/>
              <w:bottom w:val="single" w:sz="4" w:space="0" w:color="auto"/>
              <w:right w:val="single" w:sz="4" w:space="0" w:color="auto"/>
            </w:tcBorders>
          </w:tcPr>
          <w:p w14:paraId="0C74E892" w14:textId="77777777" w:rsidR="00390CCA" w:rsidRDefault="00390CCA" w:rsidP="00390CCA">
            <w:pPr>
              <w:pStyle w:val="naisc"/>
              <w:spacing w:before="0" w:after="0"/>
              <w:jc w:val="both"/>
            </w:pPr>
            <w:r>
              <w:t>“</w:t>
            </w:r>
            <w:r w:rsidRPr="00716474">
              <w:t xml:space="preserve">Ministru kabineta noteikumu “Noteikumi par </w:t>
            </w:r>
            <w:r w:rsidRPr="00716474">
              <w:lastRenderedPageBreak/>
              <w:t xml:space="preserve">valsts vispārējās vidējās izglītības standartu un vispārējās vidējās izglītības programmu paraugiem”, </w:t>
            </w:r>
            <w:r w:rsidRPr="00D709FB">
              <w:rPr>
                <w:u w:val="single"/>
              </w:rPr>
              <w:t>kas tika pieņemti 2019. gada 3. septembrī</w:t>
            </w:r>
            <w:r w:rsidRPr="00716474">
              <w:t>, anotācijā ir minēts, ka minimālais izglītojamo skaits klasē, lai īstenotu jauno vispārējās izglītības standartu vidējā izglītībā, ir 15-16 izglītojamie, attiecīgi vidējās izglītības pakāpē – 45 izglītojamie.</w:t>
            </w:r>
            <w:r>
              <w:t>”</w:t>
            </w:r>
          </w:p>
        </w:tc>
        <w:tc>
          <w:tcPr>
            <w:tcW w:w="4252" w:type="dxa"/>
            <w:tcBorders>
              <w:top w:val="single" w:sz="4" w:space="0" w:color="auto"/>
              <w:left w:val="single" w:sz="4" w:space="0" w:color="auto"/>
              <w:bottom w:val="single" w:sz="4" w:space="0" w:color="auto"/>
              <w:right w:val="single" w:sz="4" w:space="0" w:color="auto"/>
            </w:tcBorders>
          </w:tcPr>
          <w:p w14:paraId="7C0ACF2D" w14:textId="77777777" w:rsidR="00E80F28" w:rsidRPr="00390CCA" w:rsidRDefault="00390CCA" w:rsidP="00390CCA">
            <w:pPr>
              <w:pStyle w:val="naisc"/>
              <w:spacing w:before="0" w:after="0"/>
              <w:jc w:val="both"/>
              <w:rPr>
                <w:b/>
              </w:rPr>
            </w:pPr>
            <w:r w:rsidRPr="00390CCA">
              <w:rPr>
                <w:b/>
              </w:rPr>
              <w:lastRenderedPageBreak/>
              <w:t>Finanšu ministrija</w:t>
            </w:r>
          </w:p>
          <w:p w14:paraId="45BADCA5" w14:textId="77777777" w:rsidR="00390CCA" w:rsidRDefault="00390CCA" w:rsidP="00390CCA">
            <w:pPr>
              <w:pStyle w:val="naisc"/>
              <w:spacing w:before="0" w:after="0"/>
              <w:jc w:val="both"/>
            </w:pPr>
            <w:r w:rsidRPr="0017375E">
              <w:lastRenderedPageBreak/>
              <w:t xml:space="preserve">Lūdzam precizēt anotācijas I sadaļas 2.punktā (7.lpp.) atsauci uz Ministru kabineta 2019.gada 3.septembra noteikumiem </w:t>
            </w:r>
            <w:r w:rsidRPr="0017375E">
              <w:rPr>
                <w:u w:val="single"/>
              </w:rPr>
              <w:t>Nr.416</w:t>
            </w:r>
            <w:r w:rsidRPr="0017375E">
              <w:t xml:space="preserve"> “</w:t>
            </w:r>
            <w:r w:rsidRPr="0017375E">
              <w:rPr>
                <w:bCs/>
              </w:rPr>
              <w:t>Noteikumi par valsts vispārējās vidējās izglītības standartu un vispārējās vidējās izglītības programmu paraugiem”.</w:t>
            </w:r>
          </w:p>
        </w:tc>
        <w:tc>
          <w:tcPr>
            <w:tcW w:w="4111" w:type="dxa"/>
            <w:gridSpan w:val="2"/>
            <w:tcBorders>
              <w:top w:val="single" w:sz="4" w:space="0" w:color="auto"/>
              <w:left w:val="single" w:sz="4" w:space="0" w:color="auto"/>
              <w:bottom w:val="single" w:sz="4" w:space="0" w:color="auto"/>
              <w:right w:val="single" w:sz="4" w:space="0" w:color="auto"/>
            </w:tcBorders>
          </w:tcPr>
          <w:p w14:paraId="2CAF83FA" w14:textId="77777777" w:rsidR="00E80F28" w:rsidRPr="00390CCA" w:rsidRDefault="00390CCA" w:rsidP="00390CCA">
            <w:pPr>
              <w:pStyle w:val="naisc"/>
              <w:spacing w:before="0" w:after="0"/>
              <w:jc w:val="both"/>
              <w:rPr>
                <w:b/>
              </w:rPr>
            </w:pPr>
            <w:r w:rsidRPr="00390CCA">
              <w:rPr>
                <w:b/>
              </w:rPr>
              <w:lastRenderedPageBreak/>
              <w:t>Ņemts vērā.</w:t>
            </w:r>
          </w:p>
        </w:tc>
        <w:tc>
          <w:tcPr>
            <w:tcW w:w="2951" w:type="dxa"/>
            <w:tcBorders>
              <w:top w:val="single" w:sz="4" w:space="0" w:color="auto"/>
              <w:left w:val="single" w:sz="4" w:space="0" w:color="auto"/>
              <w:bottom w:val="single" w:sz="4" w:space="0" w:color="auto"/>
              <w:right w:val="single" w:sz="4" w:space="0" w:color="auto"/>
            </w:tcBorders>
          </w:tcPr>
          <w:p w14:paraId="6466E615" w14:textId="77777777" w:rsidR="00E80F28" w:rsidRDefault="00390CCA" w:rsidP="00390CCA">
            <w:pPr>
              <w:jc w:val="both"/>
            </w:pPr>
            <w:r w:rsidRPr="00D709FB">
              <w:rPr>
                <w:u w:val="single"/>
              </w:rPr>
              <w:t xml:space="preserve">Ministru kabineta 2019. gada 3. septembra </w:t>
            </w:r>
            <w:r w:rsidRPr="00D709FB">
              <w:rPr>
                <w:u w:val="single"/>
              </w:rPr>
              <w:lastRenderedPageBreak/>
              <w:t>noteikumu Nr. 416</w:t>
            </w:r>
            <w:r>
              <w:t xml:space="preserve"> </w:t>
            </w:r>
            <w:r w:rsidRPr="00716474">
              <w:t>“Noteikumi par valsts vispārējās vidējās izglītības standartu un vispārējās vidējās izglītības programmu paraugiem”</w:t>
            </w:r>
            <w:r>
              <w:t xml:space="preserve"> </w:t>
            </w:r>
            <w:r w:rsidRPr="00716474">
              <w:t>anotācijā ir minēts, ka minimālais izglītojamo skaits klasē, lai īstenotu jauno vispārējās izglītības standartu vidējā izglītībā, ir 15-16 izglītojamie, attiecīgi vidējās izglītības pakāpē – 45 izglītojamie.</w:t>
            </w:r>
          </w:p>
        </w:tc>
      </w:tr>
      <w:tr w:rsidR="00390CCA" w14:paraId="675B33F4" w14:textId="77777777" w:rsidTr="00913C0C">
        <w:tc>
          <w:tcPr>
            <w:tcW w:w="708" w:type="dxa"/>
            <w:tcBorders>
              <w:top w:val="single" w:sz="4" w:space="0" w:color="auto"/>
              <w:left w:val="single" w:sz="4" w:space="0" w:color="auto"/>
              <w:bottom w:val="single" w:sz="4" w:space="0" w:color="auto"/>
              <w:right w:val="single" w:sz="4" w:space="0" w:color="auto"/>
            </w:tcBorders>
          </w:tcPr>
          <w:p w14:paraId="3BF885DD" w14:textId="77777777" w:rsidR="00390CCA" w:rsidRDefault="00D33193" w:rsidP="00E80F28">
            <w:pPr>
              <w:pStyle w:val="naisc"/>
              <w:spacing w:before="0" w:after="0"/>
            </w:pPr>
            <w:r>
              <w:lastRenderedPageBreak/>
              <w:t>8.</w:t>
            </w:r>
          </w:p>
        </w:tc>
        <w:tc>
          <w:tcPr>
            <w:tcW w:w="2970" w:type="dxa"/>
            <w:gridSpan w:val="2"/>
            <w:tcBorders>
              <w:top w:val="single" w:sz="4" w:space="0" w:color="auto"/>
              <w:left w:val="single" w:sz="4" w:space="0" w:color="auto"/>
              <w:bottom w:val="single" w:sz="4" w:space="0" w:color="auto"/>
              <w:right w:val="single" w:sz="4" w:space="0" w:color="auto"/>
            </w:tcBorders>
          </w:tcPr>
          <w:p w14:paraId="483435A5" w14:textId="77777777" w:rsidR="00390CCA" w:rsidRDefault="00390CCA" w:rsidP="00390CCA">
            <w:pPr>
              <w:pStyle w:val="naisc"/>
              <w:spacing w:before="0" w:after="0"/>
              <w:jc w:val="both"/>
            </w:pPr>
            <w:r>
              <w:t>Anotācijas III sadaļa.</w:t>
            </w:r>
          </w:p>
        </w:tc>
        <w:tc>
          <w:tcPr>
            <w:tcW w:w="4252" w:type="dxa"/>
            <w:tcBorders>
              <w:top w:val="single" w:sz="4" w:space="0" w:color="auto"/>
              <w:left w:val="single" w:sz="4" w:space="0" w:color="auto"/>
              <w:bottom w:val="single" w:sz="4" w:space="0" w:color="auto"/>
              <w:right w:val="single" w:sz="4" w:space="0" w:color="auto"/>
            </w:tcBorders>
          </w:tcPr>
          <w:p w14:paraId="15FAC3ED" w14:textId="77777777" w:rsidR="00390CCA" w:rsidRDefault="00390CCA" w:rsidP="00390CCA">
            <w:pPr>
              <w:pStyle w:val="naisc"/>
              <w:spacing w:before="0" w:after="0"/>
              <w:jc w:val="both"/>
              <w:rPr>
                <w:b/>
              </w:rPr>
            </w:pPr>
            <w:r>
              <w:rPr>
                <w:b/>
              </w:rPr>
              <w:t>Finanšu ministrija</w:t>
            </w:r>
          </w:p>
          <w:p w14:paraId="503B0B6D" w14:textId="77777777" w:rsidR="00390CCA" w:rsidRPr="00390CCA" w:rsidRDefault="00390CCA" w:rsidP="00390CCA">
            <w:pPr>
              <w:pStyle w:val="naisc"/>
              <w:spacing w:before="0" w:after="0"/>
              <w:jc w:val="both"/>
              <w:rPr>
                <w:b/>
              </w:rPr>
            </w:pPr>
            <w:r>
              <w:rPr>
                <w:bCs/>
              </w:rPr>
              <w:t>Lūdzam precizēt anotācijas III sadaļas tabulas augšpusē n+1 un n+2 gada vērtību, norādot attiecīgi 2020. un 2021.gadu.</w:t>
            </w:r>
          </w:p>
        </w:tc>
        <w:tc>
          <w:tcPr>
            <w:tcW w:w="4111" w:type="dxa"/>
            <w:gridSpan w:val="2"/>
            <w:tcBorders>
              <w:top w:val="single" w:sz="4" w:space="0" w:color="auto"/>
              <w:left w:val="single" w:sz="4" w:space="0" w:color="auto"/>
              <w:bottom w:val="single" w:sz="4" w:space="0" w:color="auto"/>
              <w:right w:val="single" w:sz="4" w:space="0" w:color="auto"/>
            </w:tcBorders>
          </w:tcPr>
          <w:p w14:paraId="04323483" w14:textId="77777777" w:rsidR="00390CCA" w:rsidRPr="00390CCA" w:rsidRDefault="00390CCA" w:rsidP="00390CCA">
            <w:pPr>
              <w:pStyle w:val="naisc"/>
              <w:spacing w:before="0" w:after="0"/>
              <w:jc w:val="both"/>
              <w:rPr>
                <w:b/>
              </w:rPr>
            </w:pPr>
            <w:r>
              <w:rPr>
                <w:b/>
              </w:rPr>
              <w:t>Ņemts vērā.</w:t>
            </w:r>
          </w:p>
        </w:tc>
        <w:tc>
          <w:tcPr>
            <w:tcW w:w="2951" w:type="dxa"/>
            <w:tcBorders>
              <w:top w:val="single" w:sz="4" w:space="0" w:color="auto"/>
              <w:left w:val="single" w:sz="4" w:space="0" w:color="auto"/>
              <w:bottom w:val="single" w:sz="4" w:space="0" w:color="auto"/>
              <w:right w:val="single" w:sz="4" w:space="0" w:color="auto"/>
            </w:tcBorders>
          </w:tcPr>
          <w:p w14:paraId="151525E3" w14:textId="77777777" w:rsidR="00390CCA" w:rsidRPr="00716474" w:rsidRDefault="00390CCA" w:rsidP="00390CCA">
            <w:pPr>
              <w:jc w:val="both"/>
            </w:pPr>
            <w:r>
              <w:t>Anotācijas III sadaļa.</w:t>
            </w:r>
          </w:p>
        </w:tc>
      </w:tr>
      <w:tr w:rsidR="00E80F28" w14:paraId="2C355DB2" w14:textId="77777777" w:rsidTr="00AF40A8">
        <w:trPr>
          <w:gridAfter w:val="2"/>
          <w:wAfter w:w="5705" w:type="dxa"/>
        </w:trPr>
        <w:tc>
          <w:tcPr>
            <w:tcW w:w="3108" w:type="dxa"/>
            <w:gridSpan w:val="2"/>
            <w:tcBorders>
              <w:top w:val="nil"/>
              <w:left w:val="nil"/>
              <w:bottom w:val="nil"/>
              <w:right w:val="nil"/>
            </w:tcBorders>
          </w:tcPr>
          <w:p w14:paraId="30E50437" w14:textId="77777777" w:rsidR="00E80F28" w:rsidRDefault="00E80F28" w:rsidP="00E80F28">
            <w:pPr>
              <w:pStyle w:val="naiskr"/>
              <w:spacing w:before="0" w:after="0"/>
            </w:pPr>
          </w:p>
          <w:p w14:paraId="5CDF6D06" w14:textId="77777777" w:rsidR="00E80F28" w:rsidRDefault="00E80F28" w:rsidP="00E80F28">
            <w:pPr>
              <w:pStyle w:val="naiskr"/>
              <w:spacing w:before="0" w:after="0"/>
            </w:pPr>
            <w:r>
              <w:t>Atbildīgā amatpersona</w:t>
            </w:r>
          </w:p>
        </w:tc>
        <w:tc>
          <w:tcPr>
            <w:tcW w:w="6179" w:type="dxa"/>
            <w:gridSpan w:val="3"/>
            <w:tcBorders>
              <w:top w:val="nil"/>
              <w:left w:val="nil"/>
              <w:bottom w:val="nil"/>
              <w:right w:val="nil"/>
            </w:tcBorders>
            <w:hideMark/>
          </w:tcPr>
          <w:p w14:paraId="02665E1E" w14:textId="77777777" w:rsidR="00E80F28" w:rsidRDefault="00E80F28" w:rsidP="00E80F28">
            <w:pPr>
              <w:pStyle w:val="naiskr"/>
              <w:spacing w:before="0" w:after="0"/>
            </w:pPr>
            <w:r>
              <w:t>  </w:t>
            </w:r>
          </w:p>
        </w:tc>
      </w:tr>
      <w:tr w:rsidR="00E80F28" w14:paraId="24FFAC2C" w14:textId="77777777" w:rsidTr="00AF40A8">
        <w:trPr>
          <w:gridAfter w:val="2"/>
          <w:wAfter w:w="5705" w:type="dxa"/>
        </w:trPr>
        <w:tc>
          <w:tcPr>
            <w:tcW w:w="3108" w:type="dxa"/>
            <w:gridSpan w:val="2"/>
            <w:tcBorders>
              <w:top w:val="nil"/>
              <w:left w:val="nil"/>
              <w:bottom w:val="nil"/>
              <w:right w:val="nil"/>
            </w:tcBorders>
          </w:tcPr>
          <w:p w14:paraId="1658435F" w14:textId="77777777" w:rsidR="00E80F28" w:rsidRDefault="00E80F28" w:rsidP="00E80F28">
            <w:pPr>
              <w:pStyle w:val="naiskr"/>
              <w:spacing w:before="0" w:after="0"/>
            </w:pPr>
          </w:p>
        </w:tc>
        <w:tc>
          <w:tcPr>
            <w:tcW w:w="6179" w:type="dxa"/>
            <w:gridSpan w:val="3"/>
            <w:tcBorders>
              <w:top w:val="single" w:sz="6" w:space="0" w:color="000000"/>
              <w:left w:val="nil"/>
              <w:bottom w:val="nil"/>
              <w:right w:val="nil"/>
            </w:tcBorders>
            <w:hideMark/>
          </w:tcPr>
          <w:p w14:paraId="531D457D" w14:textId="77777777" w:rsidR="00E80F28" w:rsidRDefault="00E80F28" w:rsidP="00E80F28">
            <w:pPr>
              <w:pStyle w:val="naisc"/>
              <w:spacing w:before="0" w:after="0"/>
            </w:pPr>
            <w:r>
              <w:t>(paraksts)*</w:t>
            </w:r>
          </w:p>
        </w:tc>
      </w:tr>
    </w:tbl>
    <w:p w14:paraId="7F7CCCB4" w14:textId="77777777" w:rsidR="00E80F28" w:rsidRDefault="00E80F28" w:rsidP="00E80F28">
      <w:pPr>
        <w:pStyle w:val="naisf"/>
        <w:spacing w:before="0" w:after="0"/>
        <w:ind w:firstLine="0"/>
      </w:pPr>
    </w:p>
    <w:p w14:paraId="71C6027C" w14:textId="77777777" w:rsidR="00E80F28" w:rsidRDefault="00E80F28" w:rsidP="00E80F28">
      <w:pPr>
        <w:pStyle w:val="naisf"/>
        <w:spacing w:before="0" w:after="0"/>
        <w:ind w:firstLine="0"/>
      </w:pPr>
    </w:p>
    <w:p w14:paraId="545A3ADE" w14:textId="77777777" w:rsidR="00E80F28" w:rsidRDefault="00E80F28" w:rsidP="00E80F28">
      <w:pPr>
        <w:pStyle w:val="naisf"/>
        <w:spacing w:before="0" w:after="0"/>
        <w:ind w:firstLine="0"/>
      </w:pPr>
      <w:r>
        <w:t>Piezīme. * Dokumenta rekvizītu "paraksts" neaizpilda, ja elektroniskais dokuments ir sagatavots atbilstoši normatīvajiem aktiem par elektronisko dokumentu noformēšanu.</w:t>
      </w:r>
    </w:p>
    <w:p w14:paraId="66C04B47" w14:textId="77777777" w:rsidR="00B5604F" w:rsidRDefault="00B5604F" w:rsidP="00E80F28">
      <w:pPr>
        <w:pStyle w:val="naisf"/>
        <w:spacing w:before="0" w:after="0"/>
        <w:ind w:firstLine="0"/>
      </w:pPr>
    </w:p>
    <w:p w14:paraId="7A14C625" w14:textId="77777777" w:rsidR="00B5604F" w:rsidRDefault="00B5604F" w:rsidP="00E80F28">
      <w:pPr>
        <w:pStyle w:val="naisf"/>
        <w:spacing w:before="0" w:after="0"/>
        <w:ind w:firstLine="0"/>
      </w:pPr>
    </w:p>
    <w:p w14:paraId="0A02741A" w14:textId="77777777" w:rsidR="00B5604F" w:rsidRDefault="00B5604F" w:rsidP="00E80F28">
      <w:pPr>
        <w:pStyle w:val="naisf"/>
        <w:spacing w:before="0" w:after="0"/>
        <w:ind w:firstLine="0"/>
      </w:pPr>
      <w:bookmarkStart w:id="0" w:name="_GoBack"/>
      <w:bookmarkEnd w:id="0"/>
    </w:p>
    <w:p w14:paraId="24913F2D" w14:textId="77777777" w:rsidR="00FB2AE0" w:rsidRDefault="00FB2AE0" w:rsidP="00E80F28">
      <w:pPr>
        <w:pStyle w:val="naisf"/>
        <w:spacing w:before="0" w:after="0"/>
        <w:ind w:firstLine="0"/>
      </w:pPr>
    </w:p>
    <w:p w14:paraId="733163BB" w14:textId="77777777" w:rsidR="00605513" w:rsidRDefault="00605513" w:rsidP="00E80F28">
      <w:pPr>
        <w:pStyle w:val="naisf"/>
        <w:spacing w:before="0" w:after="0"/>
        <w:ind w:firstLine="0"/>
      </w:pPr>
      <w:r>
        <w:lastRenderedPageBreak/>
        <w:t>Raimonds Kārkliņš</w:t>
      </w:r>
    </w:p>
    <w:tbl>
      <w:tblPr>
        <w:tblW w:w="0" w:type="auto"/>
        <w:tblLook w:val="00A0" w:firstRow="1" w:lastRow="0" w:firstColumn="1" w:lastColumn="0" w:noHBand="0" w:noVBand="0"/>
      </w:tblPr>
      <w:tblGrid>
        <w:gridCol w:w="8268"/>
      </w:tblGrid>
      <w:tr w:rsidR="00E80F28" w14:paraId="54593DDC" w14:textId="77777777" w:rsidTr="00E80F28">
        <w:tc>
          <w:tcPr>
            <w:tcW w:w="8268" w:type="dxa"/>
            <w:tcBorders>
              <w:top w:val="single" w:sz="4" w:space="0" w:color="000000"/>
              <w:left w:val="nil"/>
              <w:bottom w:val="nil"/>
              <w:right w:val="nil"/>
            </w:tcBorders>
            <w:hideMark/>
          </w:tcPr>
          <w:p w14:paraId="48CBFA97" w14:textId="77777777" w:rsidR="00E80F28" w:rsidRDefault="00E80F28" w:rsidP="00E80F28">
            <w:pPr>
              <w:jc w:val="center"/>
            </w:pPr>
            <w:r w:rsidRPr="00605513">
              <w:rPr>
                <w:sz w:val="16"/>
              </w:rPr>
              <w:t>(par projektu atbildīgās amatpersonas vārds un uzvārds)</w:t>
            </w:r>
          </w:p>
        </w:tc>
      </w:tr>
      <w:tr w:rsidR="00E80F28" w14:paraId="65E94847" w14:textId="77777777" w:rsidTr="00E80F28">
        <w:tc>
          <w:tcPr>
            <w:tcW w:w="8268" w:type="dxa"/>
            <w:tcBorders>
              <w:top w:val="nil"/>
              <w:left w:val="nil"/>
              <w:bottom w:val="single" w:sz="4" w:space="0" w:color="000000"/>
              <w:right w:val="nil"/>
            </w:tcBorders>
          </w:tcPr>
          <w:p w14:paraId="7EA6F3F0" w14:textId="77777777" w:rsidR="00E80F28" w:rsidRDefault="00605513" w:rsidP="00605513">
            <w:pPr>
              <w:pStyle w:val="naisf"/>
              <w:spacing w:before="0" w:after="0"/>
              <w:ind w:firstLine="0"/>
            </w:pPr>
            <w:r>
              <w:t>Juridiskā un nekustamo īpašuma departamenta direktors</w:t>
            </w:r>
          </w:p>
        </w:tc>
      </w:tr>
      <w:tr w:rsidR="00E80F28" w14:paraId="69F3D6D3" w14:textId="77777777" w:rsidTr="00E80F28">
        <w:tc>
          <w:tcPr>
            <w:tcW w:w="8268" w:type="dxa"/>
            <w:tcBorders>
              <w:top w:val="single" w:sz="4" w:space="0" w:color="000000"/>
              <w:left w:val="nil"/>
              <w:bottom w:val="nil"/>
              <w:right w:val="nil"/>
            </w:tcBorders>
            <w:hideMark/>
          </w:tcPr>
          <w:p w14:paraId="4186C301" w14:textId="77777777" w:rsidR="00E80F28" w:rsidRDefault="00E80F28" w:rsidP="00E80F28">
            <w:pPr>
              <w:jc w:val="center"/>
            </w:pPr>
            <w:r w:rsidRPr="00605513">
              <w:rPr>
                <w:sz w:val="16"/>
              </w:rPr>
              <w:t>(amats)</w:t>
            </w:r>
          </w:p>
        </w:tc>
      </w:tr>
      <w:tr w:rsidR="00E80F28" w14:paraId="7895D73F" w14:textId="77777777" w:rsidTr="00E80F28">
        <w:tc>
          <w:tcPr>
            <w:tcW w:w="8268" w:type="dxa"/>
            <w:tcBorders>
              <w:top w:val="nil"/>
              <w:left w:val="nil"/>
              <w:bottom w:val="single" w:sz="4" w:space="0" w:color="000000"/>
              <w:right w:val="nil"/>
            </w:tcBorders>
          </w:tcPr>
          <w:p w14:paraId="4A855835" w14:textId="77777777" w:rsidR="00E80F28" w:rsidRDefault="00605513" w:rsidP="00605513">
            <w:pPr>
              <w:pStyle w:val="naisf"/>
              <w:spacing w:before="0" w:after="0"/>
              <w:ind w:firstLine="0"/>
            </w:pPr>
            <w:r>
              <w:t>67047840</w:t>
            </w:r>
          </w:p>
        </w:tc>
      </w:tr>
      <w:tr w:rsidR="00E80F28" w14:paraId="7B58B761" w14:textId="77777777" w:rsidTr="00E80F28">
        <w:tc>
          <w:tcPr>
            <w:tcW w:w="8268" w:type="dxa"/>
            <w:tcBorders>
              <w:top w:val="single" w:sz="4" w:space="0" w:color="000000"/>
              <w:left w:val="nil"/>
              <w:bottom w:val="nil"/>
              <w:right w:val="nil"/>
            </w:tcBorders>
            <w:hideMark/>
          </w:tcPr>
          <w:p w14:paraId="276F7E9B" w14:textId="77777777" w:rsidR="00E80F28" w:rsidRDefault="00E80F28" w:rsidP="00E80F28">
            <w:pPr>
              <w:jc w:val="center"/>
            </w:pPr>
            <w:r w:rsidRPr="00605513">
              <w:rPr>
                <w:sz w:val="16"/>
              </w:rPr>
              <w:t>(tālruņa un faksa numurs)</w:t>
            </w:r>
          </w:p>
        </w:tc>
      </w:tr>
      <w:tr w:rsidR="00E80F28" w14:paraId="685FF597" w14:textId="77777777" w:rsidTr="00E80F28">
        <w:tc>
          <w:tcPr>
            <w:tcW w:w="8268" w:type="dxa"/>
            <w:tcBorders>
              <w:top w:val="nil"/>
              <w:left w:val="nil"/>
              <w:bottom w:val="single" w:sz="4" w:space="0" w:color="000000"/>
              <w:right w:val="nil"/>
            </w:tcBorders>
          </w:tcPr>
          <w:p w14:paraId="157FF17D" w14:textId="77777777" w:rsidR="00E80F28" w:rsidRDefault="00330C0C" w:rsidP="00605513">
            <w:pPr>
              <w:pStyle w:val="naisf"/>
              <w:spacing w:before="0" w:after="0"/>
              <w:ind w:firstLine="0"/>
            </w:pPr>
            <w:hyperlink r:id="rId7" w:history="1">
              <w:r w:rsidR="00605513" w:rsidRPr="008B04F1">
                <w:rPr>
                  <w:rStyle w:val="Hyperlink"/>
                </w:rPr>
                <w:t>raimonds.karklins@izm.gov.lv</w:t>
              </w:r>
            </w:hyperlink>
          </w:p>
        </w:tc>
      </w:tr>
      <w:tr w:rsidR="00E80F28" w14:paraId="546A2A4A" w14:textId="77777777" w:rsidTr="00E80F28">
        <w:tc>
          <w:tcPr>
            <w:tcW w:w="8268" w:type="dxa"/>
            <w:tcBorders>
              <w:top w:val="single" w:sz="4" w:space="0" w:color="000000"/>
              <w:left w:val="nil"/>
              <w:bottom w:val="nil"/>
              <w:right w:val="nil"/>
            </w:tcBorders>
            <w:hideMark/>
          </w:tcPr>
          <w:p w14:paraId="445D9000" w14:textId="77777777" w:rsidR="00E80F28" w:rsidRDefault="00E80F28" w:rsidP="00E80F28">
            <w:pPr>
              <w:jc w:val="center"/>
            </w:pPr>
            <w:r w:rsidRPr="00605513">
              <w:rPr>
                <w:sz w:val="16"/>
              </w:rPr>
              <w:t>(e-pasta adrese)</w:t>
            </w:r>
          </w:p>
        </w:tc>
      </w:tr>
    </w:tbl>
    <w:p w14:paraId="07E52E01" w14:textId="77777777" w:rsidR="00E80F28" w:rsidRDefault="00E80F28" w:rsidP="00E80F28">
      <w:pPr>
        <w:pStyle w:val="naisf"/>
        <w:spacing w:before="0" w:after="0"/>
        <w:ind w:firstLine="0"/>
        <w:jc w:val="left"/>
        <w:rPr>
          <w:sz w:val="28"/>
          <w:szCs w:val="28"/>
        </w:rPr>
      </w:pPr>
    </w:p>
    <w:p w14:paraId="7E229D06" w14:textId="77777777" w:rsidR="00605513" w:rsidRDefault="00605513" w:rsidP="00605513">
      <w:pPr>
        <w:pStyle w:val="naisf"/>
        <w:spacing w:before="0" w:after="0"/>
        <w:ind w:firstLine="0"/>
      </w:pPr>
      <w:r>
        <w:t>Līga Buceniece</w:t>
      </w:r>
    </w:p>
    <w:tbl>
      <w:tblPr>
        <w:tblW w:w="0" w:type="auto"/>
        <w:tblLook w:val="00A0" w:firstRow="1" w:lastRow="0" w:firstColumn="1" w:lastColumn="0" w:noHBand="0" w:noVBand="0"/>
      </w:tblPr>
      <w:tblGrid>
        <w:gridCol w:w="8268"/>
      </w:tblGrid>
      <w:tr w:rsidR="00605513" w14:paraId="37FB0497" w14:textId="77777777" w:rsidTr="0033291F">
        <w:tc>
          <w:tcPr>
            <w:tcW w:w="8268" w:type="dxa"/>
            <w:tcBorders>
              <w:top w:val="single" w:sz="4" w:space="0" w:color="000000"/>
              <w:left w:val="nil"/>
              <w:bottom w:val="nil"/>
              <w:right w:val="nil"/>
            </w:tcBorders>
            <w:hideMark/>
          </w:tcPr>
          <w:p w14:paraId="10EEE605" w14:textId="77777777" w:rsidR="00605513" w:rsidRDefault="00605513" w:rsidP="0033291F">
            <w:pPr>
              <w:jc w:val="center"/>
            </w:pPr>
            <w:r w:rsidRPr="00605513">
              <w:rPr>
                <w:sz w:val="16"/>
              </w:rPr>
              <w:t>(par projektu atbildīgās amatpersonas vārds un uzvārds)</w:t>
            </w:r>
          </w:p>
        </w:tc>
      </w:tr>
      <w:tr w:rsidR="00605513" w14:paraId="7BEC22F2" w14:textId="77777777" w:rsidTr="0033291F">
        <w:tc>
          <w:tcPr>
            <w:tcW w:w="8268" w:type="dxa"/>
            <w:tcBorders>
              <w:top w:val="nil"/>
              <w:left w:val="nil"/>
              <w:bottom w:val="single" w:sz="4" w:space="0" w:color="000000"/>
              <w:right w:val="nil"/>
            </w:tcBorders>
          </w:tcPr>
          <w:p w14:paraId="33EBE63B" w14:textId="77777777" w:rsidR="00605513" w:rsidRDefault="00605513" w:rsidP="0033291F">
            <w:pPr>
              <w:pStyle w:val="naisf"/>
              <w:spacing w:before="0" w:after="0"/>
              <w:ind w:firstLine="0"/>
            </w:pPr>
            <w:r>
              <w:t>Izglītības departamenta direktore</w:t>
            </w:r>
          </w:p>
        </w:tc>
      </w:tr>
      <w:tr w:rsidR="00605513" w14:paraId="4C4A8E2A" w14:textId="77777777" w:rsidTr="0033291F">
        <w:tc>
          <w:tcPr>
            <w:tcW w:w="8268" w:type="dxa"/>
            <w:tcBorders>
              <w:top w:val="single" w:sz="4" w:space="0" w:color="000000"/>
              <w:left w:val="nil"/>
              <w:bottom w:val="nil"/>
              <w:right w:val="nil"/>
            </w:tcBorders>
            <w:hideMark/>
          </w:tcPr>
          <w:p w14:paraId="2D05A2FD" w14:textId="77777777" w:rsidR="00605513" w:rsidRDefault="00605513" w:rsidP="0033291F">
            <w:pPr>
              <w:jc w:val="center"/>
            </w:pPr>
            <w:r w:rsidRPr="00605513">
              <w:rPr>
                <w:sz w:val="16"/>
              </w:rPr>
              <w:t>(amats)</w:t>
            </w:r>
          </w:p>
        </w:tc>
      </w:tr>
      <w:tr w:rsidR="00605513" w14:paraId="2BEB1F5E" w14:textId="77777777" w:rsidTr="0033291F">
        <w:tc>
          <w:tcPr>
            <w:tcW w:w="8268" w:type="dxa"/>
            <w:tcBorders>
              <w:top w:val="nil"/>
              <w:left w:val="nil"/>
              <w:bottom w:val="single" w:sz="4" w:space="0" w:color="000000"/>
              <w:right w:val="nil"/>
            </w:tcBorders>
          </w:tcPr>
          <w:p w14:paraId="633CBB52" w14:textId="77777777" w:rsidR="00605513" w:rsidRDefault="00605513" w:rsidP="0033291F">
            <w:pPr>
              <w:pStyle w:val="naisf"/>
              <w:spacing w:before="0" w:after="0"/>
              <w:ind w:firstLine="0"/>
            </w:pPr>
            <w:r>
              <w:t>67047830</w:t>
            </w:r>
          </w:p>
        </w:tc>
      </w:tr>
      <w:tr w:rsidR="00605513" w14:paraId="24085BB3" w14:textId="77777777" w:rsidTr="0033291F">
        <w:tc>
          <w:tcPr>
            <w:tcW w:w="8268" w:type="dxa"/>
            <w:tcBorders>
              <w:top w:val="single" w:sz="4" w:space="0" w:color="000000"/>
              <w:left w:val="nil"/>
              <w:bottom w:val="nil"/>
              <w:right w:val="nil"/>
            </w:tcBorders>
            <w:hideMark/>
          </w:tcPr>
          <w:p w14:paraId="761F262C" w14:textId="77777777" w:rsidR="00605513" w:rsidRDefault="00605513" w:rsidP="0033291F">
            <w:pPr>
              <w:jc w:val="center"/>
            </w:pPr>
            <w:r w:rsidRPr="00605513">
              <w:rPr>
                <w:sz w:val="16"/>
              </w:rPr>
              <w:t>(tālruņa un faksa numurs)</w:t>
            </w:r>
          </w:p>
        </w:tc>
      </w:tr>
      <w:tr w:rsidR="00605513" w14:paraId="332F2FBE" w14:textId="77777777" w:rsidTr="0033291F">
        <w:tc>
          <w:tcPr>
            <w:tcW w:w="8268" w:type="dxa"/>
            <w:tcBorders>
              <w:top w:val="nil"/>
              <w:left w:val="nil"/>
              <w:bottom w:val="single" w:sz="4" w:space="0" w:color="000000"/>
              <w:right w:val="nil"/>
            </w:tcBorders>
          </w:tcPr>
          <w:p w14:paraId="6FB2A34A" w14:textId="77777777" w:rsidR="00605513" w:rsidRDefault="00330C0C" w:rsidP="0033291F">
            <w:pPr>
              <w:pStyle w:val="naisf"/>
              <w:spacing w:before="0" w:after="0"/>
              <w:ind w:firstLine="0"/>
            </w:pPr>
            <w:hyperlink r:id="rId8" w:history="1">
              <w:r w:rsidR="00605513" w:rsidRPr="008B04F1">
                <w:rPr>
                  <w:rStyle w:val="Hyperlink"/>
                </w:rPr>
                <w:t>liga.buceniece@izm.gov.lv</w:t>
              </w:r>
            </w:hyperlink>
          </w:p>
        </w:tc>
      </w:tr>
      <w:tr w:rsidR="00605513" w14:paraId="2DA9542C" w14:textId="77777777" w:rsidTr="0033291F">
        <w:tc>
          <w:tcPr>
            <w:tcW w:w="8268" w:type="dxa"/>
            <w:tcBorders>
              <w:top w:val="single" w:sz="4" w:space="0" w:color="000000"/>
              <w:left w:val="nil"/>
              <w:bottom w:val="nil"/>
              <w:right w:val="nil"/>
            </w:tcBorders>
            <w:hideMark/>
          </w:tcPr>
          <w:p w14:paraId="34474831" w14:textId="77777777" w:rsidR="00605513" w:rsidRDefault="00605513" w:rsidP="0033291F">
            <w:pPr>
              <w:jc w:val="center"/>
            </w:pPr>
            <w:r w:rsidRPr="00605513">
              <w:rPr>
                <w:sz w:val="16"/>
              </w:rPr>
              <w:t>(e-pasta adrese)</w:t>
            </w:r>
          </w:p>
        </w:tc>
      </w:tr>
    </w:tbl>
    <w:p w14:paraId="540EE3B1" w14:textId="77777777" w:rsidR="00605513" w:rsidRDefault="00605513" w:rsidP="00E80F28">
      <w:pPr>
        <w:pStyle w:val="naisf"/>
        <w:spacing w:before="0" w:after="0"/>
        <w:ind w:firstLine="0"/>
        <w:jc w:val="left"/>
        <w:rPr>
          <w:sz w:val="28"/>
          <w:szCs w:val="28"/>
        </w:rPr>
      </w:pPr>
    </w:p>
    <w:p w14:paraId="5A41D09F" w14:textId="77777777" w:rsidR="00E80F28" w:rsidRDefault="00E80F28" w:rsidP="00E80F28">
      <w:pPr>
        <w:pStyle w:val="naisf"/>
        <w:spacing w:before="0" w:after="0"/>
        <w:ind w:firstLine="0"/>
        <w:jc w:val="left"/>
        <w:rPr>
          <w:sz w:val="28"/>
          <w:szCs w:val="28"/>
        </w:rPr>
      </w:pPr>
    </w:p>
    <w:p w14:paraId="29ED3D01" w14:textId="77777777" w:rsidR="006E5A2B" w:rsidRDefault="006E5A2B" w:rsidP="00E80F28"/>
    <w:sectPr w:rsidR="006E5A2B" w:rsidSect="007F2D04">
      <w:headerReference w:type="default" r:id="rId9"/>
      <w:footerReference w:type="default" r:id="rId10"/>
      <w:footerReference w:type="first" r:id="rId11"/>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E2F0A" w14:textId="77777777" w:rsidR="00330C0C" w:rsidRDefault="00330C0C" w:rsidP="00605513">
      <w:r>
        <w:separator/>
      </w:r>
    </w:p>
  </w:endnote>
  <w:endnote w:type="continuationSeparator" w:id="0">
    <w:p w14:paraId="6B6E4B81" w14:textId="77777777" w:rsidR="00330C0C" w:rsidRDefault="00330C0C" w:rsidP="0060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9B083" w14:textId="52459207" w:rsidR="007F2D04" w:rsidRDefault="007F2D04">
    <w:pPr>
      <w:pStyle w:val="Footer"/>
    </w:pPr>
    <w:r>
      <w:t>IZMIzz_</w:t>
    </w:r>
    <w:r w:rsidR="005151AD">
      <w:t>03</w:t>
    </w:r>
    <w:r>
      <w:t>1019_IL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2DBE0" w14:textId="65BDCE5A" w:rsidR="007F2D04" w:rsidRDefault="007F2D04">
    <w:pPr>
      <w:pStyle w:val="Footer"/>
    </w:pPr>
    <w:r>
      <w:t>IZMIzz_0</w:t>
    </w:r>
    <w:r w:rsidR="005151AD">
      <w:t>3</w:t>
    </w:r>
    <w:r>
      <w:t>1019_IL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7AA91" w14:textId="77777777" w:rsidR="00330C0C" w:rsidRDefault="00330C0C" w:rsidP="00605513">
      <w:r>
        <w:separator/>
      </w:r>
    </w:p>
  </w:footnote>
  <w:footnote w:type="continuationSeparator" w:id="0">
    <w:p w14:paraId="047A2B9A" w14:textId="77777777" w:rsidR="00330C0C" w:rsidRDefault="00330C0C" w:rsidP="00605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928205"/>
      <w:docPartObj>
        <w:docPartGallery w:val="Page Numbers (Top of Page)"/>
        <w:docPartUnique/>
      </w:docPartObj>
    </w:sdtPr>
    <w:sdtEndPr>
      <w:rPr>
        <w:noProof/>
      </w:rPr>
    </w:sdtEndPr>
    <w:sdtContent>
      <w:p w14:paraId="0CC39642" w14:textId="77777777" w:rsidR="007F2D04" w:rsidRDefault="007F2D04">
        <w:pPr>
          <w:pStyle w:val="Header"/>
          <w:jc w:val="center"/>
        </w:pPr>
        <w:r>
          <w:fldChar w:fldCharType="begin"/>
        </w:r>
        <w:r>
          <w:instrText xml:space="preserve"> PAGE   \* MERGEFORMAT </w:instrText>
        </w:r>
        <w:r>
          <w:fldChar w:fldCharType="separate"/>
        </w:r>
        <w:r w:rsidR="00B5604F">
          <w:rPr>
            <w:noProof/>
          </w:rPr>
          <w:t>10</w:t>
        </w:r>
        <w:r>
          <w:rPr>
            <w:noProof/>
          </w:rPr>
          <w:fldChar w:fldCharType="end"/>
        </w:r>
      </w:p>
    </w:sdtContent>
  </w:sdt>
  <w:p w14:paraId="466815C0" w14:textId="77777777" w:rsidR="007F2D04" w:rsidRDefault="007F2D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F28"/>
    <w:rsid w:val="00186952"/>
    <w:rsid w:val="001B47E1"/>
    <w:rsid w:val="00330C0C"/>
    <w:rsid w:val="003316F3"/>
    <w:rsid w:val="00390CCA"/>
    <w:rsid w:val="003925D2"/>
    <w:rsid w:val="003B739C"/>
    <w:rsid w:val="00412E4B"/>
    <w:rsid w:val="004559FE"/>
    <w:rsid w:val="005151AD"/>
    <w:rsid w:val="00543638"/>
    <w:rsid w:val="00605513"/>
    <w:rsid w:val="006C4502"/>
    <w:rsid w:val="006E5A2B"/>
    <w:rsid w:val="0071530F"/>
    <w:rsid w:val="00733F4D"/>
    <w:rsid w:val="00747A2A"/>
    <w:rsid w:val="007D7677"/>
    <w:rsid w:val="007F2D04"/>
    <w:rsid w:val="00913C0C"/>
    <w:rsid w:val="00974965"/>
    <w:rsid w:val="00A04F94"/>
    <w:rsid w:val="00A17789"/>
    <w:rsid w:val="00A73EAC"/>
    <w:rsid w:val="00AE4747"/>
    <w:rsid w:val="00AF40A8"/>
    <w:rsid w:val="00B5604F"/>
    <w:rsid w:val="00BA3212"/>
    <w:rsid w:val="00C10A4D"/>
    <w:rsid w:val="00C401F3"/>
    <w:rsid w:val="00C87397"/>
    <w:rsid w:val="00D33193"/>
    <w:rsid w:val="00D709FB"/>
    <w:rsid w:val="00E80F28"/>
    <w:rsid w:val="00EA4440"/>
    <w:rsid w:val="00EC1CA5"/>
    <w:rsid w:val="00FB2AE0"/>
    <w:rsid w:val="00FF06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B991"/>
  <w15:chartTrackingRefBased/>
  <w15:docId w15:val="{1F2F2F37-D4FF-4DF9-A852-D44144CD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F2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0F28"/>
    <w:pPr>
      <w:spacing w:before="100" w:beforeAutospacing="1" w:after="100" w:afterAutospacing="1"/>
    </w:pPr>
  </w:style>
  <w:style w:type="paragraph" w:customStyle="1" w:styleId="naisf">
    <w:name w:val="naisf"/>
    <w:basedOn w:val="Normal"/>
    <w:uiPriority w:val="99"/>
    <w:rsid w:val="00E80F28"/>
    <w:pPr>
      <w:spacing w:before="75" w:after="75"/>
      <w:ind w:firstLine="375"/>
      <w:jc w:val="both"/>
    </w:pPr>
  </w:style>
  <w:style w:type="paragraph" w:customStyle="1" w:styleId="naisnod">
    <w:name w:val="naisnod"/>
    <w:basedOn w:val="Normal"/>
    <w:uiPriority w:val="99"/>
    <w:rsid w:val="00E80F28"/>
    <w:pPr>
      <w:spacing w:before="150" w:after="150"/>
      <w:jc w:val="center"/>
    </w:pPr>
    <w:rPr>
      <w:b/>
      <w:bCs/>
    </w:rPr>
  </w:style>
  <w:style w:type="paragraph" w:customStyle="1" w:styleId="naiskr">
    <w:name w:val="naiskr"/>
    <w:basedOn w:val="Normal"/>
    <w:uiPriority w:val="99"/>
    <w:rsid w:val="00E80F28"/>
    <w:pPr>
      <w:spacing w:before="75" w:after="75"/>
    </w:pPr>
  </w:style>
  <w:style w:type="paragraph" w:customStyle="1" w:styleId="naisc">
    <w:name w:val="naisc"/>
    <w:basedOn w:val="Normal"/>
    <w:uiPriority w:val="99"/>
    <w:rsid w:val="00E80F28"/>
    <w:pPr>
      <w:spacing w:before="75" w:after="75"/>
      <w:jc w:val="center"/>
    </w:pPr>
  </w:style>
  <w:style w:type="character" w:styleId="CommentReference">
    <w:name w:val="annotation reference"/>
    <w:uiPriority w:val="99"/>
    <w:semiHidden/>
    <w:unhideWhenUsed/>
    <w:rsid w:val="00390CCA"/>
    <w:rPr>
      <w:sz w:val="16"/>
      <w:szCs w:val="16"/>
    </w:rPr>
  </w:style>
  <w:style w:type="paragraph" w:styleId="CommentText">
    <w:name w:val="annotation text"/>
    <w:basedOn w:val="Normal"/>
    <w:link w:val="CommentTextChar"/>
    <w:uiPriority w:val="99"/>
    <w:semiHidden/>
    <w:unhideWhenUsed/>
    <w:rsid w:val="00390CCA"/>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390CC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90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CCA"/>
    <w:rPr>
      <w:rFonts w:ascii="Segoe UI" w:eastAsia="Times New Roman" w:hAnsi="Segoe UI" w:cs="Segoe UI"/>
      <w:sz w:val="18"/>
      <w:szCs w:val="18"/>
      <w:lang w:eastAsia="lv-LV"/>
    </w:rPr>
  </w:style>
  <w:style w:type="character" w:customStyle="1" w:styleId="body1">
    <w:name w:val="body1"/>
    <w:rsid w:val="003925D2"/>
    <w:rPr>
      <w:rFonts w:ascii="Verdana" w:hAnsi="Verdana" w:hint="default"/>
      <w:color w:val="000000"/>
      <w:sz w:val="14"/>
      <w:szCs w:val="14"/>
    </w:rPr>
  </w:style>
  <w:style w:type="paragraph" w:styleId="Header">
    <w:name w:val="header"/>
    <w:basedOn w:val="Normal"/>
    <w:link w:val="HeaderChar"/>
    <w:uiPriority w:val="99"/>
    <w:unhideWhenUsed/>
    <w:rsid w:val="00605513"/>
    <w:pPr>
      <w:tabs>
        <w:tab w:val="center" w:pos="4153"/>
        <w:tab w:val="right" w:pos="8306"/>
      </w:tabs>
    </w:pPr>
  </w:style>
  <w:style w:type="character" w:customStyle="1" w:styleId="HeaderChar">
    <w:name w:val="Header Char"/>
    <w:basedOn w:val="DefaultParagraphFont"/>
    <w:link w:val="Header"/>
    <w:uiPriority w:val="99"/>
    <w:rsid w:val="0060551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05513"/>
    <w:pPr>
      <w:tabs>
        <w:tab w:val="center" w:pos="4153"/>
        <w:tab w:val="right" w:pos="8306"/>
      </w:tabs>
    </w:pPr>
  </w:style>
  <w:style w:type="character" w:customStyle="1" w:styleId="FooterChar">
    <w:name w:val="Footer Char"/>
    <w:basedOn w:val="DefaultParagraphFont"/>
    <w:link w:val="Footer"/>
    <w:uiPriority w:val="99"/>
    <w:rsid w:val="00605513"/>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0551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73EAC"/>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A73EA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3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buceniece@izm.gov.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aimonds.karklins@izm.gov.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0243-visparejas-izglitibas-likums"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12750</Words>
  <Characters>7268</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Rudzīte</dc:creator>
  <cp:keywords/>
  <dc:description/>
  <cp:lastModifiedBy>Ance Rudzīte</cp:lastModifiedBy>
  <cp:revision>6</cp:revision>
  <dcterms:created xsi:type="dcterms:W3CDTF">2019-10-03T06:38:00Z</dcterms:created>
  <dcterms:modified xsi:type="dcterms:W3CDTF">2019-10-03T07:20:00Z</dcterms:modified>
</cp:coreProperties>
</file>