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D5" w:rsidRPr="00477E8D" w:rsidRDefault="00BE18E2" w:rsidP="00CD2711">
      <w:pPr>
        <w:spacing w:after="0" w:line="240" w:lineRule="auto"/>
        <w:jc w:val="center"/>
        <w:rPr>
          <w:rFonts w:ascii="Times New Roman" w:hAnsi="Times New Roman" w:cs="Times New Roman"/>
          <w:b/>
          <w:sz w:val="24"/>
          <w:szCs w:val="24"/>
        </w:rPr>
      </w:pPr>
      <w:r w:rsidRPr="00477E8D">
        <w:rPr>
          <w:rFonts w:ascii="Times New Roman" w:hAnsi="Times New Roman" w:cs="Times New Roman"/>
          <w:b/>
          <w:sz w:val="24"/>
          <w:szCs w:val="24"/>
        </w:rPr>
        <w:t xml:space="preserve">Izglītības attīstības pamatnostādņu 2014.-2020.gadam rezultatīvo rādītāju </w:t>
      </w:r>
      <w:r w:rsidR="008F782B" w:rsidRPr="00477E8D">
        <w:rPr>
          <w:rFonts w:ascii="Times New Roman" w:hAnsi="Times New Roman" w:cs="Times New Roman"/>
          <w:b/>
          <w:sz w:val="24"/>
          <w:szCs w:val="24"/>
        </w:rPr>
        <w:t>izpildes progress</w:t>
      </w:r>
    </w:p>
    <w:p w:rsidR="00F470A0" w:rsidRPr="00477E8D" w:rsidRDefault="00F470A0" w:rsidP="00CD2711">
      <w:pPr>
        <w:spacing w:after="0" w:line="240" w:lineRule="auto"/>
        <w:jc w:val="center"/>
        <w:rPr>
          <w:rFonts w:ascii="Times New Roman" w:hAnsi="Times New Roman" w:cs="Times New Roman"/>
          <w:b/>
          <w:sz w:val="24"/>
          <w:szCs w:val="24"/>
        </w:rPr>
      </w:pPr>
    </w:p>
    <w:tbl>
      <w:tblPr>
        <w:tblW w:w="5344"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2"/>
        <w:gridCol w:w="3546"/>
        <w:gridCol w:w="1984"/>
        <w:gridCol w:w="2127"/>
        <w:gridCol w:w="2127"/>
        <w:gridCol w:w="4534"/>
      </w:tblGrid>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Mērķis</w:t>
            </w:r>
          </w:p>
        </w:tc>
        <w:tc>
          <w:tcPr>
            <w:tcW w:w="443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1.</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Paaugstināt izglītības vides kvalitāti, veicot satura pilnveidi un attīstot atbilstošu infrastruktūru.</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Politikas rezultāts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Rezultatīvais rādītājs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Bāzes vērtība, gads</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2017.gads</w:t>
            </w:r>
          </w:p>
          <w:p w:rsidR="001B1139" w:rsidRPr="00477E8D" w:rsidRDefault="001B1139" w:rsidP="00CD2711">
            <w:pPr>
              <w:spacing w:after="0" w:line="240" w:lineRule="auto"/>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(plānotais)</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2020.gads</w:t>
            </w:r>
          </w:p>
          <w:p w:rsidR="001B1139" w:rsidRPr="00477E8D" w:rsidRDefault="001B1139" w:rsidP="00CD2711">
            <w:pPr>
              <w:spacing w:after="0" w:line="240" w:lineRule="auto"/>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(plānotais)</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hanging="29"/>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 xml:space="preserve">Rādītāja sasniegšanas progress </w:t>
            </w:r>
          </w:p>
          <w:p w:rsidR="001B1139" w:rsidRPr="00477E8D" w:rsidRDefault="001B1139" w:rsidP="004B7FD0">
            <w:pPr>
              <w:spacing w:after="0" w:line="240" w:lineRule="auto"/>
              <w:ind w:hanging="29"/>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2017.</w:t>
            </w:r>
            <w:r w:rsidR="00CD1ED2" w:rsidRPr="00477E8D">
              <w:rPr>
                <w:rFonts w:ascii="Times New Roman" w:eastAsia="Times New Roman" w:hAnsi="Times New Roman" w:cs="Times New Roman"/>
                <w:b/>
                <w:bCs/>
                <w:sz w:val="24"/>
                <w:szCs w:val="24"/>
                <w:lang w:eastAsia="lv-LV"/>
              </w:rPr>
              <w:t xml:space="preserve">gadā </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1.1. Uz zināšanu sabiedrībā pieprasītām kompetencēm orientēta, radošumu, inovāciju un veselīga dzīves veida veicinoša izglītības satura pilnveide</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Paaugstinās izglītības satura kvalitāte.</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Skolēni ar augstiem mācību rezultātiem (skolēni 15 gadu vecumā; PISA 5. un 6.līmenis), % lasītprasmē, matemātikā, dabaszinātnēs.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4,2%, 8%, 4,3%</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4,5%, 8%, 5,5%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 8%, 8%</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hanging="29"/>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4,3%; 5,1%; 3,8%</w:t>
            </w:r>
          </w:p>
          <w:p w:rsidR="001B1139" w:rsidRPr="00477E8D" w:rsidRDefault="001B1139" w:rsidP="00CD2711">
            <w:pPr>
              <w:spacing w:after="0" w:line="240" w:lineRule="auto"/>
              <w:ind w:hanging="29"/>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(PISA 2015 dati)</w:t>
            </w:r>
          </w:p>
          <w:p w:rsidR="001B1139" w:rsidRPr="00477E8D" w:rsidRDefault="001B1139" w:rsidP="00CD2711">
            <w:pPr>
              <w:spacing w:after="0" w:line="240" w:lineRule="auto"/>
              <w:ind w:hanging="29"/>
              <w:jc w:val="center"/>
              <w:rPr>
                <w:rFonts w:ascii="Times New Roman" w:eastAsia="Times New Roman" w:hAnsi="Times New Roman" w:cs="Times New Roman"/>
                <w:sz w:val="24"/>
                <w:szCs w:val="24"/>
                <w:lang w:eastAsia="lv-LV"/>
              </w:rPr>
            </w:pP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Skolēni ar zemiem mācību rezultātiem (15 gadu vecumā; PISA 1. un zemāks līmenis), % lasītprasmē, matemātikā, dabaszinātnēs.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 20%, 12,3%</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 20%, 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 15%, 10%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hanging="29"/>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17,7%; 21,4%; 17,2%</w:t>
            </w:r>
          </w:p>
          <w:p w:rsidR="001B1139" w:rsidRPr="00477E8D" w:rsidRDefault="001B1139" w:rsidP="00CD2711">
            <w:pPr>
              <w:spacing w:after="0" w:line="240" w:lineRule="auto"/>
              <w:ind w:hanging="29"/>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(PISA 2015 dati)</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Pilnveidota nacionālās kvalifikācijas ietvarstruktūra profesionālajā izglītībā saistībā ar Eiropas kvalifikāciju ietvarstruktūras modeli.</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Izstrādāts un ieviests jauns, kompetencēs balstīts vispārējās izglītības saturs.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Izstrādāts, aprobēts, ieviests jauns vispārējās izglītības standarts.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2017.gadā jaunais saturs tika izstrādāts un nodots publiskajai apspriešanai; vienlaikus tika uzsākta tā aprobācija 100 vispārējās izglītības iestādēs. Pēc valsts pirmsskolas izglītības vadlīniju, pamatizglītības standarta un valsts vidējās izglītības standarta apstiprināšanas MK</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pakāpeniski tiks uzsākta jaunā satura ieviešana.</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Nodrošināts finansējums </w:t>
            </w:r>
            <w:r w:rsidRPr="00477E8D">
              <w:rPr>
                <w:rFonts w:ascii="Times New Roman" w:eastAsia="Times New Roman" w:hAnsi="Times New Roman" w:cs="Times New Roman"/>
                <w:sz w:val="24"/>
                <w:szCs w:val="24"/>
                <w:lang w:eastAsia="lv-LV"/>
              </w:rPr>
              <w:lastRenderedPageBreak/>
              <w:t>mācību līdzekļu iegādei.</w:t>
            </w:r>
            <w:r w:rsidRPr="00477E8D">
              <w:rPr>
                <w:rFonts w:ascii="Times New Roman" w:eastAsia="Times New Roman" w:hAnsi="Times New Roman" w:cs="Times New Roman"/>
                <w:sz w:val="24"/>
                <w:szCs w:val="24"/>
                <w:vertAlign w:val="superscript"/>
                <w:lang w:eastAsia="lv-LV"/>
              </w:rPr>
              <w:t>22</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lastRenderedPageBreak/>
              <w:t>Finansējuma apmērs uz vienu izglītojamo.</w:t>
            </w:r>
            <w:bookmarkStart w:id="0" w:name="_GoBack"/>
            <w:bookmarkEnd w:id="0"/>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EUR 12,8/izgl.</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EUR 20/izgl.</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EUR 20/izgl.</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EUR</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18,9/izgl.</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lastRenderedPageBreak/>
              <w:t>(</w:t>
            </w:r>
            <w:r w:rsidRPr="00477E8D">
              <w:rPr>
                <w:rFonts w:ascii="Times New Roman" w:eastAsia="Times New Roman" w:hAnsi="Times New Roman" w:cs="Times New Roman"/>
                <w:sz w:val="24"/>
                <w:szCs w:val="24"/>
                <w:shd w:val="clear" w:color="auto" w:fill="FFFFFF" w:themeFill="background1"/>
                <w:lang w:eastAsia="lv-LV"/>
              </w:rPr>
              <w:t>Sākot no 2013.gadu un turpmāk tika paplašināta aprēķina bāze, iekļaujot finansējuma saņēmējos arī obligātās pirmsskolas izglītības 5-6 gadīgos bērnus. Līdz ar to faktiskais finansējums uz 1 izglītojamo ir nedaudz mazāks par iepriekš plānoto.)</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lastRenderedPageBreak/>
              <w:t>Pārstrukturēts valsts atbalsts augstākās izglītības zinātņu nozarēm (studiju virzieniem) atbilstoši vidējā termiņa darba tirgus prognozēm.</w:t>
            </w:r>
          </w:p>
          <w:p w:rsidR="001B1139" w:rsidRPr="00477E8D" w:rsidRDefault="001B1139" w:rsidP="00CD2711">
            <w:pPr>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Budžeta vietu īpatsvars STEM, % no kopējā budžeta vietu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44%</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41,47%</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1.līmeņa profesionālās augstākās izglītības programmās (koledžas līmeņa programmās) studējošo īpatsvars,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18%</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24%</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18%</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Nodrošināts izglītības process atbilstoši darba tirgus mainīgajām prasībām.</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AD48DE" w:rsidRPr="00477E8D" w:rsidRDefault="001B1139" w:rsidP="00771773">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15-24 gadus vecas personas - darba meklētāji, kas nav iesaistīti izglītībā,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C95D6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w:t>
            </w:r>
            <w:r w:rsidR="001B1139" w:rsidRPr="00477E8D">
              <w:rPr>
                <w:rFonts w:ascii="Times New Roman" w:eastAsia="Times New Roman" w:hAnsi="Times New Roman" w:cs="Times New Roman"/>
                <w:sz w:val="24"/>
                <w:szCs w:val="24"/>
                <w:lang w:eastAsia="lv-LV"/>
              </w:rPr>
              <w:t>%</w:t>
            </w:r>
            <w:r w:rsidR="001B1139" w:rsidRPr="00477E8D">
              <w:rPr>
                <w:rFonts w:ascii="Times New Roman" w:eastAsia="Times New Roman" w:hAnsi="Times New Roman" w:cs="Times New Roman"/>
                <w:sz w:val="24"/>
                <w:szCs w:val="24"/>
                <w:lang w:eastAsia="lv-LV"/>
              </w:rPr>
              <w:br/>
              <w:t>(201</w:t>
            </w:r>
            <w:r w:rsidRPr="00477E8D">
              <w:rPr>
                <w:rFonts w:ascii="Times New Roman" w:eastAsia="Times New Roman" w:hAnsi="Times New Roman" w:cs="Times New Roman"/>
                <w:sz w:val="24"/>
                <w:szCs w:val="24"/>
                <w:lang w:eastAsia="lv-LV"/>
              </w:rPr>
              <w:t>3</w:t>
            </w:r>
            <w:r w:rsidR="001B1139" w:rsidRPr="00477E8D">
              <w:rPr>
                <w:rFonts w:ascii="Times New Roman" w:eastAsia="Times New Roman" w:hAnsi="Times New Roman" w:cs="Times New Roman"/>
                <w:sz w:val="24"/>
                <w:szCs w:val="24"/>
                <w:lang w:eastAsia="lv-LV"/>
              </w:rPr>
              <w:t>)</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10,3%</w:t>
            </w:r>
            <w:r w:rsidR="00073041" w:rsidRPr="00477E8D">
              <w:rPr>
                <w:rFonts w:ascii="Times New Roman" w:eastAsia="Times New Roman" w:hAnsi="Times New Roman" w:cs="Times New Roman"/>
                <w:sz w:val="24"/>
                <w:szCs w:val="24"/>
                <w:lang w:eastAsia="lv-LV"/>
              </w:rPr>
              <w:t xml:space="preserve"> (2017.)</w:t>
            </w:r>
          </w:p>
          <w:p w:rsidR="00073041" w:rsidRPr="00477E8D" w:rsidRDefault="00073041"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7,8% (2018.)</w:t>
            </w:r>
          </w:p>
          <w:p w:rsidR="00771773" w:rsidRPr="00477E8D" w:rsidRDefault="00771773" w:rsidP="00771773">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(nestrādājošo un izglītībā vai apmācībā neiesaistīto jauniešu (vecumā no 15 līdz 24 gadiem) īpatsvars, %)</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Absolventu (bakalauru, maģistru un doktoru) bezdarba līmenis 18 mēnešus pēc absolvēšanas, procentos no visu izglītības iestāžu absolventu bezdarba līmeņa.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7,5%</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5,2%</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Dati būs pieejami 2019.gada nogalē.</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Absolventu (ISCED 5. un 6.) īpatsvars STEM jomās no kopējā absolventu skaita,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19%</w:t>
            </w:r>
            <w:r w:rsidRPr="00477E8D">
              <w:rPr>
                <w:rFonts w:ascii="Times New Roman" w:eastAsia="Times New Roman" w:hAnsi="Times New Roman" w:cs="Times New Roman"/>
                <w:sz w:val="24"/>
                <w:szCs w:val="24"/>
                <w:lang w:eastAsia="lv-LV"/>
              </w:rPr>
              <w:br/>
              <w:t>4028</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27%</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20,2% </w:t>
            </w:r>
            <w:r w:rsidR="00305B77" w:rsidRPr="00477E8D">
              <w:rPr>
                <w:rFonts w:ascii="Times New Roman" w:eastAsia="Times New Roman" w:hAnsi="Times New Roman" w:cs="Times New Roman"/>
                <w:sz w:val="24"/>
                <w:szCs w:val="24"/>
                <w:lang w:eastAsia="lv-LV"/>
              </w:rPr>
              <w:t>(2017.)</w:t>
            </w:r>
          </w:p>
          <w:p w:rsidR="00305B77" w:rsidRPr="00477E8D" w:rsidRDefault="00305B77"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19,9% (2018.)</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ISCED 5-8 (ISCED 2011)</w:t>
            </w:r>
          </w:p>
        </w:tc>
      </w:tr>
      <w:tr w:rsidR="00CD2711" w:rsidRPr="00477E8D" w:rsidTr="00CD2711">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Nodrošināts atbalsts darba vidē balstītu mācību un praksē balstītu </w:t>
            </w:r>
            <w:r w:rsidRPr="00477E8D">
              <w:rPr>
                <w:rFonts w:ascii="Times New Roman" w:eastAsia="Times New Roman" w:hAnsi="Times New Roman" w:cs="Times New Roman"/>
                <w:sz w:val="24"/>
                <w:szCs w:val="24"/>
                <w:lang w:eastAsia="lv-LV"/>
              </w:rPr>
              <w:lastRenderedPageBreak/>
              <w:t>mācību attīstībai profesionālajā izglītībā.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lastRenderedPageBreak/>
              <w:t xml:space="preserve">Audzēkņu īpatsvars, kas apguvuši darba vidē balstītas mācības un 1. un 2.mācību gadā bijuši mācību praksē </w:t>
            </w:r>
            <w:r w:rsidRPr="00477E8D">
              <w:rPr>
                <w:rFonts w:ascii="Times New Roman" w:eastAsia="Times New Roman" w:hAnsi="Times New Roman" w:cs="Times New Roman"/>
                <w:sz w:val="24"/>
                <w:szCs w:val="24"/>
                <w:lang w:eastAsia="lv-LV"/>
              </w:rPr>
              <w:lastRenderedPageBreak/>
              <w:t>uzņēmumā sadarbības līguma ar uzņēmumu ietvaros,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lastRenderedPageBreak/>
              <w:t>5%</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0E5EC1" w:rsidRPr="00477E8D" w:rsidRDefault="000E5EC1"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24% (2017.)</w:t>
            </w:r>
          </w:p>
          <w:p w:rsidR="001B1139" w:rsidRPr="00477E8D" w:rsidRDefault="00AF35FA"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21,8%</w:t>
            </w:r>
            <w:r w:rsidR="00B54A83" w:rsidRPr="00477E8D">
              <w:rPr>
                <w:rFonts w:ascii="Times New Roman" w:eastAsia="Times New Roman" w:hAnsi="Times New Roman" w:cs="Times New Roman"/>
                <w:sz w:val="24"/>
                <w:szCs w:val="24"/>
                <w:lang w:eastAsia="lv-LV"/>
              </w:rPr>
              <w:t xml:space="preserve"> (2018.)</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1.2.</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Pedagogu un akadēmiskā personāla motivācijas un profesionālās kapacitātes paaugstināšana</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Paaugstinās pedagogu un akadēmiskā personāla profesionālā kompetence atbilstoši mūsdienu izglītības prasībām.</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Pedagogu īpatsvars, kas ieguvuši 4. un 5.kvalitātes pakāpi,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B54A83" w:rsidRPr="00477E8D" w:rsidRDefault="001B1139" w:rsidP="00CD2711">
            <w:pPr>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   11%</w:t>
            </w:r>
            <w:r w:rsidR="000E5EC1" w:rsidRPr="00477E8D">
              <w:rPr>
                <w:rFonts w:ascii="Times New Roman" w:eastAsia="Times New Roman" w:hAnsi="Times New Roman" w:cs="Times New Roman"/>
                <w:sz w:val="24"/>
                <w:szCs w:val="24"/>
                <w:lang w:eastAsia="lv-LV"/>
              </w:rPr>
              <w:t xml:space="preserve"> (2017.)</w:t>
            </w:r>
            <w:r w:rsidR="00B54A83" w:rsidRPr="00477E8D">
              <w:rPr>
                <w:rFonts w:ascii="Times New Roman" w:eastAsia="Times New Roman" w:hAnsi="Times New Roman" w:cs="Times New Roman"/>
                <w:sz w:val="24"/>
                <w:szCs w:val="24"/>
                <w:lang w:eastAsia="lv-LV"/>
              </w:rPr>
              <w:t xml:space="preserve"> </w:t>
            </w:r>
          </w:p>
          <w:p w:rsidR="001B1139" w:rsidRPr="00477E8D" w:rsidRDefault="00B54A83" w:rsidP="00CD2711">
            <w:pPr>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2018.gada dati būs pieejami 2019.gada jūnijā (</w:t>
            </w:r>
            <w:r w:rsidR="002C5094" w:rsidRPr="00477E8D">
              <w:rPr>
                <w:rFonts w:ascii="Times New Roman" w:eastAsia="Times New Roman" w:hAnsi="Times New Roman" w:cs="Times New Roman"/>
                <w:sz w:val="24"/>
                <w:szCs w:val="24"/>
                <w:lang w:eastAsia="lv-LV"/>
              </w:rPr>
              <w:t>2.un 3.kvalitātes pakāpe</w:t>
            </w:r>
            <w:r w:rsidRPr="00477E8D">
              <w:rPr>
                <w:rFonts w:ascii="Times New Roman" w:eastAsia="Times New Roman" w:hAnsi="Times New Roman" w:cs="Times New Roman"/>
                <w:sz w:val="24"/>
                <w:szCs w:val="24"/>
                <w:lang w:eastAsia="lv-LV"/>
              </w:rPr>
              <w:t>)</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Akadēmiskā personāla (izņemot koledžas) ar doktora grādu īpatsvars,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54%</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64%</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Īstenots jauns tālākizglītības saturs profesionālās izglītības pedagogiem, administrācijai un prakses vadītājiem.</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Pedagogu skaits, kas iesaistīti tālākizglītības aktivitātēs.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1000</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Paaugstināts pedagogu IKT, svešvalodu un prasmju līmenis </w:t>
            </w:r>
            <w:r w:rsidRPr="00477E8D">
              <w:rPr>
                <w:rFonts w:ascii="Times New Roman" w:eastAsia="Times New Roman" w:hAnsi="Times New Roman" w:cs="Times New Roman"/>
                <w:i/>
                <w:iCs/>
                <w:sz w:val="24"/>
                <w:szCs w:val="24"/>
                <w:lang w:eastAsia="lv-LV"/>
              </w:rPr>
              <w:t>E-twinning</w:t>
            </w:r>
            <w:r w:rsidRPr="00477E8D">
              <w:rPr>
                <w:rFonts w:ascii="Times New Roman" w:eastAsia="Times New Roman" w:hAnsi="Times New Roman" w:cs="Times New Roman"/>
                <w:sz w:val="24"/>
                <w:szCs w:val="24"/>
                <w:lang w:eastAsia="lv-LV"/>
              </w:rPr>
              <w:t xml:space="preserve"> starptautiskās sadarbības kontekstā.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Izglītības iestādes izmanto </w:t>
            </w:r>
            <w:r w:rsidRPr="00477E8D">
              <w:rPr>
                <w:rFonts w:ascii="Times New Roman" w:eastAsia="Times New Roman" w:hAnsi="Times New Roman" w:cs="Times New Roman"/>
                <w:i/>
                <w:iCs/>
                <w:sz w:val="24"/>
                <w:szCs w:val="24"/>
                <w:lang w:eastAsia="lv-LV"/>
              </w:rPr>
              <w:t>E-twinning</w:t>
            </w:r>
            <w:r w:rsidRPr="00477E8D">
              <w:rPr>
                <w:rFonts w:ascii="Times New Roman" w:eastAsia="Times New Roman" w:hAnsi="Times New Roman" w:cs="Times New Roman"/>
                <w:sz w:val="24"/>
                <w:szCs w:val="24"/>
                <w:lang w:eastAsia="lv-LV"/>
              </w:rPr>
              <w:t xml:space="preserve"> platformu sadarbībai ar citām Eiropas izglītības iestādēm, % no visu izglītības iestāžu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67%</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Īstenota pedagogu profesionālā pilnveide uzņēmējspējās, </w:t>
            </w:r>
            <w:r w:rsidRPr="00477E8D">
              <w:rPr>
                <w:rFonts w:ascii="Times New Roman" w:eastAsia="Times New Roman" w:hAnsi="Times New Roman" w:cs="Times New Roman"/>
                <w:sz w:val="24"/>
                <w:szCs w:val="24"/>
                <w:lang w:eastAsia="lv-LV"/>
              </w:rPr>
              <w:lastRenderedPageBreak/>
              <w:t>finanšu pratībā, līderībā, IKT un svešvalodās.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lastRenderedPageBreak/>
              <w:t>Pedagogu īpatsvars, kas iesaistīti tālākizglītības aktivitātēs, % no kopējā pedagogu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Paaugstināta cilvēkresursu kapacitāte izglītībā.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Pedagogu vecumā līdz 29 gadiem īpatsvars, % no kopējā pedagogu skaita ISCED 2. un 3. līmenī.</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7,1%</w:t>
            </w:r>
            <w:r w:rsidRPr="00477E8D">
              <w:rPr>
                <w:rFonts w:ascii="Times New Roman" w:eastAsia="Times New Roman" w:hAnsi="Times New Roman" w:cs="Times New Roman"/>
                <w:sz w:val="24"/>
                <w:szCs w:val="24"/>
                <w:lang w:eastAsia="lv-LV"/>
              </w:rPr>
              <w:br/>
              <w:t>(2011)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14%</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10,23%</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Ārvalstu mācībspēku ISCED 5. un 6.līmenī skaita īpatsvars, % no kopējā akadēmiskā personāla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0,5%</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5,6% </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(ISCED 5-8)</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Ieviesta pedagogu motivācijas sistēma.</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Pedagogu, t.sk. profesionālās izglītības iestāžu pedagogu, darbības kvalitātes novērtēšanas sistēmas sasaiste ar atalgojumu.</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Palielināta akadēmiskā personāla profesionālā konkurētspēja.</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Akadēmiskā personāla vecuma struktūras (30 - 49 gadu vecumā) īpatsvars, % no kopējā akadēmiskā personāla.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45%</w:t>
            </w:r>
            <w:r w:rsidRPr="00477E8D">
              <w:rPr>
                <w:rFonts w:ascii="Times New Roman" w:eastAsia="Times New Roman" w:hAnsi="Times New Roman" w:cs="Times New Roman"/>
                <w:sz w:val="24"/>
                <w:szCs w:val="24"/>
                <w:lang w:eastAsia="lv-LV"/>
              </w:rPr>
              <w:br/>
              <w:t>(2012./2013.)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48% </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Doktora grādu ieguvušo īpatsvars, (% no kopējā grādu vai kvalifikāciju ieguvušo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r w:rsidRPr="00477E8D">
              <w:rPr>
                <w:rFonts w:ascii="Times New Roman" w:eastAsia="Times New Roman" w:hAnsi="Times New Roman" w:cs="Times New Roman"/>
                <w:sz w:val="24"/>
                <w:szCs w:val="24"/>
                <w:lang w:eastAsia="lv-LV"/>
              </w:rPr>
              <w:br/>
              <w:t>(2012./2013.)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r w:rsidR="00E22D96" w:rsidRPr="00477E8D">
              <w:rPr>
                <w:rFonts w:ascii="Times New Roman" w:eastAsia="Times New Roman" w:hAnsi="Times New Roman" w:cs="Times New Roman"/>
                <w:sz w:val="24"/>
                <w:szCs w:val="24"/>
                <w:lang w:eastAsia="lv-LV"/>
              </w:rPr>
              <w:t xml:space="preserve"> (2017.)</w:t>
            </w:r>
          </w:p>
          <w:p w:rsidR="00E22D96"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0,8% (2018.)</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Augstākās izglītības iestāžu profesoru zemākās algas likmes attiecība pret CSP oficiālajā statistikas paziņojumā publicēto valstī strādājošo iepriekšējā gada mēneša vidējās darba samaksas apmēru.</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2,8</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1,5 </w:t>
            </w:r>
            <w:r w:rsidR="00E22D96" w:rsidRPr="00477E8D">
              <w:rPr>
                <w:rFonts w:ascii="Times New Roman" w:eastAsia="Times New Roman" w:hAnsi="Times New Roman" w:cs="Times New Roman"/>
                <w:sz w:val="24"/>
                <w:szCs w:val="24"/>
                <w:lang w:eastAsia="lv-LV"/>
              </w:rPr>
              <w:t xml:space="preserve"> (2017.)</w:t>
            </w:r>
          </w:p>
          <w:p w:rsidR="00E22D96"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1,65 (2018.)</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1.3.</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21.gs. atbilstīgas izglītības vides un izglītības procesa nodrošināšana</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Nodrošināts mūsdienīgs mācību process vispārējā izglītībā.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Skolēnu skaits uz vienu mācību procesam paredzēto datoru ISCED 1-3.</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9,8</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8,15</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Digitālo mācību līdzekļu vispārējā un profesionālajā izglītībā īpatsvars, % no kopējo mācību līdzekļu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n/i</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A97B55">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Procesā (8.3.1.</w:t>
            </w:r>
            <w:r w:rsidR="00A97B55" w:rsidRPr="00477E8D">
              <w:rPr>
                <w:rFonts w:ascii="Times New Roman" w:eastAsia="Times New Roman" w:hAnsi="Times New Roman" w:cs="Times New Roman"/>
                <w:sz w:val="24"/>
                <w:szCs w:val="24"/>
                <w:lang w:eastAsia="lv-LV"/>
              </w:rPr>
              <w:t xml:space="preserve"> SAM “Attīstīt kompetenču pieejā balstītu vispārējās izglītības saturu”</w:t>
            </w:r>
            <w:r w:rsidRPr="00477E8D">
              <w:rPr>
                <w:rFonts w:ascii="Times New Roman" w:eastAsia="Times New Roman" w:hAnsi="Times New Roman" w:cs="Times New Roman"/>
                <w:sz w:val="24"/>
                <w:szCs w:val="24"/>
                <w:lang w:eastAsia="lv-LV"/>
              </w:rPr>
              <w:t>, 8.5.2.</w:t>
            </w:r>
            <w:r w:rsidR="00A97B55" w:rsidRPr="00477E8D">
              <w:rPr>
                <w:rFonts w:ascii="Times New Roman" w:eastAsia="Times New Roman" w:hAnsi="Times New Roman" w:cs="Times New Roman"/>
                <w:sz w:val="24"/>
                <w:szCs w:val="24"/>
                <w:lang w:eastAsia="lv-LV"/>
              </w:rPr>
              <w:t xml:space="preserve"> SAM “Nodrošināt profesionālās izglītības atbilstību Eiropas kvalifikācijas ietvarstruktūrai”</w:t>
            </w:r>
            <w:r w:rsidRPr="00477E8D">
              <w:rPr>
                <w:rFonts w:ascii="Times New Roman" w:eastAsia="Times New Roman" w:hAnsi="Times New Roman" w:cs="Times New Roman"/>
                <w:sz w:val="24"/>
                <w:szCs w:val="24"/>
                <w:lang w:eastAsia="lv-LV"/>
              </w:rPr>
              <w:t xml:space="preserve"> ietvaros)</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Uzlabota augstākās izglītības iestāžu infrastruktūra mūsdienīga studiju procesa īstenošanai.</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Doktorantu skaits kopīgajās doktorantūras studiju programmās.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138</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130 </w:t>
            </w:r>
            <w:r w:rsidR="00E22D96" w:rsidRPr="00477E8D">
              <w:rPr>
                <w:rFonts w:ascii="Times New Roman" w:eastAsia="Times New Roman" w:hAnsi="Times New Roman" w:cs="Times New Roman"/>
                <w:sz w:val="24"/>
                <w:szCs w:val="24"/>
                <w:lang w:eastAsia="lv-LV"/>
              </w:rPr>
              <w:t>(2017.)</w:t>
            </w:r>
          </w:p>
          <w:p w:rsidR="00E22D96"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166 (ieskaitot kopīgās programmas ar ārvalstu augstskolām) (2018.)</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Palielināts pirmā līmeņa profesionālajā augstākajā izglītības pakāpē studējošo skaits koledžās STEM programmās.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1987</w:t>
            </w:r>
            <w:r w:rsidR="001B1139"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2066</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2285</w:t>
            </w:r>
          </w:p>
        </w:tc>
        <w:tc>
          <w:tcPr>
            <w:tcW w:w="1403" w:type="pct"/>
            <w:tcBorders>
              <w:top w:val="outset" w:sz="6" w:space="0" w:color="414142"/>
              <w:left w:val="outset" w:sz="6" w:space="0" w:color="414142"/>
              <w:bottom w:val="outset" w:sz="6" w:space="0" w:color="414142"/>
              <w:right w:val="outset" w:sz="6" w:space="0" w:color="414142"/>
            </w:tcBorders>
            <w:shd w:val="clear" w:color="auto" w:fill="auto"/>
          </w:tcPr>
          <w:p w:rsidR="001B1139"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1907 (2017.)</w:t>
            </w:r>
          </w:p>
          <w:p w:rsidR="00E22D96" w:rsidRPr="00477E8D" w:rsidRDefault="00E22D96"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1766 (2018.)</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(koledžās STEM (bez vides aizsardzības) programmās studējošo skaits) </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Augstākās izglītības iestāžu īpatsvars, % no kopējā to skaita, kurās modernizētas iekārtas un tehniskā infrastruktūra, izmantojot ERAF līdzekļus.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45%</w:t>
            </w:r>
            <w:r w:rsidRPr="00477E8D">
              <w:rPr>
                <w:rFonts w:ascii="Times New Roman" w:eastAsia="Times New Roman" w:hAnsi="Times New Roman" w:cs="Times New Roman"/>
                <w:sz w:val="24"/>
                <w:szCs w:val="24"/>
                <w:lang w:eastAsia="lv-LV"/>
              </w:rPr>
              <w:br/>
              <w:t>(2012.gada 31.decembris)</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43% </w:t>
            </w:r>
          </w:p>
        </w:tc>
      </w:tr>
      <w:tr w:rsidR="00CD2711" w:rsidRPr="00477E8D" w:rsidTr="00CD2711">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Uzlabota profesionālo izglītības iestāžu fiziskā un materiālā, un tehniskā infrastruktūra.</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Modernizēto profesionālās izglītības programmu īpatsvars, % no profesionālās izglītības iestāžu īstenoto profesionālās izglītības programmu kopskaita.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36,56%</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73,47%</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51,4%</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1.4.</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Iekļaujošās izglītības principa īstenošana un sociālās atstumtības riska mazināšana</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Samazinās atstumtības riskam pakļauto sociālo grupu segregācija izglītības procesā.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Izglītību agrīni pametušo romu īpatsvars,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7,5%</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11 gadus vecu bērnu īpatsvars, kuri vismaz divas reizes pēdējo pāris mēnešu laikā cietuši no vienaudžu vardarbības izglītības iestādē,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23%</w:t>
            </w:r>
            <w:r w:rsidRPr="00477E8D">
              <w:rPr>
                <w:rFonts w:ascii="Times New Roman" w:eastAsia="Times New Roman" w:hAnsi="Times New Roman" w:cs="Times New Roman"/>
                <w:sz w:val="24"/>
                <w:szCs w:val="24"/>
                <w:lang w:eastAsia="lv-LV"/>
              </w:rPr>
              <w:br/>
              <w:t>(2010)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w:t>
            </w:r>
          </w:p>
        </w:tc>
        <w:tc>
          <w:tcPr>
            <w:tcW w:w="1403" w:type="pct"/>
            <w:tcBorders>
              <w:top w:val="outset" w:sz="6" w:space="0" w:color="414142"/>
              <w:left w:val="outset" w:sz="6" w:space="0" w:color="414142"/>
              <w:bottom w:val="outset" w:sz="6" w:space="0" w:color="414142"/>
              <w:right w:val="outset" w:sz="6" w:space="0" w:color="414142"/>
            </w:tcBorders>
            <w:shd w:val="clear" w:color="auto" w:fill="auto"/>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35% 4.klases skolēnu izjutuši kādu no pārinodarījumu veidiem reizi mēnesī, 20% - reizi nedēļā (PIRLS 2016 dati)</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30,6% 15-gadīgo skolēnu izjutuši kādu no pārinodarījumu veidiem dažas reizes mēnesī (PISA 2015 dati)</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Bērnu un jauniešu ar speciālām vajadzībām (t.sk. ar invaliditāti) īpatsvars, kas turpina izglītību pēc obligātās izglītības iegūšanas,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x</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0,2%</w:t>
            </w:r>
          </w:p>
        </w:tc>
        <w:tc>
          <w:tcPr>
            <w:tcW w:w="1403" w:type="pct"/>
            <w:tcBorders>
              <w:top w:val="outset" w:sz="6" w:space="0" w:color="414142"/>
              <w:left w:val="outset" w:sz="6" w:space="0" w:color="414142"/>
              <w:bottom w:val="outset" w:sz="6" w:space="0" w:color="414142"/>
              <w:right w:val="outset" w:sz="6" w:space="0" w:color="414142"/>
            </w:tcBorders>
            <w:shd w:val="clear" w:color="auto" w:fill="auto"/>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3,03%</w:t>
            </w:r>
          </w:p>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(skolēni ar speciālām vajadzībām, kuri pēc pamatizglītības ieguves turpina mācības vispārējā vai profesionālajā vidējā izglītībā)</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Atbalsta personāla (psihologs, logopēds, speciālais pedagogs, sociālais pedagogs) pieejamības nodrošināšana izglītības iestādēs,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1664</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+12% </w:t>
            </w:r>
          </w:p>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(1898)</w:t>
            </w:r>
          </w:p>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Obligātās pamatizglītības sistēmā iekļautie imigranti,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n/i</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95%</w:t>
            </w:r>
          </w:p>
        </w:tc>
      </w:tr>
      <w:tr w:rsidR="00CD2711" w:rsidRPr="00477E8D" w:rsidTr="00B03014">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Integrēto izglītojamo ar speciālām vajadzībām īpatsvars vispārizglītojošās izglītības iestādēs ISCED 1-3, % no kopējā izglītojamo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33%</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6,09%</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 kopējā izglītojamo ar speciālām vajadzībām skaita – 42,14%)</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Palielināta sociālās atstumtības riskam pakļauto jauniešu iesaiste neformālā izglītībā.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Ilgtermiņa kursu skaits sociālās atstumtības riskam pakļautajiem jauniešiem, īpaši tiem, kuri atrodas dienas aprūpes centros, grupu dzīvokļos, ieslodzījuma vietās, bērnunamos u.tml.</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320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320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both"/>
              <w:rPr>
                <w:rFonts w:ascii="Times New Roman" w:hAnsi="Times New Roman" w:cs="Times New Roman"/>
                <w:sz w:val="24"/>
                <w:szCs w:val="24"/>
              </w:rPr>
            </w:pPr>
            <w:r w:rsidRPr="00477E8D">
              <w:rPr>
                <w:rFonts w:ascii="Times New Roman" w:hAnsi="Times New Roman" w:cs="Times New Roman"/>
                <w:sz w:val="24"/>
                <w:szCs w:val="24"/>
              </w:rPr>
              <w:t xml:space="preserve">IZM Jaunatnes politikas valsts programmas ietvaros tika īstenoti divi ilgtermiņa apmācību kursi. </w:t>
            </w:r>
          </w:p>
          <w:p w:rsidR="001B1139" w:rsidRPr="00477E8D" w:rsidRDefault="001B1139" w:rsidP="00CD2711">
            <w:pPr>
              <w:pStyle w:val="ListParagraph"/>
              <w:ind w:left="0" w:hanging="30"/>
              <w:jc w:val="both"/>
              <w:rPr>
                <w:rFonts w:ascii="Times New Roman" w:hAnsi="Times New Roman"/>
                <w:sz w:val="24"/>
                <w:szCs w:val="24"/>
              </w:rPr>
            </w:pPr>
            <w:r w:rsidRPr="00477E8D">
              <w:rPr>
                <w:rFonts w:ascii="Times New Roman" w:hAnsi="Times New Roman"/>
                <w:sz w:val="24"/>
                <w:szCs w:val="24"/>
              </w:rPr>
              <w:t>1.       2014. gadā īstenots ilgtermiņa apmācību kurss par neformālo izglītību un tās lomu ieslodzījuma vietās un ārpus tām “Šķeļot viļņus” .</w:t>
            </w:r>
          </w:p>
          <w:p w:rsidR="001B1139" w:rsidRPr="00477E8D" w:rsidRDefault="001B1139" w:rsidP="00CD2711">
            <w:pPr>
              <w:pStyle w:val="ListParagraph"/>
              <w:ind w:left="0" w:hanging="30"/>
              <w:jc w:val="both"/>
              <w:rPr>
                <w:rFonts w:ascii="Times New Roman" w:hAnsi="Times New Roman"/>
                <w:sz w:val="24"/>
                <w:szCs w:val="24"/>
              </w:rPr>
            </w:pPr>
            <w:r w:rsidRPr="00477E8D">
              <w:rPr>
                <w:rFonts w:ascii="Times New Roman" w:hAnsi="Times New Roman"/>
                <w:sz w:val="24"/>
                <w:szCs w:val="24"/>
              </w:rPr>
              <w:t xml:space="preserve">Tika īstenotas 2 apmācības 45 ieslodzījumu vietu darbiniekiem, Ieslodzījumu vietu pārvaldes darbiniekiem, Valsts probācijas dienesta darbiniekiem un nevalstisko organizāciju un jauniešu centru pārstāvjiem. </w:t>
            </w:r>
          </w:p>
          <w:p w:rsidR="001B1139" w:rsidRPr="00477E8D" w:rsidRDefault="001B1139" w:rsidP="00CD2711">
            <w:pPr>
              <w:pStyle w:val="ListParagraph"/>
              <w:ind w:left="0" w:hanging="30"/>
              <w:jc w:val="both"/>
              <w:rPr>
                <w:rFonts w:ascii="Times New Roman" w:hAnsi="Times New Roman"/>
                <w:sz w:val="24"/>
                <w:szCs w:val="24"/>
              </w:rPr>
            </w:pPr>
            <w:r w:rsidRPr="00477E8D">
              <w:rPr>
                <w:rFonts w:ascii="Times New Roman" w:hAnsi="Times New Roman"/>
                <w:sz w:val="24"/>
                <w:szCs w:val="24"/>
              </w:rPr>
              <w:t>Tika īstenotas 10 nodarbības 4 ieslodzījuma vietās (kopā 40 nodarbības) iesaistot 43 jauniešus, kuri atrodas ieslodzījumā.</w:t>
            </w:r>
          </w:p>
          <w:p w:rsidR="001B1139" w:rsidRPr="00477E8D" w:rsidRDefault="001B1139" w:rsidP="00CD2711">
            <w:pPr>
              <w:pStyle w:val="ListParagraph"/>
              <w:ind w:left="0"/>
              <w:jc w:val="both"/>
              <w:rPr>
                <w:rFonts w:ascii="Times New Roman" w:hAnsi="Times New Roman"/>
                <w:sz w:val="24"/>
                <w:szCs w:val="24"/>
              </w:rPr>
            </w:pPr>
            <w:r w:rsidRPr="00477E8D">
              <w:rPr>
                <w:rFonts w:ascii="Times New Roman" w:hAnsi="Times New Roman"/>
                <w:sz w:val="24"/>
                <w:szCs w:val="24"/>
              </w:rPr>
              <w:t xml:space="preserve">2.       2015. gadā īstenots ilgtermiņa apmācību kurss “Augšup!” par neformālo izglītību jauniešu mājās. </w:t>
            </w:r>
          </w:p>
          <w:p w:rsidR="001B1139" w:rsidRPr="00477E8D" w:rsidRDefault="001B1139" w:rsidP="00CD2711">
            <w:pPr>
              <w:pStyle w:val="ListParagraph"/>
              <w:ind w:left="0"/>
              <w:jc w:val="both"/>
              <w:rPr>
                <w:rFonts w:ascii="Times New Roman" w:hAnsi="Times New Roman"/>
                <w:sz w:val="24"/>
                <w:szCs w:val="24"/>
              </w:rPr>
            </w:pPr>
            <w:r w:rsidRPr="00477E8D">
              <w:rPr>
                <w:rFonts w:ascii="Times New Roman" w:hAnsi="Times New Roman"/>
                <w:sz w:val="24"/>
                <w:szCs w:val="24"/>
              </w:rPr>
              <w:t xml:space="preserve">Tika īstenotas 2 apmācības 24 sociālajiem darbiniekiem un personām, kuras strādā ar sociālās atstumtības riskam pakļautajiem jauniešiem. </w:t>
            </w:r>
          </w:p>
          <w:p w:rsidR="001B1139" w:rsidRPr="00477E8D" w:rsidRDefault="001B1139" w:rsidP="00CD2711">
            <w:pPr>
              <w:pStyle w:val="ListParagraph"/>
              <w:ind w:left="0"/>
              <w:jc w:val="both"/>
              <w:rPr>
                <w:rFonts w:ascii="Times New Roman" w:hAnsi="Times New Roman"/>
                <w:sz w:val="24"/>
                <w:szCs w:val="24"/>
              </w:rPr>
            </w:pPr>
            <w:r w:rsidRPr="00477E8D">
              <w:rPr>
                <w:rFonts w:ascii="Times New Roman" w:hAnsi="Times New Roman"/>
                <w:sz w:val="24"/>
                <w:szCs w:val="24"/>
              </w:rPr>
              <w:t xml:space="preserve">Tika īstenotas 4 dažādas apmācību programmas 57 jauniešiem no 8 jauniešu mājām dažādos Latvijas reģionos. </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Īstenoto projektu skaits nevalstisko organizāciju vai pašvaldību neformālās izglītības programmu realizēšanai jauniešu sociālo prasmju attīstībai, veselīga un aktīva dzīves veida popularizēšanai.</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264</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Īstenoto jauniešu iniciatīvu projektu skaits, kas nodrošina jauniešu iesaistīšanos dažādās pašiniciētās aktivitātēs un līdzdalību vietējos un reģiona līmeņa demokrātijas procesos.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57</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57</w:t>
            </w:r>
          </w:p>
        </w:tc>
        <w:tc>
          <w:tcPr>
            <w:tcW w:w="1403" w:type="pct"/>
            <w:tcBorders>
              <w:top w:val="outset" w:sz="6" w:space="0" w:color="414142"/>
              <w:left w:val="outset" w:sz="6" w:space="0" w:color="414142"/>
              <w:bottom w:val="outset" w:sz="6" w:space="0" w:color="414142"/>
              <w:right w:val="outset" w:sz="6" w:space="0" w:color="414142"/>
            </w:tcBorders>
            <w:shd w:val="clear" w:color="auto" w:fill="auto"/>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p>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44</w:t>
            </w:r>
          </w:p>
        </w:tc>
      </w:tr>
      <w:tr w:rsidR="00CD2711" w:rsidRPr="00477E8D" w:rsidTr="00CD2711">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Palielināta agrīnu speciālo vajadzību un mācību grūtību diagnostikas prakse.</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Agrīnā vecumā diagnosticētas bērnu speciālās vajadzības un mācību grūtības, lai veiktu savlaicīgu profilakses un korekcijas darbu,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8165C5"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ESF projekta Nr.8.3.2.2. ietvaros izglītoti 100 pedagogi, kas apguvuši diagnostikas instrumentus un rīkus, lai diagnosticētu bērnu speciālās vajadzības un mācību grūtības</w:t>
            </w:r>
            <w:r w:rsidR="000E5EC1" w:rsidRPr="00477E8D">
              <w:rPr>
                <w:rFonts w:ascii="Times New Roman" w:eastAsia="Times New Roman" w:hAnsi="Times New Roman" w:cs="Times New Roman"/>
                <w:sz w:val="24"/>
                <w:szCs w:val="24"/>
                <w:lang w:eastAsia="lv-LV"/>
              </w:rPr>
              <w:t xml:space="preserve"> (2018.)</w:t>
            </w:r>
          </w:p>
        </w:tc>
      </w:tr>
      <w:tr w:rsidR="00CD2711" w:rsidRPr="00477E8D" w:rsidTr="00C52BBC">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Mērķis</w:t>
            </w:r>
          </w:p>
        </w:tc>
        <w:tc>
          <w:tcPr>
            <w:tcW w:w="443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2.</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Veicināt vērtībizglītībā balstītu indivīda profesionālo un sociālo prasmju attīstību dzīvei un konkurētspējai darba vidē</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2.1.</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Karjeras izglītības sistēmas attīstība un pakalpojumu pieejamība</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 karjeras attīstības atbalsta sistēma un nodrošināta pakalpojumu pieejamība.</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Karjeras konsultanta un skolēnu, un audzēkņu skaita attiecība pašvaldības teritorijā esošajās vispārējās un profesionālajās izglītības iestādēs.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n/i</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0E5EC1" w:rsidRPr="00477E8D" w:rsidRDefault="000E5EC1"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1/700 (2017.)</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1/700</w:t>
            </w:r>
            <w:r w:rsidR="00954E08" w:rsidRPr="00477E8D">
              <w:rPr>
                <w:rFonts w:ascii="Times New Roman" w:eastAsia="Times New Roman" w:hAnsi="Times New Roman" w:cs="Times New Roman"/>
                <w:sz w:val="24"/>
                <w:szCs w:val="24"/>
                <w:lang w:eastAsia="lv-LV"/>
              </w:rPr>
              <w:t xml:space="preserve"> (2018.)</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Kopējais izglītības iestāžu skaits, kurās pieejami karjeras izglītības pakalpojumi.</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262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328</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99505B" w:rsidRPr="00477E8D" w:rsidRDefault="0099505B"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410 (2017.)</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w:t>
            </w:r>
            <w:r w:rsidR="00954E08" w:rsidRPr="00477E8D">
              <w:rPr>
                <w:rFonts w:ascii="Times New Roman" w:eastAsia="Times New Roman" w:hAnsi="Times New Roman" w:cs="Times New Roman"/>
                <w:sz w:val="24"/>
                <w:szCs w:val="24"/>
                <w:lang w:eastAsia="lv-LV"/>
              </w:rPr>
              <w:t>22 (2018.)</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informācijas pieejamība e-vidē par izglītības iespējām Latvijā (datubāzēs ievietoto visu pakāpju un veidu izglītības programmu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12 800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14 000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16 000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14 090</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Informācijas pieaugums interneta vietnē "Profesiju pasaule" par uzņēmējdarbības virzieniem un pamatprofesijām darba tirgū, to apraksts un vizualizācija (intervijas, foto galerijas, video).</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w:t>
            </w:r>
            <w:r w:rsidRPr="00477E8D">
              <w:rPr>
                <w:rFonts w:ascii="Times New Roman" w:eastAsia="Times New Roman" w:hAnsi="Times New Roman" w:cs="Times New Roman"/>
                <w:sz w:val="24"/>
                <w:szCs w:val="24"/>
                <w:lang w:eastAsia="lv-LV"/>
              </w:rPr>
              <w:br/>
              <w:t>14/84</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w:t>
            </w:r>
            <w:r w:rsidRPr="00477E8D">
              <w:rPr>
                <w:rFonts w:ascii="Times New Roman" w:eastAsia="Times New Roman" w:hAnsi="Times New Roman" w:cs="Times New Roman"/>
                <w:sz w:val="24"/>
                <w:szCs w:val="24"/>
                <w:lang w:eastAsia="lv-LV"/>
              </w:rPr>
              <w:br/>
              <w:t>28/168</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w:t>
            </w:r>
            <w:r w:rsidRPr="00477E8D">
              <w:rPr>
                <w:rFonts w:ascii="Times New Roman" w:eastAsia="Times New Roman" w:hAnsi="Times New Roman" w:cs="Times New Roman"/>
                <w:sz w:val="24"/>
                <w:szCs w:val="24"/>
                <w:lang w:eastAsia="lv-LV"/>
              </w:rPr>
              <w:br/>
              <w:t>47/282</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w:t>
            </w:r>
            <w:r w:rsidRPr="00477E8D">
              <w:rPr>
                <w:rFonts w:ascii="Times New Roman" w:eastAsia="Times New Roman" w:hAnsi="Times New Roman" w:cs="Times New Roman"/>
                <w:sz w:val="24"/>
                <w:szCs w:val="24"/>
                <w:lang w:eastAsia="lv-LV"/>
              </w:rPr>
              <w:br/>
              <w:t>29/166 (+2 informatīvie palīglīdzekļi)</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Eiropas Komisijas konsultāciju un informācijas apmaiņas tīkla </w:t>
            </w:r>
            <w:r w:rsidRPr="00477E8D">
              <w:rPr>
                <w:rFonts w:ascii="Times New Roman" w:eastAsia="Times New Roman" w:hAnsi="Times New Roman" w:cs="Times New Roman"/>
                <w:i/>
                <w:iCs/>
                <w:sz w:val="24"/>
                <w:szCs w:val="24"/>
                <w:lang w:eastAsia="lv-LV"/>
              </w:rPr>
              <w:t>Euroguidance</w:t>
            </w:r>
            <w:r w:rsidRPr="00477E8D">
              <w:rPr>
                <w:rFonts w:ascii="Times New Roman" w:eastAsia="Times New Roman" w:hAnsi="Times New Roman" w:cs="Times New Roman"/>
                <w:sz w:val="24"/>
                <w:szCs w:val="24"/>
                <w:lang w:eastAsia="lv-LV"/>
              </w:rPr>
              <w:t xml:space="preserve"> pasākumi karjeras atbalsta speciālistu profesionālo kompetenču pilnveidei, pasākumu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20 </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 semināri, 4 konferences un 1 vebinārs)</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2.2.</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Priekšlaicīgi mācības pametušo un izglītību neieguvušo skaita samazināšana</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Paaugstināts izglītībā iesaistīto personu īpatsvars.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Obligātās izglītības vecumā esošo bērnu, kuri nav reģistrēti nevienā izglītības iestādē, īpatsvars,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5,4%</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4,4%</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EC452B" w:rsidRPr="00477E8D" w:rsidRDefault="00EC452B"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6,6% (2017.)</w:t>
            </w:r>
          </w:p>
          <w:p w:rsidR="001B1139" w:rsidRPr="00477E8D" w:rsidRDefault="00954E08"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 (2018.)</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Skolu nepabeigušo un izglītībā neiesaistīto iedzīvotāju īpatsvars vecuma grupā 18-24 gadi,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10,6%</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EC452B" w:rsidRPr="00477E8D" w:rsidRDefault="00EC452B"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8,6% (2017.)</w:t>
            </w:r>
          </w:p>
          <w:p w:rsidR="001B1139" w:rsidRPr="00477E8D" w:rsidRDefault="00954E08" w:rsidP="005E16AD">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r w:rsidR="005E16AD" w:rsidRPr="00477E8D">
              <w:rPr>
                <w:rFonts w:ascii="Times New Roman" w:eastAsia="Times New Roman" w:hAnsi="Times New Roman" w:cs="Times New Roman"/>
                <w:sz w:val="24"/>
                <w:szCs w:val="24"/>
                <w:lang w:eastAsia="lv-LV"/>
              </w:rPr>
              <w:t>3</w:t>
            </w:r>
            <w:r w:rsidRPr="00477E8D">
              <w:rPr>
                <w:rFonts w:ascii="Times New Roman" w:eastAsia="Times New Roman" w:hAnsi="Times New Roman" w:cs="Times New Roman"/>
                <w:sz w:val="24"/>
                <w:szCs w:val="24"/>
                <w:lang w:eastAsia="lv-LV"/>
              </w:rPr>
              <w:t xml:space="preserve">% </w:t>
            </w:r>
            <w:r w:rsidR="005E16AD" w:rsidRPr="00477E8D">
              <w:rPr>
                <w:rFonts w:ascii="Times New Roman" w:eastAsia="Times New Roman" w:hAnsi="Times New Roman" w:cs="Times New Roman"/>
                <w:sz w:val="24"/>
                <w:szCs w:val="24"/>
                <w:lang w:eastAsia="lv-LV"/>
              </w:rPr>
              <w:t>(2018.</w:t>
            </w:r>
            <w:r w:rsidRPr="00477E8D">
              <w:rPr>
                <w:rFonts w:ascii="Times New Roman" w:eastAsia="Times New Roman" w:hAnsi="Times New Roman" w:cs="Times New Roman"/>
                <w:sz w:val="24"/>
                <w:szCs w:val="24"/>
                <w:lang w:eastAsia="lv-LV"/>
              </w:rPr>
              <w:t>)</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Par nesekmību un nodarbību neapmeklēšanu no profesionālās vidējās izglītības iestādēm atskaitīto audzēkņu skaita īpatsvars,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tabs>
                <w:tab w:val="left" w:pos="2235"/>
                <w:tab w:val="center" w:pos="2743"/>
              </w:tabs>
              <w:spacing w:after="0" w:line="240" w:lineRule="auto"/>
              <w:ind w:firstLine="300"/>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b/>
              <w:t>4,62%</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Uzlabots obligātā izglītības vecumā esošo bērnu, kuri nav reģistrēti izglītības iestādē, monitorings.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Veikto pētījumu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1 </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(katru gadu tiek apkopota informācija, kuru pašvaldības ievadījušas VIIS, analizēta situācija, izdarīti secinājumi, veidots ziņojums).</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profesionālās izglītības programmu pieejamība jauniešu garantijas ietvaros.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Iegūstamās kvalifikācijas no kopējā iegūstamo kvalifikāciju skaita,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37%</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2.3.</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Ārpus formālās izglītības iespēju un pieejamības bērniem un jauniešiem paplašināšana</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Palielināta bērnu un jaunieši iesaiste kultūrvēsturiskā mantojuma saglabāšanā, pilsoniskajās un ārpusklases aktivitātēs.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Dziesmu un deju svētku procesā un pilsoniskajās aktivitātēs iesaistīto skolēnu skaits, % no kopējā vispārējās izglītības iestādēs esošā izglītojamo skaita.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75%</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Bērnu un jauniešu iesaiste Latvijas Republikai nozīmīgu svētku pasākumos.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90%</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Bērnu un jauniešu, kas iesaistīti neformālās un interešu izglītības aktivitātēs, īpatsvars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68%</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71%</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Pilnveidotas jauniešu prasmes.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Jauniešu centru skaits/iesaistīto jauniešu skaits dienā, kuri apgūst jauniešu centros dažādas prasmes neformālās un interešu izglītošanās ceļā.</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86 /3 440 -</w:t>
            </w:r>
            <w:r w:rsidRPr="00477E8D">
              <w:rPr>
                <w:rFonts w:ascii="Times New Roman" w:eastAsia="Times New Roman" w:hAnsi="Times New Roman" w:cs="Times New Roman"/>
                <w:sz w:val="24"/>
                <w:szCs w:val="24"/>
                <w:lang w:eastAsia="lv-LV"/>
              </w:rPr>
              <w:br/>
              <w:t>6 880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86 /3 440 -</w:t>
            </w:r>
            <w:r w:rsidRPr="00477E8D">
              <w:rPr>
                <w:rFonts w:ascii="Times New Roman" w:eastAsia="Times New Roman" w:hAnsi="Times New Roman" w:cs="Times New Roman"/>
                <w:sz w:val="24"/>
                <w:szCs w:val="24"/>
                <w:lang w:eastAsia="lv-LV"/>
              </w:rPr>
              <w:br/>
              <w:t>6 880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86 /3 440 -</w:t>
            </w:r>
            <w:r w:rsidRPr="00477E8D">
              <w:rPr>
                <w:rFonts w:ascii="Times New Roman" w:eastAsia="Times New Roman" w:hAnsi="Times New Roman" w:cs="Times New Roman"/>
                <w:sz w:val="24"/>
                <w:szCs w:val="24"/>
                <w:lang w:eastAsia="lv-LV"/>
              </w:rPr>
              <w:br/>
              <w:t>6 880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173 jauniešu centros jauniešiem ir iespēja iegūt dažādas prasmes neformālās un interešu izglītošanās ceļā. </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26 jauniešu centros (atbalstīti Latvijas un </w:t>
            </w:r>
            <w:r w:rsidRPr="00477E8D">
              <w:rPr>
                <w:rFonts w:ascii="Times New Roman" w:eastAsia="Times New Roman" w:hAnsi="Times New Roman" w:cs="Times New Roman"/>
                <w:bCs/>
                <w:sz w:val="24"/>
                <w:szCs w:val="24"/>
                <w:lang w:eastAsia="lv-LV"/>
              </w:rPr>
              <w:t>Šveices</w:t>
            </w:r>
            <w:r w:rsidRPr="00477E8D">
              <w:rPr>
                <w:rFonts w:ascii="Times New Roman" w:eastAsia="Times New Roman" w:hAnsi="Times New Roman" w:cs="Times New Roman"/>
                <w:sz w:val="24"/>
                <w:szCs w:val="24"/>
                <w:lang w:eastAsia="lv-LV"/>
              </w:rPr>
              <w:t xml:space="preserve"> sadarbības programmas ietvaros) iesaistās vidēji 780-1040 jaunieši dienā (vienā centrā iesaistās vidēji 30-40 jaunieši dienā)</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Īstenoto programmas "Erasmus+" projektu skaits/iesaistīto dalībnieku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320/8000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560/14000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516/17503</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Organizēto apmācību skaits jauniešu prasmju pilnveidei/jauniešu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25/486</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100/2000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100/2000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63/1165</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darbā ar jaunatni iesaistīto personu profesionālā pilnveide.</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Organizēto apmācību skaits darbā ar jaunatni iesaistīto personu prasmju pilnveidei/dalībnieku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15/290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60/1200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60/1200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116/3129</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Jaunatnes lietu speciālistu skaits, kas piedalās IZM organizētajos kvalifikācijas iegūšanas kursos.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25</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Darbā ar jaunatni iesaistīto personu dalības nodrošināšana starptautiskās apmācībās. Apmācību skaits/ dalībnieku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160/320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320/640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139/328</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+ 25 darbā ar jaunatni iesaistītās personas piedalījušās Baltijas-Flandrijas sadarbības programmā</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Īstenoti atbalsta pasākumi diasporai latviešu valodas un kultūras apguvē.</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Pasākumu skaits diasporas latviešu valodas un kultūras apguvei.</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44</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93</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987B2E" w:rsidRPr="00477E8D" w:rsidRDefault="009F051A" w:rsidP="009F051A">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Latviešu valodas aģentūra: </w:t>
            </w:r>
            <w:r w:rsidR="001B1139" w:rsidRPr="00477E8D">
              <w:rPr>
                <w:rFonts w:ascii="Times New Roman" w:eastAsia="Times New Roman" w:hAnsi="Times New Roman" w:cs="Times New Roman"/>
                <w:sz w:val="24"/>
                <w:szCs w:val="24"/>
                <w:lang w:eastAsia="lv-LV"/>
              </w:rPr>
              <w:t>65</w:t>
            </w:r>
            <w:r w:rsidR="00987B2E" w:rsidRPr="00477E8D">
              <w:rPr>
                <w:rFonts w:ascii="Times New Roman" w:eastAsia="Times New Roman" w:hAnsi="Times New Roman" w:cs="Times New Roman"/>
                <w:sz w:val="24"/>
                <w:szCs w:val="24"/>
                <w:lang w:eastAsia="lv-LV"/>
              </w:rPr>
              <w:t xml:space="preserve"> (2017.)</w:t>
            </w:r>
            <w:r w:rsidRPr="00477E8D">
              <w:rPr>
                <w:rFonts w:ascii="Times New Roman" w:eastAsia="Times New Roman" w:hAnsi="Times New Roman" w:cs="Times New Roman"/>
                <w:sz w:val="24"/>
                <w:szCs w:val="24"/>
                <w:lang w:eastAsia="lv-LV"/>
              </w:rPr>
              <w:t xml:space="preserve">, </w:t>
            </w:r>
            <w:r w:rsidR="00987B2E" w:rsidRPr="00477E8D">
              <w:rPr>
                <w:rFonts w:ascii="Times New Roman" w:eastAsia="Times New Roman" w:hAnsi="Times New Roman" w:cs="Times New Roman"/>
                <w:sz w:val="24"/>
                <w:szCs w:val="24"/>
                <w:lang w:eastAsia="lv-LV"/>
              </w:rPr>
              <w:t>74 (2018.)</w:t>
            </w:r>
          </w:p>
          <w:p w:rsidR="009F051A" w:rsidRPr="00477E8D" w:rsidRDefault="009F051A" w:rsidP="009F051A">
            <w:pPr>
              <w:spacing w:after="0" w:line="240" w:lineRule="auto"/>
              <w:ind w:firstLine="300"/>
              <w:jc w:val="center"/>
              <w:rPr>
                <w:rFonts w:ascii="Times New Roman" w:eastAsia="Times New Roman" w:hAnsi="Times New Roman" w:cs="Times New Roman"/>
                <w:sz w:val="24"/>
                <w:szCs w:val="24"/>
                <w:lang w:eastAsia="lv-LV"/>
              </w:rPr>
            </w:pPr>
          </w:p>
          <w:p w:rsidR="009F051A" w:rsidRPr="00477E8D" w:rsidRDefault="009F051A" w:rsidP="009F051A">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Latvijas Nacionālais kultūras centrs: pieaugušo neformālās izglītības kursi „Ceļā uz savu tautas tērpu. Adījumi latviešu tautas tērpā. Kurzemes jakas” (16 stundas, 04. – 05.02.2017), kas notika Latviešu centrā Minsterē, Vācijā; folkloras un tradicionālās dziedāšanas meistarklase reģionālā folkloras festivāla „Abra” ietvaros (04. – 05.03.2017) Luksemburgā, kā arī sešas meistarklases ārvalstīs koprepertuāra deju apguves semināri – XXVI Vispārējo latviešu Dziesmu un XVI Deju svētku Deju lieluzvedumam „Māras zeme”, kuros piedalās arī diasporas jaunieši.</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Ieviests Eiropas līmeņa atbalsta instruments </w:t>
            </w:r>
            <w:r w:rsidRPr="00477E8D">
              <w:rPr>
                <w:rFonts w:ascii="Times New Roman" w:eastAsia="Times New Roman" w:hAnsi="Times New Roman" w:cs="Times New Roman"/>
                <w:i/>
                <w:iCs/>
                <w:sz w:val="24"/>
                <w:szCs w:val="24"/>
                <w:lang w:eastAsia="lv-LV"/>
              </w:rPr>
              <w:t>Youthpass</w:t>
            </w:r>
            <w:r w:rsidRPr="00477E8D">
              <w:rPr>
                <w:rFonts w:ascii="Times New Roman" w:eastAsia="Times New Roman" w:hAnsi="Times New Roman" w:cs="Times New Roman"/>
                <w:sz w:val="24"/>
                <w:szCs w:val="24"/>
                <w:lang w:eastAsia="lv-LV"/>
              </w:rPr>
              <w:t>.</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Organizāciju skaits, kas lieto </w:t>
            </w:r>
            <w:r w:rsidRPr="00477E8D">
              <w:rPr>
                <w:rFonts w:ascii="Times New Roman" w:eastAsia="Times New Roman" w:hAnsi="Times New Roman" w:cs="Times New Roman"/>
                <w:i/>
                <w:iCs/>
                <w:sz w:val="24"/>
                <w:szCs w:val="24"/>
                <w:lang w:eastAsia="lv-LV"/>
              </w:rPr>
              <w:t>Youthpass</w:t>
            </w:r>
            <w:r w:rsidRPr="00477E8D">
              <w:rPr>
                <w:rFonts w:ascii="Times New Roman" w:eastAsia="Times New Roman" w:hAnsi="Times New Roman" w:cs="Times New Roman"/>
                <w:sz w:val="24"/>
                <w:szCs w:val="24"/>
                <w:lang w:eastAsia="lv-LV"/>
              </w:rPr>
              <w:t xml:space="preserve"> sertifikātu neformālās izglītības prasmju atzīšanai/ jauniešu skaits, kas ir saņēmuši sertifikātu.</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50/750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100/1500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281/2346</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Izstrādāti profesionālās ievirzes sporta izglītības programmu paraugi.</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Programmu paraugu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Uzdevums uzskatāms par faktiski izpildītu.</w:t>
            </w:r>
          </w:p>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MK 2017.gada 29.augusta noteikumi Nr.508 “Kārtība, kādā valsts finansē profesionālās ievirzes sporta izglītības programmas” nosaka profesionālās ievirzes sporta programmu īstenošanā iesaistīto audzēkņu vecumu, mācību – treniņu grupu audzēkņu skaitu, kā arī sasniedzamos rezultātus. Minētie nosacījumi izstrādāti sadarbībā ar Sporta likumā noteiktajā kārtībā atzīto attiecīgā sporta veida federāciju.</w:t>
            </w:r>
          </w:p>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Saskaņā ar Izglītības likumu profesionālās ievirzes izglītības programmas izstrādā izglītības iestāde. Izglītības iestādēs (programmu) akreditācijā piedalās arī sporta veidu federāciju pārstāvji.</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2.4. Izglītības iespēju paplašināšana pieaugušajiem</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Palielināta pieaugušo iesaiste izglītības aktivitātēs.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Pieaugušo izglītībā iesaistīto personu īpatsvars 25-64 gadu vecumā,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7,2%</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EC452B" w:rsidRPr="00477E8D" w:rsidRDefault="00EC452B"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7,5% (2017.)</w:t>
            </w:r>
          </w:p>
          <w:p w:rsidR="001B1139" w:rsidRPr="00477E8D" w:rsidRDefault="00134A14" w:rsidP="00134A14">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6,7% (2018.</w:t>
            </w:r>
            <w:r w:rsidR="00954E08" w:rsidRPr="00477E8D">
              <w:rPr>
                <w:rFonts w:ascii="Times New Roman" w:eastAsia="Times New Roman" w:hAnsi="Times New Roman" w:cs="Times New Roman"/>
                <w:sz w:val="24"/>
                <w:szCs w:val="24"/>
                <w:lang w:eastAsia="lv-LV"/>
              </w:rPr>
              <w:t>)</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Personu, kam veikta ārpus formālās izglītības sistēmas apgūto profesionālo kompetenču pielīdzināšana, pieaugums gadā kumulatīvi, tajā skaitā bāzes rādītāji,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r w:rsidRPr="00477E8D">
              <w:rPr>
                <w:rFonts w:ascii="Times New Roman" w:eastAsia="Times New Roman" w:hAnsi="Times New Roman" w:cs="Times New Roman"/>
                <w:sz w:val="24"/>
                <w:szCs w:val="24"/>
                <w:lang w:eastAsia="lv-LV"/>
              </w:rPr>
              <w:br/>
              <w:t>(440 pers.)</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r w:rsidRPr="00477E8D">
              <w:rPr>
                <w:rFonts w:ascii="Times New Roman" w:eastAsia="Times New Roman" w:hAnsi="Times New Roman" w:cs="Times New Roman"/>
                <w:sz w:val="24"/>
                <w:szCs w:val="24"/>
                <w:lang w:eastAsia="lv-LV"/>
              </w:rPr>
              <w:br/>
              <w:t>(480 pers.)</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EC452B" w:rsidRPr="00477E8D" w:rsidRDefault="00EC452B"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+24%</w:t>
            </w:r>
          </w:p>
          <w:p w:rsidR="00EC452B" w:rsidRPr="00477E8D" w:rsidRDefault="00EC452B"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(520 pers.) (2017.)</w:t>
            </w:r>
          </w:p>
          <w:p w:rsidR="0043693E" w:rsidRPr="00477E8D" w:rsidRDefault="0043693E" w:rsidP="00CD2711">
            <w:pPr>
              <w:spacing w:after="0" w:line="240" w:lineRule="auto"/>
              <w:ind w:firstLine="300"/>
              <w:jc w:val="center"/>
              <w:rPr>
                <w:rFonts w:ascii="Times New Roman" w:eastAsia="Times New Roman" w:hAnsi="Times New Roman" w:cs="Times New Roman"/>
                <w:sz w:val="24"/>
                <w:szCs w:val="24"/>
                <w:lang w:eastAsia="lv-LV"/>
              </w:rPr>
            </w:pPr>
          </w:p>
          <w:p w:rsidR="008B6030" w:rsidRPr="00477E8D" w:rsidRDefault="008B6030"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+47%</w:t>
            </w:r>
          </w:p>
          <w:p w:rsidR="008B6030" w:rsidRPr="00477E8D" w:rsidRDefault="008B6030"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(968 pers.) </w:t>
            </w:r>
          </w:p>
          <w:p w:rsidR="001B1139" w:rsidRPr="00477E8D" w:rsidRDefault="008B6030"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(2018.)</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Nodrošināts tālākizglītotāju profesionālās pilnveides un metodiskais atbalsts latviešu valodas kā otrās un kā svešvalodas prasmes paaugstināšanai pieaugušajiem.</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Atbalstu saņēmušo latviešu valodas kā otrās un kā svešvalodas pedagogu, kuri strādā ar pieaugušajiem,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116</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104</w:t>
            </w:r>
          </w:p>
        </w:tc>
      </w:tr>
      <w:tr w:rsidR="00CD2711" w:rsidRPr="00477E8D" w:rsidTr="00C52BBC">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Mērķis</w:t>
            </w:r>
          </w:p>
        </w:tc>
        <w:tc>
          <w:tcPr>
            <w:tcW w:w="443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jc w:val="center"/>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3. Uzlabot resursu pārvaldības efektivitāti, attīstot izglītības iestāžu institucionālo izcilību</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3.1.</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Izglītības kvalitātes monitoringa sistēmas pilnveide</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Nodrošināts vienots izglītības kvalitātes monitorings.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Pieaugums </w:t>
            </w:r>
            <w:r w:rsidRPr="00477E8D">
              <w:rPr>
                <w:rFonts w:ascii="Times New Roman" w:eastAsia="Times New Roman" w:hAnsi="Times New Roman" w:cs="Times New Roman"/>
                <w:i/>
                <w:iCs/>
                <w:sz w:val="24"/>
                <w:szCs w:val="24"/>
                <w:lang w:eastAsia="lv-LV"/>
              </w:rPr>
              <w:t>EFA Development</w:t>
            </w:r>
            <w:r w:rsidRPr="00477E8D">
              <w:rPr>
                <w:rFonts w:ascii="Times New Roman" w:eastAsia="Times New Roman" w:hAnsi="Times New Roman" w:cs="Times New Roman"/>
                <w:sz w:val="24"/>
                <w:szCs w:val="24"/>
                <w:lang w:eastAsia="lv-LV"/>
              </w:rPr>
              <w:t xml:space="preserve"> indeksa valstu salīdzinošajā rangā,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+12</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Jaunāki dati nav pieejami.</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Izglītības iestāžu, kas iesaistītas izglītības kvalitātes monitoringā, īpatsvars,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p>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75%</w:t>
            </w:r>
          </w:p>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Pilnveidotas valsts informācijas sistēmas.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Izmaiņas valsts pārbaudījumu reglamentējošos normatīvajos aktos.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Pilnveidei nepieciešamo izmaiņu pieprasījumu skaits VIIS.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izglītojamo ar invaliditāti uzskaite vispārējās izglītības, profesionālās izglītības un augstākās izglītības iestādēs,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Nepieciešamas izmaiņas normatīvajā regulējumā, kas ieviestu deleģējumu uzkrāt VIIS datus par studējošiem ar invaliditāti, un vienošanās ar Veselības un darbspēju ekspertīzes ārstu valsts komisiju par studējošo datu nodošanu, lai identificētu personu ar invaliditāti uzskaiti.</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 vienota pieaugušo izglītības informācijas sistēma.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 Plānots, ka līdz 2020.gadam sistēma tiks izstrādāta un nodrošināta tās uzturēšana.</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 un uzturēta vienota datubāze (studiju programmu datubāze, ekspertu datubāze u.c.), kas nepieciešama augstākās izglītības ārējās un iekšējās kvalitātes vērtēšanai.</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Plānots sasniegt uz 2020.gadu augstākās izglītības kvalitātes monitoringa ietvaros. Datubāze šajā gadījumā paredzēta kā vienota datu kopa, kurā apkopota informācija no dažādām jau pastāvošām sistēmām.</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 augstākās izglītības iestāžu absolventu darba gaitu monitoringa sistēma.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1 </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 vienota augstākās izglītības informācijas sistēma, kurā iekļauti akadēmiskā un zinātniskā personāla reģistri, studējošo, diplomu reģistri, kā arī akreditācijas vajadzībām nepieciešamā datubāze.</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p w:rsidR="001B1139" w:rsidRPr="00477E8D" w:rsidRDefault="001B1139" w:rsidP="00CD2711">
            <w:pPr>
              <w:spacing w:after="0" w:line="240" w:lineRule="auto"/>
              <w:rPr>
                <w:rFonts w:ascii="Times New Roman" w:eastAsia="Times New Roman" w:hAnsi="Times New Roman" w:cs="Times New Roman"/>
                <w:sz w:val="24"/>
                <w:szCs w:val="24"/>
                <w:lang w:eastAsia="lv-LV"/>
              </w:rPr>
            </w:pP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Izstrādāta un aprobēta jauna, vienota profesionālās un vispārējās izglītības iestāžu vadītāju novērtēšanas sistēma.</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Novērtēto izglītības iestāžu vadītāju īpatsvars.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EC452B" w:rsidRPr="00477E8D" w:rsidRDefault="00EC452B"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 (2017.)</w:t>
            </w:r>
          </w:p>
          <w:p w:rsidR="00EC452B" w:rsidRPr="00477E8D" w:rsidRDefault="00EC452B" w:rsidP="00CD2711">
            <w:pPr>
              <w:spacing w:after="0" w:line="240" w:lineRule="auto"/>
              <w:jc w:val="center"/>
              <w:rPr>
                <w:rFonts w:ascii="Times New Roman" w:eastAsia="Times New Roman" w:hAnsi="Times New Roman" w:cs="Times New Roman"/>
                <w:sz w:val="24"/>
                <w:szCs w:val="24"/>
                <w:lang w:eastAsia="lv-LV"/>
              </w:rPr>
            </w:pPr>
          </w:p>
          <w:p w:rsidR="008B6030" w:rsidRPr="00477E8D" w:rsidRDefault="008B6030"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16% (2018.)</w:t>
            </w:r>
          </w:p>
          <w:p w:rsidR="008B6030" w:rsidRPr="00477E8D" w:rsidRDefault="008B6030"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 (bez pirmsskolas izglītības iestādēm, kuru vadītāju novērtēšana sākās 2018.gadā)</w:t>
            </w:r>
          </w:p>
          <w:p w:rsidR="008B6030" w:rsidRPr="00477E8D" w:rsidRDefault="008B6030" w:rsidP="00CD2711">
            <w:pPr>
              <w:spacing w:after="0" w:line="240" w:lineRule="auto"/>
              <w:jc w:val="center"/>
              <w:rPr>
                <w:rFonts w:ascii="Times New Roman" w:eastAsia="Times New Roman" w:hAnsi="Times New Roman" w:cs="Times New Roman"/>
                <w:sz w:val="24"/>
                <w:szCs w:val="24"/>
                <w:lang w:eastAsia="lv-LV"/>
              </w:rPr>
            </w:pPr>
          </w:p>
          <w:p w:rsidR="008B6030" w:rsidRPr="00477E8D" w:rsidRDefault="008B6030"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 (2018.)</w:t>
            </w:r>
          </w:p>
          <w:p w:rsidR="001B1139" w:rsidRPr="00477E8D" w:rsidRDefault="008B6030"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(ar pirmsskolas izglītības iestādēm)</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dalība nacionālajos un starptautiski salīdzinošajos pētījumos.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Izglītības pētījumu skaits.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 nacionālā augstākās izglītības kvalitātes nodrošināšanas institūcija, kas reģistrēta EQAR.</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 un uzturēta augstākās izglītības kvalitātes nodrošināšanas nacionālā institūcija.</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3.2.</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Efektīva izglītības finanšu resursu pārvaldība</w:t>
            </w:r>
          </w:p>
        </w:tc>
      </w:tr>
      <w:tr w:rsidR="00CD2711" w:rsidRPr="00477E8D" w:rsidTr="00CD2711">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Palielinājušies finanšu resursu ieguldījumi izglītībā.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Valsts izdevumi izglītībai gadā, % no IKP.</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hanging="33"/>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4,91% </w:t>
            </w:r>
          </w:p>
          <w:p w:rsidR="001B1139" w:rsidRPr="00477E8D" w:rsidRDefault="001B1139" w:rsidP="00CD2711">
            <w:pPr>
              <w:spacing w:after="0" w:line="240" w:lineRule="auto"/>
              <w:ind w:hanging="33"/>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(2013., </w:t>
            </w:r>
            <w:r w:rsidRPr="00477E8D">
              <w:rPr>
                <w:rFonts w:ascii="Times New Roman" w:eastAsia="Times New Roman" w:hAnsi="Times New Roman" w:cs="Times New Roman"/>
                <w:i/>
                <w:sz w:val="24"/>
                <w:szCs w:val="24"/>
                <w:lang w:eastAsia="lv-LV"/>
              </w:rPr>
              <w:t>Eurostat</w:t>
            </w:r>
            <w:r w:rsidRPr="00477E8D">
              <w:rPr>
                <w:rFonts w:ascii="Times New Roman" w:eastAsia="Times New Roman" w:hAnsi="Times New Roman" w:cs="Times New Roman"/>
                <w:sz w:val="24"/>
                <w:szCs w:val="24"/>
                <w:lang w:eastAsia="lv-LV"/>
              </w:rPr>
              <w:t>)</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3,7%</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5,33% </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(2015., </w:t>
            </w:r>
            <w:r w:rsidRPr="00477E8D">
              <w:rPr>
                <w:rFonts w:ascii="Times New Roman" w:eastAsia="Times New Roman" w:hAnsi="Times New Roman" w:cs="Times New Roman"/>
                <w:i/>
                <w:sz w:val="24"/>
                <w:szCs w:val="24"/>
                <w:lang w:eastAsia="lv-LV"/>
              </w:rPr>
              <w:t>Eurostat</w:t>
            </w:r>
            <w:r w:rsidRPr="00477E8D">
              <w:rPr>
                <w:rFonts w:ascii="Times New Roman" w:eastAsia="Times New Roman" w:hAnsi="Times New Roman" w:cs="Times New Roman"/>
                <w:sz w:val="24"/>
                <w:szCs w:val="24"/>
                <w:lang w:eastAsia="lv-LV"/>
              </w:rPr>
              <w:t>)</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p>
        </w:tc>
      </w:tr>
      <w:tr w:rsidR="00CD2711" w:rsidRPr="00477E8D" w:rsidTr="00CD2711">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Izstrādāts un ieviests jauns vispārējās izglītības pedagogu atalgojuma modelis.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Izglītībā strādājošo vidējā darba alga</w:t>
            </w:r>
            <w:r w:rsidR="004A0F19" w:rsidRPr="00477E8D">
              <w:rPr>
                <w:rStyle w:val="FootnoteReference"/>
                <w:rFonts w:ascii="Times New Roman" w:eastAsia="Times New Roman" w:hAnsi="Times New Roman" w:cs="Times New Roman"/>
                <w:sz w:val="24"/>
                <w:szCs w:val="24"/>
                <w:lang w:eastAsia="lv-LV"/>
              </w:rPr>
              <w:footnoteReference w:id="1"/>
            </w:r>
            <w:r w:rsidRPr="00477E8D">
              <w:rPr>
                <w:rFonts w:ascii="Times New Roman" w:eastAsia="Times New Roman" w:hAnsi="Times New Roman" w:cs="Times New Roman"/>
                <w:sz w:val="24"/>
                <w:szCs w:val="24"/>
                <w:lang w:eastAsia="lv-LV"/>
              </w:rPr>
              <w:t xml:space="preserve"> (bruto) salīdzinājumā ar vidējo darba algu valstī,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-14%</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-7%</w:t>
            </w:r>
            <w:r w:rsidR="007E73D3" w:rsidRPr="00477E8D">
              <w:rPr>
                <w:rFonts w:ascii="Times New Roman" w:eastAsia="Times New Roman" w:hAnsi="Times New Roman" w:cs="Times New Roman"/>
                <w:sz w:val="24"/>
                <w:szCs w:val="24"/>
                <w:lang w:eastAsia="lv-LV"/>
              </w:rPr>
              <w:t xml:space="preserve"> (2017.)</w:t>
            </w:r>
          </w:p>
          <w:p w:rsidR="007E73D3" w:rsidRPr="00477E8D" w:rsidRDefault="007E73D3" w:rsidP="00CD2711">
            <w:pPr>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 (2018.)</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Izstrādāts un ieviests jauns speciālās izglītības iestāžu finansēšanas modelis.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Normatīvās bāzes pilnveide.</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w:t>
            </w:r>
            <w:r w:rsidRPr="00477E8D">
              <w:rPr>
                <w:rFonts w:ascii="Times New Roman" w:eastAsia="Times New Roman" w:hAnsi="Times New Roman" w:cs="Times New Roman"/>
                <w:sz w:val="24"/>
                <w:szCs w:val="24"/>
                <w:lang w:eastAsia="lv-LV"/>
              </w:rPr>
              <w:br/>
              <w:t>(2013)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Izstrādāts un ieviests jauns augstākās izglītības finansēšanas modelis.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Tiesiskā regulējuma </w:t>
            </w:r>
            <w:hyperlink r:id="rId8" w:tgtFrame="_blank" w:history="1">
              <w:r w:rsidRPr="00477E8D">
                <w:rPr>
                  <w:rFonts w:ascii="Times New Roman" w:eastAsia="Times New Roman" w:hAnsi="Times New Roman" w:cs="Times New Roman"/>
                  <w:sz w:val="24"/>
                  <w:szCs w:val="24"/>
                  <w:lang w:eastAsia="lv-LV"/>
                </w:rPr>
                <w:t xml:space="preserve">grozījumi </w:t>
              </w:r>
              <w:r w:rsidRPr="00477E8D">
                <w:rPr>
                  <w:rFonts w:ascii="Times New Roman" w:eastAsia="Times New Roman" w:hAnsi="Times New Roman" w:cs="Times New Roman"/>
                  <w:i/>
                  <w:iCs/>
                  <w:sz w:val="24"/>
                  <w:szCs w:val="24"/>
                  <w:lang w:eastAsia="lv-LV"/>
                </w:rPr>
                <w:t>Augstskolu likumā</w:t>
              </w:r>
            </w:hyperlink>
            <w:r w:rsidRPr="00477E8D">
              <w:rPr>
                <w:rFonts w:ascii="Times New Roman" w:eastAsia="Times New Roman" w:hAnsi="Times New Roman" w:cs="Times New Roman"/>
                <w:sz w:val="24"/>
                <w:szCs w:val="24"/>
                <w:lang w:eastAsia="lv-LV"/>
              </w:rPr>
              <w:t xml:space="preserve"> un citos normatīvajos aktos.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Ilgtspējīgs augstākās izglītības finansēšanas modelis, kas ļauj sasniegt NAP 2020 mērķus.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Palielināts valsts līdzfinansējums treneru atalgojumam profesionālās ievirzes sporta izglītības programmu īstenošanai.</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Nodrošināts valsts līdzfinansējums treneru atalgojumam profesionālās ievirzes sporta izglītības programmu īstenošanai,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54%</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hAnsi="Times New Roman"/>
                <w:sz w:val="24"/>
                <w:szCs w:val="24"/>
              </w:rPr>
            </w:pPr>
            <w:r w:rsidRPr="00477E8D">
              <w:rPr>
                <w:rFonts w:ascii="Times New Roman" w:hAnsi="Times New Roman"/>
                <w:sz w:val="24"/>
                <w:szCs w:val="24"/>
              </w:rPr>
              <w:t>85%</w:t>
            </w:r>
          </w:p>
          <w:p w:rsidR="001B1139" w:rsidRPr="00477E8D" w:rsidRDefault="001B1139" w:rsidP="00CD2711">
            <w:pPr>
              <w:spacing w:after="0" w:line="240" w:lineRule="auto"/>
              <w:jc w:val="center"/>
              <w:rPr>
                <w:rFonts w:ascii="Times New Roman" w:hAnsi="Times New Roman"/>
                <w:sz w:val="24"/>
                <w:szCs w:val="24"/>
              </w:rPr>
            </w:pPr>
            <w:r w:rsidRPr="00477E8D">
              <w:rPr>
                <w:rFonts w:ascii="Times New Roman" w:hAnsi="Times New Roman"/>
                <w:sz w:val="24"/>
                <w:szCs w:val="24"/>
              </w:rPr>
              <w:t>(1543,103 pedagoģiskās likmes)</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Atbalsts AII studiju virzienu pārvaldības pilnveidei, t.sk. koledžās, un efektīvas AII politikas ieviešanas un izglītības kvalitātes nodrošināšanas monitoringa sistēmas izveidei/ attīstībai, kas vērsta uz politikas analīzes kapacitātes attīstīšanu AII un zinātniskajās institūcijās.</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Izveidotas un darbojas studiju virzienu padomes.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 xml:space="preserve">- </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(padomes darbojas augstskolu ietvaros pašiniciatīvas rezultātā)</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3.3.</w:t>
            </w:r>
            <w:r w:rsidRPr="00477E8D">
              <w:rPr>
                <w:rFonts w:ascii="Times New Roman" w:eastAsia="Times New Roman" w:hAnsi="Times New Roman" w:cs="Times New Roman"/>
                <w:sz w:val="24"/>
                <w:szCs w:val="24"/>
                <w:lang w:eastAsia="lv-LV"/>
              </w:rPr>
              <w:t> </w:t>
            </w:r>
            <w:r w:rsidRPr="00477E8D">
              <w:rPr>
                <w:rFonts w:ascii="Times New Roman" w:eastAsia="Times New Roman" w:hAnsi="Times New Roman" w:cs="Times New Roman"/>
                <w:b/>
                <w:bCs/>
                <w:sz w:val="24"/>
                <w:szCs w:val="24"/>
                <w:lang w:eastAsia="lv-LV"/>
              </w:rPr>
              <w:t>Izglītības iestāžu tīkla sakārtošana</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Pieaugusi izglītības pakalpojumu pieejamība.</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Bērnu skaita īpatsvars, kas iesaistīti pirmsskolas izglītībā vecumā no 4 gadiem līdz obligātās pamatizglītības (1.klase) sākšanas vecumam,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92,7%</w:t>
            </w:r>
            <w:r w:rsidRPr="00477E8D">
              <w:rPr>
                <w:rFonts w:ascii="Times New Roman" w:eastAsia="Times New Roman" w:hAnsi="Times New Roman" w:cs="Times New Roman"/>
                <w:sz w:val="24"/>
                <w:szCs w:val="24"/>
                <w:lang w:eastAsia="lv-LV"/>
              </w:rPr>
              <w:br/>
              <w:t>(2011)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89%</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EC452B" w:rsidRPr="00477E8D" w:rsidRDefault="00EC452B" w:rsidP="00CD2711">
            <w:pPr>
              <w:spacing w:after="0" w:line="240" w:lineRule="auto"/>
              <w:ind w:hanging="32"/>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95,5% (2016.)</w:t>
            </w:r>
          </w:p>
          <w:p w:rsidR="001B1139" w:rsidRPr="00477E8D" w:rsidRDefault="006A7372" w:rsidP="00CD2711">
            <w:pPr>
              <w:spacing w:after="0" w:line="240" w:lineRule="auto"/>
              <w:ind w:hanging="32"/>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96,3%</w:t>
            </w:r>
            <w:r w:rsidR="008016D1" w:rsidRPr="00477E8D">
              <w:rPr>
                <w:rFonts w:ascii="Times New Roman" w:eastAsia="Times New Roman" w:hAnsi="Times New Roman" w:cs="Times New Roman"/>
                <w:sz w:val="24"/>
                <w:szCs w:val="24"/>
                <w:lang w:eastAsia="lv-LV"/>
              </w:rPr>
              <w:t xml:space="preserve"> </w:t>
            </w:r>
            <w:r w:rsidRPr="00477E8D">
              <w:rPr>
                <w:rFonts w:ascii="Times New Roman" w:eastAsia="Times New Roman" w:hAnsi="Times New Roman" w:cs="Times New Roman"/>
                <w:sz w:val="24"/>
                <w:szCs w:val="24"/>
                <w:lang w:eastAsia="lv-LV"/>
              </w:rPr>
              <w:t>(2017.)</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Skolēnu proporcija vispārējā un profesionālajā izglītībā vidējās izglītības pakāpē,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61/39%</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55/45%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50/50%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61,12%/38,88%</w:t>
            </w:r>
          </w:p>
        </w:tc>
      </w:tr>
      <w:tr w:rsidR="00CD2711" w:rsidRPr="00477E8D" w:rsidTr="00CD2711">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Augstākā izglītība: iedzīvotāju īpatsvars vecuma grupā 30-34 gadi (ar augstāko izglītību),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37,2%</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38%</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EC452B" w:rsidRPr="00477E8D" w:rsidRDefault="00EC452B" w:rsidP="00CD2711">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43,8% (2017.)</w:t>
            </w:r>
          </w:p>
          <w:p w:rsidR="001B1139" w:rsidRPr="00477E8D" w:rsidRDefault="006A7372" w:rsidP="005E16AD">
            <w:pPr>
              <w:spacing w:after="0" w:line="240" w:lineRule="auto"/>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42,</w:t>
            </w:r>
            <w:r w:rsidR="005E16AD" w:rsidRPr="00477E8D">
              <w:rPr>
                <w:rFonts w:ascii="Times New Roman" w:eastAsia="Times New Roman" w:hAnsi="Times New Roman" w:cs="Times New Roman"/>
                <w:sz w:val="24"/>
                <w:szCs w:val="24"/>
                <w:lang w:eastAsia="lv-LV"/>
              </w:rPr>
              <w:t>7</w:t>
            </w:r>
            <w:r w:rsidRPr="00477E8D">
              <w:rPr>
                <w:rFonts w:ascii="Times New Roman" w:eastAsia="Times New Roman" w:hAnsi="Times New Roman" w:cs="Times New Roman"/>
                <w:sz w:val="24"/>
                <w:szCs w:val="24"/>
                <w:lang w:eastAsia="lv-LV"/>
              </w:rPr>
              <w:t>%</w:t>
            </w:r>
            <w:r w:rsidR="005E16AD" w:rsidRPr="00477E8D">
              <w:rPr>
                <w:rFonts w:ascii="Times New Roman" w:eastAsia="Times New Roman" w:hAnsi="Times New Roman" w:cs="Times New Roman"/>
                <w:sz w:val="24"/>
                <w:szCs w:val="24"/>
                <w:lang w:eastAsia="lv-LV"/>
              </w:rPr>
              <w:t xml:space="preserve"> (2018.</w:t>
            </w:r>
            <w:r w:rsidRPr="00477E8D">
              <w:rPr>
                <w:rFonts w:ascii="Times New Roman" w:eastAsia="Times New Roman" w:hAnsi="Times New Roman" w:cs="Times New Roman"/>
                <w:sz w:val="24"/>
                <w:szCs w:val="24"/>
                <w:lang w:eastAsia="lv-LV"/>
              </w:rPr>
              <w:t>)</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Normētā skolēnu (bērnu) skaita attiecība pret vienu pedagoga mēneša darba algas likmi.</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10,5/1 pilsētā</w:t>
            </w:r>
            <w:r w:rsidRPr="00477E8D">
              <w:rPr>
                <w:rFonts w:ascii="Times New Roman" w:eastAsia="Times New Roman" w:hAnsi="Times New Roman" w:cs="Times New Roman"/>
                <w:sz w:val="24"/>
                <w:szCs w:val="24"/>
                <w:lang w:eastAsia="lv-LV"/>
              </w:rPr>
              <w:br/>
              <w:t>un 6,5/1 novadā</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11/1 pilsētā</w:t>
            </w:r>
            <w:r w:rsidRPr="00477E8D">
              <w:rPr>
                <w:rFonts w:ascii="Times New Roman" w:eastAsia="Times New Roman" w:hAnsi="Times New Roman" w:cs="Times New Roman"/>
                <w:sz w:val="24"/>
                <w:szCs w:val="24"/>
                <w:lang w:eastAsia="lv-LV"/>
              </w:rPr>
              <w:br/>
              <w:t>un 9/1 novadā</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12/1 pilsētā</w:t>
            </w:r>
            <w:r w:rsidRPr="00477E8D">
              <w:rPr>
                <w:rFonts w:ascii="Times New Roman" w:eastAsia="Times New Roman" w:hAnsi="Times New Roman" w:cs="Times New Roman"/>
                <w:sz w:val="24"/>
                <w:szCs w:val="24"/>
                <w:lang w:eastAsia="lv-LV"/>
              </w:rPr>
              <w:br/>
              <w:t>un 10/1 novadā</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pStyle w:val="tv213"/>
              <w:spacing w:before="0" w:beforeAutospacing="0" w:after="0" w:afterAutospacing="0"/>
              <w:ind w:firstLine="300"/>
              <w:jc w:val="center"/>
            </w:pPr>
            <w:r w:rsidRPr="00477E8D">
              <w:t>Novados 10:1;</w:t>
            </w:r>
          </w:p>
          <w:p w:rsidR="001B1139" w:rsidRPr="00477E8D" w:rsidRDefault="001B1139" w:rsidP="00CD2711">
            <w:pPr>
              <w:pStyle w:val="tv213"/>
              <w:spacing w:before="0" w:beforeAutospacing="0" w:after="0" w:afterAutospacing="0"/>
              <w:ind w:firstLine="300"/>
              <w:jc w:val="center"/>
            </w:pPr>
            <w:r w:rsidRPr="00477E8D">
              <w:t>Pierīgas pašvaldību novados 14:1;</w:t>
            </w:r>
          </w:p>
          <w:p w:rsidR="001B1139" w:rsidRPr="00477E8D" w:rsidRDefault="001B1139" w:rsidP="00CD2711">
            <w:pPr>
              <w:pStyle w:val="tv213"/>
              <w:spacing w:before="0" w:beforeAutospacing="0" w:after="0" w:afterAutospacing="0"/>
              <w:ind w:firstLine="300"/>
              <w:jc w:val="center"/>
            </w:pPr>
            <w:r w:rsidRPr="00477E8D">
              <w:t>Reģionālās nozīmes pilsētās – 13:1;</w:t>
            </w:r>
          </w:p>
          <w:p w:rsidR="001B1139" w:rsidRPr="00477E8D" w:rsidRDefault="001B1139" w:rsidP="00CD2711">
            <w:pPr>
              <w:pStyle w:val="tv213"/>
              <w:spacing w:before="0" w:beforeAutospacing="0" w:after="0" w:afterAutospacing="0"/>
              <w:ind w:firstLine="300"/>
              <w:jc w:val="center"/>
            </w:pPr>
            <w:r w:rsidRPr="00477E8D">
              <w:t>Rīgā – 16,5:1;</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Pārējās republikas pilsētās – 15,5:1.</w:t>
            </w:r>
          </w:p>
        </w:tc>
      </w:tr>
      <w:tr w:rsidR="00CD2711" w:rsidRPr="00477E8D" w:rsidTr="00CD2711">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Sniegts atbalsts augstākās izglītības iegūšanai sociāli mazāk aizsargātām iedzīvotāju grupām, t.sk. stipendijas un granti studiju maksas segšanai.</w:t>
            </w:r>
          </w:p>
          <w:p w:rsidR="00263549" w:rsidRPr="00477E8D" w:rsidRDefault="00263549" w:rsidP="00CD2711">
            <w:pPr>
              <w:spacing w:after="0" w:line="240" w:lineRule="auto"/>
              <w:jc w:val="both"/>
              <w:rPr>
                <w:rFonts w:ascii="Times New Roman" w:eastAsia="Times New Roman" w:hAnsi="Times New Roman" w:cs="Times New Roman"/>
                <w:sz w:val="24"/>
                <w:szCs w:val="24"/>
                <w:lang w:eastAsia="lv-LV"/>
              </w:rPr>
            </w:pPr>
          </w:p>
          <w:p w:rsidR="00263549" w:rsidRPr="00477E8D" w:rsidRDefault="0026354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Finansiālā atbalsta saņēmēju skaits, kopā.</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1500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3000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6A7372"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Speciālas valsts stipendijas augstākajā izglītībā  sociāli mazāk aizsargātajiem netika piešķirtas  (sociālie apstākļi nav iekļauti kā piešķiršanas kritērijs).</w:t>
            </w:r>
          </w:p>
        </w:tc>
      </w:tr>
      <w:tr w:rsidR="00CD2711" w:rsidRPr="00477E8D" w:rsidTr="00C52BBC">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52BBC" w:rsidRPr="00477E8D" w:rsidRDefault="00C52BBC" w:rsidP="00CD2711">
            <w:pPr>
              <w:spacing w:after="0" w:line="240" w:lineRule="auto"/>
              <w:ind w:firstLine="300"/>
              <w:rPr>
                <w:rFonts w:ascii="Times New Roman" w:eastAsia="Times New Roman" w:hAnsi="Times New Roman" w:cs="Times New Roman"/>
                <w:b/>
                <w:bCs/>
                <w:sz w:val="24"/>
                <w:szCs w:val="24"/>
                <w:lang w:eastAsia="lv-LV"/>
              </w:rPr>
            </w:pPr>
            <w:r w:rsidRPr="00477E8D">
              <w:rPr>
                <w:rFonts w:ascii="Times New Roman" w:eastAsia="Times New Roman" w:hAnsi="Times New Roman" w:cs="Times New Roman"/>
                <w:b/>
                <w:bCs/>
                <w:sz w:val="24"/>
                <w:szCs w:val="24"/>
                <w:lang w:eastAsia="lv-LV"/>
              </w:rPr>
              <w:t>Rīcības virziens: 3.4. Izglītības starptautiskā konkurētspēja</w:t>
            </w:r>
          </w:p>
        </w:tc>
      </w:tr>
      <w:tr w:rsidR="00CD2711" w:rsidRPr="00477E8D" w:rsidTr="00CD2711">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starptautiski konkurētspējīga augstākās izglītības vide.</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Ārvalstu studentu (mobilitātes ietvaros) īpatsvars no kopējā studentu skaita,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0,8%</w:t>
            </w:r>
            <w:r w:rsidRPr="00477E8D">
              <w:rPr>
                <w:rFonts w:ascii="Times New Roman" w:eastAsia="Times New Roman" w:hAnsi="Times New Roman" w:cs="Times New Roman"/>
                <w:sz w:val="24"/>
                <w:szCs w:val="24"/>
                <w:lang w:eastAsia="lv-LV"/>
              </w:rPr>
              <w:br/>
              <w:t>736/94474</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Ārvalstu studentu, kas studē grāda, kvalifikācijas iegūšanai, īpatsvars no kopējā studentu skaita,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2,9%</w:t>
            </w:r>
            <w:r w:rsidRPr="00477E8D">
              <w:rPr>
                <w:rFonts w:ascii="Times New Roman" w:eastAsia="Times New Roman" w:hAnsi="Times New Roman" w:cs="Times New Roman"/>
                <w:sz w:val="24"/>
                <w:szCs w:val="24"/>
                <w:lang w:eastAsia="lv-LV"/>
              </w:rPr>
              <w:br/>
              <w:t>2757/94474</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w:t>
            </w:r>
          </w:p>
        </w:tc>
      </w:tr>
      <w:tr w:rsidR="00CD2711" w:rsidRPr="00477E8D" w:rsidTr="001B1139">
        <w:trPr>
          <w:trHeight w:val="610"/>
        </w:trPr>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iespēja iesaistīties starptautiski atzītā augstākās izglītības akreditācijā.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Studiju programmu skaits, kas ieguvušas starptautiskā līmeņa kvalitāti apliecinošus dokumentus (starptautisku akreditāciju).</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n/i</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w:t>
            </w:r>
          </w:p>
        </w:tc>
      </w:tr>
      <w:tr w:rsidR="00CD2711" w:rsidRPr="00477E8D" w:rsidTr="001B1139">
        <w:tc>
          <w:tcPr>
            <w:tcW w:w="57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Piesaistīti ārvalstu studenti.</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Ārvalstu studentiem piešķirto stipendiju skaits gadā.</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80</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171</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(studijām, pētniecībai un dalībai  Latvijas augstskolu rīkotajās vasaras skolās)</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Nodrošināti starptautiskās mobilitātes un pārrobežu sadarbības atbalsta pasākumi profesionālajā izglītībā.</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Sākotnējā profesionālajā izglītībā iesaistīto audzēkņu skaits, kas piedalījušies mobilitātes aktivitātēs.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473</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473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538</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980</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Profesionālās izglītības pedagogu/speciālistu skaits, kas piedalījušies mobilitātes aktivitātēs.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131</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170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145</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Jauniešu (vecuma grupā 18 - 34 gadi), kas ieguvuši kvalifikāciju sākotnējās profesionālās izglītības programmā un kas kvalifikācijas ieguves ietvaros ir bijuši mācībās vai praksē ārvalstīs, īpatsvars no kopējā kvalifikāciju ieguvušo skaita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5,3%</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5,3%</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6%</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5,4%</w:t>
            </w:r>
          </w:p>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pedagogu, akadēmiskā personāla, pieaugušo izglītības personāla profesionālā pilnveide un starptautiskās pieredzes apmaiņa.</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Vispārējās izglītības pedagogu/speciālistu skaits, kas piedalījušies mobilitātes aktivitātēs.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140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140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182</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253</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Akadēmiskā personāla skaits, kas piedalījušies mobilitātes aktivitātēs.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1035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1035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1345</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hAnsi="Times New Roman" w:cs="Times New Roman"/>
                <w:sz w:val="24"/>
                <w:szCs w:val="24"/>
              </w:rPr>
            </w:pPr>
            <w:r w:rsidRPr="00477E8D">
              <w:rPr>
                <w:rFonts w:ascii="Times New Roman" w:eastAsia="Times New Roman" w:hAnsi="Times New Roman" w:cs="Times New Roman"/>
                <w:sz w:val="24"/>
                <w:szCs w:val="24"/>
                <w:lang w:eastAsia="lv-LV"/>
              </w:rPr>
              <w:t>1037</w:t>
            </w:r>
          </w:p>
        </w:tc>
      </w:tr>
      <w:tr w:rsidR="00CD2711" w:rsidRPr="00477E8D"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Pieaugušo izglītotāju skaits, kas piedalījušies mobilitātes aktivitātēs.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29</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29</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37</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35</w:t>
            </w:r>
          </w:p>
        </w:tc>
      </w:tr>
      <w:tr w:rsidR="00CD2711" w:rsidRPr="00477E8D" w:rsidTr="001B1139">
        <w:tc>
          <w:tcPr>
            <w:tcW w:w="57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Nodrošināta mācību un studiju starptautiskā prakse.</w:t>
            </w: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Augstskolu studentu skaits, kas piedalījušies mobilitātes aktivitātēs.</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1960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1960</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2548</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2156</w:t>
            </w:r>
          </w:p>
        </w:tc>
      </w:tr>
      <w:tr w:rsidR="00CD2711" w:rsidRPr="00CD2711" w:rsidTr="001B1139">
        <w:tc>
          <w:tcPr>
            <w:tcW w:w="570"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p>
        </w:tc>
        <w:tc>
          <w:tcPr>
            <w:tcW w:w="109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jc w:val="both"/>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Augstskolu absolventu, kas studiju ietvaros ir studējuši vai bijuši praksē ārvalstīs, īpatsvars no kopējā absolventu skaita, %.</w:t>
            </w:r>
          </w:p>
        </w:tc>
        <w:tc>
          <w:tcPr>
            <w:tcW w:w="61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13,7%</w:t>
            </w:r>
            <w:r w:rsidRPr="00477E8D">
              <w:rPr>
                <w:rFonts w:ascii="Times New Roman" w:eastAsia="Times New Roman" w:hAnsi="Times New Roman" w:cs="Times New Roman"/>
                <w:sz w:val="24"/>
                <w:szCs w:val="24"/>
                <w:lang w:eastAsia="lv-LV"/>
              </w:rPr>
              <w:br/>
              <w:t>(2012)</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15%</w:t>
            </w:r>
          </w:p>
        </w:tc>
        <w:tc>
          <w:tcPr>
            <w:tcW w:w="65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B1139" w:rsidRPr="00477E8D"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20%</w:t>
            </w:r>
          </w:p>
        </w:tc>
        <w:tc>
          <w:tcPr>
            <w:tcW w:w="1403" w:type="pct"/>
            <w:tcBorders>
              <w:top w:val="outset" w:sz="6" w:space="0" w:color="414142"/>
              <w:left w:val="outset" w:sz="6" w:space="0" w:color="414142"/>
              <w:bottom w:val="outset" w:sz="6" w:space="0" w:color="414142"/>
              <w:right w:val="outset" w:sz="6" w:space="0" w:color="414142"/>
            </w:tcBorders>
            <w:shd w:val="clear" w:color="auto" w:fill="auto"/>
            <w:vAlign w:val="center"/>
          </w:tcPr>
          <w:p w:rsidR="001B1139" w:rsidRPr="00CD2711" w:rsidRDefault="001B1139" w:rsidP="00CD2711">
            <w:pPr>
              <w:spacing w:after="0" w:line="240" w:lineRule="auto"/>
              <w:ind w:firstLine="300"/>
              <w:jc w:val="center"/>
              <w:rPr>
                <w:rFonts w:ascii="Times New Roman" w:eastAsia="Times New Roman" w:hAnsi="Times New Roman" w:cs="Times New Roman"/>
                <w:sz w:val="24"/>
                <w:szCs w:val="24"/>
                <w:lang w:eastAsia="lv-LV"/>
              </w:rPr>
            </w:pPr>
            <w:r w:rsidRPr="00477E8D">
              <w:rPr>
                <w:rFonts w:ascii="Times New Roman" w:eastAsia="Times New Roman" w:hAnsi="Times New Roman" w:cs="Times New Roman"/>
                <w:sz w:val="24"/>
                <w:szCs w:val="24"/>
                <w:lang w:eastAsia="lv-LV"/>
              </w:rPr>
              <w:t>8%</w:t>
            </w:r>
          </w:p>
        </w:tc>
      </w:tr>
    </w:tbl>
    <w:p w:rsidR="00017F7C" w:rsidRPr="00CD2711" w:rsidRDefault="00017F7C" w:rsidP="00CD2711">
      <w:pPr>
        <w:spacing w:after="0" w:line="240" w:lineRule="auto"/>
        <w:jc w:val="both"/>
        <w:rPr>
          <w:rFonts w:ascii="Times New Roman" w:hAnsi="Times New Roman" w:cs="Times New Roman"/>
          <w:b/>
          <w:sz w:val="24"/>
          <w:szCs w:val="24"/>
        </w:rPr>
      </w:pPr>
    </w:p>
    <w:sectPr w:rsidR="00017F7C" w:rsidRPr="00CD2711" w:rsidSect="001D0692">
      <w:headerReference w:type="default" r:id="rId9"/>
      <w:footerReference w:type="default" r:id="rId10"/>
      <w:pgSz w:w="16838" w:h="11906" w:orient="landscape"/>
      <w:pgMar w:top="851" w:right="851" w:bottom="426" w:left="85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AB" w:rsidRDefault="009930AB" w:rsidP="00F470A0">
      <w:pPr>
        <w:spacing w:after="0" w:line="240" w:lineRule="auto"/>
      </w:pPr>
      <w:r>
        <w:separator/>
      </w:r>
    </w:p>
  </w:endnote>
  <w:endnote w:type="continuationSeparator" w:id="0">
    <w:p w:rsidR="009930AB" w:rsidRDefault="009930AB" w:rsidP="00F4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19" w:rsidRPr="00B54542" w:rsidRDefault="004A0F19" w:rsidP="00D74FFB">
    <w:pPr>
      <w:spacing w:after="0" w:line="240" w:lineRule="auto"/>
      <w:rPr>
        <w:rFonts w:ascii="Times New Roman" w:hAnsi="Times New Roman" w:cs="Times New Roman"/>
        <w:sz w:val="24"/>
        <w:szCs w:val="24"/>
      </w:rPr>
    </w:pPr>
    <w:r>
      <w:rPr>
        <w:rFonts w:ascii="Times New Roman" w:hAnsi="Times New Roman" w:cs="Times New Roman"/>
        <w:sz w:val="24"/>
        <w:szCs w:val="24"/>
      </w:rPr>
      <w:t>IZMZinop2_</w:t>
    </w:r>
    <w:r w:rsidR="00FF16F9">
      <w:rPr>
        <w:rFonts w:ascii="Times New Roman" w:hAnsi="Times New Roman" w:cs="Times New Roman"/>
        <w:sz w:val="24"/>
        <w:szCs w:val="24"/>
      </w:rPr>
      <w:t>0509</w:t>
    </w:r>
    <w:r>
      <w:rPr>
        <w:rFonts w:ascii="Times New Roman" w:hAnsi="Times New Roman" w:cs="Times New Roman"/>
        <w:sz w:val="24"/>
        <w:szCs w:val="24"/>
      </w:rPr>
      <w:t xml:space="preserve">19_IAP; </w:t>
    </w:r>
    <w:r w:rsidRPr="009504F8">
      <w:rPr>
        <w:rFonts w:ascii="Times New Roman" w:hAnsi="Times New Roman" w:cs="Times New Roman"/>
        <w:sz w:val="24"/>
        <w:szCs w:val="24"/>
      </w:rPr>
      <w:t>Izglītības attīstības pamatnostādņu 2014.-2020.gadam rezultatīvo rādītāju izpildes progress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AB" w:rsidRDefault="009930AB" w:rsidP="00F470A0">
      <w:pPr>
        <w:spacing w:after="0" w:line="240" w:lineRule="auto"/>
      </w:pPr>
      <w:r>
        <w:separator/>
      </w:r>
    </w:p>
  </w:footnote>
  <w:footnote w:type="continuationSeparator" w:id="0">
    <w:p w:rsidR="009930AB" w:rsidRDefault="009930AB" w:rsidP="00F470A0">
      <w:pPr>
        <w:spacing w:after="0" w:line="240" w:lineRule="auto"/>
      </w:pPr>
      <w:r>
        <w:continuationSeparator/>
      </w:r>
    </w:p>
  </w:footnote>
  <w:footnote w:id="1">
    <w:p w:rsidR="004A0F19" w:rsidRDefault="004A0F19" w:rsidP="0013476C">
      <w:pPr>
        <w:pStyle w:val="FootnoteText"/>
        <w:jc w:val="both"/>
      </w:pPr>
      <w:r>
        <w:rPr>
          <w:rStyle w:val="FootnoteReference"/>
        </w:rPr>
        <w:footnoteRef/>
      </w:r>
      <w:r>
        <w:t xml:space="preserve"> </w:t>
      </w:r>
      <w:r w:rsidRPr="00477E8D">
        <w:rPr>
          <w:rFonts w:ascii="Times New Roman" w:hAnsi="Times New Roman" w:cs="Times New Roman"/>
        </w:rPr>
        <w:t>Lai nodrošinātu datu salīdzināmību, tiek salīdzināts pedagoģiskā personāla atalgojums par 1 līdz 1,33 likmi, ievērojot, ka tas ir tuvākais iespējamais ekvivalents</w:t>
      </w:r>
      <w:r w:rsidR="0013476C" w:rsidRPr="00477E8D">
        <w:rPr>
          <w:rFonts w:ascii="Times New Roman" w:hAnsi="Times New Roman" w:cs="Times New Roman"/>
        </w:rPr>
        <w:t xml:space="preserve"> normālā darba laika (40 stundas)</w:t>
      </w:r>
      <w:r w:rsidRPr="00477E8D">
        <w:rPr>
          <w:rFonts w:ascii="Times New Roman" w:hAnsi="Times New Roman" w:cs="Times New Roman"/>
        </w:rPr>
        <w:t xml:space="preserve"> pilnai slodzei.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32512"/>
      <w:docPartObj>
        <w:docPartGallery w:val="Page Numbers (Top of Page)"/>
        <w:docPartUnique/>
      </w:docPartObj>
    </w:sdtPr>
    <w:sdtEndPr>
      <w:rPr>
        <w:noProof/>
      </w:rPr>
    </w:sdtEndPr>
    <w:sdtContent>
      <w:p w:rsidR="004A0F19" w:rsidRDefault="004A0F19" w:rsidP="001D0692">
        <w:pPr>
          <w:pStyle w:val="Header"/>
          <w:jc w:val="right"/>
          <w:rPr>
            <w:noProof/>
          </w:rPr>
        </w:pPr>
        <w:r>
          <w:fldChar w:fldCharType="begin"/>
        </w:r>
        <w:r>
          <w:instrText xml:space="preserve"> PAGE   \* MERGEFORMAT </w:instrText>
        </w:r>
        <w:r>
          <w:fldChar w:fldCharType="separate"/>
        </w:r>
        <w:r w:rsidR="00FF16F9">
          <w:rPr>
            <w:noProof/>
          </w:rPr>
          <w:t>17</w:t>
        </w:r>
        <w:r>
          <w:rPr>
            <w:noProof/>
          </w:rPr>
          <w:fldChar w:fldCharType="end"/>
        </w:r>
      </w:p>
    </w:sdtContent>
  </w:sdt>
  <w:p w:rsidR="004A0F19" w:rsidRDefault="004A0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45A"/>
    <w:multiLevelType w:val="hybridMultilevel"/>
    <w:tmpl w:val="100C1660"/>
    <w:lvl w:ilvl="0" w:tplc="E29C14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9F6294"/>
    <w:multiLevelType w:val="hybridMultilevel"/>
    <w:tmpl w:val="23CE14C2"/>
    <w:lvl w:ilvl="0" w:tplc="B6DCB890">
      <w:start w:val="1898"/>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E7334B"/>
    <w:multiLevelType w:val="hybridMultilevel"/>
    <w:tmpl w:val="10305C30"/>
    <w:lvl w:ilvl="0" w:tplc="1136B8C0">
      <w:start w:val="18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7"/>
    <w:rsid w:val="000003E2"/>
    <w:rsid w:val="000143FF"/>
    <w:rsid w:val="00017F7C"/>
    <w:rsid w:val="00022284"/>
    <w:rsid w:val="00024829"/>
    <w:rsid w:val="00025441"/>
    <w:rsid w:val="00031278"/>
    <w:rsid w:val="000373A2"/>
    <w:rsid w:val="0004445B"/>
    <w:rsid w:val="00047E45"/>
    <w:rsid w:val="00053E7F"/>
    <w:rsid w:val="00073041"/>
    <w:rsid w:val="000739CC"/>
    <w:rsid w:val="00087352"/>
    <w:rsid w:val="00093089"/>
    <w:rsid w:val="00096FF9"/>
    <w:rsid w:val="000B5404"/>
    <w:rsid w:val="000B6662"/>
    <w:rsid w:val="000C1F01"/>
    <w:rsid w:val="000D1367"/>
    <w:rsid w:val="000D33D0"/>
    <w:rsid w:val="000D7D65"/>
    <w:rsid w:val="000E072A"/>
    <w:rsid w:val="000E4D07"/>
    <w:rsid w:val="000E5EC1"/>
    <w:rsid w:val="000F5A45"/>
    <w:rsid w:val="0010373C"/>
    <w:rsid w:val="0011236F"/>
    <w:rsid w:val="0011378D"/>
    <w:rsid w:val="001218EE"/>
    <w:rsid w:val="001220CE"/>
    <w:rsid w:val="0013476C"/>
    <w:rsid w:val="00134A14"/>
    <w:rsid w:val="0013629D"/>
    <w:rsid w:val="00137ED4"/>
    <w:rsid w:val="00143FB3"/>
    <w:rsid w:val="00153830"/>
    <w:rsid w:val="00153A6D"/>
    <w:rsid w:val="001544C4"/>
    <w:rsid w:val="00154C00"/>
    <w:rsid w:val="00154C60"/>
    <w:rsid w:val="00163DD5"/>
    <w:rsid w:val="0016678C"/>
    <w:rsid w:val="00176C29"/>
    <w:rsid w:val="001862A1"/>
    <w:rsid w:val="00190092"/>
    <w:rsid w:val="001A0688"/>
    <w:rsid w:val="001A128F"/>
    <w:rsid w:val="001A219A"/>
    <w:rsid w:val="001A3C34"/>
    <w:rsid w:val="001A5C84"/>
    <w:rsid w:val="001B0926"/>
    <w:rsid w:val="001B1139"/>
    <w:rsid w:val="001B2460"/>
    <w:rsid w:val="001B268E"/>
    <w:rsid w:val="001C04CC"/>
    <w:rsid w:val="001C2321"/>
    <w:rsid w:val="001D0692"/>
    <w:rsid w:val="001D5267"/>
    <w:rsid w:val="001E1887"/>
    <w:rsid w:val="001E77A5"/>
    <w:rsid w:val="001F6A47"/>
    <w:rsid w:val="001F6FA8"/>
    <w:rsid w:val="00204AA5"/>
    <w:rsid w:val="002054A8"/>
    <w:rsid w:val="002075CA"/>
    <w:rsid w:val="002148C6"/>
    <w:rsid w:val="00215A5C"/>
    <w:rsid w:val="00233C39"/>
    <w:rsid w:val="00234302"/>
    <w:rsid w:val="00236065"/>
    <w:rsid w:val="00263549"/>
    <w:rsid w:val="00266918"/>
    <w:rsid w:val="00271783"/>
    <w:rsid w:val="00274282"/>
    <w:rsid w:val="00276005"/>
    <w:rsid w:val="002770B4"/>
    <w:rsid w:val="00280791"/>
    <w:rsid w:val="00280C06"/>
    <w:rsid w:val="002929A9"/>
    <w:rsid w:val="00296563"/>
    <w:rsid w:val="002A0168"/>
    <w:rsid w:val="002A77A0"/>
    <w:rsid w:val="002B61FA"/>
    <w:rsid w:val="002C35B8"/>
    <w:rsid w:val="002C3774"/>
    <w:rsid w:val="002C5094"/>
    <w:rsid w:val="002D0BD0"/>
    <w:rsid w:val="002D42DA"/>
    <w:rsid w:val="002F26A7"/>
    <w:rsid w:val="002F6D6C"/>
    <w:rsid w:val="00305B77"/>
    <w:rsid w:val="00312878"/>
    <w:rsid w:val="00335E70"/>
    <w:rsid w:val="00344F56"/>
    <w:rsid w:val="003453DF"/>
    <w:rsid w:val="003514C2"/>
    <w:rsid w:val="00353D66"/>
    <w:rsid w:val="003563EF"/>
    <w:rsid w:val="00357D33"/>
    <w:rsid w:val="00360244"/>
    <w:rsid w:val="003616FB"/>
    <w:rsid w:val="00371776"/>
    <w:rsid w:val="003762EE"/>
    <w:rsid w:val="00382F67"/>
    <w:rsid w:val="00384306"/>
    <w:rsid w:val="003879CE"/>
    <w:rsid w:val="00387C03"/>
    <w:rsid w:val="0039307D"/>
    <w:rsid w:val="003A65DB"/>
    <w:rsid w:val="003C4743"/>
    <w:rsid w:val="003D179F"/>
    <w:rsid w:val="003D2CCD"/>
    <w:rsid w:val="003D61C8"/>
    <w:rsid w:val="003E1ED9"/>
    <w:rsid w:val="003F748B"/>
    <w:rsid w:val="004022E6"/>
    <w:rsid w:val="00403107"/>
    <w:rsid w:val="00405401"/>
    <w:rsid w:val="00410078"/>
    <w:rsid w:val="004114B9"/>
    <w:rsid w:val="0041471C"/>
    <w:rsid w:val="00426968"/>
    <w:rsid w:val="00431655"/>
    <w:rsid w:val="00433446"/>
    <w:rsid w:val="0043693E"/>
    <w:rsid w:val="00440AB6"/>
    <w:rsid w:val="00440C93"/>
    <w:rsid w:val="00450D9B"/>
    <w:rsid w:val="00451E89"/>
    <w:rsid w:val="004520CB"/>
    <w:rsid w:val="00455BBC"/>
    <w:rsid w:val="0047310B"/>
    <w:rsid w:val="00477E8D"/>
    <w:rsid w:val="00482DF4"/>
    <w:rsid w:val="004879F4"/>
    <w:rsid w:val="004912C7"/>
    <w:rsid w:val="00492046"/>
    <w:rsid w:val="004967B0"/>
    <w:rsid w:val="00496ABB"/>
    <w:rsid w:val="0049768C"/>
    <w:rsid w:val="004A0845"/>
    <w:rsid w:val="004A0F19"/>
    <w:rsid w:val="004B34D9"/>
    <w:rsid w:val="004B7FD0"/>
    <w:rsid w:val="004C4367"/>
    <w:rsid w:val="004C6F4E"/>
    <w:rsid w:val="004C722B"/>
    <w:rsid w:val="004C7ADF"/>
    <w:rsid w:val="004D6868"/>
    <w:rsid w:val="004D6BD5"/>
    <w:rsid w:val="004E2C6D"/>
    <w:rsid w:val="004E55BA"/>
    <w:rsid w:val="004E65E9"/>
    <w:rsid w:val="004F6867"/>
    <w:rsid w:val="004F70CB"/>
    <w:rsid w:val="00500F53"/>
    <w:rsid w:val="00515959"/>
    <w:rsid w:val="00515C58"/>
    <w:rsid w:val="00532556"/>
    <w:rsid w:val="00540D92"/>
    <w:rsid w:val="00553C4F"/>
    <w:rsid w:val="005676BD"/>
    <w:rsid w:val="005720EE"/>
    <w:rsid w:val="00573785"/>
    <w:rsid w:val="00575F87"/>
    <w:rsid w:val="005920F0"/>
    <w:rsid w:val="0059631B"/>
    <w:rsid w:val="00597FDB"/>
    <w:rsid w:val="005A20BA"/>
    <w:rsid w:val="005A46CF"/>
    <w:rsid w:val="005A5B66"/>
    <w:rsid w:val="005C0F8A"/>
    <w:rsid w:val="005C54ED"/>
    <w:rsid w:val="005D2E19"/>
    <w:rsid w:val="005E16AD"/>
    <w:rsid w:val="005E35F0"/>
    <w:rsid w:val="005E5EDD"/>
    <w:rsid w:val="005F04D2"/>
    <w:rsid w:val="005F2F8F"/>
    <w:rsid w:val="005F3F7A"/>
    <w:rsid w:val="006108CD"/>
    <w:rsid w:val="006167A1"/>
    <w:rsid w:val="00636226"/>
    <w:rsid w:val="00640682"/>
    <w:rsid w:val="006416BD"/>
    <w:rsid w:val="006424CB"/>
    <w:rsid w:val="00645B75"/>
    <w:rsid w:val="00657EBA"/>
    <w:rsid w:val="0066036C"/>
    <w:rsid w:val="006626A6"/>
    <w:rsid w:val="00670C16"/>
    <w:rsid w:val="00676715"/>
    <w:rsid w:val="00680267"/>
    <w:rsid w:val="00691780"/>
    <w:rsid w:val="0069272C"/>
    <w:rsid w:val="00695995"/>
    <w:rsid w:val="00696123"/>
    <w:rsid w:val="006A4165"/>
    <w:rsid w:val="006A7372"/>
    <w:rsid w:val="006B4172"/>
    <w:rsid w:val="006B7A99"/>
    <w:rsid w:val="006C073D"/>
    <w:rsid w:val="006C79DF"/>
    <w:rsid w:val="006E749D"/>
    <w:rsid w:val="006F032E"/>
    <w:rsid w:val="00703F62"/>
    <w:rsid w:val="00704992"/>
    <w:rsid w:val="007070FC"/>
    <w:rsid w:val="00707A97"/>
    <w:rsid w:val="00714F1B"/>
    <w:rsid w:val="007155B1"/>
    <w:rsid w:val="0071613E"/>
    <w:rsid w:val="00722E3D"/>
    <w:rsid w:val="0072322A"/>
    <w:rsid w:val="007302F9"/>
    <w:rsid w:val="00730356"/>
    <w:rsid w:val="00740378"/>
    <w:rsid w:val="00740CA8"/>
    <w:rsid w:val="00741AAC"/>
    <w:rsid w:val="00744D97"/>
    <w:rsid w:val="0074683F"/>
    <w:rsid w:val="00750C9D"/>
    <w:rsid w:val="00757AF7"/>
    <w:rsid w:val="007639D7"/>
    <w:rsid w:val="00771773"/>
    <w:rsid w:val="00771782"/>
    <w:rsid w:val="0077528B"/>
    <w:rsid w:val="0078638B"/>
    <w:rsid w:val="007868A7"/>
    <w:rsid w:val="00795467"/>
    <w:rsid w:val="00795A1F"/>
    <w:rsid w:val="00796BEA"/>
    <w:rsid w:val="007A03A5"/>
    <w:rsid w:val="007A36F3"/>
    <w:rsid w:val="007A71A6"/>
    <w:rsid w:val="007D6961"/>
    <w:rsid w:val="007E2027"/>
    <w:rsid w:val="007E5EF6"/>
    <w:rsid w:val="007E73D3"/>
    <w:rsid w:val="007E79BF"/>
    <w:rsid w:val="007F0DC9"/>
    <w:rsid w:val="007F4F7D"/>
    <w:rsid w:val="008005EE"/>
    <w:rsid w:val="008016D1"/>
    <w:rsid w:val="0081301A"/>
    <w:rsid w:val="0081389A"/>
    <w:rsid w:val="008165C5"/>
    <w:rsid w:val="00826BFD"/>
    <w:rsid w:val="00832CF2"/>
    <w:rsid w:val="00833B14"/>
    <w:rsid w:val="00863CC3"/>
    <w:rsid w:val="008710E8"/>
    <w:rsid w:val="00873B5B"/>
    <w:rsid w:val="008748C2"/>
    <w:rsid w:val="00877D88"/>
    <w:rsid w:val="008803AC"/>
    <w:rsid w:val="00881F19"/>
    <w:rsid w:val="008870E6"/>
    <w:rsid w:val="008900EA"/>
    <w:rsid w:val="008A07C0"/>
    <w:rsid w:val="008A30C8"/>
    <w:rsid w:val="008A5DFF"/>
    <w:rsid w:val="008B6030"/>
    <w:rsid w:val="008C161E"/>
    <w:rsid w:val="008D01F2"/>
    <w:rsid w:val="008D101C"/>
    <w:rsid w:val="008D446F"/>
    <w:rsid w:val="008D57DB"/>
    <w:rsid w:val="008D5F63"/>
    <w:rsid w:val="008F35EA"/>
    <w:rsid w:val="008F4D88"/>
    <w:rsid w:val="008F782B"/>
    <w:rsid w:val="00904A58"/>
    <w:rsid w:val="009219FE"/>
    <w:rsid w:val="00922822"/>
    <w:rsid w:val="00944F77"/>
    <w:rsid w:val="00945540"/>
    <w:rsid w:val="00946E39"/>
    <w:rsid w:val="009504F8"/>
    <w:rsid w:val="00954E08"/>
    <w:rsid w:val="009569F3"/>
    <w:rsid w:val="009654D6"/>
    <w:rsid w:val="00975EEB"/>
    <w:rsid w:val="00982F7F"/>
    <w:rsid w:val="00983541"/>
    <w:rsid w:val="00986F44"/>
    <w:rsid w:val="00987B2E"/>
    <w:rsid w:val="00990C49"/>
    <w:rsid w:val="00992C3E"/>
    <w:rsid w:val="009930AB"/>
    <w:rsid w:val="0099505B"/>
    <w:rsid w:val="00996885"/>
    <w:rsid w:val="009979A2"/>
    <w:rsid w:val="009A49B1"/>
    <w:rsid w:val="009A7EF8"/>
    <w:rsid w:val="009B18DF"/>
    <w:rsid w:val="009B4B73"/>
    <w:rsid w:val="009D0AD6"/>
    <w:rsid w:val="009D2CAA"/>
    <w:rsid w:val="009D3B50"/>
    <w:rsid w:val="009D788E"/>
    <w:rsid w:val="009E1370"/>
    <w:rsid w:val="009F051A"/>
    <w:rsid w:val="009F7DEA"/>
    <w:rsid w:val="00A079A3"/>
    <w:rsid w:val="00A16E1B"/>
    <w:rsid w:val="00A2751C"/>
    <w:rsid w:val="00A31E15"/>
    <w:rsid w:val="00A33F7F"/>
    <w:rsid w:val="00A35CE9"/>
    <w:rsid w:val="00A420A8"/>
    <w:rsid w:val="00A500F4"/>
    <w:rsid w:val="00A504C8"/>
    <w:rsid w:val="00A64F7A"/>
    <w:rsid w:val="00A66256"/>
    <w:rsid w:val="00A72EBE"/>
    <w:rsid w:val="00A749D8"/>
    <w:rsid w:val="00A91A53"/>
    <w:rsid w:val="00A97B55"/>
    <w:rsid w:val="00AA6AD9"/>
    <w:rsid w:val="00AD0CC2"/>
    <w:rsid w:val="00AD179F"/>
    <w:rsid w:val="00AD2AED"/>
    <w:rsid w:val="00AD4428"/>
    <w:rsid w:val="00AD48DE"/>
    <w:rsid w:val="00AD573B"/>
    <w:rsid w:val="00AD764E"/>
    <w:rsid w:val="00AE3D70"/>
    <w:rsid w:val="00AE3FB2"/>
    <w:rsid w:val="00AE7521"/>
    <w:rsid w:val="00AE7E51"/>
    <w:rsid w:val="00AF35FA"/>
    <w:rsid w:val="00B03014"/>
    <w:rsid w:val="00B11A5B"/>
    <w:rsid w:val="00B11E9A"/>
    <w:rsid w:val="00B15647"/>
    <w:rsid w:val="00B216FD"/>
    <w:rsid w:val="00B33225"/>
    <w:rsid w:val="00B37D95"/>
    <w:rsid w:val="00B47F2F"/>
    <w:rsid w:val="00B50D1B"/>
    <w:rsid w:val="00B511D5"/>
    <w:rsid w:val="00B54542"/>
    <w:rsid w:val="00B54A83"/>
    <w:rsid w:val="00B701FB"/>
    <w:rsid w:val="00B735A8"/>
    <w:rsid w:val="00B7398B"/>
    <w:rsid w:val="00B73D6D"/>
    <w:rsid w:val="00B75ABC"/>
    <w:rsid w:val="00B778F1"/>
    <w:rsid w:val="00B8583B"/>
    <w:rsid w:val="00B91F7B"/>
    <w:rsid w:val="00B92351"/>
    <w:rsid w:val="00BA1CF9"/>
    <w:rsid w:val="00BA1D61"/>
    <w:rsid w:val="00BA1F5D"/>
    <w:rsid w:val="00BA75D3"/>
    <w:rsid w:val="00BB459F"/>
    <w:rsid w:val="00BB481F"/>
    <w:rsid w:val="00BB4FFC"/>
    <w:rsid w:val="00BB66FD"/>
    <w:rsid w:val="00BC45A1"/>
    <w:rsid w:val="00BC519B"/>
    <w:rsid w:val="00BD4E65"/>
    <w:rsid w:val="00BE18E2"/>
    <w:rsid w:val="00BE78D5"/>
    <w:rsid w:val="00BF0CEB"/>
    <w:rsid w:val="00C001AA"/>
    <w:rsid w:val="00C11082"/>
    <w:rsid w:val="00C23A25"/>
    <w:rsid w:val="00C24575"/>
    <w:rsid w:val="00C3565F"/>
    <w:rsid w:val="00C46D6C"/>
    <w:rsid w:val="00C5020F"/>
    <w:rsid w:val="00C52BBC"/>
    <w:rsid w:val="00C63291"/>
    <w:rsid w:val="00C763E1"/>
    <w:rsid w:val="00C81E29"/>
    <w:rsid w:val="00C95D66"/>
    <w:rsid w:val="00CA153F"/>
    <w:rsid w:val="00CA262F"/>
    <w:rsid w:val="00CA31CF"/>
    <w:rsid w:val="00CA46A4"/>
    <w:rsid w:val="00CB363D"/>
    <w:rsid w:val="00CB4BC6"/>
    <w:rsid w:val="00CB6752"/>
    <w:rsid w:val="00CC5AED"/>
    <w:rsid w:val="00CD12D9"/>
    <w:rsid w:val="00CD1ED2"/>
    <w:rsid w:val="00CD2711"/>
    <w:rsid w:val="00CD34C8"/>
    <w:rsid w:val="00CE3787"/>
    <w:rsid w:val="00CE4E68"/>
    <w:rsid w:val="00D03B67"/>
    <w:rsid w:val="00D17797"/>
    <w:rsid w:val="00D17881"/>
    <w:rsid w:val="00D24CFA"/>
    <w:rsid w:val="00D26FD9"/>
    <w:rsid w:val="00D43392"/>
    <w:rsid w:val="00D52D6E"/>
    <w:rsid w:val="00D557CE"/>
    <w:rsid w:val="00D604A9"/>
    <w:rsid w:val="00D63D74"/>
    <w:rsid w:val="00D64DB7"/>
    <w:rsid w:val="00D7159D"/>
    <w:rsid w:val="00D74FFB"/>
    <w:rsid w:val="00D75050"/>
    <w:rsid w:val="00D775BC"/>
    <w:rsid w:val="00D80F5A"/>
    <w:rsid w:val="00D955CE"/>
    <w:rsid w:val="00D96BB2"/>
    <w:rsid w:val="00DB2B96"/>
    <w:rsid w:val="00DC49F3"/>
    <w:rsid w:val="00DD4A96"/>
    <w:rsid w:val="00DD6CC0"/>
    <w:rsid w:val="00DF22D3"/>
    <w:rsid w:val="00DF236C"/>
    <w:rsid w:val="00E11FDD"/>
    <w:rsid w:val="00E22D96"/>
    <w:rsid w:val="00E2440E"/>
    <w:rsid w:val="00E25A27"/>
    <w:rsid w:val="00E33D5E"/>
    <w:rsid w:val="00E3713F"/>
    <w:rsid w:val="00E43189"/>
    <w:rsid w:val="00E43FC2"/>
    <w:rsid w:val="00E51413"/>
    <w:rsid w:val="00E64111"/>
    <w:rsid w:val="00E65EAD"/>
    <w:rsid w:val="00E67885"/>
    <w:rsid w:val="00E80498"/>
    <w:rsid w:val="00E863D8"/>
    <w:rsid w:val="00EA02E3"/>
    <w:rsid w:val="00EA3CC4"/>
    <w:rsid w:val="00EA665C"/>
    <w:rsid w:val="00EB5F3A"/>
    <w:rsid w:val="00EC13BB"/>
    <w:rsid w:val="00EC452B"/>
    <w:rsid w:val="00EC6187"/>
    <w:rsid w:val="00ED3AD3"/>
    <w:rsid w:val="00ED4145"/>
    <w:rsid w:val="00F00F5B"/>
    <w:rsid w:val="00F03790"/>
    <w:rsid w:val="00F07D5A"/>
    <w:rsid w:val="00F1691A"/>
    <w:rsid w:val="00F346EC"/>
    <w:rsid w:val="00F34742"/>
    <w:rsid w:val="00F42A2B"/>
    <w:rsid w:val="00F470A0"/>
    <w:rsid w:val="00F618A7"/>
    <w:rsid w:val="00F768B2"/>
    <w:rsid w:val="00F821E5"/>
    <w:rsid w:val="00F85C8F"/>
    <w:rsid w:val="00F86BEB"/>
    <w:rsid w:val="00F97CC1"/>
    <w:rsid w:val="00FA772A"/>
    <w:rsid w:val="00FB0EDF"/>
    <w:rsid w:val="00FB4C81"/>
    <w:rsid w:val="00FB757B"/>
    <w:rsid w:val="00FD5900"/>
    <w:rsid w:val="00FE45BB"/>
    <w:rsid w:val="00FE4DC3"/>
    <w:rsid w:val="00FF16F9"/>
    <w:rsid w:val="00FF2255"/>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4BED38-FFDF-446F-96E8-9343BAB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DC49F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0A0"/>
  </w:style>
  <w:style w:type="paragraph" w:styleId="Footer">
    <w:name w:val="footer"/>
    <w:basedOn w:val="Normal"/>
    <w:link w:val="FooterChar"/>
    <w:uiPriority w:val="99"/>
    <w:unhideWhenUsed/>
    <w:rsid w:val="00F470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0A0"/>
  </w:style>
  <w:style w:type="character" w:customStyle="1" w:styleId="Heading1Char">
    <w:name w:val="Heading 1 Char"/>
    <w:basedOn w:val="DefaultParagraphFont"/>
    <w:link w:val="Heading1"/>
    <w:uiPriority w:val="9"/>
    <w:rsid w:val="003616FB"/>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DC49F3"/>
    <w:rPr>
      <w:rFonts w:ascii="Times New Roman" w:eastAsia="Times New Roman" w:hAnsi="Times New Roman" w:cs="Times New Roman"/>
      <w:b/>
      <w:bCs/>
      <w:sz w:val="27"/>
      <w:szCs w:val="27"/>
      <w:lang w:eastAsia="lv-LV"/>
    </w:rPr>
  </w:style>
  <w:style w:type="paragraph" w:styleId="NoSpacing">
    <w:name w:val="No Spacing"/>
    <w:basedOn w:val="Normal"/>
    <w:uiPriority w:val="1"/>
    <w:qFormat/>
    <w:rsid w:val="00D52D6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C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ED"/>
    <w:rPr>
      <w:rFonts w:ascii="Segoe UI" w:hAnsi="Segoe UI" w:cs="Segoe UI"/>
      <w:sz w:val="18"/>
      <w:szCs w:val="18"/>
    </w:rPr>
  </w:style>
  <w:style w:type="paragraph" w:customStyle="1" w:styleId="tv213">
    <w:name w:val="tv213"/>
    <w:basedOn w:val="Normal"/>
    <w:rsid w:val="00451E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eftside">
    <w:name w:val="left_side"/>
    <w:basedOn w:val="DefaultParagraphFont"/>
    <w:rsid w:val="00645B75"/>
  </w:style>
  <w:style w:type="character" w:customStyle="1" w:styleId="st1">
    <w:name w:val="st1"/>
    <w:basedOn w:val="DefaultParagraphFont"/>
    <w:rsid w:val="009979A2"/>
  </w:style>
  <w:style w:type="paragraph" w:styleId="ListParagraph">
    <w:name w:val="List Paragraph"/>
    <w:basedOn w:val="Normal"/>
    <w:uiPriority w:val="34"/>
    <w:qFormat/>
    <w:rsid w:val="00990C49"/>
    <w:pPr>
      <w:spacing w:after="0" w:line="240" w:lineRule="auto"/>
      <w:ind w:left="720"/>
    </w:pPr>
    <w:rPr>
      <w:rFonts w:ascii="Calibri" w:hAnsi="Calibri" w:cs="Times New Roman"/>
    </w:rPr>
  </w:style>
  <w:style w:type="character" w:styleId="Emphasis">
    <w:name w:val="Emphasis"/>
    <w:basedOn w:val="DefaultParagraphFont"/>
    <w:uiPriority w:val="20"/>
    <w:qFormat/>
    <w:rsid w:val="00704992"/>
    <w:rPr>
      <w:b/>
      <w:bCs/>
      <w:i w:val="0"/>
      <w:iCs w:val="0"/>
    </w:rPr>
  </w:style>
  <w:style w:type="paragraph" w:customStyle="1" w:styleId="Default">
    <w:name w:val="Default"/>
    <w:rsid w:val="00C52BB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A0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F19"/>
    <w:rPr>
      <w:sz w:val="20"/>
      <w:szCs w:val="20"/>
    </w:rPr>
  </w:style>
  <w:style w:type="character" w:styleId="FootnoteReference">
    <w:name w:val="footnote reference"/>
    <w:basedOn w:val="DefaultParagraphFont"/>
    <w:uiPriority w:val="99"/>
    <w:semiHidden/>
    <w:unhideWhenUsed/>
    <w:rsid w:val="004A0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17">
      <w:bodyDiv w:val="1"/>
      <w:marLeft w:val="0"/>
      <w:marRight w:val="0"/>
      <w:marTop w:val="0"/>
      <w:marBottom w:val="0"/>
      <w:divBdr>
        <w:top w:val="none" w:sz="0" w:space="0" w:color="auto"/>
        <w:left w:val="none" w:sz="0" w:space="0" w:color="auto"/>
        <w:bottom w:val="none" w:sz="0" w:space="0" w:color="auto"/>
        <w:right w:val="none" w:sz="0" w:space="0" w:color="auto"/>
      </w:divBdr>
    </w:div>
    <w:div w:id="232280170">
      <w:bodyDiv w:val="1"/>
      <w:marLeft w:val="0"/>
      <w:marRight w:val="0"/>
      <w:marTop w:val="0"/>
      <w:marBottom w:val="0"/>
      <w:divBdr>
        <w:top w:val="none" w:sz="0" w:space="0" w:color="auto"/>
        <w:left w:val="none" w:sz="0" w:space="0" w:color="auto"/>
        <w:bottom w:val="none" w:sz="0" w:space="0" w:color="auto"/>
        <w:right w:val="none" w:sz="0" w:space="0" w:color="auto"/>
      </w:divBdr>
    </w:div>
    <w:div w:id="271283177">
      <w:bodyDiv w:val="1"/>
      <w:marLeft w:val="0"/>
      <w:marRight w:val="0"/>
      <w:marTop w:val="0"/>
      <w:marBottom w:val="0"/>
      <w:divBdr>
        <w:top w:val="none" w:sz="0" w:space="0" w:color="auto"/>
        <w:left w:val="none" w:sz="0" w:space="0" w:color="auto"/>
        <w:bottom w:val="none" w:sz="0" w:space="0" w:color="auto"/>
        <w:right w:val="none" w:sz="0" w:space="0" w:color="auto"/>
      </w:divBdr>
      <w:divsChild>
        <w:div w:id="382218657">
          <w:marLeft w:val="0"/>
          <w:marRight w:val="0"/>
          <w:marTop w:val="0"/>
          <w:marBottom w:val="0"/>
          <w:divBdr>
            <w:top w:val="none" w:sz="0" w:space="0" w:color="auto"/>
            <w:left w:val="none" w:sz="0" w:space="0" w:color="auto"/>
            <w:bottom w:val="none" w:sz="0" w:space="0" w:color="auto"/>
            <w:right w:val="none" w:sz="0" w:space="0" w:color="auto"/>
          </w:divBdr>
          <w:divsChild>
            <w:div w:id="1292632338">
              <w:marLeft w:val="0"/>
              <w:marRight w:val="0"/>
              <w:marTop w:val="0"/>
              <w:marBottom w:val="0"/>
              <w:divBdr>
                <w:top w:val="none" w:sz="0" w:space="0" w:color="auto"/>
                <w:left w:val="none" w:sz="0" w:space="0" w:color="auto"/>
                <w:bottom w:val="none" w:sz="0" w:space="0" w:color="auto"/>
                <w:right w:val="none" w:sz="0" w:space="0" w:color="auto"/>
              </w:divBdr>
              <w:divsChild>
                <w:div w:id="631058094">
                  <w:marLeft w:val="0"/>
                  <w:marRight w:val="0"/>
                  <w:marTop w:val="0"/>
                  <w:marBottom w:val="0"/>
                  <w:divBdr>
                    <w:top w:val="none" w:sz="0" w:space="0" w:color="auto"/>
                    <w:left w:val="none" w:sz="0" w:space="0" w:color="auto"/>
                    <w:bottom w:val="none" w:sz="0" w:space="0" w:color="auto"/>
                    <w:right w:val="none" w:sz="0" w:space="0" w:color="auto"/>
                  </w:divBdr>
                  <w:divsChild>
                    <w:div w:id="20329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003">
      <w:bodyDiv w:val="1"/>
      <w:marLeft w:val="0"/>
      <w:marRight w:val="0"/>
      <w:marTop w:val="0"/>
      <w:marBottom w:val="0"/>
      <w:divBdr>
        <w:top w:val="none" w:sz="0" w:space="0" w:color="auto"/>
        <w:left w:val="none" w:sz="0" w:space="0" w:color="auto"/>
        <w:bottom w:val="none" w:sz="0" w:space="0" w:color="auto"/>
        <w:right w:val="none" w:sz="0" w:space="0" w:color="auto"/>
      </w:divBdr>
    </w:div>
    <w:div w:id="675497241">
      <w:bodyDiv w:val="1"/>
      <w:marLeft w:val="0"/>
      <w:marRight w:val="0"/>
      <w:marTop w:val="0"/>
      <w:marBottom w:val="0"/>
      <w:divBdr>
        <w:top w:val="none" w:sz="0" w:space="0" w:color="auto"/>
        <w:left w:val="none" w:sz="0" w:space="0" w:color="auto"/>
        <w:bottom w:val="none" w:sz="0" w:space="0" w:color="auto"/>
        <w:right w:val="none" w:sz="0" w:space="0" w:color="auto"/>
      </w:divBdr>
    </w:div>
    <w:div w:id="1836997782">
      <w:bodyDiv w:val="1"/>
      <w:marLeft w:val="0"/>
      <w:marRight w:val="0"/>
      <w:marTop w:val="0"/>
      <w:marBottom w:val="0"/>
      <w:divBdr>
        <w:top w:val="none" w:sz="0" w:space="0" w:color="auto"/>
        <w:left w:val="none" w:sz="0" w:space="0" w:color="auto"/>
        <w:bottom w:val="none" w:sz="0" w:space="0" w:color="auto"/>
        <w:right w:val="none" w:sz="0" w:space="0" w:color="auto"/>
      </w:divBdr>
    </w:div>
    <w:div w:id="1909222501">
      <w:bodyDiv w:val="1"/>
      <w:marLeft w:val="0"/>
      <w:marRight w:val="0"/>
      <w:marTop w:val="0"/>
      <w:marBottom w:val="0"/>
      <w:divBdr>
        <w:top w:val="none" w:sz="0" w:space="0" w:color="auto"/>
        <w:left w:val="none" w:sz="0" w:space="0" w:color="auto"/>
        <w:bottom w:val="none" w:sz="0" w:space="0" w:color="auto"/>
        <w:right w:val="none" w:sz="0" w:space="0" w:color="auto"/>
      </w:divBdr>
    </w:div>
    <w:div w:id="1967813801">
      <w:bodyDiv w:val="1"/>
      <w:marLeft w:val="0"/>
      <w:marRight w:val="0"/>
      <w:marTop w:val="0"/>
      <w:marBottom w:val="0"/>
      <w:divBdr>
        <w:top w:val="none" w:sz="0" w:space="0" w:color="auto"/>
        <w:left w:val="none" w:sz="0" w:space="0" w:color="auto"/>
        <w:bottom w:val="none" w:sz="0" w:space="0" w:color="auto"/>
        <w:right w:val="none" w:sz="0" w:space="0" w:color="auto"/>
      </w:divBdr>
    </w:div>
    <w:div w:id="2084597170">
      <w:bodyDiv w:val="1"/>
      <w:marLeft w:val="0"/>
      <w:marRight w:val="0"/>
      <w:marTop w:val="0"/>
      <w:marBottom w:val="0"/>
      <w:divBdr>
        <w:top w:val="none" w:sz="0" w:space="0" w:color="auto"/>
        <w:left w:val="none" w:sz="0" w:space="0" w:color="auto"/>
        <w:bottom w:val="none" w:sz="0" w:space="0" w:color="auto"/>
        <w:right w:val="none" w:sz="0" w:space="0" w:color="auto"/>
      </w:divBdr>
      <w:divsChild>
        <w:div w:id="1277327008">
          <w:marLeft w:val="0"/>
          <w:marRight w:val="0"/>
          <w:marTop w:val="0"/>
          <w:marBottom w:val="0"/>
          <w:divBdr>
            <w:top w:val="none" w:sz="0" w:space="0" w:color="auto"/>
            <w:left w:val="none" w:sz="0" w:space="0" w:color="auto"/>
            <w:bottom w:val="none" w:sz="0" w:space="0" w:color="auto"/>
            <w:right w:val="none" w:sz="0" w:space="0" w:color="auto"/>
          </w:divBdr>
          <w:divsChild>
            <w:div w:id="1336567313">
              <w:marLeft w:val="0"/>
              <w:marRight w:val="0"/>
              <w:marTop w:val="0"/>
              <w:marBottom w:val="0"/>
              <w:divBdr>
                <w:top w:val="none" w:sz="0" w:space="0" w:color="auto"/>
                <w:left w:val="none" w:sz="0" w:space="0" w:color="auto"/>
                <w:bottom w:val="none" w:sz="0" w:space="0" w:color="auto"/>
                <w:right w:val="none" w:sz="0" w:space="0" w:color="auto"/>
              </w:divBdr>
              <w:divsChild>
                <w:div w:id="274362685">
                  <w:marLeft w:val="0"/>
                  <w:marRight w:val="0"/>
                  <w:marTop w:val="0"/>
                  <w:marBottom w:val="0"/>
                  <w:divBdr>
                    <w:top w:val="none" w:sz="0" w:space="0" w:color="auto"/>
                    <w:left w:val="none" w:sz="0" w:space="0" w:color="auto"/>
                    <w:bottom w:val="none" w:sz="0" w:space="0" w:color="auto"/>
                    <w:right w:val="none" w:sz="0" w:space="0" w:color="auto"/>
                  </w:divBdr>
                  <w:divsChild>
                    <w:div w:id="9582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33707-grozijumi-augstskolu-liku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CC35-0AE8-4F6C-AE59-C0F3C2BD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15988</Words>
  <Characters>9114</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IZMZinop2_290819_IAP</vt:lpstr>
    </vt:vector>
  </TitlesOfParts>
  <Company/>
  <LinksUpToDate>false</LinksUpToDate>
  <CharactersWithSpaces>25052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IZMZinop2_290819_IAP</dc:title>
  <dc:subject/>
  <dc:creator>IZM</dc:creator>
  <cp:keywords/>
  <dc:description>A.Babiča, 67047703
alona.babica@izm.gov.lv</dc:description>
  <cp:lastModifiedBy>Gunta Arāja</cp:lastModifiedBy>
  <cp:revision>3</cp:revision>
  <cp:lastPrinted>2018-08-20T06:53:00Z</cp:lastPrinted>
  <dcterms:created xsi:type="dcterms:W3CDTF">2019-09-05T07:18:00Z</dcterms:created>
  <dcterms:modified xsi:type="dcterms:W3CDTF">2019-09-05T07:18:00Z</dcterms:modified>
</cp:coreProperties>
</file>