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D555B" w:rsidR="00195A92" w:rsidP="00E03D92" w:rsidRDefault="00DA116F" w14:paraId="663CC8A2" w14:textId="03C56F69">
      <w:pPr>
        <w:jc w:val="center"/>
        <w:rPr>
          <w:rFonts w:ascii="Times New Roman" w:hAnsi="Times New Roman" w:eastAsia="Times New Roman"/>
          <w:b/>
          <w:sz w:val="24"/>
          <w:szCs w:val="24"/>
          <w:lang w:val="lv-LV" w:eastAsia="lv-LV"/>
        </w:rPr>
      </w:pPr>
      <w:r w:rsidRPr="00DD555B">
        <w:rPr>
          <w:rFonts w:ascii="Times New Roman" w:hAnsi="Times New Roman" w:eastAsia="Times New Roman"/>
          <w:b/>
          <w:sz w:val="24"/>
          <w:szCs w:val="24"/>
          <w:lang w:val="lv-LV" w:eastAsia="lv-LV"/>
        </w:rPr>
        <w:t>Ministru kabineta noteikumu projekta</w:t>
      </w:r>
      <w:r w:rsidRPr="00DD555B" w:rsidR="0024095F">
        <w:rPr>
          <w:rFonts w:ascii="Times New Roman" w:hAnsi="Times New Roman" w:eastAsia="Times New Roman"/>
          <w:b/>
          <w:sz w:val="24"/>
          <w:szCs w:val="24"/>
          <w:lang w:val="lv-LV" w:eastAsia="lv-LV"/>
        </w:rPr>
        <w:t xml:space="preserve"> „</w:t>
      </w:r>
      <w:r w:rsidRPr="00E03D92" w:rsidR="00E03D92">
        <w:rPr>
          <w:rFonts w:ascii="Times New Roman" w:hAnsi="Times New Roman"/>
          <w:b/>
          <w:sz w:val="24"/>
          <w:szCs w:val="24"/>
          <w:lang w:val="lv-LV"/>
        </w:rPr>
        <w:t>Grozījums Ministru kabineta 2009.  gada 7.jūlija noteikumos Nr.7</w:t>
      </w:r>
      <w:r w:rsidR="00B10EE5">
        <w:rPr>
          <w:rFonts w:ascii="Times New Roman" w:hAnsi="Times New Roman"/>
          <w:b/>
          <w:sz w:val="24"/>
          <w:szCs w:val="24"/>
          <w:lang w:val="lv-LV"/>
        </w:rPr>
        <w:t>3</w:t>
      </w:r>
      <w:r w:rsidRPr="00E03D92" w:rsidR="00E03D92">
        <w:rPr>
          <w:rFonts w:ascii="Times New Roman" w:hAnsi="Times New Roman"/>
          <w:b/>
          <w:sz w:val="24"/>
          <w:szCs w:val="24"/>
          <w:lang w:val="lv-LV"/>
        </w:rPr>
        <w:t>3 „</w:t>
      </w:r>
      <w:r w:rsidRPr="00E03D92" w:rsidR="00E03D92">
        <w:rPr>
          <w:rFonts w:ascii="Times New Roman" w:hAnsi="Times New Roman"/>
          <w:b/>
          <w:bCs/>
          <w:sz w:val="24"/>
          <w:szCs w:val="24"/>
          <w:lang w:val="lv-LV"/>
        </w:rPr>
        <w:t xml:space="preserve"> Noteikumi par valsts valodas zināšanu apjomu, valsts valodas prasmes pārbaudes kārtību un valsts nodevu par valsts valodas prasmes pārbaudi”</w:t>
      </w:r>
      <w:r w:rsidR="00E03D92">
        <w:rPr>
          <w:rFonts w:ascii="Times New Roman" w:hAnsi="Times New Roman"/>
          <w:b/>
          <w:bCs/>
          <w:sz w:val="24"/>
          <w:szCs w:val="24"/>
          <w:lang w:val="lv-LV"/>
        </w:rPr>
        <w:t>”</w:t>
      </w:r>
      <w:r w:rsidRPr="00DD555B" w:rsidR="0024095F">
        <w:rPr>
          <w:rFonts w:ascii="Times New Roman" w:hAnsi="Times New Roman" w:eastAsia="Times New Roman"/>
          <w:b/>
          <w:iCs/>
          <w:sz w:val="24"/>
          <w:szCs w:val="24"/>
          <w:lang w:val="lv-LV" w:eastAsia="lv-LV"/>
        </w:rPr>
        <w:t xml:space="preserve"> </w:t>
      </w:r>
      <w:r w:rsidRPr="00DD555B" w:rsidR="0024095F">
        <w:rPr>
          <w:rFonts w:ascii="Times New Roman" w:hAnsi="Times New Roman" w:eastAsia="Times New Roman"/>
          <w:b/>
          <w:sz w:val="24"/>
          <w:szCs w:val="24"/>
          <w:lang w:val="lv-LV" w:eastAsia="lv-LV"/>
        </w:rPr>
        <w:t>sākotnējās ietekmes novērtējuma ziņojums (anotācija)</w:t>
      </w:r>
    </w:p>
    <w:tbl>
      <w:tblPr>
        <w:tblW w:w="5241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5954"/>
      </w:tblGrid>
      <w:tr w:rsidRPr="00E03D92" w:rsidR="00313745" w:rsidTr="00426C3F" w14:paraId="5D931D1C" w14:textId="77777777">
        <w:trPr>
          <w:cantSplit/>
          <w:trHeight w:val="407"/>
        </w:trPr>
        <w:tc>
          <w:tcPr>
            <w:tcW w:w="9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10EE5" w:rsidR="00313745" w:rsidRDefault="00313745" w14:paraId="44E9EF6E" w14:textId="77777777">
            <w:pPr>
              <w:jc w:val="center"/>
              <w:rPr>
                <w:rFonts w:ascii="Times New Roman" w:hAnsi="Times New Roman" w:eastAsia="Times New Roman"/>
                <w:b/>
                <w:iCs/>
                <w:sz w:val="24"/>
                <w:szCs w:val="24"/>
                <w:lang w:val="lv-LV"/>
              </w:rPr>
            </w:pPr>
            <w:r w:rsidRPr="00B10EE5">
              <w:rPr>
                <w:rFonts w:ascii="Times New Roman" w:hAnsi="Times New Roman"/>
                <w:b/>
                <w:iCs/>
                <w:sz w:val="24"/>
                <w:szCs w:val="24"/>
                <w:lang w:val="lv-LV"/>
              </w:rPr>
              <w:t>Tiesību akta projekta anotācijas kopsavilkums</w:t>
            </w:r>
          </w:p>
        </w:tc>
      </w:tr>
      <w:tr w:rsidRPr="00DD555B" w:rsidR="00313745" w:rsidTr="00426C3F" w14:paraId="28DAEB47" w14:textId="77777777">
        <w:trPr>
          <w:cantSplit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E939BF" w:rsidR="00313745" w:rsidP="0053011D" w:rsidRDefault="00313745" w14:paraId="6FD0A651" w14:textId="7D5BBE22">
            <w:pPr>
              <w:rPr>
                <w:rFonts w:ascii="Times New Roman" w:hAnsi="Times New Roman"/>
                <w:iCs/>
                <w:sz w:val="24"/>
                <w:szCs w:val="24"/>
                <w:lang w:val="lv-LV"/>
              </w:rPr>
            </w:pPr>
            <w:r w:rsidRPr="00E939BF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 xml:space="preserve">Mērķis, risinājums un projekta spēkā stāšanās laiks </w:t>
            </w:r>
            <w:r w:rsidRPr="00E939BF" w:rsidR="00A530F5">
              <w:rPr>
                <w:rFonts w:ascii="Times New Roman" w:hAnsi="Times New Roman" w:eastAsia="Times New Roman"/>
                <w:iCs/>
                <w:sz w:val="24"/>
                <w:szCs w:val="24"/>
                <w:lang w:val="lv-LV"/>
              </w:rPr>
              <w:t>(500 zīmes bez atstarpēm)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E939BF" w:rsidR="00B12909" w:rsidP="0008688D" w:rsidRDefault="00E939BF" w14:paraId="328967E3" w14:textId="2BF9FDCD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val="lv-LV" w:eastAsia="lv-LV"/>
              </w:rPr>
            </w:pPr>
            <w:bookmarkStart w:name="_Hlk512244612" w:id="0"/>
            <w:r w:rsidRPr="00E939BF">
              <w:rPr>
                <w:rFonts w:ascii="Times New Roman" w:hAnsi="Times New Roman"/>
                <w:sz w:val="24"/>
                <w:szCs w:val="24"/>
                <w:lang w:val="lv-LV"/>
              </w:rPr>
              <w:t>Saskaņā ar Ministru kabineta 2009. gada 15. decembra instrukcijas Nr. 19 “Tiesību akta projekta sākotnējās ietekmes izvērtēšanas kārtība” 5.</w:t>
            </w:r>
            <w:r w:rsidRPr="00E939BF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  <w:r w:rsidRPr="00E939B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punktu netiek aizpildīts.</w:t>
            </w:r>
          </w:p>
          <w:bookmarkEnd w:id="0"/>
          <w:p w:rsidRPr="00E939BF" w:rsidR="005845BF" w:rsidP="009733D6" w:rsidRDefault="005845BF" w14:paraId="6902BB5E" w14:textId="4D1F2ED4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Pr="00DD555B" w:rsidR="00727AA6" w:rsidP="0024095F" w:rsidRDefault="00727AA6" w14:paraId="5D2C633B" w14:textId="77777777">
      <w:pPr>
        <w:widowControl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  <w:lang w:val="lv-LV"/>
        </w:rPr>
      </w:pPr>
    </w:p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2948"/>
        <w:gridCol w:w="5954"/>
      </w:tblGrid>
      <w:tr w:rsidRPr="00E03D92" w:rsidR="0024095F" w:rsidTr="00426C3F" w14:paraId="64139FDE" w14:textId="77777777">
        <w:trPr>
          <w:trHeight w:val="419"/>
        </w:trPr>
        <w:tc>
          <w:tcPr>
            <w:tcW w:w="9493" w:type="dxa"/>
            <w:gridSpan w:val="3"/>
          </w:tcPr>
          <w:p w:rsidRPr="00AD7453" w:rsidR="0024095F" w:rsidP="00895E3C" w:rsidRDefault="0024095F" w14:paraId="752D4096" w14:textId="77777777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lv-LV" w:eastAsia="lv-LV"/>
              </w:rPr>
            </w:pPr>
            <w:r w:rsidRPr="00AD7453">
              <w:rPr>
                <w:rFonts w:ascii="Times New Roman" w:hAnsi="Times New Roman" w:eastAsia="Times New Roman"/>
                <w:b/>
                <w:sz w:val="24"/>
                <w:szCs w:val="24"/>
                <w:lang w:val="lv-LV" w:eastAsia="lv-LV"/>
              </w:rPr>
              <w:t>I. Tiesību akta projekta izstrādes nepieciešamība</w:t>
            </w:r>
          </w:p>
        </w:tc>
      </w:tr>
      <w:tr w:rsidRPr="00E03D92" w:rsidR="0024095F" w:rsidTr="00426C3F" w14:paraId="622C7A1E" w14:textId="77777777">
        <w:trPr>
          <w:trHeight w:val="415"/>
        </w:trPr>
        <w:tc>
          <w:tcPr>
            <w:tcW w:w="591" w:type="dxa"/>
          </w:tcPr>
          <w:p w:rsidRPr="00AD7453" w:rsidR="0024095F" w:rsidP="00895E3C" w:rsidRDefault="0024095F" w14:paraId="5FE8FEB5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AD7453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948" w:type="dxa"/>
          </w:tcPr>
          <w:p w:rsidRPr="00AD7453" w:rsidR="0024095F" w:rsidP="006432B0" w:rsidRDefault="0024095F" w14:paraId="088057A6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AD7453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Pamatojums</w:t>
            </w:r>
          </w:p>
        </w:tc>
        <w:tc>
          <w:tcPr>
            <w:tcW w:w="5954" w:type="dxa"/>
          </w:tcPr>
          <w:p w:rsidRPr="00AD7453" w:rsidR="006658B1" w:rsidP="00426C3F" w:rsidRDefault="00B10EE5" w14:paraId="384B71DD" w14:textId="0901BFFB">
            <w:pPr>
              <w:widowControl/>
              <w:spacing w:after="0" w:line="240" w:lineRule="auto"/>
              <w:ind w:left="57" w:right="140"/>
              <w:jc w:val="both"/>
              <w:rPr>
                <w:rFonts w:ascii="Times New Roman" w:hAnsi="Times New Roman"/>
                <w:iCs/>
                <w:sz w:val="24"/>
                <w:szCs w:val="24"/>
                <w:lang w:val="lv-LV"/>
              </w:rPr>
            </w:pPr>
            <w:r w:rsidRPr="00AD7453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Satiksmes ministrijas un AS “Pasažieru vilciens” iniciatīva.</w:t>
            </w:r>
          </w:p>
          <w:p w:rsidRPr="00AD7453" w:rsidR="009733D6" w:rsidP="00426C3F" w:rsidRDefault="009733D6" w14:paraId="3EAF3261" w14:textId="7C61F124">
            <w:pPr>
              <w:widowControl/>
              <w:spacing w:after="0" w:line="240" w:lineRule="auto"/>
              <w:ind w:left="57" w:right="140"/>
              <w:jc w:val="both"/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val="lv-LV" w:eastAsia="lv-LV"/>
              </w:rPr>
            </w:pPr>
          </w:p>
        </w:tc>
      </w:tr>
      <w:tr w:rsidRPr="00E03D92" w:rsidR="00426C3F" w:rsidTr="00426C3F" w14:paraId="4C41DB6A" w14:textId="77777777">
        <w:trPr>
          <w:trHeight w:val="472"/>
        </w:trPr>
        <w:tc>
          <w:tcPr>
            <w:tcW w:w="591" w:type="dxa"/>
          </w:tcPr>
          <w:p w:rsidRPr="00AD7453" w:rsidR="0024095F" w:rsidP="00895E3C" w:rsidRDefault="0024095F" w14:paraId="5F55CAA8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AD7453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948" w:type="dxa"/>
          </w:tcPr>
          <w:p w:rsidRPr="00AD7453" w:rsidR="00003AC0" w:rsidP="006432B0" w:rsidRDefault="0024095F" w14:paraId="794C6F3C" w14:textId="77777777">
            <w:pPr>
              <w:widowControl/>
              <w:tabs>
                <w:tab w:val="left" w:pos="1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AD7453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  <w:p w:rsidRPr="00AD7453" w:rsidR="00003AC0" w:rsidP="006432B0" w:rsidRDefault="00003AC0" w14:paraId="045459B2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</w:p>
          <w:p w:rsidRPr="00AD7453" w:rsidR="00003AC0" w:rsidP="006432B0" w:rsidRDefault="00003AC0" w14:paraId="3301AFBF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</w:p>
          <w:p w:rsidRPr="00AD7453" w:rsidR="00003AC0" w:rsidP="006432B0" w:rsidRDefault="00003AC0" w14:paraId="62C0010F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</w:p>
          <w:p w:rsidRPr="00AD7453" w:rsidR="00003AC0" w:rsidP="006432B0" w:rsidRDefault="00003AC0" w14:paraId="7AF59202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</w:p>
          <w:p w:rsidRPr="00AD7453" w:rsidR="00003AC0" w:rsidP="006432B0" w:rsidRDefault="00003AC0" w14:paraId="39EF56B4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</w:p>
          <w:p w:rsidRPr="00AD7453" w:rsidR="00003AC0" w:rsidP="006432B0" w:rsidRDefault="00003AC0" w14:paraId="2DDE1A86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</w:p>
          <w:p w:rsidRPr="00AD7453" w:rsidR="00003AC0" w:rsidP="006432B0" w:rsidRDefault="00003AC0" w14:paraId="3CAC4612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</w:p>
          <w:p w:rsidRPr="00AD7453" w:rsidR="00003AC0" w:rsidP="006432B0" w:rsidRDefault="00003AC0" w14:paraId="3808EDA4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</w:p>
          <w:p w:rsidRPr="00AD7453" w:rsidR="00003AC0" w:rsidP="006432B0" w:rsidRDefault="00003AC0" w14:paraId="499182E5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</w:p>
          <w:p w:rsidRPr="00AD7453" w:rsidR="00003AC0" w:rsidP="00647807" w:rsidRDefault="00647807" w14:paraId="6E576E9E" w14:textId="75A2ABF8">
            <w:pPr>
              <w:tabs>
                <w:tab w:val="left" w:pos="300"/>
              </w:tabs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AD7453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ab/>
            </w:r>
          </w:p>
          <w:p w:rsidRPr="00AD7453" w:rsidR="00003AC0" w:rsidP="006432B0" w:rsidRDefault="00003AC0" w14:paraId="2B3BA507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</w:p>
          <w:p w:rsidRPr="00AD7453" w:rsidR="0024095F" w:rsidP="006432B0" w:rsidRDefault="00003AC0" w14:paraId="726BEFF6" w14:textId="77777777">
            <w:pPr>
              <w:tabs>
                <w:tab w:val="left" w:pos="1005"/>
              </w:tabs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AD7453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ab/>
            </w:r>
          </w:p>
          <w:p w:rsidRPr="00AD7453" w:rsidR="00B10EE5" w:rsidP="00B10EE5" w:rsidRDefault="00B10EE5" w14:paraId="37CFDEED" w14:textId="77777777">
            <w:pPr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</w:p>
          <w:p w:rsidRPr="00AD7453" w:rsidR="00B10EE5" w:rsidP="00B10EE5" w:rsidRDefault="00B10EE5" w14:paraId="12BA963C" w14:textId="77777777">
            <w:pPr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</w:p>
          <w:p w:rsidRPr="00AD7453" w:rsidR="00B10EE5" w:rsidP="00B555E5" w:rsidRDefault="00B10EE5" w14:paraId="2A36BA50" w14:textId="3CA7F6FA">
            <w:pPr>
              <w:ind w:firstLine="720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</w:p>
        </w:tc>
        <w:tc>
          <w:tcPr>
            <w:tcW w:w="5954" w:type="dxa"/>
          </w:tcPr>
          <w:p w:rsidRPr="00AD7453" w:rsidR="00647807" w:rsidP="00426C3F" w:rsidRDefault="00647807" w14:paraId="332124CB" w14:textId="352AB124">
            <w:pPr>
              <w:pStyle w:val="Heading3"/>
              <w:shd w:val="clear" w:color="auto" w:fill="FFFFFF"/>
              <w:spacing w:before="0" w:beforeAutospacing="0" w:after="0" w:afterAutospacing="0"/>
              <w:ind w:left="57" w:right="142"/>
              <w:jc w:val="both"/>
              <w:rPr>
                <w:b w:val="0"/>
                <w:bCs w:val="0"/>
                <w:sz w:val="24"/>
                <w:szCs w:val="24"/>
              </w:rPr>
            </w:pPr>
            <w:r w:rsidRPr="00AD7453">
              <w:rPr>
                <w:b w:val="0"/>
                <w:bCs w:val="0"/>
                <w:sz w:val="24"/>
                <w:szCs w:val="24"/>
              </w:rPr>
              <w:t>Ministru kabineta noteikumu projekts „Grozījum</w:t>
            </w:r>
            <w:r w:rsidRPr="00AD7453" w:rsidR="006658B1">
              <w:rPr>
                <w:b w:val="0"/>
                <w:bCs w:val="0"/>
                <w:sz w:val="24"/>
                <w:szCs w:val="24"/>
              </w:rPr>
              <w:t>s</w:t>
            </w:r>
            <w:r w:rsidRPr="00AD7453">
              <w:rPr>
                <w:b w:val="0"/>
                <w:bCs w:val="0"/>
                <w:sz w:val="24"/>
                <w:szCs w:val="24"/>
              </w:rPr>
              <w:t xml:space="preserve"> Ministru kabineta 20</w:t>
            </w:r>
            <w:r w:rsidRPr="00AD7453" w:rsidR="00B10EE5">
              <w:rPr>
                <w:b w:val="0"/>
                <w:bCs w:val="0"/>
                <w:sz w:val="24"/>
                <w:szCs w:val="24"/>
              </w:rPr>
              <w:t>09</w:t>
            </w:r>
            <w:r w:rsidRPr="00AD7453">
              <w:rPr>
                <w:b w:val="0"/>
                <w:bCs w:val="0"/>
                <w:sz w:val="24"/>
                <w:szCs w:val="24"/>
              </w:rPr>
              <w:t xml:space="preserve">. gada </w:t>
            </w:r>
            <w:r w:rsidRPr="00AD7453" w:rsidR="00B10EE5">
              <w:rPr>
                <w:b w:val="0"/>
                <w:bCs w:val="0"/>
                <w:sz w:val="24"/>
                <w:szCs w:val="24"/>
              </w:rPr>
              <w:t>7. jūlija</w:t>
            </w:r>
            <w:r w:rsidRPr="00AD7453">
              <w:rPr>
                <w:b w:val="0"/>
                <w:bCs w:val="0"/>
                <w:sz w:val="24"/>
                <w:szCs w:val="24"/>
              </w:rPr>
              <w:t xml:space="preserve"> noteikumos Nr.</w:t>
            </w:r>
            <w:r w:rsidRPr="00AD7453" w:rsidR="00B10EE5">
              <w:rPr>
                <w:b w:val="0"/>
                <w:bCs w:val="0"/>
                <w:sz w:val="24"/>
                <w:szCs w:val="24"/>
              </w:rPr>
              <w:t>733</w:t>
            </w:r>
            <w:r w:rsidRPr="00AD7453">
              <w:rPr>
                <w:b w:val="0"/>
                <w:bCs w:val="0"/>
                <w:sz w:val="24"/>
                <w:szCs w:val="24"/>
              </w:rPr>
              <w:t xml:space="preserve"> “Noteikumi par </w:t>
            </w:r>
            <w:r w:rsidRPr="00AD7453" w:rsidR="00B10EE5">
              <w:rPr>
                <w:b w:val="0"/>
                <w:bCs w:val="0"/>
                <w:sz w:val="24"/>
                <w:szCs w:val="24"/>
              </w:rPr>
              <w:t>valsts valodas zināšanu apjomu, valsts valodas prasmes pārbaudes kārtību un valsts nodevu par valsts valodas prasmes pārbaudi””</w:t>
            </w:r>
            <w:r w:rsidRPr="00AD7453">
              <w:rPr>
                <w:b w:val="0"/>
                <w:bCs w:val="0"/>
                <w:sz w:val="24"/>
                <w:szCs w:val="24"/>
              </w:rPr>
              <w:t xml:space="preserve"> (turpmāk - noteikumu projekts) izstrādāts</w:t>
            </w:r>
            <w:r w:rsidRPr="00AD7453" w:rsidR="00B10EE5">
              <w:rPr>
                <w:b w:val="0"/>
                <w:bCs w:val="0"/>
                <w:sz w:val="24"/>
                <w:szCs w:val="24"/>
              </w:rPr>
              <w:t xml:space="preserve">, lai </w:t>
            </w:r>
            <w:r w:rsidR="006177F5">
              <w:rPr>
                <w:b w:val="0"/>
                <w:bCs w:val="0"/>
                <w:sz w:val="24"/>
                <w:szCs w:val="24"/>
              </w:rPr>
              <w:t>paredzētu</w:t>
            </w:r>
            <w:r w:rsidRPr="00AD7453" w:rsidR="006177F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D7453" w:rsidR="00B10EE5">
              <w:rPr>
                <w:b w:val="0"/>
                <w:bCs w:val="0"/>
                <w:sz w:val="24"/>
                <w:szCs w:val="24"/>
              </w:rPr>
              <w:t xml:space="preserve">iespēju </w:t>
            </w:r>
            <w:r w:rsidRPr="00AD7453" w:rsidR="00B13BD4">
              <w:rPr>
                <w:b w:val="0"/>
                <w:bCs w:val="0"/>
                <w:sz w:val="24"/>
                <w:szCs w:val="24"/>
              </w:rPr>
              <w:t>personām ar zemākām latviešu valodas zināšanām</w:t>
            </w:r>
            <w:r w:rsidR="00B13BD4">
              <w:rPr>
                <w:b w:val="0"/>
                <w:bCs w:val="0"/>
                <w:sz w:val="24"/>
                <w:szCs w:val="24"/>
              </w:rPr>
              <w:t xml:space="preserve"> strādāt </w:t>
            </w:r>
            <w:r w:rsidRPr="00AD7453" w:rsidR="00B10EE5">
              <w:rPr>
                <w:b w:val="0"/>
                <w:bCs w:val="0"/>
                <w:sz w:val="24"/>
                <w:szCs w:val="24"/>
              </w:rPr>
              <w:t>dzelzceļa jomā</w:t>
            </w:r>
            <w:r w:rsidR="00B13BD4">
              <w:rPr>
                <w:b w:val="0"/>
                <w:bCs w:val="0"/>
                <w:sz w:val="24"/>
                <w:szCs w:val="24"/>
              </w:rPr>
              <w:t>.</w:t>
            </w:r>
          </w:p>
          <w:p w:rsidRPr="00AD7453" w:rsidR="00AB4021" w:rsidP="001474F0" w:rsidRDefault="0037005D" w14:paraId="7A6AF911" w14:textId="76D47BCC">
            <w:pPr>
              <w:pStyle w:val="NormalWeb"/>
              <w:spacing w:before="0" w:beforeAutospacing="0" w:after="0" w:afterAutospacing="0"/>
              <w:ind w:left="57" w:right="142"/>
              <w:jc w:val="both"/>
            </w:pPr>
            <w:r w:rsidRPr="00AD7453">
              <w:rPr>
                <w:color w:val="auto"/>
              </w:rPr>
              <w:t>No</w:t>
            </w:r>
            <w:r w:rsidRPr="00AD7453" w:rsidR="005F6974">
              <w:rPr>
                <w:color w:val="auto"/>
              </w:rPr>
              <w:t xml:space="preserve">teikumu projekts paredz </w:t>
            </w:r>
            <w:r w:rsidRPr="00AD7453" w:rsidR="00020C5C">
              <w:rPr>
                <w:color w:val="auto"/>
              </w:rPr>
              <w:t>samazināt amatam nepieciešamo valsts valodas prasmes līmeni un pakāpi.</w:t>
            </w:r>
            <w:r w:rsidRPr="00AD7453" w:rsidR="00AB4021">
              <w:rPr>
                <w:color w:val="auto"/>
                <w:sz w:val="28"/>
                <w:szCs w:val="28"/>
              </w:rPr>
              <w:t xml:space="preserve"> </w:t>
            </w:r>
            <w:r w:rsidRPr="00AD7453" w:rsidR="000571A3">
              <w:t>Ministru kabineta 2009. gada 7. jūlija noteikumos Nr.733 “Noteikumi par valsts valodas zināšanu apjomu, valsts valodas prasmes pārbaudes kārtību un valsts nodevu par valsts valodas prasmes pārbaudi””</w:t>
            </w:r>
            <w:r w:rsidRPr="00AD7453" w:rsidR="003C7C70">
              <w:t xml:space="preserve"> (turpmāk </w:t>
            </w:r>
            <w:r w:rsidR="005B4BF1">
              <w:t xml:space="preserve">- </w:t>
            </w:r>
            <w:r w:rsidRPr="00AD7453" w:rsidR="003C7C70">
              <w:t xml:space="preserve">MK </w:t>
            </w:r>
            <w:r w:rsidR="004C1E0F">
              <w:t xml:space="preserve">noteikumi </w:t>
            </w:r>
            <w:r w:rsidRPr="00AD7453" w:rsidR="003C7C70">
              <w:t>Nr. 733) amatam</w:t>
            </w:r>
            <w:r w:rsidRPr="00AD7453" w:rsidR="009F4A3E">
              <w:t xml:space="preserve"> 5112 05 </w:t>
            </w:r>
            <w:r w:rsidRPr="00AD7453" w:rsidR="003C7C70">
              <w:t>Pasažieru vilciena KONDUKTORS (kontrolieris)</w:t>
            </w:r>
            <w:r w:rsidRPr="00AD7453" w:rsidR="00BA43B8">
              <w:t xml:space="preserve"> (turpmāk</w:t>
            </w:r>
            <w:r w:rsidR="00526FF3">
              <w:t xml:space="preserve"> </w:t>
            </w:r>
            <w:r w:rsidRPr="00AD7453" w:rsidR="00BA43B8">
              <w:t xml:space="preserve">- konduktors) ir noteikts valsts valodas prasmes C līmeņa 1.pakāpe. </w:t>
            </w:r>
          </w:p>
          <w:p w:rsidRPr="00AD7453" w:rsidR="009733D6" w:rsidP="00897A3C" w:rsidRDefault="00BA43B8" w14:paraId="41F0C1A6" w14:textId="39A1C023">
            <w:pPr>
              <w:pStyle w:val="NormalWeb"/>
              <w:spacing w:before="0" w:beforeAutospacing="0" w:after="0" w:afterAutospacing="0"/>
              <w:ind w:left="57" w:right="142"/>
              <w:jc w:val="both"/>
            </w:pPr>
            <w:r w:rsidRPr="00AD7453">
              <w:t>Izvērtējot šajā amatā veicamos darba pienākumus, konstatēts, ka konduktora amata pildīšanai nav nepieciešama valsts valoda tik augstā līmenī (C līmeņa 1.pakāpe). C līmeņa 1.pakāpē iekļauti uzņēmumu un struktūrvienību vadītāji, augsti kvalificēti speciālisti, augstskolu mācībspēki un pedagogi, līdz ar to būtu nepieciešams šo amatu pārcelt uz B līmeņa 1. pakāpi, kurā iekļautas arī citas profesijas un amati, kas saistīti ar pakalpojumu sniegšanu iedzīvotājiem. Konduktoram</w:t>
            </w:r>
            <w:r w:rsidR="005B4BF1">
              <w:t>,</w:t>
            </w:r>
            <w:r w:rsidRPr="00AD7453">
              <w:t xml:space="preserve"> pildot savus darba pienākumus</w:t>
            </w:r>
            <w:r w:rsidR="005B4BF1">
              <w:t>,</w:t>
            </w:r>
            <w:r w:rsidRPr="00AD7453">
              <w:t xml:space="preserve"> ir jāspēj risināt vienkāršus dialogus par sadzīves un viņam zināmām profesionālām tēmām, īsi jāformulē savs viedoklis, jālasa un jāsaprot vienkārša satura dažādi tematiski teksti, kā arī jāspēj </w:t>
            </w:r>
            <w:r w:rsidR="005B4BF1">
              <w:t>sagatavot</w:t>
            </w:r>
            <w:r w:rsidRPr="00AD7453" w:rsidR="005B4BF1">
              <w:t xml:space="preserve"> </w:t>
            </w:r>
            <w:r w:rsidRPr="00AD7453">
              <w:t>tipveida dokumentus (piemēram, iesniegum</w:t>
            </w:r>
            <w:r w:rsidR="00526FF3">
              <w:t>us,</w:t>
            </w:r>
            <w:r w:rsidRPr="00AD7453">
              <w:t xml:space="preserve"> akt</w:t>
            </w:r>
            <w:r w:rsidR="00526FF3">
              <w:t>us</w:t>
            </w:r>
            <w:r w:rsidRPr="00AD7453">
              <w:t xml:space="preserve"> utt.), kā arī vienkāršus tekstus par sadzīves</w:t>
            </w:r>
            <w:r w:rsidRPr="00AD7453" w:rsidR="009F4A3E">
              <w:t xml:space="preserve"> vai ar personas darbu saistītām tēmām. Konduktoram jāuztver un jāsaprot dabiskā tempā runātus, vienkāršas struktūras tekstus par profesionālām vai sadzīves tēmām. Papildus norādām, ka MK noteikumu Nr.733 1. pielikuma profesija</w:t>
            </w:r>
            <w:r w:rsidR="005B4BF1">
              <w:t>i</w:t>
            </w:r>
            <w:r w:rsidRPr="00AD7453" w:rsidR="009F4A3E">
              <w:t xml:space="preserve"> – 5111 03 </w:t>
            </w:r>
            <w:r w:rsidRPr="00AD7453" w:rsidR="009F4A3E">
              <w:lastRenderedPageBreak/>
              <w:t>PAVADONIS – ir noteikta B līmeņa pirmās pakāpes valsts valodas prasme un profesijai 4323 25 Pasažieru vilciena KONTROLIERIS (revidents) ir noteikta B līmeņa otrās pakāpes valsts valodas prasme.</w:t>
            </w:r>
            <w:bookmarkStart w:name="_GoBack" w:id="1"/>
            <w:bookmarkEnd w:id="1"/>
          </w:p>
        </w:tc>
      </w:tr>
      <w:tr w:rsidRPr="00B10EE5" w:rsidR="00426C3F" w:rsidTr="00426C3F" w14:paraId="0F3A33EE" w14:textId="77777777">
        <w:trPr>
          <w:trHeight w:val="476"/>
        </w:trPr>
        <w:tc>
          <w:tcPr>
            <w:tcW w:w="591" w:type="dxa"/>
          </w:tcPr>
          <w:p w:rsidRPr="00AD7453" w:rsidR="0024095F" w:rsidP="00895E3C" w:rsidRDefault="0024095F" w14:paraId="158B50BF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AD7453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2948" w:type="dxa"/>
          </w:tcPr>
          <w:p w:rsidRPr="00AD7453" w:rsidR="0024095F" w:rsidP="00895E3C" w:rsidRDefault="00DB0CD5" w14:paraId="1CA55DB2" w14:textId="2A43F744">
            <w:pPr>
              <w:widowControl/>
              <w:spacing w:after="0" w:line="240" w:lineRule="auto"/>
              <w:ind w:left="57" w:right="57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AD7453">
              <w:rPr>
                <w:rFonts w:ascii="Times New Roman" w:hAnsi="Times New Roman"/>
                <w:sz w:val="24"/>
                <w:szCs w:val="24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5954" w:type="dxa"/>
          </w:tcPr>
          <w:p w:rsidRPr="00AD7453" w:rsidR="0008688D" w:rsidP="00426C3F" w:rsidRDefault="00B10EE5" w14:paraId="0F0832E2" w14:textId="70DC3CF7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AD7453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AS “Pasažieru vilciens”.</w:t>
            </w:r>
          </w:p>
          <w:p w:rsidRPr="00AD7453" w:rsidR="0024095F" w:rsidP="00426C3F" w:rsidRDefault="0024095F" w14:paraId="4894CAF0" w14:textId="77777777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</w:p>
        </w:tc>
      </w:tr>
      <w:tr w:rsidRPr="00DD555B" w:rsidR="00426C3F" w:rsidTr="00426C3F" w14:paraId="0E43795E" w14:textId="77777777">
        <w:tc>
          <w:tcPr>
            <w:tcW w:w="591" w:type="dxa"/>
          </w:tcPr>
          <w:p w:rsidRPr="00AD7453" w:rsidR="0024095F" w:rsidP="00895E3C" w:rsidRDefault="0024095F" w14:paraId="46E6E3AA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AD7453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948" w:type="dxa"/>
          </w:tcPr>
          <w:p w:rsidRPr="00AD7453" w:rsidR="0024095F" w:rsidP="00895E3C" w:rsidRDefault="0024095F" w14:paraId="22B8BF0F" w14:textId="77777777">
            <w:pPr>
              <w:widowControl/>
              <w:spacing w:after="0" w:line="240" w:lineRule="auto"/>
              <w:ind w:left="57" w:right="57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AD7453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954" w:type="dxa"/>
          </w:tcPr>
          <w:p w:rsidRPr="00AD7453" w:rsidR="00195A92" w:rsidP="00426C3F" w:rsidRDefault="0024095F" w14:paraId="2486752C" w14:textId="644EB915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AD7453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Nav</w:t>
            </w:r>
            <w:r w:rsidRPr="00AD7453" w:rsidR="006658B1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.</w:t>
            </w:r>
          </w:p>
          <w:p w:rsidRPr="00AD7453" w:rsidR="00195A92" w:rsidP="00426C3F" w:rsidRDefault="00195A92" w14:paraId="5549E0D7" w14:textId="77777777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</w:p>
        </w:tc>
      </w:tr>
    </w:tbl>
    <w:p w:rsidRPr="00DD555B" w:rsidR="0024095F" w:rsidP="0024095F" w:rsidRDefault="0024095F" w14:paraId="4D93B5C8" w14:textId="29969301">
      <w:pPr>
        <w:widowControl/>
        <w:spacing w:after="0" w:line="240" w:lineRule="auto"/>
        <w:rPr>
          <w:rFonts w:ascii="Times New Roman" w:hAnsi="Times New Roman" w:eastAsia="Times New Roman"/>
          <w:sz w:val="24"/>
          <w:szCs w:val="24"/>
          <w:lang w:val="lv-LV" w:eastAsia="lv-LV"/>
        </w:rPr>
      </w:pPr>
    </w:p>
    <w:tbl>
      <w:tblPr>
        <w:tblW w:w="949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2972"/>
        <w:gridCol w:w="5895"/>
      </w:tblGrid>
      <w:tr w:rsidRPr="00DD555B" w:rsidR="00426C3F" w:rsidTr="00426C3F" w14:paraId="7D8209C7" w14:textId="77777777">
        <w:tc>
          <w:tcPr>
            <w:tcW w:w="9493" w:type="dxa"/>
            <w:gridSpan w:val="3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</w:tcPr>
          <w:p w:rsidRPr="00DD555B" w:rsidR="0024095F" w:rsidP="00895E3C" w:rsidRDefault="0024095F" w14:paraId="5FAFFCCC" w14:textId="77777777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b/>
                <w:sz w:val="24"/>
                <w:szCs w:val="24"/>
                <w:lang w:val="lv-LV" w:eastAsia="lv-LV"/>
              </w:rPr>
              <w:t xml:space="preserve">II. </w:t>
            </w:r>
            <w:r w:rsidRPr="00DD555B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lv-LV" w:eastAsia="lv-LV"/>
              </w:rPr>
              <w:t>Tiesību akta projekta ietekme uz sabiedrību, tautsaimniecības attīstību un administratīvo slogu</w:t>
            </w:r>
          </w:p>
        </w:tc>
      </w:tr>
      <w:tr w:rsidRPr="00DD555B" w:rsidR="00426C3F" w:rsidTr="00426C3F" w14:paraId="4B9AC668" w14:textId="77777777"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24095F" w:rsidP="00895E3C" w:rsidRDefault="0024095F" w14:paraId="00BE182C" w14:textId="77777777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24095F" w:rsidP="006432B0" w:rsidRDefault="0024095F" w14:paraId="17B213A6" w14:textId="77777777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Sabiedrības mērķgrupas, kuras tiesiskais regulējums ietekmē vai varētu ietekmēt</w:t>
            </w:r>
          </w:p>
        </w:tc>
        <w:tc>
          <w:tcPr>
            <w:tcW w:w="5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195A92" w:rsidP="006432B0" w:rsidRDefault="00B10EE5" w14:paraId="25A87B9C" w14:textId="0A7DE2E2">
            <w:pPr>
              <w:widowControl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Topošie un esošie dzelzceļa jomā strādājošie kontrolieri (revidenti). </w:t>
            </w:r>
          </w:p>
        </w:tc>
      </w:tr>
      <w:tr w:rsidRPr="00DD555B" w:rsidR="00426C3F" w:rsidTr="00426C3F" w14:paraId="0F234E55" w14:textId="77777777"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24095F" w:rsidP="00895E3C" w:rsidRDefault="0024095F" w14:paraId="0BBA64DB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24095F" w:rsidP="006432B0" w:rsidRDefault="0024095F" w14:paraId="08BBD1EB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5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24095F" w:rsidP="006432B0" w:rsidRDefault="0024095F" w14:paraId="2870EC3B" w14:textId="3B1F3D76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iCs/>
                <w:sz w:val="24"/>
                <w:szCs w:val="24"/>
                <w:lang w:val="lv-LV" w:eastAsia="lv-LV"/>
              </w:rPr>
              <w:t>Projekts šo jomu neskar</w:t>
            </w:r>
            <w:r w:rsidRPr="00DD555B" w:rsidR="006658B1">
              <w:rPr>
                <w:rFonts w:ascii="Times New Roman" w:hAnsi="Times New Roman" w:eastAsia="Times New Roman"/>
                <w:iCs/>
                <w:sz w:val="24"/>
                <w:szCs w:val="24"/>
                <w:lang w:val="lv-LV" w:eastAsia="lv-LV"/>
              </w:rPr>
              <w:t>.</w:t>
            </w:r>
          </w:p>
        </w:tc>
      </w:tr>
      <w:tr w:rsidRPr="00DD555B" w:rsidR="00426C3F" w:rsidTr="00426C3F" w14:paraId="677C3B73" w14:textId="77777777"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24095F" w:rsidP="00895E3C" w:rsidRDefault="0024095F" w14:paraId="5880BD83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24095F" w:rsidP="006432B0" w:rsidRDefault="0024095F" w14:paraId="5DF331FD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Administratīvo izmaksu monetārs novērtējums</w:t>
            </w:r>
          </w:p>
        </w:tc>
        <w:tc>
          <w:tcPr>
            <w:tcW w:w="5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24095F" w:rsidP="006432B0" w:rsidRDefault="0024095F" w14:paraId="55D1AA39" w14:textId="3885A1BF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iCs/>
                <w:sz w:val="24"/>
                <w:szCs w:val="24"/>
                <w:lang w:val="lv-LV" w:eastAsia="lv-LV"/>
              </w:rPr>
              <w:t>Projekts šo jomu neskar</w:t>
            </w:r>
            <w:r w:rsidRPr="00DD555B" w:rsidR="006658B1">
              <w:rPr>
                <w:rFonts w:ascii="Times New Roman" w:hAnsi="Times New Roman" w:eastAsia="Times New Roman"/>
                <w:iCs/>
                <w:sz w:val="24"/>
                <w:szCs w:val="24"/>
                <w:lang w:val="lv-LV" w:eastAsia="lv-LV"/>
              </w:rPr>
              <w:t>.</w:t>
            </w:r>
          </w:p>
        </w:tc>
      </w:tr>
      <w:tr w:rsidRPr="00DD555B" w:rsidR="00426C3F" w:rsidTr="00426C3F" w14:paraId="7E383F61" w14:textId="77777777"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24095F" w:rsidP="00895E3C" w:rsidRDefault="0024095F" w14:paraId="24019674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24095F" w:rsidP="006432B0" w:rsidRDefault="0024095F" w14:paraId="6BF5944A" w14:textId="38D23670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 </w:t>
            </w:r>
            <w:r w:rsidRPr="00DD555B" w:rsidR="00A530F5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Atbilstības izmaksu monetārs novērtējums</w:t>
            </w:r>
          </w:p>
        </w:tc>
        <w:tc>
          <w:tcPr>
            <w:tcW w:w="5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195A92" w:rsidP="00B8582A" w:rsidRDefault="00B8582A" w14:paraId="00FCD306" w14:textId="64102DC5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iCs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Pr="00DD555B" w:rsidR="00426C3F" w:rsidTr="00426C3F" w14:paraId="5BD74EEC" w14:textId="77777777"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A530F5" w:rsidP="00895E3C" w:rsidRDefault="00A530F5" w14:paraId="77EC473B" w14:textId="6A1C27E9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2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A530F5" w:rsidP="006432B0" w:rsidRDefault="00A530F5" w14:paraId="3E7592D4" w14:textId="454C71A3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5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A530F5" w:rsidP="00B8582A" w:rsidRDefault="00A530F5" w14:paraId="3F8E942D" w14:textId="1E264CB9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Nav</w:t>
            </w:r>
            <w:r w:rsidRPr="00DD555B" w:rsidR="006658B1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.</w:t>
            </w:r>
          </w:p>
        </w:tc>
      </w:tr>
    </w:tbl>
    <w:p w:rsidRPr="00DD555B" w:rsidR="00727AA6" w:rsidP="0024095F" w:rsidRDefault="00727AA6" w14:paraId="6CFBD5A2" w14:textId="77777777">
      <w:pPr>
        <w:widowControl/>
        <w:spacing w:after="0" w:line="240" w:lineRule="auto"/>
        <w:rPr>
          <w:rFonts w:ascii="Times New Roman" w:hAnsi="Times New Roman" w:eastAsia="Times New Roman"/>
          <w:sz w:val="24"/>
          <w:szCs w:val="24"/>
          <w:lang w:val="lv-LV" w:eastAsia="lv-LV"/>
        </w:rPr>
      </w:pPr>
    </w:p>
    <w:tbl>
      <w:tblPr>
        <w:tblW w:w="9498" w:type="dxa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8"/>
      </w:tblGrid>
      <w:tr w:rsidRPr="00DD555B" w:rsidR="00426C3F" w:rsidTr="00426C3F" w14:paraId="33EDF764" w14:textId="77777777">
        <w:trPr>
          <w:trHeight w:val="372"/>
        </w:trPr>
        <w:tc>
          <w:tcPr>
            <w:tcW w:w="9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DD555B" w:rsidR="00E40127" w:rsidP="00895E3C" w:rsidRDefault="00A35B4B" w14:paraId="2A665C41" w14:textId="77777777"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b/>
                <w:sz w:val="24"/>
                <w:szCs w:val="24"/>
                <w:lang w:val="lv-LV" w:eastAsia="lv-LV"/>
              </w:rPr>
              <w:t>III. Tiesību akta projekta ietekme uz valsts budžetu un pašvaldību budžetiem</w:t>
            </w:r>
          </w:p>
        </w:tc>
      </w:tr>
      <w:tr w:rsidRPr="00DD555B" w:rsidR="00426C3F" w:rsidTr="00426C3F" w14:paraId="51854E8E" w14:textId="77777777">
        <w:trPr>
          <w:trHeight w:val="302"/>
        </w:trPr>
        <w:tc>
          <w:tcPr>
            <w:tcW w:w="9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  <w:hideMark/>
          </w:tcPr>
          <w:p w:rsidRPr="00DD555B" w:rsidR="00E40127" w:rsidP="00895E3C" w:rsidRDefault="00E40127" w14:paraId="4B387FA2" w14:textId="7410BD19"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iCs/>
                <w:sz w:val="24"/>
                <w:szCs w:val="24"/>
                <w:lang w:val="lv-LV" w:eastAsia="lv-LV"/>
              </w:rPr>
              <w:t>Projekts šo jomu neskar</w:t>
            </w:r>
            <w:r w:rsidRPr="00DD555B" w:rsidR="00DE6F50">
              <w:rPr>
                <w:rFonts w:ascii="Times New Roman" w:hAnsi="Times New Roman" w:eastAsia="Times New Roman"/>
                <w:iCs/>
                <w:sz w:val="24"/>
                <w:szCs w:val="24"/>
                <w:lang w:val="lv-LV" w:eastAsia="lv-LV"/>
              </w:rPr>
              <w:t>.</w:t>
            </w:r>
          </w:p>
        </w:tc>
      </w:tr>
    </w:tbl>
    <w:p w:rsidRPr="00DD555B" w:rsidR="00727AA6" w:rsidP="0024095F" w:rsidRDefault="00727AA6" w14:paraId="6938D197" w14:textId="77777777">
      <w:pPr>
        <w:widowControl/>
        <w:spacing w:after="0" w:line="240" w:lineRule="auto"/>
        <w:rPr>
          <w:rFonts w:ascii="Times New Roman" w:hAnsi="Times New Roman" w:eastAsia="Times New Roman"/>
          <w:sz w:val="24"/>
          <w:szCs w:val="24"/>
          <w:lang w:val="lv-LV" w:eastAsia="lv-LV"/>
        </w:rPr>
      </w:pPr>
    </w:p>
    <w:tbl>
      <w:tblPr>
        <w:tblW w:w="9498" w:type="dxa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8"/>
      </w:tblGrid>
      <w:tr w:rsidRPr="00DD555B" w:rsidR="00426C3F" w:rsidTr="00426C3F" w14:paraId="7FC64375" w14:textId="77777777">
        <w:trPr>
          <w:trHeight w:val="372"/>
        </w:trPr>
        <w:tc>
          <w:tcPr>
            <w:tcW w:w="9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DD555B" w:rsidR="006840F4" w:rsidP="00895E3C" w:rsidRDefault="006840F4" w14:paraId="266159FF" w14:textId="77777777"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b/>
                <w:sz w:val="24"/>
                <w:szCs w:val="24"/>
                <w:lang w:val="lv-LV" w:eastAsia="lv-LV"/>
              </w:rPr>
              <w:t>IV. Tiesību akta projekta ietekme uz spēkā esošo tiesību normu sistēmu</w:t>
            </w:r>
          </w:p>
        </w:tc>
      </w:tr>
      <w:tr w:rsidRPr="00DD555B" w:rsidR="00426C3F" w:rsidTr="00426C3F" w14:paraId="2A2C517F" w14:textId="77777777">
        <w:trPr>
          <w:trHeight w:val="372"/>
        </w:trPr>
        <w:tc>
          <w:tcPr>
            <w:tcW w:w="9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D42E70" w:rsidP="00895E3C" w:rsidRDefault="00D42E70" w14:paraId="2E631513" w14:textId="1698841B"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iCs/>
                <w:sz w:val="24"/>
                <w:szCs w:val="24"/>
                <w:lang w:val="lv-LV" w:eastAsia="lv-LV"/>
              </w:rPr>
              <w:t>Projekts šo jomu neskar</w:t>
            </w:r>
            <w:r w:rsidRPr="00DD555B" w:rsidR="00DE6F50">
              <w:rPr>
                <w:rFonts w:ascii="Times New Roman" w:hAnsi="Times New Roman" w:eastAsia="Times New Roman"/>
                <w:iCs/>
                <w:sz w:val="24"/>
                <w:szCs w:val="24"/>
                <w:lang w:val="lv-LV" w:eastAsia="lv-LV"/>
              </w:rPr>
              <w:t>.</w:t>
            </w:r>
          </w:p>
        </w:tc>
      </w:tr>
    </w:tbl>
    <w:p w:rsidRPr="00DD555B" w:rsidR="0024095F" w:rsidP="0024095F" w:rsidRDefault="0024095F" w14:paraId="1500274F" w14:textId="43CD8EE2">
      <w:pPr>
        <w:widowControl/>
        <w:spacing w:after="0" w:line="240" w:lineRule="auto"/>
        <w:rPr>
          <w:rFonts w:ascii="Times New Roman" w:hAnsi="Times New Roman" w:eastAsia="Times New Roman"/>
          <w:sz w:val="24"/>
          <w:szCs w:val="24"/>
          <w:lang w:val="lv-LV" w:eastAsia="lv-LV"/>
        </w:rPr>
      </w:pPr>
    </w:p>
    <w:tbl>
      <w:tblPr>
        <w:tblW w:w="9498" w:type="dxa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8"/>
      </w:tblGrid>
      <w:tr w:rsidRPr="00DD555B" w:rsidR="00426C3F" w:rsidTr="00426C3F" w14:paraId="4C93D7CD" w14:textId="77777777">
        <w:trPr>
          <w:trHeight w:val="372"/>
        </w:trPr>
        <w:tc>
          <w:tcPr>
            <w:tcW w:w="9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DD555B" w:rsidR="0024095F" w:rsidP="00895E3C" w:rsidRDefault="0024095F" w14:paraId="41F0C3C9" w14:textId="77777777"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b/>
                <w:sz w:val="24"/>
                <w:szCs w:val="24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Pr="00DD555B" w:rsidR="00426C3F" w:rsidTr="00426C3F" w14:paraId="3845CBA6" w14:textId="77777777">
        <w:trPr>
          <w:trHeight w:val="372"/>
        </w:trPr>
        <w:tc>
          <w:tcPr>
            <w:tcW w:w="9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D555B" w:rsidR="00D42E70" w:rsidP="00895E3C" w:rsidRDefault="00D42E70" w14:paraId="60625AE4" w14:textId="23DAA92A"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iCs/>
                <w:sz w:val="24"/>
                <w:szCs w:val="24"/>
                <w:lang w:val="lv-LV" w:eastAsia="lv-LV"/>
              </w:rPr>
              <w:t>Projekts šo jomu neskar</w:t>
            </w:r>
            <w:r w:rsidRPr="00DD555B" w:rsidR="00DE6F50">
              <w:rPr>
                <w:rFonts w:ascii="Times New Roman" w:hAnsi="Times New Roman" w:eastAsia="Times New Roman"/>
                <w:iCs/>
                <w:sz w:val="24"/>
                <w:szCs w:val="24"/>
                <w:lang w:val="lv-LV" w:eastAsia="lv-LV"/>
              </w:rPr>
              <w:t>.</w:t>
            </w:r>
          </w:p>
        </w:tc>
      </w:tr>
    </w:tbl>
    <w:p w:rsidRPr="00DD555B" w:rsidR="00727AA6" w:rsidP="0024095F" w:rsidRDefault="00727AA6" w14:paraId="01D72320" w14:textId="5951B672">
      <w:pPr>
        <w:widowControl/>
        <w:spacing w:after="0" w:line="240" w:lineRule="auto"/>
        <w:rPr>
          <w:rFonts w:ascii="Times New Roman" w:hAnsi="Times New Roman" w:eastAsia="Times New Roman"/>
          <w:sz w:val="24"/>
          <w:szCs w:val="24"/>
          <w:lang w:val="lv-LV" w:eastAsia="lv-LV"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3077"/>
        <w:gridCol w:w="5954"/>
      </w:tblGrid>
      <w:tr w:rsidRPr="00DD555B" w:rsidR="00426C3F" w:rsidTr="00426C3F" w14:paraId="6CB8A7C2" w14:textId="77777777">
        <w:trPr>
          <w:trHeight w:val="421"/>
        </w:trPr>
        <w:tc>
          <w:tcPr>
            <w:tcW w:w="9498" w:type="dxa"/>
            <w:gridSpan w:val="3"/>
          </w:tcPr>
          <w:p w:rsidRPr="00DD555B" w:rsidR="0024095F" w:rsidP="00895E3C" w:rsidRDefault="0024095F" w14:paraId="65BBB26B" w14:textId="77777777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hAnsi="Times New Roman" w:eastAsia="Times New Roman"/>
                <w:sz w:val="24"/>
                <w:szCs w:val="24"/>
                <w:highlight w:val="yellow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b/>
                <w:sz w:val="24"/>
                <w:szCs w:val="24"/>
                <w:lang w:val="lv-LV" w:eastAsia="lv-LV"/>
              </w:rPr>
              <w:t>VI. Sabiedrības līdzdalība un komunikācijas aktivitātes</w:t>
            </w:r>
          </w:p>
        </w:tc>
      </w:tr>
      <w:tr w:rsidRPr="00DD555B" w:rsidR="00426C3F" w:rsidTr="00426C3F" w14:paraId="6C729E75" w14:textId="77777777">
        <w:trPr>
          <w:trHeight w:val="1407"/>
        </w:trPr>
        <w:tc>
          <w:tcPr>
            <w:tcW w:w="467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DD555B" w:rsidR="00A530F5" w:rsidP="00A530F5" w:rsidRDefault="00A530F5" w14:paraId="0308A51B" w14:textId="146C1EA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highlight w:val="yellow"/>
                <w:lang w:val="lv-LV" w:eastAsia="lv-LV"/>
              </w:rPr>
            </w:pPr>
            <w:r w:rsidRPr="00DD555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077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DD555B" w:rsidR="00A530F5" w:rsidP="006432B0" w:rsidRDefault="00A530F5" w14:paraId="7DB2B860" w14:textId="50B402DC">
            <w:pPr>
              <w:widowControl/>
              <w:tabs>
                <w:tab w:val="left" w:pos="1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highlight w:val="yellow"/>
                <w:lang w:val="lv-LV" w:eastAsia="lv-LV"/>
              </w:rPr>
            </w:pPr>
            <w:r w:rsidRPr="00DD555B">
              <w:rPr>
                <w:rFonts w:ascii="Times New Roman" w:hAnsi="Times New Roman"/>
                <w:sz w:val="24"/>
                <w:szCs w:val="24"/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5954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DD555B" w:rsidR="00A530F5" w:rsidP="001474F0" w:rsidRDefault="006658B1" w14:paraId="4C58243A" w14:textId="66CEBBB8">
            <w:pPr>
              <w:spacing w:after="0" w:line="240" w:lineRule="auto"/>
              <w:ind w:left="6" w:right="142" w:hanging="6"/>
              <w:jc w:val="both"/>
              <w:rPr>
                <w:rFonts w:ascii="Times New Roman" w:hAnsi="Times New Roman" w:eastAsia="Times New Roman"/>
                <w:sz w:val="24"/>
                <w:szCs w:val="24"/>
                <w:highlight w:val="yellow"/>
                <w:lang w:val="lv-LV"/>
              </w:rPr>
            </w:pPr>
            <w:bookmarkStart w:name="p61" w:id="2"/>
            <w:bookmarkEnd w:id="2"/>
            <w:r w:rsidRPr="00DD555B">
              <w:rPr>
                <w:rFonts w:ascii="Times New Roman" w:hAnsi="Times New Roman"/>
                <w:sz w:val="24"/>
                <w:szCs w:val="24"/>
                <w:lang w:val="lv-LV"/>
              </w:rPr>
              <w:t>Atbilstoši Ministru kabineta 2009. gada 25. augusta noteikum</w:t>
            </w:r>
            <w:r w:rsidR="00757151">
              <w:rPr>
                <w:rFonts w:ascii="Times New Roman" w:hAnsi="Times New Roman"/>
                <w:sz w:val="24"/>
                <w:szCs w:val="24"/>
                <w:lang w:val="lv-LV"/>
              </w:rPr>
              <w:t>u</w:t>
            </w:r>
            <w:r w:rsidRPr="00DD555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Nr.970 „Sabiedrības līdzdalības kārtība attīstības plānošanas procesā” 7.4.</w:t>
            </w:r>
            <w:r w:rsidRPr="00DD555B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  <w:r w:rsidRPr="00DD555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apakšpunktam sabiedrībai tika dota iespēja rakstiski sniegt viedokli par noteikumu projektu tā izstrādes stadijā.</w:t>
            </w:r>
          </w:p>
        </w:tc>
      </w:tr>
      <w:tr w:rsidRPr="00DD555B" w:rsidR="00426C3F" w:rsidTr="00937188" w14:paraId="49B2BDB5" w14:textId="77777777">
        <w:trPr>
          <w:trHeight w:val="688"/>
        </w:trPr>
        <w:tc>
          <w:tcPr>
            <w:tcW w:w="467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DD555B" w:rsidR="00A530F5" w:rsidP="00A530F5" w:rsidRDefault="00A530F5" w14:paraId="0435E319" w14:textId="74287143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highlight w:val="yellow"/>
                <w:lang w:val="lv-LV" w:eastAsia="lv-LV"/>
              </w:rPr>
            </w:pPr>
            <w:r w:rsidRPr="00DD555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077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AD7453" w:rsidR="00A530F5" w:rsidP="006432B0" w:rsidRDefault="00A530F5" w14:paraId="401334B9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7453">
              <w:rPr>
                <w:rFonts w:ascii="Times New Roman" w:hAnsi="Times New Roman"/>
                <w:sz w:val="24"/>
                <w:szCs w:val="24"/>
                <w:lang w:val="lv-LV"/>
              </w:rPr>
              <w:t>Sabiedrības līdzdalība projekta izstrādē</w:t>
            </w:r>
          </w:p>
          <w:p w:rsidRPr="00AD7453" w:rsidR="00426C3F" w:rsidP="00426C3F" w:rsidRDefault="00426C3F" w14:paraId="2255DB79" w14:textId="2B6440B5">
            <w:pPr>
              <w:ind w:firstLine="720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954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="005170BE" w:rsidP="005170BE" w:rsidRDefault="005170BE" w14:paraId="0085A811" w14:textId="6C253397">
            <w:pPr>
              <w:pStyle w:val="NoSpacing"/>
              <w:ind w:left="4" w:right="140" w:hanging="4"/>
              <w:jc w:val="both"/>
              <w:rPr>
                <w:rFonts w:eastAsia="Calibri"/>
              </w:rPr>
            </w:pPr>
            <w:bookmarkStart w:name="p62" w:id="3"/>
            <w:bookmarkEnd w:id="3"/>
            <w:r w:rsidRPr="005170BE">
              <w:rPr>
                <w:rFonts w:eastAsia="Calibri"/>
              </w:rPr>
              <w:t xml:space="preserve">Par noteikumu projekta izstrādi tika informēti sabiedrības pārstāvji, </w:t>
            </w:r>
            <w:r w:rsidRPr="00AD7453" w:rsidR="005B4BF1">
              <w:rPr>
                <w:rFonts w:eastAsia="Calibri"/>
              </w:rPr>
              <w:t>2019.gada</w:t>
            </w:r>
            <w:r w:rsidR="005B4BF1">
              <w:rPr>
                <w:rFonts w:eastAsia="Calibri"/>
              </w:rPr>
              <w:t xml:space="preserve"> </w:t>
            </w:r>
            <w:r w:rsidRPr="00AD7453" w:rsidR="005B4BF1">
              <w:rPr>
                <w:rFonts w:eastAsia="Calibri"/>
              </w:rPr>
              <w:t>3. septembrī</w:t>
            </w:r>
            <w:r w:rsidRPr="005170BE" w:rsidR="005B4BF1">
              <w:rPr>
                <w:rFonts w:eastAsia="Calibri"/>
              </w:rPr>
              <w:t xml:space="preserve"> </w:t>
            </w:r>
            <w:r w:rsidRPr="005170BE">
              <w:rPr>
                <w:rFonts w:eastAsia="Calibri"/>
              </w:rPr>
              <w:t>ievietojot paziņojumu par līdzdalības iespējām tiesību akta izstrādes procesā Satiksmes ministrijas tīmekļvietnē</w:t>
            </w:r>
            <w:r>
              <w:rPr>
                <w:rFonts w:eastAsia="Calibri"/>
              </w:rPr>
              <w:t xml:space="preserve">  </w:t>
            </w:r>
          </w:p>
          <w:p w:rsidRPr="00AD7453" w:rsidR="00101DE2" w:rsidP="005170BE" w:rsidRDefault="00426C3F" w14:paraId="52D17CEF" w14:textId="2A1F4319">
            <w:pPr>
              <w:pStyle w:val="NoSpacing"/>
              <w:ind w:left="4" w:right="140" w:hanging="4"/>
              <w:jc w:val="both"/>
              <w:rPr>
                <w:rFonts w:eastAsia="Calibri"/>
              </w:rPr>
            </w:pPr>
            <w:r w:rsidRPr="00AD7453">
              <w:rPr>
                <w:rFonts w:eastAsia="Calibri"/>
              </w:rPr>
              <w:t xml:space="preserve"> </w:t>
            </w:r>
            <w:hyperlink w:history="1" r:id="rId8">
              <w:r w:rsidRPr="00D836B3" w:rsidR="000730B3">
                <w:rPr>
                  <w:rStyle w:val="Hyperlink"/>
                  <w:rFonts w:eastAsia="Calibri"/>
                </w:rPr>
                <w:t>http://www.sam.gov.lv/satmin/content/?cat=553</w:t>
              </w:r>
            </w:hyperlink>
          </w:p>
        </w:tc>
      </w:tr>
      <w:tr w:rsidRPr="00DD555B" w:rsidR="00426C3F" w:rsidTr="00426C3F" w14:paraId="3C08EA2C" w14:textId="77777777">
        <w:trPr>
          <w:trHeight w:val="468"/>
        </w:trPr>
        <w:tc>
          <w:tcPr>
            <w:tcW w:w="467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DD555B" w:rsidR="00A530F5" w:rsidP="00A530F5" w:rsidRDefault="00A530F5" w14:paraId="69249D45" w14:textId="173EA31B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highlight w:val="yellow"/>
                <w:lang w:val="lv-LV" w:eastAsia="lv-LV"/>
              </w:rPr>
            </w:pPr>
            <w:r w:rsidRPr="00DD555B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3077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AD7453" w:rsidR="00A530F5" w:rsidP="006432B0" w:rsidRDefault="00A530F5" w14:paraId="3CB25C13" w14:textId="0B5EF9EA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AD7453">
              <w:rPr>
                <w:rFonts w:ascii="Times New Roman" w:hAnsi="Times New Roman"/>
                <w:sz w:val="24"/>
                <w:szCs w:val="24"/>
                <w:lang w:val="lv-LV"/>
              </w:rPr>
              <w:t>Sabiedrības līdzdalības rezultāti</w:t>
            </w:r>
          </w:p>
        </w:tc>
        <w:tc>
          <w:tcPr>
            <w:tcW w:w="5954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AD7453" w:rsidR="00A530F5" w:rsidP="00426C3F" w:rsidRDefault="005B4BF1" w14:paraId="21830FFC" w14:textId="6937C897">
            <w:pPr>
              <w:pStyle w:val="NoSpacing"/>
              <w:ind w:left="4" w:right="140" w:hanging="4"/>
              <w:jc w:val="both"/>
              <w:rPr>
                <w:rFonts w:ascii="TimesNewRomanPSMT" w:hAnsi="TimesNewRomanPSMT" w:cs="TimesNewRomanPSMT"/>
              </w:rPr>
            </w:pPr>
            <w:r>
              <w:t>P</w:t>
            </w:r>
            <w:r w:rsidR="00AD7453">
              <w:t>riekšlikumi vai iebildumi</w:t>
            </w:r>
            <w:r>
              <w:t xml:space="preserve"> netika saņemti</w:t>
            </w:r>
            <w:r w:rsidR="00AD7453">
              <w:t>.</w:t>
            </w:r>
          </w:p>
        </w:tc>
      </w:tr>
      <w:tr w:rsidRPr="00DD555B" w:rsidR="00A530F5" w:rsidTr="00426C3F" w14:paraId="1AC57656" w14:textId="77777777">
        <w:trPr>
          <w:trHeight w:val="476"/>
        </w:trPr>
        <w:tc>
          <w:tcPr>
            <w:tcW w:w="467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DD555B" w:rsidR="00A530F5" w:rsidP="00A530F5" w:rsidRDefault="00A530F5" w14:paraId="3D0C7998" w14:textId="53BFEEE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highlight w:val="yellow"/>
                <w:lang w:val="lv-LV" w:eastAsia="lv-LV"/>
              </w:rPr>
            </w:pPr>
            <w:r w:rsidRPr="00DD555B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077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DD555B" w:rsidR="00A530F5" w:rsidP="006432B0" w:rsidRDefault="00A530F5" w14:paraId="22A18D5E" w14:textId="7FE3D9A1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highlight w:val="yellow"/>
                <w:lang w:val="lv-LV" w:eastAsia="lv-LV"/>
              </w:rPr>
            </w:pPr>
            <w:r w:rsidRPr="00DD555B">
              <w:rPr>
                <w:rFonts w:ascii="Times New Roman" w:hAnsi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954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DD555B" w:rsidR="00A530F5" w:rsidP="006432B0" w:rsidRDefault="00A530F5" w14:paraId="2AB91E20" w14:textId="02505B1F">
            <w:pPr>
              <w:pStyle w:val="NoSpacing"/>
              <w:jc w:val="both"/>
            </w:pPr>
            <w:r w:rsidRPr="00DD555B">
              <w:t>Nav.</w:t>
            </w:r>
          </w:p>
        </w:tc>
      </w:tr>
    </w:tbl>
    <w:p w:rsidRPr="00DD555B" w:rsidR="00727AA6" w:rsidP="00284F34" w:rsidRDefault="00727AA6" w14:paraId="00CFE3CB" w14:textId="77777777">
      <w:pPr>
        <w:widowControl/>
        <w:spacing w:after="0" w:line="240" w:lineRule="auto"/>
        <w:rPr>
          <w:rFonts w:ascii="Times New Roman" w:hAnsi="Times New Roman" w:eastAsia="Times New Roman"/>
          <w:iCs/>
          <w:sz w:val="28"/>
          <w:szCs w:val="28"/>
          <w:lang w:val="lv-LV" w:eastAsia="lv-LV"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954"/>
      </w:tblGrid>
      <w:tr w:rsidRPr="00DD555B" w:rsidR="0024095F" w:rsidTr="00426C3F" w14:paraId="160293BF" w14:textId="77777777">
        <w:trPr>
          <w:trHeight w:val="580"/>
        </w:trPr>
        <w:tc>
          <w:tcPr>
            <w:tcW w:w="9498" w:type="dxa"/>
            <w:gridSpan w:val="3"/>
          </w:tcPr>
          <w:p w:rsidRPr="00DD555B" w:rsidR="0024095F" w:rsidP="00895E3C" w:rsidRDefault="0024095F" w14:paraId="1A1E4325" w14:textId="77777777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b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Pr="00DD555B" w:rsidR="0024095F" w:rsidTr="00630ECB" w14:paraId="1D69DAEE" w14:textId="77777777">
        <w:trPr>
          <w:trHeight w:val="427"/>
        </w:trPr>
        <w:tc>
          <w:tcPr>
            <w:tcW w:w="426" w:type="dxa"/>
          </w:tcPr>
          <w:p w:rsidRPr="00DD555B" w:rsidR="0024095F" w:rsidP="00895E3C" w:rsidRDefault="0024095F" w14:paraId="7BEACDCA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bookmarkStart w:name="_Hlk535848927" w:id="4"/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118" w:type="dxa"/>
          </w:tcPr>
          <w:p w:rsidRPr="00DD555B" w:rsidR="0024095F" w:rsidP="00895E3C" w:rsidRDefault="0024095F" w14:paraId="79E5C28E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Projekta izpildē iesaistītās institūcijas</w:t>
            </w:r>
          </w:p>
        </w:tc>
        <w:tc>
          <w:tcPr>
            <w:tcW w:w="5954" w:type="dxa"/>
          </w:tcPr>
          <w:p w:rsidRPr="00DD555B" w:rsidR="0024095F" w:rsidP="00426C3F" w:rsidRDefault="00594E30" w14:paraId="7E65AB4E" w14:textId="617DEA4C">
            <w:pPr>
              <w:widowControl/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bookmarkStart w:name="p66" w:id="5"/>
            <w:bookmarkStart w:name="p67" w:id="6"/>
            <w:bookmarkStart w:name="p68" w:id="7"/>
            <w:bookmarkStart w:name="p69" w:id="8"/>
            <w:bookmarkEnd w:id="5"/>
            <w:bookmarkEnd w:id="6"/>
            <w:bookmarkEnd w:id="7"/>
            <w:bookmarkEnd w:id="8"/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 xml:space="preserve">Satiksmes ministrija, </w:t>
            </w:r>
            <w:r w:rsidR="00B10EE5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AS “Pasažieru vilciens”</w:t>
            </w:r>
          </w:p>
        </w:tc>
      </w:tr>
      <w:tr w:rsidRPr="00DD555B" w:rsidR="0024095F" w:rsidTr="00630ECB" w14:paraId="4A6CB542" w14:textId="77777777">
        <w:trPr>
          <w:trHeight w:val="463"/>
        </w:trPr>
        <w:tc>
          <w:tcPr>
            <w:tcW w:w="426" w:type="dxa"/>
          </w:tcPr>
          <w:p w:rsidRPr="00DD555B" w:rsidR="0024095F" w:rsidP="00895E3C" w:rsidRDefault="0024095F" w14:paraId="01009F3A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118" w:type="dxa"/>
          </w:tcPr>
          <w:p w:rsidRPr="00DD555B" w:rsidR="0024095F" w:rsidP="00895E3C" w:rsidRDefault="0024095F" w14:paraId="0FE9217B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Projekta izpildes ietekme uz pār</w:t>
            </w: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softHyphen/>
              <w:t>valdes funkcijām un institucionālo struktūru.</w:t>
            </w:r>
          </w:p>
          <w:p w:rsidRPr="00DD555B" w:rsidR="0024095F" w:rsidP="00895E3C" w:rsidRDefault="0024095F" w14:paraId="7DB62201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Jaunu institūciju izveide, esošu institūciju likvidācija vai reorga</w:t>
            </w: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softHyphen/>
              <w:t>nizācija, to ietekme uz institūcijas cilvēkresursiem</w:t>
            </w:r>
          </w:p>
        </w:tc>
        <w:tc>
          <w:tcPr>
            <w:tcW w:w="5954" w:type="dxa"/>
          </w:tcPr>
          <w:p w:rsidRPr="00DD555B" w:rsidR="008D7DFE" w:rsidP="00426C3F" w:rsidRDefault="008D7DFE" w14:paraId="4F438027" w14:textId="1C173893">
            <w:pPr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DD555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Projekta īstenošana tiks veikta esošo cilvēkresursu ietvaros. Saistībā ar </w:t>
            </w:r>
            <w:r w:rsidR="000730B3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DD555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rojekta izpildi nebūs nepieciešams veidot jaunas institūcijas vai likvidēt vai reorganizēt esošās.  </w:t>
            </w:r>
          </w:p>
          <w:p w:rsidRPr="00DD555B" w:rsidR="0024095F" w:rsidP="00426C3F" w:rsidRDefault="0024095F" w14:paraId="6B983D18" w14:textId="77777777">
            <w:pPr>
              <w:widowControl/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</w:p>
        </w:tc>
      </w:tr>
      <w:tr w:rsidRPr="00DD555B" w:rsidR="0024095F" w:rsidTr="00630ECB" w14:paraId="1F0F076B" w14:textId="77777777">
        <w:trPr>
          <w:trHeight w:val="402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55B" w:rsidR="0024095F" w:rsidP="00895E3C" w:rsidRDefault="0024095F" w14:paraId="47728269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55B" w:rsidR="0024095F" w:rsidP="00895E3C" w:rsidRDefault="0024095F" w14:paraId="0F01E365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55B" w:rsidR="00195A92" w:rsidP="00195A92" w:rsidRDefault="0024095F" w14:paraId="567D46B9" w14:textId="6092BA7F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</w:pPr>
            <w:r w:rsidRPr="00DD555B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Nav</w:t>
            </w:r>
            <w:r w:rsidRPr="00DD555B" w:rsidR="006658B1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.</w:t>
            </w:r>
          </w:p>
        </w:tc>
      </w:tr>
      <w:bookmarkEnd w:id="4"/>
    </w:tbl>
    <w:p w:rsidRPr="00DD555B" w:rsidR="00195A92" w:rsidP="00313745" w:rsidRDefault="00195A92" w14:paraId="1E9C500A" w14:textId="77777777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Pr="00DD555B" w:rsidR="00195A92" w:rsidP="00313745" w:rsidRDefault="00195A92" w14:paraId="6DB76400" w14:textId="77777777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Pr="00DD555B" w:rsidR="00195A92" w:rsidP="006432B0" w:rsidRDefault="00195A92" w14:paraId="2F844212" w14:textId="77777777">
      <w:pPr>
        <w:pStyle w:val="naiskr"/>
        <w:tabs>
          <w:tab w:val="left" w:pos="6870"/>
        </w:tabs>
        <w:spacing w:before="0" w:beforeAutospacing="0" w:after="0" w:afterAutospacing="0"/>
        <w:jc w:val="both"/>
        <w:rPr>
          <w:lang w:val="lv-LV"/>
        </w:rPr>
      </w:pPr>
    </w:p>
    <w:p w:rsidRPr="00DD555B" w:rsidR="00195A92" w:rsidP="006432B0" w:rsidRDefault="00944DEE" w14:paraId="7FE77FEE" w14:textId="4CE2E7C4">
      <w:pPr>
        <w:widowControl/>
        <w:tabs>
          <w:tab w:val="left" w:pos="6237"/>
          <w:tab w:val="left" w:pos="7088"/>
          <w:tab w:val="left" w:pos="7230"/>
          <w:tab w:val="left" w:pos="7513"/>
          <w:tab w:val="left" w:pos="7655"/>
          <w:tab w:val="left" w:pos="779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</w:t>
      </w:r>
      <w:r w:rsidRPr="00DD555B" w:rsidR="00195A92">
        <w:rPr>
          <w:rFonts w:ascii="Times New Roman" w:hAnsi="Times New Roman"/>
          <w:sz w:val="24"/>
          <w:szCs w:val="24"/>
          <w:lang w:val="lv-LV"/>
        </w:rPr>
        <w:t>atiksmes ministrs</w:t>
      </w:r>
      <w:r w:rsidRPr="00DD555B" w:rsidR="00195A92">
        <w:rPr>
          <w:rFonts w:ascii="Times New Roman" w:hAnsi="Times New Roman"/>
          <w:sz w:val="24"/>
          <w:szCs w:val="24"/>
          <w:lang w:val="lv-LV"/>
        </w:rPr>
        <w:tab/>
      </w:r>
      <w:r w:rsidRPr="00DD555B" w:rsidR="00195A92">
        <w:rPr>
          <w:rFonts w:ascii="Times New Roman" w:hAnsi="Times New Roman"/>
          <w:sz w:val="24"/>
          <w:szCs w:val="24"/>
          <w:lang w:val="lv-LV"/>
        </w:rPr>
        <w:tab/>
        <w:t xml:space="preserve">      </w:t>
      </w:r>
      <w:r w:rsidRPr="00DD555B" w:rsidR="0040093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D555B" w:rsidR="00E30093">
        <w:rPr>
          <w:rFonts w:ascii="Times New Roman" w:hAnsi="Times New Roman"/>
          <w:sz w:val="24"/>
          <w:szCs w:val="24"/>
          <w:lang w:val="lv-LV"/>
        </w:rPr>
        <w:t>T. Linkaits</w:t>
      </w:r>
    </w:p>
    <w:p w:rsidRPr="00DD555B" w:rsidR="00802236" w:rsidP="006432B0" w:rsidRDefault="00802236" w14:paraId="74C8C9C5" w14:textId="77777777">
      <w:pPr>
        <w:widowControl/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Pr="00DD555B" w:rsidR="00195A92" w:rsidP="00EC27E4" w:rsidRDefault="00195A92" w14:paraId="0D56BAA4" w14:textId="7BC6A907">
      <w:pPr>
        <w:widowControl/>
        <w:tabs>
          <w:tab w:val="left" w:pos="6237"/>
          <w:tab w:val="left" w:pos="7088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D555B">
        <w:rPr>
          <w:rFonts w:ascii="Times New Roman" w:hAnsi="Times New Roman"/>
          <w:sz w:val="24"/>
          <w:szCs w:val="24"/>
          <w:lang w:val="lv-LV"/>
        </w:rPr>
        <w:t xml:space="preserve">Vīza: </w:t>
      </w:r>
      <w:r w:rsidR="00875410">
        <w:rPr>
          <w:rFonts w:ascii="Times New Roman" w:hAnsi="Times New Roman"/>
          <w:sz w:val="24"/>
          <w:szCs w:val="24"/>
          <w:lang w:val="lv-LV"/>
        </w:rPr>
        <w:t>v</w:t>
      </w:r>
      <w:r w:rsidRPr="00DD555B" w:rsidR="00CE2314">
        <w:rPr>
          <w:rFonts w:ascii="Times New Roman" w:hAnsi="Times New Roman"/>
          <w:sz w:val="24"/>
          <w:szCs w:val="24"/>
          <w:lang w:val="lv-LV"/>
        </w:rPr>
        <w:t>alsts sekretār</w:t>
      </w:r>
      <w:r w:rsidRPr="00DD555B" w:rsidR="007109CC">
        <w:rPr>
          <w:rFonts w:ascii="Times New Roman" w:hAnsi="Times New Roman"/>
          <w:sz w:val="24"/>
          <w:szCs w:val="24"/>
          <w:lang w:val="lv-LV"/>
        </w:rPr>
        <w:t>a p.i.</w:t>
      </w:r>
      <w:r w:rsidRPr="00DD555B" w:rsidR="00CE2314">
        <w:rPr>
          <w:rFonts w:ascii="Times New Roman" w:hAnsi="Times New Roman"/>
          <w:sz w:val="24"/>
          <w:szCs w:val="24"/>
          <w:lang w:val="lv-LV"/>
        </w:rPr>
        <w:tab/>
      </w:r>
      <w:r w:rsidRPr="00DD555B" w:rsidR="00CE2314">
        <w:rPr>
          <w:rFonts w:ascii="Times New Roman" w:hAnsi="Times New Roman"/>
          <w:sz w:val="24"/>
          <w:szCs w:val="24"/>
          <w:lang w:val="lv-LV"/>
        </w:rPr>
        <w:tab/>
      </w:r>
      <w:r w:rsidRPr="00DD555B" w:rsidR="007109C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D555B" w:rsidR="007109CC">
        <w:rPr>
          <w:rFonts w:ascii="Times New Roman" w:hAnsi="Times New Roman"/>
          <w:sz w:val="24"/>
          <w:szCs w:val="24"/>
          <w:lang w:val="lv-LV"/>
        </w:rPr>
        <w:tab/>
      </w:r>
      <w:r w:rsidRPr="00DD555B" w:rsidR="00CE2314">
        <w:rPr>
          <w:rFonts w:ascii="Times New Roman" w:hAnsi="Times New Roman"/>
          <w:sz w:val="24"/>
          <w:szCs w:val="24"/>
          <w:lang w:val="lv-LV"/>
        </w:rPr>
        <w:tab/>
      </w:r>
      <w:r w:rsidR="00EC27E4">
        <w:rPr>
          <w:rFonts w:ascii="Times New Roman" w:hAnsi="Times New Roman"/>
          <w:sz w:val="24"/>
          <w:szCs w:val="24"/>
          <w:lang w:val="lv-LV"/>
        </w:rPr>
        <w:t>L. Austrupe</w:t>
      </w:r>
    </w:p>
    <w:p w:rsidRPr="00DD555B" w:rsidR="00195A92" w:rsidP="00195A92" w:rsidRDefault="00195A92" w14:paraId="5342E258" w14:textId="77777777">
      <w:pPr>
        <w:widowControl/>
        <w:tabs>
          <w:tab w:val="left" w:pos="6237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Pr="00DD555B" w:rsidR="00284F34" w:rsidP="00313745" w:rsidRDefault="00284F34" w14:paraId="47F22FB9" w14:textId="77777777">
      <w:pPr>
        <w:pStyle w:val="PlainText"/>
        <w:jc w:val="both"/>
        <w:rPr>
          <w:rFonts w:ascii="Times New Roman" w:hAnsi="Times New Roman" w:cs="Times New Roman"/>
        </w:rPr>
      </w:pPr>
    </w:p>
    <w:sectPr w:rsidRPr="00DD555B" w:rsidR="00284F34" w:rsidSect="00426C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341" w14:textId="77777777" w:rsidR="00A256D6" w:rsidRDefault="00A256D6" w:rsidP="00D143FB">
      <w:pPr>
        <w:spacing w:after="0" w:line="240" w:lineRule="auto"/>
      </w:pPr>
      <w:r>
        <w:separator/>
      </w:r>
    </w:p>
  </w:endnote>
  <w:endnote w:type="continuationSeparator" w:id="0">
    <w:p w14:paraId="275F061E" w14:textId="77777777" w:rsidR="00A256D6" w:rsidRDefault="00A256D6" w:rsidP="00D1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49D53" w14:textId="77777777" w:rsidR="00AD7453" w:rsidRDefault="00AD7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2336" w14:textId="77777777" w:rsidR="00426C3F" w:rsidRDefault="00426C3F" w:rsidP="00003AC0">
    <w:pPr>
      <w:pStyle w:val="Footer"/>
      <w:rPr>
        <w:rFonts w:ascii="Times New Roman" w:hAnsi="Times New Roman"/>
        <w:noProof/>
        <w:sz w:val="20"/>
        <w:szCs w:val="20"/>
      </w:rPr>
    </w:pPr>
  </w:p>
  <w:p w14:paraId="0E855D32" w14:textId="15EE48EE" w:rsidR="00003AC0" w:rsidRPr="00DB0CD5" w:rsidRDefault="00DB0CD5" w:rsidP="00003AC0">
    <w:pPr>
      <w:pStyle w:val="Footer"/>
      <w:rPr>
        <w:rFonts w:ascii="Times New Roman" w:hAnsi="Times New Roman"/>
        <w:sz w:val="20"/>
        <w:szCs w:val="20"/>
      </w:rPr>
    </w:pPr>
    <w:r w:rsidRPr="00AD7453">
      <w:rPr>
        <w:rFonts w:ascii="Times New Roman" w:hAnsi="Times New Roman"/>
        <w:noProof/>
        <w:sz w:val="20"/>
        <w:szCs w:val="20"/>
      </w:rPr>
      <w:t>SMAnot_</w:t>
    </w:r>
    <w:r w:rsidR="00AD7453" w:rsidRPr="00AD7453">
      <w:rPr>
        <w:rFonts w:ascii="Times New Roman" w:hAnsi="Times New Roman"/>
        <w:noProof/>
        <w:sz w:val="20"/>
        <w:szCs w:val="20"/>
      </w:rPr>
      <w:t>0209</w:t>
    </w:r>
    <w:r w:rsidR="009006DF" w:rsidRPr="00AD7453">
      <w:rPr>
        <w:rFonts w:ascii="Times New Roman" w:hAnsi="Times New Roman"/>
        <w:noProof/>
        <w:sz w:val="20"/>
        <w:szCs w:val="20"/>
      </w:rPr>
      <w:t>19</w:t>
    </w:r>
    <w:r w:rsidRPr="00AD7453">
      <w:rPr>
        <w:rFonts w:ascii="Times New Roman" w:hAnsi="Times New Roman"/>
        <w:noProof/>
        <w:sz w:val="20"/>
        <w:szCs w:val="20"/>
      </w:rPr>
      <w:t>_</w:t>
    </w:r>
    <w:r w:rsidR="00AD7453">
      <w:rPr>
        <w:rFonts w:ascii="Times New Roman" w:hAnsi="Times New Roman"/>
        <w:noProof/>
        <w:sz w:val="20"/>
        <w:szCs w:val="20"/>
      </w:rPr>
      <w:t>GrozMKnot_</w:t>
    </w:r>
    <w:r w:rsidR="00B10EE5" w:rsidRPr="00AD7453">
      <w:rPr>
        <w:rFonts w:ascii="Times New Roman" w:hAnsi="Times New Roman"/>
        <w:noProof/>
        <w:sz w:val="20"/>
        <w:szCs w:val="20"/>
      </w:rPr>
      <w:t>733</w:t>
    </w:r>
  </w:p>
  <w:p w14:paraId="2D54FC37" w14:textId="77777777" w:rsidR="0008688D" w:rsidRPr="00003AC0" w:rsidRDefault="0008688D" w:rsidP="00003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9556" w14:textId="680FDBA3" w:rsidR="0008688D" w:rsidRPr="00A0261B" w:rsidRDefault="00D72C6C" w:rsidP="00003AC0">
    <w:pPr>
      <w:pStyle w:val="Footer"/>
      <w:rPr>
        <w:rFonts w:ascii="Times New Roman" w:hAnsi="Times New Roman"/>
        <w:sz w:val="20"/>
        <w:szCs w:val="20"/>
        <w:lang w:val="lv-LV"/>
      </w:rPr>
    </w:pPr>
    <w:r w:rsidRPr="00AD7453">
      <w:rPr>
        <w:rFonts w:ascii="Times New Roman" w:hAnsi="Times New Roman"/>
        <w:sz w:val="20"/>
        <w:szCs w:val="20"/>
        <w:lang w:val="lv-LV"/>
      </w:rPr>
      <w:t>SMAnot_</w:t>
    </w:r>
    <w:r w:rsidR="00AD7453" w:rsidRPr="00AD7453">
      <w:rPr>
        <w:rFonts w:ascii="Times New Roman" w:hAnsi="Times New Roman"/>
        <w:sz w:val="20"/>
        <w:szCs w:val="20"/>
        <w:lang w:val="lv-LV"/>
      </w:rPr>
      <w:t>0209</w:t>
    </w:r>
    <w:r w:rsidR="009006DF" w:rsidRPr="00AD7453">
      <w:rPr>
        <w:rFonts w:ascii="Times New Roman" w:hAnsi="Times New Roman"/>
        <w:sz w:val="20"/>
        <w:szCs w:val="20"/>
        <w:lang w:val="lv-LV"/>
      </w:rPr>
      <w:t>19</w:t>
    </w:r>
    <w:r w:rsidRPr="00AD7453">
      <w:rPr>
        <w:rFonts w:ascii="Times New Roman" w:hAnsi="Times New Roman"/>
        <w:sz w:val="20"/>
        <w:szCs w:val="20"/>
        <w:lang w:val="lv-LV"/>
      </w:rPr>
      <w:t>_</w:t>
    </w:r>
    <w:r w:rsidR="00AD7453">
      <w:rPr>
        <w:rFonts w:ascii="Times New Roman" w:hAnsi="Times New Roman"/>
        <w:sz w:val="20"/>
        <w:szCs w:val="20"/>
        <w:lang w:val="lv-LV"/>
      </w:rPr>
      <w:t>Groz</w:t>
    </w:r>
    <w:r w:rsidR="00DA116F" w:rsidRPr="00AD7453">
      <w:rPr>
        <w:rFonts w:ascii="Times New Roman" w:hAnsi="Times New Roman"/>
        <w:sz w:val="20"/>
        <w:szCs w:val="20"/>
        <w:lang w:val="lv-LV"/>
      </w:rPr>
      <w:t>M</w:t>
    </w:r>
    <w:r w:rsidR="00B10EE5" w:rsidRPr="00AD7453">
      <w:rPr>
        <w:rFonts w:ascii="Times New Roman" w:hAnsi="Times New Roman"/>
        <w:sz w:val="20"/>
        <w:szCs w:val="20"/>
        <w:lang w:val="lv-LV"/>
      </w:rPr>
      <w:t>k</w:t>
    </w:r>
    <w:r w:rsidR="00A0261B" w:rsidRPr="00AD7453">
      <w:rPr>
        <w:rFonts w:ascii="Times New Roman" w:hAnsi="Times New Roman"/>
        <w:sz w:val="20"/>
        <w:szCs w:val="20"/>
        <w:lang w:val="lv-LV"/>
      </w:rPr>
      <w:t>not</w:t>
    </w:r>
    <w:r w:rsidR="00AD7453">
      <w:rPr>
        <w:rFonts w:ascii="Times New Roman" w:hAnsi="Times New Roman"/>
        <w:sz w:val="20"/>
        <w:szCs w:val="20"/>
        <w:lang w:val="lv-LV"/>
      </w:rPr>
      <w:t>_</w:t>
    </w:r>
    <w:r w:rsidR="00B10EE5" w:rsidRPr="00AD7453">
      <w:rPr>
        <w:rFonts w:ascii="Times New Roman" w:hAnsi="Times New Roman"/>
        <w:sz w:val="20"/>
        <w:szCs w:val="20"/>
        <w:lang w:val="lv-LV"/>
      </w:rPr>
      <w:t>733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9EBCD" w14:textId="77777777" w:rsidR="00A256D6" w:rsidRDefault="00A256D6" w:rsidP="00D143FB">
      <w:pPr>
        <w:spacing w:after="0" w:line="240" w:lineRule="auto"/>
      </w:pPr>
      <w:r>
        <w:separator/>
      </w:r>
    </w:p>
  </w:footnote>
  <w:footnote w:type="continuationSeparator" w:id="0">
    <w:p w14:paraId="4C2D027A" w14:textId="77777777" w:rsidR="00A256D6" w:rsidRDefault="00A256D6" w:rsidP="00D1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453" w:rsidRDefault="00AD7453" w14:paraId="626FD80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45953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Pr="00D143FB" w:rsidR="0008688D" w:rsidRDefault="0008688D" w14:paraId="73DCA4FA" w14:textId="18AED16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D143FB">
          <w:rPr>
            <w:rFonts w:ascii="Times New Roman" w:hAnsi="Times New Roman"/>
            <w:sz w:val="24"/>
            <w:szCs w:val="24"/>
          </w:rPr>
          <w:fldChar w:fldCharType="begin"/>
        </w:r>
        <w:r w:rsidRPr="00D143F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143FB">
          <w:rPr>
            <w:rFonts w:ascii="Times New Roman" w:hAnsi="Times New Roman"/>
            <w:sz w:val="24"/>
            <w:szCs w:val="24"/>
          </w:rPr>
          <w:fldChar w:fldCharType="separate"/>
        </w:r>
        <w:r w:rsidR="00A27CF6">
          <w:rPr>
            <w:rFonts w:ascii="Times New Roman" w:hAnsi="Times New Roman"/>
            <w:noProof/>
            <w:sz w:val="24"/>
            <w:szCs w:val="24"/>
          </w:rPr>
          <w:t>4</w:t>
        </w:r>
        <w:r w:rsidRPr="00D143F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8688D" w:rsidRDefault="0008688D" w14:paraId="72B208D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453" w:rsidRDefault="00AD7453" w14:paraId="5FB242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62D5"/>
    <w:multiLevelType w:val="hybridMultilevel"/>
    <w:tmpl w:val="629C6540"/>
    <w:lvl w:ilvl="0" w:tplc="D564D4DA">
      <w:start w:val="1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9C658DD"/>
    <w:multiLevelType w:val="hybridMultilevel"/>
    <w:tmpl w:val="BA1AE5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2791"/>
    <w:multiLevelType w:val="hybridMultilevel"/>
    <w:tmpl w:val="B358E3AC"/>
    <w:lvl w:ilvl="0" w:tplc="02281A6A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584A50B9"/>
    <w:multiLevelType w:val="hybridMultilevel"/>
    <w:tmpl w:val="361A10F0"/>
    <w:lvl w:ilvl="0" w:tplc="6158F48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5F"/>
    <w:rsid w:val="00000B13"/>
    <w:rsid w:val="0000342B"/>
    <w:rsid w:val="00003AC0"/>
    <w:rsid w:val="00014AD1"/>
    <w:rsid w:val="00020C5C"/>
    <w:rsid w:val="00027924"/>
    <w:rsid w:val="00031716"/>
    <w:rsid w:val="00037149"/>
    <w:rsid w:val="00050D62"/>
    <w:rsid w:val="000571A3"/>
    <w:rsid w:val="00070B63"/>
    <w:rsid w:val="000730B3"/>
    <w:rsid w:val="00080E99"/>
    <w:rsid w:val="00083201"/>
    <w:rsid w:val="00084159"/>
    <w:rsid w:val="000845AA"/>
    <w:rsid w:val="0008688D"/>
    <w:rsid w:val="000A1F81"/>
    <w:rsid w:val="000A3244"/>
    <w:rsid w:val="000A3EB5"/>
    <w:rsid w:val="000A5542"/>
    <w:rsid w:val="000B10BB"/>
    <w:rsid w:val="000B56A2"/>
    <w:rsid w:val="000B6313"/>
    <w:rsid w:val="00100F67"/>
    <w:rsid w:val="00101DE2"/>
    <w:rsid w:val="00107A67"/>
    <w:rsid w:val="001110E5"/>
    <w:rsid w:val="00116CF9"/>
    <w:rsid w:val="001213BE"/>
    <w:rsid w:val="00122299"/>
    <w:rsid w:val="001324EB"/>
    <w:rsid w:val="00136A1F"/>
    <w:rsid w:val="001470FE"/>
    <w:rsid w:val="001474F0"/>
    <w:rsid w:val="00150148"/>
    <w:rsid w:val="00150F67"/>
    <w:rsid w:val="001635D1"/>
    <w:rsid w:val="00166244"/>
    <w:rsid w:val="00166C95"/>
    <w:rsid w:val="0017190C"/>
    <w:rsid w:val="001775A7"/>
    <w:rsid w:val="00177D30"/>
    <w:rsid w:val="00183D98"/>
    <w:rsid w:val="00186B08"/>
    <w:rsid w:val="001872FA"/>
    <w:rsid w:val="00195A92"/>
    <w:rsid w:val="00195EB3"/>
    <w:rsid w:val="001A539E"/>
    <w:rsid w:val="001B3FD5"/>
    <w:rsid w:val="001C210B"/>
    <w:rsid w:val="001C5006"/>
    <w:rsid w:val="001C509D"/>
    <w:rsid w:val="001C730E"/>
    <w:rsid w:val="001D4B60"/>
    <w:rsid w:val="001D5A26"/>
    <w:rsid w:val="001E1CD8"/>
    <w:rsid w:val="001E1FAB"/>
    <w:rsid w:val="002018D6"/>
    <w:rsid w:val="0020345A"/>
    <w:rsid w:val="00214CA6"/>
    <w:rsid w:val="0022135F"/>
    <w:rsid w:val="00226CDD"/>
    <w:rsid w:val="00234984"/>
    <w:rsid w:val="0024095F"/>
    <w:rsid w:val="00247227"/>
    <w:rsid w:val="00255BE0"/>
    <w:rsid w:val="002562C2"/>
    <w:rsid w:val="00257F6A"/>
    <w:rsid w:val="00262933"/>
    <w:rsid w:val="00266C74"/>
    <w:rsid w:val="00277BDE"/>
    <w:rsid w:val="00280E07"/>
    <w:rsid w:val="00284F34"/>
    <w:rsid w:val="00297406"/>
    <w:rsid w:val="002A43C4"/>
    <w:rsid w:val="002B4092"/>
    <w:rsid w:val="002B6A0D"/>
    <w:rsid w:val="002C2BDD"/>
    <w:rsid w:val="002C6885"/>
    <w:rsid w:val="002C733E"/>
    <w:rsid w:val="002D4EA9"/>
    <w:rsid w:val="002E1471"/>
    <w:rsid w:val="002E1E22"/>
    <w:rsid w:val="002E33DD"/>
    <w:rsid w:val="002F1044"/>
    <w:rsid w:val="002F5E2D"/>
    <w:rsid w:val="0030122B"/>
    <w:rsid w:val="00305B2A"/>
    <w:rsid w:val="00311B83"/>
    <w:rsid w:val="00313745"/>
    <w:rsid w:val="00316D85"/>
    <w:rsid w:val="003276B2"/>
    <w:rsid w:val="00330B4C"/>
    <w:rsid w:val="00332ACE"/>
    <w:rsid w:val="00342B3B"/>
    <w:rsid w:val="00353D99"/>
    <w:rsid w:val="00354A6A"/>
    <w:rsid w:val="003574D9"/>
    <w:rsid w:val="0037005D"/>
    <w:rsid w:val="00372938"/>
    <w:rsid w:val="00376DAE"/>
    <w:rsid w:val="003A04D0"/>
    <w:rsid w:val="003A4F4E"/>
    <w:rsid w:val="003B0566"/>
    <w:rsid w:val="003B7FD6"/>
    <w:rsid w:val="003C2A9E"/>
    <w:rsid w:val="003C7C70"/>
    <w:rsid w:val="003E4097"/>
    <w:rsid w:val="003E7137"/>
    <w:rsid w:val="003F009A"/>
    <w:rsid w:val="00400933"/>
    <w:rsid w:val="004048C7"/>
    <w:rsid w:val="0041067B"/>
    <w:rsid w:val="00415EAF"/>
    <w:rsid w:val="004204DA"/>
    <w:rsid w:val="0042245E"/>
    <w:rsid w:val="00426C3F"/>
    <w:rsid w:val="00430A00"/>
    <w:rsid w:val="00433F9C"/>
    <w:rsid w:val="00435A76"/>
    <w:rsid w:val="00436CD3"/>
    <w:rsid w:val="00441DCD"/>
    <w:rsid w:val="0044236B"/>
    <w:rsid w:val="00444198"/>
    <w:rsid w:val="00450DE6"/>
    <w:rsid w:val="00451B5C"/>
    <w:rsid w:val="00452004"/>
    <w:rsid w:val="00453173"/>
    <w:rsid w:val="0046574D"/>
    <w:rsid w:val="00473CFA"/>
    <w:rsid w:val="004756B3"/>
    <w:rsid w:val="00476542"/>
    <w:rsid w:val="00483E63"/>
    <w:rsid w:val="0049038E"/>
    <w:rsid w:val="00496634"/>
    <w:rsid w:val="004A489A"/>
    <w:rsid w:val="004A4E25"/>
    <w:rsid w:val="004B1B65"/>
    <w:rsid w:val="004C1E0F"/>
    <w:rsid w:val="004E3FBC"/>
    <w:rsid w:val="004F400E"/>
    <w:rsid w:val="004F670A"/>
    <w:rsid w:val="00501FF9"/>
    <w:rsid w:val="0050375E"/>
    <w:rsid w:val="00504CB8"/>
    <w:rsid w:val="005170BE"/>
    <w:rsid w:val="0052128F"/>
    <w:rsid w:val="00522C7B"/>
    <w:rsid w:val="00523120"/>
    <w:rsid w:val="00526FF3"/>
    <w:rsid w:val="00527595"/>
    <w:rsid w:val="0053011D"/>
    <w:rsid w:val="005303AE"/>
    <w:rsid w:val="00536FBF"/>
    <w:rsid w:val="005538B8"/>
    <w:rsid w:val="005614EB"/>
    <w:rsid w:val="00563399"/>
    <w:rsid w:val="00567BE5"/>
    <w:rsid w:val="005721CC"/>
    <w:rsid w:val="00573612"/>
    <w:rsid w:val="0057410F"/>
    <w:rsid w:val="005804DC"/>
    <w:rsid w:val="005845BF"/>
    <w:rsid w:val="00587255"/>
    <w:rsid w:val="005877F2"/>
    <w:rsid w:val="00594E30"/>
    <w:rsid w:val="005A4E64"/>
    <w:rsid w:val="005B2703"/>
    <w:rsid w:val="005B3447"/>
    <w:rsid w:val="005B4BF1"/>
    <w:rsid w:val="005D0BE8"/>
    <w:rsid w:val="005D4B7E"/>
    <w:rsid w:val="005F4768"/>
    <w:rsid w:val="005F5E82"/>
    <w:rsid w:val="005F6972"/>
    <w:rsid w:val="005F6974"/>
    <w:rsid w:val="005F7483"/>
    <w:rsid w:val="00605457"/>
    <w:rsid w:val="006114F1"/>
    <w:rsid w:val="006141E9"/>
    <w:rsid w:val="00617231"/>
    <w:rsid w:val="006177F5"/>
    <w:rsid w:val="00622924"/>
    <w:rsid w:val="006240CB"/>
    <w:rsid w:val="00630ECB"/>
    <w:rsid w:val="00637427"/>
    <w:rsid w:val="00637B2E"/>
    <w:rsid w:val="006432B0"/>
    <w:rsid w:val="00647807"/>
    <w:rsid w:val="00647E23"/>
    <w:rsid w:val="00650656"/>
    <w:rsid w:val="00655BDD"/>
    <w:rsid w:val="006571D2"/>
    <w:rsid w:val="00661CAB"/>
    <w:rsid w:val="00664A67"/>
    <w:rsid w:val="006658B1"/>
    <w:rsid w:val="006768A4"/>
    <w:rsid w:val="006840F4"/>
    <w:rsid w:val="00685EF4"/>
    <w:rsid w:val="006A0D58"/>
    <w:rsid w:val="006A17A5"/>
    <w:rsid w:val="006A784D"/>
    <w:rsid w:val="006B7659"/>
    <w:rsid w:val="006C1A77"/>
    <w:rsid w:val="006C2CE1"/>
    <w:rsid w:val="006E2009"/>
    <w:rsid w:val="006E4E51"/>
    <w:rsid w:val="00703224"/>
    <w:rsid w:val="007050C7"/>
    <w:rsid w:val="007109CC"/>
    <w:rsid w:val="00717776"/>
    <w:rsid w:val="0072274B"/>
    <w:rsid w:val="00723C06"/>
    <w:rsid w:val="00725313"/>
    <w:rsid w:val="00725F65"/>
    <w:rsid w:val="00727AA6"/>
    <w:rsid w:val="0073387A"/>
    <w:rsid w:val="00740C68"/>
    <w:rsid w:val="00746A25"/>
    <w:rsid w:val="00757151"/>
    <w:rsid w:val="0076178E"/>
    <w:rsid w:val="00765F5F"/>
    <w:rsid w:val="007665DC"/>
    <w:rsid w:val="0076754A"/>
    <w:rsid w:val="00773484"/>
    <w:rsid w:val="00781EA4"/>
    <w:rsid w:val="0078608F"/>
    <w:rsid w:val="00792684"/>
    <w:rsid w:val="007A05FD"/>
    <w:rsid w:val="007A53BF"/>
    <w:rsid w:val="007A58D5"/>
    <w:rsid w:val="007C61CC"/>
    <w:rsid w:val="007E0E29"/>
    <w:rsid w:val="007F0D84"/>
    <w:rsid w:val="007F3F07"/>
    <w:rsid w:val="00802236"/>
    <w:rsid w:val="00811C3A"/>
    <w:rsid w:val="008171F4"/>
    <w:rsid w:val="00825C62"/>
    <w:rsid w:val="00841C7A"/>
    <w:rsid w:val="008455C4"/>
    <w:rsid w:val="0085680C"/>
    <w:rsid w:val="00870F22"/>
    <w:rsid w:val="00875410"/>
    <w:rsid w:val="00877438"/>
    <w:rsid w:val="00887819"/>
    <w:rsid w:val="00887AD6"/>
    <w:rsid w:val="0089529D"/>
    <w:rsid w:val="00895E3C"/>
    <w:rsid w:val="00897A3C"/>
    <w:rsid w:val="00897DDE"/>
    <w:rsid w:val="008C3429"/>
    <w:rsid w:val="008C7097"/>
    <w:rsid w:val="008D6055"/>
    <w:rsid w:val="008D7DFE"/>
    <w:rsid w:val="008E3EBC"/>
    <w:rsid w:val="009006DF"/>
    <w:rsid w:val="00907ED6"/>
    <w:rsid w:val="00912410"/>
    <w:rsid w:val="00937188"/>
    <w:rsid w:val="00944DEE"/>
    <w:rsid w:val="00950064"/>
    <w:rsid w:val="009560C5"/>
    <w:rsid w:val="00960653"/>
    <w:rsid w:val="009635C2"/>
    <w:rsid w:val="0096488D"/>
    <w:rsid w:val="00965AF9"/>
    <w:rsid w:val="009702FE"/>
    <w:rsid w:val="00970AA5"/>
    <w:rsid w:val="009733D6"/>
    <w:rsid w:val="009739D1"/>
    <w:rsid w:val="00975639"/>
    <w:rsid w:val="009830F1"/>
    <w:rsid w:val="00983E55"/>
    <w:rsid w:val="00996DE3"/>
    <w:rsid w:val="00996F66"/>
    <w:rsid w:val="009A5419"/>
    <w:rsid w:val="009A7F89"/>
    <w:rsid w:val="009B3524"/>
    <w:rsid w:val="009C3244"/>
    <w:rsid w:val="009C7C97"/>
    <w:rsid w:val="009E3115"/>
    <w:rsid w:val="009E42FF"/>
    <w:rsid w:val="009F1EFF"/>
    <w:rsid w:val="009F4A3E"/>
    <w:rsid w:val="00A0261B"/>
    <w:rsid w:val="00A15548"/>
    <w:rsid w:val="00A256D6"/>
    <w:rsid w:val="00A25F4E"/>
    <w:rsid w:val="00A275A2"/>
    <w:rsid w:val="00A27CF6"/>
    <w:rsid w:val="00A3360F"/>
    <w:rsid w:val="00A35B4B"/>
    <w:rsid w:val="00A35BBD"/>
    <w:rsid w:val="00A372D7"/>
    <w:rsid w:val="00A506DE"/>
    <w:rsid w:val="00A530F5"/>
    <w:rsid w:val="00A728FE"/>
    <w:rsid w:val="00A77E4F"/>
    <w:rsid w:val="00A9398E"/>
    <w:rsid w:val="00A95816"/>
    <w:rsid w:val="00A966CB"/>
    <w:rsid w:val="00AB19AB"/>
    <w:rsid w:val="00AB4021"/>
    <w:rsid w:val="00AB7B43"/>
    <w:rsid w:val="00AD5B57"/>
    <w:rsid w:val="00AD7453"/>
    <w:rsid w:val="00AD7758"/>
    <w:rsid w:val="00AE09AD"/>
    <w:rsid w:val="00AE4223"/>
    <w:rsid w:val="00AE4760"/>
    <w:rsid w:val="00AE623D"/>
    <w:rsid w:val="00AF1045"/>
    <w:rsid w:val="00AF57A4"/>
    <w:rsid w:val="00B1059D"/>
    <w:rsid w:val="00B10EE5"/>
    <w:rsid w:val="00B11721"/>
    <w:rsid w:val="00B12909"/>
    <w:rsid w:val="00B13BD4"/>
    <w:rsid w:val="00B17292"/>
    <w:rsid w:val="00B2774E"/>
    <w:rsid w:val="00B37EE3"/>
    <w:rsid w:val="00B41775"/>
    <w:rsid w:val="00B469B1"/>
    <w:rsid w:val="00B5402B"/>
    <w:rsid w:val="00B555E5"/>
    <w:rsid w:val="00B63BAF"/>
    <w:rsid w:val="00B81259"/>
    <w:rsid w:val="00B8582A"/>
    <w:rsid w:val="00B87905"/>
    <w:rsid w:val="00BA43B8"/>
    <w:rsid w:val="00BA664B"/>
    <w:rsid w:val="00BB5E95"/>
    <w:rsid w:val="00BC3F74"/>
    <w:rsid w:val="00BD14F3"/>
    <w:rsid w:val="00BD51A8"/>
    <w:rsid w:val="00BE0428"/>
    <w:rsid w:val="00BE083D"/>
    <w:rsid w:val="00BE0B14"/>
    <w:rsid w:val="00BE1572"/>
    <w:rsid w:val="00BE457E"/>
    <w:rsid w:val="00C010E4"/>
    <w:rsid w:val="00C04892"/>
    <w:rsid w:val="00C10BCD"/>
    <w:rsid w:val="00C10EF8"/>
    <w:rsid w:val="00C23873"/>
    <w:rsid w:val="00C27F29"/>
    <w:rsid w:val="00C3168D"/>
    <w:rsid w:val="00C410DD"/>
    <w:rsid w:val="00C51BD7"/>
    <w:rsid w:val="00C601C0"/>
    <w:rsid w:val="00C6563D"/>
    <w:rsid w:val="00C842CB"/>
    <w:rsid w:val="00CA2BBB"/>
    <w:rsid w:val="00CB38B8"/>
    <w:rsid w:val="00CC0E2D"/>
    <w:rsid w:val="00CD0A36"/>
    <w:rsid w:val="00CD7ECE"/>
    <w:rsid w:val="00CE2314"/>
    <w:rsid w:val="00CE5526"/>
    <w:rsid w:val="00CE57C1"/>
    <w:rsid w:val="00CE5D50"/>
    <w:rsid w:val="00CF0628"/>
    <w:rsid w:val="00D009DE"/>
    <w:rsid w:val="00D02C85"/>
    <w:rsid w:val="00D03CD5"/>
    <w:rsid w:val="00D10715"/>
    <w:rsid w:val="00D116E7"/>
    <w:rsid w:val="00D143FB"/>
    <w:rsid w:val="00D173CE"/>
    <w:rsid w:val="00D2180C"/>
    <w:rsid w:val="00D22073"/>
    <w:rsid w:val="00D42E70"/>
    <w:rsid w:val="00D44FC4"/>
    <w:rsid w:val="00D50863"/>
    <w:rsid w:val="00D51E42"/>
    <w:rsid w:val="00D53524"/>
    <w:rsid w:val="00D72C62"/>
    <w:rsid w:val="00D72C6C"/>
    <w:rsid w:val="00D83305"/>
    <w:rsid w:val="00D8427B"/>
    <w:rsid w:val="00D875E0"/>
    <w:rsid w:val="00DA116F"/>
    <w:rsid w:val="00DB0CD5"/>
    <w:rsid w:val="00DB2EA2"/>
    <w:rsid w:val="00DB59C1"/>
    <w:rsid w:val="00DB6D8C"/>
    <w:rsid w:val="00DB6E71"/>
    <w:rsid w:val="00DC1043"/>
    <w:rsid w:val="00DC5099"/>
    <w:rsid w:val="00DC6478"/>
    <w:rsid w:val="00DD555B"/>
    <w:rsid w:val="00DD5C49"/>
    <w:rsid w:val="00DE5D25"/>
    <w:rsid w:val="00DE6F50"/>
    <w:rsid w:val="00DF0960"/>
    <w:rsid w:val="00E00953"/>
    <w:rsid w:val="00E033F4"/>
    <w:rsid w:val="00E03D92"/>
    <w:rsid w:val="00E06A1B"/>
    <w:rsid w:val="00E2408A"/>
    <w:rsid w:val="00E30093"/>
    <w:rsid w:val="00E301ED"/>
    <w:rsid w:val="00E40127"/>
    <w:rsid w:val="00E40F4A"/>
    <w:rsid w:val="00E72A8D"/>
    <w:rsid w:val="00E81A88"/>
    <w:rsid w:val="00E84B00"/>
    <w:rsid w:val="00E85133"/>
    <w:rsid w:val="00E877EA"/>
    <w:rsid w:val="00E90A87"/>
    <w:rsid w:val="00E9326E"/>
    <w:rsid w:val="00E939BF"/>
    <w:rsid w:val="00E950E7"/>
    <w:rsid w:val="00E97B75"/>
    <w:rsid w:val="00EA1187"/>
    <w:rsid w:val="00EC27E4"/>
    <w:rsid w:val="00EC4D5F"/>
    <w:rsid w:val="00ED04B2"/>
    <w:rsid w:val="00EE3266"/>
    <w:rsid w:val="00EE7672"/>
    <w:rsid w:val="00EF3AEF"/>
    <w:rsid w:val="00EF57A2"/>
    <w:rsid w:val="00F00012"/>
    <w:rsid w:val="00F22F29"/>
    <w:rsid w:val="00F30C2B"/>
    <w:rsid w:val="00F342F2"/>
    <w:rsid w:val="00F42982"/>
    <w:rsid w:val="00F44DFE"/>
    <w:rsid w:val="00F53A77"/>
    <w:rsid w:val="00F60ED9"/>
    <w:rsid w:val="00F67C51"/>
    <w:rsid w:val="00F97E57"/>
    <w:rsid w:val="00FA1E50"/>
    <w:rsid w:val="00FB3064"/>
    <w:rsid w:val="00FB31E0"/>
    <w:rsid w:val="00FB3709"/>
    <w:rsid w:val="00FB392A"/>
    <w:rsid w:val="00FC1C79"/>
    <w:rsid w:val="00FC6C3D"/>
    <w:rsid w:val="00FD116A"/>
    <w:rsid w:val="00FD4C11"/>
    <w:rsid w:val="00FD5F1E"/>
    <w:rsid w:val="00FD74B2"/>
    <w:rsid w:val="00FE023F"/>
    <w:rsid w:val="00FE7265"/>
    <w:rsid w:val="00FF01D4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FE113B"/>
  <w15:chartTrackingRefBased/>
  <w15:docId w15:val="{B7DC2691-2B43-4F65-AC06-5E0D3AAE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447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16D85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3F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4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3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469B1"/>
    <w:rPr>
      <w:color w:val="0563C1" w:themeColor="hyperlink"/>
      <w:u w:val="single"/>
    </w:rPr>
  </w:style>
  <w:style w:type="paragraph" w:customStyle="1" w:styleId="CM4">
    <w:name w:val="CM4"/>
    <w:basedOn w:val="Normal"/>
    <w:next w:val="Normal"/>
    <w:uiPriority w:val="99"/>
    <w:rsid w:val="00B469B1"/>
    <w:pPr>
      <w:widowControl/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CC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2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B3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B3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naiskr">
    <w:name w:val="naiskr"/>
    <w:basedOn w:val="Normal"/>
    <w:rsid w:val="0031374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313745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PlainTextChar">
    <w:name w:val="Plain Text Char"/>
    <w:basedOn w:val="DefaultParagraphFont"/>
    <w:link w:val="PlainText"/>
    <w:rsid w:val="0031374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83305"/>
    <w:pPr>
      <w:ind w:left="720"/>
      <w:contextualSpacing/>
    </w:pPr>
  </w:style>
  <w:style w:type="paragraph" w:styleId="NoSpacing">
    <w:name w:val="No Spacing"/>
    <w:uiPriority w:val="1"/>
    <w:qFormat/>
    <w:rsid w:val="0017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16D8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AB4021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73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.lv/satmin/content/?cat=55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6EE7-9E22-4571-BBE6-191FF74F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3491</Words>
  <Characters>1991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Nr.873 “Noteikumi par vilces līdzekļa vadītāja (mašīnista) kvalifikācijas un vilces līdzekļa vadīšanas tiesību iegūšanu.” projekts</vt:lpstr>
      <vt:lpstr>Ministru kabineta noteikumu Nr.873 “Noteikumi par vilces līdzekļa vadītāja (mašīnista) kvalifikācijas un vilces līdzekļa vadīšanas tiesību iegūšanu.” projekts</vt:lpstr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7. jūlija noteikumos Nr.733 “Noteikumi par valsts valodas zināšanu apjomu, valsts valodas prasmes pārbaudes kārtību un valsts nodevu par valsts valodas prasmes pārbaudi</dc:title>
  <dc:subject/>
  <dc:creator>User</dc:creator>
  <cp:keywords>anotācija</cp:keywords>
  <dc:description>Balaša 67028071
Santa.Balasa@mk.gov.lv</dc:description>
  <cp:lastModifiedBy>Ineta Vula</cp:lastModifiedBy>
  <cp:revision>6</cp:revision>
  <cp:lastPrinted>2019-07-04T16:04:00Z</cp:lastPrinted>
  <dcterms:created xsi:type="dcterms:W3CDTF">2019-09-10T08:24:00Z</dcterms:created>
  <dcterms:modified xsi:type="dcterms:W3CDTF">2019-10-10T09:21:00Z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