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D8C0" w14:textId="686750B5" w:rsidR="00836A5F" w:rsidRPr="00F33FC4" w:rsidRDefault="00B351DF" w:rsidP="00B3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C4">
        <w:rPr>
          <w:rFonts w:ascii="Times New Roman" w:hAnsi="Times New Roman" w:cs="Times New Roman"/>
          <w:b/>
          <w:sz w:val="24"/>
          <w:szCs w:val="24"/>
        </w:rPr>
        <w:t>Ministru kabineta noteikumu</w:t>
      </w:r>
      <w:r w:rsidR="009C6588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Pr="00F33FC4">
        <w:rPr>
          <w:rFonts w:ascii="Times New Roman" w:hAnsi="Times New Roman" w:cs="Times New Roman"/>
          <w:b/>
          <w:sz w:val="24"/>
          <w:szCs w:val="24"/>
        </w:rPr>
        <w:t xml:space="preserve"> “Grozījumi Ministru kabineta </w:t>
      </w:r>
      <w:r w:rsidR="00693495">
        <w:rPr>
          <w:rFonts w:ascii="Times New Roman" w:hAnsi="Times New Roman" w:cs="Times New Roman"/>
          <w:b/>
          <w:sz w:val="24"/>
          <w:szCs w:val="24"/>
        </w:rPr>
        <w:t>1997</w:t>
      </w:r>
      <w:r w:rsidRPr="00F33FC4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DF477E" w:rsidRPr="00F33FC4">
        <w:rPr>
          <w:rFonts w:ascii="Times New Roman" w:hAnsi="Times New Roman" w:cs="Times New Roman"/>
          <w:b/>
          <w:sz w:val="24"/>
          <w:szCs w:val="24"/>
        </w:rPr>
        <w:t>2</w:t>
      </w:r>
      <w:r w:rsidR="00693495">
        <w:rPr>
          <w:rFonts w:ascii="Times New Roman" w:hAnsi="Times New Roman" w:cs="Times New Roman"/>
          <w:b/>
          <w:sz w:val="24"/>
          <w:szCs w:val="24"/>
        </w:rPr>
        <w:t>3</w:t>
      </w:r>
      <w:r w:rsidRPr="00F33FC4">
        <w:rPr>
          <w:rFonts w:ascii="Times New Roman" w:hAnsi="Times New Roman" w:cs="Times New Roman"/>
          <w:b/>
          <w:sz w:val="24"/>
          <w:szCs w:val="24"/>
        </w:rPr>
        <w:t>.</w:t>
      </w:r>
      <w:r w:rsidR="00693495">
        <w:rPr>
          <w:rFonts w:ascii="Times New Roman" w:hAnsi="Times New Roman" w:cs="Times New Roman"/>
          <w:b/>
          <w:sz w:val="24"/>
          <w:szCs w:val="24"/>
        </w:rPr>
        <w:t>septembra</w:t>
      </w:r>
      <w:r w:rsidRPr="00F33FC4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693495">
        <w:rPr>
          <w:rFonts w:ascii="Times New Roman" w:hAnsi="Times New Roman" w:cs="Times New Roman"/>
          <w:b/>
          <w:sz w:val="24"/>
          <w:szCs w:val="24"/>
        </w:rPr>
        <w:t>336</w:t>
      </w:r>
      <w:r w:rsidRPr="00F33FC4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693495" w:rsidRPr="00693495">
        <w:rPr>
          <w:rFonts w:ascii="Times New Roman" w:hAnsi="Times New Roman" w:cs="Times New Roman"/>
          <w:b/>
          <w:sz w:val="24"/>
          <w:szCs w:val="24"/>
        </w:rPr>
        <w:t>Liepājas speciālās ekonomiskās zonas pārvaldes nolikums</w:t>
      </w:r>
      <w:r w:rsidRPr="00F33FC4">
        <w:rPr>
          <w:rFonts w:ascii="Times New Roman" w:hAnsi="Times New Roman" w:cs="Times New Roman"/>
          <w:b/>
          <w:sz w:val="24"/>
          <w:szCs w:val="24"/>
        </w:rPr>
        <w:t>” sākotnējās ietekmes novērtējuma ziņojums (anotācija)</w:t>
      </w:r>
    </w:p>
    <w:p w14:paraId="7EBC188F" w14:textId="77777777" w:rsidR="00B351DF" w:rsidRPr="00F33FC4" w:rsidRDefault="00B351DF" w:rsidP="00B351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="00B351DF" w:rsidRPr="00F33FC4" w14:paraId="5B29EE16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11072BD9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B351DF" w:rsidRPr="00F33FC4" w14:paraId="62F065DB" w14:textId="77777777" w:rsidTr="0005416C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729F9C0E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7032ABA9" w14:textId="45445F35" w:rsidR="00B351DF" w:rsidRPr="00F33FC4" w:rsidRDefault="009C6588" w:rsidP="000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Neaizpilda atbilstoši Ministru kabineta 2009.gada 15.decembra instrukcijas Nr.19 “Tiesību akta projekta sākotnējās ietekmes izvērtēšanas kārtība”  5.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punktam.</w:t>
            </w:r>
          </w:p>
        </w:tc>
      </w:tr>
      <w:tr w:rsidR="009C6588" w:rsidRPr="00F33FC4" w14:paraId="6D054B00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E9E22" w14:textId="580CE2CD" w:rsidR="009C6588" w:rsidRDefault="009C6588" w:rsidP="00B351D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</w:tr>
      <w:tr w:rsidR="00B351DF" w:rsidRPr="00F33FC4" w14:paraId="4BA10A76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3B807F51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B351DF" w:rsidRPr="00F33FC4" w14:paraId="348BF194" w14:textId="77777777" w:rsidTr="00B351DF">
        <w:tc>
          <w:tcPr>
            <w:tcW w:w="562" w:type="dxa"/>
          </w:tcPr>
          <w:p w14:paraId="7C1B2801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7" w:type="dxa"/>
          </w:tcPr>
          <w:p w14:paraId="38DAB815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372" w:type="dxa"/>
          </w:tcPr>
          <w:p w14:paraId="39D4D213" w14:textId="2F8FDDAC" w:rsidR="00B351DF" w:rsidRPr="00F33FC4" w:rsidRDefault="009C6588" w:rsidP="009C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88">
              <w:rPr>
                <w:rFonts w:ascii="Times New Roman" w:hAnsi="Times New Roman" w:cs="Times New Roman"/>
                <w:sz w:val="24"/>
                <w:szCs w:val="24"/>
              </w:rPr>
              <w:t>Deklarācijas par Artura Krišjāņa Kariņa vadītā Minis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 kabineta iecerēto darbību (turpmāk – valdības deklarācija) 82</w:t>
            </w:r>
            <w:r w:rsidR="00B4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588">
              <w:rPr>
                <w:rFonts w:ascii="Times New Roman" w:hAnsi="Times New Roman" w:cs="Times New Roman"/>
                <w:sz w:val="24"/>
                <w:szCs w:val="24"/>
              </w:rPr>
              <w:t>punkts.</w:t>
            </w:r>
          </w:p>
        </w:tc>
      </w:tr>
      <w:tr w:rsidR="00B351DF" w:rsidRPr="00F33FC4" w14:paraId="4E458AC3" w14:textId="77777777" w:rsidTr="00B351DF">
        <w:tc>
          <w:tcPr>
            <w:tcW w:w="562" w:type="dxa"/>
          </w:tcPr>
          <w:p w14:paraId="77BF89F6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7" w:type="dxa"/>
          </w:tcPr>
          <w:p w14:paraId="0A1CA259" w14:textId="19004C24" w:rsidR="0065099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13ED4E6" w14:textId="77777777" w:rsidR="00650994" w:rsidRPr="0005416C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3BE939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6565C3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BA864A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9C8837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5DBAAC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329536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8ECE56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B8DDCA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5EC3D3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4634A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605BD8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47AC63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8A4317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301A2B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75B84D" w14:textId="2D68972C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E44371" w14:textId="77777777" w:rsidR="00650994" w:rsidRP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CDFD1E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AC3C9E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AF1182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7077B8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575E23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C4BA1" w14:textId="44C32CF2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D8C4B9" w14:textId="77777777" w:rsidR="00650994" w:rsidRP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B1BB75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A01DA7" w14:textId="31711FD1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DE6420" w14:textId="7DB3F93C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6D7C49" w14:textId="77777777" w:rsidR="00B351DF" w:rsidRPr="0005416C" w:rsidRDefault="00B351DF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</w:tcPr>
          <w:p w14:paraId="3BBDD4FD" w14:textId="7472D135" w:rsidR="00D859D7" w:rsidRPr="00F33FC4" w:rsidRDefault="009C6588" w:rsidP="0068548B">
            <w:pPr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</w:t>
            </w:r>
            <w:r w:rsidRPr="009C6588">
              <w:rPr>
                <w:rFonts w:ascii="Times New Roman" w:hAnsi="Times New Roman" w:cs="Times New Roman"/>
                <w:sz w:val="24"/>
                <w:szCs w:val="24"/>
              </w:rPr>
              <w:t xml:space="preserve">“Grozījumi Ministru kabineta 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Pr="009C6588">
              <w:rPr>
                <w:rFonts w:ascii="Times New Roman" w:hAnsi="Times New Roman" w:cs="Times New Roman"/>
                <w:sz w:val="24"/>
                <w:szCs w:val="24"/>
              </w:rPr>
              <w:t>.gada 2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  <w:r w:rsidRPr="009C6588">
              <w:rPr>
                <w:rFonts w:ascii="Times New Roman" w:hAnsi="Times New Roman" w:cs="Times New Roman"/>
                <w:sz w:val="24"/>
                <w:szCs w:val="24"/>
              </w:rPr>
              <w:t xml:space="preserve"> noteikumos Nr.3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C658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693495" w:rsidRPr="00693495">
              <w:rPr>
                <w:rFonts w:ascii="Times New Roman" w:hAnsi="Times New Roman" w:cs="Times New Roman"/>
                <w:sz w:val="24"/>
                <w:szCs w:val="24"/>
              </w:rPr>
              <w:t>Liepājas speciālās ekonomiskās zonas pārvaldes nolikums</w:t>
            </w:r>
            <w:r w:rsidRPr="009C658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(turpmāk- noteikumu projekts) izstrādāts</w:t>
            </w: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, ievērojot valdības deklarācijā noteikto – piemērot Latvijas lielajām ostām OECD valsts kapitālsabiedrību pārvaldības principus, palielināt valsts ietekmi lēmumu pieņemšanā un nodrošināt efektīvāku resursu izmantošanu.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9D7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>Liepājas speciālās ekonomiskās zonas likuma 8.pant</w:t>
            </w:r>
            <w:r w:rsidR="008B694B">
              <w:rPr>
                <w:rFonts w:ascii="Times New Roman" w:hAnsi="Times New Roman" w:cs="Times New Roman"/>
                <w:sz w:val="24"/>
                <w:szCs w:val="24"/>
              </w:rPr>
              <w:t>a pirmo</w:t>
            </w:r>
            <w:r w:rsidR="00E0430A">
              <w:rPr>
                <w:rFonts w:ascii="Times New Roman" w:hAnsi="Times New Roman" w:cs="Times New Roman"/>
                <w:sz w:val="24"/>
                <w:szCs w:val="24"/>
              </w:rPr>
              <w:t xml:space="preserve"> daļu</w:t>
            </w:r>
            <w:r w:rsidR="005C25F4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 xml:space="preserve">Liepājas speciālā ekonomiskā zona </w:t>
            </w:r>
            <w:r w:rsidR="005C25F4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8B694B" w:rsidRPr="008B694B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pašvaldības izveidota </w:t>
            </w:r>
            <w:r w:rsidR="005C25F4" w:rsidRPr="00F33FC4">
              <w:rPr>
                <w:rFonts w:ascii="Times New Roman" w:hAnsi="Times New Roman" w:cs="Times New Roman"/>
                <w:sz w:val="24"/>
                <w:szCs w:val="24"/>
              </w:rPr>
              <w:t>atvasināta publisko tiesību juridiska persona, k</w:t>
            </w:r>
            <w:r w:rsidR="008B69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25F4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8B694B">
              <w:rPr>
                <w:rFonts w:ascii="Times New Roman" w:hAnsi="Times New Roman" w:cs="Times New Roman"/>
                <w:sz w:val="24"/>
                <w:szCs w:val="24"/>
              </w:rPr>
              <w:t>atrodas</w:t>
            </w:r>
            <w:r w:rsidR="005C25F4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</w:t>
            </w:r>
            <w:r w:rsidR="008B694B">
              <w:rPr>
                <w:rFonts w:ascii="Times New Roman" w:hAnsi="Times New Roman" w:cs="Times New Roman"/>
                <w:sz w:val="24"/>
                <w:szCs w:val="24"/>
              </w:rPr>
              <w:t>a pārraudzībā</w:t>
            </w:r>
            <w:r w:rsidR="005C25F4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>Liepājas speciālās ekonomiskās zonas</w:t>
            </w:r>
            <w:r w:rsidR="008E7736">
              <w:rPr>
                <w:rFonts w:ascii="Times New Roman" w:hAnsi="Times New Roman" w:cs="Times New Roman"/>
                <w:sz w:val="24"/>
                <w:szCs w:val="24"/>
              </w:rPr>
              <w:t xml:space="preserve"> (turpmāk- Liepājas SEZ)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 xml:space="preserve"> sastāvā ir Liepājas osta, kas</w:t>
            </w:r>
            <w:r w:rsidR="005C25F4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28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>trešā</w:t>
            </w:r>
            <w:r w:rsidR="005C25F4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 lielākā osta Latvijā</w:t>
            </w:r>
            <w:r w:rsidR="00596147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>ar nozīmīgu ietekmi uz transporta nozari kopumā</w:t>
            </w:r>
            <w:r w:rsidR="00402CC8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7171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ozares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rezultāti </w:t>
            </w:r>
            <w:r w:rsidR="00147171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ir ļoti svarīgi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>konkurētspējas nodrošināšanā</w:t>
            </w:r>
            <w:r w:rsidR="00945E4F" w:rsidRPr="00F33FC4">
              <w:rPr>
                <w:rFonts w:ascii="Times New Roman" w:hAnsi="Times New Roman" w:cs="Times New Roman"/>
                <w:sz w:val="24"/>
                <w:szCs w:val="24"/>
              </w:rPr>
              <w:t>. Līdz ar to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 būtiska ir</w:t>
            </w:r>
            <w:r w:rsidR="00945E4F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 laba pārvaldība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 ostu pārvaldēs, kas sekmētu </w:t>
            </w:r>
            <w:r w:rsidR="00945E4F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pozitīvu ieguldījumu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valsts tautsaimniecībā </w:t>
            </w:r>
            <w:r w:rsidR="00945E4F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un konkurētspējas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>stiprināšanā</w:t>
            </w:r>
            <w:r w:rsidR="00945E4F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 xml:space="preserve">Liepājas </w:t>
            </w:r>
            <w:r w:rsidR="008E7736">
              <w:rPr>
                <w:rFonts w:ascii="Times New Roman" w:hAnsi="Times New Roman" w:cs="Times New Roman"/>
                <w:sz w:val="24"/>
                <w:szCs w:val="24"/>
              </w:rPr>
              <w:t>SEZ</w:t>
            </w:r>
            <w:r w:rsidR="0069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E4F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nolikums paredz galveno darbības rādītāju pieejamību, tomēr tas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 w:rsidR="00945E4F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pietiekamā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>apjomā</w:t>
            </w:r>
            <w:r w:rsidR="00945E4F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45E4F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airākiem jautājumiem, kas ir izteikti vērsti uz ostas pamatdarbību,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nav pietiekami precīzs </w:t>
            </w:r>
            <w:r w:rsidR="00945E4F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regulējums. 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>Nepieciešams precizēt un skaidrāk noregulēt atsevišķas iekšējās k</w:t>
            </w:r>
            <w:r w:rsidR="0050674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296EDD" w:rsidRPr="00F33FC4">
              <w:rPr>
                <w:rFonts w:ascii="Times New Roman" w:hAnsi="Times New Roman" w:cs="Times New Roman"/>
                <w:sz w:val="24"/>
                <w:szCs w:val="24"/>
              </w:rPr>
              <w:t>rtības un procedūras lēmumu pieņemšanā, kas sekmētu jaunu klientu piesaisti ostā un nodrošinātu vienlīdzīgākas iespējas visiem.</w:t>
            </w:r>
          </w:p>
          <w:p w14:paraId="77931CC5" w14:textId="73D0DB15" w:rsidR="00EF124B" w:rsidRPr="00F33FC4" w:rsidRDefault="00AD2CB7" w:rsidP="00AF6099">
            <w:pPr>
              <w:pStyle w:val="Default"/>
              <w:ind w:firstLine="293"/>
              <w:jc w:val="both"/>
            </w:pPr>
            <w:r>
              <w:t>Noteikumu projekts noteic</w:t>
            </w:r>
            <w:r w:rsidRPr="00F33FC4">
              <w:t xml:space="preserve"> </w:t>
            </w:r>
            <w:r w:rsidR="00402CC8" w:rsidRPr="00F33FC4">
              <w:t xml:space="preserve">atsevišķas normas, kas vērstas uz informācija atklātību un skaidrāku noteikumu ievērošanu </w:t>
            </w:r>
            <w:r w:rsidR="008E7736">
              <w:t>Liepājas SEZ</w:t>
            </w:r>
            <w:r w:rsidR="008E7736" w:rsidRPr="00F33FC4">
              <w:t xml:space="preserve"> </w:t>
            </w:r>
            <w:r w:rsidR="00402CC8" w:rsidRPr="00F33FC4">
              <w:t xml:space="preserve">pārvaldes darbībā. </w:t>
            </w:r>
            <w:r>
              <w:t>Noteikumu projekts p</w:t>
            </w:r>
            <w:r w:rsidR="00402CC8" w:rsidRPr="00F33FC4">
              <w:t xml:space="preserve">aredz </w:t>
            </w:r>
            <w:r w:rsidR="008E7736">
              <w:t>Liepājas SEZ</w:t>
            </w:r>
            <w:r w:rsidR="0085431A" w:rsidRPr="00F33FC4">
              <w:t xml:space="preserve"> </w:t>
            </w:r>
            <w:r w:rsidR="008B694B">
              <w:t>tīmekļa vietnē</w:t>
            </w:r>
            <w:r w:rsidR="008B694B" w:rsidRPr="00F33FC4">
              <w:t xml:space="preserve"> </w:t>
            </w:r>
            <w:r w:rsidR="00EF124B">
              <w:t>četras</w:t>
            </w:r>
            <w:r w:rsidR="0085431A" w:rsidRPr="00F33FC4">
              <w:t xml:space="preserve"> reizes gadā publicēt galvenos finanšu rādītājus</w:t>
            </w:r>
            <w:r w:rsidR="00EF124B">
              <w:t xml:space="preserve"> un informatīvo ziņojumu</w:t>
            </w:r>
            <w:r w:rsidR="0050674A">
              <w:t>,</w:t>
            </w:r>
            <w:r w:rsidR="00EF124B">
              <w:t xml:space="preserve"> līdzīgi kā tas ir kapitālsabiedrībām, kas viestu lielāku </w:t>
            </w:r>
            <w:proofErr w:type="spellStart"/>
            <w:r w:rsidR="00EF124B">
              <w:t>pārredzamību</w:t>
            </w:r>
            <w:proofErr w:type="spellEnd"/>
            <w:r w:rsidR="00EF124B">
              <w:t xml:space="preserve"> </w:t>
            </w:r>
            <w:r w:rsidR="008E7736" w:rsidRPr="008E7736">
              <w:t>Liepājas SEZ</w:t>
            </w:r>
            <w:r w:rsidR="00EF124B">
              <w:t xml:space="preserve"> pārvaldes darbībā. Tāpat paredzēts </w:t>
            </w:r>
            <w:r w:rsidR="008E7736">
              <w:t>Liepājas SEZ</w:t>
            </w:r>
            <w:r w:rsidR="00EF124B">
              <w:t xml:space="preserve"> </w:t>
            </w:r>
            <w:r w:rsidR="00AF6099">
              <w:t xml:space="preserve">tīmekļa vietnē </w:t>
            </w:r>
            <w:r w:rsidR="00EF124B">
              <w:t xml:space="preserve">publicēt pārskatu par </w:t>
            </w:r>
            <w:proofErr w:type="spellStart"/>
            <w:r w:rsidR="00EF124B">
              <w:t>nefinanšu</w:t>
            </w:r>
            <w:proofErr w:type="spellEnd"/>
            <w:r w:rsidR="00EF124B">
              <w:t xml:space="preserve"> mērķu sasniegšanu, informāciju par mārketinga stratēģiju, reklāmas un sadarbības līgumiem.</w:t>
            </w:r>
          </w:p>
          <w:p w14:paraId="2A77B4CE" w14:textId="047EA092" w:rsidR="0085431A" w:rsidRPr="00F33FC4" w:rsidRDefault="0085431A" w:rsidP="0085431A">
            <w:pPr>
              <w:pStyle w:val="Default"/>
              <w:jc w:val="both"/>
            </w:pPr>
            <w:r w:rsidRPr="00F33FC4">
              <w:t xml:space="preserve">     </w:t>
            </w:r>
            <w:r w:rsidR="008167C9" w:rsidRPr="00F33FC4">
              <w:t>L</w:t>
            </w:r>
            <w:r w:rsidR="00402CC8" w:rsidRPr="00F33FC4">
              <w:t>īdzīgi kā kapitālsabiedrīb</w:t>
            </w:r>
            <w:r w:rsidR="005D23AE" w:rsidRPr="00F33FC4">
              <w:t>ā</w:t>
            </w:r>
            <w:r w:rsidR="00402CC8" w:rsidRPr="00F33FC4">
              <w:t xml:space="preserve">s </w:t>
            </w:r>
            <w:r w:rsidR="00AD2CB7">
              <w:t>noteikumu projektā</w:t>
            </w:r>
            <w:r w:rsidR="00AD2CB7" w:rsidRPr="00F33FC4">
              <w:t xml:space="preserve"> </w:t>
            </w:r>
            <w:r w:rsidRPr="00F33FC4">
              <w:t xml:space="preserve">ir </w:t>
            </w:r>
            <w:r w:rsidR="00402CC8" w:rsidRPr="00F33FC4">
              <w:lastRenderedPageBreak/>
              <w:t xml:space="preserve">paredzēta iespēja </w:t>
            </w:r>
            <w:r w:rsidR="00D15AAC" w:rsidRPr="00F33FC4">
              <w:t>ostas valdes locekļiem</w:t>
            </w:r>
            <w:r w:rsidR="00F456EC">
              <w:t xml:space="preserve"> un pārvaldniekiem</w:t>
            </w:r>
            <w:r w:rsidR="00D15AAC" w:rsidRPr="00F33FC4">
              <w:t xml:space="preserve"> apdrošināt profesionālās darbības rezultātā iespējamo zaudējumu risku</w:t>
            </w:r>
            <w:r w:rsidR="009A0B54">
              <w:t xml:space="preserve"> (civiltiesiskā apdrošināšana)</w:t>
            </w:r>
            <w:r w:rsidR="00D15AAC" w:rsidRPr="00F33FC4">
              <w:t>.</w:t>
            </w:r>
          </w:p>
          <w:p w14:paraId="04D08AE0" w14:textId="63EE7D83" w:rsidR="00D15AAC" w:rsidRPr="00F33FC4" w:rsidRDefault="005D23AE" w:rsidP="0085431A">
            <w:pPr>
              <w:pStyle w:val="Default"/>
              <w:jc w:val="both"/>
            </w:pPr>
            <w:r w:rsidRPr="00F33FC4">
              <w:t xml:space="preserve">     </w:t>
            </w:r>
            <w:r w:rsidR="00AD2CB7">
              <w:t>Noteikumu projekts p</w:t>
            </w:r>
            <w:r w:rsidR="00402CC8" w:rsidRPr="00F33FC4">
              <w:t>aredz pienākum</w:t>
            </w:r>
            <w:r w:rsidR="00AD2CB7">
              <w:t>us</w:t>
            </w:r>
            <w:r w:rsidR="00402CC8" w:rsidRPr="00F33FC4">
              <w:t xml:space="preserve"> </w:t>
            </w:r>
            <w:r w:rsidR="000D0F3E">
              <w:t xml:space="preserve">Liepājas </w:t>
            </w:r>
            <w:r w:rsidR="001358EF">
              <w:t>SEZ</w:t>
            </w:r>
            <w:r w:rsidR="000D0F3E">
              <w:t xml:space="preserve"> </w:t>
            </w:r>
            <w:r w:rsidR="00D15AAC" w:rsidRPr="00F33FC4">
              <w:t xml:space="preserve">valdei apstiprināt zemes un nekustamā īpašuma nomas maksas piemērošanas principus, maksas apmēru un nomas līgumu noslēgšanas kārtību. Tas viesīs </w:t>
            </w:r>
            <w:r w:rsidR="001358EF">
              <w:t>Liepājas SEZ</w:t>
            </w:r>
            <w:r w:rsidR="001358EF" w:rsidRPr="00F33FC4">
              <w:t xml:space="preserve"> </w:t>
            </w:r>
            <w:r w:rsidR="00D15AAC" w:rsidRPr="00F33FC4">
              <w:t>uzņēmumiem un potenciālajiem sadarbības partneriem lielāku pārskatāmību</w:t>
            </w:r>
            <w:r w:rsidR="00402CC8" w:rsidRPr="00F33FC4">
              <w:t>,</w:t>
            </w:r>
            <w:r w:rsidR="00D15AAC" w:rsidRPr="00F33FC4">
              <w:t xml:space="preserve"> atvieglos jaunu nomas līgumu noslēgšanu</w:t>
            </w:r>
            <w:r w:rsidR="00402CC8" w:rsidRPr="00F33FC4">
              <w:t xml:space="preserve"> un mazinās neskaidrības</w:t>
            </w:r>
            <w:r w:rsidR="00D15AAC" w:rsidRPr="00F33FC4">
              <w:t>.</w:t>
            </w:r>
          </w:p>
          <w:p w14:paraId="2BC3CD9A" w14:textId="7C0F5772" w:rsidR="00D15AAC" w:rsidRPr="00F33FC4" w:rsidRDefault="00D15AAC" w:rsidP="0085431A">
            <w:pPr>
              <w:pStyle w:val="Default"/>
              <w:jc w:val="both"/>
            </w:pPr>
            <w:r w:rsidRPr="00F33FC4">
              <w:t xml:space="preserve">     </w:t>
            </w:r>
            <w:r w:rsidR="0021287B">
              <w:t xml:space="preserve">Ar noteikumu projektu </w:t>
            </w:r>
            <w:r w:rsidR="0021287B" w:rsidRPr="00F33FC4">
              <w:t xml:space="preserve">paredzēts noteikt pienākumu </w:t>
            </w:r>
            <w:r w:rsidR="001358EF">
              <w:t>Liepājas SEZ</w:t>
            </w:r>
            <w:r w:rsidR="001358EF" w:rsidRPr="00F33FC4">
              <w:t xml:space="preserve"> </w:t>
            </w:r>
            <w:r w:rsidR="0021287B" w:rsidRPr="00F33FC4">
              <w:t>valdei izskatīt visas sūdzības</w:t>
            </w:r>
            <w:r w:rsidR="0021287B">
              <w:t xml:space="preserve"> un publicēt lēmumus un informāciju</w:t>
            </w:r>
            <w:r w:rsidR="0021287B" w:rsidRPr="00F33FC4">
              <w:t xml:space="preserve">, kas </w:t>
            </w:r>
            <w:r w:rsidR="0021287B">
              <w:t>izriet no</w:t>
            </w:r>
            <w:r w:rsidR="0021287B" w:rsidRPr="00F33FC4">
              <w:t xml:space="preserve"> Eiropas Parlamenta un Padomes </w:t>
            </w:r>
            <w:r w:rsidR="0021287B">
              <w:t xml:space="preserve">2017.gada 15.februāra </w:t>
            </w:r>
            <w:r w:rsidR="0021287B" w:rsidRPr="00F33FC4">
              <w:t>Regulas (ES) 2017/352</w:t>
            </w:r>
            <w:r w:rsidR="0021287B">
              <w:t>,</w:t>
            </w:r>
            <w:r w:rsidR="0021287B" w:rsidRPr="00F33FC4">
              <w:t xml:space="preserve"> ar ko izveido ostas pakalpojumu sniegšanas sistēmu un kopīgos noteikumus par ostu finanšu </w:t>
            </w:r>
            <w:proofErr w:type="spellStart"/>
            <w:r w:rsidR="0021287B" w:rsidRPr="00F33FC4">
              <w:t>pārredzamību</w:t>
            </w:r>
            <w:proofErr w:type="spellEnd"/>
            <w:r w:rsidR="0021287B">
              <w:t xml:space="preserve"> (turpmāk - R</w:t>
            </w:r>
            <w:r w:rsidR="0021287B" w:rsidRPr="00F33FC4">
              <w:t>egula</w:t>
            </w:r>
            <w:r w:rsidR="0021287B">
              <w:t xml:space="preserve"> Nr. </w:t>
            </w:r>
            <w:r w:rsidR="0021287B" w:rsidRPr="00F33FC4">
              <w:t>2017/352</w:t>
            </w:r>
            <w:r w:rsidR="0021287B">
              <w:t>)</w:t>
            </w:r>
            <w:r w:rsidR="0021287B" w:rsidRPr="00F33FC4">
              <w:t>, pārkāpumiem</w:t>
            </w:r>
            <w:r w:rsidR="0021287B">
              <w:t xml:space="preserve"> un īstenošanu, lai novērstu </w:t>
            </w:r>
            <w:r w:rsidR="0021287B" w:rsidRPr="00F33FC4">
              <w:t xml:space="preserve">domstarpības jautājumos </w:t>
            </w:r>
            <w:r w:rsidR="0021287B">
              <w:t>par</w:t>
            </w:r>
            <w:r w:rsidR="0021287B" w:rsidRPr="00F33FC4">
              <w:t xml:space="preserve"> kompetenci izs</w:t>
            </w:r>
            <w:r w:rsidR="0021287B">
              <w:t>k</w:t>
            </w:r>
            <w:r w:rsidR="0021287B" w:rsidRPr="00F33FC4">
              <w:t xml:space="preserve">atīt sūdzības saistībā ar </w:t>
            </w:r>
            <w:r w:rsidR="0021287B">
              <w:t>R</w:t>
            </w:r>
            <w:r w:rsidR="0021287B" w:rsidRPr="00F33FC4">
              <w:t>egula</w:t>
            </w:r>
            <w:r w:rsidR="0021287B">
              <w:t xml:space="preserve">s Nr. </w:t>
            </w:r>
            <w:r w:rsidR="0021287B" w:rsidRPr="00F33FC4">
              <w:t>2017/352 pārkāpumiem.</w:t>
            </w:r>
          </w:p>
          <w:p w14:paraId="16AC731F" w14:textId="2E71A626" w:rsidR="00042E15" w:rsidRDefault="0085431A" w:rsidP="00AD2CB7">
            <w:pPr>
              <w:pStyle w:val="Default"/>
              <w:jc w:val="both"/>
            </w:pPr>
            <w:r w:rsidRPr="00F33FC4">
              <w:t xml:space="preserve"> </w:t>
            </w:r>
            <w:r w:rsidR="00D15AAC" w:rsidRPr="00F33FC4">
              <w:t xml:space="preserve">     </w:t>
            </w:r>
            <w:r w:rsidR="00402CC8" w:rsidRPr="00F33FC4">
              <w:t xml:space="preserve">Līdzīgi kā kapitālsabiedrībās </w:t>
            </w:r>
            <w:r w:rsidR="001358EF">
              <w:t>Liepājas SEZ</w:t>
            </w:r>
            <w:r w:rsidR="001358EF" w:rsidRPr="00F33FC4">
              <w:t xml:space="preserve"> </w:t>
            </w:r>
            <w:r w:rsidR="00402CC8" w:rsidRPr="00F33FC4">
              <w:t xml:space="preserve">pārvaldē nepieciešams pilnveidot iekšējās kontroles procedūras un </w:t>
            </w:r>
            <w:r w:rsidR="00D15AAC" w:rsidRPr="00F33FC4">
              <w:t>izveido</w:t>
            </w:r>
            <w:r w:rsidR="00413070" w:rsidRPr="00F33FC4">
              <w:t>t iekšējā aud</w:t>
            </w:r>
            <w:r w:rsidR="00402CC8" w:rsidRPr="00F33FC4">
              <w:t>ita struktūrvienīb</w:t>
            </w:r>
            <w:r w:rsidR="0050674A">
              <w:t>u</w:t>
            </w:r>
            <w:r w:rsidR="00402CC8" w:rsidRPr="00F33FC4">
              <w:t xml:space="preserve"> </w:t>
            </w:r>
            <w:r w:rsidR="00D438BE">
              <w:t xml:space="preserve">funkcionālā </w:t>
            </w:r>
            <w:r w:rsidR="00402CC8" w:rsidRPr="00F33FC4">
              <w:t>valdes pakļautībā</w:t>
            </w:r>
            <w:r w:rsidR="00D15AAC" w:rsidRPr="00F33FC4">
              <w:t>.</w:t>
            </w:r>
            <w:r w:rsidR="005D23AE" w:rsidRPr="00F33FC4">
              <w:t xml:space="preserve"> </w:t>
            </w:r>
            <w:r w:rsidR="00AD2CB7">
              <w:t xml:space="preserve">Noteikumu projekts paredz, ka </w:t>
            </w:r>
            <w:r w:rsidR="001358EF" w:rsidRPr="001358EF">
              <w:t>Liepājas SEZ</w:t>
            </w:r>
            <w:r w:rsidR="000D0F3E">
              <w:t xml:space="preserve"> </w:t>
            </w:r>
            <w:r w:rsidR="00AD2CB7">
              <w:t>v</w:t>
            </w:r>
            <w:r w:rsidR="005D23AE" w:rsidRPr="00F33FC4">
              <w:t>alde apstiprina vidēja termiņa iekšējā audita stratēģisko plānu un gada audita plānu.</w:t>
            </w:r>
          </w:p>
          <w:p w14:paraId="0D7243D4" w14:textId="0E122AC5" w:rsidR="00F7239A" w:rsidRDefault="00F7239A" w:rsidP="00AD2CB7">
            <w:pPr>
              <w:pStyle w:val="Default"/>
              <w:jc w:val="both"/>
            </w:pPr>
            <w:r>
              <w:t xml:space="preserve">     Noteikumu projekts paredz, ka valde apstiprina korupcijas novēršanas politiku un uzrauga tās īstenošanu praksē, savukārt </w:t>
            </w:r>
            <w:r w:rsidR="001358EF" w:rsidRPr="001358EF">
              <w:t>Liepājas SEZ</w:t>
            </w:r>
            <w:r>
              <w:t xml:space="preserve"> pārvalde korupcijas novēršanas nolikumu un ikgadējo pārskatu publicē savā </w:t>
            </w:r>
            <w:r w:rsidR="00AF6099">
              <w:t>tīmekļa vietnē</w:t>
            </w:r>
            <w:r>
              <w:t xml:space="preserve">. </w:t>
            </w:r>
          </w:p>
          <w:p w14:paraId="6BD62904" w14:textId="0A791727" w:rsidR="00F7239A" w:rsidRDefault="00F7239A" w:rsidP="00AD2CB7">
            <w:pPr>
              <w:pStyle w:val="Default"/>
              <w:jc w:val="both"/>
            </w:pPr>
            <w:r>
              <w:t xml:space="preserve">     Ieviešot labas pārvaldības principus, </w:t>
            </w:r>
            <w:r w:rsidR="00F5746B">
              <w:t>noteikum</w:t>
            </w:r>
            <w:r w:rsidR="00375A6B">
              <w:t>u projekts</w:t>
            </w:r>
            <w:r w:rsidR="00F5746B">
              <w:t xml:space="preserve"> paredz</w:t>
            </w:r>
            <w:r w:rsidR="00375A6B">
              <w:t>,</w:t>
            </w:r>
            <w:r w:rsidR="00F5746B">
              <w:t xml:space="preserve"> ka pārvaldē nodarbinātajiem ir pienākums ziņot par prettiesisku darbību vai bezdarbību </w:t>
            </w:r>
            <w:r w:rsidR="001358EF">
              <w:t xml:space="preserve">Liepājas SEZ </w:t>
            </w:r>
            <w:r w:rsidR="00F5746B">
              <w:t>pārvaldniekam vai valdei. Šādi tiks panākta sekošana iekšējiem procesiem un palielināta iespēja novērst iespējamas pretlikumības jau sākotnējā stadijā.</w:t>
            </w:r>
          </w:p>
          <w:p w14:paraId="23F27A37" w14:textId="79A64F08" w:rsidR="00F7239A" w:rsidRDefault="00F7239A" w:rsidP="00AD2CB7">
            <w:pPr>
              <w:pStyle w:val="Default"/>
              <w:jc w:val="both"/>
            </w:pPr>
            <w:r>
              <w:t xml:space="preserve">     </w:t>
            </w:r>
            <w:r w:rsidR="00D142AD">
              <w:t xml:space="preserve">Noteikumu projekts </w:t>
            </w:r>
            <w:r>
              <w:t xml:space="preserve">paredz, ka </w:t>
            </w:r>
            <w:r w:rsidR="001358EF">
              <w:t xml:space="preserve">Liepājas SEZ </w:t>
            </w:r>
            <w:r>
              <w:t xml:space="preserve">valde atbilstoši </w:t>
            </w:r>
            <w:r w:rsidR="001358EF">
              <w:t xml:space="preserve">Liepājas SEZ </w:t>
            </w:r>
            <w:r>
              <w:t xml:space="preserve">attīstības programmai apstiprina </w:t>
            </w:r>
            <w:r w:rsidR="001358EF">
              <w:t>Liepājas SEZ</w:t>
            </w:r>
            <w:r>
              <w:t xml:space="preserve"> </w:t>
            </w:r>
            <w:proofErr w:type="spellStart"/>
            <w:r>
              <w:t>nefinanšu</w:t>
            </w:r>
            <w:proofErr w:type="spellEnd"/>
            <w:r>
              <w:t xml:space="preserve"> mērķus</w:t>
            </w:r>
            <w:r w:rsidR="00472D61">
              <w:t xml:space="preserve"> un finanšu rādītājus</w:t>
            </w:r>
            <w:r>
              <w:t xml:space="preserve"> un kontrolē to izpildi. </w:t>
            </w:r>
            <w:r w:rsidR="001358EF">
              <w:t>Liepājas SEZ</w:t>
            </w:r>
            <w:r>
              <w:t xml:space="preserve"> pārvalde</w:t>
            </w:r>
            <w:r w:rsidR="001358EF">
              <w:t xml:space="preserve"> apstiprina</w:t>
            </w:r>
            <w:r>
              <w:t xml:space="preserve"> pārskatu par šo mērķu izpildi</w:t>
            </w:r>
            <w:r w:rsidR="001358EF">
              <w:t xml:space="preserve"> un</w:t>
            </w:r>
            <w:r>
              <w:t xml:space="preserve"> publisko</w:t>
            </w:r>
            <w:r w:rsidR="001358EF">
              <w:t xml:space="preserve"> to</w:t>
            </w:r>
            <w:r>
              <w:t xml:space="preserve"> savā </w:t>
            </w:r>
            <w:r w:rsidR="00D142AD">
              <w:t>tīmekļa vietnē</w:t>
            </w:r>
            <w:r>
              <w:t xml:space="preserve"> divas reizes gadā.</w:t>
            </w:r>
          </w:p>
          <w:p w14:paraId="4951480A" w14:textId="65A19669" w:rsidR="00472D61" w:rsidRPr="00F33FC4" w:rsidRDefault="00472D61" w:rsidP="00AD2CB7">
            <w:pPr>
              <w:pStyle w:val="Default"/>
              <w:jc w:val="both"/>
            </w:pPr>
            <w:r>
              <w:t xml:space="preserve">     Ņemot vērā, ka Liepājas </w:t>
            </w:r>
            <w:r w:rsidR="001358EF">
              <w:t>SEZ</w:t>
            </w:r>
            <w:r>
              <w:t xml:space="preserve"> nolikums ir pieņemts </w:t>
            </w:r>
            <w:r w:rsidR="00AC195B">
              <w:t>1997.gadā, nepieciešams atjaunot un precizēt</w:t>
            </w:r>
            <w:r w:rsidR="00226E94">
              <w:t xml:space="preserve"> vairākas normas</w:t>
            </w:r>
            <w:r w:rsidR="00D142AD">
              <w:t>, proti</w:t>
            </w:r>
            <w:r w:rsidR="0068548B">
              <w:t>,</w:t>
            </w:r>
            <w:r w:rsidR="00D142AD">
              <w:t xml:space="preserve"> noteikumu</w:t>
            </w:r>
            <w:r w:rsidR="00226E94">
              <w:t xml:space="preserve"> </w:t>
            </w:r>
            <w:r w:rsidR="00D142AD">
              <w:t>p</w:t>
            </w:r>
            <w:r w:rsidR="00226E94">
              <w:t>rojektā paredzēts precizēt valdes sēžu norises</w:t>
            </w:r>
            <w:r w:rsidR="00FF660D">
              <w:t>,</w:t>
            </w:r>
            <w:r w:rsidR="00226E94">
              <w:t xml:space="preserve"> balsošanas</w:t>
            </w:r>
            <w:r w:rsidR="00FF660D">
              <w:t xml:space="preserve"> un lēmumu pieņemšanas</w:t>
            </w:r>
            <w:r w:rsidR="00226E94">
              <w:t xml:space="preserve"> kārtību</w:t>
            </w:r>
            <w:r w:rsidR="00FF660D">
              <w:t xml:space="preserve">. </w:t>
            </w:r>
            <w:r w:rsidR="00D142AD">
              <w:t>Noteikumu projektā</w:t>
            </w:r>
            <w:r w:rsidR="00FF660D">
              <w:t xml:space="preserve"> noteikt</w:t>
            </w:r>
            <w:r w:rsidR="00D142AD">
              <w:t>s</w:t>
            </w:r>
            <w:r w:rsidR="00FF660D">
              <w:t xml:space="preserve">, ka pārvaldnieks var slēgt līgumus līdz 75 000 </w:t>
            </w:r>
            <w:proofErr w:type="spellStart"/>
            <w:r w:rsidR="00FF660D">
              <w:t>euro</w:t>
            </w:r>
            <w:proofErr w:type="spellEnd"/>
            <w:r w:rsidR="00FF660D">
              <w:t xml:space="preserve"> (bez pievienotās vērtības nodokļa), līdzīgi kā tas ir Rīgas brīvostā un Ventspils brīvostā</w:t>
            </w:r>
            <w:r w:rsidR="00D142AD">
              <w:t xml:space="preserve">, kā arī </w:t>
            </w:r>
            <w:r w:rsidR="00C77714">
              <w:t xml:space="preserve">valde ārkārtas sēdes lēmumus var </w:t>
            </w:r>
            <w:r w:rsidR="0050674A">
              <w:t xml:space="preserve">pieņemt </w:t>
            </w:r>
            <w:r w:rsidR="00C77714">
              <w:t>arī attālināti, izmantojot elektroniskās saziņas līdzekļus.</w:t>
            </w:r>
          </w:p>
        </w:tc>
      </w:tr>
      <w:tr w:rsidR="00B351DF" w:rsidRPr="00F33FC4" w14:paraId="77B3033C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5CE94097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5FD451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Projekta izstrādē iesaistītās </w:t>
            </w:r>
            <w:r w:rsidRPr="00F3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institūcijas un publiskas personas kapitālsabiedrības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661241C" w14:textId="03142DEA" w:rsidR="00B351DF" w:rsidRPr="00F33FC4" w:rsidRDefault="00082ED5" w:rsidP="0068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Satiksmes ministrija</w:t>
            </w:r>
            <w:r w:rsidR="00736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822" w:rsidRPr="00736822">
              <w:rPr>
                <w:rFonts w:ascii="Times New Roman" w:hAnsi="Times New Roman" w:cs="Times New Roman"/>
                <w:sz w:val="24"/>
                <w:szCs w:val="24"/>
              </w:rPr>
              <w:t xml:space="preserve">Liepājas </w:t>
            </w:r>
            <w:r w:rsidR="0050674A">
              <w:rPr>
                <w:rFonts w:ascii="Times New Roman" w:hAnsi="Times New Roman" w:cs="Times New Roman"/>
                <w:sz w:val="24"/>
                <w:szCs w:val="24"/>
              </w:rPr>
              <w:t>SEZ</w:t>
            </w:r>
            <w:r w:rsidR="00736822" w:rsidRPr="00736822">
              <w:rPr>
                <w:rFonts w:ascii="Times New Roman" w:hAnsi="Times New Roman" w:cs="Times New Roman"/>
                <w:sz w:val="24"/>
                <w:szCs w:val="24"/>
              </w:rPr>
              <w:t xml:space="preserve"> pārvalde</w:t>
            </w:r>
            <w:r w:rsidR="0073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1DF" w:rsidRPr="00F33FC4" w14:paraId="209C6C3C" w14:textId="77777777" w:rsidTr="0005416C">
        <w:tc>
          <w:tcPr>
            <w:tcW w:w="562" w:type="dxa"/>
            <w:tcBorders>
              <w:bottom w:val="nil"/>
            </w:tcBorders>
          </w:tcPr>
          <w:p w14:paraId="2990166D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7" w:type="dxa"/>
            <w:tcBorders>
              <w:bottom w:val="nil"/>
            </w:tcBorders>
          </w:tcPr>
          <w:p w14:paraId="17B9105E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14:paraId="31B5A58A" w14:textId="77777777" w:rsidR="00B351DF" w:rsidRPr="00F33FC4" w:rsidRDefault="00A266F2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428D5" w:rsidRPr="00F33FC4" w14:paraId="696339F1" w14:textId="77777777" w:rsidTr="0005416C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11E9AA37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C33BC39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bottom w:val="single" w:sz="4" w:space="0" w:color="auto"/>
            </w:tcBorders>
          </w:tcPr>
          <w:p w14:paraId="77C8B20B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508223F9" w14:textId="77777777" w:rsidTr="0005416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57C5D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0E044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85A6E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69A876D6" w14:textId="77777777" w:rsidTr="0005416C">
        <w:trPr>
          <w:trHeight w:val="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F898D6" w14:textId="7E61AE3B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0C309E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15B2064D" w14:textId="50DDFC0E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4CA136C0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99AD" w14:textId="2168E2CC" w:rsidR="007428D5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92463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5E00E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5A040BF7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2BF1101E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</w:t>
            </w:r>
          </w:p>
        </w:tc>
      </w:tr>
      <w:tr w:rsidR="00B351DF" w:rsidRPr="00F33FC4" w14:paraId="06FA8E4F" w14:textId="77777777" w:rsidTr="00B351DF">
        <w:tc>
          <w:tcPr>
            <w:tcW w:w="562" w:type="dxa"/>
          </w:tcPr>
          <w:p w14:paraId="684BDDFE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1903C41" w14:textId="3524D34B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mēr</w:t>
            </w:r>
            <w:r w:rsidR="00717864">
              <w:rPr>
                <w:rFonts w:ascii="Times New Roman" w:hAnsi="Times New Roman" w:cs="Times New Roman"/>
                <w:sz w:val="24"/>
                <w:szCs w:val="24"/>
              </w:rPr>
              <w:t>ķ</w:t>
            </w: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6372" w:type="dxa"/>
          </w:tcPr>
          <w:p w14:paraId="5564616E" w14:textId="4E18917A" w:rsidR="00B351DF" w:rsidRPr="00F33FC4" w:rsidRDefault="000D0F3E" w:rsidP="0088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Liepājas </w:t>
            </w:r>
            <w:r w:rsidR="0050674A">
              <w:rPr>
                <w:rFonts w:ascii="Times New Roman" w:hAnsi="Times New Roman" w:cs="Times New Roman"/>
                <w:sz w:val="24"/>
                <w:szCs w:val="24"/>
              </w:rPr>
              <w:t>SEZ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7E" w:rsidRPr="00F33FC4">
              <w:rPr>
                <w:rFonts w:ascii="Times New Roman" w:hAnsi="Times New Roman" w:cs="Times New Roman"/>
                <w:sz w:val="24"/>
                <w:szCs w:val="24"/>
              </w:rPr>
              <w:t>valde, pārvaldnieks</w:t>
            </w:r>
            <w:r w:rsidR="0050674A">
              <w:rPr>
                <w:rFonts w:ascii="Times New Roman" w:hAnsi="Times New Roman" w:cs="Times New Roman"/>
                <w:sz w:val="24"/>
                <w:szCs w:val="24"/>
              </w:rPr>
              <w:t>, darbinieki</w:t>
            </w:r>
            <w:r w:rsidR="003E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1DF" w:rsidRPr="00F33FC4" w14:paraId="0E6428ED" w14:textId="77777777" w:rsidTr="00B351DF">
        <w:tc>
          <w:tcPr>
            <w:tcW w:w="562" w:type="dxa"/>
          </w:tcPr>
          <w:p w14:paraId="55321BE7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7E655763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372" w:type="dxa"/>
          </w:tcPr>
          <w:p w14:paraId="10D67571" w14:textId="77777777" w:rsidR="00B351DF" w:rsidRPr="00F33FC4" w:rsidRDefault="00881230" w:rsidP="0088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tiesiskais regulējums nepalielina administratīvo slogu, līdz ar to sabiedrības grupām un institūcijām projekta tiesiskais regulējums nemaina tiesības un pienākumus, kā arī veicamās darbības.</w:t>
            </w:r>
          </w:p>
        </w:tc>
      </w:tr>
      <w:tr w:rsidR="00B351DF" w:rsidRPr="00F33FC4" w14:paraId="63FD337A" w14:textId="77777777" w:rsidTr="00B351DF">
        <w:tc>
          <w:tcPr>
            <w:tcW w:w="562" w:type="dxa"/>
          </w:tcPr>
          <w:p w14:paraId="3382BA68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3935E500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372" w:type="dxa"/>
          </w:tcPr>
          <w:p w14:paraId="639EF3D6" w14:textId="77777777" w:rsidR="00B351DF" w:rsidRPr="00F33FC4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351DF" w:rsidRPr="00F33FC4" w14:paraId="060EA5C6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03ACCE41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7713B8E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Atbilstība izmaksu monetārs novērtējums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6E0662F1" w14:textId="77777777" w:rsidR="00B351DF" w:rsidRPr="00F33FC4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351DF" w:rsidRPr="00F33FC4" w14:paraId="3B6F21BA" w14:textId="77777777" w:rsidTr="0005416C">
        <w:tc>
          <w:tcPr>
            <w:tcW w:w="562" w:type="dxa"/>
            <w:tcBorders>
              <w:bottom w:val="nil"/>
            </w:tcBorders>
          </w:tcPr>
          <w:p w14:paraId="7AFA57E5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bottom w:val="nil"/>
            </w:tcBorders>
          </w:tcPr>
          <w:p w14:paraId="710AEA85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14:paraId="4AD3D3BF" w14:textId="77777777" w:rsidR="00B351DF" w:rsidRPr="00F33FC4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428D5" w:rsidRPr="00F33FC4" w14:paraId="6BF0DA1E" w14:textId="77777777" w:rsidTr="0005416C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1533626F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F540860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bottom w:val="single" w:sz="4" w:space="0" w:color="auto"/>
            </w:tcBorders>
          </w:tcPr>
          <w:p w14:paraId="05D232BB" w14:textId="77777777" w:rsidR="007428D5" w:rsidRPr="00F33FC4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4784A525" w14:textId="77777777" w:rsidTr="0005416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4F180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18A67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74F2A" w14:textId="77777777" w:rsidR="007428D5" w:rsidRPr="00F33FC4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5DA58CC3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60C6E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7896A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F7CDA" w14:textId="77777777" w:rsidR="007428D5" w:rsidRPr="00F33FC4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55A5F23A" w14:textId="77777777" w:rsidTr="0005416C">
        <w:tc>
          <w:tcPr>
            <w:tcW w:w="9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DA028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351DF" w:rsidRPr="00F33FC4" w14:paraId="74D5C76D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5A4A70C9" w14:textId="77777777" w:rsidR="00B351DF" w:rsidRPr="00F33FC4" w:rsidRDefault="001B7328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428D5" w:rsidRPr="00F33FC4" w14:paraId="5616A284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8AE61" w14:textId="77777777" w:rsidR="007428D5" w:rsidRPr="00F33FC4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5C9A6B8C" w14:textId="77777777" w:rsidTr="0005416C"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B22E" w14:textId="77777777" w:rsidR="007428D5" w:rsidRPr="00F33FC4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579D5126" w14:textId="77777777" w:rsidTr="0005416C">
        <w:tc>
          <w:tcPr>
            <w:tcW w:w="9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509CD4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B351DF" w:rsidRPr="00F33FC4" w14:paraId="1017C0A4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493EFA5E" w14:textId="77777777" w:rsidR="00B351DF" w:rsidRPr="00F33FC4" w:rsidRDefault="001B7328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428D5" w:rsidRPr="00F33FC4" w14:paraId="0004A011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DF7B4" w14:textId="77777777" w:rsidR="007428D5" w:rsidRPr="00F33FC4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3118"/>
        <w:gridCol w:w="5634"/>
      </w:tblGrid>
      <w:tr w:rsidR="00525ADE" w:rsidRPr="00E21267" w14:paraId="1C75CCF2" w14:textId="77777777" w:rsidTr="002F1E60"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953EF" w14:textId="77777777" w:rsidR="00525ADE" w:rsidRPr="00E21267" w:rsidRDefault="00525ADE" w:rsidP="006854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525ADE" w:rsidRPr="00E21267" w14:paraId="1C909FFC" w14:textId="77777777" w:rsidTr="00525ADE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42093" w14:textId="77777777" w:rsidR="00525ADE" w:rsidRPr="00E21267" w:rsidRDefault="00525ADE" w:rsidP="00525A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29E3D" w14:textId="77777777" w:rsidR="00525ADE" w:rsidRPr="00E21267" w:rsidRDefault="00525ADE" w:rsidP="00525A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D674B" w14:textId="1FEABFE3" w:rsidR="00525ADE" w:rsidRPr="00E21267" w:rsidRDefault="00525ADE" w:rsidP="002839C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projektā ir iekļautas tiesību normas, </w:t>
            </w:r>
            <w:r w:rsidR="0021287B">
              <w:rPr>
                <w:rFonts w:ascii="Times New Roman" w:hAnsi="Times New Roman" w:cs="Times New Roman"/>
                <w:sz w:val="24"/>
                <w:szCs w:val="24"/>
              </w:rPr>
              <w:t xml:space="preserve">lai nodrošinātu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Eiropas </w:t>
            </w:r>
            <w:r w:rsidR="002128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arlamenta un </w:t>
            </w:r>
            <w:r w:rsidR="002128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adomes</w:t>
            </w:r>
            <w:r w:rsidR="00212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87B" w:rsidRPr="007B6DF2">
              <w:rPr>
                <w:rFonts w:ascii="Times New Roman" w:hAnsi="Times New Roman" w:cs="Times New Roman"/>
                <w:sz w:val="24"/>
                <w:szCs w:val="24"/>
              </w:rPr>
              <w:t xml:space="preserve">2017.gada 15.februāra </w:t>
            </w:r>
            <w:r w:rsidR="002128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egulas (ES) 2017/352, ar ko izveido ostas pakalpojumu sniegšanas sistēmu un kopīgos noteikumus par ostu finanšu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pārredzamību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87B">
              <w:rPr>
                <w:rFonts w:ascii="Times New Roman" w:hAnsi="Times New Roman" w:cs="Times New Roman"/>
                <w:sz w:val="24"/>
                <w:szCs w:val="24"/>
              </w:rPr>
              <w:t>piemērošanu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[publicēta “Eiropas Savienības Oficiālajā Vēstnesī” L 57/1, 03.03.2017.].</w:t>
            </w:r>
          </w:p>
        </w:tc>
      </w:tr>
      <w:tr w:rsidR="00525ADE" w:rsidRPr="00E21267" w14:paraId="491508E3" w14:textId="77777777" w:rsidTr="002F1E60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6440F" w14:textId="77777777" w:rsidR="00525ADE" w:rsidRPr="00E21267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DF885" w14:textId="77777777" w:rsidR="00525ADE" w:rsidRPr="00E21267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3F6EF" w14:textId="4A430EB2" w:rsidR="00525ADE" w:rsidRPr="00E21267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525ADE" w:rsidRPr="00E21267" w14:paraId="2F1F4D98" w14:textId="77777777" w:rsidTr="002F1E60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2D30B" w14:textId="77777777" w:rsidR="00525ADE" w:rsidRPr="00E21267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71A06" w14:textId="77777777" w:rsidR="00525ADE" w:rsidRPr="00E21267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E2787" w14:textId="77777777" w:rsidR="00525ADE" w:rsidRPr="00E21267" w:rsidRDefault="00525ADE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97F8B17" w14:textId="77777777" w:rsidR="00E931A2" w:rsidRDefault="00E931A2"/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931A2" w:rsidRPr="00E21267" w14:paraId="524EA439" w14:textId="5635504D" w:rsidTr="00E931A2"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97156" w14:textId="77777777" w:rsidR="00E931A2" w:rsidRPr="00E931A2" w:rsidRDefault="00E931A2" w:rsidP="00E26133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tabula</w:t>
            </w:r>
          </w:p>
          <w:p w14:paraId="56567A68" w14:textId="77FDB420" w:rsidR="00E931A2" w:rsidRPr="00E931A2" w:rsidRDefault="00E931A2" w:rsidP="00E26133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atbilstība ES tiesību aktiem</w:t>
            </w:r>
          </w:p>
        </w:tc>
      </w:tr>
      <w:tr w:rsidR="00E931A2" w:rsidRPr="00E21267" w14:paraId="2496AB14" w14:textId="77777777" w:rsidTr="00E931A2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8EC56" w14:textId="38FCAA79" w:rsidR="00E931A2" w:rsidRPr="00E21267" w:rsidRDefault="00E931A2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01871" w14:textId="5FC8FF90" w:rsidR="00E931A2" w:rsidRPr="00E21267" w:rsidRDefault="00E931A2" w:rsidP="0068548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Eiropas Parlamenta un Padomes </w:t>
            </w:r>
            <w:r w:rsidRPr="007B6DF2">
              <w:rPr>
                <w:rFonts w:ascii="Times New Roman" w:hAnsi="Times New Roman" w:cs="Times New Roman"/>
                <w:sz w:val="24"/>
                <w:szCs w:val="24"/>
              </w:rPr>
              <w:t xml:space="preserve">2017.gada 15.februāra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 (ES) 2017/352, ar ko izveido ostas pakalpojumu sniegšanas sistēmu un kopīgos noteikumus par ostu finanšu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pārredzamību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piemērošanu[publicēta “Eiropas Savienības Oficiālajā Vēstnesī” L 57/1, 03.03.2017.].</w:t>
            </w:r>
          </w:p>
        </w:tc>
      </w:tr>
      <w:tr w:rsidR="00E931A2" w:rsidRPr="00E21267" w14:paraId="6E0DFF20" w14:textId="77777777" w:rsidTr="00E931A2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78B27" w14:textId="289B98A0" w:rsidR="00E931A2" w:rsidRPr="00E21267" w:rsidRDefault="00E931A2" w:rsidP="003A6B04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1FB48" w14:textId="743B06CB" w:rsidR="00E931A2" w:rsidRPr="00E21267" w:rsidRDefault="00E931A2" w:rsidP="003A6B04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B1E820" w14:textId="17807D54" w:rsidR="00E931A2" w:rsidRPr="00E21267" w:rsidRDefault="00E931A2" w:rsidP="003A6B04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2EDEB" w14:textId="3754C26D" w:rsidR="00E931A2" w:rsidRPr="00E21267" w:rsidRDefault="00E931A2" w:rsidP="003A6B04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931A2" w:rsidRPr="00E21267" w14:paraId="55F442A5" w14:textId="77777777" w:rsidTr="00E931A2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0981E" w14:textId="2D6DB455" w:rsidR="00E931A2" w:rsidRPr="00E21267" w:rsidRDefault="00E931A2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894EF" w14:textId="63217F67" w:rsidR="00E931A2" w:rsidRPr="00E21267" w:rsidRDefault="00E931A2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4543E9" w14:textId="77777777" w:rsidR="00E931A2" w:rsidRPr="00E931A2" w:rsidRDefault="00E931A2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</w:p>
          <w:p w14:paraId="014B1665" w14:textId="77777777" w:rsidR="00E931A2" w:rsidRPr="00E931A2" w:rsidRDefault="00E931A2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29D66D17" w14:textId="38A6BE83" w:rsidR="00E931A2" w:rsidRPr="00E21267" w:rsidRDefault="00E931A2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F1D82EE" w14:textId="77777777" w:rsidR="00E931A2" w:rsidRPr="00E931A2" w:rsidRDefault="00E931A2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</w:p>
          <w:p w14:paraId="2A34D71A" w14:textId="77777777" w:rsidR="00E931A2" w:rsidRPr="00E931A2" w:rsidRDefault="00E931A2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Ja projekts satur stingrākas prasības nekā attiecīgais ES tiesību akts, norāda pamatojumu un samērīgumu.</w:t>
            </w:r>
          </w:p>
          <w:p w14:paraId="2223E426" w14:textId="482CD6FD" w:rsidR="00E931A2" w:rsidRPr="00E21267" w:rsidRDefault="00E931A2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BA498C" w:rsidRPr="00E21267" w14:paraId="13501283" w14:textId="77777777" w:rsidTr="00E931A2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487F8" w14:textId="209FBC87" w:rsidR="00BA498C" w:rsidRPr="00E21267" w:rsidRDefault="00BA498C" w:rsidP="00BA49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 xml:space="preserve"> 2017/352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panta 1. daļa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10A96" w14:textId="2B105BF0" w:rsidR="00BA498C" w:rsidRPr="00E21267" w:rsidRDefault="00BA498C" w:rsidP="00BA49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2. punkts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AC00000" w14:textId="1215BFE1" w:rsidR="00BA498C" w:rsidRPr="00E21267" w:rsidRDefault="00BA498C" w:rsidP="00BA49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Tiesību norma ieviesta pilnībā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2CCBBDE" w14:textId="4907D7B1" w:rsidR="00BA498C" w:rsidRPr="00E21267" w:rsidRDefault="00BA498C" w:rsidP="00BA49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Projekts stingrākas prasības neparedz</w:t>
            </w:r>
          </w:p>
        </w:tc>
      </w:tr>
      <w:tr w:rsidR="00BA498C" w:rsidRPr="00E21267" w14:paraId="607EE2D7" w14:textId="77777777" w:rsidTr="00890636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C38C1" w14:textId="5BEDFC04" w:rsidR="00BA498C" w:rsidRPr="00E21267" w:rsidRDefault="00BA498C" w:rsidP="00BA49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 xml:space="preserve"> 2017/352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 panta 1. daļa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A303C" w14:textId="53EA085C" w:rsidR="00BA498C" w:rsidRPr="00E21267" w:rsidRDefault="00BA498C" w:rsidP="00BA498C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10. punkts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C94BC3" w14:textId="676ED46E" w:rsidR="00BA498C" w:rsidRPr="00E21267" w:rsidRDefault="00BA498C" w:rsidP="00BA49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Tiesību norma ieviesta pilnībā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56C22C6" w14:textId="09853B82" w:rsidR="00BA498C" w:rsidRPr="00E21267" w:rsidRDefault="00BA498C" w:rsidP="00BA49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Projekts stingrākas prasības neparedz</w:t>
            </w:r>
          </w:p>
        </w:tc>
      </w:tr>
      <w:tr w:rsidR="00BA498C" w:rsidRPr="00E21267" w14:paraId="4816F3D3" w14:textId="77777777" w:rsidTr="003A6B04"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60B41" w14:textId="1866A3AF" w:rsidR="00BA498C" w:rsidRPr="00E21267" w:rsidRDefault="00BA498C" w:rsidP="00BA49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2">
              <w:rPr>
                <w:rFonts w:ascii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DD3E6" w14:textId="26741589" w:rsidR="00BA498C" w:rsidRPr="00E26133" w:rsidRDefault="00BA498C" w:rsidP="00BA498C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A498C" w:rsidRPr="00E21267" w14:paraId="395105FE" w14:textId="77777777" w:rsidTr="00E26133"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F8014" w14:textId="78AF1C64" w:rsidR="00BA498C" w:rsidRPr="00E931A2" w:rsidRDefault="00BA498C" w:rsidP="00BA498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sz w:val="24"/>
                <w:szCs w:val="24"/>
              </w:rPr>
              <w:t xml:space="preserve">Saistības sniegt paziņojumu ES institūcijām un ES dalībvalstīm atbilstoši normatīvajiem </w:t>
            </w:r>
            <w:r w:rsidRPr="00E26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172E2" w14:textId="4E6AF6D8" w:rsidR="00BA498C" w:rsidRPr="00A25E14" w:rsidRDefault="00BA498C" w:rsidP="00BA498C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A498C" w:rsidRPr="00E21267" w14:paraId="4833E104" w14:textId="77777777" w:rsidTr="00C027DF"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951AD" w14:textId="032C4E9D" w:rsidR="00BA498C" w:rsidRPr="00E931A2" w:rsidRDefault="00BA498C" w:rsidP="00BA498C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F2ED1" w14:textId="649A1F1F" w:rsidR="00BA498C" w:rsidRPr="00A25E14" w:rsidRDefault="00BA498C" w:rsidP="00BA498C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E2777CA" w14:textId="77777777" w:rsidR="00E26133" w:rsidRDefault="00E26133"/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1512"/>
        <w:gridCol w:w="1512"/>
        <w:gridCol w:w="3024"/>
      </w:tblGrid>
      <w:tr w:rsidR="00E26133" w:rsidRPr="00E21267" w14:paraId="36EF36E7" w14:textId="77777777" w:rsidTr="00E26133"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427F3" w14:textId="77777777" w:rsidR="00E26133" w:rsidRPr="00E26133" w:rsidRDefault="00E26133" w:rsidP="00E261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tabula</w:t>
            </w:r>
          </w:p>
          <w:p w14:paraId="1BBD79E9" w14:textId="77777777" w:rsidR="00E26133" w:rsidRPr="00E26133" w:rsidRDefault="00E26133" w:rsidP="00E261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74AD49A5" w14:textId="4EFA90F2" w:rsidR="00E26133" w:rsidRPr="00E26133" w:rsidRDefault="00E26133" w:rsidP="00E2613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Pasākumi šo saistību izpildei</w:t>
            </w:r>
          </w:p>
        </w:tc>
      </w:tr>
      <w:tr w:rsidR="00E26133" w:rsidRPr="00E21267" w14:paraId="0FA679D0" w14:textId="77777777" w:rsidTr="00E26133"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A44C0" w14:textId="0FC34F67" w:rsidR="00E26133" w:rsidRPr="00E21267" w:rsidRDefault="00E26133" w:rsidP="00E261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sz w:val="24"/>
                <w:szCs w:val="24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EA6EC" w14:textId="6F4205A2" w:rsidR="00E26133" w:rsidRPr="00E21267" w:rsidRDefault="00E26133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26133" w:rsidRPr="00E21267" w14:paraId="306BF150" w14:textId="77777777" w:rsidTr="00E26133">
        <w:trPr>
          <w:trHeight w:val="304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E15BD" w14:textId="7309B151" w:rsidR="00E26133" w:rsidRPr="00E21267" w:rsidRDefault="00E26133" w:rsidP="00E26133">
            <w:pPr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4C867" w14:textId="55E46A55" w:rsidR="00E26133" w:rsidRPr="00E21267" w:rsidRDefault="00E26133" w:rsidP="00E26133">
            <w:pPr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D45D0" w14:textId="36D02D19" w:rsidR="00E26133" w:rsidRPr="00E21267" w:rsidRDefault="00E26133" w:rsidP="00E26133">
            <w:pPr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26133" w:rsidRPr="00E21267" w14:paraId="4E74A79B" w14:textId="77777777" w:rsidTr="00E26133"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6F7AB" w14:textId="7F6277E0" w:rsidR="00E26133" w:rsidRPr="00E21267" w:rsidRDefault="00E26133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85BEC" w14:textId="2E997AE7" w:rsidR="00E26133" w:rsidRPr="00E21267" w:rsidRDefault="00E26133" w:rsidP="00E261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3B71D" w14:textId="30EC784D" w:rsidR="00E26133" w:rsidRPr="00E21267" w:rsidRDefault="00E26133" w:rsidP="00E261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A25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E26133" w:rsidRPr="00E21267" w14:paraId="66997AE2" w14:textId="77777777" w:rsidTr="00E26133"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0D73C" w14:textId="77777777" w:rsidR="00E26133" w:rsidRPr="00E21267" w:rsidRDefault="00E26133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DEA8C" w14:textId="77777777" w:rsidR="00E26133" w:rsidRPr="00E21267" w:rsidRDefault="00E26133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2B9AA" w14:textId="77777777" w:rsidR="00E26133" w:rsidRPr="00E21267" w:rsidRDefault="00E26133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33" w:rsidRPr="00E21267" w14:paraId="578626A9" w14:textId="77777777" w:rsidTr="009E66B1"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E0FFE" w14:textId="1C30A85A" w:rsidR="00E26133" w:rsidRPr="00E21267" w:rsidRDefault="00E26133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sz w:val="24"/>
                <w:szCs w:val="24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6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4DA43" w14:textId="11F4E3E9" w:rsidR="00E26133" w:rsidRPr="00E21267" w:rsidRDefault="00E26133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pretrunā.</w:t>
            </w:r>
          </w:p>
        </w:tc>
      </w:tr>
      <w:tr w:rsidR="00E26133" w:rsidRPr="00E21267" w14:paraId="2D2031BB" w14:textId="77777777" w:rsidTr="009E66B1"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0CC43" w14:textId="57E708BD" w:rsidR="00E26133" w:rsidRPr="00E21267" w:rsidRDefault="00E26133" w:rsidP="00E931A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902E0" w14:textId="59AA88F9" w:rsidR="00E26133" w:rsidRPr="00E21267" w:rsidRDefault="00E26133" w:rsidP="002F1E6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23"/>
        <w:gridCol w:w="5976"/>
      </w:tblGrid>
      <w:tr w:rsidR="00E931A2" w:rsidRPr="00F33FC4" w14:paraId="411C19E1" w14:textId="77777777" w:rsidTr="0005416C"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8389" w14:textId="77777777" w:rsidR="00E931A2" w:rsidRDefault="00E931A2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3A50C144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23DEEDAD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DE5B8B" w:rsidRPr="00F33FC4" w14:paraId="11452D94" w14:textId="77777777" w:rsidTr="0068548B">
        <w:tc>
          <w:tcPr>
            <w:tcW w:w="562" w:type="dxa"/>
          </w:tcPr>
          <w:p w14:paraId="4713291E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14:paraId="451D2E74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Plānotās sabiedrības līdzdalības un komunikācijas </w:t>
            </w:r>
            <w:r w:rsidRPr="00F3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aktivitātes saistībā ar projektu</w:t>
            </w:r>
          </w:p>
        </w:tc>
        <w:tc>
          <w:tcPr>
            <w:tcW w:w="5976" w:type="dxa"/>
          </w:tcPr>
          <w:p w14:paraId="0B8BE7B8" w14:textId="78778F1B" w:rsidR="00DE5B8B" w:rsidRPr="00F33FC4" w:rsidRDefault="007B6DF2" w:rsidP="000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Atbilstoši Ministru kabineta 2009.gada 25.augusta noteikumu Nr.970 „Sabiedrības līdzdalības kārtība attīstības plānošanas procesā” 7.4.</w:t>
            </w:r>
            <w:r w:rsidRPr="00685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B6DF2">
              <w:rPr>
                <w:rFonts w:ascii="Times New Roman" w:hAnsi="Times New Roman" w:cs="Times New Roman"/>
                <w:sz w:val="24"/>
                <w:szCs w:val="24"/>
              </w:rPr>
              <w:t xml:space="preserve"> apakšpunktam </w:t>
            </w:r>
            <w:r w:rsidRPr="007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sabiedrībai tika dota iespēja rakstiski sniegt viedokli par not</w:t>
            </w:r>
            <w:bookmarkStart w:id="0" w:name="_GoBack"/>
            <w:bookmarkEnd w:id="0"/>
            <w:r w:rsidRPr="007B6DF2">
              <w:rPr>
                <w:rFonts w:ascii="Times New Roman" w:hAnsi="Times New Roman" w:cs="Times New Roman"/>
                <w:sz w:val="24"/>
                <w:szCs w:val="24"/>
              </w:rPr>
              <w:t>eikumu projektu tā izstrādes stadijā.</w:t>
            </w:r>
          </w:p>
        </w:tc>
      </w:tr>
      <w:tr w:rsidR="00DE5B8B" w:rsidRPr="00F33FC4" w14:paraId="487F8031" w14:textId="77777777" w:rsidTr="0068548B">
        <w:tc>
          <w:tcPr>
            <w:tcW w:w="562" w:type="dxa"/>
          </w:tcPr>
          <w:p w14:paraId="25F22EEE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3" w:type="dxa"/>
          </w:tcPr>
          <w:p w14:paraId="56FF21B9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976" w:type="dxa"/>
          </w:tcPr>
          <w:p w14:paraId="14BD9811" w14:textId="697361BC" w:rsidR="00DE5B8B" w:rsidRPr="00F33FC4" w:rsidRDefault="007B6DF2" w:rsidP="0068548B">
            <w:pPr>
              <w:pStyle w:val="naiskr"/>
            </w:pPr>
            <w:r w:rsidRPr="00E21267">
              <w:rPr>
                <w:bCs/>
              </w:rPr>
              <w:t xml:space="preserve">Paziņojums par līdzdalības iespējām tiesību akta izstrādes procesā 2019.gada </w:t>
            </w:r>
            <w:r w:rsidR="007A51BF">
              <w:rPr>
                <w:bCs/>
              </w:rPr>
              <w:t>29</w:t>
            </w:r>
            <w:r>
              <w:rPr>
                <w:bCs/>
              </w:rPr>
              <w:t>.jū</w:t>
            </w:r>
            <w:r w:rsidR="007A51BF">
              <w:rPr>
                <w:bCs/>
              </w:rPr>
              <w:t>l</w:t>
            </w:r>
            <w:r>
              <w:rPr>
                <w:bCs/>
              </w:rPr>
              <w:t>ijā</w:t>
            </w:r>
            <w:r w:rsidRPr="00E21267">
              <w:rPr>
                <w:bCs/>
              </w:rPr>
              <w:t xml:space="preserve"> ievietots Satiksmes ministrijas tīmekļa vietnē</w:t>
            </w:r>
            <w:r>
              <w:t xml:space="preserve"> </w:t>
            </w:r>
            <w:hyperlink r:id="rId6" w:history="1">
              <w:r w:rsidR="003E5890" w:rsidRPr="00444D00">
                <w:rPr>
                  <w:rStyle w:val="Hyperlink"/>
                  <w:bCs/>
                </w:rPr>
                <w:t>http://www.sam.gov.lv/sm/content/?cat=553</w:t>
              </w:r>
            </w:hyperlink>
          </w:p>
        </w:tc>
      </w:tr>
      <w:tr w:rsidR="00DE5B8B" w:rsidRPr="00F33FC4" w14:paraId="7D89171A" w14:textId="77777777" w:rsidTr="0068548B">
        <w:tc>
          <w:tcPr>
            <w:tcW w:w="562" w:type="dxa"/>
            <w:tcBorders>
              <w:bottom w:val="single" w:sz="4" w:space="0" w:color="auto"/>
            </w:tcBorders>
          </w:tcPr>
          <w:p w14:paraId="5E65C498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133F189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14:paraId="40C5C0FA" w14:textId="101EE2F6" w:rsidR="00DE5B8B" w:rsidRPr="00F33FC4" w:rsidRDefault="0050674A" w:rsidP="0068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Iebildumi un priekšlikumi netika saņemti</w:t>
            </w:r>
            <w:r w:rsidR="0000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B8B" w:rsidRPr="00F33FC4" w14:paraId="25799A52" w14:textId="77777777" w:rsidTr="0068548B">
        <w:tc>
          <w:tcPr>
            <w:tcW w:w="562" w:type="dxa"/>
            <w:tcBorders>
              <w:bottom w:val="single" w:sz="4" w:space="0" w:color="auto"/>
            </w:tcBorders>
          </w:tcPr>
          <w:p w14:paraId="0F483569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035C573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14:paraId="09E4B17C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428D5" w:rsidRPr="00F33FC4" w14:paraId="4CF1304C" w14:textId="77777777" w:rsidTr="0068548B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284F9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405CC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F2592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59F9367B" w14:textId="77777777" w:rsidTr="0068548B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67CFB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58CB1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31E2B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44435A16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4521FF13" w14:textId="77777777" w:rsidR="00B351DF" w:rsidRPr="00F33FC4" w:rsidRDefault="00FC0705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FC0705" w:rsidRPr="00F33FC4" w14:paraId="59FD8C37" w14:textId="77777777" w:rsidTr="0068548B">
        <w:tc>
          <w:tcPr>
            <w:tcW w:w="562" w:type="dxa"/>
          </w:tcPr>
          <w:p w14:paraId="66E3E431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14:paraId="4FB622B6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5976" w:type="dxa"/>
          </w:tcPr>
          <w:p w14:paraId="195E8413" w14:textId="0BF59F9B" w:rsidR="00FC0705" w:rsidRPr="00F33FC4" w:rsidRDefault="00A90419" w:rsidP="00393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19">
              <w:rPr>
                <w:rFonts w:ascii="Times New Roman" w:hAnsi="Times New Roman" w:cs="Times New Roman"/>
                <w:sz w:val="24"/>
                <w:szCs w:val="24"/>
              </w:rPr>
              <w:t xml:space="preserve">Liepājas </w:t>
            </w:r>
            <w:r w:rsidR="0050674A">
              <w:rPr>
                <w:rFonts w:ascii="Times New Roman" w:hAnsi="Times New Roman" w:cs="Times New Roman"/>
                <w:sz w:val="24"/>
                <w:szCs w:val="24"/>
              </w:rPr>
              <w:t>SEZ</w:t>
            </w:r>
            <w:r w:rsidRPr="00A90419">
              <w:rPr>
                <w:rFonts w:ascii="Times New Roman" w:hAnsi="Times New Roman" w:cs="Times New Roman"/>
                <w:sz w:val="24"/>
                <w:szCs w:val="24"/>
              </w:rPr>
              <w:t xml:space="preserve"> pārvalde.</w:t>
            </w:r>
          </w:p>
        </w:tc>
      </w:tr>
      <w:tr w:rsidR="00FC0705" w:rsidRPr="00F33FC4" w14:paraId="66634A53" w14:textId="77777777" w:rsidTr="0068548B">
        <w:tc>
          <w:tcPr>
            <w:tcW w:w="562" w:type="dxa"/>
          </w:tcPr>
          <w:p w14:paraId="6EF90679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14:paraId="627A50C2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0979059C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F111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976" w:type="dxa"/>
          </w:tcPr>
          <w:p w14:paraId="57A4BFEA" w14:textId="6CB32498" w:rsidR="00FC0705" w:rsidRPr="00F33FC4" w:rsidRDefault="00393E8E" w:rsidP="00393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 uz pārvaldes funkcijām un institucionālo struktūru. Nav paredzēta jaunu institūciju izveide, esošu institūciju likvidācija vai reorganizācija, ne arī to ietekme uz institūcijas cilvēkresursiem.</w:t>
            </w:r>
          </w:p>
        </w:tc>
      </w:tr>
      <w:tr w:rsidR="00FC0705" w:rsidRPr="00F33FC4" w14:paraId="6855CFC3" w14:textId="77777777" w:rsidTr="0068548B">
        <w:tc>
          <w:tcPr>
            <w:tcW w:w="562" w:type="dxa"/>
          </w:tcPr>
          <w:p w14:paraId="0A274C97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3" w:type="dxa"/>
          </w:tcPr>
          <w:p w14:paraId="20B1E8B1" w14:textId="77777777" w:rsidR="00FC0705" w:rsidRPr="00F33FC4" w:rsidRDefault="00FC0705" w:rsidP="0068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976" w:type="dxa"/>
          </w:tcPr>
          <w:p w14:paraId="64388BBD" w14:textId="77777777" w:rsidR="00FC0705" w:rsidRPr="00F33FC4" w:rsidRDefault="00393E8E" w:rsidP="00393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F106094" w14:textId="77777777" w:rsidR="00B351DF" w:rsidRPr="00F33FC4" w:rsidRDefault="00B351DF" w:rsidP="00B351DF">
      <w:pPr>
        <w:rPr>
          <w:rFonts w:ascii="Times New Roman" w:hAnsi="Times New Roman" w:cs="Times New Roman"/>
          <w:sz w:val="24"/>
          <w:szCs w:val="24"/>
        </w:rPr>
      </w:pPr>
    </w:p>
    <w:p w14:paraId="54DDC5B2" w14:textId="77777777" w:rsidR="007D6BC7" w:rsidRDefault="007D6BC7" w:rsidP="00CF55B2">
      <w:pPr>
        <w:rPr>
          <w:rFonts w:ascii="Times New Roman" w:hAnsi="Times New Roman" w:cs="Times New Roman"/>
          <w:sz w:val="24"/>
          <w:szCs w:val="24"/>
        </w:rPr>
      </w:pPr>
    </w:p>
    <w:p w14:paraId="649D373D" w14:textId="49F4F166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  <w:r w:rsidRPr="00F33FC4"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</w:t>
      </w:r>
      <w:proofErr w:type="spellStart"/>
      <w:r w:rsidRPr="00F33FC4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14:paraId="43AC7442" w14:textId="77777777" w:rsidR="007D6BC7" w:rsidRDefault="007D6BC7" w:rsidP="00CF55B2">
      <w:pPr>
        <w:rPr>
          <w:rFonts w:ascii="Times New Roman" w:hAnsi="Times New Roman" w:cs="Times New Roman"/>
          <w:sz w:val="24"/>
          <w:szCs w:val="24"/>
        </w:rPr>
      </w:pPr>
    </w:p>
    <w:p w14:paraId="7E5D00CA" w14:textId="79DD8E63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  <w:r w:rsidRPr="00F33FC4">
        <w:rPr>
          <w:rFonts w:ascii="Times New Roman" w:hAnsi="Times New Roman" w:cs="Times New Roman"/>
          <w:sz w:val="24"/>
          <w:szCs w:val="24"/>
        </w:rPr>
        <w:t>Vīza:</w:t>
      </w:r>
      <w:r w:rsidRPr="00F33FC4">
        <w:rPr>
          <w:rFonts w:ascii="Times New Roman" w:hAnsi="Times New Roman" w:cs="Times New Roman"/>
          <w:sz w:val="24"/>
          <w:szCs w:val="24"/>
        </w:rPr>
        <w:br/>
        <w:t>valsts sekretār</w:t>
      </w:r>
      <w:r w:rsidR="00DF477E" w:rsidRPr="00F33FC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50994">
        <w:rPr>
          <w:rFonts w:ascii="Times New Roman" w:hAnsi="Times New Roman" w:cs="Times New Roman"/>
          <w:sz w:val="24"/>
          <w:szCs w:val="24"/>
        </w:rPr>
        <w:t>p</w:t>
      </w:r>
      <w:r w:rsidR="00DF477E" w:rsidRPr="00F33FC4">
        <w:rPr>
          <w:rFonts w:ascii="Times New Roman" w:hAnsi="Times New Roman" w:cs="Times New Roman"/>
          <w:sz w:val="24"/>
          <w:szCs w:val="24"/>
        </w:rPr>
        <w:t>.</w:t>
      </w:r>
      <w:r w:rsidR="006509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477E" w:rsidRPr="00F33FC4">
        <w:rPr>
          <w:rFonts w:ascii="Times New Roman" w:hAnsi="Times New Roman" w:cs="Times New Roman"/>
          <w:sz w:val="24"/>
          <w:szCs w:val="24"/>
        </w:rPr>
        <w:t>.</w:t>
      </w:r>
      <w:r w:rsidRPr="00F33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DF477E" w:rsidRPr="00F33FC4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DF477E" w:rsidRPr="00F33FC4">
        <w:rPr>
          <w:rFonts w:ascii="Times New Roman" w:hAnsi="Times New Roman" w:cs="Times New Roman"/>
          <w:sz w:val="24"/>
          <w:szCs w:val="24"/>
        </w:rPr>
        <w:t>. Innusa</w:t>
      </w:r>
    </w:p>
    <w:p w14:paraId="50F43939" w14:textId="77777777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</w:p>
    <w:p w14:paraId="444412A7" w14:textId="77777777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</w:p>
    <w:p w14:paraId="028C6D6F" w14:textId="54186569" w:rsidR="00CF55B2" w:rsidRPr="00F33FC4" w:rsidRDefault="00CF55B2" w:rsidP="00CF55B2">
      <w:pPr>
        <w:rPr>
          <w:rFonts w:ascii="Times New Roman" w:hAnsi="Times New Roman" w:cs="Times New Roman"/>
          <w:sz w:val="20"/>
          <w:szCs w:val="20"/>
        </w:rPr>
      </w:pPr>
      <w:r w:rsidRPr="00F33FC4">
        <w:rPr>
          <w:rFonts w:ascii="Times New Roman" w:hAnsi="Times New Roman" w:cs="Times New Roman"/>
          <w:sz w:val="20"/>
          <w:szCs w:val="20"/>
        </w:rPr>
        <w:br/>
      </w:r>
    </w:p>
    <w:p w14:paraId="604EE9DA" w14:textId="77777777" w:rsidR="00CF55B2" w:rsidRPr="00F33FC4" w:rsidRDefault="00CF55B2" w:rsidP="00B351DF">
      <w:pPr>
        <w:rPr>
          <w:rFonts w:ascii="Times New Roman" w:hAnsi="Times New Roman" w:cs="Times New Roman"/>
          <w:sz w:val="24"/>
          <w:szCs w:val="24"/>
        </w:rPr>
      </w:pPr>
    </w:p>
    <w:sectPr w:rsidR="00CF55B2" w:rsidRPr="00F33FC4" w:rsidSect="00F85FC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2727D" w14:textId="77777777" w:rsidR="00E964A6" w:rsidRDefault="00E964A6" w:rsidP="00F85FC7">
      <w:pPr>
        <w:spacing w:after="0" w:line="240" w:lineRule="auto"/>
      </w:pPr>
      <w:r>
        <w:separator/>
      </w:r>
    </w:p>
  </w:endnote>
  <w:endnote w:type="continuationSeparator" w:id="0">
    <w:p w14:paraId="2E1A95EC" w14:textId="77777777" w:rsidR="00E964A6" w:rsidRDefault="00E964A6" w:rsidP="00F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2CBA" w14:textId="4F196664" w:rsidR="008167C9" w:rsidRPr="00CF55B2" w:rsidRDefault="008167C9">
    <w:pPr>
      <w:pStyle w:val="Footer"/>
      <w:rPr>
        <w:rFonts w:ascii="Times New Roman" w:hAnsi="Times New Roman" w:cs="Times New Roman"/>
        <w:sz w:val="20"/>
        <w:szCs w:val="20"/>
      </w:rPr>
    </w:pPr>
    <w:r w:rsidRPr="00CF55B2">
      <w:rPr>
        <w:rFonts w:ascii="Times New Roman" w:hAnsi="Times New Roman" w:cs="Times New Roman"/>
        <w:sz w:val="20"/>
        <w:szCs w:val="20"/>
      </w:rPr>
      <w:t>SManot_</w:t>
    </w:r>
    <w:r w:rsidR="002839C6">
      <w:rPr>
        <w:rFonts w:ascii="Times New Roman" w:hAnsi="Times New Roman" w:cs="Times New Roman"/>
        <w:sz w:val="20"/>
        <w:szCs w:val="20"/>
      </w:rPr>
      <w:t>26</w:t>
    </w:r>
    <w:r w:rsidRPr="00CF55B2">
      <w:rPr>
        <w:rFonts w:ascii="Times New Roman" w:hAnsi="Times New Roman" w:cs="Times New Roman"/>
        <w:sz w:val="20"/>
        <w:szCs w:val="20"/>
      </w:rPr>
      <w:t>0</w:t>
    </w:r>
    <w:r w:rsidR="002839C6">
      <w:rPr>
        <w:rFonts w:ascii="Times New Roman" w:hAnsi="Times New Roman" w:cs="Times New Roman"/>
        <w:sz w:val="20"/>
        <w:szCs w:val="20"/>
      </w:rPr>
      <w:t>7</w:t>
    </w:r>
    <w:r w:rsidRPr="00CF55B2">
      <w:rPr>
        <w:rFonts w:ascii="Times New Roman" w:hAnsi="Times New Roman" w:cs="Times New Roman"/>
        <w:sz w:val="20"/>
        <w:szCs w:val="20"/>
      </w:rPr>
      <w:t>19_osta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EA3B" w14:textId="469F625F" w:rsidR="008167C9" w:rsidRPr="00CF55B2" w:rsidRDefault="008167C9">
    <w:pPr>
      <w:pStyle w:val="Footer"/>
      <w:rPr>
        <w:rFonts w:ascii="Times New Roman" w:hAnsi="Times New Roman" w:cs="Times New Roman"/>
        <w:sz w:val="20"/>
        <w:szCs w:val="20"/>
      </w:rPr>
    </w:pPr>
    <w:r w:rsidRPr="00CF55B2">
      <w:rPr>
        <w:rFonts w:ascii="Times New Roman" w:hAnsi="Times New Roman" w:cs="Times New Roman"/>
        <w:sz w:val="20"/>
        <w:szCs w:val="20"/>
      </w:rPr>
      <w:t>SManot_</w:t>
    </w:r>
    <w:r w:rsidR="00650994">
      <w:rPr>
        <w:rFonts w:ascii="Times New Roman" w:hAnsi="Times New Roman" w:cs="Times New Roman"/>
        <w:sz w:val="20"/>
        <w:szCs w:val="20"/>
      </w:rPr>
      <w:t>17</w:t>
    </w:r>
    <w:r w:rsidRPr="00CF55B2">
      <w:rPr>
        <w:rFonts w:ascii="Times New Roman" w:hAnsi="Times New Roman" w:cs="Times New Roman"/>
        <w:sz w:val="20"/>
        <w:szCs w:val="20"/>
      </w:rPr>
      <w:t>0</w:t>
    </w:r>
    <w:r w:rsidR="00650994">
      <w:rPr>
        <w:rFonts w:ascii="Times New Roman" w:hAnsi="Times New Roman" w:cs="Times New Roman"/>
        <w:sz w:val="20"/>
        <w:szCs w:val="20"/>
      </w:rPr>
      <w:t>5</w:t>
    </w:r>
    <w:r w:rsidRPr="00CF55B2">
      <w:rPr>
        <w:rFonts w:ascii="Times New Roman" w:hAnsi="Times New Roman" w:cs="Times New Roman"/>
        <w:sz w:val="20"/>
        <w:szCs w:val="20"/>
      </w:rPr>
      <w:t>19_osta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4573" w14:textId="77777777" w:rsidR="00E964A6" w:rsidRDefault="00E964A6" w:rsidP="00F85FC7">
      <w:pPr>
        <w:spacing w:after="0" w:line="240" w:lineRule="auto"/>
      </w:pPr>
      <w:r>
        <w:separator/>
      </w:r>
    </w:p>
  </w:footnote>
  <w:footnote w:type="continuationSeparator" w:id="0">
    <w:p w14:paraId="481161EF" w14:textId="77777777" w:rsidR="00E964A6" w:rsidRDefault="00E964A6" w:rsidP="00F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229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B99076" w14:textId="57501364" w:rsidR="008167C9" w:rsidRPr="00F85FC7" w:rsidRDefault="008167C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F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F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F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8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F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E806B6" w14:textId="77777777" w:rsidR="008167C9" w:rsidRDefault="00816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1DF"/>
    <w:rsid w:val="000021F7"/>
    <w:rsid w:val="000132D2"/>
    <w:rsid w:val="00013793"/>
    <w:rsid w:val="000141E8"/>
    <w:rsid w:val="0003011F"/>
    <w:rsid w:val="00042C07"/>
    <w:rsid w:val="00042E15"/>
    <w:rsid w:val="00046010"/>
    <w:rsid w:val="00051E84"/>
    <w:rsid w:val="000533A8"/>
    <w:rsid w:val="0005416C"/>
    <w:rsid w:val="000612DA"/>
    <w:rsid w:val="00064761"/>
    <w:rsid w:val="000673C9"/>
    <w:rsid w:val="00073D08"/>
    <w:rsid w:val="00082ED5"/>
    <w:rsid w:val="00083FBA"/>
    <w:rsid w:val="000A47BD"/>
    <w:rsid w:val="000B3AD0"/>
    <w:rsid w:val="000B3BB2"/>
    <w:rsid w:val="000B4240"/>
    <w:rsid w:val="000B6202"/>
    <w:rsid w:val="000C58A9"/>
    <w:rsid w:val="000C620F"/>
    <w:rsid w:val="000D0967"/>
    <w:rsid w:val="000D0F3E"/>
    <w:rsid w:val="000D0F40"/>
    <w:rsid w:val="000E2027"/>
    <w:rsid w:val="000F77CE"/>
    <w:rsid w:val="00104388"/>
    <w:rsid w:val="00105EFB"/>
    <w:rsid w:val="001358EF"/>
    <w:rsid w:val="00146F4D"/>
    <w:rsid w:val="00147171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B12EA"/>
    <w:rsid w:val="001B7328"/>
    <w:rsid w:val="001C4598"/>
    <w:rsid w:val="001D0959"/>
    <w:rsid w:val="001D15B1"/>
    <w:rsid w:val="001D1992"/>
    <w:rsid w:val="001D6DC6"/>
    <w:rsid w:val="001E0538"/>
    <w:rsid w:val="001E5DFB"/>
    <w:rsid w:val="001F44D2"/>
    <w:rsid w:val="0020030B"/>
    <w:rsid w:val="00202370"/>
    <w:rsid w:val="00207605"/>
    <w:rsid w:val="00207D88"/>
    <w:rsid w:val="0021287B"/>
    <w:rsid w:val="002207E4"/>
    <w:rsid w:val="0022318E"/>
    <w:rsid w:val="00226E94"/>
    <w:rsid w:val="00233562"/>
    <w:rsid w:val="00234F72"/>
    <w:rsid w:val="00240F59"/>
    <w:rsid w:val="002411F0"/>
    <w:rsid w:val="00241FE8"/>
    <w:rsid w:val="00245BBD"/>
    <w:rsid w:val="00257C26"/>
    <w:rsid w:val="002648C4"/>
    <w:rsid w:val="00272746"/>
    <w:rsid w:val="00273D91"/>
    <w:rsid w:val="00282EB3"/>
    <w:rsid w:val="002839C6"/>
    <w:rsid w:val="00284D9E"/>
    <w:rsid w:val="00285633"/>
    <w:rsid w:val="0028654D"/>
    <w:rsid w:val="00293D13"/>
    <w:rsid w:val="00296EDD"/>
    <w:rsid w:val="002C1CF0"/>
    <w:rsid w:val="002D6937"/>
    <w:rsid w:val="002F06DC"/>
    <w:rsid w:val="002F0784"/>
    <w:rsid w:val="003022FA"/>
    <w:rsid w:val="00304037"/>
    <w:rsid w:val="003066D3"/>
    <w:rsid w:val="00311C8E"/>
    <w:rsid w:val="003127B1"/>
    <w:rsid w:val="00320FBA"/>
    <w:rsid w:val="00344513"/>
    <w:rsid w:val="003478BD"/>
    <w:rsid w:val="00356304"/>
    <w:rsid w:val="003715C7"/>
    <w:rsid w:val="003750A1"/>
    <w:rsid w:val="00375A6B"/>
    <w:rsid w:val="00384B96"/>
    <w:rsid w:val="00387E05"/>
    <w:rsid w:val="00393E8E"/>
    <w:rsid w:val="0039770D"/>
    <w:rsid w:val="003A3009"/>
    <w:rsid w:val="003A6B04"/>
    <w:rsid w:val="003B09BC"/>
    <w:rsid w:val="003B3D8A"/>
    <w:rsid w:val="003B4D04"/>
    <w:rsid w:val="003B52CE"/>
    <w:rsid w:val="003C2303"/>
    <w:rsid w:val="003C57ED"/>
    <w:rsid w:val="003C5C9D"/>
    <w:rsid w:val="003E5890"/>
    <w:rsid w:val="003F15AE"/>
    <w:rsid w:val="003F6C85"/>
    <w:rsid w:val="00402CC8"/>
    <w:rsid w:val="004113A2"/>
    <w:rsid w:val="00413070"/>
    <w:rsid w:val="00415551"/>
    <w:rsid w:val="0044240A"/>
    <w:rsid w:val="00472D61"/>
    <w:rsid w:val="0048718B"/>
    <w:rsid w:val="004A611D"/>
    <w:rsid w:val="004A6ABE"/>
    <w:rsid w:val="004B09F6"/>
    <w:rsid w:val="004C4EFC"/>
    <w:rsid w:val="004C7931"/>
    <w:rsid w:val="004C7C34"/>
    <w:rsid w:val="004D51A7"/>
    <w:rsid w:val="004E1F55"/>
    <w:rsid w:val="004F2D3A"/>
    <w:rsid w:val="00501A53"/>
    <w:rsid w:val="00503D28"/>
    <w:rsid w:val="0050674A"/>
    <w:rsid w:val="00507EF2"/>
    <w:rsid w:val="00523B9E"/>
    <w:rsid w:val="00525ADE"/>
    <w:rsid w:val="005309A1"/>
    <w:rsid w:val="00535DC7"/>
    <w:rsid w:val="00543614"/>
    <w:rsid w:val="00547070"/>
    <w:rsid w:val="00552001"/>
    <w:rsid w:val="00565702"/>
    <w:rsid w:val="00596147"/>
    <w:rsid w:val="005A1193"/>
    <w:rsid w:val="005A40E1"/>
    <w:rsid w:val="005B121C"/>
    <w:rsid w:val="005C25F4"/>
    <w:rsid w:val="005C6A74"/>
    <w:rsid w:val="005C74AF"/>
    <w:rsid w:val="005D057E"/>
    <w:rsid w:val="005D19C1"/>
    <w:rsid w:val="005D23AE"/>
    <w:rsid w:val="005D3389"/>
    <w:rsid w:val="005F48D3"/>
    <w:rsid w:val="005F7D4D"/>
    <w:rsid w:val="00607BA7"/>
    <w:rsid w:val="00616D80"/>
    <w:rsid w:val="00631967"/>
    <w:rsid w:val="006478D5"/>
    <w:rsid w:val="00650994"/>
    <w:rsid w:val="00665741"/>
    <w:rsid w:val="00667D31"/>
    <w:rsid w:val="0067220C"/>
    <w:rsid w:val="00672500"/>
    <w:rsid w:val="006817EB"/>
    <w:rsid w:val="00681A4C"/>
    <w:rsid w:val="0068548B"/>
    <w:rsid w:val="00690617"/>
    <w:rsid w:val="00693495"/>
    <w:rsid w:val="006944A0"/>
    <w:rsid w:val="006D0BA5"/>
    <w:rsid w:val="006D11B5"/>
    <w:rsid w:val="006D3EAA"/>
    <w:rsid w:val="006D3EEF"/>
    <w:rsid w:val="006E506B"/>
    <w:rsid w:val="006F1733"/>
    <w:rsid w:val="006F7D57"/>
    <w:rsid w:val="00713349"/>
    <w:rsid w:val="00716E27"/>
    <w:rsid w:val="00717864"/>
    <w:rsid w:val="00727CA9"/>
    <w:rsid w:val="007323BC"/>
    <w:rsid w:val="00732D62"/>
    <w:rsid w:val="00736822"/>
    <w:rsid w:val="007423AC"/>
    <w:rsid w:val="007428D5"/>
    <w:rsid w:val="00742BED"/>
    <w:rsid w:val="007517A4"/>
    <w:rsid w:val="007806C8"/>
    <w:rsid w:val="007809D3"/>
    <w:rsid w:val="007848C8"/>
    <w:rsid w:val="0078772A"/>
    <w:rsid w:val="00790328"/>
    <w:rsid w:val="007926A9"/>
    <w:rsid w:val="00792E4E"/>
    <w:rsid w:val="00796652"/>
    <w:rsid w:val="00797618"/>
    <w:rsid w:val="007A1E15"/>
    <w:rsid w:val="007A2DFD"/>
    <w:rsid w:val="007A51BF"/>
    <w:rsid w:val="007A6C92"/>
    <w:rsid w:val="007B6DF2"/>
    <w:rsid w:val="007C1A46"/>
    <w:rsid w:val="007C5AF3"/>
    <w:rsid w:val="007D29D8"/>
    <w:rsid w:val="007D6466"/>
    <w:rsid w:val="007D6BC7"/>
    <w:rsid w:val="007E26E6"/>
    <w:rsid w:val="007E668D"/>
    <w:rsid w:val="00804C24"/>
    <w:rsid w:val="008112C4"/>
    <w:rsid w:val="008167C9"/>
    <w:rsid w:val="00817A77"/>
    <w:rsid w:val="00836A5F"/>
    <w:rsid w:val="00840467"/>
    <w:rsid w:val="00847277"/>
    <w:rsid w:val="0085431A"/>
    <w:rsid w:val="00871850"/>
    <w:rsid w:val="008775F1"/>
    <w:rsid w:val="00881230"/>
    <w:rsid w:val="0088455F"/>
    <w:rsid w:val="0088517B"/>
    <w:rsid w:val="00890636"/>
    <w:rsid w:val="008A5B85"/>
    <w:rsid w:val="008B31FF"/>
    <w:rsid w:val="008B4642"/>
    <w:rsid w:val="008B694B"/>
    <w:rsid w:val="008C23FF"/>
    <w:rsid w:val="008D0AD7"/>
    <w:rsid w:val="008D100F"/>
    <w:rsid w:val="008E0032"/>
    <w:rsid w:val="008E7736"/>
    <w:rsid w:val="008F5273"/>
    <w:rsid w:val="008F6123"/>
    <w:rsid w:val="0090627B"/>
    <w:rsid w:val="00907732"/>
    <w:rsid w:val="00913AFA"/>
    <w:rsid w:val="00920C0B"/>
    <w:rsid w:val="009342A7"/>
    <w:rsid w:val="0093477E"/>
    <w:rsid w:val="00945E4F"/>
    <w:rsid w:val="00955841"/>
    <w:rsid w:val="009620A6"/>
    <w:rsid w:val="00963759"/>
    <w:rsid w:val="00971CD0"/>
    <w:rsid w:val="00986645"/>
    <w:rsid w:val="009879D1"/>
    <w:rsid w:val="009909A9"/>
    <w:rsid w:val="009A0B54"/>
    <w:rsid w:val="009C0862"/>
    <w:rsid w:val="009C107D"/>
    <w:rsid w:val="009C35E3"/>
    <w:rsid w:val="009C6588"/>
    <w:rsid w:val="009D1E06"/>
    <w:rsid w:val="009D4B3D"/>
    <w:rsid w:val="009E2AC3"/>
    <w:rsid w:val="009E4941"/>
    <w:rsid w:val="009F13D9"/>
    <w:rsid w:val="009F5042"/>
    <w:rsid w:val="00A10E01"/>
    <w:rsid w:val="00A23FBE"/>
    <w:rsid w:val="00A24F4A"/>
    <w:rsid w:val="00A25E14"/>
    <w:rsid w:val="00A266F2"/>
    <w:rsid w:val="00A26B37"/>
    <w:rsid w:val="00A26EE9"/>
    <w:rsid w:val="00A34D09"/>
    <w:rsid w:val="00A366CD"/>
    <w:rsid w:val="00A50C64"/>
    <w:rsid w:val="00A54146"/>
    <w:rsid w:val="00A60054"/>
    <w:rsid w:val="00A61686"/>
    <w:rsid w:val="00A72A5D"/>
    <w:rsid w:val="00A8200A"/>
    <w:rsid w:val="00A90419"/>
    <w:rsid w:val="00AA537F"/>
    <w:rsid w:val="00AA7706"/>
    <w:rsid w:val="00AB1566"/>
    <w:rsid w:val="00AB32A4"/>
    <w:rsid w:val="00AC0A1F"/>
    <w:rsid w:val="00AC195B"/>
    <w:rsid w:val="00AC2DC4"/>
    <w:rsid w:val="00AC3478"/>
    <w:rsid w:val="00AD0B25"/>
    <w:rsid w:val="00AD2CB7"/>
    <w:rsid w:val="00AD2DB8"/>
    <w:rsid w:val="00AD64FF"/>
    <w:rsid w:val="00AF01F0"/>
    <w:rsid w:val="00AF084D"/>
    <w:rsid w:val="00AF6099"/>
    <w:rsid w:val="00B04B0A"/>
    <w:rsid w:val="00B1705E"/>
    <w:rsid w:val="00B17730"/>
    <w:rsid w:val="00B21F7A"/>
    <w:rsid w:val="00B23A97"/>
    <w:rsid w:val="00B33CE4"/>
    <w:rsid w:val="00B351DF"/>
    <w:rsid w:val="00B4708C"/>
    <w:rsid w:val="00B562BA"/>
    <w:rsid w:val="00B620C1"/>
    <w:rsid w:val="00B81409"/>
    <w:rsid w:val="00BA4767"/>
    <w:rsid w:val="00BA498C"/>
    <w:rsid w:val="00BB3FD2"/>
    <w:rsid w:val="00BB6A4C"/>
    <w:rsid w:val="00BC7F3B"/>
    <w:rsid w:val="00BD1471"/>
    <w:rsid w:val="00BD2E91"/>
    <w:rsid w:val="00BE0E1C"/>
    <w:rsid w:val="00BE7665"/>
    <w:rsid w:val="00C03979"/>
    <w:rsid w:val="00C16FA6"/>
    <w:rsid w:val="00C1728E"/>
    <w:rsid w:val="00C27EF1"/>
    <w:rsid w:val="00C32802"/>
    <w:rsid w:val="00C334B2"/>
    <w:rsid w:val="00C479E9"/>
    <w:rsid w:val="00C50908"/>
    <w:rsid w:val="00C537A4"/>
    <w:rsid w:val="00C63AE5"/>
    <w:rsid w:val="00C669F3"/>
    <w:rsid w:val="00C74D52"/>
    <w:rsid w:val="00C77714"/>
    <w:rsid w:val="00C836C2"/>
    <w:rsid w:val="00C87C12"/>
    <w:rsid w:val="00C9223F"/>
    <w:rsid w:val="00CA15B1"/>
    <w:rsid w:val="00CA34E7"/>
    <w:rsid w:val="00CA4D88"/>
    <w:rsid w:val="00CA687B"/>
    <w:rsid w:val="00CB5E0F"/>
    <w:rsid w:val="00CC0F11"/>
    <w:rsid w:val="00CD4749"/>
    <w:rsid w:val="00CF0461"/>
    <w:rsid w:val="00CF2CF5"/>
    <w:rsid w:val="00CF55B2"/>
    <w:rsid w:val="00CF695E"/>
    <w:rsid w:val="00D12F81"/>
    <w:rsid w:val="00D142AD"/>
    <w:rsid w:val="00D15AAC"/>
    <w:rsid w:val="00D36319"/>
    <w:rsid w:val="00D438BE"/>
    <w:rsid w:val="00D50BBC"/>
    <w:rsid w:val="00D5782C"/>
    <w:rsid w:val="00D66F66"/>
    <w:rsid w:val="00D76F22"/>
    <w:rsid w:val="00D83989"/>
    <w:rsid w:val="00D859D7"/>
    <w:rsid w:val="00D902F9"/>
    <w:rsid w:val="00DA229A"/>
    <w:rsid w:val="00DA3189"/>
    <w:rsid w:val="00DA7391"/>
    <w:rsid w:val="00DB3C1B"/>
    <w:rsid w:val="00DB6FAA"/>
    <w:rsid w:val="00DC31EB"/>
    <w:rsid w:val="00DD4103"/>
    <w:rsid w:val="00DD5F57"/>
    <w:rsid w:val="00DE0DD7"/>
    <w:rsid w:val="00DE5B8B"/>
    <w:rsid w:val="00DF0BFC"/>
    <w:rsid w:val="00DF2EFA"/>
    <w:rsid w:val="00DF477E"/>
    <w:rsid w:val="00E0430A"/>
    <w:rsid w:val="00E05430"/>
    <w:rsid w:val="00E11ED5"/>
    <w:rsid w:val="00E26133"/>
    <w:rsid w:val="00E261CD"/>
    <w:rsid w:val="00E3323F"/>
    <w:rsid w:val="00E34506"/>
    <w:rsid w:val="00E40308"/>
    <w:rsid w:val="00E40580"/>
    <w:rsid w:val="00E4553E"/>
    <w:rsid w:val="00E45EA1"/>
    <w:rsid w:val="00E561DF"/>
    <w:rsid w:val="00E7351F"/>
    <w:rsid w:val="00E82FC9"/>
    <w:rsid w:val="00E86F80"/>
    <w:rsid w:val="00E931A2"/>
    <w:rsid w:val="00E95E62"/>
    <w:rsid w:val="00E964A6"/>
    <w:rsid w:val="00E96C9B"/>
    <w:rsid w:val="00EA5599"/>
    <w:rsid w:val="00EA59AE"/>
    <w:rsid w:val="00EB3A1F"/>
    <w:rsid w:val="00EB7779"/>
    <w:rsid w:val="00EB7888"/>
    <w:rsid w:val="00EC1F90"/>
    <w:rsid w:val="00ED2BE3"/>
    <w:rsid w:val="00ED5AC1"/>
    <w:rsid w:val="00ED6573"/>
    <w:rsid w:val="00EF124B"/>
    <w:rsid w:val="00F07143"/>
    <w:rsid w:val="00F268E3"/>
    <w:rsid w:val="00F33FC4"/>
    <w:rsid w:val="00F344E3"/>
    <w:rsid w:val="00F36907"/>
    <w:rsid w:val="00F43B3A"/>
    <w:rsid w:val="00F43D8B"/>
    <w:rsid w:val="00F456EC"/>
    <w:rsid w:val="00F4712F"/>
    <w:rsid w:val="00F4730A"/>
    <w:rsid w:val="00F55418"/>
    <w:rsid w:val="00F57440"/>
    <w:rsid w:val="00F5746B"/>
    <w:rsid w:val="00F62F4A"/>
    <w:rsid w:val="00F7239A"/>
    <w:rsid w:val="00F81093"/>
    <w:rsid w:val="00F85FC7"/>
    <w:rsid w:val="00F8654C"/>
    <w:rsid w:val="00F933C1"/>
    <w:rsid w:val="00F93C19"/>
    <w:rsid w:val="00FB07DC"/>
    <w:rsid w:val="00FC0705"/>
    <w:rsid w:val="00FC1BC2"/>
    <w:rsid w:val="00FD406F"/>
    <w:rsid w:val="00FE29A2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504F0"/>
  <w15:docId w15:val="{60CF0B99-22C3-4F26-98D5-581FA7FF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C7"/>
  </w:style>
  <w:style w:type="paragraph" w:styleId="Footer">
    <w:name w:val="footer"/>
    <w:basedOn w:val="Normal"/>
    <w:link w:val="Foot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C7"/>
  </w:style>
  <w:style w:type="character" w:styleId="Hyperlink">
    <w:name w:val="Hyperlink"/>
    <w:basedOn w:val="DefaultParagraphFont"/>
    <w:uiPriority w:val="99"/>
    <w:unhideWhenUsed/>
    <w:rsid w:val="00CF5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77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5ADE"/>
    <w:rPr>
      <w:b/>
      <w:bCs/>
      <w:i w:val="0"/>
      <w:iCs w:val="0"/>
    </w:rPr>
  </w:style>
  <w:style w:type="character" w:customStyle="1" w:styleId="st1">
    <w:name w:val="st1"/>
    <w:basedOn w:val="DefaultParagraphFont"/>
    <w:rsid w:val="00525ADE"/>
  </w:style>
  <w:style w:type="paragraph" w:customStyle="1" w:styleId="naiskr">
    <w:name w:val="naiskr"/>
    <w:basedOn w:val="Normal"/>
    <w:rsid w:val="007B6DF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E58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.gov.lv/sm/content/?cat=55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7873</Words>
  <Characters>4489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"Grozījumi Ministru kabineta 1997.gada 23.septembra noteikumos Nr.336 “Liepājas speciālās ekonomiskās zonas pārvaldes nolikums” projekta sākotnējās ietekmes novērtējuma ziņojums (anotācija)</vt:lpstr>
    </vt:vector>
  </TitlesOfParts>
  <Company>Satiksmes ministrija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"Grozījumi Ministru kabineta 1997.gada 23.septembra noteikumos Nr.336 “Liepājas speciālās ekonomiskās zonas pārvaldes nolikums” projekta sākotnējās ietekmes novērtējuma ziņojums (anotācija)</dc:title>
  <dc:subject>MK noteikumu projekta anotācija</dc:subject>
  <dc:creator>Roberts Noviks</dc:creator>
  <cp:keywords/>
  <dc:description>Roberts.Noviks@sam.gov.lv 67028351</dc:description>
  <cp:lastModifiedBy>Baiba Jirgena</cp:lastModifiedBy>
  <cp:revision>24</cp:revision>
  <cp:lastPrinted>2019-06-13T06:37:00Z</cp:lastPrinted>
  <dcterms:created xsi:type="dcterms:W3CDTF">2019-07-25T11:36:00Z</dcterms:created>
  <dcterms:modified xsi:type="dcterms:W3CDTF">2019-09-30T11:14:00Z</dcterms:modified>
</cp:coreProperties>
</file>