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1C64" w:rsidR="000A531F" w:rsidP="000A531F" w:rsidRDefault="000A531F" w14:paraId="6CC25306" w14:textId="77777777">
      <w:pPr>
        <w:jc w:val="center"/>
        <w:rPr>
          <w:b/>
          <w:sz w:val="28"/>
          <w:szCs w:val="28"/>
        </w:rPr>
      </w:pPr>
      <w:bookmarkStart w:name="_Hlk520114501" w:id="0"/>
      <w:smartTag w:uri="schemas-tilde-lv/tildestengine" w:element="veidnes">
        <w:smartTagPr>
          <w:attr w:name="id" w:val="-1"/>
          <w:attr w:name="baseform" w:val="Izziņa"/>
          <w:attr w:name="text" w:val="Izziņa"/>
        </w:smartTagPr>
        <w:r w:rsidRPr="00F71C64">
          <w:rPr>
            <w:b/>
            <w:sz w:val="28"/>
            <w:szCs w:val="28"/>
          </w:rPr>
          <w:t>Izziņa</w:t>
        </w:r>
      </w:smartTag>
      <w:r w:rsidRPr="00F71C64">
        <w:rPr>
          <w:b/>
          <w:sz w:val="28"/>
          <w:szCs w:val="28"/>
        </w:rPr>
        <w:t xml:space="preserve"> par atzinumos sniegtajiem iebildumiem</w:t>
      </w:r>
    </w:p>
    <w:p w:rsidRPr="00C7621A" w:rsidR="000A531F" w:rsidP="00C7621A" w:rsidRDefault="000A531F" w14:paraId="458B585A" w14:textId="489B75F5">
      <w:pPr>
        <w:ind w:firstLine="720"/>
        <w:jc w:val="center"/>
        <w:rPr>
          <w:b/>
          <w:sz w:val="28"/>
        </w:rPr>
      </w:pPr>
      <w:r w:rsidRPr="00F71C64">
        <w:rPr>
          <w:b/>
          <w:sz w:val="28"/>
        </w:rPr>
        <w:t>Min</w:t>
      </w:r>
      <w:r w:rsidR="00705DBC">
        <w:rPr>
          <w:b/>
          <w:sz w:val="28"/>
        </w:rPr>
        <w:t>istru kabineta rīkojuma projektam</w:t>
      </w:r>
      <w:r w:rsidRPr="00F71C64">
        <w:rPr>
          <w:b/>
          <w:sz w:val="28"/>
        </w:rPr>
        <w:t xml:space="preserve"> </w:t>
      </w:r>
      <w:r w:rsidRPr="00AA30C8">
        <w:rPr>
          <w:b/>
          <w:sz w:val="28"/>
          <w:szCs w:val="28"/>
        </w:rPr>
        <w:t>„</w:t>
      </w:r>
      <w:r w:rsidRPr="00C7621A" w:rsidR="00C7621A">
        <w:rPr>
          <w:b/>
          <w:bCs/>
          <w:sz w:val="28"/>
          <w:szCs w:val="28"/>
        </w:rPr>
        <w:t>Par nekustamā īpašuma pirkšanu</w:t>
      </w:r>
      <w:r w:rsidRPr="000933CF" w:rsidR="000933CF">
        <w:rPr>
          <w:b/>
          <w:sz w:val="28"/>
          <w:szCs w:val="28"/>
        </w:rPr>
        <w:t>”</w:t>
      </w:r>
    </w:p>
    <w:bookmarkEnd w:id="0"/>
    <w:p w:rsidRPr="00EA4FB1" w:rsidR="00EA4FB1" w:rsidP="00EA4FB1" w:rsidRDefault="00EA4FB1" w14:paraId="0DC95222" w14:textId="77777777">
      <w:pPr>
        <w:ind w:firstLine="720"/>
        <w:jc w:val="center"/>
        <w:rPr>
          <w:b/>
          <w:bCs/>
          <w:sz w:val="28"/>
          <w:szCs w:val="28"/>
          <w:lang w:eastAsia="ko-KR"/>
        </w:rPr>
      </w:pP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14174" w:type="dxa"/>
        <w:tblLayout w:type="fixed"/>
        <w:tblLook w:val="01E0" w:firstRow="1" w:lastRow="1" w:firstColumn="1" w:lastColumn="1" w:noHBand="0" w:noVBand="0"/>
      </w:tblPr>
      <w:tblGrid>
        <w:gridCol w:w="421"/>
        <w:gridCol w:w="2409"/>
        <w:gridCol w:w="4298"/>
        <w:gridCol w:w="3240"/>
        <w:gridCol w:w="1620"/>
        <w:gridCol w:w="2186"/>
      </w:tblGrid>
      <w:tr w:rsidRPr="008F6980" w:rsidR="000A531F" w:rsidTr="0093002E" w14:paraId="325B19CA" w14:textId="77777777">
        <w:tc>
          <w:tcPr>
            <w:tcW w:w="421" w:type="dxa"/>
            <w:vAlign w:val="center"/>
          </w:tcPr>
          <w:p w:rsidRPr="008F6980" w:rsidR="000A531F" w:rsidP="0072110C" w:rsidRDefault="000A531F" w14:paraId="3A493631" w14:textId="77777777">
            <w:pPr>
              <w:jc w:val="center"/>
            </w:pPr>
            <w:r w:rsidRPr="008F6980">
              <w:t>Nr.p.k.</w:t>
            </w:r>
          </w:p>
        </w:tc>
        <w:tc>
          <w:tcPr>
            <w:tcW w:w="2409" w:type="dxa"/>
            <w:vAlign w:val="center"/>
          </w:tcPr>
          <w:p w:rsidRPr="008F6980" w:rsidR="000A531F" w:rsidP="0072110C" w:rsidRDefault="000A531F" w14:paraId="25B0D616" w14:textId="77777777">
            <w:pPr>
              <w:jc w:val="center"/>
            </w:pPr>
            <w:r w:rsidRPr="008F6980">
              <w:t>Saskaņošanai nosūtītā projekta redakcija (konkrēta punkta (panta) redakcija)</w:t>
            </w:r>
          </w:p>
        </w:tc>
        <w:tc>
          <w:tcPr>
            <w:tcW w:w="4298" w:type="dxa"/>
            <w:vAlign w:val="center"/>
          </w:tcPr>
          <w:p w:rsidRPr="008F6980" w:rsidR="000A531F" w:rsidP="0072110C" w:rsidRDefault="000A531F" w14:paraId="0C11CD22" w14:textId="77777777">
            <w:pPr>
              <w:jc w:val="center"/>
            </w:pPr>
            <w:r w:rsidRPr="008F6980">
              <w:t>Atzinumā norādītais ministrijas (citas institūcijas) iebildums, kā arī saskaņošanā papildus izteiktais iebildums par projekta konkrēto punktu (pantu)</w:t>
            </w:r>
          </w:p>
        </w:tc>
        <w:tc>
          <w:tcPr>
            <w:tcW w:w="3240" w:type="dxa"/>
            <w:vAlign w:val="center"/>
          </w:tcPr>
          <w:p w:rsidRPr="008F6980" w:rsidR="000A531F" w:rsidP="0072110C" w:rsidRDefault="000A531F" w14:paraId="21F73B3D" w14:textId="77777777">
            <w:pPr>
              <w:jc w:val="center"/>
            </w:pPr>
            <w:r w:rsidRPr="008F6980">
              <w:t>Atbildīgās ministrijas pamatojums iebilduma noraidījumam</w:t>
            </w:r>
          </w:p>
        </w:tc>
        <w:tc>
          <w:tcPr>
            <w:tcW w:w="1620" w:type="dxa"/>
            <w:vAlign w:val="center"/>
          </w:tcPr>
          <w:p w:rsidRPr="008F6980" w:rsidR="000A531F" w:rsidP="0072110C" w:rsidRDefault="000A531F" w14:paraId="24A85B3E" w14:textId="77777777">
            <w:pPr>
              <w:jc w:val="center"/>
            </w:pPr>
            <w:r w:rsidRPr="008F6980">
              <w:t>Atzinuma sniedzēja uzturētais iebildums, ja tas atšķiras no atzinumā norādītā iebilduma pamatojuma</w:t>
            </w:r>
          </w:p>
        </w:tc>
        <w:tc>
          <w:tcPr>
            <w:tcW w:w="2186" w:type="dxa"/>
            <w:vAlign w:val="center"/>
          </w:tcPr>
          <w:p w:rsidRPr="008F6980" w:rsidR="000A531F" w:rsidP="0072110C" w:rsidRDefault="000A531F" w14:paraId="69C12952" w14:textId="77777777">
            <w:pPr>
              <w:jc w:val="center"/>
            </w:pPr>
            <w:r w:rsidRPr="008F6980">
              <w:t>Projekta attiecīgā punkta (panta) galīgā redakcija</w:t>
            </w:r>
          </w:p>
        </w:tc>
      </w:tr>
      <w:tr w:rsidRPr="00B945F5" w:rsidR="000A531F" w:rsidTr="0093002E" w14:paraId="5ED8EFBD" w14:textId="77777777">
        <w:tc>
          <w:tcPr>
            <w:tcW w:w="421" w:type="dxa"/>
          </w:tcPr>
          <w:p w:rsidR="000A531F" w:rsidP="0072110C" w:rsidRDefault="000A531F" w14:paraId="6BF91C8B" w14:textId="77777777">
            <w:pPr>
              <w:jc w:val="center"/>
            </w:pPr>
            <w:r>
              <w:t>1.</w:t>
            </w:r>
          </w:p>
        </w:tc>
        <w:tc>
          <w:tcPr>
            <w:tcW w:w="2409" w:type="dxa"/>
          </w:tcPr>
          <w:p w:rsidR="000A531F" w:rsidP="0072110C" w:rsidRDefault="000A531F" w14:paraId="4EC8E93F" w14:textId="77777777">
            <w:pPr>
              <w:jc w:val="center"/>
            </w:pPr>
            <w:r>
              <w:t>2.</w:t>
            </w:r>
          </w:p>
        </w:tc>
        <w:tc>
          <w:tcPr>
            <w:tcW w:w="4298"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00D90DEB" w:rsidP="009B1463" w:rsidRDefault="00D90DEB" w14:paraId="43F5161D" w14:textId="77777777">
      <w:pPr>
        <w:jc w:val="center"/>
        <w:rPr>
          <w:b/>
        </w:rPr>
      </w:pPr>
    </w:p>
    <w:p w:rsidRPr="0053729A" w:rsidR="000A531F" w:rsidP="009B1463" w:rsidRDefault="000A531F" w14:paraId="0C266C57" w14:textId="68634904">
      <w:pPr>
        <w:jc w:val="center"/>
        <w:rPr>
          <w:b/>
        </w:rPr>
      </w:pPr>
      <w:r w:rsidRPr="0053729A">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Pr="003A7944" w:rsidR="009768A1" w:rsidP="000A531F" w:rsidRDefault="00D40AF4" w14:paraId="43E80F13" w14:textId="6BD44F35">
            <w:r>
              <w:t>2019. gada 16. jūlijs</w:t>
            </w:r>
            <w:r w:rsidR="005D69EE">
              <w:t xml:space="preserve"> (elektroniskā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Pr="003A7944" w:rsidR="00B27067" w:rsidP="00B14512" w:rsidRDefault="00FE39E5" w14:paraId="11A709A3" w14:textId="326F787F">
            <w:r>
              <w:t>Ti</w:t>
            </w:r>
            <w:r w:rsidR="00C7621A">
              <w:t xml:space="preserve">eslietu ministrijas 2019. gada </w:t>
            </w:r>
            <w:r w:rsidR="00A41C82">
              <w:t>25. jūnija atzinums Nr.1-9.1/637</w:t>
            </w:r>
          </w:p>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A531F" w14:paraId="4B68C877" w14:textId="06341771"/>
        </w:tc>
      </w:tr>
    </w:tbl>
    <w:p w:rsidR="00C01004" w:rsidP="0093002E" w:rsidRDefault="00C01004" w14:paraId="0B6CCCE7" w14:textId="3DAB69B9">
      <w:pPr>
        <w:pStyle w:val="naisf"/>
        <w:spacing w:before="0" w:after="0"/>
        <w:ind w:firstLine="0"/>
        <w:rPr>
          <w:b/>
          <w:sz w:val="28"/>
          <w:szCs w:val="28"/>
        </w:rPr>
      </w:pPr>
    </w:p>
    <w:p w:rsidR="00C73711" w:rsidP="009B1463" w:rsidRDefault="000A531F" w14:paraId="7FB632DB" w14:textId="6627441C">
      <w:pPr>
        <w:pStyle w:val="naisf"/>
        <w:spacing w:before="0" w:after="0"/>
        <w:ind w:firstLine="0"/>
        <w:jc w:val="center"/>
        <w:rPr>
          <w:b/>
        </w:rPr>
      </w:pPr>
      <w:r w:rsidRPr="00B05446">
        <w:rPr>
          <w:b/>
          <w:sz w:val="28"/>
          <w:szCs w:val="28"/>
        </w:rPr>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3119"/>
        <w:gridCol w:w="4678"/>
        <w:gridCol w:w="2722"/>
        <w:gridCol w:w="2980"/>
      </w:tblGrid>
      <w:tr w:rsidR="005D403F" w:rsidTr="0091003F" w14:paraId="19535BC7" w14:textId="77777777">
        <w:tc>
          <w:tcPr>
            <w:tcW w:w="675"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3119" w:type="dxa"/>
          </w:tcPr>
          <w:p w:rsidR="005D403F" w:rsidP="005D403F" w:rsidRDefault="005D403F" w14:paraId="267E306B" w14:textId="77777777">
            <w:pPr>
              <w:pStyle w:val="naisf"/>
              <w:spacing w:before="0" w:after="0"/>
              <w:ind w:firstLine="0"/>
              <w:jc w:val="center"/>
            </w:pPr>
            <w:r w:rsidRPr="00930695">
              <w:t>Saskaņošanai nosūtītā projekta redakcija (konkrēta punkta (panta) redakcija)</w:t>
            </w:r>
          </w:p>
        </w:tc>
        <w:tc>
          <w:tcPr>
            <w:tcW w:w="4678" w:type="dxa"/>
          </w:tcPr>
          <w:p w:rsidR="005D403F" w:rsidP="005D403F" w:rsidRDefault="005D403F" w14:paraId="52143616" w14:textId="77777777">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2722" w:type="dxa"/>
          </w:tcPr>
          <w:p w:rsidR="005D403F" w:rsidP="005D403F" w:rsidRDefault="005D403F" w14:paraId="6C6BD330" w14:textId="77777777">
            <w:pPr>
              <w:pStyle w:val="naisf"/>
              <w:spacing w:before="0" w:after="0"/>
              <w:ind w:firstLine="0"/>
              <w:jc w:val="center"/>
            </w:pPr>
            <w:r w:rsidRPr="00930695">
              <w:t xml:space="preserve">Atbildīgās ministrijas norāde par to, ka iebildums ir ņemts vērā, vai informācija par </w:t>
            </w:r>
            <w:r w:rsidRPr="00930695">
              <w:lastRenderedPageBreak/>
              <w:t>saskaņošanā panākto alternatīvo risinājumu</w:t>
            </w:r>
          </w:p>
        </w:tc>
        <w:tc>
          <w:tcPr>
            <w:tcW w:w="2980" w:type="dxa"/>
          </w:tcPr>
          <w:p w:rsidR="005D403F" w:rsidP="005D403F" w:rsidRDefault="005D403F" w14:paraId="7F91D989" w14:textId="77777777">
            <w:pPr>
              <w:pStyle w:val="naisf"/>
              <w:spacing w:before="0" w:after="0"/>
              <w:ind w:firstLine="0"/>
              <w:jc w:val="center"/>
            </w:pPr>
            <w:r w:rsidRPr="00930695">
              <w:lastRenderedPageBreak/>
              <w:t>Projekta attiecīgā punkta (panta) galīgā redakcija</w:t>
            </w:r>
          </w:p>
        </w:tc>
      </w:tr>
      <w:tr w:rsidR="0093002E" w:rsidTr="0091003F" w14:paraId="4254AEA4" w14:textId="77777777">
        <w:tc>
          <w:tcPr>
            <w:tcW w:w="675" w:type="dxa"/>
          </w:tcPr>
          <w:p w:rsidR="0093002E" w:rsidP="0093002E" w:rsidRDefault="0093002E" w14:paraId="2DF49046" w14:textId="2F1646E6">
            <w:pPr>
              <w:pStyle w:val="naisf"/>
              <w:spacing w:before="0" w:after="0"/>
              <w:ind w:firstLine="0"/>
              <w:jc w:val="center"/>
            </w:pPr>
            <w:r>
              <w:t>1.</w:t>
            </w:r>
          </w:p>
        </w:tc>
        <w:tc>
          <w:tcPr>
            <w:tcW w:w="3119" w:type="dxa"/>
          </w:tcPr>
          <w:p w:rsidR="0093002E" w:rsidP="0093002E" w:rsidRDefault="0093002E" w14:paraId="44F16B06" w14:textId="77777777">
            <w:pPr>
              <w:jc w:val="both"/>
            </w:pPr>
            <w:r>
              <w:rPr>
                <w:lang w:eastAsia="ko-KR"/>
              </w:rPr>
              <w:t>Sākotnējās ietekmes novērtējuma ziņojums (anotācija).</w:t>
            </w:r>
          </w:p>
          <w:p w:rsidR="0093002E" w:rsidP="0093002E" w:rsidRDefault="0093002E" w14:paraId="1A4FA300" w14:textId="30C31C0A">
            <w:pPr>
              <w:ind w:firstLine="345"/>
              <w:jc w:val="both"/>
              <w:rPr>
                <w:lang w:eastAsia="ko-KR"/>
              </w:rPr>
            </w:pPr>
          </w:p>
        </w:tc>
        <w:tc>
          <w:tcPr>
            <w:tcW w:w="4678" w:type="dxa"/>
          </w:tcPr>
          <w:p w:rsidRPr="00A41C82" w:rsidR="0093002E" w:rsidP="0093002E" w:rsidRDefault="0093002E" w14:paraId="4AEE4C2D" w14:textId="77777777">
            <w:pPr>
              <w:jc w:val="center"/>
              <w:rPr>
                <w:b/>
              </w:rPr>
            </w:pPr>
            <w:r w:rsidRPr="00A41C82">
              <w:rPr>
                <w:b/>
              </w:rPr>
              <w:t>Tieslietu ministrija</w:t>
            </w:r>
          </w:p>
          <w:p w:rsidR="0093002E" w:rsidP="0093002E" w:rsidRDefault="0093002E" w14:paraId="32ED3DB4" w14:textId="77777777">
            <w:pPr>
              <w:pStyle w:val="ListParagraph"/>
              <w:ind w:left="0" w:firstLine="720"/>
              <w:jc w:val="both"/>
            </w:pPr>
            <w:r>
              <w:t xml:space="preserve">Atbilstoši rīkojuma projektam, tā anotācijai un pievienotajiem dokumentiem nekustamais īpašums "Jauntauriņi V1032" (kadastra Nr.40880090003), kas sastāv no zemes vienības ar kadastra apzīmējumu 40880090062 (turpmāk – Nekustamais īpašums), atsavināms sabiedrības vajadzībām. Nekustamais īpašums atdalīts no nekustamā īpašuma "Jauntauriņi", kadastra Nr.40880090003. Atbilstoši Nekustamā īpašuma valsts kadastra informācijas datiem Nekustamā īpašuma lietošanas mērķis ir </w:t>
            </w:r>
            <w:r>
              <w:rPr>
                <w:lang w:bidi="en-US"/>
              </w:rPr>
              <w:t xml:space="preserve">zeme dzelzceļa infrastruktūras zemes nodalījuma joslā un ceļu zemes nodalījuma joslā. </w:t>
            </w:r>
          </w:p>
          <w:p w:rsidR="0093002E" w:rsidP="0093002E" w:rsidRDefault="0093002E" w14:paraId="5264F6AF" w14:textId="77777777">
            <w:pPr>
              <w:pStyle w:val="ListParagraph"/>
              <w:ind w:left="0" w:firstLine="720"/>
              <w:jc w:val="both"/>
              <w:rPr>
                <w:lang w:bidi="en-US"/>
              </w:rPr>
            </w:pPr>
            <w:r>
              <w:rPr>
                <w:lang w:bidi="en-US"/>
              </w:rPr>
              <w:t>Ievērojot minēto, l</w:t>
            </w:r>
            <w:r w:rsidRPr="006473BC">
              <w:rPr>
                <w:lang w:bidi="en-US"/>
              </w:rPr>
              <w:t xml:space="preserve">ai anotācijā un </w:t>
            </w:r>
            <w:r>
              <w:rPr>
                <w:lang w:bidi="en-US"/>
              </w:rPr>
              <w:t>N</w:t>
            </w:r>
            <w:r w:rsidRPr="006473BC">
              <w:rPr>
                <w:lang w:bidi="en-US"/>
              </w:rPr>
              <w:t xml:space="preserve">ekustamā īpašuma novērtējumā tiktu nodrošināta pilnīga informācija, lai tā radītu pārliecību par taisnīgas atlīdzības noteikšanu, kā arī, lai nodrošinātu vienveidīgu turpmāko praksi, lūdzam konkrētajā gadījumā un arī turpmāk līdzīgos gadījumos anotācijā </w:t>
            </w:r>
            <w:r>
              <w:rPr>
                <w:lang w:bidi="en-US"/>
              </w:rPr>
              <w:t xml:space="preserve">(nākotnē arī nekustamā īpašuma novērtējumos) </w:t>
            </w:r>
            <w:r w:rsidRPr="006473BC">
              <w:rPr>
                <w:lang w:bidi="en-US"/>
              </w:rPr>
              <w:t>iekļaut informāciju par to, kas ņemts vērā atdalīt</w:t>
            </w:r>
            <w:r>
              <w:rPr>
                <w:lang w:bidi="en-US"/>
              </w:rPr>
              <w:t>ās</w:t>
            </w:r>
            <w:r w:rsidRPr="006473BC">
              <w:rPr>
                <w:lang w:bidi="en-US"/>
              </w:rPr>
              <w:t xml:space="preserve"> zemes vienīb</w:t>
            </w:r>
            <w:r>
              <w:rPr>
                <w:lang w:bidi="en-US"/>
              </w:rPr>
              <w:t>as (Nekustamā īpašuma)</w:t>
            </w:r>
            <w:r w:rsidRPr="006473BC">
              <w:rPr>
                <w:lang w:bidi="en-US"/>
              </w:rPr>
              <w:t xml:space="preserve"> vērtēšanā, ņemot vērā to, ka parasti jaunizveidotajiem nekustamajiem īpašumiem tiek noteikts lietošanas mērķis atbilstoši plāniem tos atsavināt sabiedrības vajadzībām – zeme dzelzceļa infrastruktūras </w:t>
            </w:r>
            <w:r w:rsidRPr="006473BC">
              <w:rPr>
                <w:lang w:bidi="en-US"/>
              </w:rPr>
              <w:lastRenderedPageBreak/>
              <w:t xml:space="preserve">zemes nodalījuma joslā un ceļu zemes nodalījuma joslā, taču pirms atdalīšanas šāds lietošanas mērķis </w:t>
            </w:r>
            <w:r>
              <w:rPr>
                <w:lang w:bidi="en-US"/>
              </w:rPr>
              <w:t>n</w:t>
            </w:r>
            <w:r w:rsidRPr="006473BC">
              <w:rPr>
                <w:lang w:bidi="en-US"/>
              </w:rPr>
              <w:t xml:space="preserve">ekustamajam īpašumam nav bijis noteikts. </w:t>
            </w:r>
          </w:p>
          <w:p w:rsidRPr="0093002E" w:rsidR="0093002E" w:rsidP="0093002E" w:rsidRDefault="0093002E" w14:paraId="724A8C63" w14:textId="3B1F13AA">
            <w:pPr>
              <w:pStyle w:val="ListParagraph"/>
              <w:ind w:left="0" w:firstLine="720"/>
              <w:jc w:val="both"/>
              <w:rPr>
                <w:lang w:bidi="en-US"/>
              </w:rPr>
            </w:pPr>
            <w:r>
              <w:rPr>
                <w:lang w:bidi="en-US"/>
              </w:rPr>
              <w:t>Ievērojot minēto, l</w:t>
            </w:r>
            <w:r w:rsidRPr="006473BC">
              <w:rPr>
                <w:lang w:bidi="en-US"/>
              </w:rPr>
              <w:t>ūdzam papildināt anotāciju ar informāciju par to, kāds ir bijis noteiktais zemes</w:t>
            </w:r>
            <w:r>
              <w:rPr>
                <w:lang w:bidi="en-US"/>
              </w:rPr>
              <w:t xml:space="preserve"> lietošanas mērķis atsavināmajai zemes vienībai (Nekustamajam īpašumam)</w:t>
            </w:r>
            <w:r w:rsidRPr="006473BC">
              <w:rPr>
                <w:lang w:bidi="en-US"/>
              </w:rPr>
              <w:t xml:space="preserve"> pirms t</w:t>
            </w:r>
            <w:r>
              <w:rPr>
                <w:lang w:bidi="en-US"/>
              </w:rPr>
              <w:t>ās</w:t>
            </w:r>
            <w:r w:rsidRPr="006473BC">
              <w:rPr>
                <w:lang w:bidi="en-US"/>
              </w:rPr>
              <w:t xml:space="preserve"> atdalīšanas, kā arī anotācijā lūdzam norādī</w:t>
            </w:r>
            <w:r>
              <w:rPr>
                <w:lang w:bidi="en-US"/>
              </w:rPr>
              <w:t>t, vai, novērtējot Nekustamo īpašumu</w:t>
            </w:r>
            <w:r w:rsidRPr="006473BC">
              <w:rPr>
                <w:lang w:bidi="en-US"/>
              </w:rPr>
              <w:t>, ņemts vērā tā iepriekšējais izmant</w:t>
            </w:r>
            <w:r>
              <w:rPr>
                <w:lang w:bidi="en-US"/>
              </w:rPr>
              <w:t>ošanas mērķis pirms atdalīšanas un vai noteiktā atlīdzība ir taisnīga.</w:t>
            </w:r>
          </w:p>
        </w:tc>
        <w:tc>
          <w:tcPr>
            <w:tcW w:w="2722" w:type="dxa"/>
          </w:tcPr>
          <w:p w:rsidRPr="0093002E" w:rsidR="0093002E" w:rsidP="00B40651" w:rsidRDefault="0093002E" w14:paraId="4F11965E" w14:textId="1D486394">
            <w:pPr>
              <w:pStyle w:val="naisf"/>
              <w:spacing w:before="0" w:after="0"/>
              <w:ind w:firstLine="0"/>
              <w:jc w:val="center"/>
              <w:rPr>
                <w:rFonts w:eastAsia="Calibri"/>
                <w:b/>
                <w:lang w:eastAsia="ko-KR"/>
              </w:rPr>
            </w:pPr>
            <w:r w:rsidRPr="0093002E">
              <w:rPr>
                <w:rFonts w:eastAsia="Calibri"/>
                <w:b/>
                <w:lang w:eastAsia="ko-KR"/>
              </w:rPr>
              <w:lastRenderedPageBreak/>
              <w:t>Panākta vienošanās elektroniskā</w:t>
            </w:r>
            <w:r w:rsidR="00B40651">
              <w:rPr>
                <w:rFonts w:eastAsia="Calibri"/>
                <w:b/>
                <w:lang w:eastAsia="ko-KR"/>
              </w:rPr>
              <w:t>s</w:t>
            </w:r>
            <w:r w:rsidRPr="0093002E">
              <w:rPr>
                <w:rFonts w:eastAsia="Calibri"/>
                <w:b/>
                <w:lang w:eastAsia="ko-KR"/>
              </w:rPr>
              <w:t xml:space="preserve"> saskaņošan</w:t>
            </w:r>
            <w:r w:rsidR="00B40651">
              <w:rPr>
                <w:rFonts w:eastAsia="Calibri"/>
                <w:b/>
                <w:lang w:eastAsia="ko-KR"/>
              </w:rPr>
              <w:t>as laikā</w:t>
            </w:r>
            <w:bookmarkStart w:name="_GoBack" w:id="1"/>
            <w:bookmarkEnd w:id="1"/>
          </w:p>
        </w:tc>
        <w:tc>
          <w:tcPr>
            <w:tcW w:w="2980" w:type="dxa"/>
          </w:tcPr>
          <w:p w:rsidRPr="00DF2082" w:rsidR="0093002E" w:rsidP="00B40651" w:rsidRDefault="0093002E" w14:paraId="2BB4635D" w14:textId="5CE05ACA">
            <w:pPr>
              <w:jc w:val="both"/>
              <w:rPr>
                <w:szCs w:val="28"/>
              </w:rPr>
            </w:pPr>
            <w:r>
              <w:rPr>
                <w:lang w:eastAsia="ko-KR"/>
              </w:rPr>
              <w:t>Sākotnējās ietekmes novērtējuma ziņojums (anotācija) netiek precizēta.</w:t>
            </w:r>
          </w:p>
        </w:tc>
      </w:tr>
    </w:tbl>
    <w:p w:rsidR="0006315D" w:rsidP="000A531F" w:rsidRDefault="0006315D" w14:paraId="6E28BF56" w14:textId="77777777">
      <w:pPr>
        <w:jc w:val="both"/>
        <w:rPr>
          <w:sz w:val="20"/>
          <w:szCs w:val="20"/>
        </w:rPr>
      </w:pPr>
    </w:p>
    <w:p w:rsidRPr="00A4769E" w:rsidR="000A531F" w:rsidP="000A531F" w:rsidRDefault="000A531F" w14:paraId="53C4EB95" w14:textId="14F3F5C8">
      <w:pPr>
        <w:jc w:val="both"/>
        <w:rPr>
          <w:sz w:val="28"/>
          <w:szCs w:val="28"/>
        </w:rPr>
      </w:pPr>
      <w:r w:rsidRPr="00A4769E">
        <w:rPr>
          <w:sz w:val="28"/>
          <w:szCs w:val="28"/>
        </w:rPr>
        <w:t>Atbildīgā amatpersona __________________________________________</w:t>
      </w:r>
    </w:p>
    <w:p w:rsidRPr="00A4769E" w:rsidR="000A531F" w:rsidP="000A531F" w:rsidRDefault="00FE39E5" w14:paraId="448E9A74" w14:textId="10C17271">
      <w:pPr>
        <w:jc w:val="both"/>
        <w:rPr>
          <w:sz w:val="28"/>
          <w:szCs w:val="28"/>
        </w:rPr>
      </w:pPr>
      <w:r w:rsidRPr="00A4769E">
        <w:rPr>
          <w:sz w:val="28"/>
          <w:szCs w:val="28"/>
        </w:rPr>
        <w:t>Mārtiņš Jansons</w:t>
      </w:r>
      <w:r w:rsidRPr="00A4769E" w:rsidR="000A531F">
        <w:rPr>
          <w:sz w:val="28"/>
          <w:szCs w:val="28"/>
        </w:rPr>
        <w:t>, Satiksmes ministrijas Juridiskā departamenta</w:t>
      </w:r>
    </w:p>
    <w:p w:rsidRPr="00A4769E" w:rsidR="000A531F" w:rsidP="000A531F" w:rsidRDefault="000A531F" w14:paraId="2DC8407D" w14:textId="25E21C6E">
      <w:pPr>
        <w:jc w:val="both"/>
        <w:rPr>
          <w:sz w:val="28"/>
          <w:szCs w:val="28"/>
        </w:rPr>
      </w:pPr>
      <w:r w:rsidRPr="00A4769E">
        <w:rPr>
          <w:sz w:val="28"/>
          <w:szCs w:val="28"/>
        </w:rPr>
        <w:t>Nekust</w:t>
      </w:r>
      <w:r w:rsidRPr="00A4769E" w:rsidR="00FE39E5">
        <w:rPr>
          <w:sz w:val="28"/>
          <w:szCs w:val="28"/>
        </w:rPr>
        <w:t>amo īpašumu nodaļas vecākais referents</w:t>
      </w:r>
    </w:p>
    <w:p w:rsidRPr="00A4769E" w:rsidR="005F3723" w:rsidP="009B1463" w:rsidRDefault="00FE39E5" w14:paraId="2D2820F1" w14:textId="7234BCA4">
      <w:pPr>
        <w:jc w:val="both"/>
        <w:rPr>
          <w:sz w:val="28"/>
          <w:szCs w:val="28"/>
        </w:rPr>
      </w:pPr>
      <w:r w:rsidRPr="00A4769E">
        <w:rPr>
          <w:sz w:val="28"/>
          <w:szCs w:val="28"/>
        </w:rPr>
        <w:t>Tālr.67028037</w:t>
      </w:r>
      <w:r w:rsidRPr="00A4769E" w:rsidR="000A531F">
        <w:rPr>
          <w:sz w:val="28"/>
          <w:szCs w:val="28"/>
        </w:rPr>
        <w:t xml:space="preserve">, e-pasts: </w:t>
      </w:r>
      <w:r w:rsidRPr="00A4769E">
        <w:rPr>
          <w:sz w:val="28"/>
          <w:szCs w:val="28"/>
        </w:rPr>
        <w:t>martins.jansons</w:t>
      </w:r>
      <w:r w:rsidRPr="00A4769E" w:rsidR="000A531F">
        <w:rPr>
          <w:sz w:val="28"/>
          <w:szCs w:val="28"/>
        </w:rPr>
        <w:t xml:space="preserve">@sam.gov.lv </w:t>
      </w:r>
    </w:p>
    <w:sectPr w:rsidRPr="00A4769E" w:rsidR="005F3723" w:rsidSect="002A4998">
      <w:headerReference w:type="even" r:id="rId7"/>
      <w:headerReference w:type="default" r:id="rId8"/>
      <w:footerReference w:type="default" r:id="rId9"/>
      <w:footerReference w:type="first" r:id="rId10"/>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CCA8B" w14:textId="77777777" w:rsidR="00C731BB" w:rsidRDefault="00C731BB" w:rsidP="000A531F">
      <w:r>
        <w:separator/>
      </w:r>
    </w:p>
  </w:endnote>
  <w:endnote w:type="continuationSeparator" w:id="0">
    <w:p w14:paraId="58991E51" w14:textId="77777777" w:rsidR="00C731BB" w:rsidRDefault="00C731BB"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1CC78" w14:textId="47EA73DD" w:rsidR="00A41C82" w:rsidRPr="00FC51C5" w:rsidRDefault="0093002E" w:rsidP="00A41C82">
    <w:pPr>
      <w:jc w:val="both"/>
      <w:rPr>
        <w:bCs/>
        <w:sz w:val="20"/>
        <w:szCs w:val="20"/>
        <w:lang w:eastAsia="ko-KR"/>
      </w:rPr>
    </w:pPr>
    <w:r>
      <w:rPr>
        <w:sz w:val="20"/>
        <w:szCs w:val="20"/>
      </w:rPr>
      <w:t>SMizz_050</w:t>
    </w:r>
    <w:r w:rsidR="00777CA8">
      <w:rPr>
        <w:sz w:val="20"/>
        <w:szCs w:val="20"/>
      </w:rPr>
      <w:t>9</w:t>
    </w:r>
    <w:r w:rsidR="00A41C82">
      <w:rPr>
        <w:sz w:val="20"/>
        <w:szCs w:val="20"/>
      </w:rPr>
      <w:t>19_VSS549</w:t>
    </w:r>
  </w:p>
  <w:p w14:paraId="00E0CACB" w14:textId="1726E2D7" w:rsidR="00FE39E5" w:rsidRPr="00FC51C5" w:rsidRDefault="00FE39E5" w:rsidP="00FE39E5">
    <w:pPr>
      <w:jc w:val="both"/>
      <w:rPr>
        <w:bCs/>
        <w:sz w:val="20"/>
        <w:szCs w:val="20"/>
        <w:lang w:eastAsia="ko-KR"/>
      </w:rPr>
    </w:pPr>
  </w:p>
  <w:p w14:paraId="0E9B010F" w14:textId="77777777" w:rsidR="00013AD7" w:rsidRPr="00570BB9" w:rsidRDefault="00B40651"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9BE9" w14:textId="01EFFF47" w:rsidR="00EA4FB1" w:rsidRPr="00FC51C5" w:rsidRDefault="008D3595" w:rsidP="00EA4FB1">
    <w:pPr>
      <w:jc w:val="both"/>
      <w:rPr>
        <w:bCs/>
        <w:sz w:val="20"/>
        <w:szCs w:val="20"/>
        <w:lang w:eastAsia="ko-KR"/>
      </w:rPr>
    </w:pPr>
    <w:r>
      <w:rPr>
        <w:sz w:val="20"/>
        <w:szCs w:val="20"/>
      </w:rPr>
      <w:t>SMi</w:t>
    </w:r>
    <w:r w:rsidR="00E9372F">
      <w:rPr>
        <w:sz w:val="20"/>
        <w:szCs w:val="20"/>
      </w:rPr>
      <w:t>zz_</w:t>
    </w:r>
    <w:r w:rsidR="0093002E">
      <w:rPr>
        <w:sz w:val="20"/>
        <w:szCs w:val="20"/>
      </w:rPr>
      <w:t>050</w:t>
    </w:r>
    <w:r w:rsidR="00777CA8">
      <w:rPr>
        <w:sz w:val="20"/>
        <w:szCs w:val="20"/>
      </w:rPr>
      <w:t>9</w:t>
    </w:r>
    <w:r w:rsidR="00A41C82">
      <w:rPr>
        <w:sz w:val="20"/>
        <w:szCs w:val="20"/>
      </w:rPr>
      <w:t>19_VSS549</w:t>
    </w:r>
  </w:p>
  <w:p w14:paraId="71D70F49" w14:textId="77777777" w:rsidR="00E65AF3" w:rsidRPr="00E15A76" w:rsidRDefault="00E65AF3" w:rsidP="00E65AF3">
    <w:pPr>
      <w:jc w:val="both"/>
      <w:rPr>
        <w:bCs/>
        <w:sz w:val="20"/>
        <w:szCs w:val="20"/>
      </w:rPr>
    </w:pPr>
  </w:p>
  <w:p w14:paraId="627254F6" w14:textId="77777777" w:rsidR="00013AD7" w:rsidRPr="0022701B" w:rsidRDefault="00B40651"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E93C5" w14:textId="77777777" w:rsidR="00C731BB" w:rsidRDefault="00C731BB" w:rsidP="000A531F">
      <w:r>
        <w:separator/>
      </w:r>
    </w:p>
  </w:footnote>
  <w:footnote w:type="continuationSeparator" w:id="0">
    <w:p w14:paraId="1F989EF8" w14:textId="77777777" w:rsidR="00C731BB" w:rsidRDefault="00C731BB"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B40651"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052AD6" w:rsidRDefault="00DF3EEC" w14:paraId="023703AE" w14:textId="64432851">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0AF4">
      <w:rPr>
        <w:rStyle w:val="PageNumber"/>
        <w:noProof/>
      </w:rPr>
      <w:t>3</w:t>
    </w:r>
    <w:r>
      <w:rPr>
        <w:rStyle w:val="PageNumber"/>
      </w:rPr>
      <w:fldChar w:fldCharType="end"/>
    </w:r>
  </w:p>
  <w:p w:rsidR="00013AD7" w:rsidRDefault="00B40651"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31F"/>
    <w:rsid w:val="00036659"/>
    <w:rsid w:val="00036D4F"/>
    <w:rsid w:val="00054FE8"/>
    <w:rsid w:val="0006315D"/>
    <w:rsid w:val="00070E2B"/>
    <w:rsid w:val="000933CF"/>
    <w:rsid w:val="000A39DD"/>
    <w:rsid w:val="000A531F"/>
    <w:rsid w:val="000D47FC"/>
    <w:rsid w:val="001029D6"/>
    <w:rsid w:val="001078EF"/>
    <w:rsid w:val="00120A54"/>
    <w:rsid w:val="0013486B"/>
    <w:rsid w:val="001541DE"/>
    <w:rsid w:val="001616A0"/>
    <w:rsid w:val="00161C98"/>
    <w:rsid w:val="00185895"/>
    <w:rsid w:val="001914B9"/>
    <w:rsid w:val="0019280E"/>
    <w:rsid w:val="001B0C1E"/>
    <w:rsid w:val="001B4F15"/>
    <w:rsid w:val="001E1A14"/>
    <w:rsid w:val="001F380D"/>
    <w:rsid w:val="001F5E0D"/>
    <w:rsid w:val="00212D1C"/>
    <w:rsid w:val="00213029"/>
    <w:rsid w:val="00251198"/>
    <w:rsid w:val="00254F60"/>
    <w:rsid w:val="00264C2F"/>
    <w:rsid w:val="00270D5D"/>
    <w:rsid w:val="002710B5"/>
    <w:rsid w:val="002734F9"/>
    <w:rsid w:val="00283C11"/>
    <w:rsid w:val="00290A24"/>
    <w:rsid w:val="002C326F"/>
    <w:rsid w:val="002D7A98"/>
    <w:rsid w:val="00302611"/>
    <w:rsid w:val="00326543"/>
    <w:rsid w:val="003501C0"/>
    <w:rsid w:val="00361F79"/>
    <w:rsid w:val="0038170E"/>
    <w:rsid w:val="003B1D66"/>
    <w:rsid w:val="003C1E3D"/>
    <w:rsid w:val="003D2373"/>
    <w:rsid w:val="003D2BAE"/>
    <w:rsid w:val="003E112E"/>
    <w:rsid w:val="004021B9"/>
    <w:rsid w:val="00403B37"/>
    <w:rsid w:val="00405454"/>
    <w:rsid w:val="004227B4"/>
    <w:rsid w:val="00431A7C"/>
    <w:rsid w:val="004401DB"/>
    <w:rsid w:val="00457251"/>
    <w:rsid w:val="00474825"/>
    <w:rsid w:val="00483870"/>
    <w:rsid w:val="00485BEE"/>
    <w:rsid w:val="00486CEF"/>
    <w:rsid w:val="004911C0"/>
    <w:rsid w:val="004A3325"/>
    <w:rsid w:val="004F65A9"/>
    <w:rsid w:val="005023AC"/>
    <w:rsid w:val="00503977"/>
    <w:rsid w:val="00510E30"/>
    <w:rsid w:val="00511A74"/>
    <w:rsid w:val="00517539"/>
    <w:rsid w:val="00523477"/>
    <w:rsid w:val="0053729A"/>
    <w:rsid w:val="00546049"/>
    <w:rsid w:val="005617E7"/>
    <w:rsid w:val="005617F5"/>
    <w:rsid w:val="00562E20"/>
    <w:rsid w:val="00562EF2"/>
    <w:rsid w:val="0057339C"/>
    <w:rsid w:val="00580CD2"/>
    <w:rsid w:val="005A5CE7"/>
    <w:rsid w:val="005A6C93"/>
    <w:rsid w:val="005B5C10"/>
    <w:rsid w:val="005C28F5"/>
    <w:rsid w:val="005D403F"/>
    <w:rsid w:val="005D69EE"/>
    <w:rsid w:val="005F225C"/>
    <w:rsid w:val="005F233F"/>
    <w:rsid w:val="005F3723"/>
    <w:rsid w:val="005F437F"/>
    <w:rsid w:val="005F4B79"/>
    <w:rsid w:val="00602FC3"/>
    <w:rsid w:val="00606571"/>
    <w:rsid w:val="00640D28"/>
    <w:rsid w:val="006523CA"/>
    <w:rsid w:val="00664D2C"/>
    <w:rsid w:val="00680207"/>
    <w:rsid w:val="00684D50"/>
    <w:rsid w:val="006854E4"/>
    <w:rsid w:val="00693260"/>
    <w:rsid w:val="00697B2A"/>
    <w:rsid w:val="006B04E7"/>
    <w:rsid w:val="006C196E"/>
    <w:rsid w:val="006C703C"/>
    <w:rsid w:val="006D534A"/>
    <w:rsid w:val="006E32A8"/>
    <w:rsid w:val="00705DBC"/>
    <w:rsid w:val="007150C6"/>
    <w:rsid w:val="007210AF"/>
    <w:rsid w:val="0072704D"/>
    <w:rsid w:val="00732176"/>
    <w:rsid w:val="00770AD8"/>
    <w:rsid w:val="00777CA8"/>
    <w:rsid w:val="007836E1"/>
    <w:rsid w:val="00783E6E"/>
    <w:rsid w:val="007913B3"/>
    <w:rsid w:val="007A38FD"/>
    <w:rsid w:val="007B0C72"/>
    <w:rsid w:val="007B5552"/>
    <w:rsid w:val="007C24D1"/>
    <w:rsid w:val="007D3819"/>
    <w:rsid w:val="007F39E0"/>
    <w:rsid w:val="007F5214"/>
    <w:rsid w:val="007F7190"/>
    <w:rsid w:val="008044EA"/>
    <w:rsid w:val="00840AC1"/>
    <w:rsid w:val="008454B7"/>
    <w:rsid w:val="00845C31"/>
    <w:rsid w:val="00857BEB"/>
    <w:rsid w:val="008655DA"/>
    <w:rsid w:val="00887A13"/>
    <w:rsid w:val="008944E8"/>
    <w:rsid w:val="008973CB"/>
    <w:rsid w:val="008A3BA3"/>
    <w:rsid w:val="008B1CF5"/>
    <w:rsid w:val="008C2198"/>
    <w:rsid w:val="008C7596"/>
    <w:rsid w:val="008D3595"/>
    <w:rsid w:val="008D74D3"/>
    <w:rsid w:val="008D7795"/>
    <w:rsid w:val="008D796D"/>
    <w:rsid w:val="008E1B52"/>
    <w:rsid w:val="008E5699"/>
    <w:rsid w:val="008E7648"/>
    <w:rsid w:val="0090000D"/>
    <w:rsid w:val="00906110"/>
    <w:rsid w:val="009065CD"/>
    <w:rsid w:val="0091003F"/>
    <w:rsid w:val="0091470D"/>
    <w:rsid w:val="0093002E"/>
    <w:rsid w:val="00930695"/>
    <w:rsid w:val="00930DCF"/>
    <w:rsid w:val="00940187"/>
    <w:rsid w:val="0094059F"/>
    <w:rsid w:val="009637BC"/>
    <w:rsid w:val="009702A1"/>
    <w:rsid w:val="00971B02"/>
    <w:rsid w:val="00974FA1"/>
    <w:rsid w:val="009768A1"/>
    <w:rsid w:val="00977DFB"/>
    <w:rsid w:val="00991667"/>
    <w:rsid w:val="009B005B"/>
    <w:rsid w:val="009B1463"/>
    <w:rsid w:val="009B6671"/>
    <w:rsid w:val="009D0DE2"/>
    <w:rsid w:val="009D6B36"/>
    <w:rsid w:val="009E0A03"/>
    <w:rsid w:val="009E765A"/>
    <w:rsid w:val="009F405E"/>
    <w:rsid w:val="009F7139"/>
    <w:rsid w:val="00A07EC6"/>
    <w:rsid w:val="00A34347"/>
    <w:rsid w:val="00A36F3C"/>
    <w:rsid w:val="00A41C82"/>
    <w:rsid w:val="00A4769E"/>
    <w:rsid w:val="00A56A87"/>
    <w:rsid w:val="00A67E47"/>
    <w:rsid w:val="00A91A94"/>
    <w:rsid w:val="00AA30C8"/>
    <w:rsid w:val="00AA4796"/>
    <w:rsid w:val="00AA6CE9"/>
    <w:rsid w:val="00AB2D31"/>
    <w:rsid w:val="00AC59EC"/>
    <w:rsid w:val="00AD080E"/>
    <w:rsid w:val="00AD3972"/>
    <w:rsid w:val="00AF0FE9"/>
    <w:rsid w:val="00AF2A7E"/>
    <w:rsid w:val="00AF3DEE"/>
    <w:rsid w:val="00AF7C82"/>
    <w:rsid w:val="00B13F24"/>
    <w:rsid w:val="00B14512"/>
    <w:rsid w:val="00B27067"/>
    <w:rsid w:val="00B40651"/>
    <w:rsid w:val="00B44E2F"/>
    <w:rsid w:val="00B44F89"/>
    <w:rsid w:val="00B634D5"/>
    <w:rsid w:val="00B641E0"/>
    <w:rsid w:val="00B65773"/>
    <w:rsid w:val="00B87422"/>
    <w:rsid w:val="00B93C32"/>
    <w:rsid w:val="00B93F44"/>
    <w:rsid w:val="00BA5981"/>
    <w:rsid w:val="00BA5B5C"/>
    <w:rsid w:val="00BB5CE6"/>
    <w:rsid w:val="00BC0E1F"/>
    <w:rsid w:val="00BC79D3"/>
    <w:rsid w:val="00BD318F"/>
    <w:rsid w:val="00BF56C6"/>
    <w:rsid w:val="00BF67D1"/>
    <w:rsid w:val="00C01004"/>
    <w:rsid w:val="00C16F5C"/>
    <w:rsid w:val="00C24317"/>
    <w:rsid w:val="00C319A3"/>
    <w:rsid w:val="00C4371D"/>
    <w:rsid w:val="00C731BB"/>
    <w:rsid w:val="00C73711"/>
    <w:rsid w:val="00C759D4"/>
    <w:rsid w:val="00C7621A"/>
    <w:rsid w:val="00C80A32"/>
    <w:rsid w:val="00C840B4"/>
    <w:rsid w:val="00C908F5"/>
    <w:rsid w:val="00CA0484"/>
    <w:rsid w:val="00CA590E"/>
    <w:rsid w:val="00CB3FDF"/>
    <w:rsid w:val="00CC0AF6"/>
    <w:rsid w:val="00CD3D34"/>
    <w:rsid w:val="00CD59D2"/>
    <w:rsid w:val="00CF228A"/>
    <w:rsid w:val="00D10BB7"/>
    <w:rsid w:val="00D14B84"/>
    <w:rsid w:val="00D16E81"/>
    <w:rsid w:val="00D33D37"/>
    <w:rsid w:val="00D34FEF"/>
    <w:rsid w:val="00D40AF4"/>
    <w:rsid w:val="00D56DC4"/>
    <w:rsid w:val="00D66F4C"/>
    <w:rsid w:val="00D67D80"/>
    <w:rsid w:val="00D84BD2"/>
    <w:rsid w:val="00D90DEB"/>
    <w:rsid w:val="00DA2FA4"/>
    <w:rsid w:val="00DA5A2A"/>
    <w:rsid w:val="00DC28A7"/>
    <w:rsid w:val="00DF2082"/>
    <w:rsid w:val="00DF28BB"/>
    <w:rsid w:val="00DF3EEC"/>
    <w:rsid w:val="00DF59E7"/>
    <w:rsid w:val="00DF5CFC"/>
    <w:rsid w:val="00E05C1E"/>
    <w:rsid w:val="00E15A76"/>
    <w:rsid w:val="00E41B15"/>
    <w:rsid w:val="00E46807"/>
    <w:rsid w:val="00E4734B"/>
    <w:rsid w:val="00E51EB0"/>
    <w:rsid w:val="00E65AF3"/>
    <w:rsid w:val="00E67024"/>
    <w:rsid w:val="00E90C3C"/>
    <w:rsid w:val="00E9372F"/>
    <w:rsid w:val="00E97C36"/>
    <w:rsid w:val="00EA0FF1"/>
    <w:rsid w:val="00EA19C2"/>
    <w:rsid w:val="00EA35D7"/>
    <w:rsid w:val="00EA4FB1"/>
    <w:rsid w:val="00EA5070"/>
    <w:rsid w:val="00EA671E"/>
    <w:rsid w:val="00EB2FCF"/>
    <w:rsid w:val="00ED020A"/>
    <w:rsid w:val="00EF21E1"/>
    <w:rsid w:val="00EF32FE"/>
    <w:rsid w:val="00F07B97"/>
    <w:rsid w:val="00F2605E"/>
    <w:rsid w:val="00F62623"/>
    <w:rsid w:val="00F663EB"/>
    <w:rsid w:val="00F77C0F"/>
    <w:rsid w:val="00FA7E01"/>
    <w:rsid w:val="00FC51C5"/>
    <w:rsid w:val="00FE09B5"/>
    <w:rsid w:val="00FE39E5"/>
    <w:rsid w:val="00FF22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209527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2384</Words>
  <Characters>1360</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pirkšanu</vt:lpstr>
      <vt:lpstr>Par nekustamā īpašuma pirkšanu</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pirkšanu</dc:title>
  <dc:creator>Satiksmes ministrijas Juridiskā departamenta Nekustamo īpašumu nodaļas vecākais referents Mārtiņš Jansons;67028037;VAS "Latvijas Valsts ceļi" jurists Varis Putāns;67028149</dc:creator>
  <cp:keywords>MK rīkojuma projekts</cp:keywords>
  <dc:description>Mārtiņš Jansons, 670282037; martins.jansons@sam.gov.lv
Varis Putāns, 67027149</dc:description>
  <cp:lastModifiedBy>ineta.vula@sam.gov.lv</cp:lastModifiedBy>
  <cp:revision>5</cp:revision>
  <cp:lastPrinted>2018-07-23T10:08:00Z</cp:lastPrinted>
  <dcterms:created xsi:type="dcterms:W3CDTF">2019-09-06T09:56:00Z</dcterms:created>
  <dcterms:modified xsi:type="dcterms:W3CDTF">2019-09-10T07:38:00Z</dcterms:modified>
</cp:coreProperties>
</file>