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71C64" w:rsidR="000A531F" w:rsidP="000A531F" w:rsidRDefault="000A531F" w14:paraId="6CC25306" w14:textId="77777777">
      <w:pPr>
        <w:jc w:val="center"/>
        <w:rPr>
          <w:b/>
          <w:sz w:val="28"/>
          <w:szCs w:val="28"/>
        </w:rPr>
      </w:pPr>
      <w:bookmarkStart w:name="_Hlk520114501" w:id="0"/>
      <w:bookmarkStart w:name="_GoBack" w:id="1"/>
      <w:bookmarkEnd w:id="1"/>
      <w:smartTag w:uri="schemas-tilde-lv/tildestengine" w:element="veidnes">
        <w:smartTagPr>
          <w:attr w:name="id" w:val="-1"/>
          <w:attr w:name="baseform" w:val="Izziņa"/>
          <w:attr w:name="text" w:val="Izziņa"/>
        </w:smartTagPr>
        <w:r w:rsidRPr="00F71C64">
          <w:rPr>
            <w:b/>
            <w:sz w:val="28"/>
            <w:szCs w:val="28"/>
          </w:rPr>
          <w:t>Izziņa</w:t>
        </w:r>
      </w:smartTag>
      <w:r w:rsidRPr="00F71C64">
        <w:rPr>
          <w:b/>
          <w:sz w:val="28"/>
          <w:szCs w:val="28"/>
        </w:rPr>
        <w:t xml:space="preserve"> par atzinumos sniegtajiem iebildumiem</w:t>
      </w:r>
    </w:p>
    <w:p w:rsidRPr="00C7621A" w:rsidR="000A531F" w:rsidP="00C7621A" w:rsidRDefault="000A531F" w14:paraId="458B585A" w14:textId="489B75F5">
      <w:pPr>
        <w:ind w:firstLine="720"/>
        <w:jc w:val="center"/>
        <w:rPr>
          <w:b/>
          <w:sz w:val="28"/>
        </w:rPr>
      </w:pPr>
      <w:r w:rsidRPr="00F71C64">
        <w:rPr>
          <w:b/>
          <w:sz w:val="28"/>
        </w:rPr>
        <w:t>Min</w:t>
      </w:r>
      <w:r w:rsidR="00705DBC">
        <w:rPr>
          <w:b/>
          <w:sz w:val="28"/>
        </w:rPr>
        <w:t>istru kabineta rīkojuma projektam</w:t>
      </w:r>
      <w:r w:rsidRPr="00F71C64">
        <w:rPr>
          <w:b/>
          <w:sz w:val="28"/>
        </w:rPr>
        <w:t xml:space="preserve"> </w:t>
      </w:r>
      <w:r w:rsidRPr="00AA30C8">
        <w:rPr>
          <w:b/>
          <w:sz w:val="28"/>
          <w:szCs w:val="28"/>
        </w:rPr>
        <w:t>„</w:t>
      </w:r>
      <w:r w:rsidRPr="00C7621A" w:rsidR="00C7621A">
        <w:rPr>
          <w:b/>
          <w:bCs/>
          <w:sz w:val="28"/>
          <w:szCs w:val="28"/>
        </w:rPr>
        <w:t>Par nekustamā īpašuma pirkšanu</w:t>
      </w:r>
      <w:r w:rsidRPr="000933CF" w:rsidR="000933CF">
        <w:rPr>
          <w:b/>
          <w:sz w:val="28"/>
          <w:szCs w:val="28"/>
        </w:rPr>
        <w:t>”</w:t>
      </w:r>
    </w:p>
    <w:bookmarkEnd w:id="0"/>
    <w:p w:rsidRPr="00EA4FB1" w:rsidR="00EA4FB1" w:rsidP="00EA4FB1" w:rsidRDefault="00EA4FB1" w14:paraId="0DC95222" w14:textId="77777777">
      <w:pPr>
        <w:ind w:firstLine="720"/>
        <w:jc w:val="center"/>
        <w:rPr>
          <w:b/>
          <w:bCs/>
          <w:sz w:val="28"/>
          <w:szCs w:val="28"/>
          <w:lang w:eastAsia="ko-KR"/>
        </w:rPr>
      </w:pPr>
    </w:p>
    <w:p w:rsidRPr="0053729A" w:rsidR="000A531F" w:rsidP="000A531F" w:rsidRDefault="000A531F" w14:paraId="7F60A93B" w14:textId="77777777">
      <w:pPr>
        <w:jc w:val="center"/>
        <w:rPr>
          <w:b/>
        </w:rPr>
      </w:pPr>
      <w:r w:rsidRPr="0053729A">
        <w:rPr>
          <w:b/>
        </w:rPr>
        <w:t>I.</w:t>
      </w:r>
      <w:r w:rsidR="00EA4FB1">
        <w:rPr>
          <w:b/>
        </w:rPr>
        <w:t xml:space="preserve"> </w:t>
      </w:r>
      <w:r w:rsidRPr="0053729A">
        <w:rPr>
          <w:b/>
        </w:rPr>
        <w:t>Jautājumi, par kuriem saskaņošanā vienošanās nav panākta</w:t>
      </w:r>
    </w:p>
    <w:tbl>
      <w:tblPr>
        <w:tblStyle w:val="TableGrid"/>
        <w:tblW w:w="14174" w:type="dxa"/>
        <w:tblLayout w:type="fixed"/>
        <w:tblLook w:val="01E0" w:firstRow="1" w:lastRow="1" w:firstColumn="1" w:lastColumn="1" w:noHBand="0" w:noVBand="0"/>
      </w:tblPr>
      <w:tblGrid>
        <w:gridCol w:w="648"/>
        <w:gridCol w:w="2182"/>
        <w:gridCol w:w="4298"/>
        <w:gridCol w:w="3240"/>
        <w:gridCol w:w="1620"/>
        <w:gridCol w:w="2186"/>
      </w:tblGrid>
      <w:tr w:rsidRPr="008F6980" w:rsidR="000A531F" w:rsidTr="009B6671" w14:paraId="325B19CA" w14:textId="77777777">
        <w:tc>
          <w:tcPr>
            <w:tcW w:w="648" w:type="dxa"/>
            <w:vAlign w:val="center"/>
          </w:tcPr>
          <w:p w:rsidRPr="008F6980" w:rsidR="000A531F" w:rsidP="0072110C" w:rsidRDefault="000A531F" w14:paraId="3A493631" w14:textId="77777777">
            <w:pPr>
              <w:jc w:val="center"/>
            </w:pPr>
            <w:proofErr w:type="spellStart"/>
            <w:r w:rsidRPr="008F6980">
              <w:t>Nr.p.k</w:t>
            </w:r>
            <w:proofErr w:type="spellEnd"/>
            <w:r w:rsidRPr="008F6980">
              <w:t>.</w:t>
            </w:r>
          </w:p>
        </w:tc>
        <w:tc>
          <w:tcPr>
            <w:tcW w:w="2182" w:type="dxa"/>
            <w:vAlign w:val="center"/>
          </w:tcPr>
          <w:p w:rsidRPr="008F6980" w:rsidR="000A531F" w:rsidP="0072110C" w:rsidRDefault="000A531F" w14:paraId="25B0D616" w14:textId="77777777">
            <w:pPr>
              <w:jc w:val="center"/>
            </w:pPr>
            <w:r w:rsidRPr="008F6980">
              <w:t>Saskaņošanai nosūtītā projekta redakcija (konkrēta punkta (panta) redakcija)</w:t>
            </w:r>
          </w:p>
        </w:tc>
        <w:tc>
          <w:tcPr>
            <w:tcW w:w="4298" w:type="dxa"/>
            <w:vAlign w:val="center"/>
          </w:tcPr>
          <w:p w:rsidRPr="008F6980" w:rsidR="000A531F" w:rsidP="0072110C" w:rsidRDefault="000A531F" w14:paraId="0C11CD22" w14:textId="77777777">
            <w:pPr>
              <w:jc w:val="center"/>
            </w:pPr>
            <w:r w:rsidRPr="008F6980">
              <w:t>Atzinumā norādītais ministrijas (citas institūcijas) iebildums, kā arī saskaņošanā papildus izteiktais iebildums par projekta konkrēto punktu (pantu)</w:t>
            </w:r>
          </w:p>
        </w:tc>
        <w:tc>
          <w:tcPr>
            <w:tcW w:w="3240" w:type="dxa"/>
            <w:vAlign w:val="center"/>
          </w:tcPr>
          <w:p w:rsidRPr="008F6980" w:rsidR="000A531F" w:rsidP="0072110C" w:rsidRDefault="000A531F" w14:paraId="21F73B3D" w14:textId="77777777">
            <w:pPr>
              <w:jc w:val="center"/>
            </w:pPr>
            <w:r w:rsidRPr="008F6980">
              <w:t>Atbildīgās ministrijas pamatojums iebilduma noraidījumam</w:t>
            </w:r>
          </w:p>
        </w:tc>
        <w:tc>
          <w:tcPr>
            <w:tcW w:w="1620" w:type="dxa"/>
            <w:vAlign w:val="center"/>
          </w:tcPr>
          <w:p w:rsidRPr="008F6980" w:rsidR="000A531F" w:rsidP="0072110C" w:rsidRDefault="000A531F" w14:paraId="24A85B3E" w14:textId="77777777">
            <w:pPr>
              <w:jc w:val="center"/>
            </w:pPr>
            <w:r w:rsidRPr="008F6980">
              <w:t>Atzinuma sniedzēja uzturētais iebildums, ja tas atšķiras no atzinumā norādītā iebilduma pamatojuma</w:t>
            </w:r>
          </w:p>
        </w:tc>
        <w:tc>
          <w:tcPr>
            <w:tcW w:w="2186" w:type="dxa"/>
            <w:vAlign w:val="center"/>
          </w:tcPr>
          <w:p w:rsidRPr="008F6980" w:rsidR="000A531F" w:rsidP="0072110C" w:rsidRDefault="000A531F" w14:paraId="69C12952" w14:textId="77777777">
            <w:pPr>
              <w:jc w:val="center"/>
            </w:pPr>
            <w:r w:rsidRPr="008F6980">
              <w:t>Projekta attiecīgā punkta (panta) galīgā redakcija</w:t>
            </w:r>
          </w:p>
        </w:tc>
      </w:tr>
      <w:tr w:rsidRPr="00B945F5" w:rsidR="000A531F" w:rsidTr="009B6671" w14:paraId="5ED8EFBD" w14:textId="77777777">
        <w:tc>
          <w:tcPr>
            <w:tcW w:w="648" w:type="dxa"/>
          </w:tcPr>
          <w:p w:rsidR="000A531F" w:rsidP="0072110C" w:rsidRDefault="000A531F" w14:paraId="6BF91C8B" w14:textId="77777777">
            <w:pPr>
              <w:jc w:val="center"/>
            </w:pPr>
            <w:r>
              <w:t>1.</w:t>
            </w:r>
          </w:p>
        </w:tc>
        <w:tc>
          <w:tcPr>
            <w:tcW w:w="2182" w:type="dxa"/>
          </w:tcPr>
          <w:p w:rsidR="000A531F" w:rsidP="0072110C" w:rsidRDefault="000A531F" w14:paraId="4EC8E93F" w14:textId="77777777">
            <w:pPr>
              <w:jc w:val="center"/>
            </w:pPr>
            <w:r>
              <w:t>2.</w:t>
            </w:r>
          </w:p>
        </w:tc>
        <w:tc>
          <w:tcPr>
            <w:tcW w:w="4298" w:type="dxa"/>
          </w:tcPr>
          <w:p w:rsidR="000A531F" w:rsidP="0072110C" w:rsidRDefault="000A531F" w14:paraId="0CA8ED55" w14:textId="77777777">
            <w:pPr>
              <w:jc w:val="center"/>
            </w:pPr>
            <w:r>
              <w:t>3.</w:t>
            </w:r>
          </w:p>
        </w:tc>
        <w:tc>
          <w:tcPr>
            <w:tcW w:w="3240" w:type="dxa"/>
          </w:tcPr>
          <w:p w:rsidR="000A531F" w:rsidP="0072110C" w:rsidRDefault="000A531F" w14:paraId="47A58861" w14:textId="77777777">
            <w:pPr>
              <w:jc w:val="center"/>
            </w:pPr>
            <w:r>
              <w:t>4.</w:t>
            </w:r>
          </w:p>
        </w:tc>
        <w:tc>
          <w:tcPr>
            <w:tcW w:w="1620" w:type="dxa"/>
          </w:tcPr>
          <w:p w:rsidR="000A531F" w:rsidP="0072110C" w:rsidRDefault="000A531F" w14:paraId="346DDB6A" w14:textId="77777777">
            <w:pPr>
              <w:jc w:val="center"/>
            </w:pPr>
            <w:r>
              <w:t>5.</w:t>
            </w:r>
          </w:p>
        </w:tc>
        <w:tc>
          <w:tcPr>
            <w:tcW w:w="2186" w:type="dxa"/>
          </w:tcPr>
          <w:p w:rsidR="000A531F" w:rsidP="0072110C" w:rsidRDefault="000A531F" w14:paraId="758733BE" w14:textId="77777777">
            <w:pPr>
              <w:jc w:val="center"/>
            </w:pPr>
            <w:r>
              <w:t>6.</w:t>
            </w:r>
          </w:p>
        </w:tc>
      </w:tr>
    </w:tbl>
    <w:p w:rsidR="00D90DEB" w:rsidP="009B1463" w:rsidRDefault="00D90DEB" w14:paraId="43F5161D" w14:textId="77777777">
      <w:pPr>
        <w:jc w:val="center"/>
        <w:rPr>
          <w:b/>
        </w:rPr>
      </w:pPr>
    </w:p>
    <w:p w:rsidRPr="0053729A" w:rsidR="000A531F" w:rsidP="009B1463" w:rsidRDefault="000A531F" w14:paraId="0C266C57" w14:textId="68634904">
      <w:pPr>
        <w:jc w:val="center"/>
        <w:rPr>
          <w:b/>
        </w:rPr>
      </w:pPr>
      <w:r w:rsidRPr="0053729A">
        <w:rPr>
          <w:b/>
        </w:rPr>
        <w:t xml:space="preserve">Informācija par </w:t>
      </w:r>
      <w:proofErr w:type="spellStart"/>
      <w:r w:rsidRPr="0053729A">
        <w:rPr>
          <w:b/>
        </w:rPr>
        <w:t>starpministriju</w:t>
      </w:r>
      <w:proofErr w:type="spellEnd"/>
      <w:r w:rsidRPr="0053729A">
        <w:rPr>
          <w:b/>
        </w:rPr>
        <w:t xml:space="preserve"> (starpinstitūciju) sanāksmi vai elektronisko saskaņošanu</w:t>
      </w:r>
    </w:p>
    <w:tbl>
      <w:tblPr>
        <w:tblStyle w:val="TableGrid"/>
        <w:tblpPr w:leftFromText="180" w:rightFromText="180" w:vertAnchor="text" w:tblpY="1"/>
        <w:tblOverlap w:val="never"/>
        <w:tblW w:w="14170" w:type="dxa"/>
        <w:tblLook w:val="01E0" w:firstRow="1" w:lastRow="1" w:firstColumn="1" w:lastColumn="1" w:noHBand="0" w:noVBand="0"/>
      </w:tblPr>
      <w:tblGrid>
        <w:gridCol w:w="3663"/>
        <w:gridCol w:w="2469"/>
        <w:gridCol w:w="8038"/>
      </w:tblGrid>
      <w:tr w:rsidRPr="003A7944" w:rsidR="000A531F" w:rsidTr="00906110" w14:paraId="38971AA7" w14:textId="77777777">
        <w:trPr>
          <w:trHeight w:val="258"/>
        </w:trPr>
        <w:tc>
          <w:tcPr>
            <w:tcW w:w="3663" w:type="dxa"/>
            <w:vAlign w:val="bottom"/>
          </w:tcPr>
          <w:p w:rsidRPr="003A7944" w:rsidR="000A531F" w:rsidP="0072110C" w:rsidRDefault="000A531F" w14:paraId="39170A04" w14:textId="77777777">
            <w:r w:rsidRPr="003A7944">
              <w:t>Datums</w:t>
            </w:r>
          </w:p>
        </w:tc>
        <w:tc>
          <w:tcPr>
            <w:tcW w:w="10507" w:type="dxa"/>
            <w:gridSpan w:val="2"/>
            <w:vAlign w:val="bottom"/>
          </w:tcPr>
          <w:p w:rsidRPr="003A7944" w:rsidR="009768A1" w:rsidP="000A531F" w:rsidRDefault="00254D9C" w14:paraId="43E80F13" w14:textId="63C340EC">
            <w:r>
              <w:t>2019. gada 18. septembris (elektroniskā saskaņošana)</w:t>
            </w:r>
          </w:p>
        </w:tc>
      </w:tr>
      <w:tr w:rsidRPr="003A7944" w:rsidR="000A531F" w:rsidTr="00906110" w14:paraId="22190A4E" w14:textId="77777777">
        <w:trPr>
          <w:trHeight w:val="340"/>
        </w:trPr>
        <w:tc>
          <w:tcPr>
            <w:tcW w:w="3663" w:type="dxa"/>
            <w:vMerge w:val="restart"/>
          </w:tcPr>
          <w:p w:rsidRPr="003A7944" w:rsidR="000A531F" w:rsidP="0072110C" w:rsidRDefault="000A531F" w14:paraId="17E64ED7" w14:textId="77777777">
            <w:r w:rsidRPr="003A7944">
              <w:t>Saskaņošanas dalībnieki</w:t>
            </w:r>
          </w:p>
        </w:tc>
        <w:tc>
          <w:tcPr>
            <w:tcW w:w="10507" w:type="dxa"/>
            <w:gridSpan w:val="2"/>
            <w:vAlign w:val="bottom"/>
          </w:tcPr>
          <w:p w:rsidRPr="003A7944" w:rsidR="000A531F" w:rsidP="0072110C" w:rsidRDefault="000A531F" w14:paraId="796B3D3B" w14:textId="77777777">
            <w:pPr>
              <w:ind w:left="72"/>
            </w:pPr>
            <w:r w:rsidRPr="003A7944">
              <w:t>Tieslietu ministrija</w:t>
            </w:r>
          </w:p>
        </w:tc>
      </w:tr>
      <w:tr w:rsidRPr="003A7944" w:rsidR="00FC51C5" w:rsidTr="00906110" w14:paraId="5CF700F0" w14:textId="77777777">
        <w:trPr>
          <w:trHeight w:val="340"/>
        </w:trPr>
        <w:tc>
          <w:tcPr>
            <w:tcW w:w="3663" w:type="dxa"/>
            <w:vMerge/>
          </w:tcPr>
          <w:p w:rsidRPr="003A7944" w:rsidR="00FC51C5" w:rsidP="0072110C" w:rsidRDefault="00FC51C5" w14:paraId="35AD0E34" w14:textId="77777777"/>
        </w:tc>
        <w:tc>
          <w:tcPr>
            <w:tcW w:w="10507" w:type="dxa"/>
            <w:gridSpan w:val="2"/>
            <w:vAlign w:val="bottom"/>
          </w:tcPr>
          <w:p w:rsidRPr="003A7944" w:rsidR="00FC51C5" w:rsidP="0072110C" w:rsidRDefault="00FC51C5" w14:paraId="4B06BFC0" w14:textId="77777777">
            <w:pPr>
              <w:ind w:left="72"/>
            </w:pPr>
            <w:r w:rsidRPr="003A7944">
              <w:t>Finanšu ministrija</w:t>
            </w:r>
          </w:p>
        </w:tc>
      </w:tr>
      <w:tr w:rsidRPr="003A7944" w:rsidR="000A531F" w:rsidTr="00906110" w14:paraId="50297B32" w14:textId="77777777">
        <w:trPr>
          <w:trHeight w:val="629"/>
        </w:trPr>
        <w:tc>
          <w:tcPr>
            <w:tcW w:w="6132" w:type="dxa"/>
            <w:gridSpan w:val="2"/>
            <w:vAlign w:val="bottom"/>
          </w:tcPr>
          <w:p w:rsidRPr="003A7944" w:rsidR="000A531F" w:rsidP="0072110C" w:rsidRDefault="000A531F" w14:paraId="541DADF2" w14:textId="77777777">
            <w:r w:rsidRPr="003A7944">
              <w:t>Saskaņošanas dalībnieki izskatīja šādu ministrij</w:t>
            </w:r>
            <w:r>
              <w:t xml:space="preserve">u (citu </w:t>
            </w:r>
            <w:r w:rsidRPr="003A7944">
              <w:t>institūciju) iebildumus</w:t>
            </w:r>
          </w:p>
        </w:tc>
        <w:tc>
          <w:tcPr>
            <w:tcW w:w="8038" w:type="dxa"/>
            <w:vAlign w:val="bottom"/>
          </w:tcPr>
          <w:p w:rsidRPr="003A7944" w:rsidR="00B27067" w:rsidP="00B14512" w:rsidRDefault="00FE39E5" w14:paraId="11A709A3" w14:textId="2D1A1E1E">
            <w:r>
              <w:t>Ti</w:t>
            </w:r>
            <w:r w:rsidR="00C7621A">
              <w:t xml:space="preserve">eslietu ministrijas 2019. gada </w:t>
            </w:r>
            <w:r w:rsidR="00FC45F1">
              <w:t>30. augusta atzinums Nr.1-9.1/884</w:t>
            </w:r>
          </w:p>
        </w:tc>
      </w:tr>
      <w:tr w:rsidRPr="003A7944" w:rsidR="000A531F" w:rsidTr="00906110" w14:paraId="0DDF6A41" w14:textId="77777777">
        <w:trPr>
          <w:trHeight w:val="80"/>
        </w:trPr>
        <w:tc>
          <w:tcPr>
            <w:tcW w:w="6132" w:type="dxa"/>
            <w:gridSpan w:val="2"/>
            <w:vAlign w:val="bottom"/>
          </w:tcPr>
          <w:p w:rsidRPr="003A7944" w:rsidR="000A531F" w:rsidP="0072110C" w:rsidRDefault="000A531F" w14:paraId="626803DB" w14:textId="77777777">
            <w:r w:rsidRPr="003A7944">
              <w:t>Ministrijas (citas institūcijas), kuras nav ieradušās uz sanāksmi vai kuras nav atbildējušas uz uzaicinājumu piedalīties elektroniskajā saskaņošanā</w:t>
            </w:r>
          </w:p>
        </w:tc>
        <w:tc>
          <w:tcPr>
            <w:tcW w:w="8038" w:type="dxa"/>
          </w:tcPr>
          <w:p w:rsidRPr="0073295B" w:rsidR="000A531F" w:rsidP="0072110C" w:rsidRDefault="000A531F" w14:paraId="4B68C877" w14:textId="06341771"/>
        </w:tc>
      </w:tr>
    </w:tbl>
    <w:p w:rsidR="00C01004" w:rsidP="008C4257" w:rsidRDefault="00C01004" w14:paraId="0B6CCCE7" w14:textId="77777777">
      <w:pPr>
        <w:pStyle w:val="naisf"/>
        <w:spacing w:before="0" w:after="0"/>
        <w:ind w:firstLine="0"/>
        <w:rPr>
          <w:b/>
          <w:sz w:val="28"/>
          <w:szCs w:val="28"/>
        </w:rPr>
      </w:pPr>
    </w:p>
    <w:p w:rsidR="00C73711" w:rsidP="009B1463" w:rsidRDefault="000A531F" w14:paraId="7FB632DB" w14:textId="6627441C">
      <w:pPr>
        <w:pStyle w:val="naisf"/>
        <w:spacing w:before="0" w:after="0"/>
        <w:ind w:firstLine="0"/>
        <w:jc w:val="center"/>
        <w:rPr>
          <w:b/>
        </w:rPr>
      </w:pPr>
      <w:r w:rsidRPr="00B05446">
        <w:rPr>
          <w:b/>
          <w:sz w:val="28"/>
          <w:szCs w:val="28"/>
        </w:rPr>
        <w:t xml:space="preserve">II. </w:t>
      </w:r>
      <w:r w:rsidRPr="00930695" w:rsidR="00930695">
        <w:rPr>
          <w:b/>
        </w:rPr>
        <w:t>Jautājumi, par kuriem saskaņošanā vienošanās ir panākta</w:t>
      </w:r>
    </w:p>
    <w:tbl>
      <w:tblPr>
        <w:tblStyle w:val="TableGrid"/>
        <w:tblW w:w="14174" w:type="dxa"/>
        <w:tblLayout w:type="fixed"/>
        <w:tblLook w:val="04A0" w:firstRow="1" w:lastRow="0" w:firstColumn="1" w:lastColumn="0" w:noHBand="0" w:noVBand="1"/>
      </w:tblPr>
      <w:tblGrid>
        <w:gridCol w:w="675"/>
        <w:gridCol w:w="3119"/>
        <w:gridCol w:w="4678"/>
        <w:gridCol w:w="2722"/>
        <w:gridCol w:w="2980"/>
      </w:tblGrid>
      <w:tr w:rsidR="005D403F" w:rsidTr="0091003F" w14:paraId="19535BC7" w14:textId="77777777">
        <w:tc>
          <w:tcPr>
            <w:tcW w:w="675" w:type="dxa"/>
          </w:tcPr>
          <w:p w:rsidR="005D403F" w:rsidP="005D403F" w:rsidRDefault="005D403F" w14:paraId="0BCA00DC" w14:textId="77777777">
            <w:pPr>
              <w:pStyle w:val="naisf"/>
              <w:spacing w:before="0" w:after="0"/>
              <w:ind w:firstLine="0"/>
              <w:jc w:val="center"/>
            </w:pPr>
            <w:r>
              <w:t>Nr.</w:t>
            </w:r>
          </w:p>
          <w:p w:rsidR="005D403F" w:rsidP="005D403F" w:rsidRDefault="005D403F" w14:paraId="5F8FB0CA" w14:textId="77777777">
            <w:pPr>
              <w:pStyle w:val="naisf"/>
              <w:spacing w:before="0" w:after="0"/>
              <w:ind w:firstLine="0"/>
              <w:jc w:val="center"/>
            </w:pPr>
            <w:r>
              <w:t>p.k.</w:t>
            </w:r>
          </w:p>
        </w:tc>
        <w:tc>
          <w:tcPr>
            <w:tcW w:w="3119" w:type="dxa"/>
          </w:tcPr>
          <w:p w:rsidR="005D403F" w:rsidP="005D403F" w:rsidRDefault="005D403F" w14:paraId="267E306B" w14:textId="77777777">
            <w:pPr>
              <w:pStyle w:val="naisf"/>
              <w:spacing w:before="0" w:after="0"/>
              <w:ind w:firstLine="0"/>
              <w:jc w:val="center"/>
            </w:pPr>
            <w:r w:rsidRPr="00930695">
              <w:t>Saskaņošanai nosūtītā projekta redakcija (konkrēta punkta (panta) redakcija)</w:t>
            </w:r>
          </w:p>
        </w:tc>
        <w:tc>
          <w:tcPr>
            <w:tcW w:w="4678" w:type="dxa"/>
          </w:tcPr>
          <w:p w:rsidR="005D403F" w:rsidP="005D403F" w:rsidRDefault="005D403F" w14:paraId="52143616" w14:textId="77777777">
            <w:pPr>
              <w:pStyle w:val="naisf"/>
              <w:spacing w:before="0" w:after="0"/>
              <w:ind w:firstLine="0"/>
              <w:jc w:val="center"/>
            </w:pPr>
            <w:r w:rsidRPr="00930695">
              <w:t>Atzinumā norādītais ministrijas (citas institūcijas) iebildums, kā arī saskaņošanā papildus izteiktais iebildums par projekta konkrēto punktu (pantu)</w:t>
            </w:r>
          </w:p>
        </w:tc>
        <w:tc>
          <w:tcPr>
            <w:tcW w:w="2722" w:type="dxa"/>
          </w:tcPr>
          <w:p w:rsidR="005D403F" w:rsidP="005D403F" w:rsidRDefault="005D403F" w14:paraId="6C6BD330" w14:textId="77777777">
            <w:pPr>
              <w:pStyle w:val="naisf"/>
              <w:spacing w:before="0" w:after="0"/>
              <w:ind w:firstLine="0"/>
              <w:jc w:val="center"/>
            </w:pPr>
            <w:r w:rsidRPr="00930695">
              <w:t xml:space="preserve">Atbildīgās ministrijas norāde par to, ka iebildums ir ņemts vērā, vai informācija par </w:t>
            </w:r>
            <w:r w:rsidRPr="00930695">
              <w:lastRenderedPageBreak/>
              <w:t>saskaņošanā panākto alternatīvo risinājumu</w:t>
            </w:r>
          </w:p>
        </w:tc>
        <w:tc>
          <w:tcPr>
            <w:tcW w:w="2980" w:type="dxa"/>
          </w:tcPr>
          <w:p w:rsidR="005D403F" w:rsidP="005D403F" w:rsidRDefault="005D403F" w14:paraId="7F91D989" w14:textId="77777777">
            <w:pPr>
              <w:pStyle w:val="naisf"/>
              <w:spacing w:before="0" w:after="0"/>
              <w:ind w:firstLine="0"/>
              <w:jc w:val="center"/>
            </w:pPr>
            <w:r w:rsidRPr="00930695">
              <w:lastRenderedPageBreak/>
              <w:t>Projekta attiecīgā punkta (panta) galīgā redakcija</w:t>
            </w:r>
          </w:p>
        </w:tc>
      </w:tr>
      <w:tr w:rsidR="005D403F" w:rsidTr="0091003F" w14:paraId="4254AEA4" w14:textId="77777777">
        <w:tc>
          <w:tcPr>
            <w:tcW w:w="675" w:type="dxa"/>
          </w:tcPr>
          <w:p w:rsidR="005D403F" w:rsidP="005D403F" w:rsidRDefault="001078EF" w14:paraId="2DF49046" w14:textId="7A914B4D">
            <w:pPr>
              <w:pStyle w:val="naisf"/>
              <w:spacing w:before="0" w:after="0"/>
              <w:ind w:firstLine="0"/>
              <w:jc w:val="center"/>
            </w:pPr>
            <w:r>
              <w:t>1.</w:t>
            </w:r>
          </w:p>
        </w:tc>
        <w:tc>
          <w:tcPr>
            <w:tcW w:w="3119" w:type="dxa"/>
          </w:tcPr>
          <w:p w:rsidR="00AA30C8" w:rsidP="00FC45F1" w:rsidRDefault="00FC45F1" w14:paraId="1A4FA300" w14:textId="01F86D96">
            <w:pPr>
              <w:ind w:firstLine="294"/>
              <w:jc w:val="both"/>
              <w:rPr>
                <w:lang w:eastAsia="ko-KR"/>
              </w:rPr>
            </w:pPr>
            <w:r>
              <w:rPr>
                <w:lang w:eastAsia="ko-KR"/>
              </w:rPr>
              <w:t>Ministru kabineta rīkojuma projekts, protokola projekts, sākotnējās ietekmes novērtējuma ziņojums (anotācija) un paskaidrojošie materiāli.</w:t>
            </w:r>
          </w:p>
        </w:tc>
        <w:tc>
          <w:tcPr>
            <w:tcW w:w="4678" w:type="dxa"/>
          </w:tcPr>
          <w:p w:rsidRPr="001078EF" w:rsidR="001078EF" w:rsidP="00A4769E" w:rsidRDefault="001078EF" w14:paraId="7B59510A" w14:textId="3B90D3DE">
            <w:pPr>
              <w:ind w:firstLine="720"/>
              <w:jc w:val="center"/>
              <w:rPr>
                <w:b/>
              </w:rPr>
            </w:pPr>
            <w:r w:rsidRPr="001078EF">
              <w:rPr>
                <w:b/>
              </w:rPr>
              <w:t>Tieslietu ministrija</w:t>
            </w:r>
          </w:p>
          <w:p w:rsidRPr="00FC45F1" w:rsidR="003E112E" w:rsidP="00A239A8" w:rsidRDefault="00FC45F1" w14:paraId="724A8C63" w14:textId="70BCE499">
            <w:pPr>
              <w:pStyle w:val="ListParagraph"/>
              <w:tabs>
                <w:tab w:val="left" w:pos="1134"/>
              </w:tabs>
              <w:autoSpaceDE w:val="0"/>
              <w:autoSpaceDN w:val="0"/>
              <w:adjustRightInd w:val="0"/>
              <w:ind w:left="0" w:firstLine="774"/>
              <w:jc w:val="both"/>
            </w:pPr>
            <w:r w:rsidRPr="00897C9F">
              <w:t xml:space="preserve">Nekustamā īpašuma novērtējumā </w:t>
            </w:r>
            <w:r>
              <w:t>"</w:t>
            </w:r>
            <w:r w:rsidRPr="00897C9F">
              <w:t xml:space="preserve">No nekustamā īpašuma </w:t>
            </w:r>
            <w:r>
              <w:t>"</w:t>
            </w:r>
            <w:r w:rsidRPr="00897C9F">
              <w:t>Dauguļi</w:t>
            </w:r>
            <w:r>
              <w:t>"</w:t>
            </w:r>
            <w:r w:rsidRPr="00897C9F">
              <w:t xml:space="preserve"> (kadastra Nr. 40940130001), kas atrodas Vecumnieku novada Vecumnieku pagasta, atdalītas zemes vienības,</w:t>
            </w:r>
            <w:r>
              <w:t xml:space="preserve"> </w:t>
            </w:r>
            <w:r w:rsidRPr="00897C9F">
              <w:t>Dauguļi V1007" ar kadastra apzīmējumu 40940130116 novērtējums</w:t>
            </w:r>
            <w:r>
              <w:t>"</w:t>
            </w:r>
            <w:r w:rsidRPr="00897C9F">
              <w:t xml:space="preserve"> ir atainota savstarpēji pretrunīga informācija. No vienas puses tiek apgalvots, ka </w:t>
            </w:r>
            <w:r>
              <w:t>"</w:t>
            </w:r>
            <w:r w:rsidRPr="00897C9F">
              <w:t xml:space="preserve">Uz zemes vienības ir augoši koki. Vērtējamā objekta kopīpašnieki nav izteikuši vēlmi kokus izmantot </w:t>
            </w:r>
            <w:r w:rsidRPr="00897C9F">
              <w:rPr>
                <w:rFonts w:eastAsia="HiddenHorzOCR"/>
              </w:rPr>
              <w:t xml:space="preserve">pašpatēriņam, </w:t>
            </w:r>
            <w:r w:rsidRPr="00897C9F">
              <w:t>līdz ar to aprēķināti atsavināšanas rezultāt</w:t>
            </w:r>
            <w:r>
              <w:t>ā</w:t>
            </w:r>
            <w:r w:rsidRPr="00897C9F">
              <w:t xml:space="preserve"> radušies zaudējumi saistībā ar atsavināmajā zemes gabala daļā augošajiem kokiem.</w:t>
            </w:r>
            <w:r>
              <w:t>" Taču šāds zaudējumu aprēķins nav norādīts novērtējumā. No otras puses novērtējumā pievienots dokuments, kurā norādīts, ka īpašnieki uz zemesgabala augošos kokus izmantos pašpatēriņam. Lūdzam skaidrot, vai novērtējumā ir vai nav ņemti vērā uz zemes gabala augošie koki.</w:t>
            </w:r>
          </w:p>
        </w:tc>
        <w:tc>
          <w:tcPr>
            <w:tcW w:w="2722" w:type="dxa"/>
          </w:tcPr>
          <w:p w:rsidR="00F32319" w:rsidP="009C6300" w:rsidRDefault="001078EF" w14:paraId="5CB351FF" w14:textId="480905B4">
            <w:pPr>
              <w:pStyle w:val="naisf"/>
              <w:spacing w:before="0" w:after="0"/>
              <w:ind w:firstLine="0"/>
              <w:jc w:val="center"/>
              <w:rPr>
                <w:rFonts w:eastAsia="Calibri"/>
                <w:b/>
                <w:lang w:eastAsia="ko-KR"/>
              </w:rPr>
            </w:pPr>
            <w:r w:rsidRPr="001078EF">
              <w:rPr>
                <w:rFonts w:eastAsia="Calibri"/>
                <w:b/>
                <w:lang w:eastAsia="ko-KR"/>
              </w:rPr>
              <w:t>Iebildums ņemts vērā</w:t>
            </w:r>
          </w:p>
          <w:p w:rsidRPr="00C01004" w:rsidR="00C01004" w:rsidP="00D14B84" w:rsidRDefault="009E26E8" w14:paraId="4F11965E" w14:textId="0DD4C654">
            <w:pPr>
              <w:pStyle w:val="naisf"/>
              <w:spacing w:before="0" w:after="0"/>
              <w:ind w:firstLine="0"/>
              <w:rPr>
                <w:rFonts w:eastAsia="Calibri"/>
                <w:lang w:eastAsia="ko-KR"/>
              </w:rPr>
            </w:pPr>
            <w:r>
              <w:rPr>
                <w:rFonts w:eastAsia="Calibri"/>
                <w:lang w:eastAsia="ko-KR"/>
              </w:rPr>
              <w:t>Satiksmes ministrija vērš uzmanību, ka vērtējumā atspoguļotā informācija ir patiesa un vērtējuma slēdzienā aprēķinātā atlīdzība ir bez kokiem.</w:t>
            </w:r>
          </w:p>
        </w:tc>
        <w:tc>
          <w:tcPr>
            <w:tcW w:w="2980" w:type="dxa"/>
          </w:tcPr>
          <w:p w:rsidRPr="00DF2082" w:rsidR="00F663EB" w:rsidP="001078EF" w:rsidRDefault="009E26E8" w14:paraId="2BB4635D" w14:textId="6AF39FC8">
            <w:pPr>
              <w:widowControl w:val="0"/>
              <w:jc w:val="both"/>
              <w:rPr>
                <w:szCs w:val="28"/>
              </w:rPr>
            </w:pPr>
            <w:r>
              <w:rPr>
                <w:lang w:eastAsia="ko-KR"/>
              </w:rPr>
              <w:t xml:space="preserve">Tiek pievienots papildus </w:t>
            </w:r>
            <w:r w:rsidR="00FC45F1">
              <w:rPr>
                <w:lang w:eastAsia="ko-KR"/>
              </w:rPr>
              <w:t>paskaidrojoš</w:t>
            </w:r>
            <w:r>
              <w:rPr>
                <w:lang w:eastAsia="ko-KR"/>
              </w:rPr>
              <w:t>ais</w:t>
            </w:r>
            <w:r w:rsidR="00FC45F1">
              <w:rPr>
                <w:lang w:eastAsia="ko-KR"/>
              </w:rPr>
              <w:t xml:space="preserve"> materiāl</w:t>
            </w:r>
            <w:r>
              <w:rPr>
                <w:lang w:eastAsia="ko-KR"/>
              </w:rPr>
              <w:t>s</w:t>
            </w:r>
            <w:r w:rsidR="00FC45F1">
              <w:rPr>
                <w:lang w:eastAsia="ko-KR"/>
              </w:rPr>
              <w:t>.</w:t>
            </w:r>
          </w:p>
        </w:tc>
      </w:tr>
      <w:tr w:rsidR="00FC45F1" w:rsidTr="0091003F" w14:paraId="21D90C6E" w14:textId="77777777">
        <w:tc>
          <w:tcPr>
            <w:tcW w:w="675" w:type="dxa"/>
          </w:tcPr>
          <w:p w:rsidR="00FC45F1" w:rsidP="005D403F" w:rsidRDefault="00FC45F1" w14:paraId="2D0A55A4" w14:textId="10B88530">
            <w:pPr>
              <w:pStyle w:val="naisf"/>
              <w:spacing w:before="0" w:after="0"/>
              <w:ind w:firstLine="0"/>
              <w:jc w:val="center"/>
            </w:pPr>
            <w:r>
              <w:t>2.</w:t>
            </w:r>
          </w:p>
        </w:tc>
        <w:tc>
          <w:tcPr>
            <w:tcW w:w="3119" w:type="dxa"/>
          </w:tcPr>
          <w:p w:rsidR="00FC45F1" w:rsidP="00FC45F1" w:rsidRDefault="00F32319" w14:paraId="00843997" w14:textId="090D2675">
            <w:pPr>
              <w:ind w:firstLine="294"/>
              <w:jc w:val="both"/>
              <w:rPr>
                <w:lang w:eastAsia="ko-KR"/>
              </w:rPr>
            </w:pPr>
            <w:r>
              <w:rPr>
                <w:lang w:eastAsia="ko-KR"/>
              </w:rPr>
              <w:t>Ministru kabineta rīkojuma projekts, protokola projekts, sākotnējās ietekmes novērtējuma ziņojums (anotācija) un paskaidrojošie materiāli.</w:t>
            </w:r>
          </w:p>
        </w:tc>
        <w:tc>
          <w:tcPr>
            <w:tcW w:w="4678" w:type="dxa"/>
          </w:tcPr>
          <w:p w:rsidRPr="00F32319" w:rsidR="00F32319" w:rsidP="00F32319" w:rsidRDefault="00F32319" w14:paraId="7EBC7916" w14:textId="5BBA3757">
            <w:pPr>
              <w:ind w:firstLine="720"/>
              <w:jc w:val="center"/>
              <w:rPr>
                <w:b/>
                <w:bCs/>
              </w:rPr>
            </w:pPr>
            <w:r w:rsidRPr="00F32319">
              <w:rPr>
                <w:b/>
                <w:bCs/>
              </w:rPr>
              <w:t>Tieslietu ministrija</w:t>
            </w:r>
          </w:p>
          <w:p w:rsidRPr="001078EF" w:rsidR="00FC45F1" w:rsidP="00F32319" w:rsidRDefault="00F32319" w14:paraId="6BA2147E" w14:textId="29E62F97">
            <w:pPr>
              <w:ind w:firstLine="720"/>
              <w:jc w:val="both"/>
              <w:rPr>
                <w:b/>
              </w:rPr>
            </w:pPr>
            <w:r>
              <w:t>N</w:t>
            </w:r>
            <w:r w:rsidRPr="00F83F79">
              <w:t xml:space="preserve">o rīkojuma projektam pievienotajiem paskaidrojošiem dokumentiem izriet, ka atsavināmo nekustamo īpašumu īpašnieks ir veicis darbības, lai sakārtotu savu īpašumu, proti, atdalītu konkrētu ceļa vajadzībām nepieciešamo zemes vienību un Nekustamā īpašuma valsts kadastra informācijas sistēmā </w:t>
            </w:r>
            <w:r>
              <w:t xml:space="preserve">(NĪVKIS) </w:t>
            </w:r>
            <w:r w:rsidRPr="00F83F79">
              <w:t xml:space="preserve">šai zemes vienībai noteikts </w:t>
            </w:r>
            <w:r w:rsidRPr="00F83F79">
              <w:lastRenderedPageBreak/>
              <w:t>lietošanas mērķis – zeme dzelzceļa infrastruktūras zemes nodalījuma joslā un ceļu zemes nodalījuma joslā.</w:t>
            </w:r>
            <w:r>
              <w:t xml:space="preserve"> Turklāt minētais ir veikts 15.10.2018.</w:t>
            </w:r>
            <w:r w:rsidRPr="00F83F79">
              <w:t xml:space="preserve"> Tas ir pozitīvi vērtējams, ja nekustamā īpašuma īpašnieks kā krietns un rūpīgs saimnieks veic nepieciešamās darbības, lai informācija par viņam piederošo nekustamo īpašumu būtu aktuāla</w:t>
            </w:r>
            <w:r>
              <w:t xml:space="preserve">. </w:t>
            </w:r>
            <w:r w:rsidRPr="00F83F79">
              <w:t>Savukārt no otras puses</w:t>
            </w:r>
            <w:r>
              <w:t xml:space="preserve"> nav</w:t>
            </w:r>
            <w:r w:rsidRPr="00F83F79">
              <w:t xml:space="preserve"> atbalstāma prakse, ka institūcija</w:t>
            </w:r>
            <w:r>
              <w:t xml:space="preserve"> </w:t>
            </w:r>
            <w:r w:rsidRPr="00F83F79">
              <w:t>Sabiedrības vajadzībām nepieciešamā nekustamā īpašuma atsavināšanas likuma 18.</w:t>
            </w:r>
            <w:r>
              <w:t> </w:t>
            </w:r>
            <w:r w:rsidRPr="00F83F79">
              <w:t>panta pirmajā daļā noteikto paziņojumu par nekustamā īpašuma atsavināšanu</w:t>
            </w:r>
            <w:r>
              <w:t xml:space="preserve"> </w:t>
            </w:r>
            <w:proofErr w:type="spellStart"/>
            <w:r>
              <w:t>sūta</w:t>
            </w:r>
            <w:proofErr w:type="spellEnd"/>
            <w:r>
              <w:t xml:space="preserve"> uzreiz pēc tam, kad nekustamā īpašuma īpašnieks ir sakārtojis savu īpašumu. Šajā gadījumā minētais paziņojums ir nosūtīts 06.12.2018. Lūdzam skaidrot, vai institūcija bija sazinājusies ar nekustamā īpašuma īpašniekiem pirms 06.12.2018. un kādi ir galvenie iemesli, kādēļ institūcija nosūtīja nekustamā īpašuma paziņojumu tikai pēc tam, kad dati bija atjaunoti NĪVKIS.</w:t>
            </w:r>
          </w:p>
        </w:tc>
        <w:tc>
          <w:tcPr>
            <w:tcW w:w="2722" w:type="dxa"/>
          </w:tcPr>
          <w:p w:rsidR="00FC45F1" w:rsidP="001078EF" w:rsidRDefault="00F32319" w14:paraId="45A27D8C" w14:textId="77777777">
            <w:pPr>
              <w:pStyle w:val="naisf"/>
              <w:spacing w:before="0" w:after="0"/>
              <w:ind w:firstLine="0"/>
              <w:jc w:val="center"/>
              <w:rPr>
                <w:rFonts w:eastAsia="Calibri"/>
                <w:b/>
                <w:lang w:eastAsia="ko-KR"/>
              </w:rPr>
            </w:pPr>
            <w:r>
              <w:rPr>
                <w:rFonts w:eastAsia="Calibri"/>
                <w:b/>
                <w:lang w:eastAsia="ko-KR"/>
              </w:rPr>
              <w:lastRenderedPageBreak/>
              <w:t>Iebildums ņemts vērā</w:t>
            </w:r>
          </w:p>
          <w:p w:rsidR="009B7415" w:rsidP="009B7415" w:rsidRDefault="00F32319" w14:paraId="2171B512" w14:textId="77777777">
            <w:pPr>
              <w:pStyle w:val="naisf"/>
              <w:spacing w:before="0" w:after="0"/>
              <w:ind w:firstLine="0"/>
              <w:jc w:val="center"/>
              <w:rPr>
                <w:rFonts w:eastAsia="Calibri"/>
                <w:b/>
                <w:lang w:eastAsia="ko-KR"/>
              </w:rPr>
            </w:pPr>
            <w:r>
              <w:rPr>
                <w:rFonts w:eastAsia="Calibri"/>
                <w:b/>
                <w:lang w:eastAsia="ko-KR"/>
              </w:rPr>
              <w:t>(tiek sniegts skaidrojums)</w:t>
            </w:r>
            <w:r w:rsidR="009B7415">
              <w:rPr>
                <w:rFonts w:eastAsia="Calibri"/>
                <w:b/>
                <w:lang w:eastAsia="ko-KR"/>
              </w:rPr>
              <w:t xml:space="preserve"> </w:t>
            </w:r>
          </w:p>
          <w:p w:rsidRPr="009B7415" w:rsidR="006E2605" w:rsidP="009B7415" w:rsidRDefault="009B7415" w14:paraId="02443A2F" w14:textId="1EC0FEC3">
            <w:pPr>
              <w:pStyle w:val="naisf"/>
              <w:spacing w:before="0" w:after="0"/>
              <w:ind w:firstLine="0"/>
              <w:rPr>
                <w:rFonts w:eastAsia="Calibri"/>
                <w:b/>
                <w:lang w:eastAsia="ko-KR"/>
              </w:rPr>
            </w:pPr>
            <w:r>
              <w:rPr>
                <w:rFonts w:eastAsia="Calibri"/>
                <w:bCs/>
                <w:lang w:eastAsia="ko-KR"/>
              </w:rPr>
              <w:t xml:space="preserve">Ņemot vērā Tieslietu ministrijas lūgumu Satiksmes ministrija informē, ka ar nekustamā īpašuma īpašniekiem tika runāts gan pirms </w:t>
            </w:r>
            <w:r>
              <w:rPr>
                <w:rFonts w:eastAsia="Calibri"/>
                <w:bCs/>
                <w:lang w:eastAsia="ko-KR"/>
              </w:rPr>
              <w:lastRenderedPageBreak/>
              <w:t xml:space="preserve">mērniecības, gan mērniecības procesa laikā. </w:t>
            </w:r>
            <w:r w:rsidR="00B25C4D">
              <w:rPr>
                <w:rFonts w:eastAsia="Calibri"/>
                <w:bCs/>
                <w:lang w:eastAsia="ko-KR"/>
              </w:rPr>
              <w:t>Galvenais iemesls, kādēļ paziņojums tika sūtīts pēc mērniecības procesa pabeigšanas (nekustamā īpašuma datu atjaunošanas Nekustamā īpašuma valsts kadastra informācijas sistēmā) ir nekustamā īpašuma īpašnieku mantojuma tiesību kārtošana.</w:t>
            </w:r>
          </w:p>
          <w:p w:rsidR="009B7415" w:rsidP="006E2605" w:rsidRDefault="00647248" w14:paraId="48F744A7" w14:textId="5BE932D8">
            <w:pPr>
              <w:pStyle w:val="naisf"/>
              <w:spacing w:before="0" w:after="0"/>
              <w:ind w:firstLine="0"/>
              <w:rPr>
                <w:rFonts w:eastAsia="Calibri"/>
                <w:bCs/>
                <w:lang w:eastAsia="ko-KR"/>
              </w:rPr>
            </w:pPr>
            <w:r>
              <w:rPr>
                <w:rFonts w:eastAsia="Calibri"/>
                <w:bCs/>
                <w:lang w:eastAsia="ko-KR"/>
              </w:rPr>
              <w:t>Papildus vēršam uzmanību, ka Satiksmes ministrijas ieskatā noteiktā atlīdzība ir taisnīga, kas arī tiek norādīts anotāc</w:t>
            </w:r>
            <w:r w:rsidR="00254D9C">
              <w:rPr>
                <w:rFonts w:eastAsia="Calibri"/>
                <w:bCs/>
                <w:lang w:eastAsia="ko-KR"/>
              </w:rPr>
              <w:t>i</w:t>
            </w:r>
            <w:r>
              <w:rPr>
                <w:rFonts w:eastAsia="Calibri"/>
                <w:bCs/>
                <w:lang w:eastAsia="ko-KR"/>
              </w:rPr>
              <w:t>jā.</w:t>
            </w:r>
          </w:p>
          <w:p w:rsidRPr="006E2605" w:rsidR="009B7415" w:rsidP="006E2605" w:rsidRDefault="009B7415" w14:paraId="43F92048" w14:textId="6CFA322A">
            <w:pPr>
              <w:pStyle w:val="naisf"/>
              <w:spacing w:before="0" w:after="0"/>
              <w:ind w:firstLine="0"/>
              <w:rPr>
                <w:rFonts w:eastAsia="Calibri"/>
                <w:bCs/>
                <w:lang w:eastAsia="ko-KR"/>
              </w:rPr>
            </w:pPr>
          </w:p>
        </w:tc>
        <w:tc>
          <w:tcPr>
            <w:tcW w:w="2980" w:type="dxa"/>
          </w:tcPr>
          <w:p w:rsidR="00FC45F1" w:rsidP="001078EF" w:rsidRDefault="00F32319" w14:paraId="47584EEF" w14:textId="6A5AED39">
            <w:pPr>
              <w:widowControl w:val="0"/>
              <w:jc w:val="both"/>
              <w:rPr>
                <w:lang w:eastAsia="ko-KR"/>
              </w:rPr>
            </w:pPr>
            <w:r>
              <w:rPr>
                <w:lang w:eastAsia="ko-KR"/>
              </w:rPr>
              <w:lastRenderedPageBreak/>
              <w:t>Ministru kabineta rīkojuma projekts, protokola projekts, sākotnējās ietekmes novērtējuma ziņojums (anotācija) un paskaidrojošie materiāli.</w:t>
            </w:r>
          </w:p>
        </w:tc>
      </w:tr>
    </w:tbl>
    <w:p w:rsidR="0006315D" w:rsidP="000A531F" w:rsidRDefault="0006315D" w14:paraId="6E28BF56" w14:textId="77777777">
      <w:pPr>
        <w:jc w:val="both"/>
        <w:rPr>
          <w:sz w:val="20"/>
          <w:szCs w:val="20"/>
        </w:rPr>
      </w:pPr>
    </w:p>
    <w:p w:rsidRPr="00A4769E" w:rsidR="000A531F" w:rsidP="000A531F" w:rsidRDefault="000A531F" w14:paraId="53C4EB95" w14:textId="14F3F5C8">
      <w:pPr>
        <w:jc w:val="both"/>
        <w:rPr>
          <w:sz w:val="28"/>
          <w:szCs w:val="28"/>
        </w:rPr>
      </w:pPr>
      <w:r w:rsidRPr="00A4769E">
        <w:rPr>
          <w:sz w:val="28"/>
          <w:szCs w:val="28"/>
        </w:rPr>
        <w:t>Atbildīgā amatpersona __________________________________________</w:t>
      </w:r>
    </w:p>
    <w:p w:rsidRPr="00A4769E" w:rsidR="000A531F" w:rsidP="000A531F" w:rsidRDefault="00FE39E5" w14:paraId="448E9A74" w14:textId="10C17271">
      <w:pPr>
        <w:jc w:val="both"/>
        <w:rPr>
          <w:sz w:val="28"/>
          <w:szCs w:val="28"/>
        </w:rPr>
      </w:pPr>
      <w:r w:rsidRPr="00A4769E">
        <w:rPr>
          <w:sz w:val="28"/>
          <w:szCs w:val="28"/>
        </w:rPr>
        <w:t>Mārtiņš Jansons</w:t>
      </w:r>
      <w:r w:rsidRPr="00A4769E" w:rsidR="000A531F">
        <w:rPr>
          <w:sz w:val="28"/>
          <w:szCs w:val="28"/>
        </w:rPr>
        <w:t>, Satiksmes ministrijas Juridiskā departamenta</w:t>
      </w:r>
    </w:p>
    <w:p w:rsidRPr="00A4769E" w:rsidR="000A531F" w:rsidP="000A531F" w:rsidRDefault="000A531F" w14:paraId="2DC8407D" w14:textId="25E21C6E">
      <w:pPr>
        <w:jc w:val="both"/>
        <w:rPr>
          <w:sz w:val="28"/>
          <w:szCs w:val="28"/>
        </w:rPr>
      </w:pPr>
      <w:r w:rsidRPr="00A4769E">
        <w:rPr>
          <w:sz w:val="28"/>
          <w:szCs w:val="28"/>
        </w:rPr>
        <w:t>Nekust</w:t>
      </w:r>
      <w:r w:rsidRPr="00A4769E" w:rsidR="00FE39E5">
        <w:rPr>
          <w:sz w:val="28"/>
          <w:szCs w:val="28"/>
        </w:rPr>
        <w:t>amo īpašumu nodaļas vecākais referents</w:t>
      </w:r>
    </w:p>
    <w:p w:rsidRPr="00A4769E" w:rsidR="005F3723" w:rsidP="009B1463" w:rsidRDefault="00FE39E5" w14:paraId="2D2820F1" w14:textId="7234BCA4">
      <w:pPr>
        <w:jc w:val="both"/>
        <w:rPr>
          <w:sz w:val="28"/>
          <w:szCs w:val="28"/>
        </w:rPr>
      </w:pPr>
      <w:r w:rsidRPr="00A4769E">
        <w:rPr>
          <w:sz w:val="28"/>
          <w:szCs w:val="28"/>
        </w:rPr>
        <w:t>Tālr.67028037</w:t>
      </w:r>
      <w:r w:rsidRPr="00A4769E" w:rsidR="000A531F">
        <w:rPr>
          <w:sz w:val="28"/>
          <w:szCs w:val="28"/>
        </w:rPr>
        <w:t xml:space="preserve">, e-pasts: </w:t>
      </w:r>
      <w:r w:rsidRPr="00A4769E">
        <w:rPr>
          <w:sz w:val="28"/>
          <w:szCs w:val="28"/>
        </w:rPr>
        <w:t>martins.jansons</w:t>
      </w:r>
      <w:r w:rsidRPr="00A4769E" w:rsidR="000A531F">
        <w:rPr>
          <w:sz w:val="28"/>
          <w:szCs w:val="28"/>
        </w:rPr>
        <w:t xml:space="preserve">@sam.gov.lv </w:t>
      </w:r>
    </w:p>
    <w:sectPr w:rsidRPr="00A4769E" w:rsidR="005F3723" w:rsidSect="002A4998">
      <w:headerReference w:type="even" r:id="rId7"/>
      <w:headerReference w:type="default" r:id="rId8"/>
      <w:footerReference w:type="default" r:id="rId9"/>
      <w:footerReference w:type="first" r:id="rId10"/>
      <w:pgSz w:w="16838" w:h="11906" w:orient="landscape"/>
      <w:pgMar w:top="1438" w:right="1440" w:bottom="143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57DFA" w14:textId="77777777" w:rsidR="00EA0E90" w:rsidRDefault="00EA0E90" w:rsidP="000A531F">
      <w:r>
        <w:separator/>
      </w:r>
    </w:p>
  </w:endnote>
  <w:endnote w:type="continuationSeparator" w:id="0">
    <w:p w14:paraId="300E2F98" w14:textId="77777777" w:rsidR="00EA0E90" w:rsidRDefault="00EA0E90" w:rsidP="000A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iddenHorzOCR">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03A34" w14:textId="5F18F7D9" w:rsidR="00FC45F1" w:rsidRPr="00FC51C5" w:rsidRDefault="00FC45F1" w:rsidP="00FC45F1">
    <w:pPr>
      <w:jc w:val="both"/>
      <w:rPr>
        <w:bCs/>
        <w:sz w:val="20"/>
        <w:szCs w:val="20"/>
        <w:lang w:eastAsia="ko-KR"/>
      </w:rPr>
    </w:pPr>
    <w:r>
      <w:rPr>
        <w:sz w:val="20"/>
        <w:szCs w:val="20"/>
      </w:rPr>
      <w:t>SMizz_</w:t>
    </w:r>
    <w:r w:rsidR="00254D9C">
      <w:rPr>
        <w:sz w:val="20"/>
        <w:szCs w:val="20"/>
      </w:rPr>
      <w:t>30</w:t>
    </w:r>
    <w:r>
      <w:rPr>
        <w:sz w:val="20"/>
        <w:szCs w:val="20"/>
      </w:rPr>
      <w:t>0919_VSS799</w:t>
    </w:r>
  </w:p>
  <w:p w14:paraId="00E0CACB" w14:textId="1726E2D7" w:rsidR="00FE39E5" w:rsidRPr="00FC51C5" w:rsidRDefault="00FE39E5" w:rsidP="00FE39E5">
    <w:pPr>
      <w:jc w:val="both"/>
      <w:rPr>
        <w:bCs/>
        <w:sz w:val="20"/>
        <w:szCs w:val="20"/>
        <w:lang w:eastAsia="ko-KR"/>
      </w:rPr>
    </w:pPr>
  </w:p>
  <w:p w14:paraId="0E9B010F" w14:textId="77777777" w:rsidR="00013AD7" w:rsidRPr="00570BB9" w:rsidRDefault="00EA0E90" w:rsidP="00570BB9">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19BE9" w14:textId="30234664" w:rsidR="00EA4FB1" w:rsidRPr="00FC51C5" w:rsidRDefault="008D3595" w:rsidP="00EA4FB1">
    <w:pPr>
      <w:jc w:val="both"/>
      <w:rPr>
        <w:bCs/>
        <w:sz w:val="20"/>
        <w:szCs w:val="20"/>
        <w:lang w:eastAsia="ko-KR"/>
      </w:rPr>
    </w:pPr>
    <w:r>
      <w:rPr>
        <w:sz w:val="20"/>
        <w:szCs w:val="20"/>
      </w:rPr>
      <w:t>SMi</w:t>
    </w:r>
    <w:r w:rsidR="00E9372F">
      <w:rPr>
        <w:sz w:val="20"/>
        <w:szCs w:val="20"/>
      </w:rPr>
      <w:t>zz_</w:t>
    </w:r>
    <w:r w:rsidR="00254D9C">
      <w:rPr>
        <w:sz w:val="20"/>
        <w:szCs w:val="20"/>
      </w:rPr>
      <w:t>30</w:t>
    </w:r>
    <w:r w:rsidR="00FC45F1">
      <w:rPr>
        <w:sz w:val="20"/>
        <w:szCs w:val="20"/>
      </w:rPr>
      <w:t>09</w:t>
    </w:r>
    <w:r w:rsidR="00C7621A">
      <w:rPr>
        <w:sz w:val="20"/>
        <w:szCs w:val="20"/>
      </w:rPr>
      <w:t>19_VSS</w:t>
    </w:r>
    <w:r w:rsidR="00FC45F1">
      <w:rPr>
        <w:sz w:val="20"/>
        <w:szCs w:val="20"/>
      </w:rPr>
      <w:t>799</w:t>
    </w:r>
  </w:p>
  <w:p w14:paraId="71D70F49" w14:textId="77777777" w:rsidR="00E65AF3" w:rsidRPr="00E15A76" w:rsidRDefault="00E65AF3" w:rsidP="00E65AF3">
    <w:pPr>
      <w:jc w:val="both"/>
      <w:rPr>
        <w:bCs/>
        <w:sz w:val="20"/>
        <w:szCs w:val="20"/>
      </w:rPr>
    </w:pPr>
  </w:p>
  <w:p w14:paraId="627254F6" w14:textId="77777777" w:rsidR="00013AD7" w:rsidRPr="0022701B" w:rsidRDefault="00EA0E90" w:rsidP="002A6751">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B3CC5" w14:textId="77777777" w:rsidR="00EA0E90" w:rsidRDefault="00EA0E90" w:rsidP="000A531F">
      <w:r>
        <w:separator/>
      </w:r>
    </w:p>
  </w:footnote>
  <w:footnote w:type="continuationSeparator" w:id="0">
    <w:p w14:paraId="1010564A" w14:textId="77777777" w:rsidR="00EA0E90" w:rsidRDefault="00EA0E90" w:rsidP="000A5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AD7" w:rsidP="00215750" w:rsidRDefault="00DF3EEC" w14:paraId="03B66F82"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3AD7" w:rsidRDefault="00EA0E90" w14:paraId="08E08C5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AD7" w:rsidP="00052AD6" w:rsidRDefault="00DF3EEC" w14:paraId="023703AE" w14:textId="56B1E7A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69EE">
      <w:rPr>
        <w:rStyle w:val="PageNumber"/>
        <w:noProof/>
      </w:rPr>
      <w:t>2</w:t>
    </w:r>
    <w:r>
      <w:rPr>
        <w:rStyle w:val="PageNumber"/>
      </w:rPr>
      <w:fldChar w:fldCharType="end"/>
    </w:r>
  </w:p>
  <w:p w:rsidR="00013AD7" w:rsidRDefault="00EA0E90" w14:paraId="1394E0E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236CD"/>
    <w:multiLevelType w:val="hybridMultilevel"/>
    <w:tmpl w:val="BE6CECC4"/>
    <w:lvl w:ilvl="0" w:tplc="6658C7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2E208BA"/>
    <w:multiLevelType w:val="hybridMultilevel"/>
    <w:tmpl w:val="1ABA94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31F"/>
    <w:rsid w:val="00036659"/>
    <w:rsid w:val="00036D4F"/>
    <w:rsid w:val="00054FE8"/>
    <w:rsid w:val="0006315D"/>
    <w:rsid w:val="00070E2B"/>
    <w:rsid w:val="000933CF"/>
    <w:rsid w:val="000A39DD"/>
    <w:rsid w:val="000A531F"/>
    <w:rsid w:val="000D47FC"/>
    <w:rsid w:val="001029D6"/>
    <w:rsid w:val="001078EF"/>
    <w:rsid w:val="00120A54"/>
    <w:rsid w:val="0013486B"/>
    <w:rsid w:val="001616A0"/>
    <w:rsid w:val="00161C98"/>
    <w:rsid w:val="00185895"/>
    <w:rsid w:val="001914B9"/>
    <w:rsid w:val="0019280E"/>
    <w:rsid w:val="001B0C1E"/>
    <w:rsid w:val="001B4F15"/>
    <w:rsid w:val="001E1A14"/>
    <w:rsid w:val="001F380D"/>
    <w:rsid w:val="001F5E0D"/>
    <w:rsid w:val="00212D1C"/>
    <w:rsid w:val="00227C09"/>
    <w:rsid w:val="00251198"/>
    <w:rsid w:val="00254D9C"/>
    <w:rsid w:val="00254F60"/>
    <w:rsid w:val="00264C2F"/>
    <w:rsid w:val="00270D5D"/>
    <w:rsid w:val="002710B5"/>
    <w:rsid w:val="002734F9"/>
    <w:rsid w:val="00283C11"/>
    <w:rsid w:val="00290A24"/>
    <w:rsid w:val="002C326F"/>
    <w:rsid w:val="002D7A98"/>
    <w:rsid w:val="00302611"/>
    <w:rsid w:val="00326543"/>
    <w:rsid w:val="0033061D"/>
    <w:rsid w:val="003501C0"/>
    <w:rsid w:val="00361F79"/>
    <w:rsid w:val="0038170E"/>
    <w:rsid w:val="003B1D66"/>
    <w:rsid w:val="003C1E3D"/>
    <w:rsid w:val="003D2373"/>
    <w:rsid w:val="003D2BAE"/>
    <w:rsid w:val="003E112E"/>
    <w:rsid w:val="004021B9"/>
    <w:rsid w:val="00403B37"/>
    <w:rsid w:val="00405454"/>
    <w:rsid w:val="004227B4"/>
    <w:rsid w:val="00431A7C"/>
    <w:rsid w:val="004401DB"/>
    <w:rsid w:val="00457251"/>
    <w:rsid w:val="00474825"/>
    <w:rsid w:val="00483870"/>
    <w:rsid w:val="00485BEE"/>
    <w:rsid w:val="00486CEF"/>
    <w:rsid w:val="004911C0"/>
    <w:rsid w:val="004A3325"/>
    <w:rsid w:val="004D28CF"/>
    <w:rsid w:val="004F65A9"/>
    <w:rsid w:val="005023AC"/>
    <w:rsid w:val="00503977"/>
    <w:rsid w:val="00510E30"/>
    <w:rsid w:val="00511A74"/>
    <w:rsid w:val="00517539"/>
    <w:rsid w:val="00523477"/>
    <w:rsid w:val="0053729A"/>
    <w:rsid w:val="00546049"/>
    <w:rsid w:val="005617E7"/>
    <w:rsid w:val="005617F5"/>
    <w:rsid w:val="00562EF2"/>
    <w:rsid w:val="0057339C"/>
    <w:rsid w:val="00580CD2"/>
    <w:rsid w:val="005A5CE7"/>
    <w:rsid w:val="005A6C93"/>
    <w:rsid w:val="005B5C10"/>
    <w:rsid w:val="005C28F5"/>
    <w:rsid w:val="005D403F"/>
    <w:rsid w:val="005D69EE"/>
    <w:rsid w:val="005F225C"/>
    <w:rsid w:val="005F233F"/>
    <w:rsid w:val="005F3723"/>
    <w:rsid w:val="005F437F"/>
    <w:rsid w:val="005F4B79"/>
    <w:rsid w:val="00602FC3"/>
    <w:rsid w:val="00606571"/>
    <w:rsid w:val="00640D28"/>
    <w:rsid w:val="00647248"/>
    <w:rsid w:val="006523CA"/>
    <w:rsid w:val="00664D2C"/>
    <w:rsid w:val="00680207"/>
    <w:rsid w:val="006854E4"/>
    <w:rsid w:val="00693260"/>
    <w:rsid w:val="00697B2A"/>
    <w:rsid w:val="006B04E7"/>
    <w:rsid w:val="006C196E"/>
    <w:rsid w:val="006C703C"/>
    <w:rsid w:val="006D534A"/>
    <w:rsid w:val="006E2605"/>
    <w:rsid w:val="00705DBC"/>
    <w:rsid w:val="007150C6"/>
    <w:rsid w:val="007210AF"/>
    <w:rsid w:val="0072704D"/>
    <w:rsid w:val="00732176"/>
    <w:rsid w:val="00770AD8"/>
    <w:rsid w:val="00783E6E"/>
    <w:rsid w:val="007913B3"/>
    <w:rsid w:val="007A38FD"/>
    <w:rsid w:val="007B0C72"/>
    <w:rsid w:val="007B5552"/>
    <w:rsid w:val="007C24D1"/>
    <w:rsid w:val="007D3819"/>
    <w:rsid w:val="007F39E0"/>
    <w:rsid w:val="007F5214"/>
    <w:rsid w:val="007F7190"/>
    <w:rsid w:val="008044EA"/>
    <w:rsid w:val="00840AC1"/>
    <w:rsid w:val="008454B7"/>
    <w:rsid w:val="00845C31"/>
    <w:rsid w:val="00857BEB"/>
    <w:rsid w:val="008655DA"/>
    <w:rsid w:val="00887A13"/>
    <w:rsid w:val="008944E8"/>
    <w:rsid w:val="008973CB"/>
    <w:rsid w:val="008A3BA3"/>
    <w:rsid w:val="008B1CF5"/>
    <w:rsid w:val="008C2198"/>
    <w:rsid w:val="008C4257"/>
    <w:rsid w:val="008C5378"/>
    <w:rsid w:val="008C7596"/>
    <w:rsid w:val="008D3595"/>
    <w:rsid w:val="008D74D3"/>
    <w:rsid w:val="008D7795"/>
    <w:rsid w:val="008D796D"/>
    <w:rsid w:val="008E1B52"/>
    <w:rsid w:val="008E5699"/>
    <w:rsid w:val="008E7648"/>
    <w:rsid w:val="0090000D"/>
    <w:rsid w:val="00906110"/>
    <w:rsid w:val="009065CD"/>
    <w:rsid w:val="0091003F"/>
    <w:rsid w:val="0091470D"/>
    <w:rsid w:val="00930695"/>
    <w:rsid w:val="00930DCF"/>
    <w:rsid w:val="00940187"/>
    <w:rsid w:val="0094059F"/>
    <w:rsid w:val="009637BC"/>
    <w:rsid w:val="009702A1"/>
    <w:rsid w:val="00971B02"/>
    <w:rsid w:val="00974FA1"/>
    <w:rsid w:val="009768A1"/>
    <w:rsid w:val="00977DFB"/>
    <w:rsid w:val="00991667"/>
    <w:rsid w:val="009B005B"/>
    <w:rsid w:val="009B1463"/>
    <w:rsid w:val="009B6671"/>
    <w:rsid w:val="009B7415"/>
    <w:rsid w:val="009C6300"/>
    <w:rsid w:val="009D0DE2"/>
    <w:rsid w:val="009D6B36"/>
    <w:rsid w:val="009E0A03"/>
    <w:rsid w:val="009E26E8"/>
    <w:rsid w:val="009E765A"/>
    <w:rsid w:val="009F405E"/>
    <w:rsid w:val="009F7139"/>
    <w:rsid w:val="00A07EC6"/>
    <w:rsid w:val="00A239A8"/>
    <w:rsid w:val="00A34347"/>
    <w:rsid w:val="00A36F3C"/>
    <w:rsid w:val="00A4769E"/>
    <w:rsid w:val="00A56A87"/>
    <w:rsid w:val="00A67E47"/>
    <w:rsid w:val="00A91A94"/>
    <w:rsid w:val="00AA30C8"/>
    <w:rsid w:val="00AA4796"/>
    <w:rsid w:val="00AA6CE9"/>
    <w:rsid w:val="00AB2D31"/>
    <w:rsid w:val="00AC59EC"/>
    <w:rsid w:val="00AD080E"/>
    <w:rsid w:val="00AD3972"/>
    <w:rsid w:val="00AF0FE9"/>
    <w:rsid w:val="00AF2A7E"/>
    <w:rsid w:val="00AF3DEE"/>
    <w:rsid w:val="00AF7C82"/>
    <w:rsid w:val="00B13F24"/>
    <w:rsid w:val="00B14512"/>
    <w:rsid w:val="00B25C4D"/>
    <w:rsid w:val="00B27067"/>
    <w:rsid w:val="00B44E2F"/>
    <w:rsid w:val="00B44F89"/>
    <w:rsid w:val="00B634D5"/>
    <w:rsid w:val="00B641E0"/>
    <w:rsid w:val="00B65773"/>
    <w:rsid w:val="00B87422"/>
    <w:rsid w:val="00B93C32"/>
    <w:rsid w:val="00B93F44"/>
    <w:rsid w:val="00BA5981"/>
    <w:rsid w:val="00BA5B5C"/>
    <w:rsid w:val="00BB5CE6"/>
    <w:rsid w:val="00BC0E1F"/>
    <w:rsid w:val="00BC79D3"/>
    <w:rsid w:val="00BD318F"/>
    <w:rsid w:val="00BF56C6"/>
    <w:rsid w:val="00BF67D1"/>
    <w:rsid w:val="00C01004"/>
    <w:rsid w:val="00C16F5C"/>
    <w:rsid w:val="00C24317"/>
    <w:rsid w:val="00C319A3"/>
    <w:rsid w:val="00C4371D"/>
    <w:rsid w:val="00C634C6"/>
    <w:rsid w:val="00C73711"/>
    <w:rsid w:val="00C759D4"/>
    <w:rsid w:val="00C7621A"/>
    <w:rsid w:val="00C80A32"/>
    <w:rsid w:val="00C908F5"/>
    <w:rsid w:val="00C91B59"/>
    <w:rsid w:val="00CA0484"/>
    <w:rsid w:val="00CA590E"/>
    <w:rsid w:val="00CB3FDF"/>
    <w:rsid w:val="00CC0AF6"/>
    <w:rsid w:val="00CD3D34"/>
    <w:rsid w:val="00CD59D2"/>
    <w:rsid w:val="00CF228A"/>
    <w:rsid w:val="00D10BB7"/>
    <w:rsid w:val="00D14B84"/>
    <w:rsid w:val="00D16E81"/>
    <w:rsid w:val="00D33D37"/>
    <w:rsid w:val="00D34FEF"/>
    <w:rsid w:val="00D56DC4"/>
    <w:rsid w:val="00D66F4C"/>
    <w:rsid w:val="00D67D80"/>
    <w:rsid w:val="00D84BD2"/>
    <w:rsid w:val="00D90DEB"/>
    <w:rsid w:val="00DA2FA4"/>
    <w:rsid w:val="00DA5A2A"/>
    <w:rsid w:val="00DC28A7"/>
    <w:rsid w:val="00DF2082"/>
    <w:rsid w:val="00DF28BB"/>
    <w:rsid w:val="00DF3EEC"/>
    <w:rsid w:val="00DF59E7"/>
    <w:rsid w:val="00DF5CFC"/>
    <w:rsid w:val="00E05C1E"/>
    <w:rsid w:val="00E15A76"/>
    <w:rsid w:val="00E41B15"/>
    <w:rsid w:val="00E46807"/>
    <w:rsid w:val="00E4734B"/>
    <w:rsid w:val="00E51EB0"/>
    <w:rsid w:val="00E65AF3"/>
    <w:rsid w:val="00E67024"/>
    <w:rsid w:val="00E90C3C"/>
    <w:rsid w:val="00E9372F"/>
    <w:rsid w:val="00E97C36"/>
    <w:rsid w:val="00EA0E90"/>
    <w:rsid w:val="00EA0FF1"/>
    <w:rsid w:val="00EA19C2"/>
    <w:rsid w:val="00EA35D7"/>
    <w:rsid w:val="00EA4FB1"/>
    <w:rsid w:val="00EA5070"/>
    <w:rsid w:val="00EA671E"/>
    <w:rsid w:val="00EB2FCF"/>
    <w:rsid w:val="00ED020A"/>
    <w:rsid w:val="00EF21E1"/>
    <w:rsid w:val="00EF32FE"/>
    <w:rsid w:val="00F07B97"/>
    <w:rsid w:val="00F2605E"/>
    <w:rsid w:val="00F32319"/>
    <w:rsid w:val="00F62623"/>
    <w:rsid w:val="00F663EB"/>
    <w:rsid w:val="00F77C0F"/>
    <w:rsid w:val="00FA7E01"/>
    <w:rsid w:val="00FC45F1"/>
    <w:rsid w:val="00FC51C5"/>
    <w:rsid w:val="00FE09B5"/>
    <w:rsid w:val="00FE39E5"/>
    <w:rsid w:val="00FF22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E4A0C73"/>
  <w15:docId w15:val="{E5070DB1-B188-49B8-8A09-16CA7894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A531F"/>
    <w:pPr>
      <w:spacing w:after="0" w:line="240" w:lineRule="auto"/>
    </w:pPr>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531F"/>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A531F"/>
    <w:pPr>
      <w:tabs>
        <w:tab w:val="center" w:pos="4153"/>
        <w:tab w:val="right" w:pos="8306"/>
      </w:tabs>
    </w:pPr>
  </w:style>
  <w:style w:type="character" w:customStyle="1" w:styleId="HeaderChar">
    <w:name w:val="Header Char"/>
    <w:basedOn w:val="DefaultParagraphFont"/>
    <w:link w:val="Header"/>
    <w:rsid w:val="000A531F"/>
    <w:rPr>
      <w:rFonts w:eastAsia="Times New Roman" w:cs="Times New Roman"/>
      <w:sz w:val="24"/>
      <w:szCs w:val="24"/>
      <w:lang w:eastAsia="lv-LV"/>
    </w:rPr>
  </w:style>
  <w:style w:type="character" w:styleId="PageNumber">
    <w:name w:val="page number"/>
    <w:basedOn w:val="DefaultParagraphFont"/>
    <w:rsid w:val="000A531F"/>
  </w:style>
  <w:style w:type="paragraph" w:styleId="Footer">
    <w:name w:val="footer"/>
    <w:basedOn w:val="Normal"/>
    <w:link w:val="FooterChar"/>
    <w:rsid w:val="000A531F"/>
    <w:pPr>
      <w:tabs>
        <w:tab w:val="center" w:pos="4153"/>
        <w:tab w:val="right" w:pos="8306"/>
      </w:tabs>
    </w:pPr>
  </w:style>
  <w:style w:type="character" w:customStyle="1" w:styleId="FooterChar">
    <w:name w:val="Footer Char"/>
    <w:basedOn w:val="DefaultParagraphFont"/>
    <w:link w:val="Footer"/>
    <w:rsid w:val="000A531F"/>
    <w:rPr>
      <w:rFonts w:eastAsia="Times New Roman" w:cs="Times New Roman"/>
      <w:sz w:val="24"/>
      <w:szCs w:val="24"/>
      <w:lang w:eastAsia="lv-LV"/>
    </w:rPr>
  </w:style>
  <w:style w:type="paragraph" w:styleId="BodyTextIndent">
    <w:name w:val="Body Text Indent"/>
    <w:basedOn w:val="Normal"/>
    <w:link w:val="BodyTextIndentChar"/>
    <w:rsid w:val="000A531F"/>
    <w:pPr>
      <w:ind w:right="-514" w:firstLine="284"/>
      <w:jc w:val="both"/>
    </w:pPr>
    <w:rPr>
      <w:bCs/>
      <w:szCs w:val="22"/>
    </w:rPr>
  </w:style>
  <w:style w:type="character" w:customStyle="1" w:styleId="BodyTextIndentChar">
    <w:name w:val="Body Text Indent Char"/>
    <w:basedOn w:val="DefaultParagraphFont"/>
    <w:link w:val="BodyTextIndent"/>
    <w:rsid w:val="000A531F"/>
    <w:rPr>
      <w:rFonts w:eastAsia="Times New Roman" w:cs="Times New Roman"/>
      <w:bCs/>
      <w:sz w:val="24"/>
      <w:lang w:eastAsia="lv-LV"/>
    </w:rPr>
  </w:style>
  <w:style w:type="paragraph" w:customStyle="1" w:styleId="Parasts1">
    <w:name w:val="Parasts1"/>
    <w:rsid w:val="000A531F"/>
    <w:rPr>
      <w:rFonts w:ascii="Calibri" w:eastAsia="Times New Roman" w:hAnsi="Calibri" w:cs="Times New Roman"/>
      <w:sz w:val="22"/>
    </w:rPr>
  </w:style>
  <w:style w:type="paragraph" w:customStyle="1" w:styleId="naisf">
    <w:name w:val="naisf"/>
    <w:basedOn w:val="Normal"/>
    <w:rsid w:val="00930695"/>
    <w:pPr>
      <w:spacing w:before="75" w:after="75"/>
      <w:ind w:firstLine="375"/>
      <w:jc w:val="both"/>
    </w:pPr>
  </w:style>
  <w:style w:type="paragraph" w:styleId="ListParagraph">
    <w:name w:val="List Paragraph"/>
    <w:basedOn w:val="Normal"/>
    <w:uiPriority w:val="34"/>
    <w:qFormat/>
    <w:rsid w:val="008E5699"/>
    <w:pPr>
      <w:ind w:left="720"/>
      <w:contextualSpacing/>
    </w:pPr>
  </w:style>
  <w:style w:type="paragraph" w:styleId="FootnoteText">
    <w:name w:val="footnote text"/>
    <w:basedOn w:val="Normal"/>
    <w:link w:val="FootnoteTextChar"/>
    <w:uiPriority w:val="99"/>
    <w:semiHidden/>
    <w:unhideWhenUsed/>
    <w:rsid w:val="005C28F5"/>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5C28F5"/>
    <w:rPr>
      <w:rFonts w:eastAsia="Calibri" w:cs="Times New Roman"/>
      <w:sz w:val="20"/>
      <w:szCs w:val="20"/>
    </w:rPr>
  </w:style>
  <w:style w:type="character" w:styleId="FootnoteReference">
    <w:name w:val="footnote reference"/>
    <w:basedOn w:val="DefaultParagraphFont"/>
    <w:uiPriority w:val="99"/>
    <w:semiHidden/>
    <w:unhideWhenUsed/>
    <w:rsid w:val="005C28F5"/>
    <w:rPr>
      <w:vertAlign w:val="superscript"/>
    </w:rPr>
  </w:style>
  <w:style w:type="character" w:styleId="CommentReference">
    <w:name w:val="annotation reference"/>
    <w:uiPriority w:val="99"/>
    <w:semiHidden/>
    <w:unhideWhenUsed/>
    <w:rsid w:val="00CD3D34"/>
    <w:rPr>
      <w:sz w:val="16"/>
      <w:szCs w:val="16"/>
    </w:rPr>
  </w:style>
  <w:style w:type="paragraph" w:styleId="BalloonText">
    <w:name w:val="Balloon Text"/>
    <w:basedOn w:val="Normal"/>
    <w:link w:val="BalloonTextChar"/>
    <w:uiPriority w:val="99"/>
    <w:semiHidden/>
    <w:unhideWhenUsed/>
    <w:rsid w:val="0090000D"/>
    <w:rPr>
      <w:rFonts w:ascii="Tahoma" w:hAnsi="Tahoma" w:cs="Tahoma"/>
      <w:sz w:val="16"/>
      <w:szCs w:val="16"/>
    </w:rPr>
  </w:style>
  <w:style w:type="character" w:customStyle="1" w:styleId="BalloonTextChar">
    <w:name w:val="Balloon Text Char"/>
    <w:basedOn w:val="DefaultParagraphFont"/>
    <w:link w:val="BalloonText"/>
    <w:uiPriority w:val="99"/>
    <w:semiHidden/>
    <w:rsid w:val="0090000D"/>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573706">
      <w:bodyDiv w:val="1"/>
      <w:marLeft w:val="0"/>
      <w:marRight w:val="0"/>
      <w:marTop w:val="0"/>
      <w:marBottom w:val="0"/>
      <w:divBdr>
        <w:top w:val="none" w:sz="0" w:space="0" w:color="auto"/>
        <w:left w:val="none" w:sz="0" w:space="0" w:color="auto"/>
        <w:bottom w:val="none" w:sz="0" w:space="0" w:color="auto"/>
        <w:right w:val="none" w:sz="0" w:space="0" w:color="auto"/>
      </w:divBdr>
    </w:div>
    <w:div w:id="816146535">
      <w:bodyDiv w:val="1"/>
      <w:marLeft w:val="0"/>
      <w:marRight w:val="0"/>
      <w:marTop w:val="0"/>
      <w:marBottom w:val="0"/>
      <w:divBdr>
        <w:top w:val="none" w:sz="0" w:space="0" w:color="auto"/>
        <w:left w:val="none" w:sz="0" w:space="0" w:color="auto"/>
        <w:bottom w:val="none" w:sz="0" w:space="0" w:color="auto"/>
        <w:right w:val="none" w:sz="0" w:space="0" w:color="auto"/>
      </w:divBdr>
    </w:div>
    <w:div w:id="209527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3307</Words>
  <Characters>1885</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nekustamā īpašuma pirkšanu</vt:lpstr>
      <vt:lpstr>Par nekustamā īpašuma pirkšanu</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pirkšanu</dc:title>
  <dc:creator>Martins.jansons@sam.gov.lv;Satiksmes ministrijas Juridiskā departamenta Nekustamo īpašumu nodaļas vecākais referents;tālr. 67028037;VAS "Latvijas Valsts ceļi" jurists Varis Putāns;67028149</dc:creator>
  <cp:keywords>MK rīkojuma projekts</cp:keywords>
  <dc:description>martins.jansons@sam.gov.lv, 67028037</dc:description>
  <cp:lastModifiedBy>Mārtiņš Jansons</cp:lastModifiedBy>
  <cp:revision>3</cp:revision>
  <cp:lastPrinted>2018-07-23T10:08:00Z</cp:lastPrinted>
  <dcterms:created xsi:type="dcterms:W3CDTF">2019-10-01T11:51:00Z</dcterms:created>
  <dcterms:modified xsi:type="dcterms:W3CDTF">2019-10-01T12:06:00Z</dcterms:modified>
</cp:coreProperties>
</file>