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DA562" w14:textId="53F58E82" w:rsidR="000D1E58" w:rsidRPr="00783AA0" w:rsidRDefault="0079210E" w:rsidP="001262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83A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Ministru kabineta noteikumu </w:t>
      </w:r>
      <w:r w:rsidR="00B37361" w:rsidRPr="00783A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projekta</w:t>
      </w:r>
      <w:r w:rsidR="00126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="001D4750" w:rsidRPr="00783A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"</w:t>
      </w:r>
      <w:r w:rsidR="00200E9B" w:rsidRPr="00783A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Grozījumi Ministru kabineta 2004.</w:t>
      </w:r>
      <w:r w:rsidR="00126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="00200E9B" w:rsidRPr="00783A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gada 20.</w:t>
      </w:r>
      <w:r w:rsidR="00126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="00200E9B" w:rsidRPr="00783A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jūlija noteikumos Nr.</w:t>
      </w:r>
      <w:r w:rsidR="00126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 </w:t>
      </w:r>
      <w:r w:rsidR="00200E9B" w:rsidRPr="00783A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614 "Uzturlīdzekļu garantiju fonda administrācijas nolikums"</w:t>
      </w:r>
      <w:r w:rsidR="001262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" </w:t>
      </w:r>
      <w:r w:rsidR="000D1E58" w:rsidRPr="00783A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sākotnējās ietekmes novērtējuma ziņojums (anotācija</w:t>
      </w:r>
      <w:r w:rsidR="000D1E58" w:rsidRPr="00783AA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14:paraId="5D2E9C02" w14:textId="77777777" w:rsidR="00DA596D" w:rsidRPr="00783AA0" w:rsidRDefault="00DA596D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14:paraId="22F6DA1F" w14:textId="77777777" w:rsidR="00CA49D5" w:rsidRPr="00783AA0" w:rsidRDefault="00CA49D5" w:rsidP="00200E9B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5799"/>
      </w:tblGrid>
      <w:tr w:rsidR="00783AA0" w:rsidRPr="00783AA0" w14:paraId="746D42A5" w14:textId="77777777" w:rsidTr="00CC168A"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06B9D" w14:textId="77777777" w:rsidR="00C9499C" w:rsidRPr="00783AA0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Tiesību akta projekta anotācijas kopsavilkums</w:t>
            </w:r>
          </w:p>
        </w:tc>
      </w:tr>
      <w:tr w:rsidR="00783AA0" w:rsidRPr="00783AA0" w14:paraId="15E0F25A" w14:textId="77777777" w:rsidTr="00CC168A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2A144" w14:textId="77777777" w:rsidR="00C9499C" w:rsidRPr="00783AA0" w:rsidRDefault="00C9499C" w:rsidP="00CF5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161C7" w14:textId="07E9058F" w:rsidR="00C9499C" w:rsidRPr="00783AA0" w:rsidRDefault="00DA0F30" w:rsidP="00AB0788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Nav attiecināms</w:t>
            </w:r>
            <w:r w:rsidR="00AB0788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1BE1F1D" w14:textId="77777777" w:rsidR="00C9499C" w:rsidRPr="00783AA0" w:rsidRDefault="00C9499C" w:rsidP="00CF53E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783AA0" w:rsidRPr="00783AA0" w14:paraId="4E64E234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931F" w14:textId="77777777" w:rsidR="00C9499C" w:rsidRPr="00783AA0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I. Tiesību akta projekta izstrādes nepieciešamība</w:t>
            </w:r>
          </w:p>
        </w:tc>
      </w:tr>
      <w:tr w:rsidR="00783AA0" w:rsidRPr="00783AA0" w14:paraId="20DCE0BD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CBD8" w14:textId="77777777" w:rsidR="00C9499C" w:rsidRPr="00783AA0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E6FA" w14:textId="77777777" w:rsidR="00C9499C" w:rsidRPr="00783AA0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Pamatojums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BF90" w14:textId="1C684BFB" w:rsidR="00C9499C" w:rsidRPr="00783AA0" w:rsidRDefault="008D3C67" w:rsidP="00D305B3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Ministru kabineta noteikumu projekts </w:t>
            </w:r>
            <w:r w:rsidR="00F65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Grozījumi Ministru kabineta 2004.</w:t>
            </w:r>
            <w:r w:rsidR="00F65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20.</w:t>
            </w:r>
            <w:r w:rsidR="00F65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jūlija noteikumos Nr.</w:t>
            </w:r>
            <w:r w:rsidR="00F65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614</w:t>
            </w:r>
            <w:r w:rsidR="00F65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"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Uzturlīdzekļu garantiju fonda administrācijas nolikums</w:t>
            </w:r>
            <w:r w:rsidR="00F65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""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(turpmāk – Noteikumu projekts) izstrādāts pēc Tieslietu ministrijas iniciatīvas.</w:t>
            </w:r>
          </w:p>
        </w:tc>
      </w:tr>
      <w:tr w:rsidR="00783AA0" w:rsidRPr="00783AA0" w14:paraId="5CDA1A6E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3ED" w14:textId="77777777" w:rsidR="008D3C67" w:rsidRPr="00783AA0" w:rsidRDefault="008D3C6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0A6B" w14:textId="77777777" w:rsidR="008D3C67" w:rsidRPr="00783AA0" w:rsidRDefault="008D3C67" w:rsidP="008D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176D1BF3" w14:textId="77777777" w:rsidR="008D3C67" w:rsidRPr="00783AA0" w:rsidRDefault="008D3C67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3FF" w14:textId="2E3563E4" w:rsidR="008D3C67" w:rsidRPr="00783AA0" w:rsidRDefault="008D3C67" w:rsidP="008D3C67">
            <w:pPr>
              <w:spacing w:after="0" w:line="240" w:lineRule="auto"/>
              <w:ind w:firstLine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2016.</w:t>
            </w:r>
            <w:r w:rsidR="00F65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gada 1.</w:t>
            </w:r>
            <w:r w:rsidR="00F658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decembrī tika pieņemts </w:t>
            </w:r>
            <w:r w:rsidR="0055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Uzturlīdzekļu garantiju fonda likums (turpmāk – 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Likums</w:t>
            </w:r>
            <w:r w:rsidR="0055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paplašinot Fonda administrācijas pienākumus. </w:t>
            </w:r>
          </w:p>
          <w:p w14:paraId="72E263A7" w14:textId="68579F3A" w:rsidR="007426D3" w:rsidRDefault="008D3C67" w:rsidP="00075C0F">
            <w:pPr>
              <w:spacing w:after="0" w:line="240" w:lineRule="auto"/>
              <w:ind w:firstLine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Pašreiz </w:t>
            </w:r>
            <w:r w:rsidR="00DA0F30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Ministru kabineta 2004.</w:t>
            </w:r>
            <w:r w:rsidR="00AE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A0F30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gada 20.</w:t>
            </w:r>
            <w:r w:rsidR="00AE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A0F30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jūlija noteikumos Nr. 614 </w:t>
            </w:r>
            <w:r w:rsidR="0055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A0F30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Uzturlīdzekļu garantiju fonda administrācijas nolikums</w:t>
            </w:r>
            <w:r w:rsidR="0055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DA0F30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(turpmāk - Noteikumi Nr.</w:t>
            </w:r>
            <w:r w:rsidR="00AE70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A0F30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614)</w:t>
            </w:r>
            <w:r w:rsidR="00DA0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uzskaitītie </w:t>
            </w:r>
            <w:r w:rsidR="00DA0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Uzturlīdzekļu garantiju fonda administrācija</w:t>
            </w:r>
            <w:r w:rsidR="003B5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A0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(turpmāk - 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Fonda administrācija</w:t>
            </w:r>
            <w:r w:rsidR="00DA0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pienākumi </w:t>
            </w:r>
            <w:r w:rsidR="00DA0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un uzdevumi 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pilnībā neaptver Likumā noteiktos Fonda administrācijas pienākumus</w:t>
            </w:r>
            <w:r w:rsidR="00DA0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uzdevumus, </w:t>
            </w:r>
            <w:r w:rsidR="003B5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tāpat </w:t>
            </w:r>
            <w:r w:rsidR="00DA0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tie daļēji dublē</w:t>
            </w:r>
            <w:r w:rsidR="00FD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1D38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Likumā noteiktos Fonda administrācijas </w:t>
            </w:r>
            <w:r w:rsidR="00FD1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uzdevumus, pienākumus un tiesības</w:t>
            </w:r>
            <w:r w:rsidR="00DA0F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FD5EC61" w14:textId="0703D52B" w:rsidR="007426D3" w:rsidRPr="00DA0F30" w:rsidRDefault="00DA0F30">
            <w:pPr>
              <w:spacing w:after="0" w:line="240" w:lineRule="auto"/>
              <w:ind w:firstLine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Ņemot vērā minēto, </w:t>
            </w:r>
            <w:r w:rsidR="003B5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Noteikum</w:t>
            </w:r>
            <w:r w:rsidR="0055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B5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Nr.</w:t>
            </w:r>
            <w:r w:rsidR="0055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3B5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614 izdarīti grozījumi, paredzot, ka tie ietvers tikai atsauci uz Likumā minētajiem Fonda administrācijas uzdevumiem un kompetenci, savukārt pilnībā ar tiem varēs iepazīties Likumā.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4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Vienlaikus ar grozījumiem netiek samazināts  Fonda administrācijas tiesību un pienākum</w:t>
            </w:r>
            <w:r w:rsidR="00C401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</w:t>
            </w:r>
            <w:r w:rsidR="0074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apjoms, līdz ar to tiesības un pienākumi, kas ir paredzēti Noteikumos Nr.</w:t>
            </w:r>
            <w:r w:rsidR="000567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742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614, bet nav noteikti Likumā, tiek saglabāti.</w:t>
            </w:r>
          </w:p>
        </w:tc>
      </w:tr>
      <w:tr w:rsidR="00783AA0" w:rsidRPr="00783AA0" w14:paraId="6C225FA4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49FB" w14:textId="065A0F74" w:rsidR="00C9499C" w:rsidRPr="00783AA0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FEDF" w14:textId="77777777" w:rsidR="00C9499C" w:rsidRPr="00783AA0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8A67" w14:textId="494F8EEE" w:rsidR="00C9499C" w:rsidRPr="00783AA0" w:rsidRDefault="008D3C67" w:rsidP="00CF53E7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Nav.</w:t>
            </w:r>
          </w:p>
        </w:tc>
      </w:tr>
      <w:tr w:rsidR="00C9499C" w:rsidRPr="00783AA0" w14:paraId="0481F0B5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08B1" w14:textId="77777777" w:rsidR="00C9499C" w:rsidRPr="00783AA0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60B8" w14:textId="77777777" w:rsidR="00C9499C" w:rsidRPr="00783AA0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5125" w14:textId="075A1119" w:rsidR="00C9499C" w:rsidRPr="00783AA0" w:rsidRDefault="00EE2114" w:rsidP="00D12098">
            <w:pPr>
              <w:spacing w:after="0" w:line="240" w:lineRule="auto"/>
              <w:ind w:firstLine="2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D12098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07FBF153" w14:textId="77777777" w:rsidR="00C9499C" w:rsidRPr="00783AA0" w:rsidRDefault="00C9499C" w:rsidP="00CF53E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3"/>
      </w:tblGrid>
      <w:tr w:rsidR="00783AA0" w:rsidRPr="00783AA0" w14:paraId="455DC954" w14:textId="77777777" w:rsidTr="008D3C67">
        <w:tc>
          <w:tcPr>
            <w:tcW w:w="4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BF03" w14:textId="77777777" w:rsidR="00CF53E7" w:rsidRPr="00783AA0" w:rsidRDefault="00CF53E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783AA0" w:rsidRPr="00783AA0" w14:paraId="0472F35E" w14:textId="77777777" w:rsidTr="008D3C67">
        <w:tc>
          <w:tcPr>
            <w:tcW w:w="4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D43" w14:textId="5A0697E7" w:rsidR="008D3C67" w:rsidRPr="00783AA0" w:rsidRDefault="00E1134A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Noteikumu p</w:t>
            </w:r>
            <w:r w:rsidR="008D3C67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783AA0" w:rsidRPr="00783AA0" w14:paraId="692F1189" w14:textId="77777777" w:rsidTr="008D3C6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AA11" w14:textId="77777777" w:rsidR="00807F9F" w:rsidRPr="00783AA0" w:rsidRDefault="00807F9F" w:rsidP="0069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83AA0" w:rsidRPr="00783AA0" w14:paraId="16F13344" w14:textId="77777777" w:rsidTr="008D3C6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26DA" w14:textId="49FE63FD" w:rsidR="00807F9F" w:rsidRPr="00783AA0" w:rsidRDefault="00E1134A" w:rsidP="0069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Noteikumu p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4EB20830" w14:textId="77777777" w:rsidR="008E0191" w:rsidRPr="00783AA0" w:rsidRDefault="008E0191" w:rsidP="00CF5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83AA0" w:rsidRPr="00783AA0" w14:paraId="69D799CA" w14:textId="77777777" w:rsidTr="00CF53E7"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878B" w14:textId="77777777" w:rsidR="00CF53E7" w:rsidRPr="00783AA0" w:rsidRDefault="00CF53E7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IV. Tiesību akta projekta ietekme uz spēkā esošo tiesību normu sistēmu</w:t>
            </w:r>
          </w:p>
        </w:tc>
      </w:tr>
      <w:tr w:rsidR="00783AA0" w:rsidRPr="00783AA0" w14:paraId="56C10FBE" w14:textId="77777777" w:rsidTr="00CC168A"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3A36" w14:textId="3F4ED067" w:rsidR="001D5970" w:rsidRPr="00783AA0" w:rsidRDefault="00E1134A" w:rsidP="00CF53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Noteikumu p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19FE5A4E" w14:textId="77777777" w:rsidR="00CF53E7" w:rsidRPr="00783AA0" w:rsidRDefault="00CF53E7" w:rsidP="00CC16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83AA0" w:rsidRPr="00783AA0" w14:paraId="68C6BF65" w14:textId="77777777" w:rsidTr="00CF53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1523" w14:textId="77777777" w:rsidR="00C9499C" w:rsidRPr="00783AA0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CC168A" w:rsidRPr="00783AA0" w14:paraId="55EBB470" w14:textId="77777777" w:rsidTr="00910DB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B61" w14:textId="4D9DE40C" w:rsidR="00CC168A" w:rsidRPr="00783AA0" w:rsidRDefault="00E1134A" w:rsidP="00CF53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Noteikumu p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54A926D2" w14:textId="77777777" w:rsidR="00C9499C" w:rsidRPr="00783AA0" w:rsidRDefault="00C9499C" w:rsidP="00CF5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783AA0" w:rsidRPr="00783AA0" w14:paraId="4492E85F" w14:textId="77777777" w:rsidTr="00CF53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FEF" w14:textId="77777777" w:rsidR="00C9499C" w:rsidRPr="00783AA0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VI. Sabiedrības līdzdalība un komunikācijas aktivitātes</w:t>
            </w:r>
          </w:p>
        </w:tc>
      </w:tr>
      <w:tr w:rsidR="008D3C67" w:rsidRPr="00783AA0" w14:paraId="24ADE3D9" w14:textId="77777777" w:rsidTr="00CF53E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DEA" w14:textId="3D427807" w:rsidR="008D3C67" w:rsidRPr="00783AA0" w:rsidRDefault="00E1134A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Noteikumu p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7F49D7AD" w14:textId="77777777" w:rsidR="00C9499C" w:rsidRPr="00783AA0" w:rsidRDefault="00C9499C" w:rsidP="00CF53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783AA0" w:rsidRPr="00783AA0" w14:paraId="1DD643E2" w14:textId="77777777" w:rsidTr="00CF53E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0D12" w14:textId="77777777" w:rsidR="00C9499C" w:rsidRPr="00783AA0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783AA0" w:rsidRPr="00783AA0" w14:paraId="223C2683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EE7F" w14:textId="77777777" w:rsidR="00C9499C" w:rsidRPr="00783AA0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D38" w14:textId="77777777" w:rsidR="00C9499C" w:rsidRPr="00783AA0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1A70" w14:textId="6788FE08" w:rsidR="005D4AC3" w:rsidRPr="00783AA0" w:rsidRDefault="008D3C67" w:rsidP="009A2F47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Fonda administrācija</w:t>
            </w:r>
            <w:r w:rsidR="001D5970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3AA0" w:rsidRPr="00783AA0" w14:paraId="0D9AECEC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31AC" w14:textId="77777777" w:rsidR="00C9499C" w:rsidRPr="00783AA0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9BA1" w14:textId="77777777" w:rsidR="00C9499C" w:rsidRPr="00783AA0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Projekta izpildes ietekme uz pārvaldes funkcijām un institucionālo struktūru.</w:t>
            </w: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A1AA" w14:textId="593AEEC2" w:rsidR="00C9499C" w:rsidRPr="00783AA0" w:rsidRDefault="008D3C67" w:rsidP="00CC168A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lightGray"/>
              </w:rPr>
            </w:pPr>
            <w:r w:rsidRPr="00783AA0">
              <w:rPr>
                <w:rFonts w:ascii="Times New Roman" w:hAnsi="Times New Roman" w:cs="Times New Roman"/>
                <w:color w:val="000000" w:themeColor="text1"/>
                <w:sz w:val="24"/>
              </w:rPr>
              <w:t>Noteikumu projekts saskaņo Noteikumos Nr.</w:t>
            </w:r>
            <w:r w:rsidR="00F658F6">
              <w:rPr>
                <w:rFonts w:ascii="Times New Roman" w:hAnsi="Times New Roman" w:cs="Times New Roman"/>
                <w:color w:val="000000" w:themeColor="text1"/>
                <w:sz w:val="24"/>
              </w:rPr>
              <w:t> </w:t>
            </w:r>
            <w:r w:rsidRPr="00783AA0">
              <w:rPr>
                <w:rFonts w:ascii="Times New Roman" w:hAnsi="Times New Roman" w:cs="Times New Roman"/>
                <w:color w:val="000000" w:themeColor="text1"/>
                <w:sz w:val="24"/>
              </w:rPr>
              <w:t>614 noteikt</w:t>
            </w:r>
            <w:r w:rsidR="00AA4AC8" w:rsidRPr="00783AA0">
              <w:rPr>
                <w:rFonts w:ascii="Times New Roman" w:hAnsi="Times New Roman" w:cs="Times New Roman"/>
                <w:color w:val="000000" w:themeColor="text1"/>
                <w:sz w:val="24"/>
              </w:rPr>
              <w:t>ā</w:t>
            </w:r>
            <w:r w:rsidRPr="00783AA0">
              <w:rPr>
                <w:rFonts w:ascii="Times New Roman" w:hAnsi="Times New Roman" w:cs="Times New Roman"/>
                <w:color w:val="000000" w:themeColor="text1"/>
                <w:sz w:val="24"/>
              </w:rPr>
              <w:t>s Fonda administrācijas funkcijas, uzdevumus un kompetenci ar Likumā noteikto regulējumu</w:t>
            </w:r>
            <w:r w:rsidR="00DA0F30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3B525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Grozījumi neskars cilvēkresursus,</w:t>
            </w:r>
            <w:r w:rsidR="00DA0F3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B525F">
              <w:rPr>
                <w:rFonts w:ascii="Times New Roman" w:hAnsi="Times New Roman" w:cs="Times New Roman"/>
                <w:color w:val="000000" w:themeColor="text1"/>
                <w:sz w:val="24"/>
              </w:rPr>
              <w:t>t</w:t>
            </w:r>
            <w:r w:rsidR="00DA0F3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āpat netiks veidotas jaunas institūcijas, kā arī </w:t>
            </w:r>
            <w:r w:rsidR="003B525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likvidētas vai reorganizētas esošās. </w:t>
            </w:r>
            <w:r w:rsidR="00DA0F3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9499C" w:rsidRPr="00783AA0" w14:paraId="357D10CE" w14:textId="77777777" w:rsidTr="00CF53E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DE72" w14:textId="77777777" w:rsidR="00C9499C" w:rsidRPr="00783AA0" w:rsidRDefault="00C9499C" w:rsidP="00CF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48B" w14:textId="77777777" w:rsidR="00C9499C" w:rsidRPr="00783AA0" w:rsidRDefault="00C9499C" w:rsidP="00CF5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7C4B" w14:textId="464580A4" w:rsidR="00C9499C" w:rsidRPr="00783AA0" w:rsidRDefault="005D4AC3" w:rsidP="00CF53E7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1D5970" w:rsidRPr="00783A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158F5D4E" w14:textId="77777777" w:rsidR="001B1BDD" w:rsidRPr="00783AA0" w:rsidRDefault="001B1BDD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AAB560" w14:textId="77777777" w:rsidR="0012629F" w:rsidRPr="00783AA0" w:rsidRDefault="0012629F" w:rsidP="00CF5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CE3306" w14:textId="77777777" w:rsidR="00D72099" w:rsidRPr="00783AA0" w:rsidRDefault="00D72099" w:rsidP="00D72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AA0">
        <w:rPr>
          <w:rFonts w:ascii="Times New Roman" w:hAnsi="Times New Roman" w:cs="Times New Roman"/>
          <w:color w:val="000000" w:themeColor="text1"/>
          <w:sz w:val="24"/>
          <w:szCs w:val="24"/>
        </w:rPr>
        <w:t>Iesniedzējs:</w:t>
      </w:r>
    </w:p>
    <w:p w14:paraId="3D626DFB" w14:textId="676171A8" w:rsidR="004D15A9" w:rsidRDefault="00D72099" w:rsidP="00D72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AA0">
        <w:rPr>
          <w:rFonts w:ascii="Times New Roman" w:hAnsi="Times New Roman" w:cs="Times New Roman"/>
          <w:color w:val="000000" w:themeColor="text1"/>
          <w:sz w:val="24"/>
          <w:szCs w:val="24"/>
        </w:rPr>
        <w:t>Tieslietu ministrijas valsts sekretārs</w:t>
      </w:r>
      <w:r w:rsidRPr="00783A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3A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2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83AA0">
        <w:rPr>
          <w:rFonts w:ascii="Times New Roman" w:hAnsi="Times New Roman" w:cs="Times New Roman"/>
          <w:color w:val="000000" w:themeColor="text1"/>
          <w:sz w:val="24"/>
          <w:szCs w:val="24"/>
        </w:rPr>
        <w:t>Raivis Kronbergs</w:t>
      </w:r>
    </w:p>
    <w:p w14:paraId="2052373D" w14:textId="0D1DE6A5" w:rsidR="00BE2DBE" w:rsidRDefault="00BE2DBE" w:rsidP="00D72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97D6D" w14:textId="61EDAF8D" w:rsidR="00BE2DBE" w:rsidRDefault="00BE2DBE" w:rsidP="00D72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75998" w14:textId="64284D9B" w:rsidR="00F436CF" w:rsidRPr="0033174C" w:rsidRDefault="00F436CF" w:rsidP="002A260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Lavska</w:t>
      </w:r>
      <w:r w:rsidR="00BE2DBE" w:rsidRPr="0033174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3174C">
        <w:rPr>
          <w:rFonts w:ascii="Times New Roman" w:hAnsi="Times New Roman" w:cs="Times New Roman"/>
          <w:color w:val="000000" w:themeColor="text1"/>
          <w:sz w:val="20"/>
          <w:szCs w:val="20"/>
        </w:rPr>
        <w:t>67830624</w:t>
      </w:r>
    </w:p>
    <w:p w14:paraId="2B381A24" w14:textId="77777777" w:rsidR="00F436CF" w:rsidRPr="0033174C" w:rsidRDefault="00F436CF" w:rsidP="00F436C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174C">
        <w:rPr>
          <w:rFonts w:ascii="Times New Roman" w:hAnsi="Times New Roman" w:cs="Times New Roman"/>
          <w:color w:val="000000" w:themeColor="text1"/>
          <w:sz w:val="20"/>
          <w:szCs w:val="20"/>
        </w:rPr>
        <w:t>sintija.lavska@ugf.gov.lv</w:t>
      </w:r>
    </w:p>
    <w:p w14:paraId="6E9CB678" w14:textId="793615EA" w:rsidR="00F436CF" w:rsidRPr="00783AA0" w:rsidRDefault="00F436CF" w:rsidP="00F436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36CF" w:rsidRPr="00783AA0" w:rsidSect="00DA0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99ABE" w14:textId="77777777" w:rsidR="006F69B3" w:rsidRDefault="006F69B3" w:rsidP="004D15A9">
      <w:pPr>
        <w:spacing w:after="0" w:line="240" w:lineRule="auto"/>
      </w:pPr>
      <w:r>
        <w:separator/>
      </w:r>
    </w:p>
  </w:endnote>
  <w:endnote w:type="continuationSeparator" w:id="0">
    <w:p w14:paraId="1953CC6C" w14:textId="77777777" w:rsidR="006F69B3" w:rsidRDefault="006F69B3" w:rsidP="004D15A9">
      <w:pPr>
        <w:spacing w:after="0" w:line="240" w:lineRule="auto"/>
      </w:pPr>
      <w:r>
        <w:continuationSeparator/>
      </w:r>
    </w:p>
  </w:endnote>
  <w:endnote w:type="continuationNotice" w:id="1">
    <w:p w14:paraId="351D40D2" w14:textId="77777777" w:rsidR="006F69B3" w:rsidRDefault="006F6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7E25" w14:textId="77777777" w:rsidR="00C94A48" w:rsidRDefault="00C94A4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D6A2" w14:textId="47C9B34B" w:rsidR="00EE2114" w:rsidRPr="002F3F52" w:rsidRDefault="0012629F" w:rsidP="002F3F52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83ECC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Anot</w:t>
    </w:r>
    <w:r w:rsidRPr="00C83ECC">
      <w:rPr>
        <w:rFonts w:ascii="Times New Roman" w:hAnsi="Times New Roman" w:cs="Times New Roman"/>
        <w:sz w:val="20"/>
        <w:szCs w:val="20"/>
      </w:rPr>
      <w:t>_</w:t>
    </w:r>
    <w:r w:rsidR="00C94A48">
      <w:rPr>
        <w:rFonts w:ascii="Times New Roman" w:hAnsi="Times New Roman" w:cs="Times New Roman"/>
        <w:sz w:val="20"/>
        <w:szCs w:val="20"/>
      </w:rPr>
      <w:t>011019</w:t>
    </w:r>
    <w:bookmarkStart w:id="0" w:name="_GoBack"/>
    <w:bookmarkEnd w:id="0"/>
    <w:r w:rsidRPr="00C83ECC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UGFA_nolik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4579" w14:textId="7287F6B1" w:rsidR="00EE2114" w:rsidRPr="002F3F52" w:rsidRDefault="0012629F" w:rsidP="002F3F52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83ECC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Anot</w:t>
    </w:r>
    <w:r w:rsidRPr="00C83ECC">
      <w:rPr>
        <w:rFonts w:ascii="Times New Roman" w:hAnsi="Times New Roman" w:cs="Times New Roman"/>
        <w:sz w:val="20"/>
        <w:szCs w:val="20"/>
      </w:rPr>
      <w:t>_</w:t>
    </w:r>
    <w:r w:rsidR="00C94A48">
      <w:rPr>
        <w:rFonts w:ascii="Times New Roman" w:hAnsi="Times New Roman" w:cs="Times New Roman"/>
        <w:sz w:val="20"/>
        <w:szCs w:val="20"/>
      </w:rPr>
      <w:t>0110</w:t>
    </w:r>
    <w:r w:rsidR="00BE2DBE">
      <w:rPr>
        <w:rFonts w:ascii="Times New Roman" w:hAnsi="Times New Roman" w:cs="Times New Roman"/>
        <w:sz w:val="20"/>
        <w:szCs w:val="20"/>
      </w:rPr>
      <w:t>19</w:t>
    </w:r>
    <w:r w:rsidRPr="00C83ECC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UGFA_nolik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1999" w14:textId="77777777" w:rsidR="006F69B3" w:rsidRDefault="006F69B3" w:rsidP="004D15A9">
      <w:pPr>
        <w:spacing w:after="0" w:line="240" w:lineRule="auto"/>
      </w:pPr>
      <w:r>
        <w:separator/>
      </w:r>
    </w:p>
  </w:footnote>
  <w:footnote w:type="continuationSeparator" w:id="0">
    <w:p w14:paraId="154DE9CE" w14:textId="77777777" w:rsidR="006F69B3" w:rsidRDefault="006F69B3" w:rsidP="004D15A9">
      <w:pPr>
        <w:spacing w:after="0" w:line="240" w:lineRule="auto"/>
      </w:pPr>
      <w:r>
        <w:continuationSeparator/>
      </w:r>
    </w:p>
  </w:footnote>
  <w:footnote w:type="continuationNotice" w:id="1">
    <w:p w14:paraId="0A256E94" w14:textId="77777777" w:rsidR="006F69B3" w:rsidRDefault="006F6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E673" w14:textId="77777777" w:rsidR="00C94A48" w:rsidRDefault="00C94A4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F9F860" w14:textId="64AECF4B" w:rsidR="00EE2114" w:rsidRPr="004D15A9" w:rsidRDefault="00EE211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5A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BA4E7F" w14:textId="77777777" w:rsidR="00EE2114" w:rsidRDefault="00EE211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D333" w14:textId="77777777" w:rsidR="00C94A48" w:rsidRDefault="00C94A4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A9"/>
    <w:rsid w:val="000065EA"/>
    <w:rsid w:val="00025765"/>
    <w:rsid w:val="00031256"/>
    <w:rsid w:val="000349FE"/>
    <w:rsid w:val="000419EB"/>
    <w:rsid w:val="000567F9"/>
    <w:rsid w:val="00061B09"/>
    <w:rsid w:val="00075C0F"/>
    <w:rsid w:val="00097C6C"/>
    <w:rsid w:val="000D1886"/>
    <w:rsid w:val="000D1E58"/>
    <w:rsid w:val="000F7793"/>
    <w:rsid w:val="00101ACB"/>
    <w:rsid w:val="00101CD5"/>
    <w:rsid w:val="001121F6"/>
    <w:rsid w:val="00114E53"/>
    <w:rsid w:val="00124BF8"/>
    <w:rsid w:val="0012629F"/>
    <w:rsid w:val="00126C86"/>
    <w:rsid w:val="00150ACB"/>
    <w:rsid w:val="00196930"/>
    <w:rsid w:val="001A3A15"/>
    <w:rsid w:val="001B1BDD"/>
    <w:rsid w:val="001B6F6D"/>
    <w:rsid w:val="001C33BB"/>
    <w:rsid w:val="001D0BB6"/>
    <w:rsid w:val="001D4750"/>
    <w:rsid w:val="001D5970"/>
    <w:rsid w:val="001D639F"/>
    <w:rsid w:val="001E178D"/>
    <w:rsid w:val="00200E9B"/>
    <w:rsid w:val="00212D2F"/>
    <w:rsid w:val="00225D37"/>
    <w:rsid w:val="00245119"/>
    <w:rsid w:val="002503B3"/>
    <w:rsid w:val="00261C16"/>
    <w:rsid w:val="002876FD"/>
    <w:rsid w:val="00297A43"/>
    <w:rsid w:val="002A2601"/>
    <w:rsid w:val="002B61BF"/>
    <w:rsid w:val="002F3F52"/>
    <w:rsid w:val="00305AFF"/>
    <w:rsid w:val="00323385"/>
    <w:rsid w:val="0033174C"/>
    <w:rsid w:val="003674EB"/>
    <w:rsid w:val="003848B8"/>
    <w:rsid w:val="003922B0"/>
    <w:rsid w:val="003A247F"/>
    <w:rsid w:val="003A2A0B"/>
    <w:rsid w:val="003B525F"/>
    <w:rsid w:val="003F7FC0"/>
    <w:rsid w:val="00407B36"/>
    <w:rsid w:val="00416235"/>
    <w:rsid w:val="00417894"/>
    <w:rsid w:val="0042023D"/>
    <w:rsid w:val="0043582B"/>
    <w:rsid w:val="004514EE"/>
    <w:rsid w:val="004671B6"/>
    <w:rsid w:val="004A37B8"/>
    <w:rsid w:val="004A5867"/>
    <w:rsid w:val="004B1BC8"/>
    <w:rsid w:val="004B3271"/>
    <w:rsid w:val="004D15A9"/>
    <w:rsid w:val="004E40F0"/>
    <w:rsid w:val="004F41A8"/>
    <w:rsid w:val="004F7B4B"/>
    <w:rsid w:val="00500302"/>
    <w:rsid w:val="00504462"/>
    <w:rsid w:val="0050675B"/>
    <w:rsid w:val="0051080C"/>
    <w:rsid w:val="00513395"/>
    <w:rsid w:val="005172A3"/>
    <w:rsid w:val="0055245C"/>
    <w:rsid w:val="0057656E"/>
    <w:rsid w:val="005D4AC3"/>
    <w:rsid w:val="005D4E8A"/>
    <w:rsid w:val="005D606D"/>
    <w:rsid w:val="00607532"/>
    <w:rsid w:val="00614B54"/>
    <w:rsid w:val="00615AB0"/>
    <w:rsid w:val="006210A0"/>
    <w:rsid w:val="00626CA6"/>
    <w:rsid w:val="00692716"/>
    <w:rsid w:val="006A0A32"/>
    <w:rsid w:val="006D2852"/>
    <w:rsid w:val="006F69B3"/>
    <w:rsid w:val="00702245"/>
    <w:rsid w:val="00711951"/>
    <w:rsid w:val="007242AD"/>
    <w:rsid w:val="0073641E"/>
    <w:rsid w:val="007426D3"/>
    <w:rsid w:val="00744B53"/>
    <w:rsid w:val="00744F60"/>
    <w:rsid w:val="00747F7C"/>
    <w:rsid w:val="00757EE0"/>
    <w:rsid w:val="0078005A"/>
    <w:rsid w:val="00783AA0"/>
    <w:rsid w:val="0079210E"/>
    <w:rsid w:val="007A269C"/>
    <w:rsid w:val="007A30E8"/>
    <w:rsid w:val="007A4B87"/>
    <w:rsid w:val="007B384F"/>
    <w:rsid w:val="00807F9F"/>
    <w:rsid w:val="0081203F"/>
    <w:rsid w:val="008142EC"/>
    <w:rsid w:val="008216BD"/>
    <w:rsid w:val="0083573F"/>
    <w:rsid w:val="00871679"/>
    <w:rsid w:val="0089756D"/>
    <w:rsid w:val="008A4391"/>
    <w:rsid w:val="008B6C31"/>
    <w:rsid w:val="008B7031"/>
    <w:rsid w:val="008C7B53"/>
    <w:rsid w:val="008C7F51"/>
    <w:rsid w:val="008D3C67"/>
    <w:rsid w:val="008D7BAF"/>
    <w:rsid w:val="008E0191"/>
    <w:rsid w:val="00905446"/>
    <w:rsid w:val="00913288"/>
    <w:rsid w:val="00914FE3"/>
    <w:rsid w:val="00942971"/>
    <w:rsid w:val="009A2F47"/>
    <w:rsid w:val="009B5038"/>
    <w:rsid w:val="009C6046"/>
    <w:rsid w:val="009D20C7"/>
    <w:rsid w:val="009D492F"/>
    <w:rsid w:val="009F6B7E"/>
    <w:rsid w:val="00A175C5"/>
    <w:rsid w:val="00A35286"/>
    <w:rsid w:val="00A42AB4"/>
    <w:rsid w:val="00A67CA4"/>
    <w:rsid w:val="00A83C6C"/>
    <w:rsid w:val="00A85133"/>
    <w:rsid w:val="00A8684F"/>
    <w:rsid w:val="00AA4AC8"/>
    <w:rsid w:val="00AB0788"/>
    <w:rsid w:val="00AB6922"/>
    <w:rsid w:val="00AE218E"/>
    <w:rsid w:val="00AE2241"/>
    <w:rsid w:val="00AE70E7"/>
    <w:rsid w:val="00B0093D"/>
    <w:rsid w:val="00B15B8F"/>
    <w:rsid w:val="00B37361"/>
    <w:rsid w:val="00B405B2"/>
    <w:rsid w:val="00B52E3B"/>
    <w:rsid w:val="00BB1F46"/>
    <w:rsid w:val="00BE2DBE"/>
    <w:rsid w:val="00C033DB"/>
    <w:rsid w:val="00C401FE"/>
    <w:rsid w:val="00C50D27"/>
    <w:rsid w:val="00C555A8"/>
    <w:rsid w:val="00C769FB"/>
    <w:rsid w:val="00C80A2C"/>
    <w:rsid w:val="00C853F8"/>
    <w:rsid w:val="00C87D5D"/>
    <w:rsid w:val="00C9499C"/>
    <w:rsid w:val="00C94A48"/>
    <w:rsid w:val="00CA0DD7"/>
    <w:rsid w:val="00CA49D5"/>
    <w:rsid w:val="00CC168A"/>
    <w:rsid w:val="00CC6880"/>
    <w:rsid w:val="00CE52FF"/>
    <w:rsid w:val="00CF53E7"/>
    <w:rsid w:val="00D06306"/>
    <w:rsid w:val="00D108BB"/>
    <w:rsid w:val="00D12098"/>
    <w:rsid w:val="00D26D89"/>
    <w:rsid w:val="00D305B3"/>
    <w:rsid w:val="00D313D5"/>
    <w:rsid w:val="00D5406D"/>
    <w:rsid w:val="00D71D9D"/>
    <w:rsid w:val="00D72099"/>
    <w:rsid w:val="00D75956"/>
    <w:rsid w:val="00DA0F30"/>
    <w:rsid w:val="00DA596D"/>
    <w:rsid w:val="00DB4F85"/>
    <w:rsid w:val="00DD2EE3"/>
    <w:rsid w:val="00DE0D1C"/>
    <w:rsid w:val="00DE3E61"/>
    <w:rsid w:val="00E1134A"/>
    <w:rsid w:val="00E36909"/>
    <w:rsid w:val="00E41897"/>
    <w:rsid w:val="00E42EF8"/>
    <w:rsid w:val="00E51D2E"/>
    <w:rsid w:val="00E61C0B"/>
    <w:rsid w:val="00E67F8A"/>
    <w:rsid w:val="00E74B96"/>
    <w:rsid w:val="00E93CE5"/>
    <w:rsid w:val="00EA6926"/>
    <w:rsid w:val="00EB32D2"/>
    <w:rsid w:val="00EC4106"/>
    <w:rsid w:val="00EC4F52"/>
    <w:rsid w:val="00EE2114"/>
    <w:rsid w:val="00F13CA0"/>
    <w:rsid w:val="00F21D59"/>
    <w:rsid w:val="00F25E1B"/>
    <w:rsid w:val="00F436CF"/>
    <w:rsid w:val="00F440D8"/>
    <w:rsid w:val="00F64E89"/>
    <w:rsid w:val="00F658F6"/>
    <w:rsid w:val="00F84103"/>
    <w:rsid w:val="00FC2E7B"/>
    <w:rsid w:val="00FC44AF"/>
    <w:rsid w:val="00FD1D38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509EC0"/>
  <w15:docId w15:val="{F774CC7D-F09F-43BE-96BA-EF6F572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nhideWhenUsed/>
    <w:rsid w:val="000D1E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D1E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D1E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1E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1E58"/>
    <w:rPr>
      <w:b/>
      <w:bCs/>
      <w:sz w:val="20"/>
      <w:szCs w:val="20"/>
    </w:rPr>
  </w:style>
  <w:style w:type="character" w:styleId="Hipersaite">
    <w:name w:val="Hyperlink"/>
    <w:uiPriority w:val="99"/>
    <w:rsid w:val="000D1E5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A269C"/>
    <w:pPr>
      <w:ind w:left="720"/>
      <w:contextualSpacing/>
    </w:pPr>
  </w:style>
  <w:style w:type="paragraph" w:styleId="Prskatjums">
    <w:name w:val="Revision"/>
    <w:hidden/>
    <w:uiPriority w:val="99"/>
    <w:semiHidden/>
    <w:rsid w:val="007242AD"/>
    <w:pPr>
      <w:spacing w:after="0" w:line="240" w:lineRule="auto"/>
    </w:pPr>
  </w:style>
  <w:style w:type="paragraph" w:customStyle="1" w:styleId="tv2132">
    <w:name w:val="tv2132"/>
    <w:basedOn w:val="Parasts"/>
    <w:rsid w:val="00A67CA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43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0662-B964-41E2-A55E-EA1E3F35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20. jūlija noteikumos Nr.614 "Uzturlīdzekļu garantiju fonda administrācijas nolikums"</vt:lpstr>
      <vt:lpstr>Grozījumi Ministru kabineta 2012. gada 10. janvāra noteikumos Nr. 48 "Būvju kadastrālās uzmērīšanas noteikumi"</vt:lpstr>
    </vt:vector>
  </TitlesOfParts>
  <Company>Tieslietu ministrija (Uzturlīdzekļu garantiju fonda administrācija)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20. jūlija noteikumos Nr.614 "Uzturlīdzekļu garantiju fonda administrācijas nolikums"</dc:title>
  <dc:subject>Sākotnējās ietekmes novērtējuma ziņojums (anotācija)</dc:subject>
  <dc:creator>Sintija Lavska</dc:creator>
  <dc:description>67830624, sintija.lavska@ugf.gov.lv</dc:description>
  <cp:lastModifiedBy>Sindija Šube</cp:lastModifiedBy>
  <cp:revision>3</cp:revision>
  <cp:lastPrinted>2019-09-13T13:59:00Z</cp:lastPrinted>
  <dcterms:created xsi:type="dcterms:W3CDTF">2019-10-01T13:15:00Z</dcterms:created>
  <dcterms:modified xsi:type="dcterms:W3CDTF">2019-10-01T13:31:00Z</dcterms:modified>
</cp:coreProperties>
</file>