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863D1" w14:textId="45BE261F" w:rsidR="00856079" w:rsidRPr="00250B3C" w:rsidRDefault="00856079" w:rsidP="00A00254">
      <w:pPr>
        <w:keepNext/>
        <w:jc w:val="center"/>
        <w:outlineLvl w:val="1"/>
        <w:rPr>
          <w:b/>
          <w:bCs/>
          <w:iCs/>
          <w:sz w:val="28"/>
        </w:rPr>
      </w:pPr>
      <w:bookmarkStart w:id="0" w:name="OLE_LINK6"/>
      <w:bookmarkStart w:id="1" w:name="OLE_LINK7"/>
      <w:bookmarkStart w:id="2" w:name="_GoBack"/>
      <w:bookmarkEnd w:id="2"/>
      <w:r w:rsidRPr="00250B3C">
        <w:rPr>
          <w:b/>
          <w:bCs/>
          <w:iCs/>
          <w:sz w:val="28"/>
        </w:rPr>
        <w:t xml:space="preserve">Ministru kabineta noteikumu </w:t>
      </w:r>
    </w:p>
    <w:p w14:paraId="36E7E720" w14:textId="15C6418B" w:rsidR="00856079" w:rsidRPr="00250B3C" w:rsidRDefault="00B81995" w:rsidP="00A00254">
      <w:pPr>
        <w:jc w:val="center"/>
        <w:rPr>
          <w:b/>
          <w:sz w:val="28"/>
          <w:lang w:eastAsia="en-US"/>
        </w:rPr>
      </w:pPr>
      <w:r w:rsidRPr="00250B3C">
        <w:rPr>
          <w:b/>
          <w:bCs/>
          <w:sz w:val="28"/>
        </w:rPr>
        <w:t>“</w:t>
      </w:r>
      <w:r w:rsidR="00303567" w:rsidRPr="00566FD6">
        <w:rPr>
          <w:b/>
          <w:bCs/>
          <w:sz w:val="28"/>
          <w:szCs w:val="28"/>
        </w:rPr>
        <w:t xml:space="preserve">Grozījumi </w:t>
      </w:r>
      <w:r w:rsidR="00303567" w:rsidRPr="00566FD6">
        <w:rPr>
          <w:b/>
          <w:sz w:val="28"/>
          <w:szCs w:val="28"/>
        </w:rPr>
        <w:t>Ministru kabineta 20</w:t>
      </w:r>
      <w:r w:rsidR="00303567">
        <w:rPr>
          <w:b/>
          <w:sz w:val="28"/>
          <w:szCs w:val="28"/>
        </w:rPr>
        <w:t>16</w:t>
      </w:r>
      <w:r w:rsidR="00303567" w:rsidRPr="00566FD6">
        <w:rPr>
          <w:b/>
          <w:sz w:val="28"/>
          <w:szCs w:val="28"/>
        </w:rPr>
        <w:t>.</w:t>
      </w:r>
      <w:r w:rsidR="00303567">
        <w:rPr>
          <w:b/>
          <w:sz w:val="28"/>
          <w:szCs w:val="28"/>
        </w:rPr>
        <w:t> </w:t>
      </w:r>
      <w:r w:rsidR="00303567" w:rsidRPr="00566FD6">
        <w:rPr>
          <w:b/>
          <w:sz w:val="28"/>
          <w:szCs w:val="28"/>
        </w:rPr>
        <w:t xml:space="preserve">gada </w:t>
      </w:r>
      <w:r w:rsidR="00303567">
        <w:rPr>
          <w:b/>
          <w:sz w:val="28"/>
          <w:szCs w:val="28"/>
        </w:rPr>
        <w:t>26</w:t>
      </w:r>
      <w:r w:rsidR="00303567" w:rsidRPr="00566FD6">
        <w:rPr>
          <w:b/>
          <w:sz w:val="28"/>
          <w:szCs w:val="28"/>
        </w:rPr>
        <w:t>.</w:t>
      </w:r>
      <w:r w:rsidR="00303567">
        <w:rPr>
          <w:b/>
          <w:sz w:val="28"/>
          <w:szCs w:val="28"/>
        </w:rPr>
        <w:t xml:space="preserve"> janvāra </w:t>
      </w:r>
      <w:r w:rsidR="00303567" w:rsidRPr="00566FD6">
        <w:rPr>
          <w:b/>
          <w:sz w:val="28"/>
          <w:szCs w:val="28"/>
        </w:rPr>
        <w:t>noteikumos Nr.</w:t>
      </w:r>
      <w:r w:rsidR="00303567">
        <w:rPr>
          <w:b/>
          <w:sz w:val="28"/>
          <w:szCs w:val="28"/>
        </w:rPr>
        <w:t> 69</w:t>
      </w:r>
      <w:r w:rsidR="00303567" w:rsidRPr="00566FD6">
        <w:rPr>
          <w:b/>
          <w:sz w:val="28"/>
          <w:szCs w:val="28"/>
        </w:rPr>
        <w:t xml:space="preserve"> „</w:t>
      </w:r>
      <w:r w:rsidR="00303567" w:rsidRPr="008E17D1">
        <w:rPr>
          <w:b/>
          <w:bCs/>
          <w:sz w:val="28"/>
          <w:szCs w:val="28"/>
          <w:shd w:val="clear" w:color="auto" w:fill="FFFFFF"/>
        </w:rPr>
        <w:t>Emisijas kvotu izsolīšanas instrumenta finansēto projektu atklāta konkursa "Siltumnīcefekta gāzu emisiju samazināšana – zema enerģijas patēriņa ēkas" nolikums</w:t>
      </w:r>
      <w:r w:rsidRPr="00250B3C">
        <w:rPr>
          <w:b/>
          <w:bCs/>
          <w:sz w:val="28"/>
        </w:rPr>
        <w:t>”</w:t>
      </w:r>
      <w:r w:rsidR="00F5342E" w:rsidRPr="00250B3C">
        <w:rPr>
          <w:b/>
          <w:bCs/>
          <w:sz w:val="28"/>
        </w:rPr>
        <w:t xml:space="preserve"> </w:t>
      </w:r>
      <w:r w:rsidR="00121C40" w:rsidRPr="00250B3C">
        <w:rPr>
          <w:b/>
          <w:bCs/>
          <w:iCs/>
          <w:sz w:val="28"/>
        </w:rPr>
        <w:t>projekta</w:t>
      </w:r>
      <w:r w:rsidR="00121C40" w:rsidRPr="00250B3C">
        <w:rPr>
          <w:b/>
          <w:sz w:val="28"/>
          <w:lang w:eastAsia="en-US"/>
        </w:rPr>
        <w:t xml:space="preserve"> </w:t>
      </w:r>
      <w:r w:rsidR="00856079" w:rsidRPr="00250B3C">
        <w:rPr>
          <w:b/>
          <w:sz w:val="28"/>
          <w:lang w:eastAsia="en-US"/>
        </w:rPr>
        <w:t>sākotnējās ietekmes novērtējuma ziņojums (anotācija</w:t>
      </w:r>
      <w:bookmarkEnd w:id="0"/>
      <w:bookmarkEnd w:id="1"/>
      <w:r w:rsidR="00856079" w:rsidRPr="00250B3C">
        <w:rPr>
          <w:b/>
          <w:sz w:val="28"/>
          <w:lang w:eastAsia="en-US"/>
        </w:rPr>
        <w:t>)</w:t>
      </w:r>
    </w:p>
    <w:p w14:paraId="799A8B97" w14:textId="77777777" w:rsidR="00882958" w:rsidRPr="00250B3C" w:rsidRDefault="00882958" w:rsidP="00953E8D">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rsidRPr="00250B3C" w14:paraId="08BFF27E"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A1F4F" w14:textId="77777777" w:rsidR="00882958" w:rsidRPr="00250B3C" w:rsidRDefault="00882958">
            <w:pPr>
              <w:jc w:val="center"/>
              <w:rPr>
                <w:b/>
                <w:bCs/>
                <w:color w:val="000000"/>
              </w:rPr>
            </w:pPr>
            <w:r w:rsidRPr="00250B3C">
              <w:rPr>
                <w:b/>
                <w:bCs/>
                <w:color w:val="000000"/>
              </w:rPr>
              <w:t>Tiesību akta projekta anotācijas kopsavilkums</w:t>
            </w:r>
          </w:p>
        </w:tc>
      </w:tr>
      <w:tr w:rsidR="00882958" w:rsidRPr="00250B3C" w14:paraId="7CC26A74"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C6889D" w14:textId="77777777" w:rsidR="00882958" w:rsidRPr="00250B3C" w:rsidRDefault="00882958">
            <w:pPr>
              <w:rPr>
                <w:iCs/>
                <w:color w:val="414142"/>
              </w:rPr>
            </w:pPr>
            <w:r w:rsidRPr="00250B3C">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1F10696" w14:textId="0412E25F" w:rsidR="001E58E0" w:rsidRDefault="001E58E0" w:rsidP="001E58E0">
            <w:pPr>
              <w:ind w:right="142"/>
              <w:jc w:val="both"/>
            </w:pPr>
            <w:r w:rsidRPr="0044709F">
              <w:rPr>
                <w:iCs/>
              </w:rPr>
              <w:t>M</w:t>
            </w:r>
            <w:r>
              <w:rPr>
                <w:iCs/>
              </w:rPr>
              <w:t>inistru kabineta (turpmāk</w:t>
            </w:r>
            <w:r w:rsidR="002A147C">
              <w:rPr>
                <w:iCs/>
              </w:rPr>
              <w:t> </w:t>
            </w:r>
            <w:r>
              <w:rPr>
                <w:iCs/>
              </w:rPr>
              <w:t>–</w:t>
            </w:r>
            <w:r w:rsidR="002A147C">
              <w:rPr>
                <w:iCs/>
              </w:rPr>
              <w:t> </w:t>
            </w:r>
            <w:r>
              <w:rPr>
                <w:iCs/>
              </w:rPr>
              <w:t>M</w:t>
            </w:r>
            <w:r w:rsidRPr="0044709F">
              <w:rPr>
                <w:iCs/>
              </w:rPr>
              <w:t>K</w:t>
            </w:r>
            <w:r>
              <w:rPr>
                <w:iCs/>
              </w:rPr>
              <w:t>)</w:t>
            </w:r>
            <w:r w:rsidRPr="0044709F">
              <w:rPr>
                <w:iCs/>
              </w:rPr>
              <w:t xml:space="preserve"> noteikumu </w:t>
            </w:r>
            <w:r>
              <w:rPr>
                <w:bCs/>
              </w:rPr>
              <w:t>“</w:t>
            </w:r>
            <w:r w:rsidRPr="003C0532">
              <w:rPr>
                <w:bCs/>
              </w:rPr>
              <w:t xml:space="preserve">Grozījumi </w:t>
            </w:r>
            <w:r w:rsidRPr="003C0532">
              <w:t>Ministru kabineta 2016. gada 26. janvāra noteikumos Nr. 69 „</w:t>
            </w:r>
            <w:r w:rsidRPr="003C0532">
              <w:rPr>
                <w:bCs/>
                <w:shd w:val="clear" w:color="auto" w:fill="FFFFFF"/>
              </w:rPr>
              <w:t>Emisijas kvotu izsolīšanas instrumenta finansēto projektu atklāta konkursa "Siltumnīcefekta gāzu emisiju samazināšana</w:t>
            </w:r>
            <w:r>
              <w:rPr>
                <w:bCs/>
                <w:shd w:val="clear" w:color="auto" w:fill="FFFFFF"/>
              </w:rPr>
              <w:t> </w:t>
            </w:r>
            <w:r w:rsidRPr="003C0532">
              <w:rPr>
                <w:bCs/>
                <w:shd w:val="clear" w:color="auto" w:fill="FFFFFF"/>
              </w:rPr>
              <w:t>–</w:t>
            </w:r>
            <w:r>
              <w:rPr>
                <w:bCs/>
                <w:shd w:val="clear" w:color="auto" w:fill="FFFFFF"/>
              </w:rPr>
              <w:t> </w:t>
            </w:r>
            <w:r w:rsidRPr="003C0532">
              <w:rPr>
                <w:bCs/>
                <w:shd w:val="clear" w:color="auto" w:fill="FFFFFF"/>
              </w:rPr>
              <w:t>zema enerģijas patēriņa ēkas" nolikums</w:t>
            </w:r>
            <w:r w:rsidRPr="00D17229">
              <w:t>”</w:t>
            </w:r>
            <w:r>
              <w:t xml:space="preserve">” </w:t>
            </w:r>
            <w:r w:rsidR="00121C40" w:rsidRPr="0044709F">
              <w:rPr>
                <w:iCs/>
              </w:rPr>
              <w:t>projekts</w:t>
            </w:r>
            <w:r w:rsidR="00121C40">
              <w:t xml:space="preserve"> </w:t>
            </w:r>
            <w:r>
              <w:t>(turpmāk</w:t>
            </w:r>
            <w:r w:rsidR="002A147C">
              <w:t> </w:t>
            </w:r>
            <w:r>
              <w:t>–</w:t>
            </w:r>
            <w:r w:rsidR="002A147C">
              <w:t> </w:t>
            </w:r>
            <w:r w:rsidR="00121C40">
              <w:t>n</w:t>
            </w:r>
            <w:r>
              <w:t>oteikumu projekts)</w:t>
            </w:r>
            <w:r w:rsidRPr="009B5620">
              <w:t xml:space="preserve"> </w:t>
            </w:r>
            <w:r w:rsidRPr="0044709F">
              <w:rPr>
                <w:iCs/>
              </w:rPr>
              <w:t xml:space="preserve">paredz </w:t>
            </w:r>
            <w:r w:rsidR="002A147C">
              <w:rPr>
                <w:iCs/>
              </w:rPr>
              <w:t xml:space="preserve">deleģēt </w:t>
            </w:r>
            <w:r w:rsidRPr="0044709F">
              <w:rPr>
                <w:iCs/>
              </w:rPr>
              <w:t>maksājumu veikšanas un projekta</w:t>
            </w:r>
            <w:r w:rsidR="002A147C">
              <w:rPr>
                <w:iCs/>
              </w:rPr>
              <w:t xml:space="preserve"> līguma</w:t>
            </w:r>
            <w:r w:rsidRPr="0044709F">
              <w:rPr>
                <w:iCs/>
              </w:rPr>
              <w:t xml:space="preserve"> grozījumu un īstenošanas uzraudzības, kā arī monitoringa funkcijas </w:t>
            </w:r>
            <w:r w:rsidRPr="009B5620">
              <w:t>SIA „Vides investīcijas fonds”</w:t>
            </w:r>
            <w:r>
              <w:t xml:space="preserve"> (turpmāk</w:t>
            </w:r>
            <w:r w:rsidR="002A147C">
              <w:t> </w:t>
            </w:r>
            <w:r>
              <w:t>-</w:t>
            </w:r>
            <w:r w:rsidR="002A147C">
              <w:t> </w:t>
            </w:r>
            <w:r>
              <w:t xml:space="preserve">VIF), </w:t>
            </w:r>
            <w:r w:rsidR="002A147C">
              <w:t xml:space="preserve">tādējādi </w:t>
            </w:r>
            <w:r>
              <w:t>mazinot kopējo</w:t>
            </w:r>
            <w:r w:rsidR="002A147C">
              <w:t xml:space="preserve"> </w:t>
            </w:r>
            <w:r w:rsidR="00DC40B9">
              <w:t xml:space="preserve">Vides aizsardzības un reģionālās attīstības </w:t>
            </w:r>
            <w:r w:rsidR="002A147C">
              <w:t>ministrijas</w:t>
            </w:r>
            <w:r w:rsidR="00DC40B9">
              <w:t xml:space="preserve"> (turpmāk – VARAM)</w:t>
            </w:r>
            <w:r>
              <w:t xml:space="preserve"> administratīvo slogu.</w:t>
            </w:r>
          </w:p>
          <w:p w14:paraId="4973DBC1" w14:textId="0342E18E" w:rsidR="00882958" w:rsidRPr="00250B3C" w:rsidRDefault="001E58E0" w:rsidP="002A147C">
            <w:pPr>
              <w:ind w:right="142"/>
              <w:jc w:val="both"/>
              <w:rPr>
                <w:iCs/>
                <w:color w:val="A6A6A6" w:themeColor="background1" w:themeShade="A6"/>
              </w:rPr>
            </w:pPr>
            <w:r>
              <w:t>Paredzēts, ka Noteikumu projekts stā</w:t>
            </w:r>
            <w:r w:rsidR="002A147C">
              <w:t>sie</w:t>
            </w:r>
            <w:r>
              <w:t>s spēkā 2020.</w:t>
            </w:r>
            <w:r w:rsidR="002A147C">
              <w:t> </w:t>
            </w:r>
            <w:r>
              <w:t>gada 1.</w:t>
            </w:r>
            <w:r w:rsidR="002A147C">
              <w:t> </w:t>
            </w:r>
            <w:r>
              <w:t>janvārī.</w:t>
            </w:r>
          </w:p>
        </w:tc>
      </w:tr>
    </w:tbl>
    <w:p w14:paraId="497AE132" w14:textId="77777777" w:rsidR="00A627CD" w:rsidRPr="00250B3C"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250B3C"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250B3C" w:rsidRDefault="0030341E" w:rsidP="0030341E">
            <w:pPr>
              <w:jc w:val="center"/>
              <w:rPr>
                <w:b/>
                <w:bCs/>
                <w:color w:val="000000"/>
              </w:rPr>
            </w:pPr>
            <w:r w:rsidRPr="00250B3C">
              <w:rPr>
                <w:b/>
                <w:bCs/>
                <w:color w:val="000000"/>
              </w:rPr>
              <w:t>I. Tiesību akta projekta izstrādes nepieciešamība</w:t>
            </w:r>
          </w:p>
        </w:tc>
      </w:tr>
      <w:tr w:rsidR="004B0FC9" w:rsidRPr="00250B3C"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4B0FC9" w:rsidRPr="00250B3C" w:rsidRDefault="004B0FC9" w:rsidP="004B0FC9">
            <w:pPr>
              <w:rPr>
                <w:color w:val="000000"/>
              </w:rPr>
            </w:pPr>
            <w:r w:rsidRPr="00250B3C">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4B0FC9" w:rsidRPr="00250B3C" w:rsidRDefault="004B0FC9" w:rsidP="004B0FC9">
            <w:pPr>
              <w:rPr>
                <w:color w:val="000000"/>
              </w:rPr>
            </w:pPr>
            <w:r w:rsidRPr="00250B3C">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14:paraId="557BD7C6" w14:textId="3417E3BF" w:rsidR="004B0FC9" w:rsidRPr="00250B3C" w:rsidRDefault="001E58E0" w:rsidP="00121C40">
            <w:pPr>
              <w:pStyle w:val="naiskr"/>
              <w:tabs>
                <w:tab w:val="left" w:pos="6491"/>
              </w:tabs>
              <w:spacing w:before="0" w:after="0"/>
              <w:ind w:left="112" w:right="236"/>
              <w:jc w:val="both"/>
              <w:rPr>
                <w:color w:val="000000"/>
              </w:rPr>
            </w:pPr>
            <w:r>
              <w:rPr>
                <w:bCs/>
              </w:rPr>
              <w:t>N</w:t>
            </w:r>
            <w:r w:rsidR="003C5D8F" w:rsidRPr="009B5620">
              <w:rPr>
                <w:bCs/>
              </w:rPr>
              <w:t>oteikumu projekts</w:t>
            </w:r>
            <w:r w:rsidR="003C5D8F" w:rsidRPr="003C0532">
              <w:rPr>
                <w:bCs/>
              </w:rPr>
              <w:t xml:space="preserve"> </w:t>
            </w:r>
            <w:r w:rsidR="004B0FC9" w:rsidRPr="00D17229">
              <w:t>sagatavots pamatojoties uz likuma „Par piesārņojumu”</w:t>
            </w:r>
            <w:r w:rsidR="00EE6340">
              <w:t xml:space="preserve"> </w:t>
            </w:r>
            <w:r w:rsidR="004B0FC9" w:rsidRPr="000A727E">
              <w:rPr>
                <w:bCs/>
              </w:rPr>
              <w:t>32.</w:t>
            </w:r>
            <w:r w:rsidR="00304547">
              <w:rPr>
                <w:bCs/>
                <w:vertAlign w:val="superscript"/>
              </w:rPr>
              <w:t>2</w:t>
            </w:r>
            <w:r w:rsidR="00304547" w:rsidRPr="000A727E">
              <w:t xml:space="preserve"> </w:t>
            </w:r>
            <w:r w:rsidR="004B0FC9" w:rsidRPr="000A727E">
              <w:t xml:space="preserve">panta </w:t>
            </w:r>
            <w:r w:rsidR="00304547">
              <w:t>4</w:t>
            </w:r>
            <w:r w:rsidR="00304547" w:rsidRPr="00383F16">
              <w:rPr>
                <w:vertAlign w:val="superscript"/>
              </w:rPr>
              <w:t>6</w:t>
            </w:r>
            <w:r w:rsidR="00304547">
              <w:t xml:space="preserve"> daļu</w:t>
            </w:r>
            <w:r w:rsidR="00B51310">
              <w:t>.</w:t>
            </w:r>
          </w:p>
        </w:tc>
      </w:tr>
      <w:tr w:rsidR="004B0FC9" w:rsidRPr="00250B3C"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4B0FC9" w:rsidRPr="00250B3C" w:rsidRDefault="004B0FC9" w:rsidP="004B0FC9">
            <w:pPr>
              <w:rPr>
                <w:color w:val="000000"/>
              </w:rPr>
            </w:pPr>
            <w:r w:rsidRPr="00250B3C">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14:paraId="70E9D255" w14:textId="0D839C1F" w:rsidR="004B0FC9" w:rsidRPr="00BD5983" w:rsidRDefault="004B0FC9" w:rsidP="00844384">
            <w:r w:rsidRPr="00250B3C">
              <w:rPr>
                <w:color w:val="000000"/>
              </w:rPr>
              <w:t>Pašreizējā situācija un problēmas, kuru risināšanai tiesību akta projekts izstrādāts, tiesiskā regulējuma mērķis un būtība</w:t>
            </w:r>
          </w:p>
        </w:tc>
        <w:tc>
          <w:tcPr>
            <w:tcW w:w="3752" w:type="pct"/>
            <w:tcBorders>
              <w:top w:val="outset" w:sz="6" w:space="0" w:color="000000"/>
              <w:left w:val="outset" w:sz="6" w:space="0" w:color="000000"/>
              <w:bottom w:val="outset" w:sz="6" w:space="0" w:color="000000"/>
              <w:right w:val="outset" w:sz="6" w:space="0" w:color="000000"/>
            </w:tcBorders>
          </w:tcPr>
          <w:p w14:paraId="60CA3E68" w14:textId="26F5DA53" w:rsidR="006424F9" w:rsidRPr="00383F16" w:rsidRDefault="00687D59" w:rsidP="003C4DCA">
            <w:pPr>
              <w:tabs>
                <w:tab w:val="left" w:pos="6491"/>
              </w:tabs>
              <w:ind w:left="112" w:right="236"/>
              <w:jc w:val="both"/>
              <w:rPr>
                <w:iCs/>
              </w:rPr>
            </w:pPr>
            <w:r w:rsidRPr="00383F16">
              <w:rPr>
                <w:iCs/>
              </w:rPr>
              <w:t>Emisijas kvotu izsolīšanas finanšu instrumenta</w:t>
            </w:r>
            <w:r w:rsidR="00C125FE" w:rsidRPr="00383F16">
              <w:rPr>
                <w:iCs/>
              </w:rPr>
              <w:t xml:space="preserve"> (turpmāk</w:t>
            </w:r>
            <w:r w:rsidR="003C5D8F">
              <w:rPr>
                <w:iCs/>
              </w:rPr>
              <w:t> – </w:t>
            </w:r>
            <w:r w:rsidR="00C125FE" w:rsidRPr="00383F16">
              <w:rPr>
                <w:iCs/>
              </w:rPr>
              <w:t>EKII)</w:t>
            </w:r>
            <w:r w:rsidRPr="00383F16">
              <w:rPr>
                <w:iCs/>
              </w:rPr>
              <w:t xml:space="preserve"> finansēto projektu atklātā konkursa "</w:t>
            </w:r>
            <w:r w:rsidR="00303567" w:rsidRPr="009E76A0">
              <w:rPr>
                <w:bCs/>
                <w:shd w:val="clear" w:color="auto" w:fill="FFFFFF"/>
              </w:rPr>
              <w:t xml:space="preserve"> Siltumnīcefekta gāzu emisiju samazināšana</w:t>
            </w:r>
            <w:r w:rsidR="003C5D8F">
              <w:rPr>
                <w:bCs/>
                <w:shd w:val="clear" w:color="auto" w:fill="FFFFFF"/>
              </w:rPr>
              <w:t> </w:t>
            </w:r>
            <w:r w:rsidR="00303567" w:rsidRPr="009E76A0">
              <w:rPr>
                <w:bCs/>
                <w:shd w:val="clear" w:color="auto" w:fill="FFFFFF"/>
              </w:rPr>
              <w:t>–</w:t>
            </w:r>
            <w:r w:rsidR="003C5D8F">
              <w:rPr>
                <w:bCs/>
                <w:shd w:val="clear" w:color="auto" w:fill="FFFFFF"/>
              </w:rPr>
              <w:t> </w:t>
            </w:r>
            <w:r w:rsidR="00303567" w:rsidRPr="009E76A0">
              <w:rPr>
                <w:bCs/>
                <w:shd w:val="clear" w:color="auto" w:fill="FFFFFF"/>
              </w:rPr>
              <w:t>zema enerģijas patēriņa ēkas</w:t>
            </w:r>
            <w:r w:rsidR="00303567">
              <w:rPr>
                <w:bCs/>
                <w:shd w:val="clear" w:color="auto" w:fill="FFFFFF"/>
              </w:rPr>
              <w:t>”</w:t>
            </w:r>
            <w:r w:rsidR="00303567" w:rsidRPr="00383F16" w:rsidDel="00303567">
              <w:rPr>
                <w:iCs/>
              </w:rPr>
              <w:t xml:space="preserve"> </w:t>
            </w:r>
            <w:r w:rsidRPr="00383F16">
              <w:rPr>
                <w:iCs/>
              </w:rPr>
              <w:t>(turpmāk</w:t>
            </w:r>
            <w:r w:rsidR="003C5D8F">
              <w:rPr>
                <w:iCs/>
              </w:rPr>
              <w:t> </w:t>
            </w:r>
            <w:r w:rsidR="002A147C">
              <w:rPr>
                <w:iCs/>
              </w:rPr>
              <w:t>–</w:t>
            </w:r>
            <w:r w:rsidR="003C5D8F">
              <w:rPr>
                <w:iCs/>
              </w:rPr>
              <w:t> </w:t>
            </w:r>
            <w:r w:rsidRPr="00383F16">
              <w:rPr>
                <w:iCs/>
              </w:rPr>
              <w:t xml:space="preserve">konkurss) ietvaros potenciālie projektu </w:t>
            </w:r>
            <w:r w:rsidR="003C5D8F">
              <w:rPr>
                <w:iCs/>
              </w:rPr>
              <w:t>iesniedzēji</w:t>
            </w:r>
            <w:r w:rsidRPr="00383F16">
              <w:rPr>
                <w:iCs/>
              </w:rPr>
              <w:t xml:space="preserve"> projektu iesniegumus varēja iesniegt no 2016.</w:t>
            </w:r>
            <w:r w:rsidR="003C5D8F">
              <w:rPr>
                <w:iCs/>
              </w:rPr>
              <w:t> </w:t>
            </w:r>
            <w:r w:rsidRPr="00383F16">
              <w:rPr>
                <w:iCs/>
              </w:rPr>
              <w:t xml:space="preserve">gada </w:t>
            </w:r>
            <w:r w:rsidR="00303567">
              <w:rPr>
                <w:iCs/>
              </w:rPr>
              <w:t>16</w:t>
            </w:r>
            <w:r w:rsidRPr="00383F16">
              <w:rPr>
                <w:iCs/>
              </w:rPr>
              <w:t>.</w:t>
            </w:r>
            <w:r w:rsidR="003C5D8F">
              <w:rPr>
                <w:iCs/>
              </w:rPr>
              <w:t> </w:t>
            </w:r>
            <w:r w:rsidRPr="00383F16">
              <w:rPr>
                <w:iCs/>
              </w:rPr>
              <w:t>marta līdz 2016.</w:t>
            </w:r>
            <w:r w:rsidR="003C5D8F">
              <w:rPr>
                <w:iCs/>
              </w:rPr>
              <w:t> </w:t>
            </w:r>
            <w:r w:rsidRPr="00383F16">
              <w:rPr>
                <w:iCs/>
              </w:rPr>
              <w:t xml:space="preserve">gada </w:t>
            </w:r>
            <w:r w:rsidR="00303567">
              <w:rPr>
                <w:iCs/>
              </w:rPr>
              <w:t>17</w:t>
            </w:r>
            <w:r w:rsidRPr="00383F16">
              <w:rPr>
                <w:iCs/>
              </w:rPr>
              <w:t>.</w:t>
            </w:r>
            <w:r w:rsidR="003C5D8F">
              <w:rPr>
                <w:iCs/>
              </w:rPr>
              <w:t> </w:t>
            </w:r>
            <w:r w:rsidR="00303567">
              <w:rPr>
                <w:iCs/>
              </w:rPr>
              <w:t>maijam</w:t>
            </w:r>
            <w:r w:rsidRPr="00383F16">
              <w:rPr>
                <w:iCs/>
              </w:rPr>
              <w:t>.</w:t>
            </w:r>
            <w:r w:rsidR="006424F9" w:rsidRPr="00383F16">
              <w:rPr>
                <w:iCs/>
              </w:rPr>
              <w:t xml:space="preserve"> </w:t>
            </w:r>
            <w:r w:rsidR="00303567" w:rsidRPr="00303567">
              <w:rPr>
                <w:iCs/>
              </w:rPr>
              <w:t>Konkursa mērķis ir oglekļa dioksīda emisiju samazināšana, veicot jaunu zema enerģijas patēriņa ēku būvniecību, kā arī esošu ēku pārbūvi vai atjaunošanu par zema enerģijas patēriņa ēkām</w:t>
            </w:r>
            <w:r w:rsidR="006424F9" w:rsidRPr="00383F16">
              <w:rPr>
                <w:iCs/>
              </w:rPr>
              <w:t>.</w:t>
            </w:r>
          </w:p>
          <w:p w14:paraId="31E1F0A5" w14:textId="663BD85D" w:rsidR="008900BD" w:rsidRPr="008900BD" w:rsidRDefault="003C5D8F" w:rsidP="008900BD">
            <w:pPr>
              <w:pStyle w:val="Default"/>
              <w:ind w:left="131"/>
              <w:jc w:val="both"/>
              <w:rPr>
                <w:rFonts w:ascii="Times New Roman" w:hAnsi="Times New Roman" w:cs="Times New Roman"/>
                <w:iCs/>
                <w:color w:val="auto"/>
              </w:rPr>
            </w:pPr>
            <w:r w:rsidRPr="008900BD">
              <w:rPr>
                <w:rFonts w:ascii="Times New Roman" w:hAnsi="Times New Roman" w:cs="Times New Roman"/>
                <w:iCs/>
                <w:color w:val="auto"/>
              </w:rPr>
              <w:t>Pēc p</w:t>
            </w:r>
            <w:r w:rsidRPr="008900BD">
              <w:rPr>
                <w:rFonts w:ascii="Times New Roman" w:hAnsi="Times New Roman" w:cs="Times New Roman"/>
                <w:bCs/>
                <w:color w:val="auto"/>
                <w:shd w:val="clear" w:color="auto" w:fill="FFFFFF"/>
              </w:rPr>
              <w:t>rojektu iesniegumu vērtēšanas un lēmumu pieņemšanas par finanšu instrumenta finansējuma piešķiršanu</w:t>
            </w:r>
            <w:r w:rsidRPr="008900BD" w:rsidDel="00E91CD0">
              <w:rPr>
                <w:rFonts w:ascii="Times New Roman" w:hAnsi="Times New Roman" w:cs="Times New Roman"/>
                <w:iCs/>
                <w:color w:val="auto"/>
              </w:rPr>
              <w:t xml:space="preserve"> </w:t>
            </w:r>
            <w:r w:rsidRPr="008900BD">
              <w:rPr>
                <w:rFonts w:ascii="Times New Roman" w:hAnsi="Times New Roman" w:cs="Times New Roman"/>
                <w:iCs/>
                <w:color w:val="auto"/>
              </w:rPr>
              <w:t xml:space="preserve">tika noslēgti </w:t>
            </w:r>
            <w:r w:rsidR="00B172E0">
              <w:rPr>
                <w:rFonts w:ascii="Times New Roman" w:hAnsi="Times New Roman" w:cs="Times New Roman"/>
                <w:iCs/>
              </w:rPr>
              <w:t xml:space="preserve"> septiņi </w:t>
            </w:r>
            <w:r w:rsidRPr="008900BD">
              <w:rPr>
                <w:rFonts w:ascii="Times New Roman" w:hAnsi="Times New Roman" w:cs="Times New Roman"/>
                <w:iCs/>
                <w:color w:val="auto"/>
              </w:rPr>
              <w:t xml:space="preserve"> </w:t>
            </w:r>
            <w:r w:rsidR="001E58E0">
              <w:rPr>
                <w:rFonts w:ascii="Times New Roman" w:hAnsi="Times New Roman" w:cs="Times New Roman"/>
                <w:iCs/>
                <w:color w:val="auto"/>
              </w:rPr>
              <w:t xml:space="preserve">līgumi par projektu īstenošanu </w:t>
            </w:r>
            <w:r w:rsidRPr="008900BD">
              <w:rPr>
                <w:rFonts w:ascii="Times New Roman" w:hAnsi="Times New Roman" w:cs="Times New Roman"/>
                <w:iCs/>
                <w:color w:val="auto"/>
              </w:rPr>
              <w:t xml:space="preserve">ar kopējo EKII finansējumu </w:t>
            </w:r>
            <w:r w:rsidRPr="008900BD">
              <w:rPr>
                <w:rFonts w:ascii="Times New Roman" w:hAnsi="Times New Roman" w:cs="Times New Roman"/>
                <w:iCs/>
              </w:rPr>
              <w:t xml:space="preserve">22 998 907,53 </w:t>
            </w:r>
            <w:proofErr w:type="spellStart"/>
            <w:r w:rsidRPr="008900BD">
              <w:rPr>
                <w:rFonts w:ascii="Times New Roman" w:hAnsi="Times New Roman" w:cs="Times New Roman"/>
                <w:i/>
                <w:iCs/>
                <w:color w:val="auto"/>
              </w:rPr>
              <w:t>euro</w:t>
            </w:r>
            <w:proofErr w:type="spellEnd"/>
            <w:r w:rsidRPr="008900BD">
              <w:rPr>
                <w:rFonts w:ascii="Times New Roman" w:hAnsi="Times New Roman" w:cs="Times New Roman"/>
                <w:iCs/>
                <w:color w:val="auto"/>
              </w:rPr>
              <w:t>.</w:t>
            </w:r>
            <w:r w:rsidR="008900BD" w:rsidRPr="008900BD">
              <w:rPr>
                <w:rFonts w:ascii="Times New Roman" w:hAnsi="Times New Roman" w:cs="Times New Roman"/>
                <w:iCs/>
              </w:rPr>
              <w:t xml:space="preserve"> </w:t>
            </w:r>
            <w:r w:rsidR="008900BD" w:rsidRPr="008900BD">
              <w:rPr>
                <w:rFonts w:ascii="Times New Roman" w:hAnsi="Times New Roman" w:cs="Times New Roman"/>
                <w:iCs/>
                <w:color w:val="auto"/>
              </w:rPr>
              <w:t>Apstiprinātos projektus īsteno sešas pašvaldības un viena pašvaldības iestāde.</w:t>
            </w:r>
            <w:r w:rsidR="008900BD" w:rsidRPr="008900BD">
              <w:rPr>
                <w:rFonts w:ascii="Times New Roman" w:hAnsi="Times New Roman" w:cs="Times New Roman"/>
                <w:bCs/>
              </w:rPr>
              <w:t xml:space="preserve"> </w:t>
            </w:r>
            <w:r w:rsidR="008900BD" w:rsidRPr="008900BD">
              <w:rPr>
                <w:rFonts w:ascii="Times New Roman" w:hAnsi="Times New Roman" w:cs="Times New Roman"/>
                <w:iCs/>
                <w:color w:val="auto"/>
              </w:rPr>
              <w:t>Konkursa ietvaros plānotais CO</w:t>
            </w:r>
            <w:r w:rsidR="008900BD" w:rsidRPr="008900BD">
              <w:rPr>
                <w:rFonts w:ascii="Times New Roman" w:hAnsi="Times New Roman" w:cs="Times New Roman"/>
                <w:iCs/>
                <w:color w:val="auto"/>
                <w:vertAlign w:val="subscript"/>
              </w:rPr>
              <w:t>2</w:t>
            </w:r>
            <w:r w:rsidR="008900BD" w:rsidRPr="008900BD">
              <w:rPr>
                <w:rFonts w:ascii="Times New Roman" w:hAnsi="Times New Roman" w:cs="Times New Roman"/>
                <w:iCs/>
                <w:color w:val="auto"/>
              </w:rPr>
              <w:t xml:space="preserve"> emisiju samazinājums atbilstoši noslēgtajiem līgumiem par projektu īstenošanu ir plānots 550,328 t CO</w:t>
            </w:r>
            <w:r w:rsidR="008900BD" w:rsidRPr="008900BD">
              <w:rPr>
                <w:rFonts w:ascii="Times New Roman" w:hAnsi="Times New Roman" w:cs="Times New Roman"/>
                <w:iCs/>
                <w:color w:val="auto"/>
                <w:vertAlign w:val="subscript"/>
              </w:rPr>
              <w:t>2</w:t>
            </w:r>
            <w:r w:rsidR="008900BD" w:rsidRPr="008900BD">
              <w:rPr>
                <w:rFonts w:ascii="Times New Roman" w:hAnsi="Times New Roman" w:cs="Times New Roman"/>
                <w:iCs/>
                <w:color w:val="auto"/>
              </w:rPr>
              <w:t xml:space="preserve"> gadā</w:t>
            </w:r>
            <w:r w:rsidR="008900BD" w:rsidRPr="008900BD">
              <w:rPr>
                <w:rFonts w:ascii="Times New Roman" w:hAnsi="Times New Roman" w:cs="Times New Roman"/>
                <w:bCs/>
              </w:rPr>
              <w:t>.</w:t>
            </w:r>
          </w:p>
          <w:p w14:paraId="73B62FCA" w14:textId="20E851F6" w:rsidR="003C5D8F" w:rsidRPr="008900BD" w:rsidRDefault="008900BD" w:rsidP="008900BD">
            <w:pPr>
              <w:tabs>
                <w:tab w:val="left" w:pos="6491"/>
              </w:tabs>
              <w:ind w:left="131" w:right="236"/>
              <w:jc w:val="both"/>
              <w:rPr>
                <w:iCs/>
              </w:rPr>
            </w:pPr>
            <w:r w:rsidRPr="009B5620">
              <w:rPr>
                <w:iCs/>
              </w:rPr>
              <w:t>Uz 2019. gada 1. augustu</w:t>
            </w:r>
            <w:r w:rsidRPr="008900BD">
              <w:rPr>
                <w:iCs/>
              </w:rPr>
              <w:t xml:space="preserve"> divi līgumi par projekta </w:t>
            </w:r>
            <w:r w:rsidR="001E58E0">
              <w:rPr>
                <w:iCs/>
              </w:rPr>
              <w:t>īstenošanu</w:t>
            </w:r>
            <w:r w:rsidR="001E58E0" w:rsidRPr="008900BD">
              <w:rPr>
                <w:iCs/>
              </w:rPr>
              <w:t xml:space="preserve"> </w:t>
            </w:r>
            <w:r w:rsidRPr="008900BD">
              <w:rPr>
                <w:iCs/>
              </w:rPr>
              <w:t>ir pabeigti.</w:t>
            </w:r>
          </w:p>
          <w:p w14:paraId="7A8983B5" w14:textId="072FB5DA" w:rsidR="008900BD" w:rsidRPr="009B5620" w:rsidRDefault="008900BD" w:rsidP="008900BD">
            <w:pPr>
              <w:tabs>
                <w:tab w:val="left" w:pos="6491"/>
              </w:tabs>
              <w:spacing w:before="120" w:after="120"/>
              <w:ind w:left="113" w:right="238"/>
              <w:jc w:val="both"/>
              <w:rPr>
                <w:iCs/>
              </w:rPr>
            </w:pPr>
            <w:r w:rsidRPr="009B5620">
              <w:t xml:space="preserve">Līdz šim konkursa administrēšanas uzdevumus veic VARAM attiecībā uz projektu iesniegumu </w:t>
            </w:r>
            <w:r w:rsidRPr="009B5620">
              <w:rPr>
                <w:shd w:val="clear" w:color="auto" w:fill="FFFFFF"/>
              </w:rPr>
              <w:t>apstiprināšanu un finanšu instrumenta finansējuma piešķiršanu</w:t>
            </w:r>
            <w:r w:rsidRPr="009B5620">
              <w:t xml:space="preserve"> un VIF </w:t>
            </w:r>
            <w:r w:rsidR="00121C40" w:rsidRPr="009B5620">
              <w:t xml:space="preserve">konkursa </w:t>
            </w:r>
            <w:r w:rsidR="00121C40" w:rsidRPr="009B5620">
              <w:lastRenderedPageBreak/>
              <w:t xml:space="preserve">administrēšanas uzdevumus veic </w:t>
            </w:r>
            <w:r w:rsidRPr="009B5620">
              <w:t>attiecībā uz projektu iesniegumu pieņemšanu, vērtēšanu, līgumu par projekta īstenošanu sagatavošanu, noslēgšanu, grozīšanu un izbeigšanu, projektu pārskatu pārbaudi un projektu īstenošanas kontroli atbilstoši noslēgtajam Atsevišķu pārvaldes uzdevumu deleģēšanas līgumam.</w:t>
            </w:r>
          </w:p>
          <w:p w14:paraId="335574E4" w14:textId="7F9F128A" w:rsidR="001E58E0" w:rsidRPr="0044709F" w:rsidRDefault="001E58E0" w:rsidP="001E58E0">
            <w:pPr>
              <w:tabs>
                <w:tab w:val="left" w:pos="6491"/>
              </w:tabs>
              <w:spacing w:before="120" w:after="120"/>
              <w:ind w:left="113" w:right="238"/>
              <w:jc w:val="both"/>
              <w:rPr>
                <w:iCs/>
              </w:rPr>
            </w:pPr>
            <w:r>
              <w:rPr>
                <w:iCs/>
              </w:rPr>
              <w:t>VIF</w:t>
            </w:r>
            <w:r w:rsidRPr="0044709F">
              <w:rPr>
                <w:iCs/>
              </w:rPr>
              <w:t xml:space="preserve"> šobrīd ir noteiktas funkcijas EKII konkursu projektu ietvaros izskatīt finansējuma saņēmēja maksājumu pieprasījumus un pārbaudīt attiecināmo izmaksu atbilstību projekta līguma un konkursa īstenošanu regulējošo Ministru kabineta noteikumu prasībām, kā arī tiesības rosināt EKII finansējuma maksājumu apturēšanu, apturēt atbalsta summas maksājumu veikšanu un/vai samazināt tā apjomu. Atbalsta summas vai tās daļas pārmaksas gadījumā </w:t>
            </w:r>
            <w:r w:rsidR="00436E3D">
              <w:rPr>
                <w:iCs/>
              </w:rPr>
              <w:t>VIF</w:t>
            </w:r>
            <w:r w:rsidRPr="0044709F">
              <w:rPr>
                <w:iCs/>
              </w:rPr>
              <w:t xml:space="preserve"> ir pienākums arī rakstiski informēt finansējuma saņēmēju par pienākumu atmaksāt tam pārmaksāto atbalsta summu vai tās daļu. Tāpat VIF saņem finansējuma saņēmēju maksājumu pieprasījumu grafikus un nodrošina to kontroli, kā arī veic projekta progresa uzraudzību projekta ieviešanas termiņā un snieguma uzraudzību monitoringa periodā. Arī izskatot </w:t>
            </w:r>
            <w:r>
              <w:rPr>
                <w:iCs/>
              </w:rPr>
              <w:t>f</w:t>
            </w:r>
            <w:r w:rsidRPr="0044709F">
              <w:rPr>
                <w:iCs/>
              </w:rPr>
              <w:t xml:space="preserve">inansējuma saņēmēja ierosinātos līguma grozījumu, sākotnējo grozījumu izvērtējumu no finansiālā, juridiskā un tehniskā viedokļa veic VIF, un nosūta VARAM atzinumu par grozījumu būtību un ierosinājumu atbalstīt vai noraidīt ierosinātos grozījumus. </w:t>
            </w:r>
          </w:p>
          <w:p w14:paraId="70722AFD" w14:textId="77777777" w:rsidR="001E58E0" w:rsidRPr="0044709F" w:rsidRDefault="001E58E0" w:rsidP="001E58E0">
            <w:pPr>
              <w:tabs>
                <w:tab w:val="left" w:pos="6491"/>
              </w:tabs>
              <w:spacing w:before="120" w:after="120"/>
              <w:ind w:left="113" w:right="238"/>
              <w:jc w:val="both"/>
              <w:rPr>
                <w:iCs/>
              </w:rPr>
            </w:pPr>
            <w:r w:rsidRPr="0044709F">
              <w:rPr>
                <w:iCs/>
              </w:rPr>
              <w:t>Savukārt</w:t>
            </w:r>
            <w:r>
              <w:rPr>
                <w:iCs/>
              </w:rPr>
              <w:t>,</w:t>
            </w:r>
            <w:r w:rsidRPr="0044709F">
              <w:rPr>
                <w:iCs/>
              </w:rPr>
              <w:t xml:space="preserve"> VARAM, balstoties uz VIF sagatavoto atzinumu par finansējuma saņēmēja maksājumu pieprasījumus, izmaksā finansējuma saņēmējam a</w:t>
            </w:r>
            <w:r>
              <w:rPr>
                <w:iCs/>
              </w:rPr>
              <w:t>tbalsta summu vai tās daļu, ja f</w:t>
            </w:r>
            <w:r w:rsidRPr="0044709F">
              <w:rPr>
                <w:iCs/>
              </w:rPr>
              <w:t xml:space="preserve">inansējuma saņēmējs ir izpildījis normatīvajos aktos un Līgumā noteiktos nosacījumus atbalsta summas vai tās daļas saņemšanai. Attiecībā uz projektu grozījumu ierosināšanu VARAM izskata VIF sagatavoto izvērtējumu pirms grozījumu noslēgšanas. </w:t>
            </w:r>
          </w:p>
          <w:p w14:paraId="66E815C8" w14:textId="77777777" w:rsidR="001E58E0" w:rsidRPr="0044709F" w:rsidRDefault="001E58E0" w:rsidP="001E58E0">
            <w:pPr>
              <w:tabs>
                <w:tab w:val="left" w:pos="6491"/>
              </w:tabs>
              <w:spacing w:before="120" w:after="120"/>
              <w:ind w:left="113" w:right="238"/>
              <w:jc w:val="both"/>
              <w:rPr>
                <w:iCs/>
              </w:rPr>
            </w:pPr>
            <w:r w:rsidRPr="0044709F">
              <w:rPr>
                <w:iCs/>
              </w:rPr>
              <w:t>Attiecīgi VARAM attiecībā uz EKII konkursu projektu maksājumiem veic galvenokārt izmaksas funkciju un VIF sagatavoto priekšlikumu attiecībā uz projekta grozīšanu izskatīšanu, savukārt VIF nodrošina maksājumu pieprasījumu pārbaudi ne tikai no finansiālā, bet arī iepirkumu un projekta tehniskā progresa uzraudzības viedokļa, kā arī veic faktisko līguma grozījumu izskatīšanu un atbilstības novērtēšanu.</w:t>
            </w:r>
          </w:p>
          <w:p w14:paraId="70988CD2" w14:textId="20F39332" w:rsidR="001E58E0" w:rsidRPr="0044709F" w:rsidRDefault="001E58E0" w:rsidP="001E58E0">
            <w:pPr>
              <w:tabs>
                <w:tab w:val="left" w:pos="6491"/>
              </w:tabs>
              <w:spacing w:before="120" w:after="120"/>
              <w:ind w:left="113" w:right="238"/>
              <w:jc w:val="both"/>
              <w:rPr>
                <w:iCs/>
              </w:rPr>
            </w:pPr>
            <w:r w:rsidRPr="0044709F">
              <w:rPr>
                <w:iCs/>
              </w:rPr>
              <w:t>Izvērtējot</w:t>
            </w:r>
            <w:r>
              <w:rPr>
                <w:iCs/>
              </w:rPr>
              <w:t xml:space="preserve"> </w:t>
            </w:r>
            <w:r w:rsidRPr="0044709F">
              <w:rPr>
                <w:iCs/>
              </w:rPr>
              <w:t>augstāk minēto funkciju apmēru, ko nodrošina VIF un VARAM</w:t>
            </w:r>
            <w:r>
              <w:rPr>
                <w:iCs/>
              </w:rPr>
              <w:t xml:space="preserve"> un </w:t>
            </w:r>
            <w:r w:rsidRPr="0044709F">
              <w:rPr>
                <w:iCs/>
              </w:rPr>
              <w:t>šī brīža cilvēkresursu un laika resursu patēriņu maksājuma pieprasījuma</w:t>
            </w:r>
            <w:r w:rsidR="007B55D0">
              <w:rPr>
                <w:iCs/>
              </w:rPr>
              <w:t xml:space="preserve"> pārbaudei un izpildei</w:t>
            </w:r>
            <w:r w:rsidRPr="0044709F">
              <w:rPr>
                <w:iCs/>
              </w:rPr>
              <w:t xml:space="preserve"> (t.i. no maksājuma pieprasījuma saņemšanas brīža VIF līdz maksājuma veikšanai finansējuma saņēmēja bankas kontā, kas ietver  atzinuma nosūtīšanu, saņemšanu VARAM, VIF sagatavotā atzinuma izskatīšanu, maksājuma finansējuma saņēmējam), kas sastāda indikatīvi 6 darba dienas, kā arī projekta grozījumu izskatīšanas laiku - līdz 1 mēnesim,</w:t>
            </w:r>
            <w:r>
              <w:rPr>
                <w:iCs/>
              </w:rPr>
              <w:t xml:space="preserve"> </w:t>
            </w:r>
            <w:r w:rsidRPr="0044709F">
              <w:rPr>
                <w:iCs/>
              </w:rPr>
              <w:t xml:space="preserve">kā arī ievērojot valsts pārvaldes reformu plānā noteikto principu par funkciju centralizāciju vai nodošanu ārpakalpojumā, lai nodrošinātu racionālāku resursu patēriņu, noteikumu projekts paredz centralizēt maksājumu veikšanas un projekta grozījumu un īstenošanas uzraudzības, kā arī monitoringa </w:t>
            </w:r>
            <w:r w:rsidRPr="0044709F">
              <w:rPr>
                <w:iCs/>
              </w:rPr>
              <w:lastRenderedPageBreak/>
              <w:t xml:space="preserve">funkcijas VIF, kas jau šobrīd ir šo funkciju faktiskais īstenotājs un veicējs. </w:t>
            </w:r>
          </w:p>
          <w:p w14:paraId="275F3519" w14:textId="38FCB3BE" w:rsidR="001E58E0" w:rsidRPr="0044709F" w:rsidRDefault="001E58E0" w:rsidP="001E58E0">
            <w:pPr>
              <w:tabs>
                <w:tab w:val="left" w:pos="6491"/>
              </w:tabs>
              <w:spacing w:before="120" w:after="120"/>
              <w:ind w:left="113" w:right="238"/>
              <w:jc w:val="both"/>
              <w:rPr>
                <w:iCs/>
              </w:rPr>
            </w:pPr>
            <w:r w:rsidRPr="0044709F">
              <w:rPr>
                <w:iCs/>
              </w:rPr>
              <w:t xml:space="preserve">Ievērojot plānotās izmaiņas maksājumu veikšanas kārtībā, nebūs nepieciešams sagatavot atzinumu nosūtīšanai un izskatīt atzinumu, attiecīgi funkcija tiks veikta īsākā laika posmā, to saīsinot par indikatīvi 3-5 darba dienām. Savukārt, projekta </w:t>
            </w:r>
            <w:r w:rsidR="008E66DA">
              <w:rPr>
                <w:iCs/>
              </w:rPr>
              <w:t xml:space="preserve">Līguma </w:t>
            </w:r>
            <w:r w:rsidRPr="0044709F">
              <w:rPr>
                <w:iCs/>
              </w:rPr>
              <w:t>grozījumu izskatīšana varētu samazināties par vismaz 14-20 dienām.</w:t>
            </w:r>
          </w:p>
          <w:p w14:paraId="0A84CDA3" w14:textId="034F3DC2" w:rsidR="001E58E0" w:rsidRPr="0044709F" w:rsidRDefault="001E58E0" w:rsidP="001E58E0">
            <w:pPr>
              <w:tabs>
                <w:tab w:val="left" w:pos="6491"/>
              </w:tabs>
              <w:spacing w:before="120" w:after="120"/>
              <w:ind w:left="113" w:right="238"/>
              <w:jc w:val="both"/>
              <w:rPr>
                <w:iCs/>
              </w:rPr>
            </w:pPr>
            <w:r w:rsidRPr="0044709F">
              <w:rPr>
                <w:iCs/>
              </w:rPr>
              <w:t xml:space="preserve">Funkciju pārskatīšanas nepieciešamību VARAM ir arī konstatējusi, analizējot trešo pušu secinājumus par finanšu instrumentu īstenošanu un veicot iekšēju projektu uzraudzību izvērtēšanu. VARAM ir secinājusi, ka labākai finanšu instrumentu ieviešanai būtu nepieciešama turpmāka projektu uzraudzības centralizācija visā projekta ciklā. Ievērojot to, ka EKII projektu konkursu ieviešanas uzraudzība pēc būtības ir līdzīga </w:t>
            </w:r>
            <w:r w:rsidR="008E66DA">
              <w:rPr>
                <w:iCs/>
              </w:rPr>
              <w:t xml:space="preserve">Klimata pārmaiņu finanšu instrumenta </w:t>
            </w:r>
            <w:r w:rsidRPr="0044709F">
              <w:rPr>
                <w:iCs/>
              </w:rPr>
              <w:t>projektu konkursiem, šie secinājumi ir attiecināmi arī uz EKII.</w:t>
            </w:r>
          </w:p>
          <w:p w14:paraId="23D1999E" w14:textId="1200E597" w:rsidR="001E58E0" w:rsidRPr="0044709F" w:rsidRDefault="001E58E0" w:rsidP="001E58E0">
            <w:pPr>
              <w:tabs>
                <w:tab w:val="left" w:pos="6491"/>
              </w:tabs>
              <w:spacing w:before="120" w:after="120"/>
              <w:ind w:left="113" w:right="238"/>
              <w:jc w:val="both"/>
              <w:rPr>
                <w:iCs/>
              </w:rPr>
            </w:pPr>
            <w:r w:rsidRPr="0044709F">
              <w:rPr>
                <w:iCs/>
              </w:rPr>
              <w:t>Piedāvātie noteikumu grozījumi mazina administratīvo slogu un rada pozitīvu ietekmi un tautsaimniecību, jo:</w:t>
            </w:r>
          </w:p>
          <w:p w14:paraId="3AFF0D1A" w14:textId="149730C5" w:rsidR="001E58E0" w:rsidRPr="0044709F" w:rsidRDefault="001E58E0" w:rsidP="001E58E0">
            <w:pPr>
              <w:tabs>
                <w:tab w:val="left" w:pos="6491"/>
              </w:tabs>
              <w:spacing w:before="120" w:after="120"/>
              <w:ind w:left="113" w:right="238"/>
              <w:jc w:val="both"/>
              <w:rPr>
                <w:iCs/>
              </w:rPr>
            </w:pPr>
            <w:r>
              <w:rPr>
                <w:iCs/>
              </w:rPr>
              <w:t xml:space="preserve">• </w:t>
            </w:r>
            <w:r w:rsidRPr="0044709F">
              <w:rPr>
                <w:iCs/>
              </w:rPr>
              <w:t>tiek nodrošināta maksājumu veikšanas, projektu īstenošanas uzraudzības un monitoringa (</w:t>
            </w:r>
            <w:proofErr w:type="spellStart"/>
            <w:r w:rsidRPr="0044709F">
              <w:rPr>
                <w:iCs/>
              </w:rPr>
              <w:t>pēcieviešanas</w:t>
            </w:r>
            <w:proofErr w:type="spellEnd"/>
            <w:r w:rsidRPr="0044709F">
              <w:rPr>
                <w:iCs/>
              </w:rPr>
              <w:t xml:space="preserve">) uzraudzības funkciju centralizācija un vienkāršošana, veicot radniecisko funkciju apvienošanu vienā institūcijā, samazinot institūciju skaitu, kas piedalās projektu maksājumu un grozījumu izvērtēšanā; </w:t>
            </w:r>
          </w:p>
          <w:p w14:paraId="65A67BF4" w14:textId="77777777" w:rsidR="001E58E0" w:rsidRPr="0044709F" w:rsidRDefault="001E58E0" w:rsidP="001E58E0">
            <w:pPr>
              <w:tabs>
                <w:tab w:val="left" w:pos="6491"/>
              </w:tabs>
              <w:spacing w:before="120" w:after="120"/>
              <w:ind w:left="113" w:right="238"/>
              <w:jc w:val="both"/>
              <w:rPr>
                <w:iCs/>
              </w:rPr>
            </w:pPr>
            <w:r w:rsidRPr="0044709F">
              <w:rPr>
                <w:iCs/>
              </w:rPr>
              <w:t>•</w:t>
            </w:r>
            <w:r>
              <w:rPr>
                <w:iCs/>
              </w:rPr>
              <w:t xml:space="preserve"> </w:t>
            </w:r>
            <w:r w:rsidRPr="0044709F">
              <w:rPr>
                <w:iCs/>
              </w:rPr>
              <w:t>tiek samazināts maksājumu pieprasījumu un projekta grozījumu izskatīšanas laiks un finansējuma saņēmējiem (komersantiem, valsts pārvaldes iestādēm), tiek nodrošināta ātrāka EKII finansējuma atmaksa un projekta izmaiņu saskaņošana, kas ir būtiski projekta un finansējuma saņēmēja pozitīvas finanšu plūsmas nodrošināšanai un projektu realizācijai plānotajā termiņā;</w:t>
            </w:r>
          </w:p>
          <w:p w14:paraId="3EEE33DB" w14:textId="77777777" w:rsidR="001E58E0" w:rsidRDefault="001E58E0" w:rsidP="001E58E0">
            <w:pPr>
              <w:tabs>
                <w:tab w:val="left" w:pos="6491"/>
              </w:tabs>
              <w:spacing w:before="120" w:after="120"/>
              <w:ind w:left="113" w:right="238"/>
              <w:jc w:val="both"/>
              <w:rPr>
                <w:iCs/>
              </w:rPr>
            </w:pPr>
            <w:r w:rsidRPr="0044709F">
              <w:rPr>
                <w:iCs/>
              </w:rPr>
              <w:t>•</w:t>
            </w:r>
            <w:r>
              <w:rPr>
                <w:iCs/>
              </w:rPr>
              <w:t xml:space="preserve"> </w:t>
            </w:r>
            <w:r w:rsidRPr="0044709F">
              <w:rPr>
                <w:iCs/>
              </w:rPr>
              <w:t>tiek samazināts tiešās valsts pārvaldes iestādes (VARAM) darbinieku laika patēriņš ar projektu īstenošanu saistīto funkciju veikšanai, kas tiks novirzīts citu iestādei nozīmīgu funkciju veikšanai.</w:t>
            </w:r>
          </w:p>
          <w:p w14:paraId="534827D5" w14:textId="65E85686" w:rsidR="001E58E0" w:rsidRPr="009B5620" w:rsidRDefault="001E58E0" w:rsidP="001E58E0">
            <w:pPr>
              <w:tabs>
                <w:tab w:val="left" w:pos="6491"/>
              </w:tabs>
              <w:spacing w:before="120" w:after="120"/>
              <w:ind w:left="113" w:right="238"/>
              <w:jc w:val="both"/>
              <w:rPr>
                <w:iCs/>
              </w:rPr>
            </w:pPr>
            <w:r>
              <w:rPr>
                <w:iCs/>
              </w:rPr>
              <w:t>Arī pēc Noteikumu projekta apstiprināšanas VARAM turpinās nodrošinās ar politikas izstrādi, t.sk. projektu atklāto konkursu noliku</w:t>
            </w:r>
            <w:r w:rsidR="008E66DA">
              <w:rPr>
                <w:iCs/>
              </w:rPr>
              <w:t>mu</w:t>
            </w:r>
            <w:r>
              <w:rPr>
                <w:iCs/>
              </w:rPr>
              <w:t xml:space="preserve"> izstrādi, un ar</w:t>
            </w:r>
            <w:r w:rsidR="008E66DA">
              <w:rPr>
                <w:iCs/>
              </w:rPr>
              <w:t>ī</w:t>
            </w:r>
            <w:r>
              <w:rPr>
                <w:iCs/>
              </w:rPr>
              <w:t xml:space="preserve"> budžeta plānošanu un uzraudzību EKII apakšprogrammās, kā arī nodrošinās kontroles funkcijas, kā, piemēram, iekšējās kontroles sistēmas izstrāde un uzturēšana, </w:t>
            </w:r>
            <w:r w:rsidRPr="005F28EE">
              <w:rPr>
                <w:iCs/>
              </w:rPr>
              <w:t>VIF deleģējuma līgumos noteikto uzdevumu uzraudzības kontrole</w:t>
            </w:r>
            <w:r>
              <w:rPr>
                <w:iCs/>
              </w:rPr>
              <w:t xml:space="preserve"> (</w:t>
            </w:r>
            <w:r w:rsidRPr="005F28EE">
              <w:rPr>
                <w:iCs/>
              </w:rPr>
              <w:t xml:space="preserve">ikgadēja </w:t>
            </w:r>
            <w:r w:rsidR="008E66DA">
              <w:rPr>
                <w:iCs/>
              </w:rPr>
              <w:t xml:space="preserve">EKII darbības </w:t>
            </w:r>
            <w:r w:rsidRPr="005F28EE">
              <w:rPr>
                <w:iCs/>
              </w:rPr>
              <w:t>audita nodrošināšana</w:t>
            </w:r>
            <w:r w:rsidR="008E66DA">
              <w:rPr>
                <w:iCs/>
              </w:rPr>
              <w:t>, izmantojot ārpakalpojumu</w:t>
            </w:r>
            <w:r>
              <w:rPr>
                <w:iCs/>
              </w:rPr>
              <w:t xml:space="preserve">), </w:t>
            </w:r>
            <w:r w:rsidRPr="005F28EE">
              <w:rPr>
                <w:iCs/>
              </w:rPr>
              <w:t>VIF iekšējās kontroles sistēmu vai tā grozījumu apstiprināšanu</w:t>
            </w:r>
            <w:r>
              <w:rPr>
                <w:iCs/>
              </w:rPr>
              <w:t>, apstiprinās</w:t>
            </w:r>
            <w:r w:rsidRPr="005F28EE">
              <w:rPr>
                <w:iCs/>
              </w:rPr>
              <w:t xml:space="preserve"> projektu pārbaužu pl</w:t>
            </w:r>
            <w:r>
              <w:rPr>
                <w:iCs/>
              </w:rPr>
              <w:t>ānu un</w:t>
            </w:r>
            <w:r w:rsidRPr="005F28EE">
              <w:rPr>
                <w:iCs/>
              </w:rPr>
              <w:t xml:space="preserve"> nodrošināt tā izpildes uzraudzību</w:t>
            </w:r>
            <w:r>
              <w:rPr>
                <w:iCs/>
              </w:rPr>
              <w:t xml:space="preserve">. Savukārt VIF </w:t>
            </w:r>
            <w:r w:rsidR="008E66DA">
              <w:rPr>
                <w:iCs/>
              </w:rPr>
              <w:t>būs</w:t>
            </w:r>
            <w:r>
              <w:rPr>
                <w:iCs/>
              </w:rPr>
              <w:t xml:space="preserve"> jauni uzdevumi, t.sk. maksājumu veikšana finansējuma saņēmējiem</w:t>
            </w:r>
            <w:r w:rsidR="008E66DA">
              <w:rPr>
                <w:iCs/>
              </w:rPr>
              <w:t>,</w:t>
            </w:r>
            <w:r>
              <w:rPr>
                <w:iCs/>
              </w:rPr>
              <w:t xml:space="preserve"> </w:t>
            </w:r>
            <w:r w:rsidRPr="005F28EE">
              <w:rPr>
                <w:iCs/>
              </w:rPr>
              <w:t>papildus finansējuma pieprasījuma saga</w:t>
            </w:r>
            <w:r>
              <w:rPr>
                <w:iCs/>
              </w:rPr>
              <w:t>ta</w:t>
            </w:r>
            <w:r w:rsidRPr="005F28EE">
              <w:rPr>
                <w:iCs/>
              </w:rPr>
              <w:t>vošana VARAM pēc jaunu līgumu noslēgšanas atbilstoši naudas plūsmu prognozēm</w:t>
            </w:r>
            <w:r w:rsidR="008E66DA">
              <w:rPr>
                <w:iCs/>
              </w:rPr>
              <w:t>,</w:t>
            </w:r>
            <w:r>
              <w:rPr>
                <w:iCs/>
              </w:rPr>
              <w:t xml:space="preserve"> </w:t>
            </w:r>
            <w:r w:rsidRPr="00281446">
              <w:rPr>
                <w:iCs/>
              </w:rPr>
              <w:t xml:space="preserve"> uzskait</w:t>
            </w:r>
            <w:r w:rsidR="003A0879">
              <w:rPr>
                <w:iCs/>
              </w:rPr>
              <w:t>es</w:t>
            </w:r>
            <w:r w:rsidRPr="00281446">
              <w:rPr>
                <w:iCs/>
              </w:rPr>
              <w:t xml:space="preserve"> par projektiem izmaksātā finanšu instrumenta </w:t>
            </w:r>
            <w:r w:rsidRPr="00281446">
              <w:rPr>
                <w:iCs/>
              </w:rPr>
              <w:lastRenderedPageBreak/>
              <w:t>finansējumu, kas atzīts par neattiecināmu</w:t>
            </w:r>
            <w:r w:rsidR="008E66DA">
              <w:rPr>
                <w:iCs/>
              </w:rPr>
              <w:t xml:space="preserve"> nodrošināšana</w:t>
            </w:r>
            <w:r w:rsidR="008E66DA" w:rsidRPr="00281446">
              <w:rPr>
                <w:iCs/>
              </w:rPr>
              <w:t xml:space="preserve"> un</w:t>
            </w:r>
            <w:r w:rsidRPr="00281446">
              <w:rPr>
                <w:iCs/>
              </w:rPr>
              <w:t xml:space="preserve"> tā atgūšanu.</w:t>
            </w:r>
          </w:p>
          <w:p w14:paraId="5EFFBB00" w14:textId="77777777" w:rsidR="001E58E0" w:rsidRDefault="001E58E0" w:rsidP="001E58E0">
            <w:pPr>
              <w:tabs>
                <w:tab w:val="left" w:pos="6491"/>
              </w:tabs>
              <w:spacing w:before="120" w:after="120"/>
              <w:ind w:left="113" w:right="238"/>
              <w:jc w:val="both"/>
            </w:pPr>
            <w:r>
              <w:t xml:space="preserve">Finansējums EKII ietvaros īstenotajiem projektiem tiks veikts 33.02.00 apakšprogrammā “Emisijas kvotu izsolīšanas instrumenta projekti” izdevumu kodā  3000 “subsīdijas un dotācijas” un ik ceturksni (vai nepieciešamības gadījumā citā termiņā) tiks izmaksāts VIF atbilstoši deleģējuma līgumā noteiktajam apjomam. </w:t>
            </w:r>
          </w:p>
          <w:p w14:paraId="13B5DEF2" w14:textId="68783D73" w:rsidR="001E58E0" w:rsidRDefault="001E58E0" w:rsidP="001E58E0">
            <w:pPr>
              <w:tabs>
                <w:tab w:val="left" w:pos="6491"/>
              </w:tabs>
              <w:spacing w:before="120" w:after="120"/>
              <w:ind w:left="113" w:right="238"/>
              <w:jc w:val="both"/>
            </w:pPr>
            <w:r>
              <w:t xml:space="preserve">Finansējuma plānošana valsts budžeta apakšprogrammā tiks veikta balstoties uz projektu īstenotāju iesniegtajām maksājumu plūsmas prognozēm un to uzraudzību nodrošinās VIF sadarbībā ar </w:t>
            </w:r>
            <w:r w:rsidR="003A0879">
              <w:t>VARAM</w:t>
            </w:r>
            <w:r>
              <w:t xml:space="preserve">. Arī turpmāk budžeta līdzekļu plānošanā EKII ietvaros īstenotajiem projektiem </w:t>
            </w:r>
            <w:r w:rsidR="00C2432E">
              <w:t>tiks</w:t>
            </w:r>
            <w:r>
              <w:t xml:space="preserve"> veikta atbilstoši Ministru kabineta 2016.</w:t>
            </w:r>
            <w:r w:rsidR="00C2432E">
              <w:t> </w:t>
            </w:r>
            <w:r>
              <w:t>gada 31.</w:t>
            </w:r>
            <w:r w:rsidR="00C2432E">
              <w:t> </w:t>
            </w:r>
            <w:r>
              <w:t>maija sēdes protokolā Nr.</w:t>
            </w:r>
            <w:r w:rsidR="00C2432E">
              <w:t> </w:t>
            </w:r>
            <w:r>
              <w:t>26, 39.§ 6.19.</w:t>
            </w:r>
            <w:r w:rsidR="00C2432E">
              <w:t> </w:t>
            </w:r>
            <w:r>
              <w:t>apakšpunktā noteiktajam.</w:t>
            </w:r>
          </w:p>
          <w:p w14:paraId="4336ABA0" w14:textId="4774887B" w:rsidR="001E58E0" w:rsidRDefault="001E58E0" w:rsidP="001E58E0">
            <w:pPr>
              <w:tabs>
                <w:tab w:val="left" w:pos="6491"/>
              </w:tabs>
              <w:spacing w:before="120" w:after="120"/>
              <w:ind w:left="113" w:right="238"/>
              <w:jc w:val="both"/>
              <w:rPr>
                <w:sz w:val="28"/>
                <w:szCs w:val="28"/>
              </w:rPr>
            </w:pPr>
            <w:r w:rsidRPr="004C3A34">
              <w:t xml:space="preserve">Visi noslēgtie trīspusējie līgumi saskaņā ar </w:t>
            </w:r>
            <w:r w:rsidR="00121C40">
              <w:t>n</w:t>
            </w:r>
            <w:r w:rsidR="00C2432E">
              <w:t xml:space="preserve">oteikumu projekta </w:t>
            </w:r>
            <w:r w:rsidRPr="004C3A34">
              <w:t>6</w:t>
            </w:r>
            <w:r>
              <w:t>3</w:t>
            </w:r>
            <w:r w:rsidRPr="004C3A34">
              <w:t>.</w:t>
            </w:r>
            <w:r w:rsidR="00C2432E">
              <w:t> </w:t>
            </w:r>
            <w:r w:rsidRPr="004C3A34">
              <w:t>punktu būs jā</w:t>
            </w:r>
            <w:r w:rsidR="00C2432E">
              <w:t>groza</w:t>
            </w:r>
            <w:r>
              <w:t>,</w:t>
            </w:r>
            <w:r w:rsidRPr="004C3A34">
              <w:t xml:space="preserve"> </w:t>
            </w:r>
            <w:r>
              <w:t>grozot tos atbilstoši izmaiņām, kas izriet no šī Noteikumu projekta</w:t>
            </w:r>
            <w:r>
              <w:rPr>
                <w:sz w:val="28"/>
                <w:szCs w:val="28"/>
              </w:rPr>
              <w:t>.</w:t>
            </w:r>
          </w:p>
          <w:p w14:paraId="6BE628DD" w14:textId="3255A3DC" w:rsidR="003C4DCA" w:rsidRPr="00574811" w:rsidRDefault="008900BD" w:rsidP="006C596A">
            <w:pPr>
              <w:tabs>
                <w:tab w:val="left" w:pos="6491"/>
              </w:tabs>
              <w:ind w:left="112" w:right="236"/>
              <w:jc w:val="both"/>
              <w:rPr>
                <w:iCs/>
              </w:rPr>
            </w:pPr>
            <w:r>
              <w:t xml:space="preserve">Noteikumu projekts sagatavots, lai </w:t>
            </w:r>
            <w:r w:rsidR="006C596A">
              <w:t>EKII</w:t>
            </w:r>
            <w:r>
              <w:t xml:space="preserve"> ietvaros sākot ar 2020. gada 1. janvāri visus uzdevumus, kas saistīti ar projektu uzraudzību līdz monitoringa termiņa beigām, kā arī finansējuma atgūšanu, varētu deleģēt VIF.</w:t>
            </w:r>
          </w:p>
        </w:tc>
      </w:tr>
      <w:tr w:rsidR="0030341E" w:rsidRPr="00250B3C"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39EC92D5" w:rsidR="0030341E" w:rsidRPr="00250B3C" w:rsidRDefault="001A7349" w:rsidP="0030341E">
            <w:pPr>
              <w:rPr>
                <w:color w:val="000000"/>
              </w:rPr>
            </w:pPr>
            <w:r w:rsidRPr="00250B3C">
              <w:rPr>
                <w:color w:val="000000"/>
              </w:rPr>
              <w:lastRenderedPageBreak/>
              <w:t>3</w:t>
            </w:r>
            <w:r w:rsidR="0030341E"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250B3C" w:rsidRDefault="0030341E" w:rsidP="0030341E">
            <w:pPr>
              <w:rPr>
                <w:color w:val="000000"/>
              </w:rPr>
            </w:pPr>
            <w:r w:rsidRPr="00250B3C">
              <w:rPr>
                <w:color w:val="000000"/>
              </w:rPr>
              <w:t>Projekta izstrādē iesaistītās institūcijas</w:t>
            </w:r>
            <w:r w:rsidR="00F47D5E" w:rsidRPr="00250B3C">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3A48102" w14:textId="2E626C95" w:rsidR="0030341E" w:rsidRPr="00250B3C" w:rsidRDefault="007E53F1" w:rsidP="003A09C1">
            <w:pPr>
              <w:jc w:val="both"/>
              <w:rPr>
                <w:color w:val="000000"/>
              </w:rPr>
            </w:pPr>
            <w:r>
              <w:rPr>
                <w:color w:val="000000"/>
              </w:rPr>
              <w:t>N</w:t>
            </w:r>
            <w:r w:rsidR="004B0FC9">
              <w:rPr>
                <w:color w:val="000000"/>
              </w:rPr>
              <w:t>oteikumu projektu sagatavoja VARAM.</w:t>
            </w:r>
          </w:p>
        </w:tc>
      </w:tr>
      <w:tr w:rsidR="00114052" w:rsidRPr="00250B3C"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250B3C" w:rsidRDefault="001A7349" w:rsidP="0030341E">
            <w:pPr>
              <w:rPr>
                <w:color w:val="000000"/>
              </w:rPr>
            </w:pPr>
            <w:r w:rsidRPr="00250B3C">
              <w:rPr>
                <w:color w:val="000000"/>
              </w:rPr>
              <w:t>4</w:t>
            </w:r>
            <w:r w:rsidR="00114052"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250B3C" w:rsidRDefault="00114052" w:rsidP="0030341E">
            <w:pPr>
              <w:rPr>
                <w:color w:val="000000"/>
              </w:rPr>
            </w:pPr>
            <w:r w:rsidRPr="00250B3C">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14:paraId="1AAAE16A" w14:textId="77777777" w:rsidR="0052358E" w:rsidRPr="00250B3C" w:rsidRDefault="00826C2E" w:rsidP="001F66D1">
            <w:pPr>
              <w:jc w:val="both"/>
              <w:rPr>
                <w:color w:val="000000"/>
              </w:rPr>
            </w:pPr>
            <w:r w:rsidRPr="00250B3C">
              <w:rPr>
                <w:color w:val="000000"/>
              </w:rPr>
              <w:t>Nav.</w:t>
            </w:r>
          </w:p>
        </w:tc>
      </w:tr>
    </w:tbl>
    <w:p w14:paraId="2DAEF48B" w14:textId="77777777" w:rsidR="00C318BB" w:rsidRPr="00250B3C"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3"/>
        <w:gridCol w:w="2019"/>
        <w:gridCol w:w="6694"/>
      </w:tblGrid>
      <w:tr w:rsidR="00115550" w:rsidRPr="00250B3C" w14:paraId="47471233" w14:textId="77777777" w:rsidTr="008900BD">
        <w:tc>
          <w:tcPr>
            <w:tcW w:w="9102"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250B3C" w:rsidRDefault="00115550" w:rsidP="001A7349">
            <w:pPr>
              <w:jc w:val="center"/>
              <w:rPr>
                <w:b/>
                <w:bCs/>
                <w:color w:val="000000"/>
              </w:rPr>
            </w:pPr>
            <w:r w:rsidRPr="00250B3C">
              <w:rPr>
                <w:b/>
                <w:bCs/>
                <w:color w:val="000000"/>
              </w:rPr>
              <w:t xml:space="preserve">II. </w:t>
            </w:r>
            <w:r w:rsidR="001A7349" w:rsidRPr="00250B3C">
              <w:rPr>
                <w:b/>
                <w:bCs/>
                <w:color w:val="000000"/>
              </w:rPr>
              <w:t>Tiesību akta projekta ietekme uz sabiedrību, tautsaimniecības attīstību</w:t>
            </w:r>
          </w:p>
          <w:p w14:paraId="08051D70" w14:textId="77777777" w:rsidR="00115550" w:rsidRPr="00250B3C" w:rsidRDefault="001A7349" w:rsidP="001A7349">
            <w:pPr>
              <w:jc w:val="center"/>
              <w:rPr>
                <w:b/>
                <w:bCs/>
                <w:color w:val="000000"/>
              </w:rPr>
            </w:pPr>
            <w:r w:rsidRPr="00250B3C">
              <w:rPr>
                <w:b/>
                <w:bCs/>
                <w:color w:val="000000"/>
              </w:rPr>
              <w:t>un administratīvo slogu</w:t>
            </w:r>
          </w:p>
        </w:tc>
      </w:tr>
      <w:tr w:rsidR="008900BD" w:rsidRPr="00250B3C" w14:paraId="0FF5CE32" w14:textId="77777777" w:rsidTr="008900BD">
        <w:tc>
          <w:tcPr>
            <w:tcW w:w="315" w:type="dxa"/>
            <w:tcBorders>
              <w:top w:val="outset" w:sz="6" w:space="0" w:color="000000"/>
              <w:left w:val="outset" w:sz="6" w:space="0" w:color="000000"/>
              <w:bottom w:val="outset" w:sz="6" w:space="0" w:color="000000"/>
              <w:right w:val="outset" w:sz="6" w:space="0" w:color="000000"/>
            </w:tcBorders>
          </w:tcPr>
          <w:p w14:paraId="0C92176E" w14:textId="77777777" w:rsidR="008900BD" w:rsidRPr="00250B3C" w:rsidRDefault="008900BD" w:rsidP="008900BD">
            <w:pPr>
              <w:rPr>
                <w:color w:val="000000"/>
              </w:rPr>
            </w:pPr>
            <w:r w:rsidRPr="00250B3C">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14:paraId="5B9995D3" w14:textId="7BB9C68D" w:rsidR="008900BD" w:rsidRPr="00250B3C" w:rsidRDefault="008900BD" w:rsidP="008900BD">
            <w:pPr>
              <w:rPr>
                <w:color w:val="000000"/>
              </w:rPr>
            </w:pPr>
            <w:r w:rsidRPr="00250B3C">
              <w:rPr>
                <w:color w:val="000000"/>
              </w:rPr>
              <w:t>Sabiedrības mērķgrupas, kuras tiesiskais regulējums ietekmē vai varētu ietekmēt</w:t>
            </w:r>
          </w:p>
        </w:tc>
        <w:tc>
          <w:tcPr>
            <w:tcW w:w="6751" w:type="dxa"/>
            <w:tcBorders>
              <w:top w:val="outset" w:sz="6" w:space="0" w:color="000000"/>
              <w:left w:val="outset" w:sz="6" w:space="0" w:color="000000"/>
              <w:bottom w:val="outset" w:sz="6" w:space="0" w:color="000000"/>
              <w:right w:val="outset" w:sz="6" w:space="0" w:color="000000"/>
            </w:tcBorders>
          </w:tcPr>
          <w:p w14:paraId="2E15A8B4" w14:textId="4A94CD1F" w:rsidR="008900BD" w:rsidRPr="00250B3C" w:rsidRDefault="008900BD" w:rsidP="008900BD">
            <w:pPr>
              <w:ind w:left="59" w:right="142"/>
              <w:jc w:val="both"/>
              <w:rPr>
                <w:bCs/>
              </w:rPr>
            </w:pPr>
            <w:r w:rsidRPr="009B5620">
              <w:t>Noteikumu projektā ietvertais tiesiskais regulējums attiecas uz finansējuma saņēmējiem, VIF un VARAM.</w:t>
            </w:r>
          </w:p>
        </w:tc>
      </w:tr>
      <w:tr w:rsidR="008900BD" w:rsidRPr="00250B3C" w14:paraId="1ECEA4AA" w14:textId="77777777" w:rsidTr="008900BD">
        <w:tc>
          <w:tcPr>
            <w:tcW w:w="315" w:type="dxa"/>
            <w:tcBorders>
              <w:top w:val="outset" w:sz="6" w:space="0" w:color="000000"/>
              <w:left w:val="outset" w:sz="6" w:space="0" w:color="000000"/>
              <w:bottom w:val="outset" w:sz="6" w:space="0" w:color="000000"/>
              <w:right w:val="outset" w:sz="6" w:space="0" w:color="000000"/>
            </w:tcBorders>
          </w:tcPr>
          <w:p w14:paraId="63F40E9B" w14:textId="77777777" w:rsidR="008900BD" w:rsidRPr="00250B3C" w:rsidRDefault="008900BD" w:rsidP="008900BD">
            <w:pPr>
              <w:rPr>
                <w:color w:val="000000"/>
              </w:rPr>
            </w:pPr>
            <w:r w:rsidRPr="00250B3C">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14:paraId="24E1443A" w14:textId="77777777" w:rsidR="008900BD" w:rsidRPr="00250B3C" w:rsidRDefault="008900BD" w:rsidP="008900BD">
            <w:pPr>
              <w:rPr>
                <w:color w:val="000000"/>
              </w:rPr>
            </w:pPr>
            <w:r w:rsidRPr="00250B3C">
              <w:rPr>
                <w:color w:val="000000"/>
              </w:rPr>
              <w:t>Tiesiskā regulējuma ietekme uz tautsaimniecību un administratīvo slogu</w:t>
            </w:r>
          </w:p>
        </w:tc>
        <w:tc>
          <w:tcPr>
            <w:tcW w:w="6751" w:type="dxa"/>
            <w:tcBorders>
              <w:top w:val="outset" w:sz="6" w:space="0" w:color="000000"/>
              <w:left w:val="outset" w:sz="6" w:space="0" w:color="000000"/>
              <w:bottom w:val="outset" w:sz="6" w:space="0" w:color="000000"/>
              <w:right w:val="outset" w:sz="6" w:space="0" w:color="000000"/>
            </w:tcBorders>
          </w:tcPr>
          <w:p w14:paraId="67DDFED2" w14:textId="77777777" w:rsidR="008900BD" w:rsidRPr="009B5620" w:rsidRDefault="008900BD" w:rsidP="008900BD">
            <w:pPr>
              <w:spacing w:before="120" w:after="120"/>
              <w:ind w:left="59"/>
              <w:jc w:val="both"/>
            </w:pPr>
            <w:r w:rsidRPr="009B5620">
              <w:rPr>
                <w:iCs/>
              </w:rPr>
              <w:t>Noteikumu projekts neparedz ietekmi uz tautsaimniecību.</w:t>
            </w:r>
          </w:p>
          <w:p w14:paraId="71031878" w14:textId="4A85A983" w:rsidR="008900BD" w:rsidRPr="00250B3C" w:rsidRDefault="008900BD" w:rsidP="008900BD">
            <w:pPr>
              <w:pStyle w:val="naiskr"/>
              <w:spacing w:before="0" w:after="0"/>
              <w:ind w:left="59" w:right="142"/>
              <w:jc w:val="both"/>
            </w:pPr>
            <w:r w:rsidRPr="009B5620">
              <w:t>Nav identificēts administratīvā sloga palielinājums finansējuma saņēmējiem. Administratīvais slogs palielināsies VIF, lai nodrošinātu Atsevišķu pārvaldes uzdevumu deleģēšanas līgumā ietverto funkciju īstenošanu.</w:t>
            </w:r>
          </w:p>
        </w:tc>
      </w:tr>
      <w:tr w:rsidR="008900BD" w:rsidRPr="00250B3C" w14:paraId="394E8BE9" w14:textId="77777777" w:rsidTr="008900BD">
        <w:tc>
          <w:tcPr>
            <w:tcW w:w="315" w:type="dxa"/>
            <w:tcBorders>
              <w:top w:val="outset" w:sz="6" w:space="0" w:color="000000"/>
              <w:left w:val="outset" w:sz="6" w:space="0" w:color="000000"/>
              <w:bottom w:val="outset" w:sz="6" w:space="0" w:color="000000"/>
              <w:right w:val="outset" w:sz="6" w:space="0" w:color="000000"/>
            </w:tcBorders>
          </w:tcPr>
          <w:p w14:paraId="788FC4FA" w14:textId="77777777" w:rsidR="008900BD" w:rsidRPr="00250B3C" w:rsidRDefault="008900BD" w:rsidP="008900BD">
            <w:pPr>
              <w:rPr>
                <w:color w:val="000000"/>
              </w:rPr>
            </w:pPr>
            <w:r w:rsidRPr="00250B3C">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14:paraId="3E84A601" w14:textId="77777777" w:rsidR="008900BD" w:rsidRPr="00250B3C" w:rsidRDefault="008900BD" w:rsidP="008900BD">
            <w:pPr>
              <w:rPr>
                <w:color w:val="000000"/>
              </w:rPr>
            </w:pPr>
            <w:r w:rsidRPr="00250B3C">
              <w:rPr>
                <w:color w:val="000000"/>
              </w:rPr>
              <w:t>Administratīvo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1E13F85" w14:textId="0F78526C" w:rsidR="008900BD" w:rsidRPr="00250B3C" w:rsidRDefault="008900BD" w:rsidP="008900BD">
            <w:pPr>
              <w:pStyle w:val="naiskr"/>
              <w:spacing w:before="0" w:after="0"/>
              <w:ind w:left="59" w:right="142"/>
              <w:jc w:val="both"/>
              <w:rPr>
                <w:color w:val="FF0000"/>
              </w:rPr>
            </w:pPr>
            <w:r w:rsidRPr="009B5620">
              <w:t>Izmaksas deleģēto funkciju veikšanai VIF plānots segt no valsts budžeta programmas 33.01.00 “Emisijas kvotu izsolīšanas instrumenta administrācija”.</w:t>
            </w:r>
          </w:p>
        </w:tc>
      </w:tr>
      <w:tr w:rsidR="008900BD" w:rsidRPr="00250B3C" w14:paraId="3BDD4DEB" w14:textId="77777777" w:rsidTr="008900BD">
        <w:trPr>
          <w:trHeight w:val="397"/>
        </w:trPr>
        <w:tc>
          <w:tcPr>
            <w:tcW w:w="315" w:type="dxa"/>
            <w:tcBorders>
              <w:top w:val="outset" w:sz="6" w:space="0" w:color="000000"/>
              <w:left w:val="outset" w:sz="6" w:space="0" w:color="000000"/>
              <w:bottom w:val="outset" w:sz="6" w:space="0" w:color="000000"/>
              <w:right w:val="outset" w:sz="6" w:space="0" w:color="000000"/>
            </w:tcBorders>
          </w:tcPr>
          <w:p w14:paraId="155A4523" w14:textId="77777777" w:rsidR="008900BD" w:rsidRPr="00250B3C" w:rsidRDefault="008900BD" w:rsidP="008900BD">
            <w:pPr>
              <w:rPr>
                <w:color w:val="000000"/>
              </w:rPr>
            </w:pPr>
            <w:r w:rsidRPr="00250B3C">
              <w:rPr>
                <w:color w:val="000000"/>
              </w:rPr>
              <w:lastRenderedPageBreak/>
              <w:t>4.</w:t>
            </w:r>
          </w:p>
        </w:tc>
        <w:tc>
          <w:tcPr>
            <w:tcW w:w="2036" w:type="dxa"/>
            <w:tcBorders>
              <w:top w:val="outset" w:sz="6" w:space="0" w:color="000000"/>
              <w:left w:val="outset" w:sz="6" w:space="0" w:color="000000"/>
              <w:bottom w:val="outset" w:sz="6" w:space="0" w:color="000000"/>
              <w:right w:val="outset" w:sz="6" w:space="0" w:color="000000"/>
            </w:tcBorders>
          </w:tcPr>
          <w:p w14:paraId="431B11E0" w14:textId="77777777" w:rsidR="008900BD" w:rsidRPr="00250B3C" w:rsidRDefault="008900BD" w:rsidP="008900BD">
            <w:pPr>
              <w:rPr>
                <w:color w:val="000000"/>
              </w:rPr>
            </w:pPr>
            <w:r w:rsidRPr="00250B3C">
              <w:rPr>
                <w:color w:val="000000"/>
              </w:rPr>
              <w:t>Atbilstības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089A721" w14:textId="5ADCA9D9" w:rsidR="008900BD" w:rsidRPr="00250B3C" w:rsidRDefault="008900BD" w:rsidP="008900BD">
            <w:pPr>
              <w:ind w:left="59"/>
              <w:jc w:val="both"/>
              <w:rPr>
                <w:color w:val="000000"/>
              </w:rPr>
            </w:pPr>
            <w:r w:rsidRPr="009B5620">
              <w:t>Projekts šo jomu neskar.</w:t>
            </w:r>
          </w:p>
        </w:tc>
      </w:tr>
      <w:tr w:rsidR="008900BD" w:rsidRPr="00250B3C" w14:paraId="047B8FA8" w14:textId="77777777" w:rsidTr="008900BD">
        <w:trPr>
          <w:trHeight w:val="397"/>
        </w:trPr>
        <w:tc>
          <w:tcPr>
            <w:tcW w:w="315" w:type="dxa"/>
            <w:tcBorders>
              <w:top w:val="outset" w:sz="6" w:space="0" w:color="000000"/>
              <w:left w:val="outset" w:sz="6" w:space="0" w:color="000000"/>
              <w:bottom w:val="outset" w:sz="6" w:space="0" w:color="000000"/>
              <w:right w:val="outset" w:sz="6" w:space="0" w:color="000000"/>
            </w:tcBorders>
          </w:tcPr>
          <w:p w14:paraId="3402FB4D" w14:textId="77777777" w:rsidR="008900BD" w:rsidRPr="00250B3C" w:rsidRDefault="008900BD" w:rsidP="008900BD">
            <w:pPr>
              <w:rPr>
                <w:color w:val="000000"/>
              </w:rPr>
            </w:pPr>
            <w:r w:rsidRPr="00250B3C">
              <w:rPr>
                <w:color w:val="000000"/>
              </w:rPr>
              <w:t>5.</w:t>
            </w:r>
          </w:p>
        </w:tc>
        <w:tc>
          <w:tcPr>
            <w:tcW w:w="2036" w:type="dxa"/>
            <w:tcBorders>
              <w:top w:val="outset" w:sz="6" w:space="0" w:color="000000"/>
              <w:left w:val="outset" w:sz="6" w:space="0" w:color="000000"/>
              <w:bottom w:val="outset" w:sz="6" w:space="0" w:color="000000"/>
              <w:right w:val="outset" w:sz="6" w:space="0" w:color="000000"/>
            </w:tcBorders>
          </w:tcPr>
          <w:p w14:paraId="716F907C" w14:textId="77777777" w:rsidR="008900BD" w:rsidRPr="00250B3C" w:rsidRDefault="008900BD" w:rsidP="008900BD">
            <w:pPr>
              <w:rPr>
                <w:color w:val="000000"/>
              </w:rPr>
            </w:pPr>
            <w:r w:rsidRPr="00250B3C">
              <w:rPr>
                <w:color w:val="000000"/>
              </w:rPr>
              <w:t>Cita informācija</w:t>
            </w:r>
          </w:p>
        </w:tc>
        <w:tc>
          <w:tcPr>
            <w:tcW w:w="6751" w:type="dxa"/>
            <w:tcBorders>
              <w:top w:val="outset" w:sz="6" w:space="0" w:color="000000"/>
              <w:left w:val="outset" w:sz="6" w:space="0" w:color="000000"/>
              <w:bottom w:val="outset" w:sz="6" w:space="0" w:color="000000"/>
              <w:right w:val="outset" w:sz="6" w:space="0" w:color="000000"/>
            </w:tcBorders>
          </w:tcPr>
          <w:p w14:paraId="6006EB3E" w14:textId="108C8D47" w:rsidR="008900BD" w:rsidRPr="00250B3C" w:rsidRDefault="008900BD" w:rsidP="008900BD">
            <w:pPr>
              <w:ind w:left="59"/>
              <w:rPr>
                <w:color w:val="000000"/>
              </w:rPr>
            </w:pPr>
            <w:r w:rsidRPr="009B5620">
              <w:t>Nav</w:t>
            </w:r>
          </w:p>
        </w:tc>
      </w:tr>
    </w:tbl>
    <w:p w14:paraId="1342C340" w14:textId="77777777" w:rsidR="00993F89" w:rsidRDefault="00993F89" w:rsidP="009E31BC">
      <w:pPr>
        <w:rPr>
          <w:color w:val="000000"/>
        </w:rPr>
      </w:pPr>
    </w:p>
    <w:p w14:paraId="28FE52CF" w14:textId="77777777" w:rsidR="008900BD" w:rsidRPr="009B5620" w:rsidRDefault="008900BD" w:rsidP="008900BD"/>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82"/>
      </w:tblGrid>
      <w:tr w:rsidR="008900BD" w:rsidRPr="009B5620" w14:paraId="1D3C9736" w14:textId="77777777" w:rsidTr="006C596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3FBBA884" w14:textId="77777777" w:rsidR="008900BD" w:rsidRPr="009B5620" w:rsidRDefault="008900BD" w:rsidP="003A0879">
            <w:pPr>
              <w:jc w:val="center"/>
              <w:rPr>
                <w:b/>
                <w:bCs/>
                <w:iCs/>
              </w:rPr>
            </w:pPr>
            <w:r w:rsidRPr="009B5620">
              <w:rPr>
                <w:b/>
                <w:bCs/>
                <w:iCs/>
              </w:rPr>
              <w:t>III. Tiesību akta projekta ietekme uz valsts budžetu un pašvaldību budžetiem</w:t>
            </w:r>
          </w:p>
        </w:tc>
      </w:tr>
      <w:tr w:rsidR="008900BD" w:rsidRPr="009B5620" w14:paraId="223AF6EB" w14:textId="77777777" w:rsidTr="006C596A">
        <w:trPr>
          <w:tblCellSpacing w:w="15" w:type="dxa"/>
        </w:trPr>
        <w:tc>
          <w:tcPr>
            <w:tcW w:w="885" w:type="pct"/>
            <w:vMerge w:val="restart"/>
            <w:tcBorders>
              <w:top w:val="outset" w:sz="6" w:space="0" w:color="auto"/>
              <w:left w:val="outset" w:sz="6" w:space="0" w:color="auto"/>
              <w:bottom w:val="outset" w:sz="6" w:space="0" w:color="auto"/>
              <w:right w:val="outset" w:sz="6" w:space="0" w:color="auto"/>
            </w:tcBorders>
            <w:vAlign w:val="center"/>
            <w:hideMark/>
          </w:tcPr>
          <w:p w14:paraId="3881C27E" w14:textId="77777777" w:rsidR="008900BD" w:rsidRPr="009B5620" w:rsidRDefault="008900BD" w:rsidP="003A0879">
            <w:pPr>
              <w:jc w:val="center"/>
              <w:rPr>
                <w:iCs/>
              </w:rPr>
            </w:pPr>
            <w:r w:rsidRPr="009B5620">
              <w:rPr>
                <w:iCs/>
              </w:rPr>
              <w:t>Rādītāji</w:t>
            </w:r>
          </w:p>
        </w:tc>
        <w:tc>
          <w:tcPr>
            <w:tcW w:w="109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50F2760" w14:textId="77777777" w:rsidR="008900BD" w:rsidRPr="009B5620" w:rsidRDefault="008900BD" w:rsidP="003A0879">
            <w:pPr>
              <w:rPr>
                <w:iCs/>
              </w:rPr>
            </w:pPr>
            <w:r w:rsidRPr="009B5620">
              <w:rPr>
                <w:iCs/>
              </w:rPr>
              <w:t>2019. gads</w:t>
            </w:r>
          </w:p>
        </w:tc>
        <w:tc>
          <w:tcPr>
            <w:tcW w:w="2954" w:type="pct"/>
            <w:gridSpan w:val="5"/>
            <w:tcBorders>
              <w:top w:val="outset" w:sz="6" w:space="0" w:color="auto"/>
              <w:left w:val="outset" w:sz="6" w:space="0" w:color="auto"/>
              <w:bottom w:val="outset" w:sz="6" w:space="0" w:color="auto"/>
              <w:right w:val="outset" w:sz="6" w:space="0" w:color="auto"/>
            </w:tcBorders>
            <w:vAlign w:val="center"/>
            <w:hideMark/>
          </w:tcPr>
          <w:p w14:paraId="11667248" w14:textId="77777777" w:rsidR="008900BD" w:rsidRPr="009B5620" w:rsidRDefault="008900BD" w:rsidP="003A0879">
            <w:pPr>
              <w:rPr>
                <w:iCs/>
              </w:rPr>
            </w:pPr>
            <w:r w:rsidRPr="009B5620">
              <w:rPr>
                <w:iCs/>
              </w:rPr>
              <w:t>Turpmākie trīs gadi (</w:t>
            </w:r>
            <w:proofErr w:type="spellStart"/>
            <w:r w:rsidRPr="009B5620">
              <w:rPr>
                <w:i/>
                <w:iCs/>
              </w:rPr>
              <w:t>euro</w:t>
            </w:r>
            <w:proofErr w:type="spellEnd"/>
            <w:r w:rsidRPr="009B5620">
              <w:rPr>
                <w:iCs/>
              </w:rPr>
              <w:t>)</w:t>
            </w:r>
          </w:p>
        </w:tc>
      </w:tr>
      <w:tr w:rsidR="008900BD" w:rsidRPr="009B5620" w14:paraId="637A6693" w14:textId="77777777" w:rsidTr="006C596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1F6924" w14:textId="77777777" w:rsidR="008900BD" w:rsidRPr="009B5620" w:rsidRDefault="008900BD" w:rsidP="003A0879">
            <w:pPr>
              <w:rPr>
                <w:i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F1166C5" w14:textId="77777777" w:rsidR="008900BD" w:rsidRPr="009B5620" w:rsidRDefault="008900BD" w:rsidP="003A0879">
            <w:pPr>
              <w:rPr>
                <w:iCs/>
              </w:rPr>
            </w:pP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29A03B21" w14:textId="77777777" w:rsidR="008900BD" w:rsidRPr="009B5620" w:rsidRDefault="008900BD" w:rsidP="003A0879">
            <w:pPr>
              <w:rPr>
                <w:iCs/>
              </w:rPr>
            </w:pPr>
            <w:r w:rsidRPr="009B5620">
              <w:rPr>
                <w:iCs/>
              </w:rPr>
              <w:t>2020.</w:t>
            </w: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0309373C" w14:textId="77777777" w:rsidR="008900BD" w:rsidRPr="009B5620" w:rsidRDefault="008900BD" w:rsidP="003A0879">
            <w:pPr>
              <w:rPr>
                <w:iCs/>
              </w:rPr>
            </w:pPr>
            <w:r w:rsidRPr="009B5620">
              <w:rPr>
                <w:iCs/>
              </w:rPr>
              <w:t>2021.</w:t>
            </w:r>
          </w:p>
        </w:tc>
        <w:tc>
          <w:tcPr>
            <w:tcW w:w="836" w:type="pct"/>
            <w:tcBorders>
              <w:top w:val="outset" w:sz="6" w:space="0" w:color="auto"/>
              <w:left w:val="outset" w:sz="6" w:space="0" w:color="auto"/>
              <w:bottom w:val="outset" w:sz="6" w:space="0" w:color="auto"/>
              <w:right w:val="outset" w:sz="6" w:space="0" w:color="auto"/>
            </w:tcBorders>
            <w:vAlign w:val="center"/>
            <w:hideMark/>
          </w:tcPr>
          <w:p w14:paraId="1398AEE6" w14:textId="77777777" w:rsidR="008900BD" w:rsidRPr="009B5620" w:rsidRDefault="008900BD" w:rsidP="003A0879">
            <w:pPr>
              <w:rPr>
                <w:iCs/>
              </w:rPr>
            </w:pPr>
            <w:r w:rsidRPr="009B5620">
              <w:rPr>
                <w:iCs/>
              </w:rPr>
              <w:t>2022.</w:t>
            </w:r>
          </w:p>
        </w:tc>
      </w:tr>
      <w:tr w:rsidR="008900BD" w:rsidRPr="009B5620" w14:paraId="38C53029" w14:textId="77777777" w:rsidTr="006C596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BE0F02" w14:textId="77777777" w:rsidR="008900BD" w:rsidRPr="009B5620" w:rsidRDefault="008900BD" w:rsidP="003A0879">
            <w:pPr>
              <w:rPr>
                <w:iCs/>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3B52B85D" w14:textId="77777777" w:rsidR="008900BD" w:rsidRPr="009B5620" w:rsidRDefault="008900BD" w:rsidP="003A0879">
            <w:pPr>
              <w:rPr>
                <w:iCs/>
              </w:rPr>
            </w:pPr>
            <w:r w:rsidRPr="009B5620">
              <w:rPr>
                <w:iCs/>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778C31" w14:textId="77777777" w:rsidR="008900BD" w:rsidRPr="009B5620" w:rsidRDefault="008900BD" w:rsidP="003A0879">
            <w:pPr>
              <w:rPr>
                <w:iCs/>
              </w:rPr>
            </w:pPr>
            <w:r w:rsidRPr="009B5620">
              <w:rPr>
                <w:iCs/>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84A2DC8" w14:textId="77777777" w:rsidR="008900BD" w:rsidRPr="009B5620" w:rsidRDefault="008900BD" w:rsidP="003A0879">
            <w:pPr>
              <w:rPr>
                <w:iCs/>
              </w:rPr>
            </w:pPr>
            <w:r w:rsidRPr="009B5620">
              <w:rPr>
                <w:iCs/>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CB46C5" w14:textId="77777777" w:rsidR="008900BD" w:rsidRPr="009B5620" w:rsidRDefault="008900BD" w:rsidP="003A0879">
            <w:pPr>
              <w:rPr>
                <w:iCs/>
              </w:rPr>
            </w:pPr>
            <w:r w:rsidRPr="009B5620">
              <w:rPr>
                <w:iCs/>
              </w:rPr>
              <w:t>izmaiņas, salīdzinot ar vidēja termiņa budžeta ietvaru 2020.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166C9BD" w14:textId="77777777" w:rsidR="008900BD" w:rsidRPr="009B5620" w:rsidRDefault="008900BD" w:rsidP="003A0879">
            <w:pPr>
              <w:rPr>
                <w:iCs/>
              </w:rPr>
            </w:pPr>
            <w:r w:rsidRPr="009B5620">
              <w:rPr>
                <w:iCs/>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5606CA" w14:textId="77777777" w:rsidR="008900BD" w:rsidRPr="009B5620" w:rsidRDefault="008900BD" w:rsidP="003A0879">
            <w:pPr>
              <w:rPr>
                <w:iCs/>
              </w:rPr>
            </w:pPr>
            <w:r w:rsidRPr="009B5620">
              <w:rPr>
                <w:iCs/>
              </w:rPr>
              <w:t>izmaiņas, salīdzinot ar vidēja termiņa budžeta ietvaru 2021. gadam</w:t>
            </w:r>
          </w:p>
        </w:tc>
        <w:tc>
          <w:tcPr>
            <w:tcW w:w="836" w:type="pct"/>
            <w:tcBorders>
              <w:top w:val="outset" w:sz="6" w:space="0" w:color="auto"/>
              <w:left w:val="outset" w:sz="6" w:space="0" w:color="auto"/>
              <w:bottom w:val="outset" w:sz="6" w:space="0" w:color="auto"/>
              <w:right w:val="outset" w:sz="6" w:space="0" w:color="auto"/>
            </w:tcBorders>
            <w:vAlign w:val="center"/>
            <w:hideMark/>
          </w:tcPr>
          <w:p w14:paraId="024F56E5" w14:textId="77777777" w:rsidR="008900BD" w:rsidRPr="009B5620" w:rsidRDefault="008900BD" w:rsidP="003A0879">
            <w:pPr>
              <w:rPr>
                <w:iCs/>
              </w:rPr>
            </w:pPr>
            <w:r w:rsidRPr="009B5620">
              <w:rPr>
                <w:iCs/>
              </w:rPr>
              <w:t>izmaiņas, salīdzinot ar vidēja termiņa budžeta ietvaru 2022. gadam</w:t>
            </w:r>
          </w:p>
        </w:tc>
      </w:tr>
      <w:tr w:rsidR="008900BD" w:rsidRPr="009B5620" w14:paraId="5C6D404B"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vAlign w:val="center"/>
            <w:hideMark/>
          </w:tcPr>
          <w:p w14:paraId="7FD56BBC" w14:textId="77777777" w:rsidR="008900BD" w:rsidRPr="009B5620" w:rsidRDefault="008900BD" w:rsidP="003A0879">
            <w:pPr>
              <w:rPr>
                <w:iCs/>
              </w:rPr>
            </w:pPr>
            <w:r w:rsidRPr="009B5620">
              <w:rPr>
                <w:iCs/>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39931025" w14:textId="77777777" w:rsidR="008900BD" w:rsidRPr="009B5620" w:rsidRDefault="008900BD" w:rsidP="003A0879">
            <w:pPr>
              <w:rPr>
                <w:iCs/>
              </w:rPr>
            </w:pPr>
            <w:r w:rsidRPr="009B5620">
              <w:rPr>
                <w:iCs/>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DF373A" w14:textId="77777777" w:rsidR="008900BD" w:rsidRPr="009B5620" w:rsidRDefault="008900BD" w:rsidP="003A0879">
            <w:pPr>
              <w:rPr>
                <w:iCs/>
              </w:rPr>
            </w:pPr>
            <w:r w:rsidRPr="009B5620">
              <w:rPr>
                <w:iCs/>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63569977" w14:textId="77777777" w:rsidR="008900BD" w:rsidRPr="009B5620" w:rsidRDefault="008900BD" w:rsidP="003A0879">
            <w:pPr>
              <w:rPr>
                <w:iCs/>
              </w:rPr>
            </w:pPr>
            <w:r w:rsidRPr="009B5620">
              <w:rPr>
                <w:iCs/>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4A4B91" w14:textId="77777777" w:rsidR="008900BD" w:rsidRPr="009B5620" w:rsidRDefault="008900BD" w:rsidP="003A0879">
            <w:pPr>
              <w:rPr>
                <w:iCs/>
              </w:rPr>
            </w:pPr>
            <w:r w:rsidRPr="009B5620">
              <w:rPr>
                <w:iCs/>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1941AB48" w14:textId="77777777" w:rsidR="008900BD" w:rsidRPr="009B5620" w:rsidRDefault="008900BD" w:rsidP="003A0879">
            <w:pPr>
              <w:rPr>
                <w:iCs/>
              </w:rPr>
            </w:pPr>
            <w:r w:rsidRPr="009B5620">
              <w:rPr>
                <w:iCs/>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54A614" w14:textId="77777777" w:rsidR="008900BD" w:rsidRPr="009B5620" w:rsidRDefault="008900BD" w:rsidP="003A0879">
            <w:pPr>
              <w:rPr>
                <w:iCs/>
              </w:rPr>
            </w:pPr>
            <w:r w:rsidRPr="009B5620">
              <w:rPr>
                <w:iCs/>
              </w:rPr>
              <w:t>7</w:t>
            </w:r>
          </w:p>
        </w:tc>
        <w:tc>
          <w:tcPr>
            <w:tcW w:w="836" w:type="pct"/>
            <w:tcBorders>
              <w:top w:val="outset" w:sz="6" w:space="0" w:color="auto"/>
              <w:left w:val="outset" w:sz="6" w:space="0" w:color="auto"/>
              <w:bottom w:val="outset" w:sz="6" w:space="0" w:color="auto"/>
              <w:right w:val="outset" w:sz="6" w:space="0" w:color="auto"/>
            </w:tcBorders>
            <w:vAlign w:val="center"/>
            <w:hideMark/>
          </w:tcPr>
          <w:p w14:paraId="5573F43A" w14:textId="77777777" w:rsidR="008900BD" w:rsidRPr="009B5620" w:rsidRDefault="008900BD" w:rsidP="003A0879">
            <w:pPr>
              <w:rPr>
                <w:iCs/>
              </w:rPr>
            </w:pPr>
            <w:r w:rsidRPr="009B5620">
              <w:rPr>
                <w:iCs/>
              </w:rPr>
              <w:t>8</w:t>
            </w:r>
          </w:p>
        </w:tc>
      </w:tr>
      <w:tr w:rsidR="006C596A" w:rsidRPr="009B5620" w14:paraId="363CE2D1"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66485450" w14:textId="77777777" w:rsidR="006C596A" w:rsidRPr="009B5620" w:rsidRDefault="006C596A" w:rsidP="006C596A">
            <w:pPr>
              <w:rPr>
                <w:iCs/>
              </w:rPr>
            </w:pPr>
            <w:r w:rsidRPr="009B5620">
              <w:rPr>
                <w:iCs/>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7FD75D72"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28DD32" w14:textId="77777777"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EBA8787"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EE2102" w14:textId="22111A8A"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E7510D4" w14:textId="0533E645"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13A3AD" w14:textId="5EA0DD22" w:rsidR="006C596A" w:rsidRPr="009B5620" w:rsidRDefault="006C596A" w:rsidP="006C596A">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487B1E0E" w14:textId="0DB94FF1" w:rsidR="006C596A" w:rsidRPr="009B5620" w:rsidRDefault="006C596A" w:rsidP="006C596A">
            <w:pPr>
              <w:jc w:val="center"/>
              <w:rPr>
                <w:iCs/>
              </w:rPr>
            </w:pPr>
            <w:r w:rsidRPr="009B5620">
              <w:rPr>
                <w:iCs/>
              </w:rPr>
              <w:t>0</w:t>
            </w:r>
          </w:p>
        </w:tc>
      </w:tr>
      <w:tr w:rsidR="006C596A" w:rsidRPr="009B5620" w14:paraId="10E56728"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58D63CB3" w14:textId="77777777" w:rsidR="006C596A" w:rsidRPr="009B5620" w:rsidRDefault="006C596A" w:rsidP="006C596A">
            <w:pPr>
              <w:rPr>
                <w:iCs/>
              </w:rPr>
            </w:pPr>
            <w:r w:rsidRPr="009B5620">
              <w:rPr>
                <w:iCs/>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DE37186"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86FAFF" w14:textId="77777777"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A57CFE5"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CF5411" w14:textId="410C58F1"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DD8DBC7" w14:textId="11BCDF0F"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7445B3" w14:textId="678F2A39" w:rsidR="006C596A" w:rsidRPr="009B5620" w:rsidRDefault="006C596A" w:rsidP="006C596A">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0EA2A6CB" w14:textId="796D94E5" w:rsidR="006C596A" w:rsidRPr="009B5620" w:rsidRDefault="006C596A" w:rsidP="006C596A">
            <w:pPr>
              <w:jc w:val="center"/>
              <w:rPr>
                <w:iCs/>
              </w:rPr>
            </w:pPr>
            <w:r w:rsidRPr="009B5620">
              <w:rPr>
                <w:iCs/>
              </w:rPr>
              <w:t>0</w:t>
            </w:r>
          </w:p>
        </w:tc>
      </w:tr>
      <w:tr w:rsidR="006C596A" w:rsidRPr="009B5620" w14:paraId="1BA8AEDF"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4BB31FDB" w14:textId="77777777" w:rsidR="006C596A" w:rsidRPr="009B5620" w:rsidRDefault="006C596A" w:rsidP="006C596A">
            <w:pPr>
              <w:rPr>
                <w:iCs/>
              </w:rPr>
            </w:pPr>
            <w:r w:rsidRPr="009B5620">
              <w:rPr>
                <w:iCs/>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1D9E27C"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D2854B" w14:textId="77777777"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504458"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5AC35A" w14:textId="7BF60B0D"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405364C" w14:textId="2912E749"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010350" w14:textId="553FB535" w:rsidR="006C596A" w:rsidRPr="009B5620" w:rsidRDefault="006C596A" w:rsidP="006C596A">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4CE8D7B9" w14:textId="08179C5B" w:rsidR="006C596A" w:rsidRPr="009B5620" w:rsidRDefault="006C596A" w:rsidP="006C596A">
            <w:pPr>
              <w:jc w:val="center"/>
              <w:rPr>
                <w:iCs/>
              </w:rPr>
            </w:pPr>
            <w:r w:rsidRPr="009B5620">
              <w:rPr>
                <w:iCs/>
              </w:rPr>
              <w:t>0</w:t>
            </w:r>
          </w:p>
        </w:tc>
      </w:tr>
      <w:tr w:rsidR="006C596A" w:rsidRPr="009B5620" w14:paraId="10C839C5"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3149729C" w14:textId="77777777" w:rsidR="006C596A" w:rsidRPr="009B5620" w:rsidRDefault="006C596A" w:rsidP="006C596A">
            <w:pPr>
              <w:rPr>
                <w:iCs/>
              </w:rPr>
            </w:pPr>
            <w:r w:rsidRPr="009B5620">
              <w:rPr>
                <w:iCs/>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9BE9D17"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9D7410" w14:textId="77777777"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37A7B8E"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E2C616" w14:textId="0CD60A55"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2D6091E" w14:textId="0A5705FF"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28968B" w14:textId="478DB412" w:rsidR="006C596A" w:rsidRPr="009B5620" w:rsidRDefault="006C596A" w:rsidP="006C596A">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282439C0" w14:textId="2241E55E" w:rsidR="006C596A" w:rsidRPr="009B5620" w:rsidRDefault="006C596A" w:rsidP="006C596A">
            <w:pPr>
              <w:jc w:val="center"/>
              <w:rPr>
                <w:iCs/>
              </w:rPr>
            </w:pPr>
            <w:r w:rsidRPr="009B5620">
              <w:rPr>
                <w:iCs/>
              </w:rPr>
              <w:t>0</w:t>
            </w:r>
          </w:p>
        </w:tc>
      </w:tr>
      <w:tr w:rsidR="006C596A" w:rsidRPr="009B5620" w14:paraId="5A9B185D" w14:textId="77777777" w:rsidTr="00844384">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6C5CE4D3" w14:textId="77777777" w:rsidR="006C596A" w:rsidRPr="009B5620" w:rsidRDefault="006C596A" w:rsidP="006C596A">
            <w:pPr>
              <w:rPr>
                <w:iCs/>
              </w:rPr>
            </w:pPr>
            <w:r w:rsidRPr="009B5620">
              <w:rPr>
                <w:iCs/>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42C35D93"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E9B208" w14:textId="77777777"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F5FD0BF"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D80230" w14:textId="5502181B"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ED893E6" w14:textId="4C63A7B0"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AEBBB2" w14:textId="71244F8E" w:rsidR="006C596A" w:rsidRPr="009B5620" w:rsidRDefault="006C596A" w:rsidP="006C596A">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6B6346AC" w14:textId="220688D2" w:rsidR="006C596A" w:rsidRPr="009B5620" w:rsidRDefault="006C596A" w:rsidP="006C596A">
            <w:pPr>
              <w:jc w:val="center"/>
              <w:rPr>
                <w:iCs/>
              </w:rPr>
            </w:pPr>
            <w:r w:rsidRPr="009B5620">
              <w:rPr>
                <w:iCs/>
              </w:rPr>
              <w:t>0</w:t>
            </w:r>
          </w:p>
        </w:tc>
      </w:tr>
      <w:tr w:rsidR="006C596A" w:rsidRPr="009B5620" w14:paraId="78F6CB9C" w14:textId="77777777" w:rsidTr="00844384">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0B028693" w14:textId="77777777" w:rsidR="006C596A" w:rsidRPr="009B5620" w:rsidRDefault="006C596A" w:rsidP="006C596A">
            <w:pPr>
              <w:rPr>
                <w:iCs/>
              </w:rPr>
            </w:pPr>
            <w:r w:rsidRPr="009B5620">
              <w:rPr>
                <w:iCs/>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AF16042"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06C049" w14:textId="77777777"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30B712F"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01E88C" w14:textId="0A4BB5F0"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9431FD9" w14:textId="158F7A34"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298B44" w14:textId="5D1ED623" w:rsidR="006C596A" w:rsidRPr="009B5620" w:rsidRDefault="006C596A" w:rsidP="006C596A">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57D09BD3" w14:textId="2EDFD013" w:rsidR="006C596A" w:rsidRPr="009B5620" w:rsidRDefault="006C596A" w:rsidP="006C596A">
            <w:pPr>
              <w:jc w:val="center"/>
              <w:rPr>
                <w:iCs/>
              </w:rPr>
            </w:pPr>
            <w:r w:rsidRPr="009B5620">
              <w:rPr>
                <w:iCs/>
              </w:rPr>
              <w:t>0</w:t>
            </w:r>
          </w:p>
        </w:tc>
      </w:tr>
      <w:tr w:rsidR="008900BD" w:rsidRPr="009B5620" w14:paraId="03433F47"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2EEE1755" w14:textId="77777777" w:rsidR="008900BD" w:rsidRPr="009B5620" w:rsidRDefault="008900BD" w:rsidP="003A0879">
            <w:pPr>
              <w:rPr>
                <w:iCs/>
              </w:rPr>
            </w:pPr>
            <w:r w:rsidRPr="009B5620">
              <w:rPr>
                <w:iCs/>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F01F4DD"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1BAC16"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A58DC1"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3BDCB6"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28F036B"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82D66B"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0D68A9B5" w14:textId="77777777" w:rsidR="008900BD" w:rsidRPr="009B5620" w:rsidRDefault="008900BD" w:rsidP="003A0879">
            <w:pPr>
              <w:jc w:val="center"/>
              <w:rPr>
                <w:iCs/>
              </w:rPr>
            </w:pPr>
            <w:r w:rsidRPr="009B5620">
              <w:rPr>
                <w:iCs/>
              </w:rPr>
              <w:t>0</w:t>
            </w:r>
          </w:p>
        </w:tc>
      </w:tr>
      <w:tr w:rsidR="008900BD" w:rsidRPr="009B5620" w14:paraId="3106659D"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45DF34F3" w14:textId="77777777" w:rsidR="008900BD" w:rsidRPr="009B5620" w:rsidRDefault="008900BD" w:rsidP="003A0879">
            <w:pPr>
              <w:rPr>
                <w:iCs/>
              </w:rPr>
            </w:pPr>
            <w:r w:rsidRPr="009B5620">
              <w:rPr>
                <w:iCs/>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EFF23ED"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11F6D1"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3680D8"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F9E544"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BDD32D9"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F4A42B"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174AF0D9" w14:textId="77777777" w:rsidR="008900BD" w:rsidRPr="009B5620" w:rsidRDefault="008900BD" w:rsidP="003A0879">
            <w:pPr>
              <w:jc w:val="center"/>
              <w:rPr>
                <w:iCs/>
              </w:rPr>
            </w:pPr>
            <w:r w:rsidRPr="009B5620">
              <w:rPr>
                <w:iCs/>
              </w:rPr>
              <w:t>0</w:t>
            </w:r>
          </w:p>
        </w:tc>
      </w:tr>
      <w:tr w:rsidR="008900BD" w:rsidRPr="009B5620" w14:paraId="236EA6C6"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5D74F506" w14:textId="77777777" w:rsidR="008900BD" w:rsidRPr="009B5620" w:rsidRDefault="008900BD" w:rsidP="003A0879">
            <w:pPr>
              <w:rPr>
                <w:iCs/>
              </w:rPr>
            </w:pPr>
            <w:r w:rsidRPr="009B5620">
              <w:rPr>
                <w:iCs/>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6AE8E1D6"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2CB5D9"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548F6E8"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3B352183"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537968"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6543F4"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50ECB1D2" w14:textId="77777777" w:rsidR="008900BD" w:rsidRPr="009B5620" w:rsidRDefault="008900BD" w:rsidP="003A0879">
            <w:pPr>
              <w:jc w:val="center"/>
              <w:rPr>
                <w:iCs/>
              </w:rPr>
            </w:pPr>
            <w:r w:rsidRPr="009B5620">
              <w:rPr>
                <w:iCs/>
              </w:rPr>
              <w:t>0</w:t>
            </w:r>
          </w:p>
        </w:tc>
      </w:tr>
      <w:tr w:rsidR="008900BD" w:rsidRPr="009B5620" w14:paraId="01FCEFA7"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6700B978" w14:textId="77777777" w:rsidR="008900BD" w:rsidRPr="009B5620" w:rsidRDefault="008900BD" w:rsidP="003A0879">
            <w:pPr>
              <w:rPr>
                <w:iCs/>
              </w:rPr>
            </w:pPr>
            <w:r w:rsidRPr="009B5620">
              <w:rPr>
                <w:iCs/>
              </w:rPr>
              <w:lastRenderedPageBreak/>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1D80BA2"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84313EC"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0604F47"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49CE2B16"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57D219"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23BA2A"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16A98FC3" w14:textId="77777777" w:rsidR="008900BD" w:rsidRPr="009B5620" w:rsidRDefault="008900BD" w:rsidP="003A0879">
            <w:pPr>
              <w:jc w:val="center"/>
              <w:rPr>
                <w:iCs/>
              </w:rPr>
            </w:pPr>
            <w:r w:rsidRPr="009B5620">
              <w:rPr>
                <w:iCs/>
              </w:rPr>
              <w:t>0</w:t>
            </w:r>
          </w:p>
        </w:tc>
      </w:tr>
      <w:tr w:rsidR="008900BD" w:rsidRPr="009B5620" w14:paraId="0C79064A"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5F829BE7" w14:textId="77777777" w:rsidR="008900BD" w:rsidRPr="009B5620" w:rsidRDefault="008900BD" w:rsidP="003A0879">
            <w:pPr>
              <w:rPr>
                <w:iCs/>
              </w:rPr>
            </w:pPr>
            <w:r w:rsidRPr="009B5620">
              <w:rPr>
                <w:iCs/>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0A3DCA4"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544364"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0AA1590"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0A2508"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3B7714"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540592"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0E667A93" w14:textId="77777777" w:rsidR="008900BD" w:rsidRPr="009B5620" w:rsidRDefault="008900BD" w:rsidP="003A0879">
            <w:pPr>
              <w:jc w:val="center"/>
              <w:rPr>
                <w:iCs/>
              </w:rPr>
            </w:pPr>
            <w:r w:rsidRPr="009B5620">
              <w:rPr>
                <w:iCs/>
              </w:rPr>
              <w:t>0</w:t>
            </w:r>
          </w:p>
        </w:tc>
      </w:tr>
      <w:tr w:rsidR="008900BD" w:rsidRPr="009B5620" w14:paraId="20BBECB5"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19F2F0CB" w14:textId="77777777" w:rsidR="008900BD" w:rsidRPr="009B5620" w:rsidRDefault="008900BD" w:rsidP="003A0879">
            <w:pPr>
              <w:rPr>
                <w:iCs/>
              </w:rPr>
            </w:pPr>
            <w:r w:rsidRPr="009B5620">
              <w:rPr>
                <w:iCs/>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80C6029"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D1B227"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AC50EA"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A91D8A"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BDF0CA0"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F439A1"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4253B7B8" w14:textId="77777777" w:rsidR="008900BD" w:rsidRPr="009B5620" w:rsidRDefault="008900BD" w:rsidP="003A0879">
            <w:pPr>
              <w:jc w:val="center"/>
              <w:rPr>
                <w:iCs/>
              </w:rPr>
            </w:pPr>
            <w:r w:rsidRPr="009B5620">
              <w:rPr>
                <w:iCs/>
              </w:rPr>
              <w:t>0</w:t>
            </w:r>
          </w:p>
        </w:tc>
      </w:tr>
      <w:tr w:rsidR="008900BD" w:rsidRPr="009B5620" w14:paraId="4CB9E0FA"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64748D94" w14:textId="77777777" w:rsidR="008900BD" w:rsidRPr="009B5620" w:rsidRDefault="008900BD" w:rsidP="003A0879">
            <w:pPr>
              <w:rPr>
                <w:iCs/>
              </w:rPr>
            </w:pPr>
            <w:r w:rsidRPr="009B5620">
              <w:rPr>
                <w:iCs/>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66685EF3" w14:textId="77777777" w:rsidR="008900BD" w:rsidRPr="009B5620" w:rsidRDefault="008900BD" w:rsidP="003A087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0F779A"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56C3B4A" w14:textId="77777777" w:rsidR="008900BD" w:rsidRPr="009B5620" w:rsidRDefault="008900BD" w:rsidP="003A087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2B78C0"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2C422B0" w14:textId="77777777" w:rsidR="008900BD" w:rsidRPr="009B5620" w:rsidRDefault="008900BD" w:rsidP="003A087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73719D"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2CDA45F0" w14:textId="77777777" w:rsidR="008900BD" w:rsidRPr="009B5620" w:rsidRDefault="008900BD" w:rsidP="003A0879">
            <w:pPr>
              <w:jc w:val="center"/>
              <w:rPr>
                <w:iCs/>
              </w:rPr>
            </w:pPr>
            <w:r w:rsidRPr="009B5620">
              <w:rPr>
                <w:iCs/>
              </w:rPr>
              <w:t>0</w:t>
            </w:r>
          </w:p>
        </w:tc>
      </w:tr>
      <w:tr w:rsidR="008900BD" w:rsidRPr="009B5620" w14:paraId="119AC10C"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11F8BA07" w14:textId="77777777" w:rsidR="008900BD" w:rsidRPr="009B5620" w:rsidRDefault="008900BD" w:rsidP="003A0879">
            <w:pPr>
              <w:rPr>
                <w:iCs/>
              </w:rPr>
            </w:pPr>
            <w:r w:rsidRPr="009B5620">
              <w:rPr>
                <w:iCs/>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tcPr>
          <w:p w14:paraId="0E0564E7" w14:textId="77777777" w:rsidR="008900BD" w:rsidRPr="009B5620" w:rsidRDefault="008900BD" w:rsidP="003A0879">
            <w:pPr>
              <w:jc w:val="center"/>
              <w:rPr>
                <w:iCs/>
              </w:rPr>
            </w:pPr>
          </w:p>
          <w:p w14:paraId="7FFCBAE5" w14:textId="77777777" w:rsidR="008900BD" w:rsidRPr="009B5620" w:rsidRDefault="008900BD" w:rsidP="003A0879">
            <w:pPr>
              <w:jc w:val="center"/>
              <w:rPr>
                <w:iCs/>
              </w:rPr>
            </w:pPr>
          </w:p>
          <w:p w14:paraId="1D9AE040" w14:textId="77777777" w:rsidR="008900BD" w:rsidRPr="009B5620" w:rsidRDefault="008900BD" w:rsidP="003A0879">
            <w:pPr>
              <w:jc w:val="center"/>
              <w:rPr>
                <w:iCs/>
              </w:rPr>
            </w:pPr>
          </w:p>
          <w:p w14:paraId="5999B0DE" w14:textId="77777777" w:rsidR="008900BD" w:rsidRPr="009B5620" w:rsidRDefault="008900BD" w:rsidP="003A0879">
            <w:pPr>
              <w:jc w:val="center"/>
              <w:rPr>
                <w:iCs/>
              </w:rPr>
            </w:pPr>
          </w:p>
          <w:p w14:paraId="782328A2" w14:textId="77777777" w:rsidR="008900BD" w:rsidRPr="009B5620" w:rsidRDefault="008900BD" w:rsidP="003A0879">
            <w:pPr>
              <w:jc w:val="center"/>
              <w:rPr>
                <w:iCs/>
              </w:rPr>
            </w:pPr>
          </w:p>
          <w:p w14:paraId="77DAD5F2" w14:textId="77777777" w:rsidR="008900BD" w:rsidRPr="009B5620" w:rsidRDefault="008900BD" w:rsidP="003A087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4E91F0" w14:textId="77777777" w:rsidR="008900BD" w:rsidRPr="009B5620" w:rsidRDefault="008900BD" w:rsidP="003A0879">
            <w:pPr>
              <w:jc w:val="center"/>
              <w:rPr>
                <w:iCs/>
              </w:rPr>
            </w:pPr>
            <w:r w:rsidRPr="009B5620">
              <w:rPr>
                <w:iCs/>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5E4162C0" w14:textId="77777777" w:rsidR="008900BD" w:rsidRPr="009B5620" w:rsidRDefault="008900BD" w:rsidP="003A0879">
            <w:pPr>
              <w:jc w:val="center"/>
              <w:rPr>
                <w:iCs/>
              </w:rPr>
            </w:pPr>
          </w:p>
          <w:p w14:paraId="0D76534B" w14:textId="77777777" w:rsidR="008900BD" w:rsidRPr="009B5620" w:rsidRDefault="008900BD" w:rsidP="003A0879">
            <w:pPr>
              <w:jc w:val="center"/>
              <w:rPr>
                <w:iCs/>
              </w:rPr>
            </w:pPr>
          </w:p>
          <w:p w14:paraId="0F661B2C" w14:textId="77777777" w:rsidR="008900BD" w:rsidRPr="009B5620" w:rsidRDefault="008900BD" w:rsidP="003A0879">
            <w:pPr>
              <w:jc w:val="center"/>
              <w:rPr>
                <w:iCs/>
              </w:rPr>
            </w:pPr>
          </w:p>
          <w:p w14:paraId="5B2D1FEE" w14:textId="77777777" w:rsidR="008900BD" w:rsidRPr="009B5620" w:rsidRDefault="008900BD" w:rsidP="003A0879">
            <w:pPr>
              <w:jc w:val="center"/>
              <w:rPr>
                <w:iCs/>
              </w:rPr>
            </w:pPr>
          </w:p>
          <w:p w14:paraId="6D2EC919" w14:textId="77777777" w:rsidR="008900BD" w:rsidRPr="009B5620" w:rsidRDefault="008900BD" w:rsidP="003A0879">
            <w:pPr>
              <w:jc w:val="center"/>
              <w:rPr>
                <w:iCs/>
              </w:rPr>
            </w:pPr>
          </w:p>
          <w:p w14:paraId="36E5A38B" w14:textId="77777777" w:rsidR="008900BD" w:rsidRPr="009B5620" w:rsidRDefault="008900BD" w:rsidP="003A087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BFCEDC" w14:textId="77777777" w:rsidR="008900BD" w:rsidRPr="009B5620" w:rsidRDefault="008900BD" w:rsidP="003A0879">
            <w:pPr>
              <w:jc w:val="center"/>
              <w:rPr>
                <w:iCs/>
              </w:rPr>
            </w:pPr>
            <w:r w:rsidRPr="009B5620">
              <w:rPr>
                <w:iCs/>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336F8CB6" w14:textId="77777777" w:rsidR="008900BD" w:rsidRPr="009B5620" w:rsidRDefault="008900BD" w:rsidP="003A0879">
            <w:pPr>
              <w:jc w:val="center"/>
              <w:rPr>
                <w:iCs/>
              </w:rPr>
            </w:pPr>
          </w:p>
          <w:p w14:paraId="59760432" w14:textId="77777777" w:rsidR="008900BD" w:rsidRPr="009B5620" w:rsidRDefault="008900BD" w:rsidP="003A0879">
            <w:pPr>
              <w:jc w:val="center"/>
              <w:rPr>
                <w:iCs/>
              </w:rPr>
            </w:pPr>
          </w:p>
          <w:p w14:paraId="1F8BE974" w14:textId="77777777" w:rsidR="008900BD" w:rsidRPr="009B5620" w:rsidRDefault="008900BD" w:rsidP="003A0879">
            <w:pPr>
              <w:jc w:val="center"/>
              <w:rPr>
                <w:iCs/>
              </w:rPr>
            </w:pPr>
          </w:p>
          <w:p w14:paraId="5587C136" w14:textId="77777777" w:rsidR="008900BD" w:rsidRPr="009B5620" w:rsidRDefault="008900BD" w:rsidP="003A0879">
            <w:pPr>
              <w:jc w:val="center"/>
              <w:rPr>
                <w:iCs/>
              </w:rPr>
            </w:pPr>
          </w:p>
          <w:p w14:paraId="540C05B0" w14:textId="77777777" w:rsidR="008900BD" w:rsidRPr="009B5620" w:rsidRDefault="008900BD" w:rsidP="003A0879">
            <w:pPr>
              <w:jc w:val="center"/>
              <w:rPr>
                <w:iCs/>
              </w:rPr>
            </w:pPr>
          </w:p>
          <w:p w14:paraId="6C431F4E" w14:textId="77777777" w:rsidR="008900BD" w:rsidRPr="009B5620" w:rsidRDefault="008900BD" w:rsidP="003A087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14E287"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4A434429" w14:textId="77777777" w:rsidR="008900BD" w:rsidRPr="009B5620" w:rsidRDefault="008900BD" w:rsidP="003A0879">
            <w:pPr>
              <w:jc w:val="center"/>
              <w:rPr>
                <w:iCs/>
              </w:rPr>
            </w:pPr>
            <w:r w:rsidRPr="009B5620">
              <w:rPr>
                <w:iCs/>
              </w:rPr>
              <w:t>0</w:t>
            </w:r>
          </w:p>
        </w:tc>
      </w:tr>
      <w:tr w:rsidR="008900BD" w:rsidRPr="009B5620" w14:paraId="7A92056C"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78ECAF44" w14:textId="77777777" w:rsidR="008900BD" w:rsidRPr="009B5620" w:rsidRDefault="008900BD" w:rsidP="003A0879">
            <w:pPr>
              <w:rPr>
                <w:iCs/>
              </w:rPr>
            </w:pPr>
            <w:r w:rsidRPr="009B5620">
              <w:rPr>
                <w:iCs/>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0CAF9A" w14:textId="77777777" w:rsidR="008900BD" w:rsidRPr="009B5620" w:rsidRDefault="008900BD" w:rsidP="003A087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0B97001" w14:textId="77777777" w:rsidR="008900BD" w:rsidRPr="009B5620" w:rsidRDefault="008900BD" w:rsidP="003A0879">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0A8DAA" w14:textId="77777777" w:rsidR="008900BD" w:rsidRPr="009B5620" w:rsidRDefault="008900BD" w:rsidP="003A087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0E96830" w14:textId="77777777" w:rsidR="008900BD" w:rsidRPr="009B5620" w:rsidRDefault="008900BD" w:rsidP="003A0879">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4E9A1C" w14:textId="77777777" w:rsidR="008900BD" w:rsidRPr="009B5620" w:rsidRDefault="008900BD" w:rsidP="003A087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37ADF25"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1BCF4B8C" w14:textId="77777777" w:rsidR="008900BD" w:rsidRPr="009B5620" w:rsidRDefault="008900BD" w:rsidP="003A0879">
            <w:pPr>
              <w:jc w:val="center"/>
              <w:rPr>
                <w:iCs/>
              </w:rPr>
            </w:pPr>
            <w:r w:rsidRPr="009B5620">
              <w:rPr>
                <w:iCs/>
              </w:rPr>
              <w:t>0</w:t>
            </w:r>
          </w:p>
        </w:tc>
      </w:tr>
      <w:tr w:rsidR="008900BD" w:rsidRPr="009B5620" w14:paraId="338D68FA"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4EE6F456" w14:textId="77777777" w:rsidR="008900BD" w:rsidRPr="009B5620" w:rsidRDefault="008900BD" w:rsidP="003A0879">
            <w:pPr>
              <w:rPr>
                <w:iCs/>
              </w:rPr>
            </w:pPr>
            <w:r w:rsidRPr="009B5620">
              <w:rPr>
                <w:iCs/>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385F49" w14:textId="77777777" w:rsidR="008900BD" w:rsidRPr="009B5620" w:rsidRDefault="008900BD" w:rsidP="003A087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6AC3768" w14:textId="77777777" w:rsidR="008900BD" w:rsidRPr="009B5620" w:rsidRDefault="008900BD" w:rsidP="003A0879">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D659FC" w14:textId="77777777" w:rsidR="008900BD" w:rsidRPr="009B5620" w:rsidRDefault="008900BD" w:rsidP="003A087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5470425" w14:textId="77777777" w:rsidR="008900BD" w:rsidRPr="009B5620" w:rsidRDefault="008900BD" w:rsidP="003A0879">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76D2FD" w14:textId="77777777" w:rsidR="008900BD" w:rsidRPr="009B5620" w:rsidRDefault="008900BD" w:rsidP="003A087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988FBB2"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672C8F96" w14:textId="77777777" w:rsidR="008900BD" w:rsidRPr="009B5620" w:rsidRDefault="008900BD" w:rsidP="003A0879">
            <w:pPr>
              <w:jc w:val="center"/>
              <w:rPr>
                <w:iCs/>
              </w:rPr>
            </w:pPr>
            <w:r w:rsidRPr="009B5620">
              <w:rPr>
                <w:iCs/>
              </w:rPr>
              <w:t>0</w:t>
            </w:r>
          </w:p>
        </w:tc>
      </w:tr>
      <w:tr w:rsidR="008900BD" w:rsidRPr="009B5620" w14:paraId="1E5D42A4"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5300FF7C" w14:textId="77777777" w:rsidR="008900BD" w:rsidRPr="009B5620" w:rsidRDefault="008900BD" w:rsidP="003A0879">
            <w:pPr>
              <w:rPr>
                <w:iCs/>
              </w:rPr>
            </w:pPr>
            <w:r w:rsidRPr="009B5620">
              <w:rPr>
                <w:iCs/>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560885" w14:textId="77777777" w:rsidR="008900BD" w:rsidRPr="009B5620" w:rsidRDefault="008900BD" w:rsidP="003A087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791B34D" w14:textId="77777777" w:rsidR="008900BD" w:rsidRPr="009B5620" w:rsidRDefault="008900BD" w:rsidP="003A0879">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987AC6" w14:textId="77777777" w:rsidR="008900BD" w:rsidRPr="009B5620" w:rsidRDefault="008900BD" w:rsidP="003A087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3AAC3B0" w14:textId="77777777" w:rsidR="008900BD" w:rsidRPr="009B5620" w:rsidRDefault="008900BD" w:rsidP="003A0879">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2214E6" w14:textId="77777777" w:rsidR="008900BD" w:rsidRPr="009B5620" w:rsidRDefault="008900BD" w:rsidP="003A087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B888CDB"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6090641B" w14:textId="77777777" w:rsidR="008900BD" w:rsidRPr="009B5620" w:rsidRDefault="008900BD" w:rsidP="003A0879">
            <w:pPr>
              <w:jc w:val="center"/>
              <w:rPr>
                <w:iCs/>
              </w:rPr>
            </w:pPr>
            <w:r w:rsidRPr="009B5620">
              <w:rPr>
                <w:iCs/>
              </w:rPr>
              <w:t>0</w:t>
            </w:r>
          </w:p>
        </w:tc>
      </w:tr>
      <w:tr w:rsidR="008900BD" w:rsidRPr="009B5620" w14:paraId="1FC9FD73"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7AD25774" w14:textId="77777777" w:rsidR="008900BD" w:rsidRPr="009B5620" w:rsidRDefault="008900BD" w:rsidP="003A0879">
            <w:pPr>
              <w:rPr>
                <w:iCs/>
              </w:rPr>
            </w:pPr>
            <w:r w:rsidRPr="009B5620">
              <w:rPr>
                <w:iCs/>
              </w:rPr>
              <w:t>6. Detalizēts ieņēmumu un izdevumu aprēķins (ja nepieciešams, detalizētu ieņēmumu un izdevumu aprēķinu var pievienot anotācijas pielikumā)</w:t>
            </w:r>
          </w:p>
        </w:tc>
        <w:tc>
          <w:tcPr>
            <w:tcW w:w="406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2720116" w14:textId="5394B2D9" w:rsidR="008900BD" w:rsidRPr="009B5620" w:rsidRDefault="008900BD" w:rsidP="003A0879">
            <w:pPr>
              <w:jc w:val="both"/>
              <w:rPr>
                <w:iCs/>
              </w:rPr>
            </w:pPr>
          </w:p>
          <w:p w14:paraId="1AA0A440" w14:textId="2E6C1EE1" w:rsidR="008900BD" w:rsidRPr="009B5620" w:rsidRDefault="008900BD" w:rsidP="003A0879">
            <w:pPr>
              <w:jc w:val="both"/>
              <w:rPr>
                <w:iCs/>
              </w:rPr>
            </w:pPr>
          </w:p>
        </w:tc>
      </w:tr>
      <w:tr w:rsidR="008900BD" w:rsidRPr="009B5620" w14:paraId="3EA6585E"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230CE238" w14:textId="77777777" w:rsidR="008900BD" w:rsidRPr="009B5620" w:rsidRDefault="008900BD" w:rsidP="003A0879">
            <w:pPr>
              <w:rPr>
                <w:iCs/>
              </w:rPr>
            </w:pPr>
            <w:r w:rsidRPr="009B5620">
              <w:rPr>
                <w:iCs/>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04F5616" w14:textId="77777777" w:rsidR="008900BD" w:rsidRPr="009B5620" w:rsidRDefault="008900BD" w:rsidP="003A0879">
            <w:pPr>
              <w:rPr>
                <w:iCs/>
              </w:rPr>
            </w:pPr>
          </w:p>
        </w:tc>
      </w:tr>
      <w:tr w:rsidR="008900BD" w:rsidRPr="009B5620" w14:paraId="595EA7BC"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0E98E7D7" w14:textId="77777777" w:rsidR="008900BD" w:rsidRPr="009B5620" w:rsidRDefault="008900BD" w:rsidP="003A0879">
            <w:pPr>
              <w:rPr>
                <w:iCs/>
              </w:rPr>
            </w:pPr>
            <w:r w:rsidRPr="009B5620">
              <w:rPr>
                <w:iCs/>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B02E6D8" w14:textId="77777777" w:rsidR="008900BD" w:rsidRPr="009B5620" w:rsidRDefault="008900BD" w:rsidP="003A0879">
            <w:pPr>
              <w:rPr>
                <w:iCs/>
              </w:rPr>
            </w:pPr>
          </w:p>
        </w:tc>
      </w:tr>
      <w:tr w:rsidR="008900BD" w:rsidRPr="009B5620" w14:paraId="0572006B"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1F55CB23" w14:textId="77777777" w:rsidR="008900BD" w:rsidRPr="009B5620" w:rsidRDefault="008900BD" w:rsidP="003A0879">
            <w:pPr>
              <w:rPr>
                <w:iCs/>
              </w:rPr>
            </w:pPr>
            <w:r w:rsidRPr="009B5620">
              <w:rPr>
                <w:iCs/>
              </w:rPr>
              <w:t>7. Amata vietu skaita izmaiņas</w:t>
            </w:r>
          </w:p>
        </w:tc>
        <w:tc>
          <w:tcPr>
            <w:tcW w:w="4065" w:type="pct"/>
            <w:gridSpan w:val="7"/>
            <w:tcBorders>
              <w:top w:val="outset" w:sz="6" w:space="0" w:color="auto"/>
              <w:left w:val="outset" w:sz="6" w:space="0" w:color="auto"/>
              <w:bottom w:val="outset" w:sz="6" w:space="0" w:color="auto"/>
              <w:right w:val="outset" w:sz="6" w:space="0" w:color="auto"/>
            </w:tcBorders>
            <w:hideMark/>
          </w:tcPr>
          <w:p w14:paraId="395ED083" w14:textId="77777777" w:rsidR="008900BD" w:rsidRPr="009B5620" w:rsidRDefault="008900BD" w:rsidP="003A0879">
            <w:pPr>
              <w:rPr>
                <w:iCs/>
              </w:rPr>
            </w:pPr>
            <w:r w:rsidRPr="009B5620">
              <w:rPr>
                <w:iCs/>
              </w:rPr>
              <w:t>Nav</w:t>
            </w:r>
          </w:p>
        </w:tc>
      </w:tr>
      <w:tr w:rsidR="008900BD" w:rsidRPr="009B5620" w14:paraId="392D56F2"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0186BFA6" w14:textId="77777777" w:rsidR="008900BD" w:rsidRPr="009B5620" w:rsidRDefault="008900BD" w:rsidP="003A0879">
            <w:pPr>
              <w:rPr>
                <w:iCs/>
              </w:rPr>
            </w:pPr>
            <w:r w:rsidRPr="009B5620">
              <w:rPr>
                <w:iCs/>
              </w:rPr>
              <w:lastRenderedPageBreak/>
              <w:t>8. Cita informācija</w:t>
            </w:r>
          </w:p>
        </w:tc>
        <w:tc>
          <w:tcPr>
            <w:tcW w:w="4065" w:type="pct"/>
            <w:gridSpan w:val="7"/>
            <w:tcBorders>
              <w:top w:val="outset" w:sz="6" w:space="0" w:color="auto"/>
              <w:left w:val="outset" w:sz="6" w:space="0" w:color="auto"/>
              <w:bottom w:val="outset" w:sz="6" w:space="0" w:color="auto"/>
              <w:right w:val="outset" w:sz="6" w:space="0" w:color="auto"/>
            </w:tcBorders>
            <w:hideMark/>
          </w:tcPr>
          <w:p w14:paraId="00A7B470" w14:textId="19CB1AA0" w:rsidR="00E41FD9" w:rsidRPr="00844384" w:rsidRDefault="007B55D0" w:rsidP="00844384">
            <w:pPr>
              <w:autoSpaceDE w:val="0"/>
              <w:autoSpaceDN w:val="0"/>
              <w:adjustRightInd w:val="0"/>
              <w:jc w:val="both"/>
              <w:rPr>
                <w:iCs/>
              </w:rPr>
            </w:pPr>
            <w:r w:rsidRPr="007B55D0">
              <w:rPr>
                <w:iCs/>
              </w:rPr>
              <w:t xml:space="preserve">Nepieciešamie līdzekļi VIF deleģēto funkciju izpildei  </w:t>
            </w:r>
            <w:r w:rsidRPr="00222933">
              <w:rPr>
                <w:iCs/>
              </w:rPr>
              <w:t>noteikumu projekta un</w:t>
            </w:r>
            <w:r w:rsidRPr="007B55D0">
              <w:rPr>
                <w:iCs/>
              </w:rPr>
              <w:t xml:space="preserve"> Ministru kabineta noteikumu “Grozījumi Ministru kabineta 2016. gada 26. janvāra noteikumos Nr. 69 „Emisijas kvotu izsolīšanas instrumenta finansēto projektu atklāta konk</w:t>
            </w:r>
            <w:r w:rsidRPr="00222933">
              <w:rPr>
                <w:iCs/>
              </w:rPr>
              <w:t>ursa "Siltumnīcefekta gāzu emisiju samazināšana – zema enerģijas patēriņa ēkas" nolikums” projekta, Ministru kabineta noteikumu “Grozījumi Ministru kabineta 2016. gada 12. janvāra noteikumos Nr. 35 „Emisijas kvotu izsolīšanas instrumenta finansēto projektu atklāta konkursa "Siltumnīcefekta gāzu emisiju samazināšana valsts nozīmes aizsargājamos arhitektūras pieminekļos" nolikums” projekta, Ministru kabineta noteikumu “Grozījumi Ministru kabineta 2018. gada 12. jūnija noteikumos Nr. 333 „Emisijas kvotu izsolīšanas instrumenta finansēto projektu atklāta konkursa "Siltumnīcefekta gāzu emisiju samazināšana ar viedajām pilsētvides tehnoloģijām" nolikums”  projekta ietvaros paredzēti no</w:t>
            </w:r>
            <w:r w:rsidRPr="007B55D0">
              <w:rPr>
                <w:iCs/>
              </w:rPr>
              <w:t xml:space="preserve"> </w:t>
            </w:r>
            <w:r w:rsidRPr="00222933">
              <w:t>valsts budžeta programmas</w:t>
            </w:r>
            <w:r w:rsidRPr="007B55D0">
              <w:rPr>
                <w:iCs/>
              </w:rPr>
              <w:t xml:space="preserve"> 33.01.00 “Emisijas kvotu izsolīšanas instrumenta</w:t>
            </w:r>
            <w:r>
              <w:rPr>
                <w:iCs/>
              </w:rPr>
              <w:t xml:space="preserve"> administrācija” 203 493 apmērā 2020.gadā, 220 000 apmērā 2021. gadā un 220 000 apmērā 2022. gadā.</w:t>
            </w:r>
          </w:p>
          <w:tbl>
            <w:tblPr>
              <w:tblW w:w="0" w:type="auto"/>
              <w:tblBorders>
                <w:top w:val="nil"/>
                <w:left w:val="nil"/>
                <w:bottom w:val="nil"/>
                <w:right w:val="nil"/>
              </w:tblBorders>
              <w:tblLook w:val="0000" w:firstRow="0" w:lastRow="0" w:firstColumn="0" w:lastColumn="0" w:noHBand="0" w:noVBand="0"/>
            </w:tblPr>
            <w:tblGrid>
              <w:gridCol w:w="7303"/>
            </w:tblGrid>
            <w:tr w:rsidR="00E41FD9" w:rsidRPr="008D5EBC" w14:paraId="7185A22D" w14:textId="77777777">
              <w:trPr>
                <w:trHeight w:val="463"/>
              </w:trPr>
              <w:tc>
                <w:tcPr>
                  <w:tcW w:w="0" w:type="auto"/>
                </w:tcPr>
                <w:p w14:paraId="3CC1CA96" w14:textId="1FC932DC" w:rsidR="00E41FD9" w:rsidRPr="00844384" w:rsidRDefault="00E41FD9" w:rsidP="006744DB">
                  <w:pPr>
                    <w:autoSpaceDE w:val="0"/>
                    <w:autoSpaceDN w:val="0"/>
                    <w:adjustRightInd w:val="0"/>
                    <w:jc w:val="both"/>
                    <w:rPr>
                      <w:iCs/>
                    </w:rPr>
                  </w:pPr>
                  <w:r w:rsidRPr="00844384">
                    <w:rPr>
                      <w:iCs/>
                    </w:rPr>
                    <w:t>Attiecīgais finansējums ir atbalstīts Ministru kabineta.2019</w:t>
                  </w:r>
                  <w:r w:rsidR="006744DB">
                    <w:rPr>
                      <w:iCs/>
                    </w:rPr>
                    <w:t>.</w:t>
                  </w:r>
                  <w:r w:rsidR="007B55D0">
                    <w:rPr>
                      <w:iCs/>
                    </w:rPr>
                    <w:t> </w:t>
                  </w:r>
                  <w:r w:rsidR="006744DB">
                    <w:rPr>
                      <w:iCs/>
                    </w:rPr>
                    <w:t>gada 17.</w:t>
                  </w:r>
                  <w:r w:rsidR="007B55D0">
                    <w:rPr>
                      <w:iCs/>
                    </w:rPr>
                    <w:t> </w:t>
                  </w:r>
                  <w:r w:rsidR="006744DB">
                    <w:rPr>
                      <w:iCs/>
                    </w:rPr>
                    <w:t>septembra</w:t>
                  </w:r>
                  <w:r w:rsidRPr="00844384">
                    <w:rPr>
                      <w:iCs/>
                    </w:rPr>
                    <w:t xml:space="preserve"> sēdē </w:t>
                  </w:r>
                  <w:r w:rsidR="008D5EBC" w:rsidRPr="00844384">
                    <w:rPr>
                      <w:iCs/>
                    </w:rPr>
                    <w:t>(prot.</w:t>
                  </w:r>
                  <w:r w:rsidR="008D5EBC">
                    <w:rPr>
                      <w:iCs/>
                    </w:rPr>
                    <w:t xml:space="preserve"> </w:t>
                  </w:r>
                  <w:r w:rsidR="008D5EBC" w:rsidRPr="00844384">
                    <w:rPr>
                      <w:iCs/>
                    </w:rPr>
                    <w:t>Nr. 42 34.</w:t>
                  </w:r>
                  <w:bookmarkStart w:id="3" w:name="2"/>
                  <w:r w:rsidR="008D5EBC" w:rsidRPr="008D5EBC">
                    <w:rPr>
                      <w:iCs/>
                    </w:rPr>
                    <w:t>§</w:t>
                  </w:r>
                  <w:bookmarkEnd w:id="3"/>
                  <w:r w:rsidR="008D5EBC" w:rsidRPr="00844384">
                    <w:rPr>
                      <w:iCs/>
                    </w:rPr>
                    <w:t>)</w:t>
                  </w:r>
                  <w:r w:rsidRPr="00844384">
                    <w:rPr>
                      <w:iCs/>
                    </w:rPr>
                    <w:t xml:space="preserve"> un iekļauts likumprojektā «Par valsts budžetu 2020. gadam» un likumprojektā «Par vidēja termiņa budžeta ietvaru 2020., 2021. un 2022. gadam». </w:t>
                  </w:r>
                </w:p>
              </w:tc>
            </w:tr>
          </w:tbl>
          <w:p w14:paraId="2972EE51" w14:textId="044E5290" w:rsidR="008900BD" w:rsidRPr="009B5620" w:rsidRDefault="008900BD" w:rsidP="003A0879">
            <w:pPr>
              <w:jc w:val="both"/>
              <w:rPr>
                <w:iCs/>
              </w:rPr>
            </w:pPr>
          </w:p>
        </w:tc>
      </w:tr>
    </w:tbl>
    <w:p w14:paraId="1B6D45C4" w14:textId="77777777" w:rsidR="008900BD" w:rsidRPr="009B5620" w:rsidRDefault="008900BD" w:rsidP="008900BD"/>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74F4C" w:rsidRPr="00250B3C" w14:paraId="5DBE8A2E" w14:textId="77777777" w:rsidTr="00B74F4C">
        <w:trPr>
          <w:jc w:val="center"/>
        </w:trPr>
        <w:tc>
          <w:tcPr>
            <w:tcW w:w="9209" w:type="dxa"/>
          </w:tcPr>
          <w:p w14:paraId="4F8934E1" w14:textId="77777777" w:rsidR="00B74F4C" w:rsidRPr="00250B3C" w:rsidRDefault="00B74F4C" w:rsidP="008614B5">
            <w:pPr>
              <w:pStyle w:val="naisnod"/>
              <w:spacing w:before="0" w:after="0"/>
            </w:pPr>
            <w:r w:rsidRPr="00250B3C">
              <w:t>IV. Tiesību akta projekta ietekme uz spēkā esošo tiesību normu sistēmu</w:t>
            </w:r>
          </w:p>
        </w:tc>
      </w:tr>
      <w:tr w:rsidR="00082DF3" w:rsidRPr="00250B3C" w14:paraId="34A11C91" w14:textId="77777777" w:rsidTr="00B74F4C">
        <w:trPr>
          <w:jc w:val="center"/>
        </w:trPr>
        <w:tc>
          <w:tcPr>
            <w:tcW w:w="9209" w:type="dxa"/>
          </w:tcPr>
          <w:p w14:paraId="0461BD20" w14:textId="246A6486" w:rsidR="00082DF3" w:rsidRPr="00082DF3" w:rsidRDefault="00082DF3" w:rsidP="008614B5">
            <w:pPr>
              <w:pStyle w:val="naisnod"/>
              <w:spacing w:before="0" w:after="0"/>
              <w:rPr>
                <w:b w:val="0"/>
              </w:rPr>
            </w:pPr>
            <w:r w:rsidRPr="00082DF3">
              <w:rPr>
                <w:b w:val="0"/>
              </w:rPr>
              <w:t>Projekts šo jomu neskar</w:t>
            </w:r>
          </w:p>
        </w:tc>
      </w:tr>
    </w:tbl>
    <w:p w14:paraId="11C03D41" w14:textId="77777777" w:rsidR="00B74F4C" w:rsidRPr="00250B3C"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50B3C" w14:paraId="2857C61F"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77777777" w:rsidR="001A28EB" w:rsidRPr="00250B3C" w:rsidRDefault="001A28EB" w:rsidP="00306098">
            <w:pPr>
              <w:pStyle w:val="tvhtml"/>
              <w:spacing w:line="293" w:lineRule="atLeast"/>
              <w:jc w:val="center"/>
              <w:rPr>
                <w:b/>
                <w:bCs/>
              </w:rPr>
            </w:pPr>
            <w:r w:rsidRPr="00250B3C">
              <w:rPr>
                <w:b/>
                <w:bCs/>
              </w:rPr>
              <w:t>V. Tiesību akta projekta atbilstība Latvijas Republikas starptautiskajām saistībām</w:t>
            </w:r>
          </w:p>
        </w:tc>
      </w:tr>
      <w:tr w:rsidR="001A28EB" w:rsidRPr="00250B3C" w14:paraId="0849A5CB"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1A28EB" w:rsidRPr="00250B3C" w:rsidRDefault="001A28EB" w:rsidP="00306098">
            <w:r w:rsidRPr="00250B3C">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1A28EB" w:rsidRPr="00250B3C" w:rsidRDefault="001A28EB" w:rsidP="00306098">
            <w:r w:rsidRPr="00250B3C">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3A2F990E" w:rsidR="003905DC" w:rsidRPr="00250B3C" w:rsidRDefault="00A00254" w:rsidP="009061A0">
            <w:pPr>
              <w:jc w:val="both"/>
            </w:pPr>
            <w:r w:rsidRPr="00250B3C">
              <w:t>Projekts šo jomu neskar.</w:t>
            </w:r>
          </w:p>
        </w:tc>
      </w:tr>
      <w:tr w:rsidR="001A28EB" w:rsidRPr="00250B3C" w14:paraId="3BD17862"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1A28EB" w:rsidRPr="00250B3C" w:rsidRDefault="001A28EB" w:rsidP="00306098">
            <w:r w:rsidRPr="00250B3C">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1A28EB" w:rsidRPr="00250B3C" w:rsidRDefault="001A28EB" w:rsidP="00306098">
            <w:r w:rsidRPr="00250B3C">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77777777" w:rsidR="001A28EB" w:rsidRPr="00250B3C" w:rsidRDefault="00C21AFF" w:rsidP="001176C1">
            <w:pPr>
              <w:jc w:val="both"/>
            </w:pPr>
            <w:r w:rsidRPr="00250B3C">
              <w:t>Projekts šo jomu neskar.</w:t>
            </w:r>
          </w:p>
        </w:tc>
      </w:tr>
      <w:tr w:rsidR="001A28EB" w:rsidRPr="00250B3C" w14:paraId="48187E7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1A28EB" w:rsidRPr="00250B3C" w:rsidRDefault="001A28EB" w:rsidP="00306098">
            <w:r w:rsidRPr="00250B3C">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1A28EB" w:rsidRPr="00250B3C" w:rsidRDefault="001A28EB" w:rsidP="00306098">
            <w:r w:rsidRPr="00250B3C">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1A28EB" w:rsidRPr="00250B3C" w:rsidRDefault="001A28EB" w:rsidP="00306098">
            <w:pPr>
              <w:pStyle w:val="tvhtml"/>
              <w:spacing w:line="293" w:lineRule="atLeast"/>
            </w:pPr>
            <w:r w:rsidRPr="00250B3C">
              <w:t>Nav.</w:t>
            </w:r>
          </w:p>
        </w:tc>
      </w:tr>
    </w:tbl>
    <w:p w14:paraId="6EB98C8D" w14:textId="77777777" w:rsidR="00C318BB" w:rsidRPr="00250B3C"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53"/>
        <w:gridCol w:w="183"/>
        <w:gridCol w:w="1787"/>
        <w:gridCol w:w="1235"/>
        <w:gridCol w:w="1237"/>
        <w:gridCol w:w="2360"/>
      </w:tblGrid>
      <w:tr w:rsidR="001A28EB" w:rsidRPr="00250B3C" w14:paraId="63779E2E"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F51E2D3" w14:textId="77777777" w:rsidR="001A28EB" w:rsidRPr="00250B3C" w:rsidRDefault="001A28EB" w:rsidP="00306098">
            <w:pPr>
              <w:pStyle w:val="tvhtml"/>
              <w:spacing w:line="293" w:lineRule="atLeast"/>
              <w:jc w:val="center"/>
              <w:rPr>
                <w:b/>
                <w:bCs/>
              </w:rPr>
            </w:pPr>
            <w:r w:rsidRPr="00250B3C">
              <w:rPr>
                <w:b/>
                <w:bCs/>
              </w:rPr>
              <w:t>1.tabula</w:t>
            </w:r>
            <w:r w:rsidRPr="00250B3C">
              <w:rPr>
                <w:b/>
                <w:bCs/>
              </w:rPr>
              <w:br/>
              <w:t>Tiesību akta projekta atbilstība ES tiesību aktiem</w:t>
            </w:r>
          </w:p>
        </w:tc>
      </w:tr>
      <w:tr w:rsidR="00C15F1C" w:rsidRPr="00250B3C" w14:paraId="5EDE4AF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EFC2944" w14:textId="77777777" w:rsidR="00C15F1C" w:rsidRPr="00250B3C" w:rsidRDefault="00C15F1C" w:rsidP="00C15F1C">
            <w:r w:rsidRPr="00250B3C">
              <w:t>Attiecīgā ES tiesību akta datums, numurs un nosaukums</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A9B6FF" w14:textId="7AE3639D" w:rsidR="00C15F1C" w:rsidRPr="00250B3C" w:rsidRDefault="00047183" w:rsidP="00811B7F">
            <w:pPr>
              <w:jc w:val="both"/>
              <w:rPr>
                <w:i/>
              </w:rPr>
            </w:pPr>
            <w:r>
              <w:rPr>
                <w:color w:val="000000"/>
              </w:rPr>
              <w:t xml:space="preserve">Komisijas regula Nr. </w:t>
            </w:r>
            <w:r w:rsidRPr="008F09C0">
              <w:t>651/20</w:t>
            </w:r>
            <w:r>
              <w:rPr>
                <w:color w:val="000000"/>
              </w:rPr>
              <w:t>14</w:t>
            </w:r>
          </w:p>
        </w:tc>
      </w:tr>
      <w:tr w:rsidR="00C15F1C" w:rsidRPr="00250B3C" w14:paraId="63E5E465"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vAlign w:val="center"/>
            <w:hideMark/>
          </w:tcPr>
          <w:p w14:paraId="10EE1EDA" w14:textId="77777777" w:rsidR="00C15F1C" w:rsidRPr="00250B3C" w:rsidRDefault="00C15F1C" w:rsidP="00C15F1C">
            <w:pPr>
              <w:pStyle w:val="tvhtml"/>
              <w:spacing w:line="293" w:lineRule="atLeast"/>
              <w:jc w:val="center"/>
            </w:pPr>
            <w:r w:rsidRPr="00250B3C">
              <w:t>A</w:t>
            </w:r>
          </w:p>
        </w:tc>
        <w:tc>
          <w:tcPr>
            <w:tcW w:w="987" w:type="pct"/>
            <w:tcBorders>
              <w:top w:val="outset" w:sz="6" w:space="0" w:color="414142"/>
              <w:left w:val="outset" w:sz="6" w:space="0" w:color="414142"/>
              <w:bottom w:val="outset" w:sz="6" w:space="0" w:color="414142"/>
              <w:right w:val="outset" w:sz="6" w:space="0" w:color="414142"/>
            </w:tcBorders>
            <w:vAlign w:val="center"/>
            <w:hideMark/>
          </w:tcPr>
          <w:p w14:paraId="1A224B1E" w14:textId="77777777" w:rsidR="00C15F1C" w:rsidRPr="00250B3C" w:rsidRDefault="00C15F1C" w:rsidP="00C15F1C">
            <w:pPr>
              <w:pStyle w:val="tvhtml"/>
              <w:spacing w:line="293" w:lineRule="atLeast"/>
              <w:jc w:val="center"/>
            </w:pPr>
            <w:r w:rsidRPr="00250B3C">
              <w:t>B</w:t>
            </w:r>
          </w:p>
        </w:tc>
        <w:tc>
          <w:tcPr>
            <w:tcW w:w="1365" w:type="pct"/>
            <w:gridSpan w:val="2"/>
            <w:tcBorders>
              <w:top w:val="outset" w:sz="6" w:space="0" w:color="414142"/>
              <w:left w:val="outset" w:sz="6" w:space="0" w:color="414142"/>
              <w:bottom w:val="outset" w:sz="6" w:space="0" w:color="414142"/>
              <w:right w:val="outset" w:sz="6" w:space="0" w:color="414142"/>
            </w:tcBorders>
            <w:vAlign w:val="center"/>
            <w:hideMark/>
          </w:tcPr>
          <w:p w14:paraId="30A88109" w14:textId="77777777" w:rsidR="00C15F1C" w:rsidRPr="00250B3C" w:rsidRDefault="00C15F1C" w:rsidP="00C15F1C">
            <w:pPr>
              <w:pStyle w:val="tvhtml"/>
              <w:spacing w:line="293" w:lineRule="atLeast"/>
              <w:jc w:val="center"/>
            </w:pPr>
            <w:r w:rsidRPr="00250B3C">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4B6B0684" w14:textId="77777777" w:rsidR="00C15F1C" w:rsidRPr="00250B3C" w:rsidRDefault="00C15F1C" w:rsidP="00C15F1C">
            <w:pPr>
              <w:pStyle w:val="tvhtml"/>
              <w:spacing w:line="293" w:lineRule="atLeast"/>
              <w:jc w:val="center"/>
            </w:pPr>
            <w:r w:rsidRPr="00250B3C">
              <w:t>D</w:t>
            </w:r>
          </w:p>
        </w:tc>
      </w:tr>
      <w:tr w:rsidR="00C15F1C" w:rsidRPr="00250B3C" w14:paraId="66CAF989"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0577ECDB" w14:textId="77777777" w:rsidR="00C15F1C" w:rsidRPr="00250B3C" w:rsidRDefault="00C15F1C" w:rsidP="00C15F1C">
            <w:r w:rsidRPr="00250B3C">
              <w:t>Attiecīgā ES tiesību akta panta numurs (uzskaitot katru tiesību akta vienību – pantu, daļu, punktu, apakšpunktu)</w:t>
            </w:r>
          </w:p>
        </w:tc>
        <w:tc>
          <w:tcPr>
            <w:tcW w:w="987" w:type="pct"/>
            <w:tcBorders>
              <w:top w:val="outset" w:sz="6" w:space="0" w:color="414142"/>
              <w:left w:val="outset" w:sz="6" w:space="0" w:color="414142"/>
              <w:bottom w:val="outset" w:sz="6" w:space="0" w:color="414142"/>
              <w:right w:val="outset" w:sz="6" w:space="0" w:color="414142"/>
            </w:tcBorders>
            <w:hideMark/>
          </w:tcPr>
          <w:p w14:paraId="64C65231" w14:textId="77777777" w:rsidR="00C15F1C" w:rsidRPr="00250B3C" w:rsidRDefault="00C15F1C" w:rsidP="00C15F1C">
            <w:r w:rsidRPr="00250B3C">
              <w:t>Projekta vienība, kas pārņem vai ievieš katru šīs tabulas A ailē minēto ES tiesību akta vienību, vai tiesību akts, kur attiecīgā ES tiesību akta vienība pārņemta vai ieviesta</w:t>
            </w:r>
          </w:p>
        </w:tc>
        <w:tc>
          <w:tcPr>
            <w:tcW w:w="1365" w:type="pct"/>
            <w:gridSpan w:val="2"/>
            <w:tcBorders>
              <w:top w:val="outset" w:sz="6" w:space="0" w:color="414142"/>
              <w:left w:val="outset" w:sz="6" w:space="0" w:color="414142"/>
              <w:bottom w:val="outset" w:sz="6" w:space="0" w:color="414142"/>
              <w:right w:val="outset" w:sz="6" w:space="0" w:color="414142"/>
            </w:tcBorders>
            <w:hideMark/>
          </w:tcPr>
          <w:p w14:paraId="274C0A54" w14:textId="77777777" w:rsidR="00C15F1C" w:rsidRPr="00250B3C" w:rsidRDefault="00C15F1C" w:rsidP="00C15F1C">
            <w:r w:rsidRPr="00250B3C">
              <w:t>Informācija par to, vai šīs tabulas A ailē minētās ES tiesību akta vienības tiek pārņemtas vai ieviestas pilnībā vai daļēji.</w:t>
            </w:r>
          </w:p>
          <w:p w14:paraId="2B34FAE7" w14:textId="77777777" w:rsidR="00C15F1C" w:rsidRPr="00250B3C" w:rsidRDefault="00C15F1C" w:rsidP="00C15F1C">
            <w:pPr>
              <w:pStyle w:val="tvhtml"/>
              <w:spacing w:line="293" w:lineRule="atLeast"/>
            </w:pPr>
            <w:r w:rsidRPr="00250B3C">
              <w:t xml:space="preserve">Ja attiecīgā ES tiesību akta vienība tiek pārņemta vai ieviesta daļēji, sniedz attiecīgu </w:t>
            </w:r>
            <w:r w:rsidRPr="00250B3C">
              <w:lastRenderedPageBreak/>
              <w:t>skaidrojumu, kā arī precīzi norāda, kad un kādā veidā ES tiesību akta vienība tiks pārņemta vai ieviesta pilnībā.</w:t>
            </w:r>
          </w:p>
          <w:p w14:paraId="2A8A4736" w14:textId="77777777" w:rsidR="00C15F1C" w:rsidRPr="00250B3C" w:rsidRDefault="00C15F1C" w:rsidP="00C15F1C">
            <w:pPr>
              <w:pStyle w:val="tvhtml"/>
              <w:spacing w:line="293" w:lineRule="atLeast"/>
            </w:pPr>
            <w:r w:rsidRPr="00250B3C">
              <w:t>Norāda institūciju, kas ir atbildīga par šo saistību izpildi pilnībā</w:t>
            </w:r>
          </w:p>
        </w:tc>
        <w:tc>
          <w:tcPr>
            <w:tcW w:w="1303" w:type="pct"/>
            <w:tcBorders>
              <w:top w:val="outset" w:sz="6" w:space="0" w:color="414142"/>
              <w:left w:val="outset" w:sz="6" w:space="0" w:color="414142"/>
              <w:bottom w:val="outset" w:sz="6" w:space="0" w:color="414142"/>
              <w:right w:val="outset" w:sz="6" w:space="0" w:color="414142"/>
            </w:tcBorders>
            <w:hideMark/>
          </w:tcPr>
          <w:p w14:paraId="15DAAD8C" w14:textId="77777777" w:rsidR="00C15F1C" w:rsidRPr="00250B3C" w:rsidRDefault="00C15F1C" w:rsidP="00C15F1C">
            <w:r w:rsidRPr="00250B3C">
              <w:lastRenderedPageBreak/>
              <w:t>Informācija par to, vai šīs tabulas B ailē minētās projekta vienības paredz stingrākas prasības nekā šīs tabulas A ailē minētās ES tiesību akta vienības.</w:t>
            </w:r>
          </w:p>
          <w:p w14:paraId="01409FEA" w14:textId="77777777" w:rsidR="00C15F1C" w:rsidRPr="00250B3C" w:rsidRDefault="00C15F1C" w:rsidP="00C15F1C">
            <w:pPr>
              <w:pStyle w:val="tvhtml"/>
              <w:spacing w:line="293" w:lineRule="atLeast"/>
            </w:pPr>
            <w:r w:rsidRPr="00250B3C">
              <w:t xml:space="preserve">Ja projekts satur stingrākas prasības </w:t>
            </w:r>
            <w:r w:rsidRPr="00250B3C">
              <w:lastRenderedPageBreak/>
              <w:t>nekā attiecīgais ES tiesību akts, norāda pamatojumu un samērīgumu.</w:t>
            </w:r>
          </w:p>
          <w:p w14:paraId="2743957F" w14:textId="77777777" w:rsidR="00C15F1C" w:rsidRPr="00250B3C" w:rsidRDefault="00C15F1C" w:rsidP="00C15F1C">
            <w:pPr>
              <w:pStyle w:val="tvhtml"/>
              <w:spacing w:line="293" w:lineRule="atLeast"/>
            </w:pPr>
            <w:r w:rsidRPr="00250B3C">
              <w:t>Norāda iespējamās alternatīvas (t.sk. alternatīvas, kas neparedz tiesiskā regulējuma izstrādi) – kādos gadījumos būtu iespējams izvairīties no stingrāku prasību noteikšanas, nekā paredzēts attiecīgajos ES tiesību aktos</w:t>
            </w:r>
          </w:p>
        </w:tc>
      </w:tr>
      <w:tr w:rsidR="00C95B8E" w:rsidRPr="00250B3C" w14:paraId="63C0AFB7"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536C78DC" w14:textId="77777777" w:rsidR="00C95B8E" w:rsidRPr="00250B3C" w:rsidRDefault="00C95B8E" w:rsidP="00C95B8E">
            <w:r w:rsidRPr="00250B3C">
              <w:lastRenderedPageBreak/>
              <w:t>Kā ir izmantota ES tiesību aktā paredzētā rīcības brīvība dalībvalstij pārņemt vai ieviest noteiktas ES tiesību akta normas?</w:t>
            </w:r>
            <w:r w:rsidRPr="00250B3C">
              <w:br/>
              <w:t>Kādēļ?</w:t>
            </w:r>
          </w:p>
        </w:tc>
        <w:tc>
          <w:tcPr>
            <w:tcW w:w="3655" w:type="pct"/>
            <w:gridSpan w:val="4"/>
            <w:tcBorders>
              <w:top w:val="outset" w:sz="6" w:space="0" w:color="414142"/>
              <w:left w:val="outset" w:sz="6" w:space="0" w:color="414142"/>
              <w:bottom w:val="outset" w:sz="6" w:space="0" w:color="414142"/>
              <w:right w:val="outset" w:sz="6" w:space="0" w:color="414142"/>
            </w:tcBorders>
          </w:tcPr>
          <w:p w14:paraId="65074A77" w14:textId="3340D558" w:rsidR="00C95B8E" w:rsidRPr="00250B3C" w:rsidRDefault="009355AA" w:rsidP="00C95B8E">
            <w:pPr>
              <w:jc w:val="both"/>
            </w:pPr>
            <w:r w:rsidRPr="00250B3C">
              <w:t>Projekts šo jomu neskar.</w:t>
            </w:r>
          </w:p>
        </w:tc>
      </w:tr>
      <w:tr w:rsidR="00C95B8E" w:rsidRPr="00250B3C" w14:paraId="5555332F"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221DC50" w14:textId="77777777" w:rsidR="00C95B8E" w:rsidRPr="00250B3C" w:rsidRDefault="00C95B8E" w:rsidP="00C95B8E">
            <w:r w:rsidRPr="00250B3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5" w:type="pct"/>
            <w:gridSpan w:val="4"/>
            <w:tcBorders>
              <w:top w:val="outset" w:sz="6" w:space="0" w:color="414142"/>
              <w:left w:val="outset" w:sz="6" w:space="0" w:color="414142"/>
              <w:bottom w:val="outset" w:sz="6" w:space="0" w:color="414142"/>
              <w:right w:val="outset" w:sz="6" w:space="0" w:color="414142"/>
            </w:tcBorders>
          </w:tcPr>
          <w:p w14:paraId="7D26D20D" w14:textId="594562CA" w:rsidR="00C95B8E" w:rsidRPr="00250B3C" w:rsidRDefault="009355AA" w:rsidP="00C95B8E">
            <w:pPr>
              <w:jc w:val="both"/>
            </w:pPr>
            <w:r w:rsidRPr="00250B3C">
              <w:t>Projekts šo jomu neskar.</w:t>
            </w:r>
          </w:p>
        </w:tc>
      </w:tr>
      <w:tr w:rsidR="00C95B8E" w:rsidRPr="00250B3C" w14:paraId="2D4D43C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409972A8" w14:textId="77777777" w:rsidR="00C95B8E" w:rsidRPr="00250B3C" w:rsidRDefault="00C95B8E" w:rsidP="00C95B8E">
            <w:r w:rsidRPr="00250B3C">
              <w:t>Cita informācija</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D0760A" w14:textId="6C879756" w:rsidR="00C95B8E" w:rsidRPr="00250B3C" w:rsidRDefault="00C95B8E" w:rsidP="00C95B8E">
            <w:pPr>
              <w:pStyle w:val="tvhtml"/>
              <w:spacing w:line="293" w:lineRule="atLeast"/>
            </w:pPr>
            <w:r w:rsidRPr="00250B3C">
              <w:rPr>
                <w:color w:val="000000" w:themeColor="text1"/>
              </w:rPr>
              <w:t>Nav.</w:t>
            </w:r>
          </w:p>
        </w:tc>
      </w:tr>
      <w:tr w:rsidR="00C95B8E" w:rsidRPr="00250B3C" w14:paraId="4ECC45F2"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2D596C" w14:textId="77777777" w:rsidR="00C95B8E" w:rsidRPr="00250B3C" w:rsidRDefault="00C95B8E" w:rsidP="00C95B8E">
            <w:pPr>
              <w:pStyle w:val="tvhtml"/>
              <w:spacing w:line="293" w:lineRule="atLeast"/>
              <w:jc w:val="center"/>
              <w:rPr>
                <w:b/>
                <w:bCs/>
              </w:rPr>
            </w:pPr>
            <w:r w:rsidRPr="00250B3C">
              <w:rPr>
                <w:b/>
                <w:bCs/>
              </w:rPr>
              <w:t>2.tabula</w:t>
            </w:r>
            <w:r w:rsidRPr="00250B3C">
              <w:rPr>
                <w:b/>
                <w:bCs/>
              </w:rPr>
              <w:br/>
              <w:t>Ar tiesību akta projektu izpildītās vai uzņemtās saistības, kas izriet no starptautiskajiem tiesību aktiem vai starptautiskas institūcijas vai organizācijas dokumentiem.</w:t>
            </w:r>
            <w:r w:rsidRPr="00250B3C">
              <w:rPr>
                <w:b/>
                <w:bCs/>
              </w:rPr>
              <w:br/>
              <w:t>Pasākumi šo saistību izpildei</w:t>
            </w:r>
          </w:p>
        </w:tc>
      </w:tr>
      <w:tr w:rsidR="00166CF6" w:rsidRPr="00250B3C" w14:paraId="515608AE"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0DA43A38" w14:textId="77777777" w:rsidR="00166CF6" w:rsidRPr="00250B3C" w:rsidRDefault="00166CF6" w:rsidP="00166CF6">
            <w:r w:rsidRPr="00250B3C">
              <w:t xml:space="preserve">Attiecīgā starptautiskā tiesību akta vai starptautiskas institūcijas vai organizācijas dokumenta (turpmāk – starptautiskais </w:t>
            </w:r>
            <w:r w:rsidRPr="00250B3C">
              <w:lastRenderedPageBreak/>
              <w:t>dokuments) datums, numurs un nosaukums</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705A3FFF" w14:textId="77777777" w:rsidR="00166CF6" w:rsidRPr="00250B3C" w:rsidRDefault="00166CF6" w:rsidP="00166CF6">
            <w:r w:rsidRPr="00250B3C">
              <w:lastRenderedPageBreak/>
              <w:t>Projekts šo jomu neskar.</w:t>
            </w:r>
          </w:p>
        </w:tc>
      </w:tr>
      <w:tr w:rsidR="00166CF6" w:rsidRPr="00250B3C" w14:paraId="1322A0E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6C97DC8A" w14:textId="77777777" w:rsidR="00166CF6" w:rsidRPr="00250B3C" w:rsidRDefault="00166CF6" w:rsidP="00166CF6">
            <w:pPr>
              <w:pStyle w:val="tvhtml"/>
              <w:spacing w:line="293" w:lineRule="atLeast"/>
              <w:jc w:val="center"/>
            </w:pPr>
            <w:r w:rsidRPr="00250B3C">
              <w:t>A</w:t>
            </w:r>
          </w:p>
        </w:tc>
        <w:tc>
          <w:tcPr>
            <w:tcW w:w="1770" w:type="pct"/>
            <w:gridSpan w:val="3"/>
            <w:tcBorders>
              <w:top w:val="outset" w:sz="6" w:space="0" w:color="414142"/>
              <w:left w:val="outset" w:sz="6" w:space="0" w:color="414142"/>
              <w:bottom w:val="outset" w:sz="6" w:space="0" w:color="414142"/>
              <w:right w:val="outset" w:sz="6" w:space="0" w:color="414142"/>
            </w:tcBorders>
            <w:vAlign w:val="center"/>
            <w:hideMark/>
          </w:tcPr>
          <w:p w14:paraId="18F49877" w14:textId="77777777" w:rsidR="00166CF6" w:rsidRPr="00250B3C" w:rsidRDefault="00166CF6" w:rsidP="00166CF6">
            <w:pPr>
              <w:pStyle w:val="tvhtml"/>
              <w:spacing w:line="293" w:lineRule="atLeast"/>
              <w:jc w:val="center"/>
            </w:pPr>
            <w:r w:rsidRPr="00250B3C">
              <w:t>B</w:t>
            </w:r>
          </w:p>
        </w:tc>
        <w:tc>
          <w:tcPr>
            <w:tcW w:w="1986" w:type="pct"/>
            <w:gridSpan w:val="2"/>
            <w:tcBorders>
              <w:top w:val="outset" w:sz="6" w:space="0" w:color="414142"/>
              <w:left w:val="outset" w:sz="6" w:space="0" w:color="414142"/>
              <w:bottom w:val="outset" w:sz="6" w:space="0" w:color="414142"/>
              <w:right w:val="outset" w:sz="6" w:space="0" w:color="414142"/>
            </w:tcBorders>
            <w:vAlign w:val="center"/>
            <w:hideMark/>
          </w:tcPr>
          <w:p w14:paraId="7A89CA4B" w14:textId="77777777" w:rsidR="00166CF6" w:rsidRPr="00250B3C" w:rsidRDefault="00166CF6" w:rsidP="00166CF6">
            <w:pPr>
              <w:pStyle w:val="tvhtml"/>
              <w:spacing w:line="293" w:lineRule="atLeast"/>
              <w:jc w:val="center"/>
            </w:pPr>
            <w:r w:rsidRPr="00250B3C">
              <w:t>C</w:t>
            </w:r>
          </w:p>
        </w:tc>
      </w:tr>
      <w:tr w:rsidR="00166CF6" w:rsidRPr="00250B3C" w14:paraId="47CF14B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2826E25" w14:textId="77777777" w:rsidR="00166CF6" w:rsidRPr="00250B3C" w:rsidRDefault="00166CF6" w:rsidP="00166CF6">
            <w:r w:rsidRPr="00250B3C">
              <w:t>Starptautiskās saistības (pēc būtības), kas izriet no norādītā starptautiskā dokumenta.</w:t>
            </w:r>
          </w:p>
          <w:p w14:paraId="50C840D4" w14:textId="77777777" w:rsidR="00166CF6" w:rsidRPr="00250B3C" w:rsidRDefault="00166CF6" w:rsidP="00166CF6">
            <w:pPr>
              <w:pStyle w:val="tvhtml"/>
              <w:spacing w:line="293" w:lineRule="atLeast"/>
            </w:pPr>
            <w:r w:rsidRPr="00250B3C">
              <w:t>Konkrēti veicamie pasākumi vai uzdevumi, kas nepieciešami šo starptautisko saistību izpildei</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2D6BF87B" w14:textId="77777777" w:rsidR="00166CF6" w:rsidRPr="00250B3C" w:rsidRDefault="00166CF6" w:rsidP="00166CF6">
            <w:r w:rsidRPr="00250B3C">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22285D01" w14:textId="77777777" w:rsidR="00166CF6" w:rsidRPr="00250B3C" w:rsidRDefault="00166CF6" w:rsidP="00166CF6">
            <w:r w:rsidRPr="00250B3C">
              <w:t>Informācija par to vai starptautiskās saistības, kas minētas šīs tabulas A ailē, tiek izpildītas pilnībā vai daļēji.</w:t>
            </w:r>
          </w:p>
          <w:p w14:paraId="0184AC6F" w14:textId="77777777" w:rsidR="00166CF6" w:rsidRPr="00250B3C" w:rsidRDefault="00166CF6" w:rsidP="00166CF6">
            <w:pPr>
              <w:pStyle w:val="tvhtml"/>
              <w:spacing w:line="293" w:lineRule="atLeast"/>
            </w:pPr>
            <w:r w:rsidRPr="00250B3C">
              <w:t>Ja attiecīgās starptautiskās saistības tiek izpildītas daļēji, sniedz skaidrojumu, kā arī precīzi norāda, kad un kādā veidā starptautiskās saistības tiks izpildītas pilnībā.</w:t>
            </w:r>
          </w:p>
          <w:p w14:paraId="59D7D339" w14:textId="77777777" w:rsidR="00166CF6" w:rsidRPr="00250B3C" w:rsidRDefault="00166CF6" w:rsidP="00166CF6">
            <w:pPr>
              <w:pStyle w:val="tvhtml"/>
              <w:spacing w:line="293" w:lineRule="atLeast"/>
            </w:pPr>
            <w:r w:rsidRPr="00250B3C">
              <w:t>Norāda institūciju, kas ir atbildīga par šo saistību izpildi pilnībā</w:t>
            </w:r>
          </w:p>
        </w:tc>
      </w:tr>
      <w:tr w:rsidR="00166CF6" w:rsidRPr="00250B3C" w14:paraId="06C4A21D"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6E598737" w14:textId="77777777" w:rsidR="00166CF6" w:rsidRPr="00250B3C" w:rsidRDefault="00166CF6" w:rsidP="00166CF6">
            <w:r w:rsidRPr="00250B3C">
              <w:t>Projekts šo jomu neskar.</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7BA53CAB" w14:textId="77777777" w:rsidR="00166CF6" w:rsidRPr="00250B3C" w:rsidRDefault="00166CF6" w:rsidP="00166CF6">
            <w:r w:rsidRPr="00250B3C">
              <w:t>Projekts šo jomu neskar.</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0D155759" w14:textId="77777777" w:rsidR="00166CF6" w:rsidRPr="00250B3C" w:rsidRDefault="00166CF6" w:rsidP="00166CF6">
            <w:r w:rsidRPr="00250B3C">
              <w:t>Projekts šo jomu neskar.</w:t>
            </w:r>
          </w:p>
        </w:tc>
      </w:tr>
      <w:tr w:rsidR="00166CF6" w:rsidRPr="00250B3C" w14:paraId="2CA7E458"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408BEF87" w14:textId="77777777" w:rsidR="00166CF6" w:rsidRPr="00250B3C" w:rsidRDefault="00166CF6" w:rsidP="00166CF6">
            <w:r w:rsidRPr="00250B3C">
              <w:t>Vai starptautiskajā dokumentā paredzētās saistības nav pretrunā ar jau esošajām Latvijas Republikas starptautiskajām saistībām</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5370E256" w14:textId="77777777" w:rsidR="00166CF6" w:rsidRPr="00250B3C" w:rsidRDefault="00166CF6" w:rsidP="00166CF6">
            <w:r w:rsidRPr="00250B3C">
              <w:t>Projekts šo jomu neskar.</w:t>
            </w:r>
          </w:p>
        </w:tc>
      </w:tr>
      <w:tr w:rsidR="00166CF6" w:rsidRPr="00250B3C" w14:paraId="5F8F4AE6"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FEFDB69" w14:textId="77777777" w:rsidR="00166CF6" w:rsidRPr="00250B3C" w:rsidRDefault="00166CF6" w:rsidP="00166CF6">
            <w:r w:rsidRPr="00250B3C">
              <w:t>Cita informācija</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6FC12402" w14:textId="77777777" w:rsidR="00166CF6" w:rsidRPr="00250B3C" w:rsidRDefault="00166CF6" w:rsidP="00166CF6">
            <w:pPr>
              <w:pStyle w:val="tvhtml"/>
              <w:spacing w:line="293" w:lineRule="atLeast"/>
            </w:pPr>
            <w:r w:rsidRPr="00250B3C">
              <w:t>Nav.</w:t>
            </w:r>
          </w:p>
        </w:tc>
      </w:tr>
    </w:tbl>
    <w:p w14:paraId="1739423B" w14:textId="77777777" w:rsidR="00C318BB" w:rsidRPr="00250B3C" w:rsidRDefault="00C318BB" w:rsidP="006B3C54">
      <w:pPr>
        <w:jc w:val="both"/>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3991"/>
        <w:gridCol w:w="4921"/>
      </w:tblGrid>
      <w:tr w:rsidR="00263FFC" w:rsidRPr="00250B3C" w14:paraId="68805E86" w14:textId="77777777" w:rsidTr="00BB0D8D">
        <w:trPr>
          <w:jc w:val="center"/>
        </w:trPr>
        <w:tc>
          <w:tcPr>
            <w:tcW w:w="9319" w:type="dxa"/>
            <w:gridSpan w:val="3"/>
          </w:tcPr>
          <w:p w14:paraId="0AAEA1C3" w14:textId="77777777" w:rsidR="00263FFC" w:rsidRPr="00250B3C" w:rsidRDefault="00263FFC" w:rsidP="00647D6D">
            <w:pPr>
              <w:pStyle w:val="naisnod"/>
              <w:spacing w:before="0" w:after="0"/>
              <w:ind w:left="57" w:right="57"/>
            </w:pPr>
            <w:r w:rsidRPr="00250B3C">
              <w:t xml:space="preserve">VI. Sabiedrības līdzdalība un </w:t>
            </w:r>
            <w:r w:rsidR="00647D6D" w:rsidRPr="00250B3C">
              <w:t>komunikācijas aktivitātes</w:t>
            </w:r>
          </w:p>
        </w:tc>
      </w:tr>
      <w:tr w:rsidR="008900BD" w:rsidRPr="00250B3C" w14:paraId="4BB0BBB1" w14:textId="77777777" w:rsidTr="00BB0D8D">
        <w:trPr>
          <w:trHeight w:val="553"/>
          <w:jc w:val="center"/>
        </w:trPr>
        <w:tc>
          <w:tcPr>
            <w:tcW w:w="407" w:type="dxa"/>
          </w:tcPr>
          <w:p w14:paraId="1FB72CB9" w14:textId="77777777" w:rsidR="008900BD" w:rsidRPr="00250B3C" w:rsidRDefault="008900BD" w:rsidP="008900BD">
            <w:pPr>
              <w:pStyle w:val="naiskr"/>
              <w:spacing w:before="0" w:after="0"/>
              <w:ind w:left="57" w:right="57"/>
              <w:rPr>
                <w:bCs/>
                <w:sz w:val="28"/>
                <w:szCs w:val="28"/>
              </w:rPr>
            </w:pPr>
            <w:r w:rsidRPr="00250B3C">
              <w:rPr>
                <w:bCs/>
                <w:sz w:val="28"/>
                <w:szCs w:val="28"/>
              </w:rPr>
              <w:t>1.</w:t>
            </w:r>
          </w:p>
        </w:tc>
        <w:tc>
          <w:tcPr>
            <w:tcW w:w="3991" w:type="dxa"/>
          </w:tcPr>
          <w:p w14:paraId="513B7A37" w14:textId="77777777" w:rsidR="008900BD" w:rsidRPr="00250B3C" w:rsidRDefault="008900BD" w:rsidP="008900BD">
            <w:pPr>
              <w:pStyle w:val="naiskr"/>
              <w:tabs>
                <w:tab w:val="left" w:pos="170"/>
              </w:tabs>
              <w:spacing w:before="0" w:after="0"/>
              <w:ind w:left="57" w:right="57"/>
            </w:pPr>
            <w:r w:rsidRPr="00250B3C">
              <w:t>Plānotās sabiedrības līdzdalības un komunikācijas aktivitātes saistībā ar projektu</w:t>
            </w:r>
          </w:p>
        </w:tc>
        <w:tc>
          <w:tcPr>
            <w:tcW w:w="4921" w:type="dxa"/>
          </w:tcPr>
          <w:p w14:paraId="71CC74FB" w14:textId="5AB2ECC7" w:rsidR="008900BD" w:rsidRPr="00250B3C" w:rsidRDefault="00550CFD" w:rsidP="007B55D0">
            <w:pPr>
              <w:pStyle w:val="naiskr"/>
              <w:spacing w:before="0" w:after="0"/>
              <w:ind w:left="121" w:right="264"/>
              <w:jc w:val="both"/>
            </w:pPr>
            <w:r>
              <w:t>N</w:t>
            </w:r>
            <w:r w:rsidRPr="009B5620">
              <w:t>oteikumu projekts tika publicēts VARAM</w:t>
            </w:r>
            <w:r>
              <w:t xml:space="preserve"> </w:t>
            </w:r>
            <w:r w:rsidRPr="009B5620">
              <w:t xml:space="preserve">tīmekļvietnē 2019. gada </w:t>
            </w:r>
            <w:r>
              <w:t>4. oktobrī</w:t>
            </w:r>
            <w:r w:rsidRPr="009B5620">
              <w:t xml:space="preserve"> </w:t>
            </w:r>
            <w:r>
              <w:t xml:space="preserve">un Valsts kancelejas tīmekļa vietnē 7. oktobrī </w:t>
            </w:r>
            <w:r w:rsidRPr="009B5620">
              <w:t xml:space="preserve">publiskai apspriešanai un komentāru sniegšanai līdz </w:t>
            </w:r>
            <w:r>
              <w:t>21. oktobrim</w:t>
            </w:r>
            <w:r w:rsidR="00524B54">
              <w:t>.</w:t>
            </w:r>
            <w:r w:rsidR="00524B54" w:rsidRPr="009B5620">
              <w:t xml:space="preserve"> </w:t>
            </w:r>
          </w:p>
        </w:tc>
      </w:tr>
      <w:tr w:rsidR="008900BD" w:rsidRPr="00250B3C" w14:paraId="3ADD65AF" w14:textId="77777777" w:rsidTr="00BB0D8D">
        <w:trPr>
          <w:trHeight w:val="487"/>
          <w:jc w:val="center"/>
        </w:trPr>
        <w:tc>
          <w:tcPr>
            <w:tcW w:w="407" w:type="dxa"/>
          </w:tcPr>
          <w:p w14:paraId="561D4E8A" w14:textId="77777777" w:rsidR="008900BD" w:rsidRPr="00250B3C" w:rsidRDefault="008900BD" w:rsidP="008900BD">
            <w:pPr>
              <w:pStyle w:val="naiskr"/>
              <w:spacing w:before="0" w:after="0"/>
              <w:ind w:left="57" w:right="57"/>
              <w:rPr>
                <w:bCs/>
              </w:rPr>
            </w:pPr>
            <w:r w:rsidRPr="00250B3C">
              <w:rPr>
                <w:bCs/>
              </w:rPr>
              <w:t>2.</w:t>
            </w:r>
          </w:p>
        </w:tc>
        <w:tc>
          <w:tcPr>
            <w:tcW w:w="3991" w:type="dxa"/>
          </w:tcPr>
          <w:p w14:paraId="3D5AEAC9" w14:textId="77777777" w:rsidR="008900BD" w:rsidRPr="00250B3C" w:rsidRDefault="008900BD" w:rsidP="008900BD">
            <w:pPr>
              <w:pStyle w:val="naiskr"/>
              <w:spacing w:before="0" w:after="0"/>
              <w:ind w:left="57" w:right="57"/>
            </w:pPr>
            <w:r w:rsidRPr="00250B3C">
              <w:t xml:space="preserve">Sabiedrības līdzdalība projekta izstrādē </w:t>
            </w:r>
          </w:p>
        </w:tc>
        <w:tc>
          <w:tcPr>
            <w:tcW w:w="4921" w:type="dxa"/>
          </w:tcPr>
          <w:p w14:paraId="63EDF503" w14:textId="03542A27" w:rsidR="008900BD" w:rsidRPr="00250B3C" w:rsidRDefault="00550CFD" w:rsidP="00550CFD">
            <w:pPr>
              <w:pStyle w:val="naiskr"/>
              <w:spacing w:before="0" w:after="0"/>
              <w:ind w:left="121" w:right="123"/>
              <w:jc w:val="both"/>
            </w:pPr>
            <w:r>
              <w:t xml:space="preserve">Sabiedrībai bija iespējas sniegt savu viedokli pēc Noteikumu projekta publicēšanas VARAM un Valsts kancelejas tīmekļvietnēs, kā arī pastāv iespēja to darīt arī pēc tā izsludināšanas Valsts sekretāru sanāksmē. </w:t>
            </w:r>
          </w:p>
        </w:tc>
      </w:tr>
      <w:tr w:rsidR="008900BD" w:rsidRPr="00250B3C" w14:paraId="73465FF9" w14:textId="77777777" w:rsidTr="00BB0D8D">
        <w:trPr>
          <w:trHeight w:val="375"/>
          <w:jc w:val="center"/>
        </w:trPr>
        <w:tc>
          <w:tcPr>
            <w:tcW w:w="407" w:type="dxa"/>
          </w:tcPr>
          <w:p w14:paraId="5A92AC23" w14:textId="77777777" w:rsidR="008900BD" w:rsidRPr="00250B3C" w:rsidRDefault="008900BD" w:rsidP="008900BD">
            <w:pPr>
              <w:pStyle w:val="naiskr"/>
              <w:spacing w:before="0" w:after="0"/>
              <w:ind w:left="57" w:right="57"/>
              <w:rPr>
                <w:bCs/>
              </w:rPr>
            </w:pPr>
            <w:r w:rsidRPr="00250B3C">
              <w:rPr>
                <w:bCs/>
              </w:rPr>
              <w:t>3.</w:t>
            </w:r>
          </w:p>
        </w:tc>
        <w:tc>
          <w:tcPr>
            <w:tcW w:w="3991" w:type="dxa"/>
          </w:tcPr>
          <w:p w14:paraId="47E29215" w14:textId="77777777" w:rsidR="008900BD" w:rsidRPr="00250B3C" w:rsidRDefault="008900BD" w:rsidP="008900BD">
            <w:pPr>
              <w:pStyle w:val="naiskr"/>
              <w:spacing w:before="0" w:after="0"/>
              <w:ind w:left="57" w:right="57"/>
            </w:pPr>
            <w:r w:rsidRPr="00250B3C">
              <w:t xml:space="preserve">Sabiedrības līdzdalības rezultāti </w:t>
            </w:r>
          </w:p>
        </w:tc>
        <w:tc>
          <w:tcPr>
            <w:tcW w:w="4921" w:type="dxa"/>
          </w:tcPr>
          <w:p w14:paraId="5A0B0186" w14:textId="5CA0CAF3" w:rsidR="008900BD" w:rsidRPr="00250B3C" w:rsidRDefault="008900BD" w:rsidP="008900BD">
            <w:pPr>
              <w:pStyle w:val="naiskr"/>
              <w:spacing w:before="0" w:after="0"/>
              <w:ind w:left="121" w:right="264"/>
              <w:jc w:val="both"/>
            </w:pPr>
            <w:r w:rsidRPr="009B5620">
              <w:t>Priekšlikumi no sabiedrības nav saņemti</w:t>
            </w:r>
          </w:p>
        </w:tc>
      </w:tr>
      <w:tr w:rsidR="008900BD" w:rsidRPr="00250B3C" w14:paraId="74EB9EAF" w14:textId="77777777" w:rsidTr="00BB0D8D">
        <w:trPr>
          <w:trHeight w:val="476"/>
          <w:jc w:val="center"/>
        </w:trPr>
        <w:tc>
          <w:tcPr>
            <w:tcW w:w="407" w:type="dxa"/>
          </w:tcPr>
          <w:p w14:paraId="6DDCBBAE" w14:textId="77777777" w:rsidR="008900BD" w:rsidRPr="00250B3C" w:rsidRDefault="008900BD" w:rsidP="008900BD">
            <w:pPr>
              <w:pStyle w:val="naiskr"/>
              <w:spacing w:before="0" w:after="0"/>
              <w:ind w:left="57" w:right="57"/>
              <w:rPr>
                <w:bCs/>
              </w:rPr>
            </w:pPr>
            <w:r w:rsidRPr="00250B3C">
              <w:rPr>
                <w:bCs/>
              </w:rPr>
              <w:t>4.</w:t>
            </w:r>
          </w:p>
        </w:tc>
        <w:tc>
          <w:tcPr>
            <w:tcW w:w="3991" w:type="dxa"/>
          </w:tcPr>
          <w:p w14:paraId="4818F587" w14:textId="77777777" w:rsidR="008900BD" w:rsidRPr="00250B3C" w:rsidRDefault="008900BD" w:rsidP="008900BD">
            <w:pPr>
              <w:pStyle w:val="naiskr"/>
              <w:spacing w:before="0" w:after="0"/>
              <w:ind w:left="57" w:right="57"/>
            </w:pPr>
            <w:r w:rsidRPr="00250B3C">
              <w:t>Cita informācija</w:t>
            </w:r>
          </w:p>
          <w:p w14:paraId="00900481" w14:textId="77777777" w:rsidR="008900BD" w:rsidRPr="00250B3C" w:rsidRDefault="008900BD" w:rsidP="008900BD">
            <w:pPr>
              <w:pStyle w:val="naiskr"/>
              <w:spacing w:before="0" w:after="0"/>
              <w:ind w:left="57" w:right="57"/>
            </w:pPr>
          </w:p>
        </w:tc>
        <w:tc>
          <w:tcPr>
            <w:tcW w:w="4921" w:type="dxa"/>
          </w:tcPr>
          <w:p w14:paraId="30096EC7" w14:textId="735E0853" w:rsidR="008900BD" w:rsidRPr="00250B3C" w:rsidRDefault="008900BD" w:rsidP="008900BD">
            <w:pPr>
              <w:pStyle w:val="naiskr"/>
              <w:spacing w:before="0" w:after="0"/>
              <w:ind w:left="121" w:right="264"/>
              <w:jc w:val="both"/>
            </w:pPr>
            <w:r w:rsidRPr="009B5620">
              <w:t>Nav.</w:t>
            </w:r>
          </w:p>
        </w:tc>
      </w:tr>
    </w:tbl>
    <w:p w14:paraId="0E33957A" w14:textId="77777777" w:rsidR="00A10BF2" w:rsidRPr="00250B3C" w:rsidRDefault="00A10BF2" w:rsidP="006B3C54">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4961"/>
        <w:gridCol w:w="3827"/>
      </w:tblGrid>
      <w:tr w:rsidR="00263FFC" w:rsidRPr="00250B3C" w14:paraId="76FB7B16" w14:textId="77777777" w:rsidTr="00BB0D8D">
        <w:tc>
          <w:tcPr>
            <w:tcW w:w="9389" w:type="dxa"/>
            <w:gridSpan w:val="3"/>
            <w:tcBorders>
              <w:top w:val="single" w:sz="4" w:space="0" w:color="auto"/>
            </w:tcBorders>
          </w:tcPr>
          <w:p w14:paraId="6BFA28C8" w14:textId="77777777" w:rsidR="00263FFC" w:rsidRPr="00250B3C" w:rsidRDefault="00263FFC" w:rsidP="00306098">
            <w:pPr>
              <w:pStyle w:val="naisnod"/>
              <w:spacing w:before="0" w:after="0"/>
              <w:ind w:left="57" w:right="57"/>
              <w:rPr>
                <w:sz w:val="28"/>
                <w:szCs w:val="28"/>
              </w:rPr>
            </w:pPr>
            <w:r w:rsidRPr="00250B3C">
              <w:rPr>
                <w:szCs w:val="28"/>
              </w:rPr>
              <w:t>VII. Tiesību akta projekta izpildes nodrošināšana un tās ietekme uz institūcijām</w:t>
            </w:r>
          </w:p>
        </w:tc>
      </w:tr>
      <w:tr w:rsidR="008900BD" w:rsidRPr="00250B3C" w14:paraId="147F4932" w14:textId="77777777" w:rsidTr="00BB0D8D">
        <w:trPr>
          <w:trHeight w:val="427"/>
        </w:trPr>
        <w:tc>
          <w:tcPr>
            <w:tcW w:w="601" w:type="dxa"/>
          </w:tcPr>
          <w:p w14:paraId="28ADF3B4" w14:textId="77777777" w:rsidR="008900BD" w:rsidRPr="00250B3C" w:rsidRDefault="008900BD" w:rsidP="008900BD">
            <w:pPr>
              <w:pStyle w:val="naisnod"/>
              <w:spacing w:before="0" w:after="0"/>
              <w:ind w:left="57" w:right="57"/>
              <w:jc w:val="left"/>
              <w:rPr>
                <w:b w:val="0"/>
              </w:rPr>
            </w:pPr>
            <w:r w:rsidRPr="00250B3C">
              <w:rPr>
                <w:b w:val="0"/>
              </w:rPr>
              <w:t>1.</w:t>
            </w:r>
          </w:p>
        </w:tc>
        <w:tc>
          <w:tcPr>
            <w:tcW w:w="4961" w:type="dxa"/>
          </w:tcPr>
          <w:p w14:paraId="346B0BD8" w14:textId="77777777" w:rsidR="008900BD" w:rsidRPr="00250B3C" w:rsidRDefault="008900BD" w:rsidP="008900BD">
            <w:pPr>
              <w:pStyle w:val="naisf"/>
              <w:spacing w:before="0" w:after="0"/>
              <w:ind w:left="57" w:right="57" w:firstLine="0"/>
              <w:jc w:val="left"/>
            </w:pPr>
            <w:r w:rsidRPr="00250B3C">
              <w:t xml:space="preserve">Projekta izpildē iesaistītās institūcijas </w:t>
            </w:r>
          </w:p>
        </w:tc>
        <w:tc>
          <w:tcPr>
            <w:tcW w:w="3827" w:type="dxa"/>
          </w:tcPr>
          <w:p w14:paraId="09B233F1" w14:textId="73E78B45" w:rsidR="008900BD" w:rsidRPr="00A00254" w:rsidRDefault="008900BD" w:rsidP="008900BD">
            <w:pPr>
              <w:pStyle w:val="tv213"/>
              <w:spacing w:before="0" w:beforeAutospacing="0" w:after="0" w:afterAutospacing="0"/>
              <w:ind w:left="81" w:right="147"/>
              <w:jc w:val="both"/>
              <w:rPr>
                <w:b/>
                <w:color w:val="000000" w:themeColor="text1"/>
              </w:rPr>
            </w:pPr>
            <w:r w:rsidRPr="009B5620">
              <w:t>VARAM un VIF</w:t>
            </w:r>
          </w:p>
        </w:tc>
      </w:tr>
      <w:tr w:rsidR="008900BD" w:rsidRPr="00250B3C" w14:paraId="24B24A4D" w14:textId="77777777" w:rsidTr="00BB0D8D">
        <w:trPr>
          <w:trHeight w:val="463"/>
        </w:trPr>
        <w:tc>
          <w:tcPr>
            <w:tcW w:w="601" w:type="dxa"/>
          </w:tcPr>
          <w:p w14:paraId="7227AFD2" w14:textId="2C0A5C96" w:rsidR="008900BD" w:rsidRPr="00250B3C" w:rsidRDefault="008900BD" w:rsidP="008900BD">
            <w:pPr>
              <w:pStyle w:val="naisnod"/>
              <w:spacing w:before="0" w:after="0"/>
              <w:ind w:left="57" w:right="57"/>
              <w:jc w:val="left"/>
              <w:rPr>
                <w:b w:val="0"/>
              </w:rPr>
            </w:pPr>
            <w:r w:rsidRPr="00250B3C">
              <w:rPr>
                <w:b w:val="0"/>
              </w:rPr>
              <w:t>2.</w:t>
            </w:r>
          </w:p>
        </w:tc>
        <w:tc>
          <w:tcPr>
            <w:tcW w:w="4961" w:type="dxa"/>
          </w:tcPr>
          <w:p w14:paraId="7790EF04" w14:textId="20E5087E" w:rsidR="008900BD" w:rsidRPr="00250B3C" w:rsidRDefault="008900BD" w:rsidP="00844384">
            <w:pPr>
              <w:pStyle w:val="naisf"/>
              <w:spacing w:before="0" w:after="0"/>
              <w:ind w:left="57" w:right="57" w:firstLine="0"/>
              <w:jc w:val="left"/>
            </w:pPr>
            <w:r w:rsidRPr="00250B3C">
              <w:t xml:space="preserve">Projekta izpildes ietekme uz pārvaldes funkcijām un institucionālo struktūru. Jaunu institūciju izveide, esošo institūciju likvidācija vai </w:t>
            </w:r>
            <w:r w:rsidRPr="00250B3C">
              <w:lastRenderedPageBreak/>
              <w:t>reorganizācija, to ietekme uz institūcijas cilvēkresursiem.</w:t>
            </w:r>
          </w:p>
        </w:tc>
        <w:tc>
          <w:tcPr>
            <w:tcW w:w="3827" w:type="dxa"/>
          </w:tcPr>
          <w:p w14:paraId="0E2E63AB" w14:textId="10516D8B" w:rsidR="008900BD" w:rsidRPr="00250B3C" w:rsidRDefault="008900BD" w:rsidP="008900BD">
            <w:pPr>
              <w:pStyle w:val="naisnod"/>
              <w:spacing w:before="0" w:after="0"/>
              <w:ind w:left="57" w:right="57"/>
              <w:jc w:val="both"/>
              <w:rPr>
                <w:b w:val="0"/>
              </w:rPr>
            </w:pPr>
            <w:r w:rsidRPr="009B5620">
              <w:rPr>
                <w:b w:val="0"/>
              </w:rPr>
              <w:lastRenderedPageBreak/>
              <w:t>Jaunas institūcijas netiks veidotas.</w:t>
            </w:r>
          </w:p>
        </w:tc>
      </w:tr>
      <w:tr w:rsidR="008900BD" w:rsidRPr="00250B3C" w14:paraId="2F036722" w14:textId="77777777" w:rsidTr="00BB0D8D">
        <w:trPr>
          <w:trHeight w:val="476"/>
        </w:trPr>
        <w:tc>
          <w:tcPr>
            <w:tcW w:w="601" w:type="dxa"/>
          </w:tcPr>
          <w:p w14:paraId="66D921C5" w14:textId="77777777" w:rsidR="008900BD" w:rsidRPr="00250B3C" w:rsidRDefault="008900BD" w:rsidP="008900BD">
            <w:pPr>
              <w:pStyle w:val="naiskr"/>
              <w:spacing w:before="0" w:after="0"/>
              <w:ind w:left="57" w:right="57"/>
            </w:pPr>
            <w:r w:rsidRPr="00250B3C">
              <w:t>3.</w:t>
            </w:r>
          </w:p>
        </w:tc>
        <w:tc>
          <w:tcPr>
            <w:tcW w:w="4961" w:type="dxa"/>
          </w:tcPr>
          <w:p w14:paraId="32F16C71" w14:textId="77777777" w:rsidR="008900BD" w:rsidRPr="00250B3C" w:rsidRDefault="008900BD" w:rsidP="008900BD">
            <w:pPr>
              <w:pStyle w:val="naiskr"/>
              <w:spacing w:before="0" w:after="0"/>
              <w:ind w:left="57" w:right="57"/>
            </w:pPr>
            <w:r w:rsidRPr="00250B3C">
              <w:t>Cita informācija</w:t>
            </w:r>
          </w:p>
        </w:tc>
        <w:tc>
          <w:tcPr>
            <w:tcW w:w="3827" w:type="dxa"/>
          </w:tcPr>
          <w:p w14:paraId="72D9F7C6" w14:textId="2F6A724C" w:rsidR="008900BD" w:rsidRPr="00250B3C" w:rsidRDefault="008900BD" w:rsidP="008900BD">
            <w:pPr>
              <w:pStyle w:val="naiskr"/>
              <w:spacing w:before="0" w:after="0"/>
              <w:ind w:left="57" w:right="57"/>
            </w:pPr>
            <w:r w:rsidRPr="009B5620">
              <w:t>Nav</w:t>
            </w:r>
          </w:p>
        </w:tc>
      </w:tr>
    </w:tbl>
    <w:p w14:paraId="30985519" w14:textId="77777777" w:rsidR="002D0400" w:rsidRPr="00250B3C" w:rsidRDefault="002D0400" w:rsidP="006B3C54">
      <w:pPr>
        <w:jc w:val="both"/>
        <w:rPr>
          <w:sz w:val="28"/>
        </w:rPr>
      </w:pPr>
    </w:p>
    <w:p w14:paraId="5F058070" w14:textId="77777777" w:rsidR="00D30C05" w:rsidRPr="00250B3C" w:rsidRDefault="00D30C05" w:rsidP="00B346D7">
      <w:pPr>
        <w:pStyle w:val="naisf"/>
        <w:tabs>
          <w:tab w:val="left" w:pos="6840"/>
        </w:tabs>
        <w:spacing w:before="0" w:after="0"/>
        <w:ind w:firstLine="0"/>
        <w:rPr>
          <w:sz w:val="28"/>
          <w:szCs w:val="28"/>
        </w:rPr>
      </w:pPr>
    </w:p>
    <w:p w14:paraId="0FC68A9C" w14:textId="77777777" w:rsidR="00D957C5" w:rsidRPr="00250B3C" w:rsidRDefault="00D957C5" w:rsidP="00D957C5">
      <w:pPr>
        <w:pStyle w:val="naisf"/>
        <w:tabs>
          <w:tab w:val="left" w:pos="6840"/>
        </w:tabs>
        <w:spacing w:before="0" w:after="0"/>
        <w:ind w:firstLine="0"/>
        <w:rPr>
          <w:sz w:val="28"/>
          <w:szCs w:val="28"/>
        </w:rPr>
      </w:pPr>
      <w:r w:rsidRPr="00250B3C">
        <w:rPr>
          <w:sz w:val="28"/>
          <w:szCs w:val="28"/>
        </w:rPr>
        <w:t>Vides aizsardzības un</w:t>
      </w:r>
    </w:p>
    <w:p w14:paraId="711D3927" w14:textId="0562BF69" w:rsidR="00263FFC" w:rsidRPr="00250B3C" w:rsidRDefault="00D957C5" w:rsidP="00D957C5">
      <w:pPr>
        <w:pStyle w:val="naisf"/>
        <w:tabs>
          <w:tab w:val="left" w:pos="6840"/>
        </w:tabs>
        <w:spacing w:before="0" w:after="0"/>
        <w:ind w:firstLine="0"/>
        <w:rPr>
          <w:sz w:val="28"/>
          <w:szCs w:val="28"/>
        </w:rPr>
      </w:pPr>
      <w:r w:rsidRPr="00250B3C">
        <w:rPr>
          <w:sz w:val="28"/>
          <w:szCs w:val="28"/>
        </w:rPr>
        <w:t>reģionālās attīstības</w:t>
      </w:r>
      <w:r w:rsidR="005C208D" w:rsidRPr="00250B3C">
        <w:rPr>
          <w:sz w:val="28"/>
          <w:szCs w:val="28"/>
        </w:rPr>
        <w:t xml:space="preserve"> ministrs</w:t>
      </w:r>
      <w:r w:rsidR="00F06809" w:rsidRPr="00250B3C">
        <w:rPr>
          <w:sz w:val="28"/>
          <w:szCs w:val="28"/>
        </w:rPr>
        <w:t xml:space="preserve"> </w:t>
      </w:r>
      <w:r w:rsidRPr="00250B3C">
        <w:rPr>
          <w:sz w:val="28"/>
          <w:szCs w:val="28"/>
        </w:rPr>
        <w:t xml:space="preserve"> </w:t>
      </w:r>
      <w:r w:rsidRPr="00250B3C">
        <w:rPr>
          <w:sz w:val="28"/>
          <w:szCs w:val="28"/>
        </w:rPr>
        <w:tab/>
      </w:r>
      <w:r w:rsidRPr="00250B3C">
        <w:rPr>
          <w:sz w:val="28"/>
          <w:szCs w:val="28"/>
        </w:rPr>
        <w:tab/>
      </w:r>
      <w:r w:rsidR="00304547">
        <w:rPr>
          <w:sz w:val="28"/>
          <w:szCs w:val="28"/>
        </w:rPr>
        <w:t>J</w:t>
      </w:r>
      <w:r w:rsidRPr="00250B3C">
        <w:rPr>
          <w:sz w:val="28"/>
          <w:szCs w:val="28"/>
        </w:rPr>
        <w:t>. </w:t>
      </w:r>
      <w:r w:rsidR="00304547">
        <w:rPr>
          <w:sz w:val="28"/>
          <w:szCs w:val="28"/>
        </w:rPr>
        <w:t>Pūce</w:t>
      </w:r>
    </w:p>
    <w:p w14:paraId="09267FA9" w14:textId="74324AC8" w:rsidR="00F47D5E" w:rsidRPr="00250B3C" w:rsidRDefault="00F47D5E" w:rsidP="00D957C5">
      <w:pPr>
        <w:pStyle w:val="naisf"/>
        <w:tabs>
          <w:tab w:val="left" w:pos="6840"/>
        </w:tabs>
        <w:spacing w:before="0" w:after="0"/>
        <w:ind w:firstLine="0"/>
        <w:rPr>
          <w:sz w:val="28"/>
          <w:szCs w:val="28"/>
        </w:rPr>
      </w:pPr>
    </w:p>
    <w:p w14:paraId="23C4C5B4" w14:textId="77777777" w:rsidR="009232AB" w:rsidRPr="00250B3C" w:rsidRDefault="009232AB" w:rsidP="00D957C5">
      <w:pPr>
        <w:pStyle w:val="naisf"/>
        <w:tabs>
          <w:tab w:val="left" w:pos="6840"/>
        </w:tabs>
        <w:spacing w:before="0" w:after="0"/>
        <w:ind w:firstLine="0"/>
        <w:rPr>
          <w:sz w:val="28"/>
          <w:szCs w:val="28"/>
        </w:rPr>
      </w:pPr>
    </w:p>
    <w:p w14:paraId="1E0ADBB9" w14:textId="77777777" w:rsidR="009355AA" w:rsidRDefault="009355AA" w:rsidP="00D957C5">
      <w:pPr>
        <w:pStyle w:val="naisf"/>
        <w:tabs>
          <w:tab w:val="left" w:pos="6840"/>
        </w:tabs>
        <w:spacing w:before="0" w:after="0"/>
        <w:ind w:firstLine="0"/>
        <w:rPr>
          <w:sz w:val="28"/>
          <w:szCs w:val="28"/>
        </w:rPr>
      </w:pPr>
    </w:p>
    <w:p w14:paraId="43215A8F" w14:textId="77777777" w:rsidR="008519C4" w:rsidRDefault="008519C4" w:rsidP="00D957C5">
      <w:pPr>
        <w:pStyle w:val="naisf"/>
        <w:tabs>
          <w:tab w:val="left" w:pos="6840"/>
        </w:tabs>
        <w:spacing w:before="0" w:after="0"/>
        <w:ind w:firstLine="0"/>
        <w:rPr>
          <w:sz w:val="28"/>
          <w:szCs w:val="28"/>
        </w:rPr>
      </w:pPr>
    </w:p>
    <w:p w14:paraId="719C04F3" w14:textId="77777777" w:rsidR="008519C4" w:rsidRDefault="008519C4" w:rsidP="00D957C5">
      <w:pPr>
        <w:pStyle w:val="naisf"/>
        <w:tabs>
          <w:tab w:val="left" w:pos="6840"/>
        </w:tabs>
        <w:spacing w:before="0" w:after="0"/>
        <w:ind w:firstLine="0"/>
        <w:rPr>
          <w:sz w:val="28"/>
          <w:szCs w:val="28"/>
        </w:rPr>
      </w:pPr>
    </w:p>
    <w:p w14:paraId="0976D8CA" w14:textId="77777777" w:rsidR="008519C4" w:rsidRDefault="008519C4" w:rsidP="00D957C5">
      <w:pPr>
        <w:pStyle w:val="naisf"/>
        <w:tabs>
          <w:tab w:val="left" w:pos="6840"/>
        </w:tabs>
        <w:spacing w:before="0" w:after="0"/>
        <w:ind w:firstLine="0"/>
        <w:rPr>
          <w:sz w:val="28"/>
          <w:szCs w:val="28"/>
        </w:rPr>
      </w:pPr>
    </w:p>
    <w:p w14:paraId="2F677043" w14:textId="77777777" w:rsidR="008519C4" w:rsidRDefault="008519C4" w:rsidP="00D957C5">
      <w:pPr>
        <w:pStyle w:val="naisf"/>
        <w:tabs>
          <w:tab w:val="left" w:pos="6840"/>
        </w:tabs>
        <w:spacing w:before="0" w:after="0"/>
        <w:ind w:firstLine="0"/>
        <w:rPr>
          <w:sz w:val="28"/>
          <w:szCs w:val="28"/>
        </w:rPr>
      </w:pPr>
    </w:p>
    <w:p w14:paraId="2E4A7AA1" w14:textId="77777777" w:rsidR="008519C4" w:rsidRPr="00073C49" w:rsidRDefault="008519C4" w:rsidP="00D957C5">
      <w:pPr>
        <w:pStyle w:val="naisf"/>
        <w:tabs>
          <w:tab w:val="left" w:pos="6840"/>
        </w:tabs>
        <w:spacing w:before="0" w:after="0"/>
        <w:ind w:firstLine="0"/>
        <w:rPr>
          <w:sz w:val="20"/>
          <w:szCs w:val="20"/>
        </w:rPr>
      </w:pPr>
    </w:p>
    <w:p w14:paraId="357C192C" w14:textId="661B0812" w:rsidR="009355AA" w:rsidRPr="00073C49" w:rsidRDefault="009355AA" w:rsidP="009355AA">
      <w:pPr>
        <w:rPr>
          <w:sz w:val="20"/>
          <w:szCs w:val="20"/>
        </w:rPr>
      </w:pPr>
      <w:r w:rsidRPr="00073C49">
        <w:rPr>
          <w:sz w:val="20"/>
          <w:szCs w:val="20"/>
        </w:rPr>
        <w:t>G. Zustenieks 67026489,</w:t>
      </w:r>
    </w:p>
    <w:p w14:paraId="219BFFCE" w14:textId="2FF197A7" w:rsidR="00303567" w:rsidRPr="00073C49" w:rsidRDefault="009355AA" w:rsidP="009355AA">
      <w:pPr>
        <w:rPr>
          <w:sz w:val="20"/>
          <w:szCs w:val="20"/>
        </w:rPr>
      </w:pPr>
      <w:r w:rsidRPr="00073C49">
        <w:rPr>
          <w:sz w:val="20"/>
          <w:szCs w:val="20"/>
        </w:rPr>
        <w:t>Gusts.zustenieks@varam.gov.lv</w:t>
      </w:r>
    </w:p>
    <w:p w14:paraId="08064CBF" w14:textId="77777777" w:rsidR="00303567" w:rsidRPr="00303567" w:rsidRDefault="00303567" w:rsidP="00303567">
      <w:pPr>
        <w:rPr>
          <w:sz w:val="22"/>
          <w:szCs w:val="22"/>
        </w:rPr>
      </w:pPr>
    </w:p>
    <w:sectPr w:rsidR="00303567" w:rsidRPr="00303567" w:rsidSect="009232AB">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5F961" w14:textId="77777777" w:rsidR="00BF2A52" w:rsidRDefault="00BF2A52">
      <w:r>
        <w:separator/>
      </w:r>
    </w:p>
  </w:endnote>
  <w:endnote w:type="continuationSeparator" w:id="0">
    <w:p w14:paraId="0DE9EDAB" w14:textId="77777777" w:rsidR="00BF2A52" w:rsidRDefault="00BF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90D5" w14:textId="7A98F86A" w:rsidR="003A0879" w:rsidRPr="003A09C1" w:rsidRDefault="003A0879" w:rsidP="003A09C1">
    <w:pPr>
      <w:pStyle w:val="Footer"/>
    </w:pPr>
    <w:r>
      <w:rPr>
        <w:sz w:val="20"/>
        <w:szCs w:val="20"/>
      </w:rPr>
      <w:fldChar w:fldCharType="begin"/>
    </w:r>
    <w:r>
      <w:rPr>
        <w:sz w:val="20"/>
        <w:szCs w:val="20"/>
      </w:rPr>
      <w:instrText xml:space="preserve"> FILENAME   \* MERGEFORMAT </w:instrText>
    </w:r>
    <w:r>
      <w:rPr>
        <w:sz w:val="20"/>
        <w:szCs w:val="20"/>
      </w:rPr>
      <w:fldChar w:fldCharType="separate"/>
    </w:r>
    <w:r w:rsidR="001A340D">
      <w:rPr>
        <w:noProof/>
        <w:sz w:val="20"/>
        <w:szCs w:val="20"/>
      </w:rPr>
      <w:t>VARAMAnot_251019_EKII-MKN69</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7CB4" w14:textId="597EEDD2" w:rsidR="003A0879" w:rsidRPr="009232AB" w:rsidRDefault="003A0879" w:rsidP="009232A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1A340D">
      <w:rPr>
        <w:noProof/>
        <w:sz w:val="20"/>
        <w:szCs w:val="20"/>
      </w:rPr>
      <w:t>VARAMAnot_251019_EKII-MKN69</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A951B" w14:textId="77777777" w:rsidR="00BF2A52" w:rsidRDefault="00BF2A52">
      <w:r>
        <w:separator/>
      </w:r>
    </w:p>
  </w:footnote>
  <w:footnote w:type="continuationSeparator" w:id="0">
    <w:p w14:paraId="3532EC65" w14:textId="77777777" w:rsidR="00BF2A52" w:rsidRDefault="00BF2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602B" w14:textId="77777777" w:rsidR="003A0879" w:rsidRDefault="003A0879"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3A0879" w:rsidRDefault="003A0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1F81" w14:textId="1BA8F913" w:rsidR="003A0879" w:rsidRDefault="003A0879"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53F1">
      <w:rPr>
        <w:rStyle w:val="PageNumber"/>
        <w:noProof/>
      </w:rPr>
      <w:t>2</w:t>
    </w:r>
    <w:r>
      <w:rPr>
        <w:rStyle w:val="PageNumber"/>
      </w:rPr>
      <w:fldChar w:fldCharType="end"/>
    </w:r>
  </w:p>
  <w:p w14:paraId="237C5921" w14:textId="77777777" w:rsidR="003A0879" w:rsidRDefault="003A0879" w:rsidP="00701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1"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28"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3"/>
  </w:num>
  <w:num w:numId="2">
    <w:abstractNumId w:val="28"/>
  </w:num>
  <w:num w:numId="3">
    <w:abstractNumId w:val="6"/>
  </w:num>
  <w:num w:numId="4">
    <w:abstractNumId w:val="10"/>
  </w:num>
  <w:num w:numId="5">
    <w:abstractNumId w:val="18"/>
  </w:num>
  <w:num w:numId="6">
    <w:abstractNumId w:val="5"/>
  </w:num>
  <w:num w:numId="7">
    <w:abstractNumId w:val="0"/>
  </w:num>
  <w:num w:numId="8">
    <w:abstractNumId w:val="1"/>
  </w:num>
  <w:num w:numId="9">
    <w:abstractNumId w:val="25"/>
  </w:num>
  <w:num w:numId="10">
    <w:abstractNumId w:val="9"/>
  </w:num>
  <w:num w:numId="11">
    <w:abstractNumId w:val="22"/>
  </w:num>
  <w:num w:numId="12">
    <w:abstractNumId w:val="19"/>
  </w:num>
  <w:num w:numId="13">
    <w:abstractNumId w:val="3"/>
  </w:num>
  <w:num w:numId="14">
    <w:abstractNumId w:val="26"/>
  </w:num>
  <w:num w:numId="15">
    <w:abstractNumId w:val="15"/>
  </w:num>
  <w:num w:numId="16">
    <w:abstractNumId w:val="4"/>
  </w:num>
  <w:num w:numId="17">
    <w:abstractNumId w:val="2"/>
  </w:num>
  <w:num w:numId="18">
    <w:abstractNumId w:val="13"/>
  </w:num>
  <w:num w:numId="19">
    <w:abstractNumId w:val="11"/>
  </w:num>
  <w:num w:numId="20">
    <w:abstractNumId w:val="17"/>
  </w:num>
  <w:num w:numId="21">
    <w:abstractNumId w:val="14"/>
  </w:num>
  <w:num w:numId="22">
    <w:abstractNumId w:val="12"/>
  </w:num>
  <w:num w:numId="23">
    <w:abstractNumId w:val="29"/>
  </w:num>
  <w:num w:numId="24">
    <w:abstractNumId w:val="7"/>
  </w:num>
  <w:num w:numId="25">
    <w:abstractNumId w:val="30"/>
  </w:num>
  <w:num w:numId="26">
    <w:abstractNumId w:val="16"/>
  </w:num>
  <w:num w:numId="27">
    <w:abstractNumId w:val="24"/>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1E"/>
    <w:rsid w:val="0000061E"/>
    <w:rsid w:val="00000C02"/>
    <w:rsid w:val="00005826"/>
    <w:rsid w:val="000071F5"/>
    <w:rsid w:val="00010FE3"/>
    <w:rsid w:val="000112B1"/>
    <w:rsid w:val="000143DB"/>
    <w:rsid w:val="00014527"/>
    <w:rsid w:val="00015501"/>
    <w:rsid w:val="00015666"/>
    <w:rsid w:val="00016AA7"/>
    <w:rsid w:val="00017A2C"/>
    <w:rsid w:val="00024ECF"/>
    <w:rsid w:val="00025FA9"/>
    <w:rsid w:val="000260DC"/>
    <w:rsid w:val="00026532"/>
    <w:rsid w:val="00027756"/>
    <w:rsid w:val="0002797B"/>
    <w:rsid w:val="00027A5A"/>
    <w:rsid w:val="00027F1C"/>
    <w:rsid w:val="00031099"/>
    <w:rsid w:val="00031399"/>
    <w:rsid w:val="00032D84"/>
    <w:rsid w:val="00037C68"/>
    <w:rsid w:val="00037CD7"/>
    <w:rsid w:val="00040172"/>
    <w:rsid w:val="000404D3"/>
    <w:rsid w:val="00040E6B"/>
    <w:rsid w:val="00042031"/>
    <w:rsid w:val="000422EE"/>
    <w:rsid w:val="00043CB1"/>
    <w:rsid w:val="00047183"/>
    <w:rsid w:val="000473F7"/>
    <w:rsid w:val="00050F54"/>
    <w:rsid w:val="00051106"/>
    <w:rsid w:val="0005143C"/>
    <w:rsid w:val="00056D70"/>
    <w:rsid w:val="00060888"/>
    <w:rsid w:val="00060A47"/>
    <w:rsid w:val="00062822"/>
    <w:rsid w:val="0006534F"/>
    <w:rsid w:val="00066E0A"/>
    <w:rsid w:val="00070FB4"/>
    <w:rsid w:val="00071884"/>
    <w:rsid w:val="00071CD0"/>
    <w:rsid w:val="00072B20"/>
    <w:rsid w:val="00073270"/>
    <w:rsid w:val="00073464"/>
    <w:rsid w:val="00073C49"/>
    <w:rsid w:val="0007788D"/>
    <w:rsid w:val="00077938"/>
    <w:rsid w:val="000816CB"/>
    <w:rsid w:val="00082DF3"/>
    <w:rsid w:val="00084359"/>
    <w:rsid w:val="0008488A"/>
    <w:rsid w:val="00085B89"/>
    <w:rsid w:val="00090302"/>
    <w:rsid w:val="00092C64"/>
    <w:rsid w:val="00092DF0"/>
    <w:rsid w:val="00093D7B"/>
    <w:rsid w:val="000A13FA"/>
    <w:rsid w:val="000A2211"/>
    <w:rsid w:val="000A359D"/>
    <w:rsid w:val="000A3B97"/>
    <w:rsid w:val="000A46CA"/>
    <w:rsid w:val="000A6067"/>
    <w:rsid w:val="000B1AB1"/>
    <w:rsid w:val="000B3F6E"/>
    <w:rsid w:val="000B4538"/>
    <w:rsid w:val="000B4607"/>
    <w:rsid w:val="000B59CB"/>
    <w:rsid w:val="000B66C8"/>
    <w:rsid w:val="000B6DF1"/>
    <w:rsid w:val="000C0EDB"/>
    <w:rsid w:val="000C230C"/>
    <w:rsid w:val="000C32EA"/>
    <w:rsid w:val="000C37C7"/>
    <w:rsid w:val="000C37D8"/>
    <w:rsid w:val="000C5FBC"/>
    <w:rsid w:val="000D0DB8"/>
    <w:rsid w:val="000D163F"/>
    <w:rsid w:val="000D2C4F"/>
    <w:rsid w:val="000D320A"/>
    <w:rsid w:val="000D35F4"/>
    <w:rsid w:val="000D41F8"/>
    <w:rsid w:val="000D5549"/>
    <w:rsid w:val="000D650D"/>
    <w:rsid w:val="000D7C74"/>
    <w:rsid w:val="000E2092"/>
    <w:rsid w:val="000E31DC"/>
    <w:rsid w:val="000E4457"/>
    <w:rsid w:val="000E6F4B"/>
    <w:rsid w:val="000E7BB7"/>
    <w:rsid w:val="000F0876"/>
    <w:rsid w:val="000F35FE"/>
    <w:rsid w:val="000F3C86"/>
    <w:rsid w:val="000F3DBD"/>
    <w:rsid w:val="000F5883"/>
    <w:rsid w:val="000F5E59"/>
    <w:rsid w:val="000F6A6D"/>
    <w:rsid w:val="001029C5"/>
    <w:rsid w:val="001032E7"/>
    <w:rsid w:val="00103B63"/>
    <w:rsid w:val="00110173"/>
    <w:rsid w:val="001114E0"/>
    <w:rsid w:val="00113CD0"/>
    <w:rsid w:val="00114052"/>
    <w:rsid w:val="00115550"/>
    <w:rsid w:val="001176C1"/>
    <w:rsid w:val="0012082E"/>
    <w:rsid w:val="001209A4"/>
    <w:rsid w:val="001214F2"/>
    <w:rsid w:val="00121C40"/>
    <w:rsid w:val="00123E30"/>
    <w:rsid w:val="001242F0"/>
    <w:rsid w:val="00125941"/>
    <w:rsid w:val="00127C6E"/>
    <w:rsid w:val="00130C2D"/>
    <w:rsid w:val="00133CF3"/>
    <w:rsid w:val="001347ED"/>
    <w:rsid w:val="001359E3"/>
    <w:rsid w:val="00136946"/>
    <w:rsid w:val="00136D69"/>
    <w:rsid w:val="00137BF2"/>
    <w:rsid w:val="0014117A"/>
    <w:rsid w:val="00141294"/>
    <w:rsid w:val="001425FF"/>
    <w:rsid w:val="00143528"/>
    <w:rsid w:val="001464EA"/>
    <w:rsid w:val="00146E61"/>
    <w:rsid w:val="00146F0F"/>
    <w:rsid w:val="00153486"/>
    <w:rsid w:val="00153BD9"/>
    <w:rsid w:val="00154636"/>
    <w:rsid w:val="0015719D"/>
    <w:rsid w:val="00160235"/>
    <w:rsid w:val="00161AD7"/>
    <w:rsid w:val="00163D88"/>
    <w:rsid w:val="00166B1A"/>
    <w:rsid w:val="00166CF6"/>
    <w:rsid w:val="00166F6F"/>
    <w:rsid w:val="00167B8E"/>
    <w:rsid w:val="00167BB9"/>
    <w:rsid w:val="00167FA0"/>
    <w:rsid w:val="00170E4E"/>
    <w:rsid w:val="00171922"/>
    <w:rsid w:val="00172BCD"/>
    <w:rsid w:val="00175296"/>
    <w:rsid w:val="00176D51"/>
    <w:rsid w:val="00180130"/>
    <w:rsid w:val="00180848"/>
    <w:rsid w:val="001811FB"/>
    <w:rsid w:val="001837CD"/>
    <w:rsid w:val="00184E5C"/>
    <w:rsid w:val="00184F35"/>
    <w:rsid w:val="00185117"/>
    <w:rsid w:val="001913AA"/>
    <w:rsid w:val="00191859"/>
    <w:rsid w:val="00192FA8"/>
    <w:rsid w:val="001954CD"/>
    <w:rsid w:val="00195BD8"/>
    <w:rsid w:val="00196B61"/>
    <w:rsid w:val="001A28EB"/>
    <w:rsid w:val="001A340D"/>
    <w:rsid w:val="001A60FD"/>
    <w:rsid w:val="001A620C"/>
    <w:rsid w:val="001A7349"/>
    <w:rsid w:val="001A7910"/>
    <w:rsid w:val="001B005C"/>
    <w:rsid w:val="001B0D10"/>
    <w:rsid w:val="001B256B"/>
    <w:rsid w:val="001B310C"/>
    <w:rsid w:val="001B366C"/>
    <w:rsid w:val="001B3ECB"/>
    <w:rsid w:val="001B47FF"/>
    <w:rsid w:val="001C002C"/>
    <w:rsid w:val="001C0442"/>
    <w:rsid w:val="001C07BF"/>
    <w:rsid w:val="001C0848"/>
    <w:rsid w:val="001C2F5E"/>
    <w:rsid w:val="001C5276"/>
    <w:rsid w:val="001C5BD5"/>
    <w:rsid w:val="001C7CCC"/>
    <w:rsid w:val="001D0B65"/>
    <w:rsid w:val="001D0C1C"/>
    <w:rsid w:val="001D2285"/>
    <w:rsid w:val="001D315D"/>
    <w:rsid w:val="001D6C4F"/>
    <w:rsid w:val="001D6E4F"/>
    <w:rsid w:val="001E11D4"/>
    <w:rsid w:val="001E19E2"/>
    <w:rsid w:val="001E2891"/>
    <w:rsid w:val="001E58E0"/>
    <w:rsid w:val="001E6D7D"/>
    <w:rsid w:val="001E7E58"/>
    <w:rsid w:val="001F06CA"/>
    <w:rsid w:val="001F101B"/>
    <w:rsid w:val="001F2765"/>
    <w:rsid w:val="001F59D8"/>
    <w:rsid w:val="001F5C90"/>
    <w:rsid w:val="001F66D1"/>
    <w:rsid w:val="001F7525"/>
    <w:rsid w:val="001F7E7E"/>
    <w:rsid w:val="00200346"/>
    <w:rsid w:val="00203965"/>
    <w:rsid w:val="0020406F"/>
    <w:rsid w:val="002042D0"/>
    <w:rsid w:val="002042E8"/>
    <w:rsid w:val="00204494"/>
    <w:rsid w:val="002047D6"/>
    <w:rsid w:val="00205B93"/>
    <w:rsid w:val="00206050"/>
    <w:rsid w:val="00206332"/>
    <w:rsid w:val="00207018"/>
    <w:rsid w:val="002123C8"/>
    <w:rsid w:val="0021395B"/>
    <w:rsid w:val="0021417A"/>
    <w:rsid w:val="00214E56"/>
    <w:rsid w:val="00216AE2"/>
    <w:rsid w:val="00217F73"/>
    <w:rsid w:val="00220B0C"/>
    <w:rsid w:val="00221638"/>
    <w:rsid w:val="00222933"/>
    <w:rsid w:val="00223974"/>
    <w:rsid w:val="002249BA"/>
    <w:rsid w:val="0022722B"/>
    <w:rsid w:val="00231B9D"/>
    <w:rsid w:val="00232A10"/>
    <w:rsid w:val="00233607"/>
    <w:rsid w:val="00233815"/>
    <w:rsid w:val="00234C65"/>
    <w:rsid w:val="00235098"/>
    <w:rsid w:val="0024097C"/>
    <w:rsid w:val="00241978"/>
    <w:rsid w:val="00243419"/>
    <w:rsid w:val="002436CE"/>
    <w:rsid w:val="00244669"/>
    <w:rsid w:val="00244732"/>
    <w:rsid w:val="00245A40"/>
    <w:rsid w:val="002460AD"/>
    <w:rsid w:val="00247B79"/>
    <w:rsid w:val="00250B3C"/>
    <w:rsid w:val="00250DA9"/>
    <w:rsid w:val="00254327"/>
    <w:rsid w:val="0025436E"/>
    <w:rsid w:val="00254DF0"/>
    <w:rsid w:val="00255889"/>
    <w:rsid w:val="002564A2"/>
    <w:rsid w:val="00260591"/>
    <w:rsid w:val="002610BC"/>
    <w:rsid w:val="00262614"/>
    <w:rsid w:val="00263889"/>
    <w:rsid w:val="00263FBD"/>
    <w:rsid w:val="00263FFC"/>
    <w:rsid w:val="0026475B"/>
    <w:rsid w:val="0026537B"/>
    <w:rsid w:val="00266BB4"/>
    <w:rsid w:val="00273CFE"/>
    <w:rsid w:val="00275B5C"/>
    <w:rsid w:val="0027719D"/>
    <w:rsid w:val="00277727"/>
    <w:rsid w:val="00280003"/>
    <w:rsid w:val="002811CE"/>
    <w:rsid w:val="00282AA6"/>
    <w:rsid w:val="00283314"/>
    <w:rsid w:val="002835E0"/>
    <w:rsid w:val="00283D16"/>
    <w:rsid w:val="0028468F"/>
    <w:rsid w:val="00284894"/>
    <w:rsid w:val="0028533B"/>
    <w:rsid w:val="002868A2"/>
    <w:rsid w:val="00290479"/>
    <w:rsid w:val="002907A3"/>
    <w:rsid w:val="002907C0"/>
    <w:rsid w:val="00290E2C"/>
    <w:rsid w:val="0029223E"/>
    <w:rsid w:val="0029259B"/>
    <w:rsid w:val="00292C47"/>
    <w:rsid w:val="00292DC9"/>
    <w:rsid w:val="002931C2"/>
    <w:rsid w:val="00293A71"/>
    <w:rsid w:val="00294D7F"/>
    <w:rsid w:val="00295BFE"/>
    <w:rsid w:val="002A0105"/>
    <w:rsid w:val="002A0761"/>
    <w:rsid w:val="002A147C"/>
    <w:rsid w:val="002A2CC4"/>
    <w:rsid w:val="002A2E9A"/>
    <w:rsid w:val="002A33C1"/>
    <w:rsid w:val="002A3505"/>
    <w:rsid w:val="002A4549"/>
    <w:rsid w:val="002B09F4"/>
    <w:rsid w:val="002B3ACF"/>
    <w:rsid w:val="002B40DD"/>
    <w:rsid w:val="002B438C"/>
    <w:rsid w:val="002B7C07"/>
    <w:rsid w:val="002B7D81"/>
    <w:rsid w:val="002B7EAD"/>
    <w:rsid w:val="002C1999"/>
    <w:rsid w:val="002C2060"/>
    <w:rsid w:val="002C2B64"/>
    <w:rsid w:val="002C3E2D"/>
    <w:rsid w:val="002C4423"/>
    <w:rsid w:val="002C4761"/>
    <w:rsid w:val="002C5994"/>
    <w:rsid w:val="002C5D2F"/>
    <w:rsid w:val="002D0400"/>
    <w:rsid w:val="002D202F"/>
    <w:rsid w:val="002D293F"/>
    <w:rsid w:val="002D3BD3"/>
    <w:rsid w:val="002D433C"/>
    <w:rsid w:val="002D775F"/>
    <w:rsid w:val="002D7B6C"/>
    <w:rsid w:val="002E05EF"/>
    <w:rsid w:val="002E0611"/>
    <w:rsid w:val="002E134E"/>
    <w:rsid w:val="002E23C4"/>
    <w:rsid w:val="002E45DE"/>
    <w:rsid w:val="002F0CDC"/>
    <w:rsid w:val="002F2ABF"/>
    <w:rsid w:val="002F5CD1"/>
    <w:rsid w:val="002F714B"/>
    <w:rsid w:val="002F722A"/>
    <w:rsid w:val="002F73C4"/>
    <w:rsid w:val="00301319"/>
    <w:rsid w:val="0030209C"/>
    <w:rsid w:val="00302E5B"/>
    <w:rsid w:val="00302E7C"/>
    <w:rsid w:val="003033D1"/>
    <w:rsid w:val="0030341E"/>
    <w:rsid w:val="00303567"/>
    <w:rsid w:val="0030384F"/>
    <w:rsid w:val="003042DA"/>
    <w:rsid w:val="00304547"/>
    <w:rsid w:val="00305B71"/>
    <w:rsid w:val="00306098"/>
    <w:rsid w:val="003110F6"/>
    <w:rsid w:val="0031134A"/>
    <w:rsid w:val="00312A0E"/>
    <w:rsid w:val="003153B0"/>
    <w:rsid w:val="003154EB"/>
    <w:rsid w:val="003179B6"/>
    <w:rsid w:val="00322E58"/>
    <w:rsid w:val="00324943"/>
    <w:rsid w:val="00326D0B"/>
    <w:rsid w:val="003279F0"/>
    <w:rsid w:val="0033075B"/>
    <w:rsid w:val="00330A1A"/>
    <w:rsid w:val="00333B38"/>
    <w:rsid w:val="00334184"/>
    <w:rsid w:val="003354DE"/>
    <w:rsid w:val="00337A88"/>
    <w:rsid w:val="00346A8A"/>
    <w:rsid w:val="00350E2D"/>
    <w:rsid w:val="003526F4"/>
    <w:rsid w:val="003547BA"/>
    <w:rsid w:val="003547DD"/>
    <w:rsid w:val="003558B0"/>
    <w:rsid w:val="00357B69"/>
    <w:rsid w:val="003602F2"/>
    <w:rsid w:val="00360508"/>
    <w:rsid w:val="003614B3"/>
    <w:rsid w:val="00364C53"/>
    <w:rsid w:val="00370243"/>
    <w:rsid w:val="00370E24"/>
    <w:rsid w:val="0037123F"/>
    <w:rsid w:val="003733C7"/>
    <w:rsid w:val="00373605"/>
    <w:rsid w:val="0037525D"/>
    <w:rsid w:val="003760E0"/>
    <w:rsid w:val="003800A3"/>
    <w:rsid w:val="0038157D"/>
    <w:rsid w:val="003826CD"/>
    <w:rsid w:val="00382D86"/>
    <w:rsid w:val="0038393A"/>
    <w:rsid w:val="00383F16"/>
    <w:rsid w:val="003848A9"/>
    <w:rsid w:val="0038507B"/>
    <w:rsid w:val="00385916"/>
    <w:rsid w:val="003868F7"/>
    <w:rsid w:val="003905DC"/>
    <w:rsid w:val="00390C95"/>
    <w:rsid w:val="0039137F"/>
    <w:rsid w:val="00391C37"/>
    <w:rsid w:val="00391F7C"/>
    <w:rsid w:val="0039479B"/>
    <w:rsid w:val="003957C3"/>
    <w:rsid w:val="0039664A"/>
    <w:rsid w:val="003A0879"/>
    <w:rsid w:val="003A09C1"/>
    <w:rsid w:val="003A0A66"/>
    <w:rsid w:val="003A0CE8"/>
    <w:rsid w:val="003A3D6B"/>
    <w:rsid w:val="003A66D4"/>
    <w:rsid w:val="003B011E"/>
    <w:rsid w:val="003B10FA"/>
    <w:rsid w:val="003B2102"/>
    <w:rsid w:val="003B2598"/>
    <w:rsid w:val="003B28CD"/>
    <w:rsid w:val="003B5875"/>
    <w:rsid w:val="003B5CDA"/>
    <w:rsid w:val="003B5E8D"/>
    <w:rsid w:val="003B678D"/>
    <w:rsid w:val="003C0532"/>
    <w:rsid w:val="003C2229"/>
    <w:rsid w:val="003C3340"/>
    <w:rsid w:val="003C4B70"/>
    <w:rsid w:val="003C4DCA"/>
    <w:rsid w:val="003C5A60"/>
    <w:rsid w:val="003C5D8F"/>
    <w:rsid w:val="003D1AA2"/>
    <w:rsid w:val="003D1E06"/>
    <w:rsid w:val="003D761D"/>
    <w:rsid w:val="003D7A75"/>
    <w:rsid w:val="003E34FE"/>
    <w:rsid w:val="003E3849"/>
    <w:rsid w:val="003E42A1"/>
    <w:rsid w:val="003E7DAA"/>
    <w:rsid w:val="003F04E9"/>
    <w:rsid w:val="003F1515"/>
    <w:rsid w:val="003F2FD3"/>
    <w:rsid w:val="003F3E5B"/>
    <w:rsid w:val="003F427C"/>
    <w:rsid w:val="003F42CA"/>
    <w:rsid w:val="003F5986"/>
    <w:rsid w:val="003F610D"/>
    <w:rsid w:val="004054BD"/>
    <w:rsid w:val="00405DE9"/>
    <w:rsid w:val="00406090"/>
    <w:rsid w:val="00406FBA"/>
    <w:rsid w:val="00413028"/>
    <w:rsid w:val="004144C6"/>
    <w:rsid w:val="00415AEE"/>
    <w:rsid w:val="00417019"/>
    <w:rsid w:val="00417111"/>
    <w:rsid w:val="0042133A"/>
    <w:rsid w:val="00423183"/>
    <w:rsid w:val="00423761"/>
    <w:rsid w:val="00423791"/>
    <w:rsid w:val="00424D38"/>
    <w:rsid w:val="004279CC"/>
    <w:rsid w:val="00433137"/>
    <w:rsid w:val="0043436B"/>
    <w:rsid w:val="00434F09"/>
    <w:rsid w:val="00434F57"/>
    <w:rsid w:val="00435386"/>
    <w:rsid w:val="00435C79"/>
    <w:rsid w:val="00436122"/>
    <w:rsid w:val="00436E3D"/>
    <w:rsid w:val="00437470"/>
    <w:rsid w:val="00441985"/>
    <w:rsid w:val="00441CE8"/>
    <w:rsid w:val="00444688"/>
    <w:rsid w:val="00445211"/>
    <w:rsid w:val="004455E3"/>
    <w:rsid w:val="00446E89"/>
    <w:rsid w:val="00446F7F"/>
    <w:rsid w:val="004474D0"/>
    <w:rsid w:val="00447AC1"/>
    <w:rsid w:val="00454CB9"/>
    <w:rsid w:val="00456037"/>
    <w:rsid w:val="004600E8"/>
    <w:rsid w:val="00466245"/>
    <w:rsid w:val="00466E38"/>
    <w:rsid w:val="004675EA"/>
    <w:rsid w:val="00467F56"/>
    <w:rsid w:val="00470C11"/>
    <w:rsid w:val="004712E6"/>
    <w:rsid w:val="00475853"/>
    <w:rsid w:val="004775C4"/>
    <w:rsid w:val="004806C6"/>
    <w:rsid w:val="00482B5C"/>
    <w:rsid w:val="00482DAF"/>
    <w:rsid w:val="0048488E"/>
    <w:rsid w:val="00491AC1"/>
    <w:rsid w:val="00492468"/>
    <w:rsid w:val="0049260D"/>
    <w:rsid w:val="0049285F"/>
    <w:rsid w:val="00493362"/>
    <w:rsid w:val="004947BF"/>
    <w:rsid w:val="00495FD5"/>
    <w:rsid w:val="004962CF"/>
    <w:rsid w:val="004A0B46"/>
    <w:rsid w:val="004A2CC2"/>
    <w:rsid w:val="004A377D"/>
    <w:rsid w:val="004A46AE"/>
    <w:rsid w:val="004A6317"/>
    <w:rsid w:val="004A6460"/>
    <w:rsid w:val="004B0157"/>
    <w:rsid w:val="004B0D14"/>
    <w:rsid w:val="004B0FC9"/>
    <w:rsid w:val="004B1167"/>
    <w:rsid w:val="004B2129"/>
    <w:rsid w:val="004B352C"/>
    <w:rsid w:val="004B5BD2"/>
    <w:rsid w:val="004C094F"/>
    <w:rsid w:val="004C115B"/>
    <w:rsid w:val="004C59A6"/>
    <w:rsid w:val="004C5ECD"/>
    <w:rsid w:val="004C6E9E"/>
    <w:rsid w:val="004D0CA0"/>
    <w:rsid w:val="004D132D"/>
    <w:rsid w:val="004D1BC6"/>
    <w:rsid w:val="004D3A7E"/>
    <w:rsid w:val="004D3CCF"/>
    <w:rsid w:val="004D7E9B"/>
    <w:rsid w:val="004E17E3"/>
    <w:rsid w:val="004E17F1"/>
    <w:rsid w:val="004E1CA7"/>
    <w:rsid w:val="004E426C"/>
    <w:rsid w:val="004E4342"/>
    <w:rsid w:val="004E6664"/>
    <w:rsid w:val="004F077E"/>
    <w:rsid w:val="004F3D66"/>
    <w:rsid w:val="004F50A7"/>
    <w:rsid w:val="00500F6A"/>
    <w:rsid w:val="00500FFC"/>
    <w:rsid w:val="00501475"/>
    <w:rsid w:val="0050280C"/>
    <w:rsid w:val="00504080"/>
    <w:rsid w:val="00505353"/>
    <w:rsid w:val="005055FE"/>
    <w:rsid w:val="00507AD7"/>
    <w:rsid w:val="00507DB7"/>
    <w:rsid w:val="00511518"/>
    <w:rsid w:val="00512ABB"/>
    <w:rsid w:val="00513124"/>
    <w:rsid w:val="005140B7"/>
    <w:rsid w:val="00514A95"/>
    <w:rsid w:val="00515496"/>
    <w:rsid w:val="005161D0"/>
    <w:rsid w:val="005175E3"/>
    <w:rsid w:val="00517BBF"/>
    <w:rsid w:val="00517FEC"/>
    <w:rsid w:val="00522B73"/>
    <w:rsid w:val="0052358E"/>
    <w:rsid w:val="00524B54"/>
    <w:rsid w:val="00525563"/>
    <w:rsid w:val="00526827"/>
    <w:rsid w:val="005276EE"/>
    <w:rsid w:val="00531D54"/>
    <w:rsid w:val="00532EA1"/>
    <w:rsid w:val="00533E07"/>
    <w:rsid w:val="0053486A"/>
    <w:rsid w:val="00534B38"/>
    <w:rsid w:val="00534E4D"/>
    <w:rsid w:val="0053525B"/>
    <w:rsid w:val="00537132"/>
    <w:rsid w:val="005404FB"/>
    <w:rsid w:val="005418E2"/>
    <w:rsid w:val="005449CC"/>
    <w:rsid w:val="00546703"/>
    <w:rsid w:val="005467FD"/>
    <w:rsid w:val="00550CFD"/>
    <w:rsid w:val="00552038"/>
    <w:rsid w:val="00553E28"/>
    <w:rsid w:val="0055446B"/>
    <w:rsid w:val="00560B3F"/>
    <w:rsid w:val="0056398B"/>
    <w:rsid w:val="00563C16"/>
    <w:rsid w:val="005641E8"/>
    <w:rsid w:val="00564B0C"/>
    <w:rsid w:val="00564D72"/>
    <w:rsid w:val="0056729A"/>
    <w:rsid w:val="00567F45"/>
    <w:rsid w:val="00567FF8"/>
    <w:rsid w:val="00572162"/>
    <w:rsid w:val="00572AE9"/>
    <w:rsid w:val="00574811"/>
    <w:rsid w:val="0057574A"/>
    <w:rsid w:val="00575C88"/>
    <w:rsid w:val="00580D2E"/>
    <w:rsid w:val="005812C1"/>
    <w:rsid w:val="005828B1"/>
    <w:rsid w:val="00582B56"/>
    <w:rsid w:val="005865A0"/>
    <w:rsid w:val="00587159"/>
    <w:rsid w:val="00591871"/>
    <w:rsid w:val="005918C9"/>
    <w:rsid w:val="00591903"/>
    <w:rsid w:val="005922A2"/>
    <w:rsid w:val="00592D57"/>
    <w:rsid w:val="00593537"/>
    <w:rsid w:val="0059453A"/>
    <w:rsid w:val="00596F1A"/>
    <w:rsid w:val="00597DDB"/>
    <w:rsid w:val="005A1EE8"/>
    <w:rsid w:val="005A270A"/>
    <w:rsid w:val="005A300D"/>
    <w:rsid w:val="005A3405"/>
    <w:rsid w:val="005A355A"/>
    <w:rsid w:val="005A5D73"/>
    <w:rsid w:val="005A5E56"/>
    <w:rsid w:val="005A613F"/>
    <w:rsid w:val="005A6F9D"/>
    <w:rsid w:val="005A7D59"/>
    <w:rsid w:val="005A7F8F"/>
    <w:rsid w:val="005B17F2"/>
    <w:rsid w:val="005B396B"/>
    <w:rsid w:val="005B54AA"/>
    <w:rsid w:val="005B5AC4"/>
    <w:rsid w:val="005B5CBA"/>
    <w:rsid w:val="005B7B48"/>
    <w:rsid w:val="005C0644"/>
    <w:rsid w:val="005C0E2A"/>
    <w:rsid w:val="005C13DD"/>
    <w:rsid w:val="005C180F"/>
    <w:rsid w:val="005C18CA"/>
    <w:rsid w:val="005C208D"/>
    <w:rsid w:val="005C24F8"/>
    <w:rsid w:val="005C2CE0"/>
    <w:rsid w:val="005C41BF"/>
    <w:rsid w:val="005C42A1"/>
    <w:rsid w:val="005D06C3"/>
    <w:rsid w:val="005D294C"/>
    <w:rsid w:val="005D3048"/>
    <w:rsid w:val="005D48A9"/>
    <w:rsid w:val="005E39AC"/>
    <w:rsid w:val="005E3C39"/>
    <w:rsid w:val="005E42CD"/>
    <w:rsid w:val="005E5D4A"/>
    <w:rsid w:val="005E638D"/>
    <w:rsid w:val="005E6774"/>
    <w:rsid w:val="005F2AAF"/>
    <w:rsid w:val="005F2BF0"/>
    <w:rsid w:val="005F2CFA"/>
    <w:rsid w:val="005F35AE"/>
    <w:rsid w:val="005F68E1"/>
    <w:rsid w:val="005F6D0A"/>
    <w:rsid w:val="00600290"/>
    <w:rsid w:val="00602D03"/>
    <w:rsid w:val="00604193"/>
    <w:rsid w:val="00605CB7"/>
    <w:rsid w:val="00605CE6"/>
    <w:rsid w:val="00610E61"/>
    <w:rsid w:val="00613413"/>
    <w:rsid w:val="006149CC"/>
    <w:rsid w:val="00615FBE"/>
    <w:rsid w:val="00616E1B"/>
    <w:rsid w:val="00617747"/>
    <w:rsid w:val="00620457"/>
    <w:rsid w:val="00620F17"/>
    <w:rsid w:val="006210E8"/>
    <w:rsid w:val="00621706"/>
    <w:rsid w:val="00623C95"/>
    <w:rsid w:val="00623D2A"/>
    <w:rsid w:val="00624C39"/>
    <w:rsid w:val="00625D72"/>
    <w:rsid w:val="00631837"/>
    <w:rsid w:val="0063196F"/>
    <w:rsid w:val="00632FD0"/>
    <w:rsid w:val="0063554C"/>
    <w:rsid w:val="00635963"/>
    <w:rsid w:val="0063775E"/>
    <w:rsid w:val="00637FBF"/>
    <w:rsid w:val="006407A9"/>
    <w:rsid w:val="00641112"/>
    <w:rsid w:val="006424F9"/>
    <w:rsid w:val="0064253C"/>
    <w:rsid w:val="00643603"/>
    <w:rsid w:val="0064635B"/>
    <w:rsid w:val="00647366"/>
    <w:rsid w:val="00647D6D"/>
    <w:rsid w:val="006504F9"/>
    <w:rsid w:val="006511EE"/>
    <w:rsid w:val="00651E66"/>
    <w:rsid w:val="00652BE5"/>
    <w:rsid w:val="00653A6A"/>
    <w:rsid w:val="00653CBF"/>
    <w:rsid w:val="00655EB2"/>
    <w:rsid w:val="00660A46"/>
    <w:rsid w:val="00661BC9"/>
    <w:rsid w:val="00662EFB"/>
    <w:rsid w:val="006633C1"/>
    <w:rsid w:val="00663ECC"/>
    <w:rsid w:val="00664BBD"/>
    <w:rsid w:val="006652A4"/>
    <w:rsid w:val="00666367"/>
    <w:rsid w:val="0066639B"/>
    <w:rsid w:val="006672EB"/>
    <w:rsid w:val="0066766E"/>
    <w:rsid w:val="0067019C"/>
    <w:rsid w:val="00670A62"/>
    <w:rsid w:val="006711FE"/>
    <w:rsid w:val="00671375"/>
    <w:rsid w:val="006724FB"/>
    <w:rsid w:val="006744DB"/>
    <w:rsid w:val="006749F8"/>
    <w:rsid w:val="006755B6"/>
    <w:rsid w:val="00676A30"/>
    <w:rsid w:val="006772AB"/>
    <w:rsid w:val="00677B70"/>
    <w:rsid w:val="006805FB"/>
    <w:rsid w:val="006828A9"/>
    <w:rsid w:val="0068440D"/>
    <w:rsid w:val="00685B67"/>
    <w:rsid w:val="00686E08"/>
    <w:rsid w:val="00687D59"/>
    <w:rsid w:val="00687F7F"/>
    <w:rsid w:val="00691F57"/>
    <w:rsid w:val="0069761D"/>
    <w:rsid w:val="006A0D3E"/>
    <w:rsid w:val="006A1158"/>
    <w:rsid w:val="006A1A1F"/>
    <w:rsid w:val="006A2D89"/>
    <w:rsid w:val="006A3A31"/>
    <w:rsid w:val="006A3CE6"/>
    <w:rsid w:val="006A6B6F"/>
    <w:rsid w:val="006A6C84"/>
    <w:rsid w:val="006A6D9F"/>
    <w:rsid w:val="006B0BF4"/>
    <w:rsid w:val="006B1114"/>
    <w:rsid w:val="006B1453"/>
    <w:rsid w:val="006B197E"/>
    <w:rsid w:val="006B3C54"/>
    <w:rsid w:val="006B50F2"/>
    <w:rsid w:val="006B59A5"/>
    <w:rsid w:val="006C18D4"/>
    <w:rsid w:val="006C26AE"/>
    <w:rsid w:val="006C38AC"/>
    <w:rsid w:val="006C596A"/>
    <w:rsid w:val="006C7105"/>
    <w:rsid w:val="006C7979"/>
    <w:rsid w:val="006D033F"/>
    <w:rsid w:val="006D1404"/>
    <w:rsid w:val="006D4AEF"/>
    <w:rsid w:val="006D4FAF"/>
    <w:rsid w:val="006D5F2F"/>
    <w:rsid w:val="006D5FD0"/>
    <w:rsid w:val="006D6EDF"/>
    <w:rsid w:val="006E066E"/>
    <w:rsid w:val="006E1731"/>
    <w:rsid w:val="006E3313"/>
    <w:rsid w:val="006E536C"/>
    <w:rsid w:val="006E594D"/>
    <w:rsid w:val="006E65F2"/>
    <w:rsid w:val="006E7D16"/>
    <w:rsid w:val="006E7F6E"/>
    <w:rsid w:val="006F1BAA"/>
    <w:rsid w:val="006F20BD"/>
    <w:rsid w:val="006F4C57"/>
    <w:rsid w:val="006F5E1E"/>
    <w:rsid w:val="006F7CE9"/>
    <w:rsid w:val="00700398"/>
    <w:rsid w:val="00700953"/>
    <w:rsid w:val="00701FF8"/>
    <w:rsid w:val="007038C9"/>
    <w:rsid w:val="007041F4"/>
    <w:rsid w:val="00704566"/>
    <w:rsid w:val="00706385"/>
    <w:rsid w:val="00711996"/>
    <w:rsid w:val="007133F3"/>
    <w:rsid w:val="0071341B"/>
    <w:rsid w:val="00713930"/>
    <w:rsid w:val="00713A94"/>
    <w:rsid w:val="00715E7F"/>
    <w:rsid w:val="007211CE"/>
    <w:rsid w:val="00722700"/>
    <w:rsid w:val="0072328A"/>
    <w:rsid w:val="0072378B"/>
    <w:rsid w:val="00724D8A"/>
    <w:rsid w:val="007255BE"/>
    <w:rsid w:val="00730138"/>
    <w:rsid w:val="007309EE"/>
    <w:rsid w:val="00730FB1"/>
    <w:rsid w:val="00731C6D"/>
    <w:rsid w:val="00732C63"/>
    <w:rsid w:val="00733A3F"/>
    <w:rsid w:val="00736EF5"/>
    <w:rsid w:val="00740964"/>
    <w:rsid w:val="00741112"/>
    <w:rsid w:val="00743601"/>
    <w:rsid w:val="00747D34"/>
    <w:rsid w:val="00750413"/>
    <w:rsid w:val="007513D2"/>
    <w:rsid w:val="00751770"/>
    <w:rsid w:val="00751D95"/>
    <w:rsid w:val="007545D0"/>
    <w:rsid w:val="0075465B"/>
    <w:rsid w:val="007554AD"/>
    <w:rsid w:val="007555B5"/>
    <w:rsid w:val="007560FE"/>
    <w:rsid w:val="007606B4"/>
    <w:rsid w:val="00760E38"/>
    <w:rsid w:val="007628F0"/>
    <w:rsid w:val="007633F7"/>
    <w:rsid w:val="00763CA3"/>
    <w:rsid w:val="0077155C"/>
    <w:rsid w:val="00771AF9"/>
    <w:rsid w:val="00772B86"/>
    <w:rsid w:val="00773DB4"/>
    <w:rsid w:val="00774982"/>
    <w:rsid w:val="00774E25"/>
    <w:rsid w:val="00775DD1"/>
    <w:rsid w:val="007762A8"/>
    <w:rsid w:val="00780CD6"/>
    <w:rsid w:val="00782C4C"/>
    <w:rsid w:val="007834ED"/>
    <w:rsid w:val="007856FE"/>
    <w:rsid w:val="007873AE"/>
    <w:rsid w:val="00787433"/>
    <w:rsid w:val="00790358"/>
    <w:rsid w:val="00792962"/>
    <w:rsid w:val="007944B3"/>
    <w:rsid w:val="007A39C9"/>
    <w:rsid w:val="007A3DEC"/>
    <w:rsid w:val="007A5C89"/>
    <w:rsid w:val="007B4D2D"/>
    <w:rsid w:val="007B55D0"/>
    <w:rsid w:val="007B71DB"/>
    <w:rsid w:val="007C20ED"/>
    <w:rsid w:val="007C30E4"/>
    <w:rsid w:val="007C3957"/>
    <w:rsid w:val="007C3A37"/>
    <w:rsid w:val="007C3B09"/>
    <w:rsid w:val="007C4873"/>
    <w:rsid w:val="007C6342"/>
    <w:rsid w:val="007C679E"/>
    <w:rsid w:val="007C7DB3"/>
    <w:rsid w:val="007D1658"/>
    <w:rsid w:val="007D1E37"/>
    <w:rsid w:val="007D2450"/>
    <w:rsid w:val="007D2460"/>
    <w:rsid w:val="007D2846"/>
    <w:rsid w:val="007D2E1D"/>
    <w:rsid w:val="007D3D58"/>
    <w:rsid w:val="007D3FB0"/>
    <w:rsid w:val="007D5D83"/>
    <w:rsid w:val="007E1930"/>
    <w:rsid w:val="007E53F1"/>
    <w:rsid w:val="007E78AE"/>
    <w:rsid w:val="007E790F"/>
    <w:rsid w:val="007F03FB"/>
    <w:rsid w:val="007F15C9"/>
    <w:rsid w:val="007F1783"/>
    <w:rsid w:val="007F1795"/>
    <w:rsid w:val="007F19BF"/>
    <w:rsid w:val="007F351E"/>
    <w:rsid w:val="007F3D4E"/>
    <w:rsid w:val="007F426D"/>
    <w:rsid w:val="007F476F"/>
    <w:rsid w:val="007F5438"/>
    <w:rsid w:val="007F572A"/>
    <w:rsid w:val="007F6147"/>
    <w:rsid w:val="007F729F"/>
    <w:rsid w:val="007F7D72"/>
    <w:rsid w:val="00801AB9"/>
    <w:rsid w:val="00804634"/>
    <w:rsid w:val="008052D7"/>
    <w:rsid w:val="00806AE0"/>
    <w:rsid w:val="00810C2D"/>
    <w:rsid w:val="00811B7F"/>
    <w:rsid w:val="00814268"/>
    <w:rsid w:val="00814F2C"/>
    <w:rsid w:val="00815C08"/>
    <w:rsid w:val="00817451"/>
    <w:rsid w:val="00820313"/>
    <w:rsid w:val="0082068E"/>
    <w:rsid w:val="008215AE"/>
    <w:rsid w:val="00824C5C"/>
    <w:rsid w:val="00825CA4"/>
    <w:rsid w:val="0082666E"/>
    <w:rsid w:val="00826C2E"/>
    <w:rsid w:val="00827EEC"/>
    <w:rsid w:val="0083380E"/>
    <w:rsid w:val="0083387D"/>
    <w:rsid w:val="00836D67"/>
    <w:rsid w:val="00840E65"/>
    <w:rsid w:val="008419A6"/>
    <w:rsid w:val="00842603"/>
    <w:rsid w:val="00844384"/>
    <w:rsid w:val="00844B3A"/>
    <w:rsid w:val="00844D95"/>
    <w:rsid w:val="00845248"/>
    <w:rsid w:val="00845860"/>
    <w:rsid w:val="0084649D"/>
    <w:rsid w:val="00846AB2"/>
    <w:rsid w:val="00846B74"/>
    <w:rsid w:val="008519C4"/>
    <w:rsid w:val="0085213A"/>
    <w:rsid w:val="00856079"/>
    <w:rsid w:val="008614B5"/>
    <w:rsid w:val="00861588"/>
    <w:rsid w:val="008617B4"/>
    <w:rsid w:val="00862E38"/>
    <w:rsid w:val="00862F5A"/>
    <w:rsid w:val="008651E0"/>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2958"/>
    <w:rsid w:val="00883D0F"/>
    <w:rsid w:val="00885371"/>
    <w:rsid w:val="00885B5F"/>
    <w:rsid w:val="00887520"/>
    <w:rsid w:val="00887621"/>
    <w:rsid w:val="008900BD"/>
    <w:rsid w:val="0089203E"/>
    <w:rsid w:val="008929C5"/>
    <w:rsid w:val="00893136"/>
    <w:rsid w:val="00894637"/>
    <w:rsid w:val="008956E6"/>
    <w:rsid w:val="00897D57"/>
    <w:rsid w:val="00897ECC"/>
    <w:rsid w:val="008A0B5F"/>
    <w:rsid w:val="008A0E9F"/>
    <w:rsid w:val="008A1C7C"/>
    <w:rsid w:val="008A1EAA"/>
    <w:rsid w:val="008A210C"/>
    <w:rsid w:val="008A3D95"/>
    <w:rsid w:val="008A5706"/>
    <w:rsid w:val="008A570F"/>
    <w:rsid w:val="008A57F2"/>
    <w:rsid w:val="008A57F8"/>
    <w:rsid w:val="008A619D"/>
    <w:rsid w:val="008A6726"/>
    <w:rsid w:val="008A678C"/>
    <w:rsid w:val="008A67D0"/>
    <w:rsid w:val="008A7FEC"/>
    <w:rsid w:val="008B1560"/>
    <w:rsid w:val="008B4D9E"/>
    <w:rsid w:val="008B5603"/>
    <w:rsid w:val="008B5DCB"/>
    <w:rsid w:val="008B6871"/>
    <w:rsid w:val="008B6F5B"/>
    <w:rsid w:val="008C1F38"/>
    <w:rsid w:val="008C5336"/>
    <w:rsid w:val="008C5690"/>
    <w:rsid w:val="008D0185"/>
    <w:rsid w:val="008D1B71"/>
    <w:rsid w:val="008D2B21"/>
    <w:rsid w:val="008D56A6"/>
    <w:rsid w:val="008D5EBC"/>
    <w:rsid w:val="008D6FF8"/>
    <w:rsid w:val="008E198D"/>
    <w:rsid w:val="008E20C6"/>
    <w:rsid w:val="008E24BC"/>
    <w:rsid w:val="008E32A1"/>
    <w:rsid w:val="008E4062"/>
    <w:rsid w:val="008E66DA"/>
    <w:rsid w:val="008F13E3"/>
    <w:rsid w:val="008F2297"/>
    <w:rsid w:val="008F5107"/>
    <w:rsid w:val="008F5E49"/>
    <w:rsid w:val="008F7088"/>
    <w:rsid w:val="008F775F"/>
    <w:rsid w:val="00901073"/>
    <w:rsid w:val="00901458"/>
    <w:rsid w:val="009061A0"/>
    <w:rsid w:val="00906967"/>
    <w:rsid w:val="009079E0"/>
    <w:rsid w:val="009106F7"/>
    <w:rsid w:val="00913B5A"/>
    <w:rsid w:val="00921F6F"/>
    <w:rsid w:val="009232AB"/>
    <w:rsid w:val="00924A11"/>
    <w:rsid w:val="00926517"/>
    <w:rsid w:val="009274C3"/>
    <w:rsid w:val="00930C7F"/>
    <w:rsid w:val="00931354"/>
    <w:rsid w:val="00932E56"/>
    <w:rsid w:val="00933A70"/>
    <w:rsid w:val="009343F9"/>
    <w:rsid w:val="00934D05"/>
    <w:rsid w:val="009355AA"/>
    <w:rsid w:val="00941CA8"/>
    <w:rsid w:val="00944AA2"/>
    <w:rsid w:val="00945ADB"/>
    <w:rsid w:val="00947D60"/>
    <w:rsid w:val="00947ED0"/>
    <w:rsid w:val="00952ACE"/>
    <w:rsid w:val="00953E8D"/>
    <w:rsid w:val="00954F15"/>
    <w:rsid w:val="00954F24"/>
    <w:rsid w:val="0095542F"/>
    <w:rsid w:val="00956DDA"/>
    <w:rsid w:val="00956F0D"/>
    <w:rsid w:val="009574B0"/>
    <w:rsid w:val="009577F5"/>
    <w:rsid w:val="009578A4"/>
    <w:rsid w:val="00963973"/>
    <w:rsid w:val="00964171"/>
    <w:rsid w:val="00964B31"/>
    <w:rsid w:val="00966DA2"/>
    <w:rsid w:val="00970995"/>
    <w:rsid w:val="00970F58"/>
    <w:rsid w:val="00972584"/>
    <w:rsid w:val="009729A5"/>
    <w:rsid w:val="00972C84"/>
    <w:rsid w:val="00973681"/>
    <w:rsid w:val="00974FEF"/>
    <w:rsid w:val="00980258"/>
    <w:rsid w:val="0098182C"/>
    <w:rsid w:val="009928D4"/>
    <w:rsid w:val="00993DC8"/>
    <w:rsid w:val="00993F65"/>
    <w:rsid w:val="00993F89"/>
    <w:rsid w:val="00993FE4"/>
    <w:rsid w:val="00994230"/>
    <w:rsid w:val="009957F2"/>
    <w:rsid w:val="00996E25"/>
    <w:rsid w:val="0099705B"/>
    <w:rsid w:val="009A07BA"/>
    <w:rsid w:val="009A1CA4"/>
    <w:rsid w:val="009A2AAA"/>
    <w:rsid w:val="009A4F8A"/>
    <w:rsid w:val="009B0ED7"/>
    <w:rsid w:val="009B1362"/>
    <w:rsid w:val="009B2997"/>
    <w:rsid w:val="009B6BA5"/>
    <w:rsid w:val="009C3AD2"/>
    <w:rsid w:val="009D1AB5"/>
    <w:rsid w:val="009D23C6"/>
    <w:rsid w:val="009D3309"/>
    <w:rsid w:val="009D4770"/>
    <w:rsid w:val="009D7632"/>
    <w:rsid w:val="009D7B1B"/>
    <w:rsid w:val="009E12EA"/>
    <w:rsid w:val="009E31BC"/>
    <w:rsid w:val="009E358C"/>
    <w:rsid w:val="009E40E2"/>
    <w:rsid w:val="009E4785"/>
    <w:rsid w:val="009E4845"/>
    <w:rsid w:val="009E5179"/>
    <w:rsid w:val="009E67B3"/>
    <w:rsid w:val="009F3724"/>
    <w:rsid w:val="009F4772"/>
    <w:rsid w:val="009F6C07"/>
    <w:rsid w:val="009F7D8C"/>
    <w:rsid w:val="009F7FDD"/>
    <w:rsid w:val="00A00254"/>
    <w:rsid w:val="00A006B5"/>
    <w:rsid w:val="00A03106"/>
    <w:rsid w:val="00A03411"/>
    <w:rsid w:val="00A0435F"/>
    <w:rsid w:val="00A05A84"/>
    <w:rsid w:val="00A068A8"/>
    <w:rsid w:val="00A10BF2"/>
    <w:rsid w:val="00A11196"/>
    <w:rsid w:val="00A11D7D"/>
    <w:rsid w:val="00A16288"/>
    <w:rsid w:val="00A1677D"/>
    <w:rsid w:val="00A16DAD"/>
    <w:rsid w:val="00A17DCD"/>
    <w:rsid w:val="00A20225"/>
    <w:rsid w:val="00A21738"/>
    <w:rsid w:val="00A23E92"/>
    <w:rsid w:val="00A25A4F"/>
    <w:rsid w:val="00A272A1"/>
    <w:rsid w:val="00A273E9"/>
    <w:rsid w:val="00A30186"/>
    <w:rsid w:val="00A305D7"/>
    <w:rsid w:val="00A30C05"/>
    <w:rsid w:val="00A3108B"/>
    <w:rsid w:val="00A31E9D"/>
    <w:rsid w:val="00A34620"/>
    <w:rsid w:val="00A34A26"/>
    <w:rsid w:val="00A353FB"/>
    <w:rsid w:val="00A35789"/>
    <w:rsid w:val="00A35C80"/>
    <w:rsid w:val="00A3782D"/>
    <w:rsid w:val="00A41B4D"/>
    <w:rsid w:val="00A41CAD"/>
    <w:rsid w:val="00A42CEE"/>
    <w:rsid w:val="00A45A0C"/>
    <w:rsid w:val="00A50202"/>
    <w:rsid w:val="00A5168C"/>
    <w:rsid w:val="00A520E5"/>
    <w:rsid w:val="00A52F59"/>
    <w:rsid w:val="00A56621"/>
    <w:rsid w:val="00A57760"/>
    <w:rsid w:val="00A627CD"/>
    <w:rsid w:val="00A63C8E"/>
    <w:rsid w:val="00A6424F"/>
    <w:rsid w:val="00A6579D"/>
    <w:rsid w:val="00A67EE1"/>
    <w:rsid w:val="00A738C7"/>
    <w:rsid w:val="00A73D57"/>
    <w:rsid w:val="00A73F65"/>
    <w:rsid w:val="00A74A6B"/>
    <w:rsid w:val="00A802EA"/>
    <w:rsid w:val="00A816B4"/>
    <w:rsid w:val="00A81B09"/>
    <w:rsid w:val="00A8508F"/>
    <w:rsid w:val="00A93E4D"/>
    <w:rsid w:val="00A9551B"/>
    <w:rsid w:val="00A95EB9"/>
    <w:rsid w:val="00A966B0"/>
    <w:rsid w:val="00A96FC5"/>
    <w:rsid w:val="00A9776F"/>
    <w:rsid w:val="00A97927"/>
    <w:rsid w:val="00AA0182"/>
    <w:rsid w:val="00AA25CF"/>
    <w:rsid w:val="00AA3074"/>
    <w:rsid w:val="00AA6C4E"/>
    <w:rsid w:val="00AB065B"/>
    <w:rsid w:val="00AB09D7"/>
    <w:rsid w:val="00AB0F94"/>
    <w:rsid w:val="00AB1E0A"/>
    <w:rsid w:val="00AB26C1"/>
    <w:rsid w:val="00AB296B"/>
    <w:rsid w:val="00AB2ABA"/>
    <w:rsid w:val="00AB40C2"/>
    <w:rsid w:val="00AB734C"/>
    <w:rsid w:val="00AB7E9F"/>
    <w:rsid w:val="00AC035A"/>
    <w:rsid w:val="00AC0AEE"/>
    <w:rsid w:val="00AC288C"/>
    <w:rsid w:val="00AC29FB"/>
    <w:rsid w:val="00AC38EF"/>
    <w:rsid w:val="00AD0E27"/>
    <w:rsid w:val="00AD1E35"/>
    <w:rsid w:val="00AD519F"/>
    <w:rsid w:val="00AD5222"/>
    <w:rsid w:val="00AE07F6"/>
    <w:rsid w:val="00AE088A"/>
    <w:rsid w:val="00AE1506"/>
    <w:rsid w:val="00AE15C2"/>
    <w:rsid w:val="00AE3BA6"/>
    <w:rsid w:val="00AE4EAB"/>
    <w:rsid w:val="00AE5A9F"/>
    <w:rsid w:val="00AF000B"/>
    <w:rsid w:val="00AF02A0"/>
    <w:rsid w:val="00AF162C"/>
    <w:rsid w:val="00AF2FE8"/>
    <w:rsid w:val="00AF3FA7"/>
    <w:rsid w:val="00AF4884"/>
    <w:rsid w:val="00AF5217"/>
    <w:rsid w:val="00AF5A7B"/>
    <w:rsid w:val="00AF5AF8"/>
    <w:rsid w:val="00AF6656"/>
    <w:rsid w:val="00AF67BB"/>
    <w:rsid w:val="00B01FF6"/>
    <w:rsid w:val="00B0346D"/>
    <w:rsid w:val="00B04199"/>
    <w:rsid w:val="00B0459D"/>
    <w:rsid w:val="00B0609D"/>
    <w:rsid w:val="00B06266"/>
    <w:rsid w:val="00B06856"/>
    <w:rsid w:val="00B106DA"/>
    <w:rsid w:val="00B1226B"/>
    <w:rsid w:val="00B1459F"/>
    <w:rsid w:val="00B153BB"/>
    <w:rsid w:val="00B15487"/>
    <w:rsid w:val="00B172E0"/>
    <w:rsid w:val="00B202F4"/>
    <w:rsid w:val="00B21F3D"/>
    <w:rsid w:val="00B224DC"/>
    <w:rsid w:val="00B22884"/>
    <w:rsid w:val="00B267A6"/>
    <w:rsid w:val="00B3029E"/>
    <w:rsid w:val="00B30645"/>
    <w:rsid w:val="00B306A3"/>
    <w:rsid w:val="00B30FD0"/>
    <w:rsid w:val="00B32E97"/>
    <w:rsid w:val="00B33114"/>
    <w:rsid w:val="00B331BD"/>
    <w:rsid w:val="00B33AFD"/>
    <w:rsid w:val="00B346D7"/>
    <w:rsid w:val="00B3542E"/>
    <w:rsid w:val="00B35FE9"/>
    <w:rsid w:val="00B369D3"/>
    <w:rsid w:val="00B416A2"/>
    <w:rsid w:val="00B417E8"/>
    <w:rsid w:val="00B42F08"/>
    <w:rsid w:val="00B43701"/>
    <w:rsid w:val="00B43A60"/>
    <w:rsid w:val="00B43A84"/>
    <w:rsid w:val="00B4597E"/>
    <w:rsid w:val="00B46D49"/>
    <w:rsid w:val="00B470B0"/>
    <w:rsid w:val="00B51310"/>
    <w:rsid w:val="00B5372D"/>
    <w:rsid w:val="00B547D0"/>
    <w:rsid w:val="00B576F3"/>
    <w:rsid w:val="00B57C14"/>
    <w:rsid w:val="00B608D1"/>
    <w:rsid w:val="00B60E0A"/>
    <w:rsid w:val="00B62024"/>
    <w:rsid w:val="00B622A5"/>
    <w:rsid w:val="00B64C9C"/>
    <w:rsid w:val="00B66785"/>
    <w:rsid w:val="00B71B86"/>
    <w:rsid w:val="00B7335D"/>
    <w:rsid w:val="00B739DC"/>
    <w:rsid w:val="00B7445A"/>
    <w:rsid w:val="00B74F4C"/>
    <w:rsid w:val="00B77FE9"/>
    <w:rsid w:val="00B81275"/>
    <w:rsid w:val="00B81995"/>
    <w:rsid w:val="00B8241B"/>
    <w:rsid w:val="00B82681"/>
    <w:rsid w:val="00B826C7"/>
    <w:rsid w:val="00B82802"/>
    <w:rsid w:val="00B832F5"/>
    <w:rsid w:val="00B87814"/>
    <w:rsid w:val="00B920AF"/>
    <w:rsid w:val="00B924B0"/>
    <w:rsid w:val="00B95DB1"/>
    <w:rsid w:val="00B9737A"/>
    <w:rsid w:val="00BA2904"/>
    <w:rsid w:val="00BA3F97"/>
    <w:rsid w:val="00BA460C"/>
    <w:rsid w:val="00BA52DC"/>
    <w:rsid w:val="00BA52F1"/>
    <w:rsid w:val="00BA6B2D"/>
    <w:rsid w:val="00BB021A"/>
    <w:rsid w:val="00BB0905"/>
    <w:rsid w:val="00BB0961"/>
    <w:rsid w:val="00BB0D8D"/>
    <w:rsid w:val="00BB1CBE"/>
    <w:rsid w:val="00BB3AF9"/>
    <w:rsid w:val="00BB68AD"/>
    <w:rsid w:val="00BB6B02"/>
    <w:rsid w:val="00BC1398"/>
    <w:rsid w:val="00BC1569"/>
    <w:rsid w:val="00BC15F3"/>
    <w:rsid w:val="00BC2ADD"/>
    <w:rsid w:val="00BC2BFC"/>
    <w:rsid w:val="00BC3573"/>
    <w:rsid w:val="00BC4704"/>
    <w:rsid w:val="00BC4B42"/>
    <w:rsid w:val="00BC6AE0"/>
    <w:rsid w:val="00BD0805"/>
    <w:rsid w:val="00BD5983"/>
    <w:rsid w:val="00BD7C7A"/>
    <w:rsid w:val="00BD7F2B"/>
    <w:rsid w:val="00BE23DE"/>
    <w:rsid w:val="00BE5BC4"/>
    <w:rsid w:val="00BE5E21"/>
    <w:rsid w:val="00BE5E7A"/>
    <w:rsid w:val="00BE60DA"/>
    <w:rsid w:val="00BF0011"/>
    <w:rsid w:val="00BF03F0"/>
    <w:rsid w:val="00BF0872"/>
    <w:rsid w:val="00BF214B"/>
    <w:rsid w:val="00BF2A52"/>
    <w:rsid w:val="00BF3388"/>
    <w:rsid w:val="00BF39AC"/>
    <w:rsid w:val="00BF5D58"/>
    <w:rsid w:val="00BF6416"/>
    <w:rsid w:val="00BF651D"/>
    <w:rsid w:val="00BF6E5B"/>
    <w:rsid w:val="00BF7912"/>
    <w:rsid w:val="00C006C6"/>
    <w:rsid w:val="00C00836"/>
    <w:rsid w:val="00C013EE"/>
    <w:rsid w:val="00C01C76"/>
    <w:rsid w:val="00C01D88"/>
    <w:rsid w:val="00C0287F"/>
    <w:rsid w:val="00C049A7"/>
    <w:rsid w:val="00C04C37"/>
    <w:rsid w:val="00C06E7E"/>
    <w:rsid w:val="00C11441"/>
    <w:rsid w:val="00C125FE"/>
    <w:rsid w:val="00C12A70"/>
    <w:rsid w:val="00C13A48"/>
    <w:rsid w:val="00C15F1C"/>
    <w:rsid w:val="00C179A8"/>
    <w:rsid w:val="00C20970"/>
    <w:rsid w:val="00C21090"/>
    <w:rsid w:val="00C21AFF"/>
    <w:rsid w:val="00C239A0"/>
    <w:rsid w:val="00C23C00"/>
    <w:rsid w:val="00C2430B"/>
    <w:rsid w:val="00C2432E"/>
    <w:rsid w:val="00C2666F"/>
    <w:rsid w:val="00C267D5"/>
    <w:rsid w:val="00C26CD0"/>
    <w:rsid w:val="00C318BB"/>
    <w:rsid w:val="00C34764"/>
    <w:rsid w:val="00C3771B"/>
    <w:rsid w:val="00C42E9E"/>
    <w:rsid w:val="00C460E4"/>
    <w:rsid w:val="00C47130"/>
    <w:rsid w:val="00C4759B"/>
    <w:rsid w:val="00C50488"/>
    <w:rsid w:val="00C526B9"/>
    <w:rsid w:val="00C56375"/>
    <w:rsid w:val="00C57374"/>
    <w:rsid w:val="00C576A7"/>
    <w:rsid w:val="00C61F58"/>
    <w:rsid w:val="00C61FCD"/>
    <w:rsid w:val="00C63412"/>
    <w:rsid w:val="00C63C9B"/>
    <w:rsid w:val="00C67394"/>
    <w:rsid w:val="00C67735"/>
    <w:rsid w:val="00C70897"/>
    <w:rsid w:val="00C7512A"/>
    <w:rsid w:val="00C75B4D"/>
    <w:rsid w:val="00C75F1A"/>
    <w:rsid w:val="00C75F7D"/>
    <w:rsid w:val="00C76F10"/>
    <w:rsid w:val="00C77CF6"/>
    <w:rsid w:val="00C8176F"/>
    <w:rsid w:val="00C81CDB"/>
    <w:rsid w:val="00C81D5F"/>
    <w:rsid w:val="00C82191"/>
    <w:rsid w:val="00C859D3"/>
    <w:rsid w:val="00C92F0C"/>
    <w:rsid w:val="00C93266"/>
    <w:rsid w:val="00C935F7"/>
    <w:rsid w:val="00C95B8E"/>
    <w:rsid w:val="00CA28AF"/>
    <w:rsid w:val="00CA717A"/>
    <w:rsid w:val="00CA7D54"/>
    <w:rsid w:val="00CB0753"/>
    <w:rsid w:val="00CB1692"/>
    <w:rsid w:val="00CB2ED4"/>
    <w:rsid w:val="00CB3168"/>
    <w:rsid w:val="00CB3EE5"/>
    <w:rsid w:val="00CB44B3"/>
    <w:rsid w:val="00CB5719"/>
    <w:rsid w:val="00CB6209"/>
    <w:rsid w:val="00CB62DF"/>
    <w:rsid w:val="00CC028F"/>
    <w:rsid w:val="00CC090A"/>
    <w:rsid w:val="00CC53F0"/>
    <w:rsid w:val="00CD045A"/>
    <w:rsid w:val="00CD088E"/>
    <w:rsid w:val="00CD159D"/>
    <w:rsid w:val="00CD1961"/>
    <w:rsid w:val="00CD2812"/>
    <w:rsid w:val="00CD41DE"/>
    <w:rsid w:val="00CE1D98"/>
    <w:rsid w:val="00CE21C9"/>
    <w:rsid w:val="00CE3567"/>
    <w:rsid w:val="00CE59B5"/>
    <w:rsid w:val="00CF0247"/>
    <w:rsid w:val="00CF1828"/>
    <w:rsid w:val="00CF1E84"/>
    <w:rsid w:val="00CF543E"/>
    <w:rsid w:val="00CF5648"/>
    <w:rsid w:val="00D00A1C"/>
    <w:rsid w:val="00D033C6"/>
    <w:rsid w:val="00D036E9"/>
    <w:rsid w:val="00D06B16"/>
    <w:rsid w:val="00D0756A"/>
    <w:rsid w:val="00D123A4"/>
    <w:rsid w:val="00D126D4"/>
    <w:rsid w:val="00D129A5"/>
    <w:rsid w:val="00D12B4A"/>
    <w:rsid w:val="00D13F9C"/>
    <w:rsid w:val="00D145FB"/>
    <w:rsid w:val="00D148E1"/>
    <w:rsid w:val="00D15161"/>
    <w:rsid w:val="00D15628"/>
    <w:rsid w:val="00D20567"/>
    <w:rsid w:val="00D24B79"/>
    <w:rsid w:val="00D26062"/>
    <w:rsid w:val="00D30C05"/>
    <w:rsid w:val="00D30FDF"/>
    <w:rsid w:val="00D3173D"/>
    <w:rsid w:val="00D31A2D"/>
    <w:rsid w:val="00D32369"/>
    <w:rsid w:val="00D361DB"/>
    <w:rsid w:val="00D37ABD"/>
    <w:rsid w:val="00D418C3"/>
    <w:rsid w:val="00D422B5"/>
    <w:rsid w:val="00D42B34"/>
    <w:rsid w:val="00D4365C"/>
    <w:rsid w:val="00D44C75"/>
    <w:rsid w:val="00D451E3"/>
    <w:rsid w:val="00D45736"/>
    <w:rsid w:val="00D47DA8"/>
    <w:rsid w:val="00D47F43"/>
    <w:rsid w:val="00D53193"/>
    <w:rsid w:val="00D54F1E"/>
    <w:rsid w:val="00D55704"/>
    <w:rsid w:val="00D56A51"/>
    <w:rsid w:val="00D56BA8"/>
    <w:rsid w:val="00D57E05"/>
    <w:rsid w:val="00D61529"/>
    <w:rsid w:val="00D61BA0"/>
    <w:rsid w:val="00D61CCF"/>
    <w:rsid w:val="00D63653"/>
    <w:rsid w:val="00D6499E"/>
    <w:rsid w:val="00D654E2"/>
    <w:rsid w:val="00D655BC"/>
    <w:rsid w:val="00D6678D"/>
    <w:rsid w:val="00D66DD2"/>
    <w:rsid w:val="00D66E17"/>
    <w:rsid w:val="00D67288"/>
    <w:rsid w:val="00D7056E"/>
    <w:rsid w:val="00D70A85"/>
    <w:rsid w:val="00D72035"/>
    <w:rsid w:val="00D730F2"/>
    <w:rsid w:val="00D73602"/>
    <w:rsid w:val="00D73C2A"/>
    <w:rsid w:val="00D74204"/>
    <w:rsid w:val="00D76565"/>
    <w:rsid w:val="00D81196"/>
    <w:rsid w:val="00D83937"/>
    <w:rsid w:val="00D84054"/>
    <w:rsid w:val="00D84EB7"/>
    <w:rsid w:val="00D8570D"/>
    <w:rsid w:val="00D85FA3"/>
    <w:rsid w:val="00D86A84"/>
    <w:rsid w:val="00D904FA"/>
    <w:rsid w:val="00D906DA"/>
    <w:rsid w:val="00D93FC0"/>
    <w:rsid w:val="00D94C2F"/>
    <w:rsid w:val="00D957C5"/>
    <w:rsid w:val="00D964CA"/>
    <w:rsid w:val="00DA02DC"/>
    <w:rsid w:val="00DA0E02"/>
    <w:rsid w:val="00DA1508"/>
    <w:rsid w:val="00DA18D1"/>
    <w:rsid w:val="00DA2692"/>
    <w:rsid w:val="00DA3D85"/>
    <w:rsid w:val="00DA51AD"/>
    <w:rsid w:val="00DA78A0"/>
    <w:rsid w:val="00DB0AE3"/>
    <w:rsid w:val="00DB25B9"/>
    <w:rsid w:val="00DB3796"/>
    <w:rsid w:val="00DB45C6"/>
    <w:rsid w:val="00DB6DEA"/>
    <w:rsid w:val="00DB797E"/>
    <w:rsid w:val="00DC14B6"/>
    <w:rsid w:val="00DC1E19"/>
    <w:rsid w:val="00DC375F"/>
    <w:rsid w:val="00DC3C76"/>
    <w:rsid w:val="00DC40B9"/>
    <w:rsid w:val="00DC7A0F"/>
    <w:rsid w:val="00DC7C08"/>
    <w:rsid w:val="00DD0A03"/>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3206"/>
    <w:rsid w:val="00DF4D6A"/>
    <w:rsid w:val="00DF4E67"/>
    <w:rsid w:val="00DF4F96"/>
    <w:rsid w:val="00DF65F5"/>
    <w:rsid w:val="00DF755C"/>
    <w:rsid w:val="00DF7999"/>
    <w:rsid w:val="00E00227"/>
    <w:rsid w:val="00E0228A"/>
    <w:rsid w:val="00E10769"/>
    <w:rsid w:val="00E10FA0"/>
    <w:rsid w:val="00E13F51"/>
    <w:rsid w:val="00E2149C"/>
    <w:rsid w:val="00E218A8"/>
    <w:rsid w:val="00E23E28"/>
    <w:rsid w:val="00E25070"/>
    <w:rsid w:val="00E26064"/>
    <w:rsid w:val="00E26248"/>
    <w:rsid w:val="00E26601"/>
    <w:rsid w:val="00E270AF"/>
    <w:rsid w:val="00E272CE"/>
    <w:rsid w:val="00E27510"/>
    <w:rsid w:val="00E30B16"/>
    <w:rsid w:val="00E31F05"/>
    <w:rsid w:val="00E33019"/>
    <w:rsid w:val="00E33D7D"/>
    <w:rsid w:val="00E349FC"/>
    <w:rsid w:val="00E35EAD"/>
    <w:rsid w:val="00E366CB"/>
    <w:rsid w:val="00E41FD9"/>
    <w:rsid w:val="00E439B1"/>
    <w:rsid w:val="00E43EAB"/>
    <w:rsid w:val="00E46CA9"/>
    <w:rsid w:val="00E46DF0"/>
    <w:rsid w:val="00E471ED"/>
    <w:rsid w:val="00E516C3"/>
    <w:rsid w:val="00E51AED"/>
    <w:rsid w:val="00E53299"/>
    <w:rsid w:val="00E57513"/>
    <w:rsid w:val="00E62D2B"/>
    <w:rsid w:val="00E63F02"/>
    <w:rsid w:val="00E65B7F"/>
    <w:rsid w:val="00E65D09"/>
    <w:rsid w:val="00E6646C"/>
    <w:rsid w:val="00E67026"/>
    <w:rsid w:val="00E67E80"/>
    <w:rsid w:val="00E70762"/>
    <w:rsid w:val="00E72488"/>
    <w:rsid w:val="00E72B51"/>
    <w:rsid w:val="00E745D5"/>
    <w:rsid w:val="00E7532F"/>
    <w:rsid w:val="00E755CA"/>
    <w:rsid w:val="00E77030"/>
    <w:rsid w:val="00E8101D"/>
    <w:rsid w:val="00E8150A"/>
    <w:rsid w:val="00E83068"/>
    <w:rsid w:val="00E834DC"/>
    <w:rsid w:val="00E85A0C"/>
    <w:rsid w:val="00E86811"/>
    <w:rsid w:val="00E91166"/>
    <w:rsid w:val="00E9307B"/>
    <w:rsid w:val="00E93326"/>
    <w:rsid w:val="00E93F88"/>
    <w:rsid w:val="00E948D2"/>
    <w:rsid w:val="00E96D81"/>
    <w:rsid w:val="00EA040B"/>
    <w:rsid w:val="00EA05F0"/>
    <w:rsid w:val="00EA1151"/>
    <w:rsid w:val="00EA4429"/>
    <w:rsid w:val="00EA578C"/>
    <w:rsid w:val="00EA600D"/>
    <w:rsid w:val="00EA6231"/>
    <w:rsid w:val="00EA70CE"/>
    <w:rsid w:val="00EA70D7"/>
    <w:rsid w:val="00EB1FE9"/>
    <w:rsid w:val="00EB2900"/>
    <w:rsid w:val="00EB3256"/>
    <w:rsid w:val="00EB33C0"/>
    <w:rsid w:val="00EB35E7"/>
    <w:rsid w:val="00EB3F1B"/>
    <w:rsid w:val="00EB5367"/>
    <w:rsid w:val="00EB5C01"/>
    <w:rsid w:val="00EB60AD"/>
    <w:rsid w:val="00EB7226"/>
    <w:rsid w:val="00EB798E"/>
    <w:rsid w:val="00EC09BA"/>
    <w:rsid w:val="00EC1600"/>
    <w:rsid w:val="00EC2F57"/>
    <w:rsid w:val="00EC3757"/>
    <w:rsid w:val="00EC396F"/>
    <w:rsid w:val="00EC4548"/>
    <w:rsid w:val="00EC4F36"/>
    <w:rsid w:val="00EC516E"/>
    <w:rsid w:val="00EC6148"/>
    <w:rsid w:val="00EC72BA"/>
    <w:rsid w:val="00EC72BD"/>
    <w:rsid w:val="00ED287B"/>
    <w:rsid w:val="00ED3952"/>
    <w:rsid w:val="00ED4F32"/>
    <w:rsid w:val="00ED5085"/>
    <w:rsid w:val="00ED5575"/>
    <w:rsid w:val="00ED62D1"/>
    <w:rsid w:val="00ED655C"/>
    <w:rsid w:val="00ED6BF9"/>
    <w:rsid w:val="00ED7725"/>
    <w:rsid w:val="00ED787A"/>
    <w:rsid w:val="00EE0382"/>
    <w:rsid w:val="00EE14F6"/>
    <w:rsid w:val="00EE29C4"/>
    <w:rsid w:val="00EE3242"/>
    <w:rsid w:val="00EE43E2"/>
    <w:rsid w:val="00EE550C"/>
    <w:rsid w:val="00EE6340"/>
    <w:rsid w:val="00EE71FD"/>
    <w:rsid w:val="00EE7C78"/>
    <w:rsid w:val="00EF014A"/>
    <w:rsid w:val="00EF22CC"/>
    <w:rsid w:val="00EF6762"/>
    <w:rsid w:val="00EF6B64"/>
    <w:rsid w:val="00EF7B1F"/>
    <w:rsid w:val="00F017C0"/>
    <w:rsid w:val="00F01FE6"/>
    <w:rsid w:val="00F02DB3"/>
    <w:rsid w:val="00F03021"/>
    <w:rsid w:val="00F06809"/>
    <w:rsid w:val="00F100A7"/>
    <w:rsid w:val="00F11356"/>
    <w:rsid w:val="00F117A2"/>
    <w:rsid w:val="00F11970"/>
    <w:rsid w:val="00F13C08"/>
    <w:rsid w:val="00F15778"/>
    <w:rsid w:val="00F16606"/>
    <w:rsid w:val="00F22105"/>
    <w:rsid w:val="00F265B2"/>
    <w:rsid w:val="00F27E54"/>
    <w:rsid w:val="00F3015A"/>
    <w:rsid w:val="00F30EFA"/>
    <w:rsid w:val="00F33460"/>
    <w:rsid w:val="00F35487"/>
    <w:rsid w:val="00F40B0E"/>
    <w:rsid w:val="00F410B4"/>
    <w:rsid w:val="00F41146"/>
    <w:rsid w:val="00F44BDA"/>
    <w:rsid w:val="00F463C1"/>
    <w:rsid w:val="00F465C3"/>
    <w:rsid w:val="00F47D5E"/>
    <w:rsid w:val="00F50A2E"/>
    <w:rsid w:val="00F50C41"/>
    <w:rsid w:val="00F5342E"/>
    <w:rsid w:val="00F542E0"/>
    <w:rsid w:val="00F616D3"/>
    <w:rsid w:val="00F621A9"/>
    <w:rsid w:val="00F62C38"/>
    <w:rsid w:val="00F65B2E"/>
    <w:rsid w:val="00F72296"/>
    <w:rsid w:val="00F724A2"/>
    <w:rsid w:val="00F7597D"/>
    <w:rsid w:val="00F7796B"/>
    <w:rsid w:val="00F848F2"/>
    <w:rsid w:val="00F84B9B"/>
    <w:rsid w:val="00F87759"/>
    <w:rsid w:val="00F94318"/>
    <w:rsid w:val="00F97D2D"/>
    <w:rsid w:val="00FA0963"/>
    <w:rsid w:val="00FA24AB"/>
    <w:rsid w:val="00FA4CB5"/>
    <w:rsid w:val="00FA4DAE"/>
    <w:rsid w:val="00FA51D2"/>
    <w:rsid w:val="00FA5AFB"/>
    <w:rsid w:val="00FA632A"/>
    <w:rsid w:val="00FB085B"/>
    <w:rsid w:val="00FB0D4A"/>
    <w:rsid w:val="00FB3048"/>
    <w:rsid w:val="00FB3554"/>
    <w:rsid w:val="00FB3B93"/>
    <w:rsid w:val="00FB60A3"/>
    <w:rsid w:val="00FC3525"/>
    <w:rsid w:val="00FC51EB"/>
    <w:rsid w:val="00FC541F"/>
    <w:rsid w:val="00FC65F1"/>
    <w:rsid w:val="00FD179A"/>
    <w:rsid w:val="00FD1883"/>
    <w:rsid w:val="00FD535E"/>
    <w:rsid w:val="00FD748B"/>
    <w:rsid w:val="00FE2616"/>
    <w:rsid w:val="00FE26FE"/>
    <w:rsid w:val="00FE2901"/>
    <w:rsid w:val="00FE48AE"/>
    <w:rsid w:val="00FE755A"/>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1FBD9"/>
  <w15:docId w15:val="{C2C06D8D-7F18-46A9-9638-E9B8107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0609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iPriority w:val="99"/>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056967">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E077-03BF-4804-AE40-0B477EE1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11650</Words>
  <Characters>6642</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“Eiropas Savienības ārkārtas atbalsta piešķiršanas kārtība lauksaimniekiem sakarā ar plūdiem un spēcīgām lietusgāzēm”</vt:lpstr>
    </vt:vector>
  </TitlesOfParts>
  <Company>ZM</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Sintija Inne</dc:creator>
  <dc:description>gusts.zustenieks@varam.gov.lv; 67026489</dc:description>
  <cp:lastModifiedBy>Jekaterina Borovika</cp:lastModifiedBy>
  <cp:revision>2</cp:revision>
  <cp:lastPrinted>2017-03-09T07:20:00Z</cp:lastPrinted>
  <dcterms:created xsi:type="dcterms:W3CDTF">2019-10-29T10:12:00Z</dcterms:created>
  <dcterms:modified xsi:type="dcterms:W3CDTF">2019-10-29T10:12:00Z</dcterms:modified>
</cp:coreProperties>
</file>