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0939B" w14:textId="77777777" w:rsidR="00D45E44" w:rsidRPr="00606385" w:rsidRDefault="00D45E44" w:rsidP="00D45E44">
      <w:pPr>
        <w:pStyle w:val="naisnod"/>
        <w:spacing w:before="0" w:after="0"/>
        <w:ind w:firstLine="720"/>
        <w:rPr>
          <w:sz w:val="28"/>
          <w:szCs w:val="28"/>
        </w:rPr>
      </w:pPr>
      <w:bookmarkStart w:id="0" w:name="_GoBack"/>
      <w:bookmarkEnd w:id="0"/>
      <w:r w:rsidRPr="00606385">
        <w:rPr>
          <w:sz w:val="28"/>
          <w:szCs w:val="28"/>
        </w:rPr>
        <w:t>Izziņa par atzinumos sniegtajiem iebildumiem</w:t>
      </w:r>
    </w:p>
    <w:p w14:paraId="094B93E1" w14:textId="77777777" w:rsidR="00D45E44" w:rsidRPr="00606385" w:rsidRDefault="00D45E44" w:rsidP="00D45E44">
      <w:pPr>
        <w:pStyle w:val="naisf"/>
        <w:spacing w:before="0" w:after="0"/>
        <w:ind w:firstLine="720"/>
      </w:pPr>
    </w:p>
    <w:tbl>
      <w:tblPr>
        <w:tblW w:w="0" w:type="auto"/>
        <w:jc w:val="center"/>
        <w:tblLook w:val="00A0" w:firstRow="1" w:lastRow="0" w:firstColumn="1" w:lastColumn="0" w:noHBand="0" w:noVBand="0"/>
      </w:tblPr>
      <w:tblGrid>
        <w:gridCol w:w="13204"/>
      </w:tblGrid>
      <w:tr w:rsidR="00D45E44" w:rsidRPr="00606385" w14:paraId="2224AB80" w14:textId="77777777" w:rsidTr="001D6E1B">
        <w:trPr>
          <w:jc w:val="center"/>
        </w:trPr>
        <w:tc>
          <w:tcPr>
            <w:tcW w:w="13204" w:type="dxa"/>
            <w:tcBorders>
              <w:bottom w:val="single" w:sz="6" w:space="0" w:color="000000"/>
            </w:tcBorders>
          </w:tcPr>
          <w:p w14:paraId="3374C7E0" w14:textId="11853A04" w:rsidR="00D45E44" w:rsidRPr="00606385" w:rsidRDefault="00AF502B" w:rsidP="00AF502B">
            <w:pPr>
              <w:ind w:firstLine="720"/>
              <w:jc w:val="center"/>
            </w:pPr>
            <w:r>
              <w:t xml:space="preserve">Informatīvais </w:t>
            </w:r>
            <w:r w:rsidR="00551B1F">
              <w:t>ziņojums “</w:t>
            </w:r>
            <w:r w:rsidRPr="0081414D">
              <w:rPr>
                <w:sz w:val="28"/>
                <w:szCs w:val="28"/>
              </w:rPr>
              <w:t>Par Modernizācijas fonda ieviešanu</w:t>
            </w:r>
            <w:r w:rsidR="00551B1F">
              <w:t>”</w:t>
            </w:r>
          </w:p>
        </w:tc>
      </w:tr>
    </w:tbl>
    <w:p w14:paraId="73D42025" w14:textId="77777777" w:rsidR="00D45E44" w:rsidRPr="00606385" w:rsidRDefault="00D45E44" w:rsidP="00D45E44">
      <w:pPr>
        <w:pStyle w:val="naisc"/>
        <w:spacing w:before="0" w:after="0"/>
        <w:ind w:firstLine="1080"/>
      </w:pPr>
      <w:r w:rsidRPr="00606385">
        <w:t>(dokumenta veids un nosaukums)</w:t>
      </w:r>
    </w:p>
    <w:p w14:paraId="2BE212B2" w14:textId="77777777" w:rsidR="00D45E44" w:rsidRPr="00606385" w:rsidRDefault="00D45E44" w:rsidP="00D45E44">
      <w:pPr>
        <w:pStyle w:val="naisf"/>
        <w:spacing w:before="0" w:after="0"/>
        <w:ind w:firstLine="720"/>
      </w:pPr>
    </w:p>
    <w:p w14:paraId="1AF3F5D5" w14:textId="77777777" w:rsidR="00D45E44" w:rsidRPr="00606385" w:rsidRDefault="00D45E44" w:rsidP="00D45E44">
      <w:pPr>
        <w:pStyle w:val="naisf"/>
        <w:spacing w:before="0" w:after="0"/>
        <w:ind w:firstLine="0"/>
        <w:jc w:val="center"/>
        <w:rPr>
          <w:b/>
        </w:rPr>
      </w:pPr>
      <w:r w:rsidRPr="00606385">
        <w:rPr>
          <w:b/>
        </w:rPr>
        <w:t>I. Jautājumi, par kuriem saskaņošanā vienošanās nav panākta</w:t>
      </w:r>
    </w:p>
    <w:p w14:paraId="1C2AA494" w14:textId="77777777" w:rsidR="00D45E44" w:rsidRPr="00606385" w:rsidRDefault="00D45E44" w:rsidP="00D45E44">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3544"/>
        <w:gridCol w:w="3802"/>
        <w:gridCol w:w="2126"/>
        <w:gridCol w:w="1969"/>
      </w:tblGrid>
      <w:tr w:rsidR="00D45E44" w:rsidRPr="00606385" w14:paraId="4A1F6D87" w14:textId="77777777" w:rsidTr="009023FA">
        <w:tc>
          <w:tcPr>
            <w:tcW w:w="708" w:type="dxa"/>
            <w:tcBorders>
              <w:top w:val="single" w:sz="6" w:space="0" w:color="000000"/>
              <w:left w:val="single" w:sz="6" w:space="0" w:color="000000"/>
              <w:bottom w:val="single" w:sz="6" w:space="0" w:color="000000"/>
              <w:right w:val="single" w:sz="6" w:space="0" w:color="000000"/>
            </w:tcBorders>
            <w:vAlign w:val="center"/>
          </w:tcPr>
          <w:p w14:paraId="2AF87E16" w14:textId="77777777" w:rsidR="00D45E44" w:rsidRPr="00606385" w:rsidRDefault="00D45E44" w:rsidP="001D6E1B">
            <w:pPr>
              <w:pStyle w:val="naisc"/>
              <w:spacing w:before="0" w:after="0"/>
            </w:pPr>
            <w:r w:rsidRPr="00606385">
              <w:t>Nr. p. k.</w:t>
            </w:r>
          </w:p>
        </w:tc>
        <w:tc>
          <w:tcPr>
            <w:tcW w:w="2119" w:type="dxa"/>
            <w:tcBorders>
              <w:top w:val="single" w:sz="6" w:space="0" w:color="000000"/>
              <w:left w:val="single" w:sz="6" w:space="0" w:color="000000"/>
              <w:bottom w:val="single" w:sz="6" w:space="0" w:color="000000"/>
              <w:right w:val="single" w:sz="6" w:space="0" w:color="000000"/>
            </w:tcBorders>
            <w:vAlign w:val="center"/>
          </w:tcPr>
          <w:p w14:paraId="1A09CDF0" w14:textId="77777777" w:rsidR="00D45E44" w:rsidRPr="00606385" w:rsidRDefault="00D45E44" w:rsidP="001D6E1B">
            <w:pPr>
              <w:pStyle w:val="naisc"/>
              <w:spacing w:before="0" w:after="0"/>
              <w:ind w:firstLine="12"/>
            </w:pPr>
            <w:r w:rsidRPr="00606385">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052E2FA8" w14:textId="77777777" w:rsidR="00D45E44" w:rsidRPr="00606385" w:rsidRDefault="00D45E44" w:rsidP="001D6E1B">
            <w:pPr>
              <w:pStyle w:val="naisc"/>
              <w:spacing w:before="0" w:after="0"/>
              <w:ind w:right="3"/>
            </w:pPr>
            <w:r w:rsidRPr="00606385">
              <w:t>Atzinumā norādītais ministrijas (citas institūcijas) iebildums, kā arī saskaņošanā papildus izteiktais iebildums par projekta konkrēto punktu (pantu)</w:t>
            </w:r>
          </w:p>
        </w:tc>
        <w:tc>
          <w:tcPr>
            <w:tcW w:w="3802" w:type="dxa"/>
            <w:tcBorders>
              <w:top w:val="single" w:sz="6" w:space="0" w:color="000000"/>
              <w:left w:val="single" w:sz="6" w:space="0" w:color="000000"/>
              <w:bottom w:val="single" w:sz="6" w:space="0" w:color="000000"/>
              <w:right w:val="single" w:sz="6" w:space="0" w:color="000000"/>
            </w:tcBorders>
            <w:vAlign w:val="center"/>
          </w:tcPr>
          <w:p w14:paraId="57E6EDBD" w14:textId="77777777" w:rsidR="00D45E44" w:rsidRPr="00606385" w:rsidRDefault="00D45E44" w:rsidP="001D6E1B">
            <w:pPr>
              <w:pStyle w:val="naisc"/>
              <w:spacing w:before="0" w:after="0"/>
              <w:ind w:firstLine="21"/>
            </w:pPr>
            <w:r w:rsidRPr="00606385">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513B3DDB" w14:textId="77777777" w:rsidR="00D45E44" w:rsidRPr="00606385" w:rsidRDefault="00D45E44" w:rsidP="001D6E1B">
            <w:pPr>
              <w:jc w:val="center"/>
            </w:pPr>
            <w:r w:rsidRPr="00606385">
              <w:t>Atzinuma sniedzēja uzturētais iebildums, ja tas atšķiras no atzinumā norādītā iebilduma pamatojuma</w:t>
            </w:r>
          </w:p>
        </w:tc>
        <w:tc>
          <w:tcPr>
            <w:tcW w:w="1969" w:type="dxa"/>
            <w:tcBorders>
              <w:top w:val="single" w:sz="4" w:space="0" w:color="auto"/>
              <w:left w:val="single" w:sz="4" w:space="0" w:color="auto"/>
              <w:bottom w:val="single" w:sz="4" w:space="0" w:color="auto"/>
            </w:tcBorders>
            <w:vAlign w:val="center"/>
          </w:tcPr>
          <w:p w14:paraId="68C0DE5C" w14:textId="77777777" w:rsidR="00D45E44" w:rsidRPr="00606385" w:rsidRDefault="00D45E44" w:rsidP="001D6E1B">
            <w:pPr>
              <w:jc w:val="center"/>
            </w:pPr>
            <w:r w:rsidRPr="00606385">
              <w:t>Projekta attiecīgā punkta (panta) galīgā redakcija</w:t>
            </w:r>
          </w:p>
        </w:tc>
      </w:tr>
      <w:tr w:rsidR="000E3959" w:rsidRPr="000E3959" w14:paraId="4A863593" w14:textId="77777777" w:rsidTr="009023FA">
        <w:tc>
          <w:tcPr>
            <w:tcW w:w="708" w:type="dxa"/>
            <w:tcBorders>
              <w:top w:val="single" w:sz="6" w:space="0" w:color="000000"/>
              <w:left w:val="single" w:sz="6" w:space="0" w:color="000000"/>
              <w:bottom w:val="single" w:sz="6" w:space="0" w:color="000000"/>
              <w:right w:val="single" w:sz="6" w:space="0" w:color="000000"/>
            </w:tcBorders>
          </w:tcPr>
          <w:p w14:paraId="32B9A26B" w14:textId="77777777" w:rsidR="00D45E44" w:rsidRPr="000E3959" w:rsidRDefault="00D45E44" w:rsidP="001D6E1B">
            <w:pPr>
              <w:pStyle w:val="naisc"/>
              <w:spacing w:before="0" w:after="0"/>
            </w:pPr>
            <w:r w:rsidRPr="000E3959">
              <w:t>1</w:t>
            </w:r>
          </w:p>
        </w:tc>
        <w:tc>
          <w:tcPr>
            <w:tcW w:w="2119" w:type="dxa"/>
            <w:tcBorders>
              <w:top w:val="single" w:sz="6" w:space="0" w:color="000000"/>
              <w:left w:val="single" w:sz="6" w:space="0" w:color="000000"/>
              <w:bottom w:val="single" w:sz="6" w:space="0" w:color="000000"/>
              <w:right w:val="single" w:sz="6" w:space="0" w:color="000000"/>
            </w:tcBorders>
          </w:tcPr>
          <w:p w14:paraId="1698BC90" w14:textId="77777777" w:rsidR="00D45E44" w:rsidRPr="000E3959" w:rsidRDefault="00D45E44" w:rsidP="001D6E1B">
            <w:pPr>
              <w:pStyle w:val="naisc"/>
              <w:spacing w:before="0" w:after="0"/>
              <w:ind w:firstLine="720"/>
            </w:pPr>
            <w:r w:rsidRPr="000E3959">
              <w:t>2</w:t>
            </w:r>
          </w:p>
        </w:tc>
        <w:tc>
          <w:tcPr>
            <w:tcW w:w="3544" w:type="dxa"/>
            <w:tcBorders>
              <w:top w:val="single" w:sz="6" w:space="0" w:color="000000"/>
              <w:left w:val="single" w:sz="6" w:space="0" w:color="000000"/>
              <w:bottom w:val="single" w:sz="6" w:space="0" w:color="000000"/>
              <w:right w:val="single" w:sz="6" w:space="0" w:color="000000"/>
            </w:tcBorders>
          </w:tcPr>
          <w:p w14:paraId="7C86A40B" w14:textId="77777777" w:rsidR="00D45E44" w:rsidRPr="000E3959" w:rsidRDefault="00D45E44" w:rsidP="001D6E1B">
            <w:pPr>
              <w:pStyle w:val="naisc"/>
              <w:spacing w:before="0" w:after="0"/>
              <w:ind w:firstLine="720"/>
            </w:pPr>
            <w:r w:rsidRPr="000E3959">
              <w:t>3</w:t>
            </w:r>
          </w:p>
        </w:tc>
        <w:tc>
          <w:tcPr>
            <w:tcW w:w="3802" w:type="dxa"/>
            <w:tcBorders>
              <w:top w:val="single" w:sz="6" w:space="0" w:color="000000"/>
              <w:left w:val="single" w:sz="6" w:space="0" w:color="000000"/>
              <w:bottom w:val="single" w:sz="6" w:space="0" w:color="000000"/>
              <w:right w:val="single" w:sz="6" w:space="0" w:color="000000"/>
            </w:tcBorders>
          </w:tcPr>
          <w:p w14:paraId="545041FD" w14:textId="77777777" w:rsidR="00D45E44" w:rsidRPr="000E3959" w:rsidRDefault="00D45E44" w:rsidP="001D6E1B">
            <w:pPr>
              <w:pStyle w:val="naisc"/>
              <w:spacing w:before="0" w:after="0"/>
              <w:ind w:firstLine="720"/>
            </w:pPr>
            <w:r w:rsidRPr="000E3959">
              <w:t>4</w:t>
            </w:r>
          </w:p>
        </w:tc>
        <w:tc>
          <w:tcPr>
            <w:tcW w:w="2126" w:type="dxa"/>
            <w:tcBorders>
              <w:top w:val="single" w:sz="4" w:space="0" w:color="auto"/>
              <w:left w:val="single" w:sz="4" w:space="0" w:color="auto"/>
              <w:bottom w:val="single" w:sz="4" w:space="0" w:color="auto"/>
              <w:right w:val="single" w:sz="4" w:space="0" w:color="auto"/>
            </w:tcBorders>
          </w:tcPr>
          <w:p w14:paraId="26007AD3" w14:textId="77777777" w:rsidR="00D45E44" w:rsidRPr="000E3959" w:rsidRDefault="00D45E44" w:rsidP="001D6E1B">
            <w:pPr>
              <w:jc w:val="center"/>
            </w:pPr>
            <w:r w:rsidRPr="000E3959">
              <w:t>5</w:t>
            </w:r>
          </w:p>
        </w:tc>
        <w:tc>
          <w:tcPr>
            <w:tcW w:w="1969" w:type="dxa"/>
            <w:tcBorders>
              <w:top w:val="single" w:sz="4" w:space="0" w:color="auto"/>
              <w:left w:val="single" w:sz="4" w:space="0" w:color="auto"/>
              <w:bottom w:val="single" w:sz="4" w:space="0" w:color="auto"/>
            </w:tcBorders>
          </w:tcPr>
          <w:p w14:paraId="7B74CA6A" w14:textId="77777777" w:rsidR="00D45E44" w:rsidRPr="000E3959" w:rsidRDefault="00D45E44" w:rsidP="001D6E1B">
            <w:pPr>
              <w:jc w:val="center"/>
            </w:pPr>
            <w:r w:rsidRPr="000E3959">
              <w:t>6</w:t>
            </w:r>
          </w:p>
        </w:tc>
      </w:tr>
      <w:tr w:rsidR="00C41CAB" w:rsidRPr="00606385" w14:paraId="27DE4806" w14:textId="77777777" w:rsidTr="009023FA">
        <w:tc>
          <w:tcPr>
            <w:tcW w:w="708" w:type="dxa"/>
            <w:tcBorders>
              <w:top w:val="single" w:sz="6" w:space="0" w:color="000000"/>
              <w:left w:val="single" w:sz="6" w:space="0" w:color="000000"/>
              <w:bottom w:val="single" w:sz="6" w:space="0" w:color="000000"/>
              <w:right w:val="single" w:sz="6" w:space="0" w:color="000000"/>
            </w:tcBorders>
          </w:tcPr>
          <w:p w14:paraId="19C225FE" w14:textId="68B68D48" w:rsidR="00C41CAB" w:rsidRPr="00606385" w:rsidRDefault="00C41CAB" w:rsidP="00C41CAB">
            <w:pPr>
              <w:pStyle w:val="naisc"/>
              <w:spacing w:before="0" w:after="0"/>
              <w:jc w:val="left"/>
            </w:pPr>
            <w:r>
              <w:t>1.</w:t>
            </w:r>
          </w:p>
        </w:tc>
        <w:tc>
          <w:tcPr>
            <w:tcW w:w="2119" w:type="dxa"/>
            <w:tcBorders>
              <w:top w:val="single" w:sz="6" w:space="0" w:color="000000"/>
              <w:left w:val="single" w:sz="6" w:space="0" w:color="000000"/>
              <w:bottom w:val="single" w:sz="6" w:space="0" w:color="000000"/>
              <w:right w:val="single" w:sz="6" w:space="0" w:color="000000"/>
            </w:tcBorders>
          </w:tcPr>
          <w:p w14:paraId="48382FBB" w14:textId="09F0776C" w:rsidR="00C41CAB" w:rsidRPr="00413124" w:rsidRDefault="00C41CAB" w:rsidP="00C41CAB">
            <w:pPr>
              <w:jc w:val="both"/>
              <w:rPr>
                <w:b/>
              </w:rPr>
            </w:pPr>
            <w:r>
              <w:rPr>
                <w:b/>
              </w:rPr>
              <w:t>Protokolēmums</w:t>
            </w:r>
          </w:p>
        </w:tc>
        <w:tc>
          <w:tcPr>
            <w:tcW w:w="3544" w:type="dxa"/>
            <w:tcBorders>
              <w:top w:val="single" w:sz="6" w:space="0" w:color="000000"/>
              <w:left w:val="single" w:sz="6" w:space="0" w:color="000000"/>
              <w:bottom w:val="single" w:sz="6" w:space="0" w:color="000000"/>
              <w:right w:val="single" w:sz="6" w:space="0" w:color="000000"/>
            </w:tcBorders>
          </w:tcPr>
          <w:p w14:paraId="035177BE" w14:textId="77777777" w:rsidR="00C41CAB" w:rsidRDefault="00C41CAB" w:rsidP="00AD1156">
            <w:pPr>
              <w:pStyle w:val="ListParagraph"/>
              <w:widowControl w:val="0"/>
              <w:spacing w:after="0" w:line="240" w:lineRule="auto"/>
              <w:ind w:left="0"/>
              <w:jc w:val="center"/>
              <w:rPr>
                <w:rFonts w:ascii="Times New Roman" w:hAnsi="Times New Roman"/>
                <w:b/>
                <w:bCs/>
                <w:sz w:val="24"/>
                <w:szCs w:val="24"/>
                <w:lang w:val="lv-LV"/>
              </w:rPr>
            </w:pPr>
            <w:r w:rsidRPr="00494DFF">
              <w:rPr>
                <w:rFonts w:ascii="Times New Roman" w:hAnsi="Times New Roman"/>
                <w:b/>
                <w:bCs/>
                <w:sz w:val="24"/>
                <w:szCs w:val="24"/>
                <w:lang w:val="lv-LV"/>
              </w:rPr>
              <w:t>Ekonomikas ministrijas 02.09.2019 atzinums.</w:t>
            </w:r>
          </w:p>
          <w:p w14:paraId="5B9E7040" w14:textId="2B542B75" w:rsidR="00C41CAB" w:rsidRPr="00494DFF" w:rsidRDefault="00C41CAB" w:rsidP="00C41CAB">
            <w:pPr>
              <w:spacing w:before="120" w:after="120"/>
              <w:jc w:val="both"/>
            </w:pPr>
            <w:r w:rsidRPr="00494DFF">
              <w:rPr>
                <w:b/>
                <w:bCs/>
              </w:rPr>
              <w:t>Neatbalstām Protokollēmuma 2.punktu</w:t>
            </w:r>
            <w:r w:rsidRPr="00494DFF">
              <w:t>, kurā ir noteikts, ka par Modernizācijas fonda (turpmāk – MF) atbildīgo iestādi nacionālā līmenī tiek noteikts VARAM.</w:t>
            </w:r>
          </w:p>
          <w:p w14:paraId="68453CE3" w14:textId="77777777" w:rsidR="00C41CAB" w:rsidRPr="00494DFF" w:rsidRDefault="00C41CAB" w:rsidP="00C41CAB">
            <w:pPr>
              <w:spacing w:before="120" w:after="120"/>
              <w:jc w:val="both"/>
            </w:pPr>
            <w:r w:rsidRPr="00494DFF">
              <w:t>Norādām, ka saskaņā ar Eiropas Parlamenta un Padomes direktīvas Nr.2003/87/EK</w:t>
            </w:r>
            <w:r w:rsidRPr="00494DFF">
              <w:rPr>
                <w:rStyle w:val="FootnoteReference"/>
              </w:rPr>
              <w:footnoteReference w:id="1"/>
            </w:r>
            <w:r w:rsidRPr="00494DFF">
              <w:t xml:space="preserve"> (turpmāk – Direktīva 2003/87/EK) 10.d panta 1.punktu (izteikts ar Direktīvu Nr.2018/410</w:t>
            </w:r>
            <w:r w:rsidRPr="00494DFF">
              <w:rPr>
                <w:rStyle w:val="FootnoteReference"/>
              </w:rPr>
              <w:footnoteReference w:id="2"/>
            </w:r>
            <w:r w:rsidRPr="00494DFF">
              <w:t xml:space="preserve">) MF līdzekļi ir </w:t>
            </w:r>
            <w:r w:rsidRPr="00494DFF">
              <w:lastRenderedPageBreak/>
              <w:t xml:space="preserve">izmantojami, lai </w:t>
            </w:r>
            <w:r w:rsidRPr="00494DFF">
              <w:rPr>
                <w:u w:val="single"/>
              </w:rPr>
              <w:t>finansētu neliela mēroga investīciju projektus energosistēmu modernizācijā un energoefektivitātes uzlabošanā</w:t>
            </w:r>
            <w:r w:rsidRPr="00494DFF">
              <w:t>. Tātad ir skaidri noteikts, ka MF iekļautie finanšu līdzekļi ir izmantojami tikai un vienīgi projektiem enerģētikā. Šis nosacījums ir arī skaidri noteikts Informatīvā ziņojuma 2. nodaļā</w:t>
            </w:r>
          </w:p>
          <w:p w14:paraId="433DB10C" w14:textId="77777777" w:rsidR="00C41CAB" w:rsidRPr="00494DFF" w:rsidRDefault="00C41CAB" w:rsidP="00C41CAB">
            <w:pPr>
              <w:spacing w:before="120" w:after="120"/>
              <w:jc w:val="both"/>
            </w:pPr>
            <w:r w:rsidRPr="00494DFF">
              <w:t>Saskaņā ar Ministru kabineta 2010.gada 23.marta noteikumu Nr.271 “Ekonomikas ministrijas nolikums” 1.punktu enerģētikas politiku izstrādā un īstenot Ekonomikas ministrija. Savukārt Ministru kabineta 2011.gada 29.marta noteikumos Nr.233 “Vides aizsardzības un reģionālās attīstības ministrijas nolikums” nav noteikts, ka VARAM ir kompetence un tiesības izstrādāt un īstenot enerģētikas politiku.</w:t>
            </w:r>
          </w:p>
          <w:p w14:paraId="2E8BE417" w14:textId="7698B3DB" w:rsidR="00C41CAB" w:rsidRPr="00494DFF" w:rsidRDefault="00C41CAB" w:rsidP="00C41CAB">
            <w:pPr>
              <w:spacing w:before="120" w:after="120"/>
              <w:jc w:val="both"/>
              <w:rPr>
                <w:b/>
                <w:bCs/>
              </w:rPr>
            </w:pPr>
            <w:r w:rsidRPr="00494DFF">
              <w:rPr>
                <w:u w:val="single"/>
              </w:rPr>
              <w:t>Līdz ar to norādām, ka Protokollēmuma 2.punktā ir jānosaka, ka par MF atbildīgo iestādi nacionālajā līmenī tiek noteikta Ekonomikas ministrija.</w:t>
            </w:r>
          </w:p>
        </w:tc>
        <w:tc>
          <w:tcPr>
            <w:tcW w:w="3802" w:type="dxa"/>
            <w:tcBorders>
              <w:top w:val="single" w:sz="6" w:space="0" w:color="000000"/>
              <w:left w:val="single" w:sz="6" w:space="0" w:color="000000"/>
              <w:bottom w:val="single" w:sz="6" w:space="0" w:color="000000"/>
              <w:right w:val="single" w:sz="6" w:space="0" w:color="000000"/>
            </w:tcBorders>
          </w:tcPr>
          <w:p w14:paraId="75955C91" w14:textId="6531B4FD" w:rsidR="00C41CAB" w:rsidRPr="00B07612" w:rsidRDefault="00C41CAB" w:rsidP="00C41CAB">
            <w:pPr>
              <w:jc w:val="center"/>
              <w:rPr>
                <w:b/>
              </w:rPr>
            </w:pPr>
            <w:r w:rsidRPr="00B07612">
              <w:rPr>
                <w:b/>
              </w:rPr>
              <w:lastRenderedPageBreak/>
              <w:t>Nav ņemts vērā</w:t>
            </w:r>
          </w:p>
          <w:p w14:paraId="59C53822" w14:textId="77777777" w:rsidR="006135C1" w:rsidRDefault="006135C1" w:rsidP="00C41CAB">
            <w:pPr>
              <w:jc w:val="both"/>
            </w:pPr>
          </w:p>
          <w:p w14:paraId="25F0440F" w14:textId="2D91C8C0" w:rsidR="00C41CAB" w:rsidRDefault="00AD1156" w:rsidP="00C41CAB">
            <w:pPr>
              <w:jc w:val="both"/>
            </w:pPr>
            <w:r>
              <w:t>Direktīvas 2003/87 10. </w:t>
            </w:r>
            <w:r w:rsidR="00C41CAB" w:rsidRPr="00B07612">
              <w:t>panta 1.</w:t>
            </w:r>
            <w:r>
              <w:t> </w:t>
            </w:r>
            <w:r w:rsidR="00C41CAB" w:rsidRPr="00B07612">
              <w:t>punktā noteikts: “</w:t>
            </w:r>
            <w:r w:rsidR="00C41CAB" w:rsidRPr="00B07612">
              <w:rPr>
                <w:i/>
              </w:rPr>
              <w:t>2</w:t>
            </w:r>
            <w:r>
              <w:rPr>
                <w:i/>
              </w:rPr>
              <w:t> </w:t>
            </w:r>
            <w:r w:rsidR="00C41CAB" w:rsidRPr="00B07612">
              <w:rPr>
                <w:i/>
              </w:rPr>
              <w:t>% no kopējā kvotu daudzuma laikā no 2021. līdz 2030. gadam izsola, lai izveidotu fondu, kura mērķis ir uzlabot energoefektivitāti un modernizēt energosistēmas dažās dalībvalstīs, kā noteikts 10.d pantā</w:t>
            </w:r>
            <w:r>
              <w:t>”. Direktīvas 2003/87 10 d</w:t>
            </w:r>
            <w:r w:rsidR="00C41CAB" w:rsidRPr="00B07612">
              <w:t xml:space="preserve"> </w:t>
            </w:r>
            <w:r>
              <w:t xml:space="preserve"> </w:t>
            </w:r>
            <w:r w:rsidR="00C41CAB" w:rsidRPr="00B07612">
              <w:t>pan</w:t>
            </w:r>
            <w:r>
              <w:t>ta</w:t>
            </w:r>
            <w:r w:rsidR="00C41CAB" w:rsidRPr="00B07612">
              <w:t xml:space="preserve"> 2.</w:t>
            </w:r>
            <w:r>
              <w:t> </w:t>
            </w:r>
            <w:r w:rsidR="00C41CAB" w:rsidRPr="00B07612">
              <w:t>punktā</w:t>
            </w:r>
            <w:r>
              <w:t xml:space="preserve"> ir</w:t>
            </w:r>
            <w:r w:rsidR="00C41CAB" w:rsidRPr="00B07612">
              <w:t xml:space="preserve"> </w:t>
            </w:r>
            <w:r>
              <w:t>uzskaitīts</w:t>
            </w:r>
            <w:r w:rsidR="00C41CAB" w:rsidRPr="00B07612">
              <w:t xml:space="preserve"> plašs loks ar prioritārajām investīcijām, t.sk. investīcijām </w:t>
            </w:r>
            <w:r w:rsidR="00C41CAB" w:rsidRPr="00B07612">
              <w:lastRenderedPageBreak/>
              <w:t>energoefektivitātē transporta, ēku, lauksaimniecības un atkritumu apsaimniekošanas jomās. Turklāt jānorāda, ka 30</w:t>
            </w:r>
            <w:r>
              <w:t> </w:t>
            </w:r>
            <w:r w:rsidR="00C41CAB" w:rsidRPr="00B07612">
              <w:t>% no visa Modernizācijas fonda līdzekļiem ir iespēja izmantot pasākumiem, kas nav ietverti 10.d panta 2.</w:t>
            </w:r>
            <w:r>
              <w:t> </w:t>
            </w:r>
            <w:r w:rsidR="00C41CAB" w:rsidRPr="00B07612">
              <w:t xml:space="preserve">punkta minētajā uzskaitījumā. </w:t>
            </w:r>
          </w:p>
          <w:p w14:paraId="275C9804" w14:textId="77777777" w:rsidR="00C41CAB" w:rsidRDefault="00C41CAB" w:rsidP="00C41CAB">
            <w:pPr>
              <w:jc w:val="both"/>
            </w:pPr>
          </w:p>
          <w:p w14:paraId="02F08DB9" w14:textId="77777777" w:rsidR="00C41CAB" w:rsidRDefault="00C41CAB" w:rsidP="00AD1156">
            <w:pPr>
              <w:jc w:val="both"/>
            </w:pPr>
            <w:r w:rsidRPr="00B07612">
              <w:t>Pretēji Ekonomikas ministrijas paustajam vēlamies norādīt, ka informatīvajā ziņojumā nav minēts, ka Modernizācijas fonda līdzekļi būtu izmantojami tikai u</w:t>
            </w:r>
            <w:r>
              <w:t>n vienīgi projektiem enerģētikā un tas būtu pretrunā arī ar Direktīvas</w:t>
            </w:r>
            <w:r w:rsidR="00AD1156">
              <w:t xml:space="preserve"> </w:t>
            </w:r>
            <w:r>
              <w:t>2003/87 10</w:t>
            </w:r>
            <w:r w:rsidR="00AD1156">
              <w:t> </w:t>
            </w:r>
            <w:r>
              <w:t>d</w:t>
            </w:r>
            <w:r w:rsidR="00AD1156">
              <w:t xml:space="preserve"> panta no</w:t>
            </w:r>
            <w:r>
              <w:t>sacīju</w:t>
            </w:r>
            <w:r w:rsidR="00AD1156">
              <w:t>m</w:t>
            </w:r>
            <w:r>
              <w:t xml:space="preserve">iem. </w:t>
            </w:r>
            <w:r w:rsidRPr="00B07612">
              <w:t>S</w:t>
            </w:r>
            <w:r w:rsidR="00AD1156">
              <w:t>askaņā ar Direktīvas 2003/87 10 </w:t>
            </w:r>
            <w:r w:rsidRPr="00B07612">
              <w:t>d panta 1.</w:t>
            </w:r>
            <w:r w:rsidR="00AD1156">
              <w:t> </w:t>
            </w:r>
            <w:r w:rsidRPr="00B07612">
              <w:t xml:space="preserve">punkta otrajā rindkopā minēto atbalstītajām investīcijām jābūt saskanīgām ar Direktīvas 2003/87 mērķiem, kā arī ar mērķiem, ko paredz </w:t>
            </w:r>
            <w:r w:rsidR="00AD1156">
              <w:t>ES</w:t>
            </w:r>
            <w:r w:rsidRPr="00B07612">
              <w:t xml:space="preserve"> klimata un enerģētikas politikas satvars laikposmam līdz 2030.</w:t>
            </w:r>
            <w:r w:rsidR="00AD1156">
              <w:t> </w:t>
            </w:r>
            <w:r w:rsidRPr="00B07612">
              <w:t xml:space="preserve">gadam, un Parīzes nolīgumā paustajiem ilgtermiņa mērķiem. Gan Direktīva 2003/87, gan klimata un enerģētikas satvars, gan Parīzes nolīgums ir tieši saistīti ar klimata politiku un Latvija saskaņā ar Ministru kabineta 2011. gada 29. marta noteikumu Nr. 233 “Vides aizsardzības un reģionālās attīstības </w:t>
            </w:r>
            <w:r w:rsidRPr="00B07612">
              <w:lastRenderedPageBreak/>
              <w:t>ministrijas nolikums” 4. punktu VARAM ir atbildīgā iestāde par vides, dabas aizsardzības un klimata politikas izstrādi, līdz ar to par Modernizācijas fonda atbildīgo iestādi nosakāma VARAM.</w:t>
            </w:r>
          </w:p>
          <w:p w14:paraId="47BA00F3" w14:textId="78D62251" w:rsidR="00AD1156" w:rsidRPr="00B07612" w:rsidRDefault="003F7BE2" w:rsidP="003F7BE2">
            <w:pPr>
              <w:jc w:val="both"/>
            </w:pPr>
            <w:r>
              <w:t>Ar Modernizācijas fonda izveidi netiek plānots mainīt VARAM kompetenci izstrādāt vai īstenot politiku enerģētikas jomā, bet gan sagatavot juridisko ietvaru, lai varētu sniegt atbalstu SEG emisiju sam</w:t>
            </w:r>
            <w:r w:rsidR="005B14DC">
              <w:t>az</w:t>
            </w:r>
            <w:r>
              <w:t>inošu pasākumu īstenošanai, t.sk. enerģētikas sektorā.</w:t>
            </w:r>
          </w:p>
        </w:tc>
        <w:tc>
          <w:tcPr>
            <w:tcW w:w="2126" w:type="dxa"/>
            <w:tcBorders>
              <w:top w:val="single" w:sz="4" w:space="0" w:color="auto"/>
              <w:left w:val="single" w:sz="4" w:space="0" w:color="auto"/>
              <w:bottom w:val="single" w:sz="4" w:space="0" w:color="auto"/>
              <w:right w:val="single" w:sz="4" w:space="0" w:color="auto"/>
            </w:tcBorders>
          </w:tcPr>
          <w:p w14:paraId="45C345C4" w14:textId="77777777" w:rsidR="00C41CAB" w:rsidRPr="00606385" w:rsidRDefault="00C41CAB" w:rsidP="00C41CAB">
            <w:pPr>
              <w:jc w:val="both"/>
            </w:pPr>
          </w:p>
        </w:tc>
        <w:tc>
          <w:tcPr>
            <w:tcW w:w="1969" w:type="dxa"/>
            <w:tcBorders>
              <w:top w:val="single" w:sz="4" w:space="0" w:color="auto"/>
              <w:left w:val="single" w:sz="4" w:space="0" w:color="auto"/>
              <w:bottom w:val="single" w:sz="4" w:space="0" w:color="auto"/>
              <w:right w:val="single" w:sz="4" w:space="0" w:color="auto"/>
            </w:tcBorders>
          </w:tcPr>
          <w:p w14:paraId="6F5841B9" w14:textId="3B4C365C" w:rsidR="00C41CAB" w:rsidRPr="00FF553B" w:rsidRDefault="00C41CAB" w:rsidP="00C41CAB">
            <w:pPr>
              <w:spacing w:before="120" w:after="120"/>
              <w:jc w:val="both"/>
              <w:rPr>
                <w:bCs/>
              </w:rPr>
            </w:pPr>
            <w:r>
              <w:rPr>
                <w:b/>
              </w:rPr>
              <w:t>Protokolēmums</w:t>
            </w:r>
          </w:p>
        </w:tc>
      </w:tr>
      <w:tr w:rsidR="00C41CAB" w:rsidRPr="00606385" w14:paraId="76A94BE7" w14:textId="77777777" w:rsidTr="009023FA">
        <w:tc>
          <w:tcPr>
            <w:tcW w:w="708" w:type="dxa"/>
            <w:tcBorders>
              <w:top w:val="single" w:sz="6" w:space="0" w:color="000000"/>
              <w:left w:val="single" w:sz="6" w:space="0" w:color="000000"/>
              <w:bottom w:val="single" w:sz="6" w:space="0" w:color="000000"/>
              <w:right w:val="single" w:sz="6" w:space="0" w:color="000000"/>
            </w:tcBorders>
          </w:tcPr>
          <w:p w14:paraId="58EEE911" w14:textId="7CEAF218" w:rsidR="00C41CAB" w:rsidRDefault="00C41CAB" w:rsidP="00C41CAB">
            <w:pPr>
              <w:pStyle w:val="naisc"/>
              <w:spacing w:before="0" w:after="0"/>
              <w:jc w:val="left"/>
            </w:pPr>
            <w:r>
              <w:lastRenderedPageBreak/>
              <w:t>2</w:t>
            </w:r>
            <w:r w:rsidR="00E010B5">
              <w:t>.</w:t>
            </w:r>
          </w:p>
        </w:tc>
        <w:tc>
          <w:tcPr>
            <w:tcW w:w="2119" w:type="dxa"/>
            <w:tcBorders>
              <w:top w:val="single" w:sz="6" w:space="0" w:color="000000"/>
              <w:left w:val="single" w:sz="6" w:space="0" w:color="000000"/>
              <w:bottom w:val="single" w:sz="6" w:space="0" w:color="000000"/>
              <w:right w:val="single" w:sz="6" w:space="0" w:color="000000"/>
            </w:tcBorders>
          </w:tcPr>
          <w:p w14:paraId="60700FA9" w14:textId="4F8D882A" w:rsidR="00C41CAB" w:rsidRDefault="00C41CAB" w:rsidP="00C41CAB">
            <w:pPr>
              <w:jc w:val="both"/>
              <w:rPr>
                <w:b/>
              </w:rPr>
            </w:pPr>
            <w:r>
              <w:rPr>
                <w:b/>
              </w:rPr>
              <w:t>Informatīvais ziņojums</w:t>
            </w:r>
          </w:p>
        </w:tc>
        <w:tc>
          <w:tcPr>
            <w:tcW w:w="3544" w:type="dxa"/>
            <w:tcBorders>
              <w:top w:val="single" w:sz="6" w:space="0" w:color="000000"/>
              <w:left w:val="single" w:sz="6" w:space="0" w:color="000000"/>
              <w:bottom w:val="single" w:sz="6" w:space="0" w:color="000000"/>
              <w:right w:val="single" w:sz="6" w:space="0" w:color="000000"/>
            </w:tcBorders>
          </w:tcPr>
          <w:p w14:paraId="00C174F2" w14:textId="77777777" w:rsidR="00C41CAB" w:rsidRDefault="00C41CAB" w:rsidP="00C41CAB">
            <w:pPr>
              <w:pStyle w:val="ListParagraph"/>
              <w:widowControl w:val="0"/>
              <w:spacing w:after="0" w:line="240" w:lineRule="auto"/>
              <w:ind w:left="0"/>
              <w:jc w:val="both"/>
              <w:rPr>
                <w:rFonts w:ascii="Times New Roman" w:hAnsi="Times New Roman"/>
                <w:b/>
                <w:bCs/>
                <w:sz w:val="24"/>
                <w:szCs w:val="24"/>
                <w:lang w:val="lv-LV"/>
              </w:rPr>
            </w:pPr>
            <w:r>
              <w:rPr>
                <w:rFonts w:ascii="Times New Roman" w:hAnsi="Times New Roman"/>
                <w:b/>
                <w:bCs/>
                <w:sz w:val="24"/>
                <w:szCs w:val="24"/>
                <w:lang w:val="lv-LV"/>
              </w:rPr>
              <w:t>Ekonomikas ministrijas 02.09.2019 atzinums</w:t>
            </w:r>
          </w:p>
          <w:p w14:paraId="18FECEBB" w14:textId="7183367D" w:rsidR="00C41CAB" w:rsidRPr="00642B0A" w:rsidRDefault="00C41CAB" w:rsidP="005663A3">
            <w:pPr>
              <w:spacing w:before="120" w:after="120"/>
              <w:jc w:val="both"/>
            </w:pPr>
            <w:r w:rsidRPr="00642B0A">
              <w:rPr>
                <w:b/>
                <w:bCs/>
              </w:rPr>
              <w:t>Neatbalstām</w:t>
            </w:r>
            <w:r>
              <w:rPr>
                <w:b/>
                <w:bCs/>
              </w:rPr>
              <w:t xml:space="preserve"> </w:t>
            </w:r>
            <w:r w:rsidRPr="00642B0A">
              <w:rPr>
                <w:b/>
                <w:bCs/>
              </w:rPr>
              <w:t>Informatīvā ziņojuma 3.nodaļas pēdējā rindkopā minēto</w:t>
            </w:r>
            <w:r w:rsidRPr="00642B0A">
              <w:t>, ka MF ietvars saistāms ar klimata mērķu sasniegšanu enerģētikas, transporta, lauksaimniecības un atkritumu apsaimniekošanas sektoros, jo tas neatbilst nosacījumiem, kas ir noteikti Direktīvas 2003/87/EK 10.d panta 1. un 2.punktā:</w:t>
            </w:r>
          </w:p>
          <w:p w14:paraId="024D9FAC" w14:textId="591331D2" w:rsidR="00C41CAB" w:rsidRPr="00642B0A" w:rsidRDefault="00C41CAB" w:rsidP="00C41CAB">
            <w:pPr>
              <w:spacing w:before="120" w:after="120"/>
              <w:jc w:val="both"/>
              <w:rPr>
                <w:i/>
                <w:iCs/>
              </w:rPr>
            </w:pPr>
            <w:r w:rsidRPr="00642B0A">
              <w:t>“</w:t>
            </w:r>
            <w:r w:rsidRPr="00642B0A">
              <w:rPr>
                <w:i/>
                <w:iCs/>
              </w:rPr>
              <w:t xml:space="preserve">1. Laikposmam no 2021. līdz 2030. gadam tiek izveidots fonds, ar kuru atbalsta investīcijas, ko ierosinājušas saņēmējas dalībvalstis, tostarp, </w:t>
            </w:r>
            <w:r w:rsidRPr="00642B0A">
              <w:rPr>
                <w:b/>
                <w:bCs/>
                <w:i/>
                <w:iCs/>
              </w:rPr>
              <w:t xml:space="preserve">lai finansētu </w:t>
            </w:r>
            <w:r w:rsidRPr="00642B0A">
              <w:rPr>
                <w:b/>
                <w:bCs/>
                <w:i/>
                <w:iCs/>
              </w:rPr>
              <w:lastRenderedPageBreak/>
              <w:t>neliela mēroga investīciju projektus, energosistēmu modernizācijā un energoefektivitātes uzlabošanā</w:t>
            </w:r>
            <w:r w:rsidRPr="00642B0A">
              <w:rPr>
                <w:i/>
                <w:iCs/>
              </w:rPr>
              <w:t xml:space="preserve"> tādās dalībvalstīs, kuru IKP uz vienu iedzīvotāju tirgus cenās 2013. gadā nesasniedza 60 % no Savienības vidējā rādītāja (“modernizācijas fonds”). Modernizācijas fondu finansē no kvotu izsolēm, kā noteikts 10. pantā.</w:t>
            </w:r>
          </w:p>
          <w:p w14:paraId="76F344C0" w14:textId="77777777" w:rsidR="00C41CAB" w:rsidRPr="00642B0A" w:rsidRDefault="00C41CAB" w:rsidP="00C41CAB">
            <w:pPr>
              <w:spacing w:before="120" w:after="120"/>
              <w:jc w:val="both"/>
              <w:rPr>
                <w:i/>
                <w:iCs/>
              </w:rPr>
            </w:pPr>
            <w:r w:rsidRPr="00642B0A">
              <w:rPr>
                <w:i/>
                <w:iCs/>
              </w:rPr>
              <w:t xml:space="preserve">Atbalstītajām investīcijām jābūt saskanīgām ar šīs direktīvas mērķiem, </w:t>
            </w:r>
            <w:r w:rsidRPr="00642B0A">
              <w:rPr>
                <w:b/>
                <w:bCs/>
                <w:i/>
                <w:iCs/>
              </w:rPr>
              <w:t>kā arī ar mērķiem, ko paredz Savienības klimata un enerģētikas politikas satvars</w:t>
            </w:r>
            <w:r w:rsidRPr="00642B0A">
              <w:rPr>
                <w:i/>
                <w:iCs/>
              </w:rPr>
              <w:t xml:space="preserve"> laikposmam līdz 2030. gadam, un Parīzes nolīgumā paustajiem ilgtermiņa mērķiem. No modernizācijas fonda atbalstu nesniedz elektroenerģijas ražošanas iekārtām, kurās izmanto cieto fosilo kurināmo, izņemot efektīvai un ilgtspējīgai centralizētajai siltumapgādei dalībvalstīs, kuru IKP uz vienu iedzīvotāju tirgus cenās 2013. gadā nesasniedza 30 % no Savienības vidējā rādītāja, ar noteikumu, ka vismaz līdzvērtīgas vērtības kvotu apjoms tiek izmantots tādām investīcijām </w:t>
            </w:r>
            <w:r w:rsidRPr="00642B0A">
              <w:rPr>
                <w:i/>
                <w:iCs/>
              </w:rPr>
              <w:lastRenderedPageBreak/>
              <w:t>saskaņā ar 10.c pantu, kas neietver cieto fosilo kurināmo.</w:t>
            </w:r>
          </w:p>
          <w:p w14:paraId="6DA16D97" w14:textId="0D13B3B6" w:rsidR="00C41CAB" w:rsidRPr="00642B0A" w:rsidRDefault="00C41CAB" w:rsidP="00C41CAB">
            <w:pPr>
              <w:spacing w:before="120" w:after="120"/>
              <w:jc w:val="both"/>
            </w:pPr>
            <w:r w:rsidRPr="00642B0A">
              <w:rPr>
                <w:i/>
                <w:iCs/>
              </w:rPr>
              <w:t xml:space="preserve">2. </w:t>
            </w:r>
            <w:r w:rsidRPr="00642B0A">
              <w:rPr>
                <w:b/>
                <w:bCs/>
                <w:i/>
                <w:iCs/>
              </w:rPr>
              <w:t>Vismaz 70 % finanšu resursus no modernizācijas fonda izmanto tam, lai atbalstītu investīcijas elektroenerģijas ražošanā un izmantošanā no atjaunojamiem avotiem, energoefektivitātes uzlabošanā</w:t>
            </w:r>
            <w:r w:rsidRPr="00642B0A">
              <w:rPr>
                <w:i/>
                <w:iCs/>
              </w:rPr>
              <w:t xml:space="preserve">, izņemot energoefektivitātes uzlabošanu, kas saistīta ar elektroenerģijas ražošanu, kurā izmanto cieto fosilo kurināmo, </w:t>
            </w:r>
            <w:r w:rsidRPr="00642B0A">
              <w:rPr>
                <w:b/>
                <w:bCs/>
                <w:i/>
                <w:iCs/>
              </w:rPr>
              <w:t xml:space="preserve">enerģijas uzglabāšanā un energotīklu, tostarp centralizētajā siltumapgādē izmantoto cauruļvadu, un elektropārvades tīklu modernizēšanā un starpsavienojumu palielināšana starp dalībvalstīm, kā arī tam, lai atbalstītu taisnīgu pāreju no oglekļa atkarīgajos reģionos saņēmējās dalībvalstīs, ar mērķi tādējādi atbalstīt darba ņēmēju pārcelšanu, pārkvalificēšanu un kvalifikācijas celšanu, izglītību, darba meklēšanas iniciatīvas un jaunuzņēmumus, veidojot dialogu ar sociālajiem partneriem. Finansējumu var piešķirt arī investīcijām energoefektivitātē transporta, ēku, lauksaimniecības </w:t>
            </w:r>
            <w:r w:rsidRPr="00642B0A">
              <w:rPr>
                <w:b/>
                <w:bCs/>
                <w:i/>
                <w:iCs/>
              </w:rPr>
              <w:lastRenderedPageBreak/>
              <w:t>un atkritumu apsaimniekošanas nozarēs.</w:t>
            </w:r>
            <w:r w:rsidRPr="00642B0A">
              <w:t>”</w:t>
            </w:r>
          </w:p>
          <w:p w14:paraId="64F623BA" w14:textId="77777777" w:rsidR="00C41CAB" w:rsidRPr="00642B0A" w:rsidRDefault="00C41CAB" w:rsidP="00C41CAB">
            <w:pPr>
              <w:spacing w:before="120" w:after="120"/>
              <w:jc w:val="both"/>
            </w:pPr>
            <w:r w:rsidRPr="00642B0A">
              <w:t xml:space="preserve">Norādām, ka iepriekšminētie Direktīvas 2003/87/EK nosacījumi skaidri nosaka, ka MF līdzekļi ir izmantojami transporta, ēku, lauksaimniecības un atkritumu apsaimniekošanas nozarēs </w:t>
            </w:r>
            <w:r w:rsidRPr="00642B0A">
              <w:rPr>
                <w:u w:val="single"/>
              </w:rPr>
              <w:t>energoefektivitātes uzlabošanas pasākumiem</w:t>
            </w:r>
            <w:r w:rsidRPr="00642B0A">
              <w:t>.</w:t>
            </w:r>
          </w:p>
          <w:p w14:paraId="51C589BC" w14:textId="77777777" w:rsidR="00C41CAB" w:rsidRPr="00642B0A" w:rsidRDefault="00C41CAB" w:rsidP="00C41CAB">
            <w:pPr>
              <w:spacing w:before="120" w:after="120"/>
              <w:jc w:val="both"/>
            </w:pPr>
            <w:r w:rsidRPr="00642B0A">
              <w:t>Tāpat norādām, ka Direktīvā 2003/87/EK ir noteikts, ka MF līdzekļu izmantojumam ir jābūt saskanīgam ar mērķiem, kas ir noteikti Savienības klimata un enerģētikas politikas satvarā. Atgādinām, ka Eiropadomes 2014.gada 23.-24.oktobra secinājumos “Klimata un enerģētikas politikas satvars laikposmam līdz 2030.gadam”</w:t>
            </w:r>
            <w:r w:rsidRPr="00642B0A">
              <w:rPr>
                <w:rStyle w:val="FootnoteReference"/>
              </w:rPr>
              <w:footnoteReference w:id="3"/>
            </w:r>
            <w:r w:rsidRPr="00642B0A">
              <w:t xml:space="preserve"> ir noteikti šādi mērķi: 1) SEG emisiju samazināšanas mērķis, 2) atjaunojamo energoresursu izmantošanas mērķis; 3) energoefektivitātes uzlabošanas mērķis; 4) starpsavienojumu mērķis.</w:t>
            </w:r>
          </w:p>
          <w:p w14:paraId="4615A21B" w14:textId="340C5640" w:rsidR="00C41CAB" w:rsidRPr="00494DFF" w:rsidRDefault="00C41CAB" w:rsidP="00C41CAB">
            <w:pPr>
              <w:spacing w:before="120" w:after="120"/>
              <w:jc w:val="both"/>
              <w:rPr>
                <w:b/>
                <w:bCs/>
              </w:rPr>
            </w:pPr>
            <w:r w:rsidRPr="00642B0A">
              <w:lastRenderedPageBreak/>
              <w:t>Līdz ar to norādām, ka Informatīvā ziņojuma 3.</w:t>
            </w:r>
            <w:r w:rsidR="000112C1">
              <w:t> </w:t>
            </w:r>
            <w:r w:rsidRPr="00642B0A">
              <w:t>nodaļas pēdējā rindkopa ir svītrojama.</w:t>
            </w:r>
          </w:p>
        </w:tc>
        <w:tc>
          <w:tcPr>
            <w:tcW w:w="3802" w:type="dxa"/>
            <w:tcBorders>
              <w:top w:val="single" w:sz="6" w:space="0" w:color="000000"/>
              <w:left w:val="single" w:sz="6" w:space="0" w:color="000000"/>
              <w:bottom w:val="single" w:sz="6" w:space="0" w:color="000000"/>
              <w:right w:val="single" w:sz="6" w:space="0" w:color="000000"/>
            </w:tcBorders>
          </w:tcPr>
          <w:p w14:paraId="388314F2" w14:textId="77777777" w:rsidR="00C41CAB" w:rsidRPr="00B73772" w:rsidRDefault="00C41CAB" w:rsidP="00C41CAB">
            <w:pPr>
              <w:jc w:val="center"/>
              <w:rPr>
                <w:b/>
              </w:rPr>
            </w:pPr>
            <w:r w:rsidRPr="00B73772">
              <w:rPr>
                <w:b/>
              </w:rPr>
              <w:lastRenderedPageBreak/>
              <w:t>Nav ņemts vērā</w:t>
            </w:r>
          </w:p>
          <w:p w14:paraId="2005D1D4" w14:textId="77777777" w:rsidR="000112C1" w:rsidRDefault="00C41CAB" w:rsidP="00C41CAB">
            <w:pPr>
              <w:spacing w:before="120" w:after="120"/>
              <w:jc w:val="both"/>
            </w:pPr>
            <w:r w:rsidRPr="00B73772">
              <w:t xml:space="preserve">Informatīvā ziņojuma teikums: “MF ietvars </w:t>
            </w:r>
            <w:r w:rsidRPr="00B73772">
              <w:rPr>
                <w:u w:val="single"/>
              </w:rPr>
              <w:t>saistāms ar klimata</w:t>
            </w:r>
            <w:r w:rsidRPr="00B73772">
              <w:t xml:space="preserve"> mērķu sasniegšanu enerģētikas, transporta, lauksaimniecības un atkritumu apsaimniekošanas sektoros” nav pretrunā ar Direktīvas 10.d. panta nosacījumiem.</w:t>
            </w:r>
          </w:p>
          <w:p w14:paraId="46F8CC3C" w14:textId="1CB824AA" w:rsidR="00C41CAB" w:rsidRPr="00B73772" w:rsidRDefault="00C41CAB" w:rsidP="000112C1">
            <w:pPr>
              <w:spacing w:before="120" w:after="120"/>
              <w:jc w:val="both"/>
              <w:rPr>
                <w:b/>
              </w:rPr>
            </w:pPr>
            <w:r w:rsidRPr="00B73772">
              <w:t>Gan Direktīva 2003/87, gan klimata un enerģētikas satvars, gan Parīzes nolīgums ir tieši saistīt</w:t>
            </w:r>
            <w:r w:rsidR="000112C1">
              <w:t xml:space="preserve">i ar klimata politiku. Turklāt </w:t>
            </w:r>
            <w:r w:rsidRPr="00B73772">
              <w:t>Direktīva</w:t>
            </w:r>
            <w:r w:rsidR="000112C1">
              <w:t>s</w:t>
            </w:r>
            <w:r w:rsidRPr="00B73772">
              <w:t xml:space="preserve"> 2003/87 pirmais pants “priekšmets” skaidri norāda uz SEG emisijām un to samazināšanu. Gan energoefektivitātes, gan atjaunojamo energoresursu izmantošanas veicināšana ir pasākumi, kas vērsti uz </w:t>
            </w:r>
            <w:r w:rsidRPr="00B73772">
              <w:lastRenderedPageBreak/>
              <w:t>tiešu SEG emisiju sam</w:t>
            </w:r>
            <w:r w:rsidR="000112C1">
              <w:t>azināšanu. Jāpiebilst, ka 2018. </w:t>
            </w:r>
            <w:r w:rsidRPr="00B73772">
              <w:t>gada 28.</w:t>
            </w:r>
            <w:r w:rsidR="000112C1">
              <w:t> </w:t>
            </w:r>
            <w:r w:rsidRPr="00B73772">
              <w:t>novembrī Eiropas Komisijas publicētajā paziņojumu “Tīru planētu visiem! Stratēģisks Eiropas ilgtermiņa redzējums par pārticīgu, modernu, konkurētspējīgu un klimatneitrālu ekonomiku", kas ir redzējums klimatneitrālas Eiropas sasniegšanai līdz 2050.</w:t>
            </w:r>
            <w:r w:rsidR="000112C1">
              <w:t> </w:t>
            </w:r>
            <w:r w:rsidRPr="00B73772">
              <w:t>gadam un kurā paredzēti 8 scenāriji un visi scenāriji pamatā ietver SEG emisiju samazināšanu balstoties uz ilgtermiņā izdevīgākajām rīcībpolitikām atjaunojamās enerģijas un energoefektivitātes jomā.</w:t>
            </w:r>
          </w:p>
        </w:tc>
        <w:tc>
          <w:tcPr>
            <w:tcW w:w="2126" w:type="dxa"/>
            <w:tcBorders>
              <w:top w:val="single" w:sz="4" w:space="0" w:color="auto"/>
              <w:left w:val="single" w:sz="4" w:space="0" w:color="auto"/>
              <w:bottom w:val="single" w:sz="4" w:space="0" w:color="auto"/>
              <w:right w:val="single" w:sz="4" w:space="0" w:color="auto"/>
            </w:tcBorders>
          </w:tcPr>
          <w:p w14:paraId="51BFFF40" w14:textId="77777777" w:rsidR="00C41CAB" w:rsidRPr="00606385" w:rsidRDefault="00C41CAB" w:rsidP="00C41CAB">
            <w:pPr>
              <w:jc w:val="both"/>
            </w:pPr>
          </w:p>
        </w:tc>
        <w:tc>
          <w:tcPr>
            <w:tcW w:w="1969" w:type="dxa"/>
            <w:tcBorders>
              <w:top w:val="single" w:sz="4" w:space="0" w:color="auto"/>
              <w:left w:val="single" w:sz="4" w:space="0" w:color="auto"/>
              <w:bottom w:val="single" w:sz="4" w:space="0" w:color="auto"/>
              <w:right w:val="single" w:sz="4" w:space="0" w:color="auto"/>
            </w:tcBorders>
          </w:tcPr>
          <w:p w14:paraId="4DB011D7" w14:textId="75CE3BF0" w:rsidR="00C41CAB" w:rsidRPr="00494DFF" w:rsidRDefault="00C41CAB" w:rsidP="00C41CAB">
            <w:pPr>
              <w:spacing w:before="120" w:after="120"/>
              <w:jc w:val="both"/>
              <w:rPr>
                <w:color w:val="FF0000"/>
                <w:u w:val="single"/>
              </w:rPr>
            </w:pPr>
            <w:r>
              <w:rPr>
                <w:b/>
              </w:rPr>
              <w:t>Informatīvais ziņojums</w:t>
            </w:r>
          </w:p>
        </w:tc>
      </w:tr>
      <w:tr w:rsidR="00C41CAB" w:rsidRPr="00606385" w14:paraId="2FB5A1ED" w14:textId="77777777" w:rsidTr="009023FA">
        <w:tc>
          <w:tcPr>
            <w:tcW w:w="708" w:type="dxa"/>
            <w:tcBorders>
              <w:top w:val="single" w:sz="6" w:space="0" w:color="000000"/>
              <w:left w:val="single" w:sz="6" w:space="0" w:color="000000"/>
              <w:bottom w:val="single" w:sz="6" w:space="0" w:color="000000"/>
              <w:right w:val="single" w:sz="6" w:space="0" w:color="000000"/>
            </w:tcBorders>
          </w:tcPr>
          <w:p w14:paraId="01290756" w14:textId="61E9E616" w:rsidR="00C41CAB" w:rsidRDefault="00C41CAB" w:rsidP="00C41CAB">
            <w:pPr>
              <w:pStyle w:val="naisc"/>
              <w:spacing w:before="0" w:after="0"/>
              <w:jc w:val="left"/>
            </w:pPr>
            <w:r>
              <w:lastRenderedPageBreak/>
              <w:t>3.</w:t>
            </w:r>
          </w:p>
        </w:tc>
        <w:tc>
          <w:tcPr>
            <w:tcW w:w="2119" w:type="dxa"/>
            <w:tcBorders>
              <w:top w:val="single" w:sz="6" w:space="0" w:color="000000"/>
              <w:left w:val="single" w:sz="6" w:space="0" w:color="000000"/>
              <w:bottom w:val="single" w:sz="6" w:space="0" w:color="000000"/>
              <w:right w:val="single" w:sz="6" w:space="0" w:color="000000"/>
            </w:tcBorders>
          </w:tcPr>
          <w:p w14:paraId="1E0B2637" w14:textId="3650C949" w:rsidR="00D9068E" w:rsidRDefault="00C41CAB" w:rsidP="00C41CAB">
            <w:pPr>
              <w:jc w:val="both"/>
              <w:rPr>
                <w:b/>
              </w:rPr>
            </w:pPr>
            <w:r>
              <w:rPr>
                <w:b/>
              </w:rPr>
              <w:t>Informatīvais ziņojums</w:t>
            </w:r>
          </w:p>
          <w:p w14:paraId="24ED54EF" w14:textId="77777777" w:rsidR="00D9068E" w:rsidRPr="00D9068E" w:rsidRDefault="00D9068E" w:rsidP="00D9068E"/>
          <w:p w14:paraId="14DE5348" w14:textId="77777777" w:rsidR="00D9068E" w:rsidRPr="00D9068E" w:rsidRDefault="00D9068E" w:rsidP="00D9068E"/>
          <w:p w14:paraId="60FDB8F0" w14:textId="77777777" w:rsidR="00D9068E" w:rsidRPr="00D9068E" w:rsidRDefault="00D9068E" w:rsidP="00D9068E"/>
          <w:p w14:paraId="7C97EF4C" w14:textId="77777777" w:rsidR="00D9068E" w:rsidRPr="00D9068E" w:rsidRDefault="00D9068E" w:rsidP="00D9068E"/>
          <w:p w14:paraId="5E474B93" w14:textId="77777777" w:rsidR="00D9068E" w:rsidRPr="00D9068E" w:rsidRDefault="00D9068E" w:rsidP="00D9068E"/>
          <w:p w14:paraId="4540D100" w14:textId="77777777" w:rsidR="00D9068E" w:rsidRPr="00D9068E" w:rsidRDefault="00D9068E" w:rsidP="00D9068E"/>
          <w:p w14:paraId="00DFF08A" w14:textId="77777777" w:rsidR="00D9068E" w:rsidRPr="00D9068E" w:rsidRDefault="00D9068E" w:rsidP="00D9068E"/>
          <w:p w14:paraId="7E85A127" w14:textId="77777777" w:rsidR="00D9068E" w:rsidRPr="00D9068E" w:rsidRDefault="00D9068E" w:rsidP="00D9068E"/>
          <w:p w14:paraId="5999CD11" w14:textId="77777777" w:rsidR="00D9068E" w:rsidRPr="00D9068E" w:rsidRDefault="00D9068E" w:rsidP="00D9068E"/>
          <w:p w14:paraId="15EC5FB3" w14:textId="77777777" w:rsidR="00D9068E" w:rsidRPr="00D9068E" w:rsidRDefault="00D9068E" w:rsidP="00D9068E"/>
          <w:p w14:paraId="728C0F57" w14:textId="77777777" w:rsidR="00D9068E" w:rsidRPr="00D9068E" w:rsidRDefault="00D9068E" w:rsidP="00D9068E"/>
          <w:p w14:paraId="56897F66" w14:textId="77777777" w:rsidR="00D9068E" w:rsidRPr="00D9068E" w:rsidRDefault="00D9068E" w:rsidP="00D9068E"/>
          <w:p w14:paraId="5608F7ED" w14:textId="77777777" w:rsidR="00D9068E" w:rsidRPr="00D9068E" w:rsidRDefault="00D9068E" w:rsidP="00D9068E"/>
          <w:p w14:paraId="216AD907" w14:textId="77777777" w:rsidR="00D9068E" w:rsidRPr="00D9068E" w:rsidRDefault="00D9068E" w:rsidP="00D9068E"/>
          <w:p w14:paraId="04D5B6BE" w14:textId="77777777" w:rsidR="00D9068E" w:rsidRPr="00D9068E" w:rsidRDefault="00D9068E" w:rsidP="00D9068E"/>
          <w:p w14:paraId="74D7CA5F" w14:textId="77777777" w:rsidR="00D9068E" w:rsidRPr="00D9068E" w:rsidRDefault="00D9068E" w:rsidP="00D9068E"/>
          <w:p w14:paraId="43CC557C" w14:textId="77777777" w:rsidR="00D9068E" w:rsidRPr="00D9068E" w:rsidRDefault="00D9068E" w:rsidP="00D9068E"/>
          <w:p w14:paraId="20AD6E2F" w14:textId="77777777" w:rsidR="00D9068E" w:rsidRPr="00D9068E" w:rsidRDefault="00D9068E" w:rsidP="00D9068E"/>
          <w:p w14:paraId="24E8EB21" w14:textId="77777777" w:rsidR="00D9068E" w:rsidRPr="00D9068E" w:rsidRDefault="00D9068E" w:rsidP="00D9068E"/>
          <w:p w14:paraId="559E6CCE" w14:textId="77777777" w:rsidR="00D9068E" w:rsidRPr="00D9068E" w:rsidRDefault="00D9068E" w:rsidP="00D9068E"/>
          <w:p w14:paraId="3C127007" w14:textId="77777777" w:rsidR="00D9068E" w:rsidRPr="00D9068E" w:rsidRDefault="00D9068E" w:rsidP="00D9068E"/>
          <w:p w14:paraId="5450F7F9" w14:textId="77777777" w:rsidR="00D9068E" w:rsidRPr="00D9068E" w:rsidRDefault="00D9068E" w:rsidP="00D9068E"/>
          <w:p w14:paraId="3462E4C9" w14:textId="77777777" w:rsidR="00D9068E" w:rsidRPr="00D9068E" w:rsidRDefault="00D9068E" w:rsidP="00D9068E"/>
          <w:p w14:paraId="1B873A9B" w14:textId="77777777" w:rsidR="00D9068E" w:rsidRPr="00D9068E" w:rsidRDefault="00D9068E" w:rsidP="00D9068E"/>
          <w:p w14:paraId="5446C7F1" w14:textId="2DDFFA51" w:rsidR="00D9068E" w:rsidRDefault="00D9068E" w:rsidP="00D9068E"/>
          <w:p w14:paraId="0492BD23" w14:textId="77777777" w:rsidR="00C41CAB" w:rsidRPr="00D9068E" w:rsidRDefault="00C41CAB" w:rsidP="00D9068E">
            <w:pPr>
              <w:jc w:val="center"/>
            </w:pPr>
          </w:p>
        </w:tc>
        <w:tc>
          <w:tcPr>
            <w:tcW w:w="3544" w:type="dxa"/>
            <w:tcBorders>
              <w:top w:val="single" w:sz="6" w:space="0" w:color="000000"/>
              <w:left w:val="single" w:sz="6" w:space="0" w:color="000000"/>
              <w:bottom w:val="single" w:sz="6" w:space="0" w:color="000000"/>
              <w:right w:val="single" w:sz="6" w:space="0" w:color="000000"/>
            </w:tcBorders>
          </w:tcPr>
          <w:p w14:paraId="03599C90" w14:textId="77777777" w:rsidR="00C41CAB" w:rsidRDefault="00C41CAB" w:rsidP="00D94399">
            <w:pPr>
              <w:pStyle w:val="ListParagraph"/>
              <w:widowControl w:val="0"/>
              <w:spacing w:after="0" w:line="240" w:lineRule="auto"/>
              <w:ind w:left="0"/>
              <w:jc w:val="center"/>
              <w:rPr>
                <w:rFonts w:ascii="Times New Roman" w:hAnsi="Times New Roman"/>
                <w:b/>
                <w:bCs/>
                <w:sz w:val="24"/>
                <w:szCs w:val="24"/>
                <w:lang w:val="lv-LV"/>
              </w:rPr>
            </w:pPr>
            <w:r w:rsidRPr="00494DFF">
              <w:rPr>
                <w:rFonts w:ascii="Times New Roman" w:hAnsi="Times New Roman"/>
                <w:b/>
                <w:bCs/>
                <w:sz w:val="24"/>
                <w:szCs w:val="24"/>
                <w:lang w:val="lv-LV"/>
              </w:rPr>
              <w:t>Ekonomikas ministrijas 02.09.2019 atzinums.</w:t>
            </w:r>
          </w:p>
          <w:p w14:paraId="54091C69" w14:textId="77777777" w:rsidR="00C41CAB" w:rsidRPr="00642B0A" w:rsidRDefault="00C41CAB" w:rsidP="00C41CAB">
            <w:pPr>
              <w:spacing w:before="120" w:after="120"/>
              <w:jc w:val="both"/>
            </w:pPr>
            <w:r w:rsidRPr="00642B0A">
              <w:rPr>
                <w:b/>
                <w:bCs/>
              </w:rPr>
              <w:t>Neatbalstām Informatīvā ziņojuma 2.nodaļā iekļauto nosacījumu,</w:t>
            </w:r>
            <w:r w:rsidRPr="00642B0A">
              <w:t xml:space="preserve"> ka MF līdzekļi ir jākoncentrē uz siltumnīcefekta gāzu (turpmāk – SEG) emisiju apjoma, kas ir radīts Eiropas Savienības (turpmāk – ES) Emisijas kvotu tirdzniecības sistēmā (turpmāk – ES ETS) neiekļautajās darbībās (turpmāk – ne-ETS darbības), samazināšanu.</w:t>
            </w:r>
          </w:p>
          <w:p w14:paraId="7C93BF5C" w14:textId="2C798BA0" w:rsidR="00C41CAB" w:rsidRPr="00642B0A" w:rsidRDefault="00C41CAB" w:rsidP="00C41CAB">
            <w:pPr>
              <w:spacing w:before="120" w:after="120"/>
              <w:jc w:val="both"/>
            </w:pPr>
            <w:r w:rsidRPr="00642B0A">
              <w:t>Atkārtoti norādām, ka,</w:t>
            </w:r>
            <w:r>
              <w:t xml:space="preserve"> neskatoti</w:t>
            </w:r>
            <w:r w:rsidRPr="00642B0A">
              <w:t xml:space="preserve">es uz VARAM pausto viedokli un uzskatu, </w:t>
            </w:r>
            <w:r w:rsidRPr="00642B0A">
              <w:rPr>
                <w:u w:val="single"/>
              </w:rPr>
              <w:t>Latvijai kopumā kā ES dalībvalstij ir saistoši ne tikai SEG emisiju samazināšanas mērķi, bet arī tie mērķi, kas ir noteikti enerģētikas, tai skaitā, transporta darbībām</w:t>
            </w:r>
            <w:r w:rsidRPr="00642B0A">
              <w:t xml:space="preserve"> – juridiski saistošie atjaunojamo energoresursu izmantošanas mērķi (enerģijas galapatēriņā un transportā), moderno biodegvielu izmantošanas mērķis, energoefektivitātes uzlabošanas mērķi (energoresursu patēriņa un energoietaupījumu mērķi), </w:t>
            </w:r>
            <w:r w:rsidRPr="00642B0A">
              <w:lastRenderedPageBreak/>
              <w:t>starpsavienojumu mērķis, enerģētiskās drošības uzlabošanas un enerģētiskās nabadzības samazināšanas mērķis.</w:t>
            </w:r>
          </w:p>
          <w:p w14:paraId="4B2116BF" w14:textId="77777777" w:rsidR="00C41CAB" w:rsidRPr="00642B0A" w:rsidRDefault="00C41CAB" w:rsidP="00C41CAB">
            <w:pPr>
              <w:spacing w:before="120" w:after="120"/>
              <w:jc w:val="both"/>
            </w:pPr>
            <w:r w:rsidRPr="00642B0A">
              <w:t>Ņemot vērā iepriekšminēto un arī Direktīvas Nr.2003/87/EK 10.d panta 1.punktā noteikto, norādām, ka MF līdzekļi ir jākoncentrē nevis uz SEG emisiju samazināšanu ne-ETS darbībās, bet uz enerģētikas nozares modernizēšanu (kas savukārt rezultēsies SEG emisiju samazināšanā enerģētikā).</w:t>
            </w:r>
          </w:p>
          <w:p w14:paraId="4F726DA2" w14:textId="77777777" w:rsidR="00C41CAB" w:rsidRPr="00642B0A" w:rsidRDefault="00C41CAB" w:rsidP="00C41CAB">
            <w:pPr>
              <w:spacing w:before="120" w:after="120"/>
              <w:jc w:val="both"/>
            </w:pPr>
            <w:r w:rsidRPr="00642B0A">
              <w:t>Papildus norādām, ka Latvijai ir noteikti ne tikai juridiski saistoši ne-ETS darbību SEG emisiju samazināšanas mērķi, bet Latvijas Ilgtspējīga attīstības stratēģijā līdz 2030.gadam</w:t>
            </w:r>
            <w:r w:rsidRPr="00642B0A">
              <w:rPr>
                <w:rStyle w:val="FootnoteReference"/>
              </w:rPr>
              <w:footnoteReference w:id="4"/>
            </w:r>
            <w:r w:rsidRPr="00642B0A">
              <w:t xml:space="preserve"> ir noteikts arī Latvijas kopējā SEG emisiju apjoma samazināšanas mērķis.</w:t>
            </w:r>
          </w:p>
          <w:p w14:paraId="2CC5D9C2" w14:textId="73E4CE4B" w:rsidR="00C41CAB" w:rsidRPr="00494DFF" w:rsidRDefault="00C41CAB" w:rsidP="00C41CAB">
            <w:pPr>
              <w:pStyle w:val="ListParagraph"/>
              <w:widowControl w:val="0"/>
              <w:spacing w:after="0" w:line="240" w:lineRule="auto"/>
              <w:ind w:left="0"/>
              <w:jc w:val="both"/>
              <w:rPr>
                <w:rFonts w:ascii="Times New Roman" w:hAnsi="Times New Roman"/>
                <w:b/>
                <w:bCs/>
                <w:sz w:val="24"/>
                <w:szCs w:val="24"/>
                <w:lang w:val="lv-LV"/>
              </w:rPr>
            </w:pPr>
            <w:r w:rsidRPr="00642B0A">
              <w:rPr>
                <w:rFonts w:ascii="Times New Roman" w:hAnsi="Times New Roman"/>
                <w:sz w:val="24"/>
                <w:szCs w:val="24"/>
                <w:lang w:val="lv-LV"/>
              </w:rPr>
              <w:t>Līdz ar to norādām, ka Informatīvā ziņojuma 2.nodaļas pēdējā rindkopa ir svītrojama.</w:t>
            </w:r>
          </w:p>
        </w:tc>
        <w:tc>
          <w:tcPr>
            <w:tcW w:w="3802" w:type="dxa"/>
            <w:tcBorders>
              <w:top w:val="single" w:sz="6" w:space="0" w:color="000000"/>
              <w:left w:val="single" w:sz="6" w:space="0" w:color="000000"/>
              <w:bottom w:val="single" w:sz="6" w:space="0" w:color="000000"/>
              <w:right w:val="single" w:sz="6" w:space="0" w:color="000000"/>
            </w:tcBorders>
          </w:tcPr>
          <w:p w14:paraId="41C01770" w14:textId="77777777" w:rsidR="00C41CAB" w:rsidRPr="00B73772" w:rsidRDefault="00C41CAB" w:rsidP="00C41CAB">
            <w:pPr>
              <w:jc w:val="center"/>
              <w:rPr>
                <w:b/>
              </w:rPr>
            </w:pPr>
            <w:r w:rsidRPr="00B73772">
              <w:rPr>
                <w:b/>
              </w:rPr>
              <w:lastRenderedPageBreak/>
              <w:t>Nav ņemts vērā</w:t>
            </w:r>
          </w:p>
          <w:p w14:paraId="5B589E2C" w14:textId="4B2F3F83" w:rsidR="00C41CAB" w:rsidRPr="00B73772" w:rsidRDefault="00C41CAB" w:rsidP="00C41CAB">
            <w:pPr>
              <w:spacing w:before="120" w:after="120"/>
              <w:jc w:val="both"/>
            </w:pPr>
            <w:r w:rsidRPr="00B73772">
              <w:t xml:space="preserve">Modernizācijas fonds ir Direktīvas 2003/87 sastāvdaļa, un Direktīva 2003/87 ir vērsta uz SEG </w:t>
            </w:r>
            <w:r w:rsidR="0035090F">
              <w:t xml:space="preserve">emisiju </w:t>
            </w:r>
            <w:r w:rsidRPr="00B73772">
              <w:t xml:space="preserve">samazināšanu. Arī 2018. gada 14. marta </w:t>
            </w:r>
            <w:r w:rsidRPr="00B73772">
              <w:rPr>
                <w:i/>
              </w:rPr>
              <w:t>Eiropas Parlamenta un Padomes Direktīvas (ES) 2018/410, ar ko groza Direktīvu 2003/87/EK, lai sekmētu emisiju izmaksefektīvu samazināšanu un investīcijas mazoglekļa risinājumos, un Lēmumu (ES) 2015/1814</w:t>
            </w:r>
            <w:r w:rsidRPr="00B73772">
              <w:t xml:space="preserve"> nosaukumā ir skaidri norādīts Direktīvas uzdevums</w:t>
            </w:r>
            <w:r w:rsidR="0035090F">
              <w:t> – </w:t>
            </w:r>
            <w:r w:rsidRPr="00B73772">
              <w:t>sekmēt izmaksefektīvu SEG samazināšanu.</w:t>
            </w:r>
          </w:p>
          <w:p w14:paraId="71B8DA12" w14:textId="1D2371D4" w:rsidR="00C41CAB" w:rsidRPr="00B73772" w:rsidRDefault="00C41CAB" w:rsidP="00C41CAB">
            <w:pPr>
              <w:spacing w:before="120" w:after="120"/>
              <w:jc w:val="both"/>
            </w:pPr>
            <w:r w:rsidRPr="00B73772">
              <w:t>Ja ES ETS sektora mērķa atbildība ir ES ETS operatoru atbil</w:t>
            </w:r>
            <w:r w:rsidR="0035090F">
              <w:t>dība, tad n</w:t>
            </w:r>
            <w:r w:rsidRPr="00B73772">
              <w:t>e-ETS SEG emisiju samazināšanas mērķa izpildes saistības ir pārdalītas katrai ES dalībvalstij, t.sk. Latvijai un kā norādīts Informatīvā ziņojuma attēlā Nr.</w:t>
            </w:r>
            <w:r w:rsidR="0035090F">
              <w:t> </w:t>
            </w:r>
            <w:r w:rsidRPr="00B73772">
              <w:t>2 lielākās SEG emisijas ir tieši no ne-ETS sektora.</w:t>
            </w:r>
          </w:p>
          <w:p w14:paraId="3D3FBB49" w14:textId="2B2600FB" w:rsidR="00C41CAB" w:rsidRPr="00B73772" w:rsidRDefault="00C41CAB" w:rsidP="0035090F">
            <w:pPr>
              <w:spacing w:before="120" w:after="120"/>
              <w:jc w:val="both"/>
              <w:rPr>
                <w:b/>
              </w:rPr>
            </w:pPr>
            <w:r w:rsidRPr="00B73772">
              <w:t xml:space="preserve">Ir saprotams, ka Latvijai ir saistoši ne tikai SEG emisiju mērķi, </w:t>
            </w:r>
            <w:r>
              <w:t>taču</w:t>
            </w:r>
            <w:r w:rsidRPr="00B73772">
              <w:t xml:space="preserve"> norādām, ka izmantojot Modernizācijas fonda līdzekļus atbilstoši D</w:t>
            </w:r>
            <w:r w:rsidR="0035090F">
              <w:t xml:space="preserve">irektīvas 2003/87 10.d 2. </w:t>
            </w:r>
            <w:r w:rsidR="0035090F">
              <w:lastRenderedPageBreak/>
              <w:t>un 6. </w:t>
            </w:r>
            <w:r w:rsidRPr="00B73772">
              <w:t>punkt</w:t>
            </w:r>
            <w:r>
              <w:t>am ir iespējams veikt SEG samazinājumus vairākās nozarēs ne tikai enerģētikā.</w:t>
            </w:r>
          </w:p>
        </w:tc>
        <w:tc>
          <w:tcPr>
            <w:tcW w:w="2126" w:type="dxa"/>
            <w:tcBorders>
              <w:top w:val="single" w:sz="4" w:space="0" w:color="auto"/>
              <w:left w:val="single" w:sz="4" w:space="0" w:color="auto"/>
              <w:bottom w:val="single" w:sz="4" w:space="0" w:color="auto"/>
              <w:right w:val="single" w:sz="4" w:space="0" w:color="auto"/>
            </w:tcBorders>
          </w:tcPr>
          <w:p w14:paraId="5100AC82" w14:textId="77777777" w:rsidR="00C41CAB" w:rsidRPr="00606385" w:rsidRDefault="00C41CAB" w:rsidP="00C41CAB">
            <w:pPr>
              <w:jc w:val="both"/>
            </w:pPr>
          </w:p>
        </w:tc>
        <w:tc>
          <w:tcPr>
            <w:tcW w:w="1969" w:type="dxa"/>
            <w:tcBorders>
              <w:top w:val="single" w:sz="4" w:space="0" w:color="auto"/>
              <w:left w:val="single" w:sz="4" w:space="0" w:color="auto"/>
              <w:bottom w:val="single" w:sz="4" w:space="0" w:color="auto"/>
              <w:right w:val="single" w:sz="4" w:space="0" w:color="auto"/>
            </w:tcBorders>
          </w:tcPr>
          <w:p w14:paraId="21E6D63D" w14:textId="03DE6233" w:rsidR="00C41CAB" w:rsidRPr="00494DFF" w:rsidRDefault="00C41CAB" w:rsidP="00C41CAB">
            <w:pPr>
              <w:spacing w:before="120" w:after="120"/>
              <w:jc w:val="both"/>
              <w:rPr>
                <w:color w:val="FF0000"/>
                <w:u w:val="single"/>
              </w:rPr>
            </w:pPr>
            <w:r>
              <w:rPr>
                <w:b/>
              </w:rPr>
              <w:t>Informatīvais ziņojums</w:t>
            </w:r>
          </w:p>
        </w:tc>
      </w:tr>
      <w:tr w:rsidR="00C41CAB" w:rsidRPr="00606385" w14:paraId="4F5B8CF8" w14:textId="77777777" w:rsidTr="009023FA">
        <w:tc>
          <w:tcPr>
            <w:tcW w:w="708" w:type="dxa"/>
            <w:tcBorders>
              <w:top w:val="single" w:sz="6" w:space="0" w:color="000000"/>
              <w:left w:val="single" w:sz="6" w:space="0" w:color="000000"/>
              <w:bottom w:val="single" w:sz="6" w:space="0" w:color="000000"/>
              <w:right w:val="single" w:sz="6" w:space="0" w:color="000000"/>
            </w:tcBorders>
          </w:tcPr>
          <w:p w14:paraId="027FD666" w14:textId="3D0F1FD0" w:rsidR="00C41CAB" w:rsidRDefault="0053526A" w:rsidP="00C41CAB">
            <w:pPr>
              <w:pStyle w:val="naisc"/>
              <w:spacing w:before="0" w:after="0"/>
              <w:jc w:val="left"/>
            </w:pPr>
            <w:r>
              <w:t>4</w:t>
            </w:r>
            <w:r w:rsidR="00C41CAB">
              <w:t>.</w:t>
            </w:r>
          </w:p>
        </w:tc>
        <w:tc>
          <w:tcPr>
            <w:tcW w:w="2119" w:type="dxa"/>
            <w:tcBorders>
              <w:top w:val="single" w:sz="6" w:space="0" w:color="000000"/>
              <w:left w:val="single" w:sz="6" w:space="0" w:color="000000"/>
              <w:bottom w:val="single" w:sz="6" w:space="0" w:color="000000"/>
              <w:right w:val="single" w:sz="6" w:space="0" w:color="000000"/>
            </w:tcBorders>
          </w:tcPr>
          <w:p w14:paraId="7D50C518" w14:textId="1C70C18B" w:rsidR="00C41CAB" w:rsidRDefault="00C41CAB" w:rsidP="00C41CAB">
            <w:pPr>
              <w:jc w:val="both"/>
              <w:rPr>
                <w:b/>
              </w:rPr>
            </w:pPr>
            <w:r>
              <w:rPr>
                <w:b/>
              </w:rPr>
              <w:t>Protokollēmums</w:t>
            </w:r>
          </w:p>
        </w:tc>
        <w:tc>
          <w:tcPr>
            <w:tcW w:w="3544" w:type="dxa"/>
            <w:tcBorders>
              <w:top w:val="single" w:sz="6" w:space="0" w:color="000000"/>
              <w:left w:val="single" w:sz="6" w:space="0" w:color="000000"/>
              <w:bottom w:val="single" w:sz="6" w:space="0" w:color="000000"/>
              <w:right w:val="single" w:sz="6" w:space="0" w:color="000000"/>
            </w:tcBorders>
          </w:tcPr>
          <w:p w14:paraId="7E308A6C" w14:textId="77777777" w:rsidR="00C41CAB" w:rsidRDefault="00C41CAB" w:rsidP="00AE6DC0">
            <w:pPr>
              <w:pStyle w:val="ListParagraph"/>
              <w:widowControl w:val="0"/>
              <w:spacing w:after="0" w:line="240" w:lineRule="auto"/>
              <w:ind w:left="0"/>
              <w:jc w:val="center"/>
              <w:rPr>
                <w:rFonts w:ascii="Times New Roman" w:hAnsi="Times New Roman"/>
                <w:b/>
                <w:bCs/>
                <w:sz w:val="24"/>
                <w:szCs w:val="24"/>
                <w:lang w:val="lv-LV"/>
              </w:rPr>
            </w:pPr>
            <w:r>
              <w:rPr>
                <w:rFonts w:ascii="Times New Roman" w:hAnsi="Times New Roman"/>
                <w:b/>
                <w:bCs/>
                <w:sz w:val="24"/>
                <w:szCs w:val="24"/>
                <w:lang w:val="lv-LV"/>
              </w:rPr>
              <w:t>Ekonomikas ministrijas 02.09.2019 atzinums</w:t>
            </w:r>
          </w:p>
          <w:p w14:paraId="2D53D34A" w14:textId="77777777" w:rsidR="00C41CAB" w:rsidRPr="00642B0A" w:rsidRDefault="00C41CAB" w:rsidP="00C41CAB">
            <w:pPr>
              <w:spacing w:before="120" w:after="120"/>
              <w:jc w:val="both"/>
            </w:pPr>
            <w:r w:rsidRPr="00642B0A">
              <w:rPr>
                <w:b/>
                <w:bCs/>
              </w:rPr>
              <w:t>Neatbalstām Protokollēmuma 3.punktu</w:t>
            </w:r>
            <w:r w:rsidRPr="00642B0A">
              <w:t xml:space="preserve">, kurā ir noteikts, ka MF apjoms netiek palielināts un tajā netiek iekļautas tās bezmaksas </w:t>
            </w:r>
            <w:r w:rsidRPr="00642B0A">
              <w:lastRenderedPageBreak/>
              <w:t>emisijas kvotas, kuru nepiešķiršanu elektroenerģijas ražošanai 2021.–2030. gadā Ministru kabinets atbalstīja 2019.gada 16.jūlija Ministru kabineta sēdē.</w:t>
            </w:r>
          </w:p>
          <w:p w14:paraId="03DD95A1" w14:textId="77777777" w:rsidR="00C41CAB" w:rsidRPr="00642B0A" w:rsidRDefault="00C41CAB" w:rsidP="00C41CAB">
            <w:pPr>
              <w:spacing w:before="120" w:after="120"/>
              <w:jc w:val="both"/>
            </w:pPr>
            <w:r w:rsidRPr="00642B0A">
              <w:t xml:space="preserve">Atkārtoti norādām (skatīt Ekonomikas ministrijas 2019.gada 29.aprīļa atzinumu Nr. 3.1-20/2019/87 un 2019.gada 23.maija atzinumu Nr. 3.1-20/2019/112), ka iepriekšminētās emisijas kvotas Direktīvā Nr.2003/87/EK pēc būtība tika noteiktas (atļautas), kā piešķiramas bez maksas elektroenerģijas ražošanas iekārtām nolūkā modernizēt, diversificēt un ilgtspējīgi pārveidot enerģētikas nozari, tāpēc šīs emisijas kvotas būtu novirzāmas enerģētikas nozares modernizēšanai un diversificēšanai, kā nolūkā ir izveidots MF. </w:t>
            </w:r>
          </w:p>
          <w:p w14:paraId="1EA612D9" w14:textId="66C1E97F" w:rsidR="00C41CAB" w:rsidRPr="00494DFF" w:rsidRDefault="00C41CAB" w:rsidP="00C41CAB">
            <w:pPr>
              <w:pStyle w:val="ListParagraph"/>
              <w:widowControl w:val="0"/>
              <w:spacing w:after="0" w:line="240" w:lineRule="auto"/>
              <w:ind w:left="0"/>
              <w:jc w:val="both"/>
              <w:rPr>
                <w:rFonts w:ascii="Times New Roman" w:hAnsi="Times New Roman"/>
                <w:b/>
                <w:bCs/>
                <w:sz w:val="24"/>
                <w:szCs w:val="24"/>
                <w:lang w:val="lv-LV"/>
              </w:rPr>
            </w:pPr>
            <w:r w:rsidRPr="00642B0A">
              <w:rPr>
                <w:rFonts w:ascii="Times New Roman" w:hAnsi="Times New Roman"/>
                <w:sz w:val="24"/>
                <w:szCs w:val="24"/>
                <w:lang w:val="lv-LV"/>
              </w:rPr>
              <w:t>Līdz ar to norādām, ka Protokollēmuma 3.punktā ir jānosaka, ka MF finansējums ir palielināms ar to bezmaksas kvotu apjomu, kas piešķirts, ievērojot Direktīvas 2003/87/EK 10.c panta 4. punktu.</w:t>
            </w:r>
          </w:p>
        </w:tc>
        <w:tc>
          <w:tcPr>
            <w:tcW w:w="3802" w:type="dxa"/>
            <w:tcBorders>
              <w:top w:val="single" w:sz="6" w:space="0" w:color="000000"/>
              <w:left w:val="single" w:sz="6" w:space="0" w:color="000000"/>
              <w:bottom w:val="single" w:sz="6" w:space="0" w:color="000000"/>
              <w:right w:val="single" w:sz="6" w:space="0" w:color="000000"/>
            </w:tcBorders>
          </w:tcPr>
          <w:p w14:paraId="01C4635C" w14:textId="77777777" w:rsidR="00C41CAB" w:rsidRDefault="00C41CAB" w:rsidP="00C41CAB">
            <w:pPr>
              <w:jc w:val="center"/>
              <w:rPr>
                <w:b/>
              </w:rPr>
            </w:pPr>
            <w:r>
              <w:rPr>
                <w:b/>
              </w:rPr>
              <w:lastRenderedPageBreak/>
              <w:t>Nav ņemts vērā</w:t>
            </w:r>
          </w:p>
          <w:p w14:paraId="642DD33D" w14:textId="0F2DCDDE" w:rsidR="00C41CAB" w:rsidRDefault="00C41CAB" w:rsidP="00015891">
            <w:pPr>
              <w:ind w:right="-1"/>
              <w:jc w:val="both"/>
              <w:rPr>
                <w:b/>
              </w:rPr>
            </w:pPr>
            <w:r w:rsidRPr="00A278BB">
              <w:t>Informatīvā ziņojuma 8.lpp</w:t>
            </w:r>
            <w:r w:rsidR="00AE6DC0">
              <w:t xml:space="preserve"> ir norādīts</w:t>
            </w:r>
            <w:r w:rsidRPr="00A278BB">
              <w:t>,</w:t>
            </w:r>
            <w:r w:rsidR="00AE6DC0">
              <w:t xml:space="preserve"> ka</w:t>
            </w:r>
            <w:r w:rsidRPr="00A278BB">
              <w:t xml:space="preserve"> Direktīvā 2003/87 nav noteikts, ka emisijas kvotu apjoms, ko potenciāli varēja bezmaksas piešķirt elektroenerģijas ražotājiem </w:t>
            </w:r>
            <w:r w:rsidRPr="00A278BB">
              <w:lastRenderedPageBreak/>
              <w:t>2003/87 10.c panta 4.</w:t>
            </w:r>
            <w:r w:rsidR="00AE6DC0">
              <w:t> </w:t>
            </w:r>
            <w:r w:rsidRPr="00A278BB">
              <w:t>punkta ietvaros (derogācijai), būtu obligāti  “iezīmēts” kā emisijas kvotu apjoms elektroenerģijas ražojošo iekārtu atbalstam vai enerģētikas nozares modernizācijai. Turpretī ir būtiski norādīt, ka tās noteikti ir daļa no Direktīvas 2003/87 10.</w:t>
            </w:r>
            <w:r w:rsidR="00AE6DC0">
              <w:t> </w:t>
            </w:r>
            <w:r w:rsidRPr="00A278BB">
              <w:t>panta 2.</w:t>
            </w:r>
            <w:r w:rsidR="00AE6DC0">
              <w:t> </w:t>
            </w:r>
            <w:r w:rsidRPr="00A278BB">
              <w:t>punktā minētajām</w:t>
            </w:r>
            <w:r w:rsidR="00AE6DC0">
              <w:t xml:space="preserve"> emisijas</w:t>
            </w:r>
            <w:r w:rsidRPr="00A278BB">
              <w:t xml:space="preserve"> kvotām, ko dalībvalstis izsola, un Latvijas nacionālā </w:t>
            </w:r>
            <w:r w:rsidRPr="00605FE4">
              <w:rPr>
                <w:color w:val="000000" w:themeColor="text1"/>
              </w:rPr>
              <w:t xml:space="preserve">līmenī </w:t>
            </w:r>
            <w:r w:rsidR="00015891">
              <w:rPr>
                <w:color w:val="000000" w:themeColor="text1"/>
              </w:rPr>
              <w:t xml:space="preserve">tas </w:t>
            </w:r>
            <w:r w:rsidRPr="00605FE4">
              <w:rPr>
                <w:color w:val="000000" w:themeColor="text1"/>
              </w:rPr>
              <w:t>ir EKII finansējuma avots.</w:t>
            </w:r>
          </w:p>
        </w:tc>
        <w:tc>
          <w:tcPr>
            <w:tcW w:w="2126" w:type="dxa"/>
            <w:tcBorders>
              <w:top w:val="single" w:sz="4" w:space="0" w:color="auto"/>
              <w:left w:val="single" w:sz="4" w:space="0" w:color="auto"/>
              <w:bottom w:val="single" w:sz="4" w:space="0" w:color="auto"/>
              <w:right w:val="single" w:sz="4" w:space="0" w:color="auto"/>
            </w:tcBorders>
          </w:tcPr>
          <w:p w14:paraId="4D0DC525" w14:textId="77777777" w:rsidR="00C41CAB" w:rsidRPr="00606385" w:rsidRDefault="00C41CAB" w:rsidP="00C41CAB">
            <w:pPr>
              <w:jc w:val="both"/>
            </w:pPr>
          </w:p>
        </w:tc>
        <w:tc>
          <w:tcPr>
            <w:tcW w:w="1969" w:type="dxa"/>
            <w:tcBorders>
              <w:top w:val="single" w:sz="4" w:space="0" w:color="auto"/>
              <w:left w:val="single" w:sz="4" w:space="0" w:color="auto"/>
              <w:bottom w:val="single" w:sz="4" w:space="0" w:color="auto"/>
              <w:right w:val="single" w:sz="4" w:space="0" w:color="auto"/>
            </w:tcBorders>
          </w:tcPr>
          <w:p w14:paraId="2450EB31" w14:textId="4A427B62" w:rsidR="00C41CAB" w:rsidRPr="00494DFF" w:rsidRDefault="00C41CAB" w:rsidP="00C41CAB">
            <w:pPr>
              <w:spacing w:before="120" w:after="120"/>
              <w:jc w:val="both"/>
              <w:rPr>
                <w:color w:val="FF0000"/>
                <w:u w:val="single"/>
              </w:rPr>
            </w:pPr>
            <w:r>
              <w:rPr>
                <w:b/>
              </w:rPr>
              <w:t>Protokollēmums</w:t>
            </w:r>
          </w:p>
        </w:tc>
      </w:tr>
    </w:tbl>
    <w:p w14:paraId="157DE4BA" w14:textId="4B9A915A" w:rsidR="00D45E44" w:rsidRPr="00606385" w:rsidRDefault="00D45E44" w:rsidP="00D45E44">
      <w:pPr>
        <w:pStyle w:val="naisf"/>
        <w:spacing w:before="0" w:after="0"/>
        <w:ind w:firstLine="0"/>
      </w:pPr>
    </w:p>
    <w:p w14:paraId="6A9C369C" w14:textId="77777777" w:rsidR="00D45E44" w:rsidRPr="00606385" w:rsidRDefault="00D45E44" w:rsidP="00D45E44">
      <w:pPr>
        <w:pStyle w:val="naisf"/>
        <w:spacing w:before="0" w:after="0"/>
        <w:ind w:firstLine="0"/>
        <w:rPr>
          <w:b/>
        </w:rPr>
      </w:pPr>
      <w:r w:rsidRPr="00606385">
        <w:rPr>
          <w:b/>
        </w:rPr>
        <w:lastRenderedPageBreak/>
        <w:t>Informācija par starpministriju (starpinstitūciju) sanāksmi vai elektronisko saskaņošanu</w:t>
      </w:r>
    </w:p>
    <w:p w14:paraId="05E7E2C8" w14:textId="77777777" w:rsidR="00D45E44" w:rsidRPr="00606385" w:rsidRDefault="00D45E44" w:rsidP="00D45E44">
      <w:pPr>
        <w:pStyle w:val="naisf"/>
        <w:spacing w:before="0" w:after="0"/>
        <w:ind w:firstLine="0"/>
        <w:rPr>
          <w:b/>
        </w:rPr>
      </w:pPr>
    </w:p>
    <w:tbl>
      <w:tblPr>
        <w:tblW w:w="12582" w:type="dxa"/>
        <w:tblLook w:val="00A0" w:firstRow="1" w:lastRow="0" w:firstColumn="1" w:lastColumn="0" w:noHBand="0" w:noVBand="0"/>
      </w:tblPr>
      <w:tblGrid>
        <w:gridCol w:w="6345"/>
        <w:gridCol w:w="6237"/>
      </w:tblGrid>
      <w:tr w:rsidR="00D45E44" w:rsidRPr="00606385" w14:paraId="60AC0833" w14:textId="77777777" w:rsidTr="001D6E1B">
        <w:tc>
          <w:tcPr>
            <w:tcW w:w="6345" w:type="dxa"/>
            <w:shd w:val="clear" w:color="auto" w:fill="auto"/>
          </w:tcPr>
          <w:p w14:paraId="2BF3B98C" w14:textId="77777777" w:rsidR="00D45E44" w:rsidRPr="00606385" w:rsidRDefault="00D45E44" w:rsidP="001D6E1B">
            <w:pPr>
              <w:pStyle w:val="naisf"/>
              <w:spacing w:before="0" w:after="0"/>
              <w:ind w:firstLine="0"/>
            </w:pPr>
            <w:r w:rsidRPr="00606385">
              <w:t xml:space="preserve">Datums: </w:t>
            </w:r>
          </w:p>
        </w:tc>
        <w:tc>
          <w:tcPr>
            <w:tcW w:w="6237" w:type="dxa"/>
            <w:tcBorders>
              <w:bottom w:val="single" w:sz="4" w:space="0" w:color="auto"/>
            </w:tcBorders>
            <w:shd w:val="clear" w:color="auto" w:fill="auto"/>
          </w:tcPr>
          <w:p w14:paraId="70AAB9EF" w14:textId="4086DC65" w:rsidR="00D45E44" w:rsidRPr="00606385" w:rsidRDefault="00AF502B" w:rsidP="000F297D">
            <w:pPr>
              <w:pStyle w:val="NormalWeb"/>
              <w:spacing w:before="0" w:beforeAutospacing="0" w:after="0" w:afterAutospacing="0"/>
            </w:pPr>
            <w:r>
              <w:t>Izsludināts VSS 1</w:t>
            </w:r>
            <w:r w:rsidR="000F297D">
              <w:t>5</w:t>
            </w:r>
            <w:r>
              <w:t>.08.2019</w:t>
            </w:r>
          </w:p>
        </w:tc>
      </w:tr>
      <w:tr w:rsidR="00D45E44" w:rsidRPr="00606385" w14:paraId="49A8E79E" w14:textId="77777777" w:rsidTr="001D6E1B">
        <w:tc>
          <w:tcPr>
            <w:tcW w:w="6345" w:type="dxa"/>
          </w:tcPr>
          <w:p w14:paraId="42C36877" w14:textId="77777777" w:rsidR="00D45E44" w:rsidRPr="00606385" w:rsidRDefault="00D45E44" w:rsidP="001D6E1B">
            <w:pPr>
              <w:pStyle w:val="naisf"/>
              <w:spacing w:before="0" w:after="0"/>
              <w:ind w:firstLine="0"/>
            </w:pPr>
          </w:p>
        </w:tc>
        <w:tc>
          <w:tcPr>
            <w:tcW w:w="6237" w:type="dxa"/>
            <w:tcBorders>
              <w:top w:val="single" w:sz="4" w:space="0" w:color="auto"/>
            </w:tcBorders>
          </w:tcPr>
          <w:p w14:paraId="5D8B7233" w14:textId="77777777" w:rsidR="00D45E44" w:rsidRPr="00606385" w:rsidRDefault="00D45E44" w:rsidP="001D6E1B">
            <w:pPr>
              <w:pStyle w:val="NormalWeb"/>
              <w:spacing w:before="0" w:beforeAutospacing="0" w:after="0" w:afterAutospacing="0"/>
            </w:pPr>
          </w:p>
        </w:tc>
      </w:tr>
      <w:tr w:rsidR="00D45E44" w:rsidRPr="00606385" w14:paraId="28B71EDF" w14:textId="77777777" w:rsidTr="001D6E1B">
        <w:tc>
          <w:tcPr>
            <w:tcW w:w="6345" w:type="dxa"/>
          </w:tcPr>
          <w:p w14:paraId="6FCA711C" w14:textId="77777777" w:rsidR="00D45E44" w:rsidRPr="00606385" w:rsidRDefault="00D45E44" w:rsidP="001D6E1B">
            <w:pPr>
              <w:pStyle w:val="naiskr"/>
              <w:spacing w:before="0" w:after="0"/>
              <w:jc w:val="both"/>
            </w:pPr>
            <w:r w:rsidRPr="00606385">
              <w:t>Saskaņošanas dalībnieki un datums, kad saņemts atzinums</w:t>
            </w:r>
          </w:p>
        </w:tc>
        <w:tc>
          <w:tcPr>
            <w:tcW w:w="6237" w:type="dxa"/>
            <w:tcBorders>
              <w:bottom w:val="single" w:sz="4" w:space="0" w:color="auto"/>
            </w:tcBorders>
          </w:tcPr>
          <w:p w14:paraId="446241C6" w14:textId="0EDB597F" w:rsidR="00D45E44" w:rsidRPr="00606385" w:rsidRDefault="00D45E44" w:rsidP="001D6E1B">
            <w:r w:rsidRPr="00606385">
              <w:t>Ekonomikas ministrija (</w:t>
            </w:r>
            <w:r w:rsidR="00494DFF">
              <w:t>02.09.2019</w:t>
            </w:r>
            <w:r w:rsidRPr="00606385">
              <w:t>)</w:t>
            </w:r>
          </w:p>
          <w:p w14:paraId="6F70E815" w14:textId="34A1FCCD" w:rsidR="00D45E44" w:rsidRDefault="00D45E44" w:rsidP="001D6E1B">
            <w:r w:rsidRPr="007C0664">
              <w:t>Finanšu ministrija (</w:t>
            </w:r>
            <w:r w:rsidR="00D81FF1" w:rsidRPr="007C0664">
              <w:t>02.09.2019</w:t>
            </w:r>
            <w:r w:rsidRPr="007C0664">
              <w:t>)</w:t>
            </w:r>
          </w:p>
          <w:p w14:paraId="23885456" w14:textId="56E689D9" w:rsidR="00551B1F" w:rsidRPr="00606385" w:rsidRDefault="00551B1F" w:rsidP="001D6E1B">
            <w:r>
              <w:t>Tieslietu ministrija (</w:t>
            </w:r>
            <w:r w:rsidR="00006269">
              <w:t>30.08</w:t>
            </w:r>
            <w:r>
              <w:t>.2019)</w:t>
            </w:r>
          </w:p>
          <w:p w14:paraId="309D702F" w14:textId="5FCCE057" w:rsidR="00D45E44" w:rsidRDefault="00D45E44" w:rsidP="00006269">
            <w:r w:rsidRPr="00606385">
              <w:t>Pārresoru koordinācijas centrs (</w:t>
            </w:r>
            <w:r w:rsidR="00006269">
              <w:t>29</w:t>
            </w:r>
            <w:r w:rsidR="00551B1F">
              <w:t>.0</w:t>
            </w:r>
            <w:r w:rsidR="00006269">
              <w:t>8</w:t>
            </w:r>
            <w:r w:rsidRPr="00606385">
              <w:t>.2019)</w:t>
            </w:r>
          </w:p>
          <w:p w14:paraId="1148C7BA" w14:textId="77777777" w:rsidR="00006269" w:rsidRDefault="00006269" w:rsidP="00006269">
            <w:r>
              <w:t>Latvijas Lielo pilsētu asociācija (02.09.2019)</w:t>
            </w:r>
          </w:p>
          <w:p w14:paraId="10051077" w14:textId="77777777" w:rsidR="00006269" w:rsidRDefault="00006269" w:rsidP="00006269">
            <w:r>
              <w:t>Latvijas pašvaldību savienība (27.08.2019)</w:t>
            </w:r>
          </w:p>
          <w:p w14:paraId="71C83571" w14:textId="01291C8B" w:rsidR="00494DFF" w:rsidRPr="00606385" w:rsidRDefault="00494DFF" w:rsidP="00006269">
            <w:r>
              <w:t>Satiksmes ministrija (02.09.2019)</w:t>
            </w:r>
          </w:p>
        </w:tc>
      </w:tr>
    </w:tbl>
    <w:p w14:paraId="14281D5E" w14:textId="77777777" w:rsidR="00D45E44" w:rsidRPr="00606385" w:rsidRDefault="00D45E44" w:rsidP="00D45E44"/>
    <w:tbl>
      <w:tblPr>
        <w:tblW w:w="13136" w:type="dxa"/>
        <w:tblLook w:val="00A0" w:firstRow="1" w:lastRow="0" w:firstColumn="1" w:lastColumn="0" w:noHBand="0" w:noVBand="0"/>
      </w:tblPr>
      <w:tblGrid>
        <w:gridCol w:w="6642"/>
        <w:gridCol w:w="6494"/>
      </w:tblGrid>
      <w:tr w:rsidR="00D45E44" w:rsidRPr="00606385" w14:paraId="3AADB408" w14:textId="77777777" w:rsidTr="00551B1F">
        <w:trPr>
          <w:trHeight w:val="710"/>
        </w:trPr>
        <w:tc>
          <w:tcPr>
            <w:tcW w:w="6642" w:type="dxa"/>
          </w:tcPr>
          <w:p w14:paraId="61FB5625" w14:textId="77777777" w:rsidR="00D45E44" w:rsidRPr="00606385" w:rsidRDefault="00D45E44" w:rsidP="001D6E1B">
            <w:pPr>
              <w:pStyle w:val="naiskr"/>
              <w:spacing w:before="0" w:after="0"/>
            </w:pPr>
            <w:r w:rsidRPr="00606385">
              <w:t>Saskaņošanas dalībnieki izskatīja šādu ministriju (citu institūciju) iebildumus</w:t>
            </w:r>
          </w:p>
        </w:tc>
        <w:tc>
          <w:tcPr>
            <w:tcW w:w="6494" w:type="dxa"/>
            <w:tcBorders>
              <w:bottom w:val="single" w:sz="4" w:space="0" w:color="auto"/>
            </w:tcBorders>
          </w:tcPr>
          <w:p w14:paraId="1848C4AC" w14:textId="51C74757" w:rsidR="00D45E44" w:rsidRPr="00606385" w:rsidRDefault="00D45E44" w:rsidP="00551B1F"/>
        </w:tc>
      </w:tr>
      <w:tr w:rsidR="00D45E44" w:rsidRPr="00606385" w14:paraId="206131D5" w14:textId="77777777" w:rsidTr="00551B1F">
        <w:trPr>
          <w:trHeight w:val="1100"/>
        </w:trPr>
        <w:tc>
          <w:tcPr>
            <w:tcW w:w="6642" w:type="dxa"/>
          </w:tcPr>
          <w:p w14:paraId="57F4035A" w14:textId="77777777" w:rsidR="00551B1F" w:rsidRDefault="00551B1F" w:rsidP="001D6E1B">
            <w:pPr>
              <w:pStyle w:val="naiskr"/>
              <w:spacing w:before="0" w:after="0"/>
            </w:pPr>
          </w:p>
          <w:p w14:paraId="34E05D91" w14:textId="77777777" w:rsidR="00D45E44" w:rsidRPr="00606385" w:rsidRDefault="00D45E44" w:rsidP="001D6E1B">
            <w:pPr>
              <w:pStyle w:val="naiskr"/>
              <w:spacing w:before="0" w:after="0"/>
            </w:pPr>
            <w:r w:rsidRPr="00606385">
              <w:t>Ministrijas (citas institūcijas), kuras nav ieradušās uz sanāksmi vai kuras nav atbildējušas uz uzaicinājumu piedalīties elektroniskajā saskaņošanā</w:t>
            </w:r>
          </w:p>
        </w:tc>
        <w:tc>
          <w:tcPr>
            <w:tcW w:w="6494" w:type="dxa"/>
            <w:tcBorders>
              <w:top w:val="single" w:sz="4" w:space="0" w:color="auto"/>
              <w:bottom w:val="single" w:sz="4" w:space="0" w:color="auto"/>
            </w:tcBorders>
          </w:tcPr>
          <w:p w14:paraId="7B24E57A" w14:textId="77777777" w:rsidR="00D45E44" w:rsidRDefault="00D45E44" w:rsidP="001D6E1B">
            <w:pPr>
              <w:pStyle w:val="naiskr"/>
              <w:spacing w:before="0" w:after="0"/>
              <w:ind w:firstLine="17"/>
            </w:pPr>
          </w:p>
          <w:p w14:paraId="1E72422B" w14:textId="536116E2" w:rsidR="00741670" w:rsidRPr="00606385" w:rsidRDefault="002E2C9B" w:rsidP="001D6E1B">
            <w:pPr>
              <w:pStyle w:val="naiskr"/>
              <w:spacing w:before="0" w:after="0"/>
              <w:ind w:firstLine="17"/>
            </w:pPr>
            <w:r>
              <w:t>Zemkopības ministrija</w:t>
            </w:r>
          </w:p>
        </w:tc>
      </w:tr>
    </w:tbl>
    <w:p w14:paraId="0B13426A" w14:textId="77777777" w:rsidR="00551B1F" w:rsidRDefault="00551B1F" w:rsidP="00D45E44">
      <w:pPr>
        <w:pStyle w:val="naisf"/>
        <w:spacing w:before="0" w:after="0"/>
        <w:ind w:firstLine="0"/>
        <w:jc w:val="center"/>
        <w:rPr>
          <w:b/>
        </w:rPr>
      </w:pPr>
    </w:p>
    <w:p w14:paraId="59F771C2" w14:textId="77777777" w:rsidR="00D45E44" w:rsidRPr="00606385" w:rsidRDefault="00D45E44" w:rsidP="00D45E44">
      <w:pPr>
        <w:pStyle w:val="naisf"/>
        <w:spacing w:before="0" w:after="0"/>
        <w:ind w:firstLine="0"/>
        <w:jc w:val="center"/>
        <w:rPr>
          <w:b/>
        </w:rPr>
      </w:pPr>
      <w:r w:rsidRPr="00606385">
        <w:rPr>
          <w:b/>
        </w:rPr>
        <w:t>II. Jautājumi, par kuriem saskaņošanā vienošanās ir panākta</w:t>
      </w:r>
    </w:p>
    <w:p w14:paraId="04D4084E" w14:textId="77777777" w:rsidR="00D45E44" w:rsidRPr="00606385" w:rsidRDefault="00D45E44" w:rsidP="00D45E44">
      <w:pPr>
        <w:pStyle w:val="naisf"/>
        <w:spacing w:before="0" w:after="0"/>
        <w:ind w:firstLine="720"/>
      </w:pPr>
    </w:p>
    <w:p w14:paraId="554F503B" w14:textId="77777777" w:rsidR="00D45E44" w:rsidRPr="00606385" w:rsidRDefault="00D45E44" w:rsidP="00D45E44">
      <w:pPr>
        <w:pStyle w:val="naisf"/>
        <w:spacing w:before="0" w:after="0"/>
        <w:ind w:firstLine="720"/>
      </w:pP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152"/>
        <w:gridCol w:w="4394"/>
        <w:gridCol w:w="5103"/>
        <w:gridCol w:w="2385"/>
      </w:tblGrid>
      <w:tr w:rsidR="00D45E44" w:rsidRPr="00606385" w14:paraId="6F087869" w14:textId="77777777" w:rsidTr="008B684E">
        <w:tc>
          <w:tcPr>
            <w:tcW w:w="534" w:type="dxa"/>
            <w:tcBorders>
              <w:top w:val="single" w:sz="6" w:space="0" w:color="000000"/>
              <w:left w:val="single" w:sz="6" w:space="0" w:color="000000"/>
              <w:bottom w:val="single" w:sz="6" w:space="0" w:color="000000"/>
              <w:right w:val="single" w:sz="6" w:space="0" w:color="000000"/>
            </w:tcBorders>
          </w:tcPr>
          <w:p w14:paraId="5EC5D49A" w14:textId="77777777" w:rsidR="00D45E44" w:rsidRPr="00606385" w:rsidRDefault="00D45E44" w:rsidP="00672E77">
            <w:pPr>
              <w:pStyle w:val="naisc"/>
              <w:spacing w:before="0" w:after="0"/>
              <w:jc w:val="left"/>
            </w:pPr>
            <w:r w:rsidRPr="00606385">
              <w:t>Nr. p. k.</w:t>
            </w:r>
          </w:p>
        </w:tc>
        <w:tc>
          <w:tcPr>
            <w:tcW w:w="2152" w:type="dxa"/>
            <w:tcBorders>
              <w:top w:val="single" w:sz="6" w:space="0" w:color="000000"/>
              <w:left w:val="single" w:sz="6" w:space="0" w:color="000000"/>
              <w:bottom w:val="single" w:sz="6" w:space="0" w:color="000000"/>
              <w:right w:val="single" w:sz="6" w:space="0" w:color="000000"/>
            </w:tcBorders>
            <w:vAlign w:val="center"/>
          </w:tcPr>
          <w:p w14:paraId="667A0ABC" w14:textId="77777777" w:rsidR="00D45E44" w:rsidRPr="00606385" w:rsidRDefault="00D45E44" w:rsidP="001D6E1B">
            <w:pPr>
              <w:pStyle w:val="naisc"/>
              <w:spacing w:before="0" w:after="0"/>
              <w:ind w:firstLine="12"/>
            </w:pPr>
            <w:r w:rsidRPr="00606385">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72FAB2A0" w14:textId="5D91E1D5" w:rsidR="00D45E44" w:rsidRPr="00606385" w:rsidRDefault="00D45E44" w:rsidP="001D6E1B">
            <w:pPr>
              <w:pStyle w:val="naisc"/>
              <w:spacing w:before="0" w:after="0"/>
              <w:ind w:right="3"/>
            </w:pPr>
            <w:r w:rsidRPr="00606385">
              <w:t xml:space="preserve">Atzinumā norādītais ministrijas (citas institūcijas) iebildums, kā arī saskaņošanā papildus izteiktais iebildums </w:t>
            </w:r>
            <w:r w:rsidR="00A33116">
              <w:t>par projekta konkrēto punktu (</w:t>
            </w:r>
            <w:r w:rsidRPr="00606385">
              <w:t>pantu)</w:t>
            </w:r>
          </w:p>
        </w:tc>
        <w:tc>
          <w:tcPr>
            <w:tcW w:w="5103" w:type="dxa"/>
            <w:tcBorders>
              <w:top w:val="single" w:sz="6" w:space="0" w:color="000000"/>
              <w:left w:val="single" w:sz="6" w:space="0" w:color="000000"/>
              <w:bottom w:val="single" w:sz="6" w:space="0" w:color="000000"/>
              <w:right w:val="single" w:sz="6" w:space="0" w:color="000000"/>
            </w:tcBorders>
            <w:vAlign w:val="center"/>
          </w:tcPr>
          <w:p w14:paraId="16A38649" w14:textId="77777777" w:rsidR="00D45E44" w:rsidRPr="00606385" w:rsidRDefault="00D45E44" w:rsidP="00737CA4">
            <w:pPr>
              <w:pStyle w:val="naisc"/>
              <w:spacing w:before="0" w:after="0"/>
              <w:jc w:val="both"/>
            </w:pPr>
            <w:r w:rsidRPr="00606385">
              <w:t>Atbildīgās ministrijas norāde par to, ka iebildums ir ņemts vērā, vai informācija par saskaņošanā panākto alternatīvo risinājumu</w:t>
            </w:r>
          </w:p>
        </w:tc>
        <w:tc>
          <w:tcPr>
            <w:tcW w:w="2385" w:type="dxa"/>
            <w:tcBorders>
              <w:top w:val="single" w:sz="4" w:space="0" w:color="auto"/>
              <w:left w:val="single" w:sz="4" w:space="0" w:color="auto"/>
              <w:bottom w:val="single" w:sz="4" w:space="0" w:color="auto"/>
            </w:tcBorders>
            <w:vAlign w:val="center"/>
          </w:tcPr>
          <w:p w14:paraId="1A635033" w14:textId="77777777" w:rsidR="00D45E44" w:rsidRPr="00606385" w:rsidRDefault="00D45E44" w:rsidP="001D6E1B">
            <w:pPr>
              <w:jc w:val="center"/>
            </w:pPr>
            <w:r w:rsidRPr="00606385">
              <w:t>Projekta attiecīgā punkta (panta) galīgā redakcija</w:t>
            </w:r>
          </w:p>
        </w:tc>
      </w:tr>
      <w:tr w:rsidR="00D45E44" w:rsidRPr="00606385" w14:paraId="7E0C3989"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30043B7" w14:textId="77777777" w:rsidR="00D45E44" w:rsidRPr="00606385" w:rsidRDefault="00D45E44" w:rsidP="00672E77">
            <w:pPr>
              <w:pStyle w:val="naisc"/>
              <w:spacing w:before="0" w:after="0"/>
              <w:jc w:val="left"/>
            </w:pPr>
            <w:r w:rsidRPr="00606385">
              <w:t>1</w:t>
            </w:r>
          </w:p>
        </w:tc>
        <w:tc>
          <w:tcPr>
            <w:tcW w:w="2152" w:type="dxa"/>
            <w:tcBorders>
              <w:top w:val="single" w:sz="6" w:space="0" w:color="000000"/>
              <w:left w:val="single" w:sz="6" w:space="0" w:color="000000"/>
              <w:bottom w:val="single" w:sz="6" w:space="0" w:color="000000"/>
              <w:right w:val="single" w:sz="6" w:space="0" w:color="000000"/>
            </w:tcBorders>
          </w:tcPr>
          <w:p w14:paraId="2C3288CA" w14:textId="77777777" w:rsidR="00D45E44" w:rsidRPr="00606385" w:rsidRDefault="00D45E44" w:rsidP="001D6E1B">
            <w:pPr>
              <w:pStyle w:val="naisc"/>
              <w:spacing w:before="0" w:after="0"/>
              <w:ind w:firstLine="12"/>
            </w:pPr>
            <w:r w:rsidRPr="00606385">
              <w:t>2</w:t>
            </w:r>
          </w:p>
        </w:tc>
        <w:tc>
          <w:tcPr>
            <w:tcW w:w="4394" w:type="dxa"/>
            <w:tcBorders>
              <w:top w:val="single" w:sz="6" w:space="0" w:color="000000"/>
              <w:left w:val="single" w:sz="6" w:space="0" w:color="000000"/>
              <w:bottom w:val="single" w:sz="6" w:space="0" w:color="000000"/>
              <w:right w:val="single" w:sz="6" w:space="0" w:color="000000"/>
            </w:tcBorders>
          </w:tcPr>
          <w:p w14:paraId="29B687E6" w14:textId="77777777" w:rsidR="00D45E44" w:rsidRPr="00606385" w:rsidRDefault="00D45E44" w:rsidP="001D6E1B">
            <w:pPr>
              <w:pStyle w:val="naisc"/>
              <w:spacing w:before="0" w:after="0"/>
            </w:pPr>
            <w:r w:rsidRPr="00606385">
              <w:t>3</w:t>
            </w:r>
          </w:p>
        </w:tc>
        <w:tc>
          <w:tcPr>
            <w:tcW w:w="5103" w:type="dxa"/>
            <w:tcBorders>
              <w:top w:val="single" w:sz="6" w:space="0" w:color="000000"/>
              <w:left w:val="single" w:sz="6" w:space="0" w:color="000000"/>
              <w:bottom w:val="single" w:sz="6" w:space="0" w:color="000000"/>
              <w:right w:val="single" w:sz="6" w:space="0" w:color="000000"/>
            </w:tcBorders>
          </w:tcPr>
          <w:p w14:paraId="5A884637" w14:textId="77777777" w:rsidR="00D45E44" w:rsidRPr="00606385" w:rsidRDefault="00D45E44" w:rsidP="00551B1F">
            <w:pPr>
              <w:pStyle w:val="naisc"/>
              <w:spacing w:before="0" w:after="0"/>
            </w:pPr>
            <w:r w:rsidRPr="00606385">
              <w:t>4</w:t>
            </w:r>
          </w:p>
        </w:tc>
        <w:tc>
          <w:tcPr>
            <w:tcW w:w="2385" w:type="dxa"/>
            <w:tcBorders>
              <w:top w:val="single" w:sz="4" w:space="0" w:color="auto"/>
              <w:left w:val="single" w:sz="4" w:space="0" w:color="auto"/>
              <w:bottom w:val="single" w:sz="4" w:space="0" w:color="auto"/>
            </w:tcBorders>
          </w:tcPr>
          <w:p w14:paraId="38FA86A5" w14:textId="77777777" w:rsidR="00D45E44" w:rsidRPr="00606385" w:rsidRDefault="00D45E44" w:rsidP="001D6E1B">
            <w:pPr>
              <w:jc w:val="center"/>
            </w:pPr>
            <w:r w:rsidRPr="00606385">
              <w:t>5</w:t>
            </w:r>
          </w:p>
        </w:tc>
      </w:tr>
      <w:tr w:rsidR="00D45E44" w:rsidRPr="00606385" w14:paraId="5FE06487" w14:textId="77777777" w:rsidTr="008B684E">
        <w:tc>
          <w:tcPr>
            <w:tcW w:w="534" w:type="dxa"/>
            <w:tcBorders>
              <w:top w:val="single" w:sz="6" w:space="0" w:color="000000"/>
              <w:left w:val="single" w:sz="6" w:space="0" w:color="000000"/>
              <w:bottom w:val="single" w:sz="6" w:space="0" w:color="000000"/>
              <w:right w:val="single" w:sz="6" w:space="0" w:color="000000"/>
            </w:tcBorders>
          </w:tcPr>
          <w:p w14:paraId="2C099B46" w14:textId="79ACA9C9" w:rsidR="00A86A18" w:rsidRDefault="00A86A18" w:rsidP="00672E77">
            <w:pPr>
              <w:pStyle w:val="naisc"/>
              <w:spacing w:before="0" w:after="0"/>
              <w:ind w:left="426"/>
              <w:jc w:val="left"/>
            </w:pPr>
            <w:r>
              <w:t>1.</w:t>
            </w:r>
          </w:p>
          <w:p w14:paraId="54FCEC24" w14:textId="05FBFD52" w:rsidR="00D45E44" w:rsidRPr="00A86A18" w:rsidRDefault="00A86A18" w:rsidP="00672E77">
            <w:r>
              <w:t>1.</w:t>
            </w:r>
          </w:p>
        </w:tc>
        <w:tc>
          <w:tcPr>
            <w:tcW w:w="2152" w:type="dxa"/>
            <w:tcBorders>
              <w:top w:val="single" w:sz="6" w:space="0" w:color="000000"/>
              <w:left w:val="single" w:sz="6" w:space="0" w:color="000000"/>
              <w:bottom w:val="single" w:sz="6" w:space="0" w:color="000000"/>
              <w:right w:val="single" w:sz="6" w:space="0" w:color="000000"/>
            </w:tcBorders>
          </w:tcPr>
          <w:p w14:paraId="0796A825" w14:textId="6508B75C" w:rsidR="00D45E44" w:rsidRPr="007B4B1D" w:rsidRDefault="00AF502B" w:rsidP="001D6E1B">
            <w:pPr>
              <w:jc w:val="both"/>
              <w:rPr>
                <w:b/>
              </w:rPr>
            </w:pPr>
            <w:r>
              <w:rPr>
                <w:b/>
              </w:rPr>
              <w:t xml:space="preserve">Informatīvais </w:t>
            </w:r>
            <w:r w:rsidR="007B4B1D">
              <w:rPr>
                <w:b/>
              </w:rPr>
              <w:t>ziņojums</w:t>
            </w:r>
          </w:p>
        </w:tc>
        <w:tc>
          <w:tcPr>
            <w:tcW w:w="4394" w:type="dxa"/>
            <w:tcBorders>
              <w:top w:val="single" w:sz="6" w:space="0" w:color="000000"/>
              <w:left w:val="single" w:sz="6" w:space="0" w:color="000000"/>
              <w:bottom w:val="single" w:sz="6" w:space="0" w:color="000000"/>
              <w:right w:val="single" w:sz="6" w:space="0" w:color="000000"/>
            </w:tcBorders>
          </w:tcPr>
          <w:p w14:paraId="7A70F04F" w14:textId="1713A002" w:rsidR="00A96F98" w:rsidRDefault="00A96F98" w:rsidP="006D1A73">
            <w:pPr>
              <w:pStyle w:val="ListParagraph"/>
              <w:widowControl w:val="0"/>
              <w:spacing w:after="0" w:line="240" w:lineRule="auto"/>
              <w:ind w:left="0"/>
              <w:jc w:val="center"/>
              <w:rPr>
                <w:rFonts w:ascii="Times New Roman" w:hAnsi="Times New Roman"/>
                <w:b/>
                <w:sz w:val="24"/>
                <w:szCs w:val="24"/>
                <w:lang w:val="lv-LV"/>
              </w:rPr>
            </w:pPr>
            <w:r w:rsidRPr="00C078FD">
              <w:rPr>
                <w:rFonts w:ascii="Times New Roman" w:hAnsi="Times New Roman"/>
                <w:b/>
                <w:bCs/>
                <w:sz w:val="24"/>
                <w:szCs w:val="24"/>
                <w:lang w:val="lv-LV"/>
              </w:rPr>
              <w:t>Parresoru koordinācijas Centra</w:t>
            </w:r>
            <w:r w:rsidR="00443417">
              <w:rPr>
                <w:rFonts w:ascii="Times New Roman" w:hAnsi="Times New Roman"/>
                <w:b/>
                <w:bCs/>
                <w:sz w:val="24"/>
                <w:szCs w:val="24"/>
                <w:lang w:val="lv-LV"/>
              </w:rPr>
              <w:t xml:space="preserve"> </w:t>
            </w:r>
            <w:r w:rsidRPr="00C078FD">
              <w:rPr>
                <w:rFonts w:ascii="Times New Roman" w:hAnsi="Times New Roman"/>
                <w:b/>
                <w:bCs/>
                <w:sz w:val="24"/>
                <w:szCs w:val="24"/>
                <w:lang w:val="lv-LV"/>
              </w:rPr>
              <w:t>29.08.2019 atzinums</w:t>
            </w:r>
          </w:p>
          <w:p w14:paraId="31C616FF" w14:textId="77777777" w:rsidR="0047540F" w:rsidRDefault="0047540F" w:rsidP="0047540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Ņemot vērā, ka projektā, izvērtējot Modernizācijas fonda palielināšanas </w:t>
            </w:r>
            <w:r>
              <w:rPr>
                <w:rFonts w:ascii="Times New Roman" w:hAnsi="Times New Roman"/>
                <w:sz w:val="24"/>
                <w:szCs w:val="24"/>
              </w:rPr>
              <w:lastRenderedPageBreak/>
              <w:t xml:space="preserve">iespējas (8.lpp), nepārprotami tiek norādīta vajadzība nesamazināt Emisijas kvotu izsolīšanas instrumenta (turpmāk - EKII) finansējumu, kas var veidoties, ja tiks paredzēts Modernizācijas fonda finansējuma pieaugums, izmantojot (a) solidaritātes emisiju kvotu apjomu vai (b) vienlaicīgi kombinējot solidaritātes emisijas kvotu un derogācijai pieejamo emisiju kvotu apjomu, </w:t>
            </w:r>
            <w:r w:rsidRPr="004F39A5">
              <w:rPr>
                <w:rFonts w:ascii="Times New Roman" w:hAnsi="Times New Roman"/>
                <w:b/>
                <w:sz w:val="24"/>
                <w:szCs w:val="24"/>
              </w:rPr>
              <w:t>lūdzam projektā sniegt plašāku skaidrojumu par EKII instrumenta prioritizēšanu</w:t>
            </w:r>
            <w:r>
              <w:rPr>
                <w:rFonts w:ascii="Times New Roman" w:hAnsi="Times New Roman"/>
                <w:b/>
                <w:sz w:val="24"/>
                <w:szCs w:val="24"/>
              </w:rPr>
              <w:t xml:space="preserve"> </w:t>
            </w:r>
            <w:r w:rsidRPr="0093535C">
              <w:rPr>
                <w:rFonts w:ascii="Times New Roman" w:hAnsi="Times New Roman"/>
                <w:i/>
                <w:sz w:val="24"/>
                <w:szCs w:val="24"/>
              </w:rPr>
              <w:t xml:space="preserve">versus </w:t>
            </w:r>
            <w:r w:rsidRPr="0093535C">
              <w:rPr>
                <w:rFonts w:ascii="Times New Roman" w:hAnsi="Times New Roman"/>
                <w:sz w:val="24"/>
                <w:szCs w:val="24"/>
              </w:rPr>
              <w:t>Modernizācijas fonda finansējuma pieaugumam</w:t>
            </w:r>
            <w:r>
              <w:rPr>
                <w:rFonts w:ascii="Times New Roman" w:hAnsi="Times New Roman"/>
                <w:sz w:val="24"/>
                <w:szCs w:val="24"/>
              </w:rPr>
              <w:t xml:space="preserve">, saprotot, ka </w:t>
            </w:r>
            <w:r w:rsidRPr="00AE796D">
              <w:rPr>
                <w:rFonts w:ascii="Times New Roman" w:hAnsi="Times New Roman"/>
                <w:b/>
                <w:sz w:val="24"/>
                <w:szCs w:val="24"/>
              </w:rPr>
              <w:t>Modernizācijas fonda investīcijas tiks mērķētas</w:t>
            </w:r>
            <w:r>
              <w:rPr>
                <w:rFonts w:ascii="Times New Roman" w:hAnsi="Times New Roman"/>
                <w:b/>
                <w:sz w:val="24"/>
                <w:szCs w:val="24"/>
              </w:rPr>
              <w:t xml:space="preserve"> tikai</w:t>
            </w:r>
            <w:r w:rsidRPr="00AE796D">
              <w:rPr>
                <w:rFonts w:ascii="Times New Roman" w:hAnsi="Times New Roman"/>
                <w:b/>
                <w:sz w:val="24"/>
                <w:szCs w:val="24"/>
              </w:rPr>
              <w:t xml:space="preserve"> uz ne ETS darbībām</w:t>
            </w:r>
            <w:r>
              <w:rPr>
                <w:rFonts w:ascii="Times New Roman" w:hAnsi="Times New Roman"/>
                <w:sz w:val="24"/>
                <w:szCs w:val="24"/>
              </w:rPr>
              <w:t>, kas Latvijas gadījumā ir kritisks, emisiju ietilpīgs sektors un nozīmīgs attīstības izaicinājums sekmīgai uzņēmējdarbībai.</w:t>
            </w:r>
          </w:p>
          <w:p w14:paraId="176D11B3" w14:textId="77777777" w:rsidR="0047540F" w:rsidRDefault="0047540F" w:rsidP="0047540F">
            <w:pPr>
              <w:pStyle w:val="ListParagraph"/>
              <w:spacing w:after="0" w:line="240" w:lineRule="auto"/>
              <w:ind w:left="0"/>
              <w:jc w:val="both"/>
              <w:rPr>
                <w:rFonts w:ascii="Times New Roman" w:hAnsi="Times New Roman"/>
                <w:sz w:val="24"/>
                <w:szCs w:val="24"/>
              </w:rPr>
            </w:pPr>
          </w:p>
          <w:p w14:paraId="47573804" w14:textId="00767159" w:rsidR="00CF39C4" w:rsidRPr="00A779C6" w:rsidRDefault="0047540F" w:rsidP="00D21D3E">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rPr>
              <w:t>Ievērojot minēto aicinām atkārtoti apsvērt Modernizācijas fonda finansējuma palielinājuma iespējas, ņemot vērā VARAM pieredzi par emisiju samazināšanas izmaksām ne ETS darbībām un prognozēto ne ETS darbību emisiju pieaugumu.</w:t>
            </w:r>
          </w:p>
        </w:tc>
        <w:tc>
          <w:tcPr>
            <w:tcW w:w="5103" w:type="dxa"/>
            <w:tcBorders>
              <w:top w:val="single" w:sz="6" w:space="0" w:color="000000"/>
              <w:left w:val="single" w:sz="6" w:space="0" w:color="000000"/>
              <w:bottom w:val="single" w:sz="6" w:space="0" w:color="000000"/>
              <w:right w:val="single" w:sz="6" w:space="0" w:color="000000"/>
            </w:tcBorders>
          </w:tcPr>
          <w:p w14:paraId="1FD8B0F3" w14:textId="64E33758" w:rsidR="00AF502B" w:rsidRDefault="0047540F" w:rsidP="008B684E">
            <w:pPr>
              <w:jc w:val="center"/>
              <w:rPr>
                <w:lang w:eastAsia="x-none"/>
              </w:rPr>
            </w:pPr>
            <w:r>
              <w:rPr>
                <w:b/>
                <w:lang w:eastAsia="x-none"/>
              </w:rPr>
              <w:lastRenderedPageBreak/>
              <w:t>Ņ</w:t>
            </w:r>
            <w:r w:rsidR="00AF502B">
              <w:rPr>
                <w:b/>
                <w:lang w:eastAsia="x-none"/>
              </w:rPr>
              <w:t>emts vērā</w:t>
            </w:r>
          </w:p>
          <w:p w14:paraId="434A28AC" w14:textId="6DA013CD" w:rsidR="0047540F" w:rsidRPr="007C0664" w:rsidRDefault="0047540F" w:rsidP="008B684E">
            <w:pPr>
              <w:pStyle w:val="ListParagraph"/>
              <w:spacing w:after="0" w:line="240" w:lineRule="auto"/>
              <w:ind w:left="0"/>
              <w:jc w:val="both"/>
              <w:rPr>
                <w:rFonts w:ascii="Times New Roman" w:eastAsia="Calibri" w:hAnsi="Times New Roman"/>
                <w:sz w:val="24"/>
                <w:szCs w:val="24"/>
                <w:lang w:val="lv-LV"/>
              </w:rPr>
            </w:pPr>
            <w:r w:rsidRPr="002E2C9B">
              <w:rPr>
                <w:rFonts w:ascii="Times New Roman" w:eastAsia="Calibri" w:hAnsi="Times New Roman"/>
                <w:sz w:val="24"/>
                <w:szCs w:val="24"/>
                <w:lang w:val="lv-LV"/>
              </w:rPr>
              <w:t xml:space="preserve">Precizēta </w:t>
            </w:r>
            <w:r>
              <w:rPr>
                <w:rFonts w:ascii="Times New Roman" w:eastAsia="Calibri" w:hAnsi="Times New Roman"/>
                <w:sz w:val="24"/>
                <w:szCs w:val="24"/>
                <w:lang w:val="lv-LV"/>
              </w:rPr>
              <w:t>I</w:t>
            </w:r>
            <w:r w:rsidRPr="002E2C9B">
              <w:rPr>
                <w:rFonts w:ascii="Times New Roman" w:eastAsia="Calibri" w:hAnsi="Times New Roman"/>
                <w:sz w:val="24"/>
                <w:szCs w:val="24"/>
                <w:lang w:val="lv-LV"/>
              </w:rPr>
              <w:t>nformatīvā ziņojuma 5.nodaļa.</w:t>
            </w:r>
          </w:p>
          <w:p w14:paraId="0F072CD3" w14:textId="120A177C" w:rsidR="0047540F" w:rsidRPr="00494DFF" w:rsidRDefault="00D21D3E" w:rsidP="008B684E">
            <w:pPr>
              <w:pStyle w:val="ListParagraph"/>
              <w:spacing w:after="0" w:line="240" w:lineRule="auto"/>
              <w:ind w:left="0"/>
              <w:jc w:val="both"/>
              <w:rPr>
                <w:bCs/>
                <w:color w:val="000000" w:themeColor="text1"/>
                <w:sz w:val="24"/>
                <w:szCs w:val="24"/>
              </w:rPr>
            </w:pPr>
            <w:r>
              <w:rPr>
                <w:rFonts w:ascii="Times New Roman" w:eastAsia="Calibri" w:hAnsi="Times New Roman"/>
                <w:sz w:val="24"/>
                <w:szCs w:val="24"/>
                <w:lang w:val="lv-LV"/>
              </w:rPr>
              <w:t xml:space="preserve">VARAM ir uzsākusi aktualizēt </w:t>
            </w:r>
            <w:r w:rsidR="0047540F" w:rsidRPr="00494DFF">
              <w:rPr>
                <w:rFonts w:ascii="Times New Roman" w:eastAsia="Calibri" w:hAnsi="Times New Roman"/>
                <w:sz w:val="24"/>
                <w:szCs w:val="24"/>
              </w:rPr>
              <w:t>E</w:t>
            </w:r>
            <w:r>
              <w:rPr>
                <w:rFonts w:ascii="Times New Roman" w:eastAsia="Calibri" w:hAnsi="Times New Roman"/>
                <w:sz w:val="24"/>
                <w:szCs w:val="24"/>
                <w:lang w:val="lv-LV"/>
              </w:rPr>
              <w:t xml:space="preserve">misijas kvotu izsolīšanas instrumenta </w:t>
            </w:r>
            <w:r w:rsidR="0047540F" w:rsidRPr="00494DFF">
              <w:rPr>
                <w:rFonts w:ascii="Times New Roman" w:eastAsia="Calibri" w:hAnsi="Times New Roman"/>
                <w:sz w:val="24"/>
                <w:szCs w:val="24"/>
              </w:rPr>
              <w:t>darbības stratēģij</w:t>
            </w:r>
            <w:r>
              <w:rPr>
                <w:rFonts w:ascii="Times New Roman" w:eastAsia="Calibri" w:hAnsi="Times New Roman"/>
                <w:sz w:val="24"/>
                <w:szCs w:val="24"/>
                <w:lang w:val="lv-LV"/>
              </w:rPr>
              <w:t>u</w:t>
            </w:r>
            <w:r>
              <w:rPr>
                <w:rFonts w:ascii="Times New Roman" w:eastAsia="Calibri" w:hAnsi="Times New Roman"/>
                <w:sz w:val="24"/>
                <w:szCs w:val="24"/>
              </w:rPr>
              <w:t xml:space="preserve"> un </w:t>
            </w:r>
            <w:r>
              <w:rPr>
                <w:rFonts w:ascii="Times New Roman" w:eastAsia="Calibri" w:hAnsi="Times New Roman"/>
                <w:sz w:val="24"/>
                <w:szCs w:val="24"/>
                <w:lang w:val="lv-LV"/>
              </w:rPr>
              <w:t xml:space="preserve">šīs </w:t>
            </w:r>
            <w:r>
              <w:rPr>
                <w:rFonts w:ascii="Times New Roman" w:eastAsia="Calibri" w:hAnsi="Times New Roman"/>
                <w:sz w:val="24"/>
                <w:szCs w:val="24"/>
                <w:lang w:val="lv-LV"/>
              </w:rPr>
              <w:lastRenderedPageBreak/>
              <w:t xml:space="preserve">stratēģijas ietvaros </w:t>
            </w:r>
            <w:r>
              <w:rPr>
                <w:rFonts w:ascii="Times New Roman" w:eastAsia="Calibri" w:hAnsi="Times New Roman"/>
                <w:sz w:val="24"/>
                <w:szCs w:val="24"/>
              </w:rPr>
              <w:t>ar</w:t>
            </w:r>
            <w:r>
              <w:rPr>
                <w:rFonts w:ascii="Times New Roman" w:eastAsia="Calibri" w:hAnsi="Times New Roman"/>
                <w:sz w:val="24"/>
                <w:szCs w:val="24"/>
                <w:lang w:val="lv-LV"/>
              </w:rPr>
              <w:t xml:space="preserve">ī turpmāk </w:t>
            </w:r>
            <w:r w:rsidR="0047540F" w:rsidRPr="002B236C">
              <w:rPr>
                <w:rFonts w:ascii="Times New Roman" w:eastAsia="Calibri" w:hAnsi="Times New Roman"/>
                <w:sz w:val="24"/>
                <w:szCs w:val="24"/>
              </w:rPr>
              <w:t>tiek pl</w:t>
            </w:r>
            <w:r w:rsidR="0047540F">
              <w:rPr>
                <w:rFonts w:ascii="Times New Roman" w:eastAsia="Calibri" w:hAnsi="Times New Roman"/>
                <w:sz w:val="24"/>
                <w:szCs w:val="24"/>
                <w:lang w:val="lv-LV"/>
              </w:rPr>
              <w:t>ānots, ka</w:t>
            </w:r>
            <w:r w:rsidR="0047540F" w:rsidRPr="00494DFF">
              <w:rPr>
                <w:rFonts w:ascii="Times New Roman" w:eastAsia="Calibri" w:hAnsi="Times New Roman"/>
                <w:sz w:val="24"/>
                <w:szCs w:val="24"/>
              </w:rPr>
              <w:t xml:space="preserve"> </w:t>
            </w:r>
            <w:r w:rsidR="0047540F" w:rsidRPr="00494DFF">
              <w:rPr>
                <w:rFonts w:ascii="Times New Roman" w:hAnsi="Times New Roman"/>
                <w:bCs/>
                <w:color w:val="000000" w:themeColor="text1"/>
                <w:sz w:val="24"/>
                <w:szCs w:val="24"/>
              </w:rPr>
              <w:t>p</w:t>
            </w:r>
            <w:r w:rsidR="0047540F" w:rsidRPr="00494DFF">
              <w:rPr>
                <w:rFonts w:ascii="Times New Roman" w:hAnsi="Times New Roman"/>
                <w:color w:val="000000" w:themeColor="text1"/>
                <w:sz w:val="24"/>
                <w:szCs w:val="24"/>
              </w:rPr>
              <w:t xml:space="preserve">rioritāri </w:t>
            </w:r>
            <w:r w:rsidR="0047540F" w:rsidRPr="00494DFF">
              <w:rPr>
                <w:rFonts w:ascii="Times New Roman" w:hAnsi="Times New Roman"/>
                <w:bCs/>
                <w:color w:val="000000" w:themeColor="text1"/>
                <w:sz w:val="24"/>
                <w:szCs w:val="24"/>
              </w:rPr>
              <w:t>finansējums tiks piešķirts tādu aktivitāšu finansēšanai, kas vērst</w:t>
            </w:r>
            <w:r>
              <w:rPr>
                <w:rFonts w:ascii="Times New Roman" w:hAnsi="Times New Roman"/>
                <w:bCs/>
                <w:color w:val="000000" w:themeColor="text1"/>
                <w:sz w:val="24"/>
                <w:szCs w:val="24"/>
                <w:lang w:val="lv-LV"/>
              </w:rPr>
              <w:t>as</w:t>
            </w:r>
            <w:r w:rsidR="0047540F" w:rsidRPr="00494DFF">
              <w:rPr>
                <w:rFonts w:ascii="Times New Roman" w:hAnsi="Times New Roman"/>
                <w:bCs/>
                <w:color w:val="000000" w:themeColor="text1"/>
                <w:sz w:val="24"/>
                <w:szCs w:val="24"/>
              </w:rPr>
              <w:t xml:space="preserve"> uz SEG emisiju samazināšanu ne-ETS </w:t>
            </w:r>
            <w:r w:rsidR="0047540F">
              <w:rPr>
                <w:rFonts w:ascii="Times New Roman" w:hAnsi="Times New Roman"/>
                <w:bCs/>
                <w:color w:val="000000" w:themeColor="text1"/>
                <w:sz w:val="24"/>
                <w:szCs w:val="24"/>
                <w:lang w:val="lv-LV"/>
              </w:rPr>
              <w:t>sektorā</w:t>
            </w:r>
            <w:r w:rsidR="0047540F" w:rsidRPr="002B236C">
              <w:rPr>
                <w:rFonts w:ascii="Times New Roman" w:hAnsi="Times New Roman"/>
                <w:bCs/>
                <w:color w:val="000000" w:themeColor="text1"/>
                <w:sz w:val="24"/>
                <w:szCs w:val="24"/>
              </w:rPr>
              <w:t xml:space="preserve">. </w:t>
            </w:r>
            <w:r w:rsidR="0047540F">
              <w:rPr>
                <w:rFonts w:ascii="Times New Roman" w:hAnsi="Times New Roman"/>
                <w:bCs/>
                <w:color w:val="000000" w:themeColor="text1"/>
                <w:sz w:val="24"/>
                <w:szCs w:val="24"/>
                <w:lang w:val="lv-LV"/>
              </w:rPr>
              <w:t>Līdz ar to var teikt, ka gan EKII, gan Mode</w:t>
            </w:r>
            <w:r>
              <w:rPr>
                <w:rFonts w:ascii="Times New Roman" w:hAnsi="Times New Roman"/>
                <w:bCs/>
                <w:color w:val="000000" w:themeColor="text1"/>
                <w:sz w:val="24"/>
                <w:szCs w:val="24"/>
                <w:lang w:val="lv-LV"/>
              </w:rPr>
              <w:t>r</w:t>
            </w:r>
            <w:r w:rsidR="0047540F">
              <w:rPr>
                <w:rFonts w:ascii="Times New Roman" w:hAnsi="Times New Roman"/>
                <w:bCs/>
                <w:color w:val="000000" w:themeColor="text1"/>
                <w:sz w:val="24"/>
                <w:szCs w:val="24"/>
                <w:lang w:val="lv-LV"/>
              </w:rPr>
              <w:t>nizācijas fonda līdzekļi tiks vērsti uz ne-ETS sektora SEG emisiju problemātikas risināšanu.</w:t>
            </w:r>
          </w:p>
          <w:p w14:paraId="214F4211" w14:textId="477BD1D5" w:rsidR="0047540F" w:rsidRDefault="0047540F" w:rsidP="0047540F">
            <w:pPr>
              <w:jc w:val="both"/>
              <w:rPr>
                <w:rFonts w:eastAsia="Calibri"/>
              </w:rPr>
            </w:pPr>
            <w:r>
              <w:rPr>
                <w:rFonts w:eastAsia="Calibri"/>
              </w:rPr>
              <w:t xml:space="preserve">Atkārtoti izvērtējot Modernizācjas fonda finansējuma </w:t>
            </w:r>
            <w:r w:rsidR="002F64F0">
              <w:rPr>
                <w:rFonts w:eastAsia="Calibri"/>
              </w:rPr>
              <w:t>p</w:t>
            </w:r>
            <w:r>
              <w:rPr>
                <w:rFonts w:eastAsia="Calibri"/>
              </w:rPr>
              <w:t xml:space="preserve">alielinājuma iespējas </w:t>
            </w:r>
            <w:r w:rsidR="002F64F0">
              <w:rPr>
                <w:rFonts w:eastAsia="Calibri"/>
              </w:rPr>
              <w:t>un ņemot vērā Informatīvā ziņojums 5.</w:t>
            </w:r>
            <w:r w:rsidR="008D2958">
              <w:rPr>
                <w:rFonts w:eastAsia="Calibri"/>
              </w:rPr>
              <w:t> </w:t>
            </w:r>
            <w:r w:rsidR="002F64F0">
              <w:rPr>
                <w:rFonts w:eastAsia="Calibri"/>
              </w:rPr>
              <w:t xml:space="preserve">nodaļā aprakstītos apsvērumus </w:t>
            </w:r>
            <w:r>
              <w:rPr>
                <w:rFonts w:eastAsia="Calibri"/>
              </w:rPr>
              <w:t>ir secināts, ka nebūtu pieļaujama nacionālā finanšu instrumenta finansējuma samazināšana.</w:t>
            </w:r>
          </w:p>
          <w:p w14:paraId="486968A8" w14:textId="72DAFBB1" w:rsidR="00D45E44" w:rsidRPr="007B4B1D" w:rsidRDefault="00D45E44" w:rsidP="00785181">
            <w:pPr>
              <w:jc w:val="both"/>
              <w:rPr>
                <w:b/>
                <w:lang w:eastAsia="x-none"/>
              </w:rPr>
            </w:pPr>
          </w:p>
        </w:tc>
        <w:tc>
          <w:tcPr>
            <w:tcW w:w="2385" w:type="dxa"/>
            <w:tcBorders>
              <w:top w:val="single" w:sz="4" w:space="0" w:color="auto"/>
              <w:left w:val="single" w:sz="4" w:space="0" w:color="auto"/>
              <w:bottom w:val="single" w:sz="4" w:space="0" w:color="auto"/>
            </w:tcBorders>
          </w:tcPr>
          <w:p w14:paraId="0EE0C489" w14:textId="6AECF68F" w:rsidR="00F70C25" w:rsidRPr="00606385" w:rsidRDefault="008B684E" w:rsidP="0047540F">
            <w:pPr>
              <w:jc w:val="both"/>
              <w:rPr>
                <w:rFonts w:eastAsia="Calibri"/>
              </w:rPr>
            </w:pPr>
            <w:r>
              <w:rPr>
                <w:b/>
              </w:rPr>
              <w:lastRenderedPageBreak/>
              <w:t>Informatīvais ziņojums</w:t>
            </w:r>
          </w:p>
        </w:tc>
      </w:tr>
      <w:tr w:rsidR="006C425E" w:rsidRPr="00606385" w14:paraId="35A1946D"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FEEEDA5" w14:textId="5CFFCEFE" w:rsidR="006C425E" w:rsidRDefault="006C425E" w:rsidP="006C425E">
            <w:pPr>
              <w:pStyle w:val="naisc"/>
              <w:spacing w:before="0" w:after="0"/>
              <w:ind w:left="426"/>
              <w:jc w:val="left"/>
            </w:pPr>
          </w:p>
          <w:p w14:paraId="5CB4BFA9" w14:textId="51775137" w:rsidR="006C425E" w:rsidRPr="00A86A18" w:rsidRDefault="008E23C3" w:rsidP="006C425E">
            <w:r>
              <w:t>2</w:t>
            </w:r>
            <w:r w:rsidR="006C425E">
              <w:t>.</w:t>
            </w:r>
          </w:p>
        </w:tc>
        <w:tc>
          <w:tcPr>
            <w:tcW w:w="2152" w:type="dxa"/>
            <w:tcBorders>
              <w:top w:val="single" w:sz="6" w:space="0" w:color="000000"/>
              <w:left w:val="single" w:sz="6" w:space="0" w:color="000000"/>
              <w:bottom w:val="single" w:sz="6" w:space="0" w:color="000000"/>
              <w:right w:val="single" w:sz="6" w:space="0" w:color="000000"/>
            </w:tcBorders>
          </w:tcPr>
          <w:p w14:paraId="4C1FA284" w14:textId="6EE6F1CF" w:rsidR="006C425E" w:rsidRPr="00D41EC6" w:rsidRDefault="006C425E"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5B46EF48" w14:textId="697392D4" w:rsidR="006C425E" w:rsidRDefault="006C425E" w:rsidP="008E23C3">
            <w:pPr>
              <w:jc w:val="center"/>
              <w:rPr>
                <w:b/>
              </w:rPr>
            </w:pPr>
            <w:r>
              <w:rPr>
                <w:b/>
              </w:rPr>
              <w:t>02.09.2019 Satiksmes ministrijas atzinums</w:t>
            </w:r>
          </w:p>
          <w:p w14:paraId="19335E16" w14:textId="77777777" w:rsidR="006C425E" w:rsidRDefault="006C425E" w:rsidP="008B684E">
            <w:pPr>
              <w:jc w:val="both"/>
              <w:rPr>
                <w:rFonts w:eastAsiaTheme="minorHAnsi"/>
              </w:rPr>
            </w:pPr>
            <w:r>
              <w:rPr>
                <w:rFonts w:eastAsiaTheme="minorHAnsi"/>
              </w:rPr>
              <w:t>I</w:t>
            </w:r>
            <w:r w:rsidRPr="00DA642E">
              <w:rPr>
                <w:rFonts w:eastAsiaTheme="minorHAnsi"/>
              </w:rPr>
              <w:t xml:space="preserve">nformatīvā ziņojuma projektā </w:t>
            </w:r>
            <w:r>
              <w:rPr>
                <w:rFonts w:eastAsiaTheme="minorHAnsi"/>
              </w:rPr>
              <w:t xml:space="preserve">norādīts, ka </w:t>
            </w:r>
            <w:r w:rsidRPr="00DA642E">
              <w:rPr>
                <w:rFonts w:eastAsiaTheme="minorHAnsi"/>
              </w:rPr>
              <w:t xml:space="preserve">šo </w:t>
            </w:r>
            <w:r>
              <w:rPr>
                <w:rFonts w:eastAsiaTheme="minorHAnsi"/>
              </w:rPr>
              <w:t>I</w:t>
            </w:r>
            <w:r w:rsidRPr="00DA642E">
              <w:rPr>
                <w:rFonts w:eastAsiaTheme="minorHAnsi"/>
              </w:rPr>
              <w:t xml:space="preserve">nformatīvo ziņojumu ir plānots izskatīt </w:t>
            </w:r>
            <w:r>
              <w:rPr>
                <w:rFonts w:eastAsiaTheme="minorHAnsi"/>
              </w:rPr>
              <w:t xml:space="preserve">Ministru kabineta sēdē </w:t>
            </w:r>
            <w:r w:rsidRPr="00DA642E">
              <w:rPr>
                <w:rFonts w:eastAsiaTheme="minorHAnsi"/>
              </w:rPr>
              <w:t xml:space="preserve">vienlaikus ar </w:t>
            </w:r>
            <w:r>
              <w:rPr>
                <w:rFonts w:eastAsiaTheme="minorHAnsi"/>
              </w:rPr>
              <w:t xml:space="preserve">patlaban VARAM gatavoto </w:t>
            </w:r>
            <w:r w:rsidRPr="00DA642E">
              <w:rPr>
                <w:rFonts w:eastAsiaTheme="minorHAnsi"/>
              </w:rPr>
              <w:t>informatīv</w:t>
            </w:r>
            <w:r>
              <w:rPr>
                <w:rFonts w:eastAsiaTheme="minorHAnsi"/>
              </w:rPr>
              <w:t>o</w:t>
            </w:r>
            <w:r w:rsidRPr="00DA642E">
              <w:rPr>
                <w:rFonts w:eastAsiaTheme="minorHAnsi"/>
              </w:rPr>
              <w:t xml:space="preserve"> </w:t>
            </w:r>
            <w:r w:rsidRPr="00DA642E">
              <w:rPr>
                <w:rFonts w:eastAsiaTheme="minorHAnsi"/>
              </w:rPr>
              <w:lastRenderedPageBreak/>
              <w:t>ziņojumu</w:t>
            </w:r>
            <w:r>
              <w:rPr>
                <w:rFonts w:eastAsiaTheme="minorHAnsi"/>
              </w:rPr>
              <w:t xml:space="preserve"> </w:t>
            </w:r>
            <w:r w:rsidRPr="00DA642E">
              <w:rPr>
                <w:rFonts w:eastAsiaTheme="minorHAnsi"/>
              </w:rPr>
              <w:t>par Emisijas kvotu izsilšanas instrumenta</w:t>
            </w:r>
            <w:r>
              <w:rPr>
                <w:rFonts w:eastAsiaTheme="minorHAnsi"/>
              </w:rPr>
              <w:t xml:space="preserve"> (turpmāk – EKII)</w:t>
            </w:r>
            <w:r w:rsidRPr="00DA642E">
              <w:rPr>
                <w:rFonts w:eastAsiaTheme="minorHAnsi"/>
              </w:rPr>
              <w:t xml:space="preserve"> darbības stratēģiju,</w:t>
            </w:r>
            <w:r>
              <w:rPr>
                <w:rFonts w:eastAsiaTheme="minorHAnsi"/>
              </w:rPr>
              <w:t xml:space="preserve"> </w:t>
            </w:r>
            <w:r w:rsidRPr="00DA642E">
              <w:rPr>
                <w:rFonts w:eastAsiaTheme="minorHAnsi"/>
              </w:rPr>
              <w:t>kurā tiks identificēti pasākumi EKII finansējuma izmantošanai pēc 2020. gada.</w:t>
            </w:r>
            <w:r w:rsidRPr="00C1534D">
              <w:rPr>
                <w:rFonts w:eastAsiaTheme="minorHAnsi"/>
              </w:rPr>
              <w:t xml:space="preserve"> </w:t>
            </w:r>
            <w:r>
              <w:rPr>
                <w:rFonts w:eastAsiaTheme="minorHAnsi"/>
              </w:rPr>
              <w:t>Attiecīgi atzinumu</w:t>
            </w:r>
            <w:r w:rsidRPr="00DA642E">
              <w:rPr>
                <w:rFonts w:eastAsiaTheme="minorHAnsi"/>
              </w:rPr>
              <w:t xml:space="preserve"> </w:t>
            </w:r>
            <w:r>
              <w:rPr>
                <w:rFonts w:eastAsiaTheme="minorHAnsi"/>
              </w:rPr>
              <w:t>Satiksmes ministrija</w:t>
            </w:r>
            <w:r w:rsidRPr="00DA642E">
              <w:rPr>
                <w:rFonts w:eastAsiaTheme="minorHAnsi"/>
              </w:rPr>
              <w:t xml:space="preserve"> </w:t>
            </w:r>
            <w:r>
              <w:rPr>
                <w:rFonts w:eastAsiaTheme="minorHAnsi"/>
              </w:rPr>
              <w:t xml:space="preserve">varēs </w:t>
            </w:r>
            <w:r w:rsidRPr="00DA642E">
              <w:rPr>
                <w:rFonts w:eastAsiaTheme="minorHAnsi"/>
              </w:rPr>
              <w:t>sniegt pēc abu informatīvo ziņojumu izskatīšanas.</w:t>
            </w:r>
          </w:p>
          <w:p w14:paraId="74AA780B" w14:textId="312884CE" w:rsidR="006C425E" w:rsidRPr="00606385" w:rsidRDefault="006C425E" w:rsidP="008B684E">
            <w:pPr>
              <w:jc w:val="both"/>
              <w:rPr>
                <w:b/>
              </w:rPr>
            </w:pPr>
            <w:r>
              <w:rPr>
                <w:rFonts w:eastAsiaTheme="minorHAnsi"/>
              </w:rPr>
              <w:t>Atbilstoši Informatīvajā ziņojumā paredzētajam</w:t>
            </w:r>
            <w:r w:rsidRPr="00DA642E">
              <w:rPr>
                <w:rFonts w:eastAsiaTheme="minorHAnsi"/>
              </w:rPr>
              <w:t xml:space="preserve"> modernizācijas fonda līdzekļus plānots novirzīt pamatā emisiju samazināšanai </w:t>
            </w:r>
            <w:r>
              <w:rPr>
                <w:rFonts w:eastAsiaTheme="minorHAnsi"/>
              </w:rPr>
              <w:t>Eiropas Savienības emisijas tirdzniecības sistēmā neiekļautajām darbībām (ne-ETS)</w:t>
            </w:r>
            <w:r w:rsidRPr="00DA642E">
              <w:rPr>
                <w:rFonts w:eastAsiaTheme="minorHAnsi"/>
              </w:rPr>
              <w:t xml:space="preserve"> problemātiskajos sektoros, kas neskar gaisa satiksmi</w:t>
            </w:r>
            <w:r>
              <w:rPr>
                <w:rFonts w:eastAsiaTheme="minorHAnsi"/>
              </w:rPr>
              <w:t xml:space="preserve">. </w:t>
            </w:r>
          </w:p>
        </w:tc>
        <w:tc>
          <w:tcPr>
            <w:tcW w:w="5103" w:type="dxa"/>
            <w:tcBorders>
              <w:top w:val="single" w:sz="6" w:space="0" w:color="000000"/>
              <w:left w:val="single" w:sz="6" w:space="0" w:color="000000"/>
              <w:bottom w:val="single" w:sz="6" w:space="0" w:color="000000"/>
              <w:right w:val="single" w:sz="6" w:space="0" w:color="000000"/>
            </w:tcBorders>
          </w:tcPr>
          <w:p w14:paraId="21F0633D" w14:textId="5F918A8F" w:rsidR="006C425E" w:rsidRPr="006C425E" w:rsidRDefault="008B684E" w:rsidP="008B684E">
            <w:pPr>
              <w:jc w:val="center"/>
              <w:rPr>
                <w:b/>
                <w:color w:val="000000" w:themeColor="text1"/>
              </w:rPr>
            </w:pPr>
            <w:r>
              <w:rPr>
                <w:b/>
                <w:color w:val="000000" w:themeColor="text1"/>
              </w:rPr>
              <w:lastRenderedPageBreak/>
              <w:t>Ņemts vērā</w:t>
            </w:r>
          </w:p>
          <w:p w14:paraId="5EBE8530" w14:textId="42DA9278" w:rsidR="006C425E" w:rsidRDefault="006C425E" w:rsidP="006C425E">
            <w:pPr>
              <w:jc w:val="both"/>
              <w:rPr>
                <w:rFonts w:eastAsia="Calibri"/>
              </w:rPr>
            </w:pPr>
            <w:r w:rsidRPr="00494DFF">
              <w:rPr>
                <w:color w:val="000000" w:themeColor="text1"/>
              </w:rPr>
              <w:t>Emisijas kvotu izsolīšanas instrumenta (turpmāk – EKII) darbība šobrīd ir reglamentēta</w:t>
            </w:r>
            <w:r w:rsidR="008E23C3">
              <w:rPr>
                <w:color w:val="000000" w:themeColor="text1"/>
              </w:rPr>
              <w:t xml:space="preserve"> t.sk.</w:t>
            </w:r>
            <w:r w:rsidRPr="00494DFF">
              <w:rPr>
                <w:color w:val="000000" w:themeColor="text1"/>
              </w:rPr>
              <w:t xml:space="preserve"> ar VARAM 2016. gada 21 .oktobra rīkojumu </w:t>
            </w:r>
            <w:r w:rsidRPr="00494DFF">
              <w:rPr>
                <w:bCs/>
                <w:color w:val="000000" w:themeColor="text1"/>
              </w:rPr>
              <w:t xml:space="preserve">Nr. 265 “Par Emisijas kvotu izsolīšanas instrumenta darbības stratēģijas apstiprināšanu”. </w:t>
            </w:r>
            <w:r w:rsidRPr="00494DFF">
              <w:rPr>
                <w:bCs/>
                <w:color w:val="000000" w:themeColor="text1"/>
              </w:rPr>
              <w:lastRenderedPageBreak/>
              <w:t xml:space="preserve">Ņemot vērā, ka EKII </w:t>
            </w:r>
            <w:r w:rsidR="008E23C3">
              <w:rPr>
                <w:bCs/>
                <w:color w:val="000000" w:themeColor="text1"/>
              </w:rPr>
              <w:t xml:space="preserve">darbības </w:t>
            </w:r>
            <w:r w:rsidRPr="00494DFF">
              <w:rPr>
                <w:bCs/>
                <w:color w:val="000000" w:themeColor="text1"/>
              </w:rPr>
              <w:t xml:space="preserve">stratēģijas joprojām </w:t>
            </w:r>
            <w:r w:rsidR="008E23C3">
              <w:rPr>
                <w:bCs/>
                <w:color w:val="000000" w:themeColor="text1"/>
              </w:rPr>
              <w:t>tiek gatavota,</w:t>
            </w:r>
            <w:r w:rsidRPr="00494DFF">
              <w:rPr>
                <w:bCs/>
                <w:color w:val="000000" w:themeColor="text1"/>
              </w:rPr>
              <w:t xml:space="preserve"> </w:t>
            </w:r>
            <w:r w:rsidR="008E23C3">
              <w:rPr>
                <w:bCs/>
                <w:color w:val="000000" w:themeColor="text1"/>
              </w:rPr>
              <w:t>dokumentu</w:t>
            </w:r>
            <w:r>
              <w:rPr>
                <w:bCs/>
                <w:color w:val="000000" w:themeColor="text1"/>
              </w:rPr>
              <w:t xml:space="preserve"> izskatīšana vienā MK sēdē kopā ar informatīvo ziņojumu par Modernizācijas fonda darbību nebūs iespējama</w:t>
            </w:r>
            <w:r w:rsidR="008E23C3">
              <w:rPr>
                <w:bCs/>
                <w:color w:val="000000" w:themeColor="text1"/>
              </w:rPr>
              <w:t>.</w:t>
            </w:r>
            <w:r>
              <w:rPr>
                <w:bCs/>
                <w:color w:val="000000" w:themeColor="text1"/>
              </w:rPr>
              <w:t xml:space="preserve"> </w:t>
            </w:r>
            <w:r w:rsidR="008E23C3">
              <w:rPr>
                <w:bCs/>
                <w:color w:val="000000" w:themeColor="text1"/>
              </w:rPr>
              <w:t>L</w:t>
            </w:r>
            <w:r>
              <w:rPr>
                <w:bCs/>
                <w:color w:val="000000" w:themeColor="text1"/>
              </w:rPr>
              <w:t>īdz ar to ir</w:t>
            </w:r>
            <w:r w:rsidRPr="00494DFF">
              <w:rPr>
                <w:bCs/>
                <w:color w:val="000000" w:themeColor="text1"/>
              </w:rPr>
              <w:t xml:space="preserve"> </w:t>
            </w:r>
            <w:r w:rsidR="008E23C3">
              <w:rPr>
                <w:bCs/>
                <w:color w:val="000000" w:themeColor="text1"/>
              </w:rPr>
              <w:t>svītrota</w:t>
            </w:r>
            <w:r w:rsidRPr="00464E07">
              <w:rPr>
                <w:rFonts w:eastAsia="Calibri"/>
              </w:rPr>
              <w:t xml:space="preserve"> atsauce 10.lpp </w:t>
            </w:r>
            <w:r w:rsidRPr="006D25F3">
              <w:rPr>
                <w:rFonts w:eastAsia="Calibri"/>
              </w:rPr>
              <w:t>kājenē attiecībā uz informatīvo ziņojumu par atjaunotās EKII darbības stratēģijas izskatīšanu vienlaicīgi ar I</w:t>
            </w:r>
            <w:r w:rsidRPr="00ED007B">
              <w:rPr>
                <w:rFonts w:eastAsia="Calibri"/>
              </w:rPr>
              <w:t>nformatīvo ziņojumu par Modernizācijas fonda darb</w:t>
            </w:r>
            <w:r w:rsidRPr="001D3DA4">
              <w:rPr>
                <w:rFonts w:eastAsia="Calibri"/>
              </w:rPr>
              <w:t xml:space="preserve">ību. </w:t>
            </w:r>
          </w:p>
          <w:p w14:paraId="6BF439EE" w14:textId="77777777" w:rsidR="006C425E" w:rsidRDefault="006C425E" w:rsidP="006C425E">
            <w:pPr>
              <w:jc w:val="both"/>
              <w:rPr>
                <w:rFonts w:eastAsia="Calibri"/>
              </w:rPr>
            </w:pPr>
          </w:p>
          <w:p w14:paraId="0B52CBF3" w14:textId="7AE7F0BF" w:rsidR="006C425E" w:rsidRDefault="006C425E" w:rsidP="006C425E">
            <w:pPr>
              <w:jc w:val="both"/>
              <w:rPr>
                <w:bCs/>
                <w:color w:val="000000" w:themeColor="text1"/>
              </w:rPr>
            </w:pPr>
            <w:r w:rsidRPr="001D3DA4">
              <w:rPr>
                <w:rFonts w:eastAsia="Calibri"/>
              </w:rPr>
              <w:t>Vēršam uzmanību, ka</w:t>
            </w:r>
            <w:r>
              <w:rPr>
                <w:rFonts w:eastAsia="Calibri"/>
              </w:rPr>
              <w:t xml:space="preserve"> izstrādājot EKII </w:t>
            </w:r>
            <w:r w:rsidR="008E23C3">
              <w:rPr>
                <w:rFonts w:eastAsia="Calibri"/>
              </w:rPr>
              <w:t xml:space="preserve">darbības </w:t>
            </w:r>
            <w:r>
              <w:rPr>
                <w:rFonts w:eastAsia="Calibri"/>
              </w:rPr>
              <w:t xml:space="preserve">stratēģiju </w:t>
            </w:r>
            <w:r w:rsidRPr="00494DFF">
              <w:rPr>
                <w:bCs/>
                <w:color w:val="000000" w:themeColor="text1"/>
              </w:rPr>
              <w:t>tiek plānots nodrošināt demarkāciju starp citiem finanšu instrumentiem</w:t>
            </w:r>
            <w:r>
              <w:rPr>
                <w:bCs/>
                <w:color w:val="000000" w:themeColor="text1"/>
              </w:rPr>
              <w:t>, novēršot pieejamā finansējuma dublēšanos</w:t>
            </w:r>
            <w:r w:rsidRPr="00494DFF">
              <w:rPr>
                <w:bCs/>
                <w:color w:val="000000" w:themeColor="text1"/>
              </w:rPr>
              <w:t>.</w:t>
            </w:r>
          </w:p>
          <w:p w14:paraId="0266D26B" w14:textId="77777777" w:rsidR="006C425E" w:rsidRDefault="006C425E" w:rsidP="006C425E">
            <w:pPr>
              <w:jc w:val="both"/>
              <w:rPr>
                <w:bCs/>
                <w:color w:val="000000" w:themeColor="text1"/>
              </w:rPr>
            </w:pPr>
          </w:p>
          <w:p w14:paraId="3567BDE8" w14:textId="11058D85" w:rsidR="008E23C3" w:rsidRDefault="008E23C3" w:rsidP="006C425E">
            <w:pPr>
              <w:jc w:val="both"/>
              <w:rPr>
                <w:bCs/>
                <w:color w:val="000000" w:themeColor="text1"/>
              </w:rPr>
            </w:pPr>
            <w:r w:rsidRPr="000721B8">
              <w:t xml:space="preserve">Informatīvā ziņojuma </w:t>
            </w:r>
            <w:r w:rsidRPr="00920143">
              <w:rPr>
                <w:u w:val="single"/>
              </w:rPr>
              <w:t>uzdevums nav noteikt konkrētus pasākumus vai pat projektus</w:t>
            </w:r>
            <w:r w:rsidRPr="000721B8">
              <w:t>, kas tiks atbalstīti Modernizācijas fonda ietvaros. Saskaņā ar ministru kabineta 2019.</w:t>
            </w:r>
            <w:r>
              <w:t> </w:t>
            </w:r>
            <w:r w:rsidRPr="000721B8">
              <w:t>gada 17.</w:t>
            </w:r>
            <w:r>
              <w:t> </w:t>
            </w:r>
            <w:r w:rsidRPr="000721B8">
              <w:t>jūnija rīkojumu Nr.</w:t>
            </w:r>
            <w:r>
              <w:t> </w:t>
            </w:r>
            <w:r w:rsidRPr="000721B8">
              <w:t>381</w:t>
            </w:r>
            <w:r>
              <w:t xml:space="preserve"> </w:t>
            </w:r>
            <w:r w:rsidRPr="000721B8">
              <w:t>(prot.</w:t>
            </w:r>
            <w:r>
              <w:t> </w:t>
            </w:r>
            <w:r w:rsidRPr="000721B8">
              <w:t>Nr. 33 75. §) “Par konceptuālo ziņojumu "Par bezmaksas emisijas kvotu piešķiršanu elektroenerģijas ražotājiem Eiropas Savienības emisiju tirdzniecības sistēma</w:t>
            </w:r>
            <w:r>
              <w:t>s 2021.–2030. gada periodā"” 3. </w:t>
            </w:r>
            <w:r w:rsidRPr="000721B8">
              <w:t xml:space="preserve">punktu Informatīvā ziņojuma un protokollēmuma uzdevums ir </w:t>
            </w:r>
            <w:r w:rsidRPr="00920143">
              <w:rPr>
                <w:u w:val="single"/>
              </w:rPr>
              <w:t>noteikt Modernizācijas fonda pārvaldību un pieejamo finansējuma apjomu</w:t>
            </w:r>
            <w:r w:rsidRPr="000721B8">
              <w:t>, lai saskaņā ar D</w:t>
            </w:r>
            <w:r>
              <w:t>irektīvas 2003/87 10.d panta 4. daļu līdz 2019. </w:t>
            </w:r>
            <w:r w:rsidRPr="000721B8">
              <w:t>gada 30.</w:t>
            </w:r>
            <w:r>
              <w:t> </w:t>
            </w:r>
            <w:r w:rsidRPr="000721B8">
              <w:t xml:space="preserve">septembrim būtu iespējams paziņot Eiropas Komisijai par izmantojamajiem </w:t>
            </w:r>
            <w:r>
              <w:t xml:space="preserve">emisijas </w:t>
            </w:r>
            <w:r w:rsidRPr="000721B8">
              <w:t>kvotu apjomiem Modernizācijas fonda vajadzībām.</w:t>
            </w:r>
          </w:p>
          <w:p w14:paraId="67ED2DDE" w14:textId="77777777" w:rsidR="008E23C3" w:rsidRDefault="008E23C3" w:rsidP="006C425E">
            <w:pPr>
              <w:jc w:val="both"/>
              <w:rPr>
                <w:bCs/>
                <w:color w:val="000000" w:themeColor="text1"/>
              </w:rPr>
            </w:pPr>
          </w:p>
          <w:p w14:paraId="4ACC32E2" w14:textId="1F0977E1" w:rsidR="006C425E" w:rsidRPr="00E73FE8" w:rsidRDefault="006C425E" w:rsidP="001774AB">
            <w:pPr>
              <w:jc w:val="both"/>
            </w:pPr>
            <w:r>
              <w:rPr>
                <w:bCs/>
                <w:color w:val="000000" w:themeColor="text1"/>
              </w:rPr>
              <w:lastRenderedPageBreak/>
              <w:t>Papildus</w:t>
            </w:r>
            <w:r w:rsidR="008E23C3">
              <w:rPr>
                <w:bCs/>
                <w:color w:val="000000" w:themeColor="text1"/>
              </w:rPr>
              <w:t xml:space="preserve"> </w:t>
            </w:r>
            <w:r>
              <w:rPr>
                <w:bCs/>
                <w:color w:val="000000" w:themeColor="text1"/>
              </w:rPr>
              <w:t xml:space="preserve">informējam, ka saskaņā ar </w:t>
            </w:r>
            <w:r w:rsidRPr="00A278BB">
              <w:t>saskaņā ar 2009.</w:t>
            </w:r>
            <w:r w:rsidR="001774AB">
              <w:t> </w:t>
            </w:r>
            <w:r w:rsidRPr="00A278BB">
              <w:t>gada 7.</w:t>
            </w:r>
            <w:r w:rsidR="001774AB">
              <w:t> </w:t>
            </w:r>
            <w:r w:rsidRPr="00A278BB">
              <w:t xml:space="preserve">aprīļa </w:t>
            </w:r>
            <w:r w:rsidR="001774AB">
              <w:t>Ministru kabineta noteikumu Nr. </w:t>
            </w:r>
            <w:r w:rsidRPr="00A278BB">
              <w:t>300 “Ministru kabineta kārtības rullis”</w:t>
            </w:r>
            <w:r>
              <w:t xml:space="preserve"> 79.</w:t>
            </w:r>
            <w:r w:rsidR="001774AB">
              <w:t> </w:t>
            </w:r>
            <w:r>
              <w:t>punktu m</w:t>
            </w:r>
            <w:r w:rsidRPr="006C425E">
              <w:t>inistrija vai cita institūcija nevar atteikties sniegt atzinumu, ja attiecīgais projekts tieši skar tās kompetencē esošos jautājumus</w:t>
            </w:r>
            <w:r>
              <w:t>.</w:t>
            </w:r>
          </w:p>
        </w:tc>
        <w:tc>
          <w:tcPr>
            <w:tcW w:w="2385" w:type="dxa"/>
            <w:tcBorders>
              <w:top w:val="single" w:sz="4" w:space="0" w:color="auto"/>
              <w:left w:val="single" w:sz="4" w:space="0" w:color="auto"/>
              <w:bottom w:val="single" w:sz="4" w:space="0" w:color="auto"/>
            </w:tcBorders>
          </w:tcPr>
          <w:p w14:paraId="16C8EFBB" w14:textId="768444A1" w:rsidR="006C425E" w:rsidRPr="00606385" w:rsidRDefault="008B684E" w:rsidP="006C425E">
            <w:pPr>
              <w:jc w:val="both"/>
              <w:rPr>
                <w:rFonts w:eastAsia="Calibri"/>
              </w:rPr>
            </w:pPr>
            <w:r>
              <w:rPr>
                <w:b/>
              </w:rPr>
              <w:lastRenderedPageBreak/>
              <w:t>Informatīvais ziņojums</w:t>
            </w:r>
          </w:p>
        </w:tc>
      </w:tr>
      <w:tr w:rsidR="00C61609" w:rsidRPr="00606385" w14:paraId="52900685" w14:textId="77777777" w:rsidTr="008B684E">
        <w:tc>
          <w:tcPr>
            <w:tcW w:w="534" w:type="dxa"/>
            <w:tcBorders>
              <w:top w:val="single" w:sz="6" w:space="0" w:color="000000"/>
              <w:left w:val="single" w:sz="6" w:space="0" w:color="000000"/>
              <w:bottom w:val="single" w:sz="6" w:space="0" w:color="000000"/>
              <w:right w:val="single" w:sz="6" w:space="0" w:color="000000"/>
            </w:tcBorders>
          </w:tcPr>
          <w:p w14:paraId="7E735353" w14:textId="21C52DD2" w:rsidR="00C61609" w:rsidRDefault="007F737A" w:rsidP="0053526A">
            <w:r>
              <w:lastRenderedPageBreak/>
              <w:t>3.</w:t>
            </w:r>
          </w:p>
        </w:tc>
        <w:tc>
          <w:tcPr>
            <w:tcW w:w="2152" w:type="dxa"/>
            <w:tcBorders>
              <w:top w:val="single" w:sz="6" w:space="0" w:color="000000"/>
              <w:left w:val="single" w:sz="6" w:space="0" w:color="000000"/>
              <w:bottom w:val="single" w:sz="6" w:space="0" w:color="000000"/>
              <w:right w:val="single" w:sz="6" w:space="0" w:color="000000"/>
            </w:tcBorders>
          </w:tcPr>
          <w:p w14:paraId="29509FC0" w14:textId="64AB85D1" w:rsidR="00C61609" w:rsidRDefault="00C61609"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7A570523" w14:textId="77777777" w:rsidR="00C61609" w:rsidRDefault="00C61609" w:rsidP="00C61609">
            <w:pPr>
              <w:pStyle w:val="ListParagraph"/>
              <w:widowControl w:val="0"/>
              <w:spacing w:after="0" w:line="240" w:lineRule="auto"/>
              <w:ind w:left="0"/>
              <w:jc w:val="center"/>
              <w:rPr>
                <w:rFonts w:ascii="Times New Roman" w:hAnsi="Times New Roman"/>
                <w:b/>
                <w:bCs/>
                <w:sz w:val="24"/>
                <w:szCs w:val="24"/>
                <w:lang w:val="lv-LV"/>
              </w:rPr>
            </w:pPr>
            <w:r>
              <w:rPr>
                <w:rFonts w:ascii="Times New Roman" w:hAnsi="Times New Roman"/>
                <w:b/>
                <w:bCs/>
                <w:sz w:val="24"/>
                <w:szCs w:val="24"/>
                <w:lang w:val="lv-LV"/>
              </w:rPr>
              <w:t>Ekonomikas ministrijas 02.09.2019 atzinums</w:t>
            </w:r>
          </w:p>
          <w:p w14:paraId="776D1456" w14:textId="77777777" w:rsidR="00C61609" w:rsidRPr="00642B0A" w:rsidRDefault="00C61609" w:rsidP="00C61609">
            <w:pPr>
              <w:spacing w:before="120" w:after="120"/>
              <w:jc w:val="both"/>
            </w:pPr>
            <w:r w:rsidRPr="00642B0A">
              <w:t xml:space="preserve">Ņemot vērā šī atzinuma 1.punktā minētos argumentus, </w:t>
            </w:r>
            <w:r w:rsidRPr="00642B0A">
              <w:rPr>
                <w:b/>
                <w:bCs/>
              </w:rPr>
              <w:t>neatbalstām Informatīvā ziņojuma 3.nodaļas 5.rindkopu</w:t>
            </w:r>
            <w:r w:rsidRPr="00642B0A">
              <w:t>, kur ir noteikts, ka par MF atbildīgā iestāde ir VARAM, kā ar argumentu minot to, ka VARAM nodrošina līdzdalību ES ETS un izpilda Latvijas saistības attiecībā uz SEG emisiju samazināšanu un oglekļa dioksīda piesaisti likuma “Par piesārņojumu” 2. panta 9. punkta izpratnē.</w:t>
            </w:r>
          </w:p>
          <w:p w14:paraId="2EB21490" w14:textId="77777777" w:rsidR="00C61609" w:rsidRPr="00642B0A" w:rsidRDefault="00C61609" w:rsidP="00C61609">
            <w:pPr>
              <w:spacing w:before="120" w:after="120"/>
              <w:jc w:val="both"/>
            </w:pPr>
            <w:r w:rsidRPr="00642B0A">
              <w:t xml:space="preserve">Norādām, ka MF administrēšana pēc būtības nav saistīta ar Latvijas līdzdalības ES ETS nodrošināšanu. MF tiks iekļauti finanšu līdzekļi, kas gūti izsolot emisijas kvotas, kuru izsolīšanu neveiks dalībvalsts, bet tā tiks veikta Kopējā izsoļu platformā (šobrīd šis pats princips tiek ievērots finanšu līdzekļu ieguvei Emisijas kvotu izsolīšanas instrumentam (turpmāk – EKII)). Savukārt ar Latvijas līdzdalību ES ETS nodrošināšanu ir saprotamas tādas darbības, kā SEG atļauju izsniegšana, ES </w:t>
            </w:r>
            <w:r w:rsidRPr="00642B0A">
              <w:lastRenderedPageBreak/>
              <w:t>ETS Latvijas operatoru un gaisa kuģu operatoru darbību monitorings un uzraudzība, ikgadējo emisiju ziņojumu pārbaude, emisijas kvotu piešķiršana un piešķīruma atbilstības pārbaude uc. Tāpēc ir secināms, ka MF administrēšana un tajā iekļauto līdzekļu izmantošana nav saistīta ar Latvijas līdzdalību ES ETS nodrošināšanu.</w:t>
            </w:r>
          </w:p>
          <w:p w14:paraId="00CBB2C1" w14:textId="77777777" w:rsidR="00C61609" w:rsidRPr="00642B0A" w:rsidRDefault="00C61609" w:rsidP="00C61609">
            <w:pPr>
              <w:spacing w:before="120" w:after="120"/>
              <w:jc w:val="both"/>
            </w:pPr>
            <w:r w:rsidRPr="00642B0A">
              <w:t>Papildus norādām, ka VARAM klimata politiku izstrādā sadarbībā ar Zemkopības ministriju, Ekonomikas ministriju, Satiksmes ministriju un citām nozaru ministrijām un koordinē attiecīgās politikas īstenošanu</w:t>
            </w:r>
            <w:r w:rsidRPr="00642B0A">
              <w:rPr>
                <w:rStyle w:val="FootnoteReference"/>
              </w:rPr>
              <w:footnoteReference w:id="5"/>
            </w:r>
            <w:r w:rsidRPr="00642B0A">
              <w:t>. SEG emisiju samazināšanas saistības tiek izpildītas nozarēs – enerģētika, transports, rūpnieciskie procesi, ķīmisko vielu izmantošana, lauksaimniecība, atkritumu apsaimniekošana, kurās nozaru ministrija īsteno pasākumus, kas nodrošina SEG emisiju saistību izpildi. Līdz ar to ir saprotams, ka SEG emisiju samazināšanas saistības izpilda ne tikai VARAM, bet visas nozaru ministrijas, kuru nozarēs tiek radītas SEG emisijas.</w:t>
            </w:r>
          </w:p>
          <w:p w14:paraId="150D4153" w14:textId="41DDBB7C" w:rsidR="00C61609" w:rsidRPr="00494DFF" w:rsidRDefault="00C61609" w:rsidP="00C61609">
            <w:pPr>
              <w:spacing w:before="120" w:after="120"/>
              <w:jc w:val="both"/>
              <w:rPr>
                <w:b/>
                <w:bCs/>
              </w:rPr>
            </w:pPr>
            <w:r w:rsidRPr="00642B0A">
              <w:t>Līdz ar to norādām, ka Informatīvā ziņojuma 3.nodaļas 5. rindkopa ir svītrojama.</w:t>
            </w:r>
            <w:r>
              <w:t xml:space="preserve"> </w:t>
            </w:r>
          </w:p>
        </w:tc>
        <w:tc>
          <w:tcPr>
            <w:tcW w:w="5103" w:type="dxa"/>
            <w:tcBorders>
              <w:top w:val="single" w:sz="6" w:space="0" w:color="000000"/>
              <w:left w:val="single" w:sz="6" w:space="0" w:color="000000"/>
              <w:bottom w:val="single" w:sz="6" w:space="0" w:color="000000"/>
              <w:right w:val="single" w:sz="6" w:space="0" w:color="000000"/>
            </w:tcBorders>
          </w:tcPr>
          <w:p w14:paraId="0F49C34B" w14:textId="35B1B60F" w:rsidR="00C61609" w:rsidRDefault="007F737A" w:rsidP="00C61609">
            <w:pPr>
              <w:jc w:val="center"/>
              <w:rPr>
                <w:b/>
                <w:lang w:eastAsia="x-none"/>
              </w:rPr>
            </w:pPr>
            <w:r>
              <w:rPr>
                <w:b/>
                <w:lang w:eastAsia="x-none"/>
              </w:rPr>
              <w:lastRenderedPageBreak/>
              <w:t>Ņ</w:t>
            </w:r>
            <w:r w:rsidR="00C61609">
              <w:rPr>
                <w:b/>
                <w:lang w:eastAsia="x-none"/>
              </w:rPr>
              <w:t>emts vērā</w:t>
            </w:r>
          </w:p>
          <w:p w14:paraId="1BD5CFD1" w14:textId="64E9122D" w:rsidR="00C61609" w:rsidRDefault="00C61609" w:rsidP="00C61609">
            <w:pPr>
              <w:spacing w:before="120" w:after="120"/>
              <w:jc w:val="both"/>
            </w:pPr>
            <w:r w:rsidRPr="00B07612">
              <w:t xml:space="preserve">Ņemot vērā redakcionālo kļūdu, labota atsauce uz likuma “Par piesārņojumu” </w:t>
            </w:r>
            <w:r w:rsidR="005A2FF1">
              <w:t xml:space="preserve">2. panta </w:t>
            </w:r>
            <w:r w:rsidRPr="00B07612">
              <w:t xml:space="preserve">8.  punktu Informatīvā ziņojuma 3. nodaļas 5. rindkopā. </w:t>
            </w:r>
          </w:p>
          <w:p w14:paraId="749247E9" w14:textId="77777777" w:rsidR="00C61609" w:rsidRPr="00B07612" w:rsidRDefault="00C61609" w:rsidP="00C61609">
            <w:pPr>
              <w:spacing w:before="120" w:after="120"/>
              <w:jc w:val="both"/>
            </w:pPr>
            <w:r>
              <w:t>A</w:t>
            </w:r>
            <w:r w:rsidRPr="00B07612">
              <w:t>tsaucoties uz Direktīvas 2003/87 1.</w:t>
            </w:r>
            <w:r>
              <w:t> </w:t>
            </w:r>
            <w:r w:rsidRPr="00B07612">
              <w:t xml:space="preserve">pantu ar šo Direktīvu tiek izveidota </w:t>
            </w:r>
            <w:r>
              <w:t>SEG</w:t>
            </w:r>
            <w:r w:rsidRPr="00B07612">
              <w:t xml:space="preserve"> emisijas kvotu tirdzniecība </w:t>
            </w:r>
            <w:r>
              <w:t>ES</w:t>
            </w:r>
            <w:r w:rsidRPr="00B07612">
              <w:t xml:space="preserve">, lai veicinātu </w:t>
            </w:r>
            <w:r>
              <w:t>SEG</w:t>
            </w:r>
            <w:r w:rsidRPr="00B07612">
              <w:t xml:space="preserve"> emisiju samazināšanos rentablā un ekonomiski efektīvā veidā. Saskaņā arī ar Eiropas Komisijas pausto</w:t>
            </w:r>
            <w:r w:rsidRPr="00B07612">
              <w:rPr>
                <w:rStyle w:val="FootnoteReference"/>
              </w:rPr>
              <w:footnoteReference w:id="6"/>
            </w:r>
            <w:r w:rsidRPr="00B07612">
              <w:t xml:space="preserve">, ES ETS ir stūrakmens ES politikā cīņai pret klimata pārmaiņām un ir galvenais tās instruments </w:t>
            </w:r>
            <w:r>
              <w:t>SEG</w:t>
            </w:r>
            <w:r w:rsidRPr="00B07612">
              <w:t xml:space="preserve"> emisiju rentablai samazināšanai. Jānorāda, ka Modernizācijas fonds ir nedalāma Direktīvas 2003/87 sastāvdaļa un arī ir attiecināms uz klimata pārmaiņu mazināšanu un klimata mērķu sasniegšanu. </w:t>
            </w:r>
          </w:p>
          <w:p w14:paraId="388FC5F3" w14:textId="54B58774" w:rsidR="00C61609" w:rsidRDefault="00C61609" w:rsidP="00C61609">
            <w:pPr>
              <w:spacing w:before="120" w:after="120"/>
              <w:jc w:val="both"/>
              <w:rPr>
                <w:b/>
              </w:rPr>
            </w:pPr>
            <w:r w:rsidRPr="00B07612">
              <w:t>Piekrītam, ka VARAM izstrādā politiku klimata pārmaiņu samazināšanas saistību</w:t>
            </w:r>
            <w:r>
              <w:t> – SEG</w:t>
            </w:r>
            <w:r w:rsidRPr="00B07612">
              <w:t xml:space="preserve"> emisiju samazināšana un oglekļa dioksīda piesaiste</w:t>
            </w:r>
            <w:r>
              <w:t> – </w:t>
            </w:r>
            <w:r w:rsidRPr="00B07612">
              <w:t>izpildei</w:t>
            </w:r>
            <w:r>
              <w:t>,</w:t>
            </w:r>
            <w:r w:rsidRPr="00B07612">
              <w:t xml:space="preserve"> atbilstoši konkrēto saistību izpildes termiņiem un </w:t>
            </w:r>
            <w:r w:rsidRPr="00B07612">
              <w:rPr>
                <w:u w:val="single"/>
              </w:rPr>
              <w:t>koordinē</w:t>
            </w:r>
            <w:r w:rsidRPr="00B07612">
              <w:t xml:space="preserve"> attiecīgās politikas īstenošanu, kā to nosaka arī likuma “Par piesārņojumu” 52.</w:t>
            </w:r>
            <w:r>
              <w:t> </w:t>
            </w:r>
            <w:r w:rsidRPr="00B07612">
              <w:t>panta 1.</w:t>
            </w:r>
            <w:r>
              <w:t> </w:t>
            </w:r>
            <w:r w:rsidRPr="00B07612">
              <w:t xml:space="preserve">punkts. Tā kā VARAM </w:t>
            </w:r>
            <w:r w:rsidRPr="00B07612">
              <w:lastRenderedPageBreak/>
              <w:t>koordinē klimata politikas īstenošanu un saskaņā ar Ministru kabineta 2011. gada 29. marta noteikumu Nr. 233 “Vides aizsardzības un reģionālās attīstības ministrijas nolikums” 4. punktu ir atbildīgā iestāde par klimata politikas izstrādi, tad par Modernizācijas fonda, kura ietvaros var veikt investīcijas ne</w:t>
            </w:r>
            <w:r>
              <w:t xml:space="preserve"> </w:t>
            </w:r>
            <w:r w:rsidRPr="00B07612">
              <w:t xml:space="preserve">tikai enerģētikas sektorā, bet arī, piemēram, </w:t>
            </w:r>
            <w:r>
              <w:t>transporta</w:t>
            </w:r>
            <w:r w:rsidRPr="00B07612">
              <w:t>, lauksaimniecības un atkritumu apsaimniekošanas nozarē, atbildīgo iestādi jānosaka VARAM.</w:t>
            </w:r>
          </w:p>
        </w:tc>
        <w:tc>
          <w:tcPr>
            <w:tcW w:w="2385" w:type="dxa"/>
            <w:tcBorders>
              <w:top w:val="single" w:sz="4" w:space="0" w:color="auto"/>
              <w:left w:val="single" w:sz="4" w:space="0" w:color="auto"/>
              <w:bottom w:val="single" w:sz="4" w:space="0" w:color="auto"/>
            </w:tcBorders>
          </w:tcPr>
          <w:p w14:paraId="7EA9C8F9" w14:textId="233995D6" w:rsidR="00C61609" w:rsidRDefault="00C61609" w:rsidP="006C425E">
            <w:pPr>
              <w:jc w:val="both"/>
              <w:rPr>
                <w:b/>
              </w:rPr>
            </w:pPr>
            <w:r>
              <w:rPr>
                <w:b/>
              </w:rPr>
              <w:lastRenderedPageBreak/>
              <w:t>Informatīvais ziņojums</w:t>
            </w:r>
          </w:p>
        </w:tc>
      </w:tr>
      <w:tr w:rsidR="0053526A" w:rsidRPr="00606385" w14:paraId="726D350D" w14:textId="77777777" w:rsidTr="008B684E">
        <w:tc>
          <w:tcPr>
            <w:tcW w:w="534" w:type="dxa"/>
            <w:tcBorders>
              <w:top w:val="single" w:sz="6" w:space="0" w:color="000000"/>
              <w:left w:val="single" w:sz="6" w:space="0" w:color="000000"/>
              <w:bottom w:val="single" w:sz="6" w:space="0" w:color="000000"/>
              <w:right w:val="single" w:sz="6" w:space="0" w:color="000000"/>
            </w:tcBorders>
          </w:tcPr>
          <w:p w14:paraId="5A899D3A" w14:textId="7E3E3D17" w:rsidR="0053526A" w:rsidRDefault="00647941" w:rsidP="0053526A">
            <w:r>
              <w:t>4</w:t>
            </w:r>
            <w:r w:rsidR="0053526A">
              <w:t>.</w:t>
            </w:r>
          </w:p>
        </w:tc>
        <w:tc>
          <w:tcPr>
            <w:tcW w:w="2152" w:type="dxa"/>
            <w:tcBorders>
              <w:top w:val="single" w:sz="6" w:space="0" w:color="000000"/>
              <w:left w:val="single" w:sz="6" w:space="0" w:color="000000"/>
              <w:bottom w:val="single" w:sz="6" w:space="0" w:color="000000"/>
              <w:right w:val="single" w:sz="6" w:space="0" w:color="000000"/>
            </w:tcBorders>
          </w:tcPr>
          <w:p w14:paraId="6C618DEA" w14:textId="69B925CB" w:rsidR="0053526A" w:rsidRDefault="0053526A"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629921A4" w14:textId="77777777" w:rsidR="0053526A" w:rsidRDefault="0053526A" w:rsidP="0053526A">
            <w:pPr>
              <w:pStyle w:val="ListParagraph"/>
              <w:widowControl w:val="0"/>
              <w:spacing w:after="0" w:line="240" w:lineRule="auto"/>
              <w:ind w:left="0"/>
              <w:jc w:val="center"/>
              <w:rPr>
                <w:rFonts w:ascii="Times New Roman" w:hAnsi="Times New Roman"/>
                <w:b/>
                <w:bCs/>
                <w:sz w:val="24"/>
                <w:szCs w:val="24"/>
                <w:lang w:val="lv-LV"/>
              </w:rPr>
            </w:pPr>
            <w:r w:rsidRPr="00494DFF">
              <w:rPr>
                <w:rFonts w:ascii="Times New Roman" w:hAnsi="Times New Roman"/>
                <w:b/>
                <w:bCs/>
                <w:sz w:val="24"/>
                <w:szCs w:val="24"/>
                <w:lang w:val="lv-LV"/>
              </w:rPr>
              <w:t>Ekonomikas ministrijas 02.09.2019 atzinums.</w:t>
            </w:r>
          </w:p>
          <w:p w14:paraId="27AC7C67" w14:textId="77777777" w:rsidR="0053526A" w:rsidRPr="00642B0A" w:rsidRDefault="0053526A" w:rsidP="0053526A">
            <w:pPr>
              <w:jc w:val="both"/>
            </w:pPr>
            <w:r w:rsidRPr="00642B0A">
              <w:lastRenderedPageBreak/>
              <w:t>Attiecībā uz Informatīvā ziņojuma 2.nodaļas pēdējo rindkopu, lūdzam to papildināt ar šādu informāciju:</w:t>
            </w:r>
          </w:p>
          <w:p w14:paraId="1F2D3D82" w14:textId="77777777" w:rsidR="0053526A" w:rsidRPr="00642B0A" w:rsidRDefault="0053526A" w:rsidP="0053526A">
            <w:pPr>
              <w:jc w:val="both"/>
            </w:pPr>
            <w:r w:rsidRPr="00642B0A">
              <w:t>1) kādi ne-ETS projekti nevarēs kvalificēties pie šāda nosacījuma?</w:t>
            </w:r>
          </w:p>
          <w:p w14:paraId="259D5FA6" w14:textId="77777777" w:rsidR="0053526A" w:rsidRPr="00642B0A" w:rsidRDefault="0053526A" w:rsidP="0053526A">
            <w:pPr>
              <w:jc w:val="both"/>
            </w:pPr>
            <w:r w:rsidRPr="00642B0A">
              <w:t>2) vai mazo rūpniecības uzņēmumu energoapgāde un energoefektivitāte ir ietverta?</w:t>
            </w:r>
          </w:p>
          <w:p w14:paraId="216B185B" w14:textId="77777777" w:rsidR="0053526A" w:rsidRPr="00642B0A" w:rsidRDefault="0053526A" w:rsidP="0053526A">
            <w:pPr>
              <w:jc w:val="both"/>
            </w:pPr>
            <w:r w:rsidRPr="00642B0A">
              <w:t>3)</w:t>
            </w:r>
            <w:r w:rsidRPr="00642B0A">
              <w:tab/>
              <w:t>vai mājsaimniecību energosistēmu modernizēšana un energoefektivitāte ir ietverta?</w:t>
            </w:r>
          </w:p>
          <w:p w14:paraId="2492259D" w14:textId="77777777" w:rsidR="0053526A" w:rsidRPr="00642B0A" w:rsidRDefault="0053526A" w:rsidP="0053526A">
            <w:pPr>
              <w:jc w:val="both"/>
            </w:pPr>
            <w:r w:rsidRPr="00642B0A">
              <w:t>4) ņemot vērā mājsaimniecību zemo maksātspēju, kādi pasākumi būtu un kādi nebūtu pieejami mājsaimniecībām?</w:t>
            </w:r>
          </w:p>
          <w:p w14:paraId="758E2DA9" w14:textId="77777777" w:rsidR="0053526A" w:rsidRDefault="0053526A" w:rsidP="00B902E9">
            <w:pPr>
              <w:jc w:val="center"/>
              <w:rPr>
                <w:b/>
              </w:rPr>
            </w:pPr>
          </w:p>
        </w:tc>
        <w:tc>
          <w:tcPr>
            <w:tcW w:w="5103" w:type="dxa"/>
            <w:tcBorders>
              <w:top w:val="single" w:sz="6" w:space="0" w:color="000000"/>
              <w:left w:val="single" w:sz="6" w:space="0" w:color="000000"/>
              <w:bottom w:val="single" w:sz="6" w:space="0" w:color="000000"/>
              <w:right w:val="single" w:sz="6" w:space="0" w:color="000000"/>
            </w:tcBorders>
          </w:tcPr>
          <w:p w14:paraId="1E8EFA51" w14:textId="23598230" w:rsidR="0053526A" w:rsidRPr="000721B8" w:rsidRDefault="0053526A" w:rsidP="0053526A">
            <w:pPr>
              <w:spacing w:before="120" w:after="120"/>
              <w:jc w:val="center"/>
              <w:rPr>
                <w:b/>
              </w:rPr>
            </w:pPr>
            <w:r>
              <w:rPr>
                <w:b/>
              </w:rPr>
              <w:lastRenderedPageBreak/>
              <w:t>Ņ</w:t>
            </w:r>
            <w:r w:rsidRPr="000721B8">
              <w:rPr>
                <w:b/>
              </w:rPr>
              <w:t>emts vērā</w:t>
            </w:r>
          </w:p>
          <w:p w14:paraId="6E25C812" w14:textId="77777777" w:rsidR="0053526A" w:rsidRDefault="0053526A" w:rsidP="0053526A">
            <w:pPr>
              <w:spacing w:before="120" w:after="120"/>
              <w:jc w:val="both"/>
            </w:pPr>
            <w:r w:rsidRPr="000721B8">
              <w:lastRenderedPageBreak/>
              <w:t>Precizēts informatīvais ziņojums svītrojot vārdu “trīs” 2. nodaļas pēdējā rindkopā.</w:t>
            </w:r>
          </w:p>
          <w:p w14:paraId="3A7941CA" w14:textId="77777777" w:rsidR="0053526A" w:rsidRPr="000721B8" w:rsidRDefault="0053526A" w:rsidP="0053526A">
            <w:pPr>
              <w:spacing w:before="120" w:after="120"/>
              <w:jc w:val="both"/>
            </w:pPr>
            <w:r w:rsidRPr="000721B8">
              <w:t>Informatīvā ziņojuma 2. sadaļā tiek norādīt</w:t>
            </w:r>
            <w:r>
              <w:t>i</w:t>
            </w:r>
            <w:r w:rsidRPr="000721B8">
              <w:t xml:space="preserve"> Latvijas problemātiskie</w:t>
            </w:r>
            <w:r>
              <w:t xml:space="preserve"> sektori</w:t>
            </w:r>
            <w:r w:rsidRPr="000721B8">
              <w:t xml:space="preserve"> SEG emisiju ziņā </w:t>
            </w:r>
            <w:r>
              <w:t>un</w:t>
            </w:r>
            <w:r w:rsidRPr="000721B8">
              <w:t xml:space="preserve"> šie būtu </w:t>
            </w:r>
            <w:r>
              <w:t>potenciālie</w:t>
            </w:r>
            <w:r w:rsidRPr="000721B8">
              <w:t xml:space="preserve"> virzieni, kur</w:t>
            </w:r>
            <w:r>
              <w:t>os</w:t>
            </w:r>
            <w:r w:rsidRPr="000721B8">
              <w:t xml:space="preserve"> vajadzētu koncentrēt Modernizācijas fonda līdzekļus. Lūdzam ņemt vērā, ka Informatīvā ziņojuma </w:t>
            </w:r>
            <w:r w:rsidRPr="00920143">
              <w:rPr>
                <w:u w:val="single"/>
              </w:rPr>
              <w:t>uzdevums nav noteikt konkrētus pasākumus vai pat projektus</w:t>
            </w:r>
            <w:r w:rsidRPr="000721B8">
              <w:t>, kas tiks atbalstīti Modernizācijas fonda ietvaros. Saskaņā ar ministru kabineta 2019.</w:t>
            </w:r>
            <w:r>
              <w:t> </w:t>
            </w:r>
            <w:r w:rsidRPr="000721B8">
              <w:t>gada 17.</w:t>
            </w:r>
            <w:r>
              <w:t> </w:t>
            </w:r>
            <w:r w:rsidRPr="000721B8">
              <w:t>jūnija rīkojumu Nr.</w:t>
            </w:r>
            <w:r>
              <w:t> </w:t>
            </w:r>
            <w:r w:rsidRPr="000721B8">
              <w:t>381</w:t>
            </w:r>
            <w:r>
              <w:t xml:space="preserve"> </w:t>
            </w:r>
            <w:r w:rsidRPr="000721B8">
              <w:t>(prot.</w:t>
            </w:r>
            <w:r>
              <w:t> </w:t>
            </w:r>
            <w:r w:rsidRPr="000721B8">
              <w:t>Nr. 33 75. §) “Par konceptuālo ziņojumu "Par bezmaksas emisijas kvotu piešķiršanu elektroenerģijas ražotājiem Eiropas Savienības emisiju tirdzniecības sistēma</w:t>
            </w:r>
            <w:r>
              <w:t>s 2021.–2030. gada periodā"” 3. </w:t>
            </w:r>
            <w:r w:rsidRPr="000721B8">
              <w:t xml:space="preserve">punktu Informatīvā ziņojuma un protokollēmuma uzdevums ir </w:t>
            </w:r>
            <w:r w:rsidRPr="00920143">
              <w:rPr>
                <w:u w:val="single"/>
              </w:rPr>
              <w:t>noteikt Modernizācijas fonda pārvaldību un pieejamo finansējuma apjomu</w:t>
            </w:r>
            <w:r w:rsidRPr="000721B8">
              <w:t>, lai saskaņā ar D</w:t>
            </w:r>
            <w:r>
              <w:t>irektīvas 2003/87 10.d panta 4. daļu līdz 2019. </w:t>
            </w:r>
            <w:r w:rsidRPr="000721B8">
              <w:t>gada 30.</w:t>
            </w:r>
            <w:r>
              <w:t> </w:t>
            </w:r>
            <w:r w:rsidRPr="000721B8">
              <w:t xml:space="preserve">septembrim būtu iespējams paziņot Eiropas Komisijai par izmantojamajiem </w:t>
            </w:r>
            <w:r>
              <w:t xml:space="preserve">emisijas </w:t>
            </w:r>
            <w:r w:rsidRPr="000721B8">
              <w:t xml:space="preserve">kvotu apjomiem Modernizācijas fonda vajadzībām. </w:t>
            </w:r>
          </w:p>
          <w:p w14:paraId="6A7A9CB6" w14:textId="58DDC7E9" w:rsidR="0053526A" w:rsidRPr="00AA4B99" w:rsidRDefault="0053526A" w:rsidP="0053526A">
            <w:pPr>
              <w:spacing w:before="120" w:after="120"/>
              <w:jc w:val="both"/>
              <w:rPr>
                <w:b/>
              </w:rPr>
            </w:pPr>
            <w:r w:rsidRPr="000721B8">
              <w:t>Papildus jānorāda, ka sask</w:t>
            </w:r>
            <w:r>
              <w:t xml:space="preserve">aņā ar Direktīvas 2003/87 10.d </w:t>
            </w:r>
            <w:r w:rsidRPr="000721B8">
              <w:t>panta 12.</w:t>
            </w:r>
            <w:r>
              <w:t> </w:t>
            </w:r>
            <w:r w:rsidRPr="000721B8">
              <w:t>punktu Eiropas Komisija izstrādās īstenošanas regulu par detāli izstrādātiem nosacījumiem attiecībā uz Modernizācijas fonda darbību, kuras izstrāde un ieviešana plānota 2019.-2020. gadā. Detāl</w:t>
            </w:r>
            <w:r>
              <w:t>a</w:t>
            </w:r>
            <w:r w:rsidRPr="000721B8">
              <w:t xml:space="preserve"> Modernizācijas fonda noteikumu izstrāde nacionālā līmenī, t.sk. par atbalstāmajiem pasākumiem tiks uzsākti jau pēc </w:t>
            </w:r>
            <w:r w:rsidRPr="000721B8">
              <w:lastRenderedPageBreak/>
              <w:t>minētās īstenošanas regulas pirmā projekta saņemšanas no Eiropas Komisijas.</w:t>
            </w:r>
          </w:p>
        </w:tc>
        <w:tc>
          <w:tcPr>
            <w:tcW w:w="2385" w:type="dxa"/>
            <w:tcBorders>
              <w:top w:val="single" w:sz="4" w:space="0" w:color="auto"/>
              <w:left w:val="single" w:sz="4" w:space="0" w:color="auto"/>
              <w:bottom w:val="single" w:sz="4" w:space="0" w:color="auto"/>
            </w:tcBorders>
          </w:tcPr>
          <w:p w14:paraId="7CDAD6BE" w14:textId="1F0A5059" w:rsidR="0053526A" w:rsidRDefault="0053526A" w:rsidP="006C425E">
            <w:pPr>
              <w:jc w:val="both"/>
              <w:rPr>
                <w:b/>
              </w:rPr>
            </w:pPr>
            <w:r>
              <w:rPr>
                <w:b/>
              </w:rPr>
              <w:lastRenderedPageBreak/>
              <w:t>Informatīvais ziņojums</w:t>
            </w:r>
          </w:p>
        </w:tc>
      </w:tr>
      <w:tr w:rsidR="00592BE6" w:rsidRPr="00606385" w14:paraId="11FB374E" w14:textId="77777777" w:rsidTr="008B684E">
        <w:tc>
          <w:tcPr>
            <w:tcW w:w="534" w:type="dxa"/>
            <w:tcBorders>
              <w:top w:val="single" w:sz="6" w:space="0" w:color="000000"/>
              <w:left w:val="single" w:sz="6" w:space="0" w:color="000000"/>
              <w:bottom w:val="single" w:sz="6" w:space="0" w:color="000000"/>
              <w:right w:val="single" w:sz="6" w:space="0" w:color="000000"/>
            </w:tcBorders>
          </w:tcPr>
          <w:p w14:paraId="4F26C2A7" w14:textId="34BAA094" w:rsidR="00592BE6" w:rsidRDefault="00647941" w:rsidP="00647941">
            <w:r>
              <w:lastRenderedPageBreak/>
              <w:t>5.</w:t>
            </w:r>
          </w:p>
        </w:tc>
        <w:tc>
          <w:tcPr>
            <w:tcW w:w="2152" w:type="dxa"/>
            <w:tcBorders>
              <w:top w:val="single" w:sz="6" w:space="0" w:color="000000"/>
              <w:left w:val="single" w:sz="6" w:space="0" w:color="000000"/>
              <w:bottom w:val="single" w:sz="6" w:space="0" w:color="000000"/>
              <w:right w:val="single" w:sz="6" w:space="0" w:color="000000"/>
            </w:tcBorders>
          </w:tcPr>
          <w:p w14:paraId="1D065317" w14:textId="3401AAD8" w:rsidR="00592BE6" w:rsidRDefault="00592BE6"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6D85579E" w14:textId="77777777" w:rsidR="00592BE6" w:rsidRDefault="00592BE6" w:rsidP="00592BE6">
            <w:pPr>
              <w:pStyle w:val="ListParagraph"/>
              <w:widowControl w:val="0"/>
              <w:spacing w:after="0" w:line="240" w:lineRule="auto"/>
              <w:ind w:left="0"/>
              <w:jc w:val="center"/>
              <w:rPr>
                <w:rFonts w:ascii="Times New Roman" w:hAnsi="Times New Roman"/>
                <w:b/>
                <w:bCs/>
                <w:sz w:val="24"/>
                <w:szCs w:val="24"/>
                <w:lang w:val="lv-LV"/>
              </w:rPr>
            </w:pPr>
            <w:r>
              <w:rPr>
                <w:rFonts w:ascii="Times New Roman" w:hAnsi="Times New Roman"/>
                <w:b/>
                <w:bCs/>
                <w:sz w:val="24"/>
                <w:szCs w:val="24"/>
                <w:lang w:val="lv-LV"/>
              </w:rPr>
              <w:t>Ekonomikas ministrijas 02.09.2019 atzinums</w:t>
            </w:r>
          </w:p>
          <w:p w14:paraId="2F7F2FA7" w14:textId="77777777" w:rsidR="00592BE6" w:rsidRPr="00642B0A" w:rsidRDefault="00592BE6" w:rsidP="00592BE6">
            <w:pPr>
              <w:spacing w:before="120" w:after="120"/>
              <w:jc w:val="both"/>
            </w:pPr>
            <w:r w:rsidRPr="00642B0A">
              <w:rPr>
                <w:b/>
                <w:bCs/>
              </w:rPr>
              <w:t>Neatbalstām Informatīvā ziņojuma 1.rindkopu</w:t>
            </w:r>
            <w:r w:rsidRPr="00642B0A">
              <w:t>, kur ir noteikts, ka Informatīvais ziņojums ir sagatavots saskaņā ar Ministru kabineta 2019. gada 17. jūlija rīkojuma Nr. 381 3. punktu.</w:t>
            </w:r>
          </w:p>
          <w:p w14:paraId="3D53D8D5" w14:textId="77777777" w:rsidR="00592BE6" w:rsidRPr="00642B0A" w:rsidRDefault="00592BE6" w:rsidP="00592BE6">
            <w:pPr>
              <w:spacing w:before="120" w:after="120"/>
              <w:jc w:val="both"/>
            </w:pPr>
            <w:r w:rsidRPr="00642B0A">
              <w:t>Norādām, ka Informatīvais ziņojums un Protokollēmums ir sagatavots, pārkāpjot Ministru kabineta 2019.gada 17.jūlija rīkojuma Nr.381 “Par konceptuālo ziņojumu "Par bezmaksas emisijas kvotu piešķiršanu elektroenerģijas ražotājiem Eiropas Savienības emisiju tirdzniecības sistēmas 2021.–2030. gada periodā"” 3.punktu, jo VARAM Informatīvo ziņojuma un Protokollēmuma izstrādē neiesaistīja Ekonomikas ministriju, Satiksmes ministriju un Zemkopības ministriju, līdz ar to arī neievēroja nosacījumu par ministriju sadarbību.</w:t>
            </w:r>
          </w:p>
          <w:p w14:paraId="16AE6BB4" w14:textId="559876DE" w:rsidR="00592BE6" w:rsidRDefault="00592BE6" w:rsidP="00592BE6">
            <w:pPr>
              <w:spacing w:before="120" w:after="120"/>
              <w:jc w:val="both"/>
              <w:rPr>
                <w:b/>
              </w:rPr>
            </w:pPr>
            <w:r w:rsidRPr="00642B0A">
              <w:t>Līdz ar to norādām, ka Informatīvā ziņojuma 1.rindkopa ir attiecīgi jālabo, nosakot, ka VARAM sagatavoja Informatīvo ziņojumu vienpersoniski.</w:t>
            </w:r>
          </w:p>
        </w:tc>
        <w:tc>
          <w:tcPr>
            <w:tcW w:w="5103" w:type="dxa"/>
            <w:tcBorders>
              <w:top w:val="single" w:sz="6" w:space="0" w:color="000000"/>
              <w:left w:val="single" w:sz="6" w:space="0" w:color="000000"/>
              <w:bottom w:val="single" w:sz="6" w:space="0" w:color="000000"/>
              <w:right w:val="single" w:sz="6" w:space="0" w:color="000000"/>
            </w:tcBorders>
          </w:tcPr>
          <w:p w14:paraId="508E38F4" w14:textId="476CA22B" w:rsidR="00592BE6" w:rsidRPr="00A278BB" w:rsidRDefault="00592BE6" w:rsidP="00592BE6">
            <w:pPr>
              <w:jc w:val="center"/>
              <w:rPr>
                <w:b/>
                <w:lang w:eastAsia="x-none"/>
              </w:rPr>
            </w:pPr>
            <w:r>
              <w:rPr>
                <w:b/>
                <w:lang w:eastAsia="x-none"/>
              </w:rPr>
              <w:t>Ņ</w:t>
            </w:r>
            <w:r w:rsidRPr="00A278BB">
              <w:rPr>
                <w:b/>
                <w:lang w:eastAsia="x-none"/>
              </w:rPr>
              <w:t>emts</w:t>
            </w:r>
            <w:r>
              <w:rPr>
                <w:b/>
                <w:lang w:eastAsia="x-none"/>
              </w:rPr>
              <w:t xml:space="preserve"> </w:t>
            </w:r>
            <w:r w:rsidRPr="00A278BB">
              <w:rPr>
                <w:b/>
                <w:lang w:eastAsia="x-none"/>
              </w:rPr>
              <w:t>vērā</w:t>
            </w:r>
          </w:p>
          <w:p w14:paraId="7B2BCC71" w14:textId="77777777" w:rsidR="00592BE6" w:rsidRPr="00A278BB" w:rsidRDefault="00592BE6" w:rsidP="00592BE6">
            <w:pPr>
              <w:spacing w:before="120" w:after="120"/>
              <w:jc w:val="both"/>
            </w:pPr>
            <w:r w:rsidRPr="00A278BB">
              <w:t>Pr</w:t>
            </w:r>
            <w:r>
              <w:t>ecizēta informatīvā ziņojuma 1. </w:t>
            </w:r>
            <w:r w:rsidRPr="00A278BB">
              <w:t>rindkopa: “Informatīvais ziņojums ir sagatavots balstoties uz Ministru kabineta 2019.</w:t>
            </w:r>
            <w:r>
              <w:t> gada 17. jūlija rīkojuma Nr. </w:t>
            </w:r>
            <w:r w:rsidRPr="00A278BB">
              <w:t>381 3.</w:t>
            </w:r>
            <w:r>
              <w:t> </w:t>
            </w:r>
            <w:r w:rsidRPr="00A278BB">
              <w:t xml:space="preserve">punktu.” </w:t>
            </w:r>
          </w:p>
          <w:p w14:paraId="5A4F0927" w14:textId="77777777" w:rsidR="00592BE6" w:rsidRPr="00A278BB" w:rsidRDefault="00592BE6" w:rsidP="00592BE6">
            <w:pPr>
              <w:spacing w:before="120" w:after="120"/>
              <w:jc w:val="both"/>
            </w:pPr>
            <w:r w:rsidRPr="00A278BB">
              <w:t xml:space="preserve">Informatīvais ziņojums </w:t>
            </w:r>
            <w:r>
              <w:t>tika</w:t>
            </w:r>
            <w:r w:rsidRPr="00A278BB">
              <w:t xml:space="preserve"> izs</w:t>
            </w:r>
            <w:r>
              <w:t>ludināts 2019. </w:t>
            </w:r>
            <w:r w:rsidRPr="00A278BB">
              <w:t>gada 15.</w:t>
            </w:r>
            <w:r>
              <w:t> augustā v</w:t>
            </w:r>
            <w:r w:rsidRPr="00A278BB">
              <w:t>alsts sekretā</w:t>
            </w:r>
            <w:r>
              <w:t>ru sanāksmē un saskaņā ar 2009. gada 7. </w:t>
            </w:r>
            <w:r w:rsidRPr="00A278BB">
              <w:t>aprīļa Ministru kabineta noteikumu Nr. 300 “Ministru kabineta kārtības rullis” 88.</w:t>
            </w:r>
            <w:r>
              <w:t> </w:t>
            </w:r>
            <w:r w:rsidRPr="00A278BB">
              <w:t>punktu 10 darbadienu laikā saskaņošanā iesaistītajām institūcijām dota iespēja sniegt konstruktīvus priekšlikumus tādā veidā nodrošinot savu ieguldījumu Informatīvā ziņojuma un protokollēmuma izstrādē.</w:t>
            </w:r>
          </w:p>
          <w:p w14:paraId="3C66A3C5" w14:textId="77777777" w:rsidR="00592BE6" w:rsidRPr="00AA4B99" w:rsidRDefault="00592BE6" w:rsidP="008B684E">
            <w:pPr>
              <w:spacing w:before="120" w:after="120"/>
              <w:jc w:val="center"/>
              <w:rPr>
                <w:b/>
              </w:rPr>
            </w:pPr>
          </w:p>
        </w:tc>
        <w:tc>
          <w:tcPr>
            <w:tcW w:w="2385" w:type="dxa"/>
            <w:tcBorders>
              <w:top w:val="single" w:sz="4" w:space="0" w:color="auto"/>
              <w:left w:val="single" w:sz="4" w:space="0" w:color="auto"/>
              <w:bottom w:val="single" w:sz="4" w:space="0" w:color="auto"/>
            </w:tcBorders>
          </w:tcPr>
          <w:p w14:paraId="48A58C11" w14:textId="2D96302D" w:rsidR="00592BE6" w:rsidRDefault="00592BE6" w:rsidP="006C425E">
            <w:pPr>
              <w:jc w:val="both"/>
              <w:rPr>
                <w:b/>
              </w:rPr>
            </w:pPr>
            <w:r>
              <w:rPr>
                <w:b/>
              </w:rPr>
              <w:t>Informatīvais ziņojums</w:t>
            </w:r>
          </w:p>
        </w:tc>
      </w:tr>
      <w:tr w:rsidR="006C425E" w:rsidRPr="00606385" w14:paraId="50DC90DC" w14:textId="77777777" w:rsidTr="008B684E">
        <w:tc>
          <w:tcPr>
            <w:tcW w:w="534" w:type="dxa"/>
            <w:tcBorders>
              <w:top w:val="single" w:sz="6" w:space="0" w:color="000000"/>
              <w:left w:val="single" w:sz="6" w:space="0" w:color="000000"/>
              <w:bottom w:val="single" w:sz="6" w:space="0" w:color="000000"/>
              <w:right w:val="single" w:sz="6" w:space="0" w:color="000000"/>
            </w:tcBorders>
          </w:tcPr>
          <w:p w14:paraId="4840D68F" w14:textId="3D4EADB4" w:rsidR="006C425E" w:rsidRDefault="006C425E" w:rsidP="006C425E">
            <w:pPr>
              <w:pStyle w:val="naisc"/>
              <w:spacing w:before="0" w:after="0"/>
              <w:ind w:left="426"/>
              <w:jc w:val="left"/>
            </w:pPr>
            <w:r>
              <w:t>s</w:t>
            </w:r>
          </w:p>
          <w:p w14:paraId="58584FF8" w14:textId="361E1D2A" w:rsidR="006C425E" w:rsidRPr="002C7097" w:rsidRDefault="00EC1EBF" w:rsidP="006C425E">
            <w:r>
              <w:t>6.</w:t>
            </w:r>
          </w:p>
        </w:tc>
        <w:tc>
          <w:tcPr>
            <w:tcW w:w="2152" w:type="dxa"/>
            <w:tcBorders>
              <w:top w:val="single" w:sz="6" w:space="0" w:color="000000"/>
              <w:left w:val="single" w:sz="6" w:space="0" w:color="000000"/>
              <w:bottom w:val="single" w:sz="6" w:space="0" w:color="000000"/>
              <w:right w:val="single" w:sz="6" w:space="0" w:color="000000"/>
            </w:tcBorders>
          </w:tcPr>
          <w:p w14:paraId="7A7418BE" w14:textId="24560184" w:rsidR="006C425E" w:rsidRDefault="006C425E"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4B14CA99" w14:textId="16CF2322" w:rsidR="006C425E" w:rsidRDefault="006C425E" w:rsidP="00B902E9">
            <w:pPr>
              <w:jc w:val="center"/>
              <w:rPr>
                <w:b/>
              </w:rPr>
            </w:pPr>
            <w:r>
              <w:rPr>
                <w:b/>
              </w:rPr>
              <w:t>Ekonomikas ministrijas 02.09.19 atzinums.</w:t>
            </w:r>
          </w:p>
          <w:p w14:paraId="52E62756" w14:textId="32D17E7F" w:rsidR="006C425E" w:rsidRDefault="006C425E" w:rsidP="006C425E">
            <w:pPr>
              <w:jc w:val="both"/>
              <w:rPr>
                <w:b/>
              </w:rPr>
            </w:pPr>
            <w:r w:rsidRPr="00642B0A">
              <w:rPr>
                <w:b/>
                <w:bCs/>
              </w:rPr>
              <w:t xml:space="preserve">Lūgums detalizēti, argumentēti un ar atsaucēm papildināt Informatīvā </w:t>
            </w:r>
            <w:r w:rsidRPr="00642B0A">
              <w:rPr>
                <w:b/>
                <w:bCs/>
              </w:rPr>
              <w:lastRenderedPageBreak/>
              <w:t>ziņojuma 5.nodaļā iekļauto informāciju</w:t>
            </w:r>
            <w:r w:rsidRPr="00642B0A">
              <w:t>, jo šobrīd tajā iekļautā informācija ir vienpusēja un tendencioza.</w:t>
            </w:r>
          </w:p>
        </w:tc>
        <w:tc>
          <w:tcPr>
            <w:tcW w:w="5103" w:type="dxa"/>
            <w:tcBorders>
              <w:top w:val="single" w:sz="6" w:space="0" w:color="000000"/>
              <w:left w:val="single" w:sz="6" w:space="0" w:color="000000"/>
              <w:bottom w:val="single" w:sz="6" w:space="0" w:color="000000"/>
              <w:right w:val="single" w:sz="6" w:space="0" w:color="000000"/>
            </w:tcBorders>
          </w:tcPr>
          <w:p w14:paraId="78EC29A1" w14:textId="77777777" w:rsidR="008B684E" w:rsidRDefault="006C425E" w:rsidP="008B684E">
            <w:pPr>
              <w:spacing w:before="120" w:after="120"/>
              <w:jc w:val="center"/>
            </w:pPr>
            <w:r w:rsidRPr="00AA4B99">
              <w:rPr>
                <w:b/>
              </w:rPr>
              <w:lastRenderedPageBreak/>
              <w:t>Ņemts vērā</w:t>
            </w:r>
            <w:r w:rsidRPr="00AA4B99">
              <w:t>.</w:t>
            </w:r>
          </w:p>
          <w:p w14:paraId="32542EA7" w14:textId="5CB658C7" w:rsidR="006C425E" w:rsidRPr="00AA4B99" w:rsidRDefault="006C425E" w:rsidP="006C425E">
            <w:pPr>
              <w:spacing w:before="120" w:after="120"/>
            </w:pPr>
            <w:r w:rsidRPr="00AA4B99">
              <w:t>Precizēta 5. nodaļa</w:t>
            </w:r>
          </w:p>
          <w:p w14:paraId="627FE0E3" w14:textId="77777777" w:rsidR="006C425E" w:rsidRPr="00AA4B99" w:rsidRDefault="006C425E" w:rsidP="006C425E">
            <w:pPr>
              <w:jc w:val="both"/>
              <w:rPr>
                <w:b/>
                <w:lang w:eastAsia="x-none"/>
              </w:rPr>
            </w:pPr>
          </w:p>
        </w:tc>
        <w:tc>
          <w:tcPr>
            <w:tcW w:w="2385" w:type="dxa"/>
            <w:tcBorders>
              <w:top w:val="single" w:sz="4" w:space="0" w:color="auto"/>
              <w:left w:val="single" w:sz="4" w:space="0" w:color="auto"/>
              <w:bottom w:val="single" w:sz="4" w:space="0" w:color="auto"/>
            </w:tcBorders>
          </w:tcPr>
          <w:p w14:paraId="5EE34BB7" w14:textId="558407B2" w:rsidR="006C425E" w:rsidRPr="00494DFF" w:rsidRDefault="008B684E" w:rsidP="006C425E">
            <w:pPr>
              <w:jc w:val="both"/>
              <w:rPr>
                <w:color w:val="000000" w:themeColor="text1"/>
              </w:rPr>
            </w:pPr>
            <w:r>
              <w:rPr>
                <w:b/>
              </w:rPr>
              <w:t>Informatīvais ziņojums</w:t>
            </w:r>
          </w:p>
        </w:tc>
      </w:tr>
      <w:tr w:rsidR="00EC4256" w:rsidRPr="00606385" w14:paraId="62ABA65F"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DA58B66" w14:textId="3C5198BE" w:rsidR="00EC4256" w:rsidRDefault="00EC1EBF" w:rsidP="006C425E">
            <w:r>
              <w:t>7.</w:t>
            </w:r>
          </w:p>
        </w:tc>
        <w:tc>
          <w:tcPr>
            <w:tcW w:w="2152" w:type="dxa"/>
            <w:tcBorders>
              <w:top w:val="single" w:sz="6" w:space="0" w:color="000000"/>
              <w:left w:val="single" w:sz="6" w:space="0" w:color="000000"/>
              <w:bottom w:val="single" w:sz="6" w:space="0" w:color="000000"/>
              <w:right w:val="single" w:sz="6" w:space="0" w:color="000000"/>
            </w:tcBorders>
          </w:tcPr>
          <w:p w14:paraId="12E1AD36" w14:textId="44FA01D0" w:rsidR="00EC4256" w:rsidRDefault="00EC1EBF"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6E1A78E1" w14:textId="77777777" w:rsidR="00EC4256" w:rsidRDefault="00EC4256" w:rsidP="00EC4256">
            <w:pPr>
              <w:spacing w:before="120" w:after="120"/>
              <w:jc w:val="center"/>
              <w:rPr>
                <w:b/>
              </w:rPr>
            </w:pPr>
            <w:r>
              <w:rPr>
                <w:b/>
              </w:rPr>
              <w:t>Ekonomikas ministrijas 02.09.19 atzinums</w:t>
            </w:r>
          </w:p>
          <w:p w14:paraId="089C3EF0" w14:textId="77777777" w:rsidR="00EC4256" w:rsidRPr="00642B0A" w:rsidRDefault="00EC4256" w:rsidP="00EC4256">
            <w:pPr>
              <w:spacing w:before="120" w:after="120"/>
              <w:jc w:val="both"/>
            </w:pPr>
            <w:r w:rsidRPr="00642B0A">
              <w:rPr>
                <w:b/>
                <w:bCs/>
              </w:rPr>
              <w:t>Lūgums iekļaut pilnīgu informāciju par EKII darbības efektivitāti</w:t>
            </w:r>
            <w:r w:rsidRPr="00642B0A">
              <w:t xml:space="preserve"> un īpaši iekļaut Valsts kontroles revīzijas Nr. 2.4.1-16/2016 “Vai Vides aizsardzības un reģionālās attīstības ministrijas administrētie klimata pārmaiņu samazināšanai paredzētie līdzekļi tiek plānoti un izlietoti efektīvi un atbilstoši normatīvo aktu prasībām?”</w:t>
            </w:r>
            <w:r w:rsidRPr="00642B0A">
              <w:rPr>
                <w:rStyle w:val="FootnoteReference"/>
              </w:rPr>
              <w:footnoteReference w:id="7"/>
            </w:r>
            <w:r w:rsidRPr="00642B0A">
              <w:t xml:space="preserve"> (2017.gads), lai pamatotu to, vai tiešām EKII ir efektīvs instruments valstij noteikto saistošo mērķu sasniegšanai. Valsts kontroles revīzijas ziņojumā salīdzinot EKII un Klimata pārmaiņu finanšu instrumenta (turpmāk – KPFI) īstenošanas efektivitāti, tika secināts, ka EKII efektivitātes rādītājs ir vairāk nekā 35 reizes mazāks nekā KPFI efektivitātes rādītājs.</w:t>
            </w:r>
          </w:p>
          <w:p w14:paraId="6D271F94" w14:textId="77777777" w:rsidR="00EC4256" w:rsidRPr="00642B0A" w:rsidRDefault="00EC4256" w:rsidP="00EC4256">
            <w:pPr>
              <w:spacing w:before="120" w:after="120"/>
              <w:jc w:val="both"/>
            </w:pPr>
            <w:r w:rsidRPr="00642B0A">
              <w:t xml:space="preserve">Ņemot vērā VARAM izstrādātajā konceptuālajā ziņojumā “Par bezmaksas emisijas kvotu piešķiršanu elektroenerģijas ražotājiem Eiropas Savienības emisiju tirdzniecības sistēmas 2021. - 2030. gada periodā”, kas apstiprināts Ministru kabineta 2019.gada 16.jūlija sēdē (Ministru kabineta </w:t>
            </w:r>
            <w:r w:rsidRPr="00642B0A">
              <w:lastRenderedPageBreak/>
              <w:t>2019.gda 16.jūlija sēdes protokola Nr.33 75.§), iekļauto informāciju, šobrīd ir pamatotas šaubas par EKII kā efektīvu rīku valstij noteikto mērķu sasniegšanai. Ekonomikas ministrijas veiktais aprēķins uzrāda šādu SEG emisiju izmaksu efektivitāti EKII ietvaros īstenotajos projektos:</w:t>
            </w:r>
          </w:p>
          <w:p w14:paraId="10F358EB" w14:textId="77777777" w:rsidR="00EC4256" w:rsidRPr="00642B0A" w:rsidRDefault="00EC4256" w:rsidP="00EC4256">
            <w:pPr>
              <w:widowControl w:val="0"/>
              <w:numPr>
                <w:ilvl w:val="0"/>
                <w:numId w:val="31"/>
              </w:numPr>
              <w:spacing w:before="120" w:after="120"/>
              <w:ind w:left="343" w:hanging="230"/>
              <w:jc w:val="both"/>
            </w:pPr>
            <w:r w:rsidRPr="00642B0A">
              <w:t>“Siltumnīcefekta gāzu emisiju samazināšana valsts nozīmes aizsargājamos arhitektūras pieminekļos” – izmaksu efektivitāte 19 459,1 EUR uz tonnu CO</w:t>
            </w:r>
            <w:r w:rsidRPr="00642B0A">
              <w:rPr>
                <w:vertAlign w:val="subscript"/>
              </w:rPr>
              <w:t>2</w:t>
            </w:r>
            <w:r w:rsidRPr="00642B0A">
              <w:t xml:space="preserve"> emisiju;</w:t>
            </w:r>
          </w:p>
          <w:p w14:paraId="62A6F56D" w14:textId="77777777" w:rsidR="00EC4256" w:rsidRPr="00642B0A" w:rsidRDefault="00EC4256" w:rsidP="00EC4256">
            <w:pPr>
              <w:widowControl w:val="0"/>
              <w:numPr>
                <w:ilvl w:val="0"/>
                <w:numId w:val="31"/>
              </w:numPr>
              <w:spacing w:before="120" w:after="120"/>
              <w:ind w:left="343" w:hanging="230"/>
              <w:jc w:val="both"/>
            </w:pPr>
            <w:r w:rsidRPr="00642B0A">
              <w:t>“Siltumnīcefekta gāzu emisiju samazināšana – zema enerģijas patēriņa ēkas” – izmaksu efektivitāte 41 793,1 EUR uz tonnu CO</w:t>
            </w:r>
            <w:r w:rsidRPr="00642B0A">
              <w:rPr>
                <w:vertAlign w:val="subscript"/>
              </w:rPr>
              <w:t>2</w:t>
            </w:r>
            <w:r w:rsidRPr="00642B0A">
              <w:t xml:space="preserve"> emisiju;</w:t>
            </w:r>
          </w:p>
          <w:p w14:paraId="3A22506F" w14:textId="77777777" w:rsidR="00EC4256" w:rsidRPr="00642B0A" w:rsidRDefault="00EC4256" w:rsidP="00EC4256">
            <w:pPr>
              <w:widowControl w:val="0"/>
              <w:numPr>
                <w:ilvl w:val="0"/>
                <w:numId w:val="31"/>
              </w:numPr>
              <w:spacing w:before="120" w:after="120"/>
              <w:ind w:left="343" w:hanging="230"/>
              <w:jc w:val="both"/>
            </w:pPr>
            <w:r w:rsidRPr="00642B0A">
              <w:t>“Siltumnīcefekta gāzu emisiju samazināšana ar viedajām pilsētvides tehnoloģijām” – izmaksu efektivitāte 10 700,4 EUR uz tonnu CO</w:t>
            </w:r>
            <w:r w:rsidRPr="00642B0A">
              <w:rPr>
                <w:vertAlign w:val="subscript"/>
              </w:rPr>
              <w:t>2</w:t>
            </w:r>
            <w:r w:rsidRPr="00642B0A">
              <w:t xml:space="preserve"> emisiju.</w:t>
            </w:r>
          </w:p>
          <w:p w14:paraId="51747323" w14:textId="77777777" w:rsidR="00EC4256" w:rsidRDefault="00EC4256" w:rsidP="00EC4256">
            <w:pPr>
              <w:jc w:val="both"/>
            </w:pPr>
            <w:r w:rsidRPr="00642B0A">
              <w:t>Tāpat ir secināms, ka uz 2018.gadu EKII pieejamais finanšu līdzekļu apjoms ir apmēram 166,7 milj.EUR, bet EKII ietvaros īstenotajiem projektiem piešķirtais finansējums līdz 2018.gadam ir tikai 22,6 milj.EUR, kas rada šaubas par VARAM kapacitātes iespējām lietderīgam EKII līdzekļu izlietojumam.</w:t>
            </w:r>
          </w:p>
          <w:p w14:paraId="7B71E41F" w14:textId="77777777" w:rsidR="00EC4256" w:rsidRPr="00642B0A" w:rsidRDefault="00EC4256" w:rsidP="00EC4256">
            <w:pPr>
              <w:spacing w:before="120" w:after="120"/>
              <w:jc w:val="both"/>
            </w:pPr>
            <w:r w:rsidRPr="00642B0A">
              <w:t xml:space="preserve">Papildus ir jānorāda, ka saskaņā ar VARAM ministra J.Pūces 2019.gada </w:t>
            </w:r>
            <w:r w:rsidRPr="00642B0A">
              <w:lastRenderedPageBreak/>
              <w:t>7.maija Ministru kabineta sēdē pausto viedokli</w:t>
            </w:r>
            <w:r w:rsidRPr="00642B0A">
              <w:rPr>
                <w:rStyle w:val="FootnoteReference"/>
              </w:rPr>
              <w:footnoteReference w:id="8"/>
            </w:r>
            <w:r w:rsidRPr="00642B0A">
              <w:t>, EKII līdzekļi tiks izlietoti šādiem pasākumiem kā prioritātēm – tīro transportlīdzekļu veicināšana publiskajā sektorā, ieguldījumi tehnoloģijās, stimulējot klimata tehnoloģiju ražošanu</w:t>
            </w:r>
            <w:r w:rsidRPr="00642B0A">
              <w:rPr>
                <w:rStyle w:val="FootnoteReference"/>
              </w:rPr>
              <w:footnoteReference w:id="9"/>
            </w:r>
            <w:r w:rsidRPr="00642B0A">
              <w:t>, vai publiskā sektora būvniecības aktivitātes</w:t>
            </w:r>
            <w:r w:rsidRPr="00642B0A">
              <w:rPr>
                <w:rStyle w:val="FootnoteReference"/>
              </w:rPr>
              <w:footnoteReference w:id="10"/>
            </w:r>
            <w:r w:rsidRPr="00642B0A">
              <w:t>, koncentrējoties uz inovācijām, kā arī tika norādīts, ka netiks atbalstīti tādi pasākumi, kā energoefektivitātes uzlabošana ēkās.</w:t>
            </w:r>
          </w:p>
          <w:p w14:paraId="5B49745E" w14:textId="77777777" w:rsidR="00EC4256" w:rsidRPr="00642B0A" w:rsidRDefault="00EC4256" w:rsidP="00EC4256">
            <w:pPr>
              <w:spacing w:before="120" w:after="120"/>
              <w:jc w:val="both"/>
            </w:pPr>
            <w:r w:rsidRPr="00642B0A">
              <w:t>Līdz ar to norādām, ka Informatīvā ziņojuma 5.nodaļa ir būtiski papildināma, kā arī ir nepieciešams šajā nodaļā svītrot uzsvaru uz EKII priekšrocībām.</w:t>
            </w:r>
          </w:p>
          <w:p w14:paraId="76BEAC55" w14:textId="75F239B3" w:rsidR="00EC4256" w:rsidRDefault="00EC4256" w:rsidP="00EC4256">
            <w:pPr>
              <w:spacing w:before="120" w:after="120"/>
              <w:jc w:val="both"/>
              <w:rPr>
                <w:b/>
              </w:rPr>
            </w:pPr>
            <w:r w:rsidRPr="00642B0A">
              <w:t>Tāpat norādām, ka periodā no 2021.gada līdz 2030.gadam saskaņā ar Informatīvajā ziņojumā iekļauto informāciju VARAM no emisijas kvotu izsolīšanas būs pieejami līdz 490 milj. EUR</w:t>
            </w:r>
            <w:r w:rsidRPr="00642B0A">
              <w:rPr>
                <w:rStyle w:val="FootnoteReference"/>
              </w:rPr>
              <w:footnoteReference w:id="11"/>
            </w:r>
            <w:r w:rsidRPr="00642B0A">
              <w:t xml:space="preserve"> (vai 365 milj.EUR bez tā emisijas kvotu apjoma, kas būtu piešķiramas bez maksas elektroenerģijas ražotājiem). Papildus šim apjomam VARAM būs pieejams arī EKII pieejamais finanšu līdzekļu apjoms, kas netiks izlietots periodā līdz 2021.gadam (šobrīd EKII </w:t>
            </w:r>
            <w:r w:rsidRPr="00642B0A">
              <w:lastRenderedPageBreak/>
              <w:t>atlikums ir apmēram 120 milj.EUR</w:t>
            </w:r>
            <w:r w:rsidRPr="00642B0A">
              <w:rPr>
                <w:rStyle w:val="FootnoteReference"/>
              </w:rPr>
              <w:footnoteReference w:id="12"/>
            </w:r>
            <w:r w:rsidRPr="00642B0A">
              <w:t>), kā arī KPFII līdzekļu atlikums</w:t>
            </w:r>
            <w:r w:rsidRPr="00642B0A">
              <w:rPr>
                <w:rStyle w:val="FootnoteReference"/>
              </w:rPr>
              <w:footnoteReference w:id="13"/>
            </w:r>
            <w:r w:rsidRPr="00642B0A">
              <w:t xml:space="preserve">. Tātad ir secināms, ka </w:t>
            </w:r>
            <w:r w:rsidRPr="00642B0A">
              <w:rPr>
                <w:u w:val="single"/>
              </w:rPr>
              <w:t>jau šobrīd VARAM EKII ietvaros var rēķināties ar apmēram 610 milj.EUR (vai 485 milj.EUR bez tā emisijas kvotu apjoma, kas būtu piešķiramas bez maksas elektroenerģijas ražotājiem)</w:t>
            </w:r>
            <w:r w:rsidRPr="00642B0A">
              <w:t>, kas ir ievērojami lielāks finansējuma apjoms, kas Latvijai ir pieejams enerģētikas mērķu sasniegšanā. Ekonomikas ministrijai enerģētikas un energoefektivitātes mērķu sasniegšanai īstenojamiem pasākumiem periodā no 2014.gada līdz 2020.gadam ES fondu ietvaros ir pieejami 377 milj.EUR</w:t>
            </w:r>
            <w:r w:rsidRPr="00642B0A">
              <w:rPr>
                <w:rStyle w:val="FootnoteReference"/>
              </w:rPr>
              <w:footnoteReference w:id="14"/>
            </w:r>
            <w:r w:rsidRPr="00642B0A">
              <w:t>, un ir paredzams, ka periodā pēc 2021.gada šis apjoms būs mazāks.</w:t>
            </w:r>
          </w:p>
        </w:tc>
        <w:tc>
          <w:tcPr>
            <w:tcW w:w="5103" w:type="dxa"/>
            <w:tcBorders>
              <w:top w:val="single" w:sz="6" w:space="0" w:color="000000"/>
              <w:left w:val="single" w:sz="6" w:space="0" w:color="000000"/>
              <w:bottom w:val="single" w:sz="6" w:space="0" w:color="000000"/>
              <w:right w:val="single" w:sz="6" w:space="0" w:color="000000"/>
            </w:tcBorders>
          </w:tcPr>
          <w:p w14:paraId="1C636DF9" w14:textId="6601451C" w:rsidR="00EC4256" w:rsidRDefault="006135C1" w:rsidP="00EC4256">
            <w:pPr>
              <w:jc w:val="center"/>
              <w:rPr>
                <w:b/>
              </w:rPr>
            </w:pPr>
            <w:r>
              <w:rPr>
                <w:b/>
              </w:rPr>
              <w:lastRenderedPageBreak/>
              <w:t>Ņ</w:t>
            </w:r>
            <w:r w:rsidR="00EC4256">
              <w:rPr>
                <w:b/>
              </w:rPr>
              <w:t>emts vērā</w:t>
            </w:r>
          </w:p>
          <w:p w14:paraId="2D7EB104" w14:textId="77777777" w:rsidR="00EC4256" w:rsidRDefault="00EC4256" w:rsidP="00EC4256">
            <w:pPr>
              <w:jc w:val="both"/>
            </w:pPr>
          </w:p>
          <w:p w14:paraId="7059ABD6" w14:textId="77777777" w:rsidR="00EC4256" w:rsidRPr="00AA4B99" w:rsidRDefault="00EC4256" w:rsidP="00EC4256">
            <w:pPr>
              <w:jc w:val="both"/>
              <w:rPr>
                <w:b/>
              </w:rPr>
            </w:pPr>
            <w:r w:rsidRPr="00AA4B99">
              <w:t>Ir iekļauta informācija saistībā ar EKII darbības efektivitāti.</w:t>
            </w:r>
          </w:p>
          <w:p w14:paraId="3B221239" w14:textId="77777777" w:rsidR="00EC4256" w:rsidRDefault="00EC4256" w:rsidP="00EC4256">
            <w:pPr>
              <w:jc w:val="both"/>
            </w:pPr>
          </w:p>
          <w:p w14:paraId="2521FAB0" w14:textId="43F292AF" w:rsidR="00EC4256" w:rsidRPr="00AA4B99" w:rsidRDefault="00EC4256" w:rsidP="00EC4256">
            <w:pPr>
              <w:jc w:val="both"/>
            </w:pPr>
            <w:r>
              <w:t>VARAM sniedzot atbildi</w:t>
            </w:r>
            <w:r w:rsidRPr="00AA4B99">
              <w:t xml:space="preserve"> Valsts Kontrolei </w:t>
            </w:r>
            <w:r>
              <w:t xml:space="preserve">attiecībā uz veikto revīziju </w:t>
            </w:r>
            <w:r w:rsidRPr="00AA4B99">
              <w:t>un arī</w:t>
            </w:r>
            <w:r>
              <w:t xml:space="preserve"> kā tas tika </w:t>
            </w:r>
            <w:r w:rsidRPr="00AA4B99">
              <w:t xml:space="preserve">norādīts konceptuālā ziņojuma “Par konceptuālo ziņojumu "Par bezmaksas emisijas kvotu piešķiršanu elektroenerģijas ražotājiem Eiropas Savienības emisiju tirdzniecības sistēmas 2021.–2030. gada periodā"” saskaņošanas </w:t>
            </w:r>
            <w:r>
              <w:t>laikā</w:t>
            </w:r>
            <w:r w:rsidRPr="00AA4B99">
              <w:t>, ir būtiski ņemt vērā, ka par EKII efektivitāti nevar spriest tikai pēc, piemēram, iz</w:t>
            </w:r>
            <w:r>
              <w:t>lietotā</w:t>
            </w:r>
            <w:r w:rsidRPr="00AA4B99">
              <w:t xml:space="preserve"> EKII finansējuma </w:t>
            </w:r>
            <w:r w:rsidR="00543123" w:rsidRPr="00543123">
              <w:rPr>
                <w:i/>
              </w:rPr>
              <w:t>euro</w:t>
            </w:r>
            <w:r w:rsidRPr="00AA4B99">
              <w:rPr>
                <w:i/>
              </w:rPr>
              <w:t xml:space="preserve"> </w:t>
            </w:r>
            <w:r w:rsidRPr="00AA4B99">
              <w:t>pret sasniegtajiem CO</w:t>
            </w:r>
            <w:r w:rsidRPr="00AA4B99">
              <w:rPr>
                <w:vertAlign w:val="subscript"/>
              </w:rPr>
              <w:t>2</w:t>
            </w:r>
            <w:r w:rsidRPr="00AA4B99">
              <w:t xml:space="preserve"> tiešajiem emisijas samazinājumiem, jo būtiski ņemt vērā arī netiešos SEG emisiju samazinājumus, kas iespējami dēļ projektu demonstrācijas, inovācijas un multiplikatīvā efekta. Tas ir sevišķi svarīgi, jo klimata politikas mērķu sasniegšanai nepieciešamas pakāpeniskas, visaptverošas un būtiskas izmaiņas tautsaimniecībā un iedzīvotāju dzīvesveidā un to nav iespējams panākt tikai līdzfinansējot atsevišķus projektus. Papildus jānorāda, ka EKII ieļautie konkursi var būt ar ļoti atšķirīgiem īstenošanas nosacījumiem un pat viena konkursa ietvaros esošie projekti var būt ar būtiski atšķirīgiem raksturlielumiem. EKII konkursos </w:t>
            </w:r>
            <w:r w:rsidRPr="00AA4B99">
              <w:lastRenderedPageBreak/>
              <w:t xml:space="preserve">atbalstāmās aktivitātes, kritēriji, rezultatīvie rādītāji un citi nosacījumi ir atrunāti EKII konkursu nolikumos, kas saskaņoti un apstiprināti kā MK noteikumi. </w:t>
            </w:r>
          </w:p>
          <w:p w14:paraId="239AED95" w14:textId="77777777" w:rsidR="00EC4256" w:rsidRDefault="00EC4256" w:rsidP="00EC4256">
            <w:pPr>
              <w:jc w:val="both"/>
            </w:pPr>
          </w:p>
          <w:p w14:paraId="09993716" w14:textId="1C8CAF0A" w:rsidR="00EC4256" w:rsidRPr="00AA4B99" w:rsidRDefault="00EC4256" w:rsidP="00EC4256">
            <w:pPr>
              <w:jc w:val="both"/>
            </w:pPr>
            <w:r w:rsidRPr="00AA4B99">
              <w:t>VARAM apstiprina, ka uz 2018. gada beigām kopējie ieņ</w:t>
            </w:r>
            <w:r>
              <w:t>ēmumi no emisijas kvotu izsolēm</w:t>
            </w:r>
            <w:r w:rsidRPr="00AA4B99">
              <w:t xml:space="preserve"> bija 166,7 milj. </w:t>
            </w:r>
            <w:r w:rsidR="00543123" w:rsidRPr="00543123">
              <w:rPr>
                <w:i/>
              </w:rPr>
              <w:t>euro</w:t>
            </w:r>
            <w:r>
              <w:t>. Tomēr jāņem vērā</w:t>
            </w:r>
            <w:r w:rsidRPr="00AA4B99">
              <w:t xml:space="preserve">, ka 60,66 </w:t>
            </w:r>
            <w:r>
              <w:t xml:space="preserve">milj. </w:t>
            </w:r>
            <w:r w:rsidR="00543123" w:rsidRPr="00543123">
              <w:rPr>
                <w:i/>
              </w:rPr>
              <w:t>euro</w:t>
            </w:r>
            <w:r>
              <w:t xml:space="preserve"> tika gūti tikai 2018. </w:t>
            </w:r>
            <w:r w:rsidRPr="00AA4B99">
              <w:t>gada novembra vidū no emisijas kvotu realizācijas sekundārajā tirgū</w:t>
            </w:r>
            <w:r>
              <w:t>, kas bija vienreizējs darījums. Jāuzsver, ka līdz 2018. gadam finansējuma apjoms</w:t>
            </w:r>
            <w:r w:rsidRPr="00AA4B99">
              <w:t xml:space="preserve"> </w:t>
            </w:r>
            <w:r>
              <w:t xml:space="preserve">EKII ietvaros palielinājās </w:t>
            </w:r>
            <w:r w:rsidRPr="00AA4B99">
              <w:t>salīdzinoši lēni un bija jāakumulē</w:t>
            </w:r>
            <w:r>
              <w:t xml:space="preserve"> (jāuzkrāj)</w:t>
            </w:r>
            <w:r w:rsidRPr="00AA4B99">
              <w:t>, lai varētu realizēt projektu konkursus</w:t>
            </w:r>
            <w:r>
              <w:t xml:space="preserve">. Emisijas kvotas </w:t>
            </w:r>
            <w:r w:rsidRPr="00AA4B99">
              <w:t>gada vidējā cena laika periodā no 2012. gada no</w:t>
            </w:r>
            <w:r>
              <w:t>vembra līdz 2017. </w:t>
            </w:r>
            <w:r w:rsidRPr="00AA4B99">
              <w:t>gada beigām svārst</w:t>
            </w:r>
            <w:r>
              <w:t>ī</w:t>
            </w:r>
            <w:r w:rsidRPr="00AA4B99">
              <w:t xml:space="preserve">jās no 4,40 </w:t>
            </w:r>
            <w:r w:rsidR="00543123" w:rsidRPr="00543123">
              <w:rPr>
                <w:i/>
              </w:rPr>
              <w:t>euro</w:t>
            </w:r>
            <w:r w:rsidRPr="00AA4B99">
              <w:t xml:space="preserve"> līdz 7,63 </w:t>
            </w:r>
            <w:r w:rsidR="00543123" w:rsidRPr="00543123">
              <w:rPr>
                <w:i/>
              </w:rPr>
              <w:t>euro</w:t>
            </w:r>
            <w:r w:rsidRPr="00AA4B99">
              <w:t>, tādejādi ša</w:t>
            </w:r>
            <w:r>
              <w:t>jā laika periodā tika gūti</w:t>
            </w:r>
            <w:r w:rsidRPr="00AA4B99">
              <w:t xml:space="preserve"> 65,33 milj </w:t>
            </w:r>
            <w:r w:rsidR="00543123" w:rsidRPr="00543123">
              <w:rPr>
                <w:i/>
              </w:rPr>
              <w:t>euro</w:t>
            </w:r>
            <w:r w:rsidRPr="00AA4B99">
              <w:t>. 2018.</w:t>
            </w:r>
            <w:r>
              <w:t> </w:t>
            </w:r>
            <w:r w:rsidRPr="00AA4B99">
              <w:t xml:space="preserve">gadā uzsākās straujš emisijas kvotu cenu kāpums kas arī nodrošināja izsoļu ieņēmumus primārajā tirgū ~40,69 milj. </w:t>
            </w:r>
            <w:r w:rsidR="00543123" w:rsidRPr="00543123">
              <w:rPr>
                <w:i/>
              </w:rPr>
              <w:t>euro</w:t>
            </w:r>
            <w:r w:rsidRPr="00AA4B99">
              <w:t xml:space="preserve"> apmērā</w:t>
            </w:r>
            <w:r>
              <w:t>.</w:t>
            </w:r>
            <w:r w:rsidRPr="00AA4B99">
              <w:t xml:space="preserve"> Līdz ar to vien</w:t>
            </w:r>
            <w:r>
              <w:t>a gada laikā -</w:t>
            </w:r>
            <w:r w:rsidRPr="00AA4B99">
              <w:t xml:space="preserve"> 2018. gadā </w:t>
            </w:r>
            <w:r>
              <w:t xml:space="preserve">- </w:t>
            </w:r>
            <w:r w:rsidRPr="00AA4B99">
              <w:t>tika gūts 1,55 reizes vairāk ieņēmumu nekā iepriekšējos piecos gados un divos mēnešos</w:t>
            </w:r>
            <w:r>
              <w:t xml:space="preserve"> kopā</w:t>
            </w:r>
            <w:r w:rsidRPr="00AA4B99">
              <w:t>. EKII</w:t>
            </w:r>
            <w:r>
              <w:t xml:space="preserve"> ietvaros notiek 4 projektu konkursu īstenošana</w:t>
            </w:r>
            <w:r w:rsidRPr="00AA4B99">
              <w:t xml:space="preserve"> par projektu realizāciju 49,76 milj. </w:t>
            </w:r>
            <w:r w:rsidR="00543123" w:rsidRPr="00543123">
              <w:rPr>
                <w:i/>
              </w:rPr>
              <w:t>euro</w:t>
            </w:r>
            <w:r w:rsidRPr="00AA4B99">
              <w:t xml:space="preserve"> apmērā</w:t>
            </w:r>
            <w:r>
              <w:t>.</w:t>
            </w:r>
            <w:r w:rsidRPr="00AA4B99">
              <w:t xml:space="preserve"> </w:t>
            </w:r>
            <w:r>
              <w:t>Papildus tam VARAM izstrādā</w:t>
            </w:r>
            <w:r w:rsidRPr="00AA4B99">
              <w:t xml:space="preserve"> </w:t>
            </w:r>
            <w:r>
              <w:t>nākamo</w:t>
            </w:r>
            <w:r w:rsidRPr="00AA4B99">
              <w:t xml:space="preserve"> EKII projektu konkurs</w:t>
            </w:r>
            <w:r>
              <w:t>u, kura starpministriju saskaņošana plānota tuvāko mēnešu laikā.</w:t>
            </w:r>
            <w:r w:rsidRPr="00AA4B99">
              <w:t xml:space="preserve"> Ņemot vērā iepriekš minēto nav pamat</w:t>
            </w:r>
            <w:r>
              <w:t>s</w:t>
            </w:r>
            <w:r w:rsidRPr="00AA4B99">
              <w:t xml:space="preserve"> uzskatīt, ka </w:t>
            </w:r>
            <w:r>
              <w:t xml:space="preserve">būtu kapacitātes trūkums </w:t>
            </w:r>
            <w:r w:rsidRPr="00AA4B99">
              <w:t>EKII finanšu instrumenta līdzekļu apguvei un administrēšanai.</w:t>
            </w:r>
          </w:p>
          <w:p w14:paraId="55E3052F" w14:textId="77777777" w:rsidR="00EC4256" w:rsidRPr="00AA4B99" w:rsidRDefault="00EC4256" w:rsidP="00EC4256">
            <w:pPr>
              <w:spacing w:before="120" w:after="120"/>
              <w:jc w:val="both"/>
            </w:pPr>
            <w:r w:rsidRPr="00AA4B99">
              <w:t xml:space="preserve">VARAM informē, ka šobrīd norisinās darbs pie EKII darbības stratēģijas atjaunošanas, kas tiks </w:t>
            </w:r>
            <w:r w:rsidRPr="00AA4B99">
              <w:lastRenderedPageBreak/>
              <w:t xml:space="preserve">skaņota ar ministrijām un virzīta apstiprināšanai MK. </w:t>
            </w:r>
            <w:r>
              <w:t xml:space="preserve">EKII darbības </w:t>
            </w:r>
            <w:r w:rsidRPr="00AA4B99">
              <w:t xml:space="preserve">stratēģijā būs identificēti </w:t>
            </w:r>
            <w:r>
              <w:t>prioritārie</w:t>
            </w:r>
            <w:r w:rsidRPr="00AA4B99">
              <w:t xml:space="preserve"> investīciju virzieni, turklāt </w:t>
            </w:r>
            <w:r>
              <w:t>tiek izvērtēta</w:t>
            </w:r>
            <w:r w:rsidRPr="00AA4B99">
              <w:t xml:space="preserve"> </w:t>
            </w:r>
            <w:r>
              <w:t>iespēja par</w:t>
            </w:r>
            <w:r w:rsidRPr="00AA4B99">
              <w:t xml:space="preserve"> līdzekļu izlietošanas optimizēšanu, t.sk. potenciālu papildus jaunu finansēšanas mehānismu ieviešanu EKII finanšu instrumenta ietvaros.</w:t>
            </w:r>
          </w:p>
          <w:p w14:paraId="014AACC7" w14:textId="77777777" w:rsidR="00EC4256" w:rsidRPr="00AA4B99" w:rsidRDefault="00EC4256" w:rsidP="00EC4256">
            <w:pPr>
              <w:spacing w:before="120" w:after="120"/>
              <w:jc w:val="both"/>
              <w:rPr>
                <w:bCs/>
              </w:rPr>
            </w:pPr>
            <w:r w:rsidRPr="00AA4B99">
              <w:rPr>
                <w:bCs/>
              </w:rPr>
              <w:t xml:space="preserve">Vēršam Ekonomikas ministrijas uzmanību, ka nav korekti salīdzināt finansējuma apmērus vienā gadījumā (EKII) skaitot klāt esošā perioda </w:t>
            </w:r>
            <w:r>
              <w:rPr>
                <w:bCs/>
              </w:rPr>
              <w:t>neizmantotos</w:t>
            </w:r>
            <w:r w:rsidRPr="00AA4B99">
              <w:rPr>
                <w:bCs/>
              </w:rPr>
              <w:t xml:space="preserve"> ieņēmumus ar ieņēmumiem, kas tiks gūti periodā 2021</w:t>
            </w:r>
            <w:r>
              <w:rPr>
                <w:bCs/>
              </w:rPr>
              <w:t>.</w:t>
            </w:r>
            <w:r w:rsidRPr="00AA4B99">
              <w:rPr>
                <w:bCs/>
              </w:rPr>
              <w:t>-2030</w:t>
            </w:r>
            <w:r>
              <w:rPr>
                <w:bCs/>
              </w:rPr>
              <w:t>.gadā</w:t>
            </w:r>
            <w:r w:rsidRPr="00AA4B99">
              <w:rPr>
                <w:bCs/>
              </w:rPr>
              <w:t>, savukārt, otrā gadījumā (Ekonomikas ministrijai pieejamo līdzekļu apmēru) izdalot periodus atsevišķi (turklāt periodi ir īsāki). Turklāt jāņem vērā, ka nākošais ES daudzgadu budžeta ietvars ir no 2021</w:t>
            </w:r>
            <w:r>
              <w:rPr>
                <w:bCs/>
              </w:rPr>
              <w:t>.</w:t>
            </w:r>
            <w:r w:rsidRPr="00AA4B99">
              <w:rPr>
                <w:bCs/>
              </w:rPr>
              <w:t>-2027.</w:t>
            </w:r>
            <w:r>
              <w:rPr>
                <w:bCs/>
              </w:rPr>
              <w:t> </w:t>
            </w:r>
            <w:r w:rsidRPr="00AA4B99">
              <w:rPr>
                <w:bCs/>
              </w:rPr>
              <w:t>gadam, savukārt ES ETS 4.</w:t>
            </w:r>
            <w:r>
              <w:rPr>
                <w:bCs/>
              </w:rPr>
              <w:t> </w:t>
            </w:r>
            <w:r w:rsidRPr="00AA4B99">
              <w:rPr>
                <w:bCs/>
              </w:rPr>
              <w:t>periods ir no 2021</w:t>
            </w:r>
            <w:r>
              <w:rPr>
                <w:bCs/>
              </w:rPr>
              <w:t>.</w:t>
            </w:r>
            <w:r w:rsidRPr="00AA4B99">
              <w:rPr>
                <w:bCs/>
              </w:rPr>
              <w:t>-2030.</w:t>
            </w:r>
            <w:r>
              <w:rPr>
                <w:bCs/>
              </w:rPr>
              <w:t> </w:t>
            </w:r>
            <w:r w:rsidRPr="00AA4B99">
              <w:rPr>
                <w:bCs/>
              </w:rPr>
              <w:t xml:space="preserve">gadam. </w:t>
            </w:r>
          </w:p>
          <w:p w14:paraId="28D2F376" w14:textId="4EC34EB2" w:rsidR="00EC4256" w:rsidRPr="00AA4B99" w:rsidRDefault="00EC4256" w:rsidP="00EC4256">
            <w:pPr>
              <w:spacing w:before="120" w:after="120"/>
              <w:jc w:val="both"/>
              <w:rPr>
                <w:bCs/>
              </w:rPr>
            </w:pPr>
            <w:r w:rsidRPr="00AA4B99">
              <w:rPr>
                <w:bCs/>
              </w:rPr>
              <w:t>Informatīvajā ziņojumā pieejamais finansējums Modernizācijas fondam un arī EKII laika periodam 2021</w:t>
            </w:r>
            <w:r>
              <w:rPr>
                <w:bCs/>
              </w:rPr>
              <w:t>.</w:t>
            </w:r>
            <w:r w:rsidRPr="00AA4B99">
              <w:rPr>
                <w:bCs/>
              </w:rPr>
              <w:t>-2030.</w:t>
            </w:r>
            <w:r>
              <w:rPr>
                <w:bCs/>
              </w:rPr>
              <w:t> </w:t>
            </w:r>
            <w:r w:rsidRPr="00AA4B99">
              <w:rPr>
                <w:bCs/>
              </w:rPr>
              <w:t xml:space="preserve">gadam ir tikai indikatīvs un balstīts uz esošajām emisijas kvotu cenu prognozēm 25-30,5 </w:t>
            </w:r>
            <w:r w:rsidR="00543123" w:rsidRPr="00543123">
              <w:rPr>
                <w:bCs/>
                <w:i/>
              </w:rPr>
              <w:t>euro</w:t>
            </w:r>
            <w:r w:rsidRPr="00AA4B99">
              <w:rPr>
                <w:bCs/>
              </w:rPr>
              <w:t xml:space="preserve"> par vienu emisijas kvotu. Saskaņā ar informatīvā ziņojuma attēlā Nr.</w:t>
            </w:r>
            <w:r>
              <w:rPr>
                <w:bCs/>
              </w:rPr>
              <w:t> </w:t>
            </w:r>
            <w:r w:rsidRPr="00AA4B99">
              <w:rPr>
                <w:bCs/>
              </w:rPr>
              <w:t>4.</w:t>
            </w:r>
            <w:r>
              <w:rPr>
                <w:bCs/>
              </w:rPr>
              <w:t xml:space="preserve"> sniegto informāciju</w:t>
            </w:r>
            <w:r w:rsidRPr="00AA4B99">
              <w:rPr>
                <w:bCs/>
              </w:rPr>
              <w:t xml:space="preserve"> bāzes scenārijā visā periodā EKII ieņēmumi varētu būt no 401,67 līdz 490,04 milj. </w:t>
            </w:r>
            <w:r w:rsidR="00543123" w:rsidRPr="00543123">
              <w:rPr>
                <w:bCs/>
                <w:i/>
              </w:rPr>
              <w:t>euro</w:t>
            </w:r>
            <w:r w:rsidRPr="00AA4B99">
              <w:rPr>
                <w:bCs/>
              </w:rPr>
              <w:t xml:space="preserve">, taču ir jāņem vērā, ka norādītās emisijas kvotu ieņēmumu prognozes faktiski varētu arī </w:t>
            </w:r>
            <w:r w:rsidRPr="00AA4B99">
              <w:rPr>
                <w:bCs/>
              </w:rPr>
              <w:lastRenderedPageBreak/>
              <w:t xml:space="preserve">nepiepildīties gadījumā, ja cena noslīd zemāk par 25 </w:t>
            </w:r>
            <w:r w:rsidR="00543123" w:rsidRPr="00543123">
              <w:rPr>
                <w:bCs/>
                <w:i/>
              </w:rPr>
              <w:t>euro</w:t>
            </w:r>
            <w:r w:rsidRPr="00AA4B99">
              <w:rPr>
                <w:bCs/>
              </w:rPr>
              <w:t xml:space="preserve">, kas ir iespējams brīvā tirgus apstākļos. Ja modelē ieņēmumu apjomus ņemot vērā potenciālās </w:t>
            </w:r>
            <w:r>
              <w:rPr>
                <w:bCs/>
              </w:rPr>
              <w:t>emisijas kvotu</w:t>
            </w:r>
            <w:r w:rsidRPr="00AA4B99">
              <w:rPr>
                <w:bCs/>
              </w:rPr>
              <w:t xml:space="preserve"> cenu prognozes laika rindā un ikgadējo tirgus stabilitātes ietekmi uz emisijas kvotu izsolēm (kā tas ir darīts veidojot grafiku informatīvā ziņojuma attēlā Nr.</w:t>
            </w:r>
            <w:r>
              <w:rPr>
                <w:bCs/>
              </w:rPr>
              <w:t> </w:t>
            </w:r>
            <w:r w:rsidRPr="00AA4B99">
              <w:rPr>
                <w:bCs/>
              </w:rPr>
              <w:t xml:space="preserve">5), tad kopējie EKII ieņēmumi laika periodam varētu būt ~470 </w:t>
            </w:r>
            <w:r w:rsidR="00543123" w:rsidRPr="00543123">
              <w:rPr>
                <w:bCs/>
                <w:i/>
              </w:rPr>
              <w:t>euro</w:t>
            </w:r>
            <w:r>
              <w:rPr>
                <w:bCs/>
              </w:rPr>
              <w:t>.</w:t>
            </w:r>
            <w:r w:rsidRPr="00AA4B99">
              <w:rPr>
                <w:bCs/>
              </w:rPr>
              <w:t xml:space="preserve"> </w:t>
            </w:r>
            <w:r>
              <w:rPr>
                <w:bCs/>
              </w:rPr>
              <w:t>T</w:t>
            </w:r>
            <w:r w:rsidRPr="00AA4B99">
              <w:rPr>
                <w:bCs/>
              </w:rPr>
              <w:t>aču jāņem vērā, ka tā ir summa nākotnes cenu vērtībā (</w:t>
            </w:r>
            <w:r w:rsidRPr="00AA4B99">
              <w:rPr>
                <w:bCs/>
                <w:i/>
              </w:rPr>
              <w:t>future value</w:t>
            </w:r>
            <w:r w:rsidRPr="00AA4B99">
              <w:rPr>
                <w:bCs/>
              </w:rPr>
              <w:t>), diskontējot šos ieņēmumus un rēķinot pašreizējo neto vērtību (</w:t>
            </w:r>
            <w:r w:rsidRPr="00AA4B99">
              <w:rPr>
                <w:bCs/>
                <w:i/>
              </w:rPr>
              <w:t>net present value</w:t>
            </w:r>
            <w:r w:rsidRPr="00AA4B99">
              <w:rPr>
                <w:bCs/>
              </w:rPr>
              <w:t xml:space="preserve"> - NPV) EKII ieņēmumiem tā būtu ievērojami zemāk, piemēram, pie reālās finanšu diskonta likmes 4%, laika periodā no 2021</w:t>
            </w:r>
            <w:r>
              <w:rPr>
                <w:bCs/>
              </w:rPr>
              <w:t>.</w:t>
            </w:r>
            <w:r w:rsidRPr="00AA4B99">
              <w:rPr>
                <w:bCs/>
              </w:rPr>
              <w:t>-2030.</w:t>
            </w:r>
            <w:r>
              <w:rPr>
                <w:bCs/>
              </w:rPr>
              <w:t> </w:t>
            </w:r>
            <w:r w:rsidRPr="00AA4B99">
              <w:rPr>
                <w:bCs/>
              </w:rPr>
              <w:t xml:space="preserve">gadam, NPV būs tikai 372 milj. </w:t>
            </w:r>
            <w:r w:rsidR="00543123" w:rsidRPr="00543123">
              <w:rPr>
                <w:bCs/>
                <w:i/>
              </w:rPr>
              <w:t>euro</w:t>
            </w:r>
            <w:r w:rsidRPr="00AA4B99">
              <w:rPr>
                <w:bCs/>
              </w:rPr>
              <w:t>.</w:t>
            </w:r>
          </w:p>
          <w:p w14:paraId="0BE6302B" w14:textId="57E20E49" w:rsidR="00EC4256" w:rsidRPr="00A47347" w:rsidRDefault="00EC4256" w:rsidP="00EC4256">
            <w:pPr>
              <w:spacing w:before="120" w:after="120"/>
              <w:jc w:val="both"/>
              <w:rPr>
                <w:b/>
                <w:bCs/>
              </w:rPr>
            </w:pPr>
            <w:r w:rsidRPr="00AA4B99">
              <w:rPr>
                <w:bCs/>
              </w:rPr>
              <w:t>Vēlamies norādīt, ka uz Informatīvā ziņojuma izstrādes brīdi ES fondiem nav iespējams precīzi nosaukt finansējuma apmēru un atbalstāmās nozares, kā arī atbalsta nosacījumus periodam pēc 2020.</w:t>
            </w:r>
            <w:r>
              <w:rPr>
                <w:bCs/>
              </w:rPr>
              <w:t> </w:t>
            </w:r>
            <w:r w:rsidRPr="00AA4B99">
              <w:rPr>
                <w:bCs/>
              </w:rPr>
              <w:t>gada, jo diskusijas par ES daudzgadu budžeta ietvaru 2021</w:t>
            </w:r>
            <w:r>
              <w:rPr>
                <w:bCs/>
              </w:rPr>
              <w:t>.</w:t>
            </w:r>
            <w:r w:rsidRPr="00AA4B99">
              <w:rPr>
                <w:bCs/>
              </w:rPr>
              <w:t xml:space="preserve">-2027.gadam nav noslēgušās. Ņemot vērā, ka Kohēzijas fonda un ERAF specifiskā mērķa: ““Zaļāka Eiropa ar zemu oglekļa saturu, veicinot tīras un godīgas enerģijas pāreju, videi draudzīgas un zilas investīcijas, aprites ekonomiku, pielāgošanos klimatam un risku novēršanu un pārvaldību (“PO2” mērķis) pirmie divi apakšmērķi ir energoefektivitātes un </w:t>
            </w:r>
            <w:r w:rsidRPr="00AA4B99">
              <w:rPr>
                <w:bCs/>
              </w:rPr>
              <w:lastRenderedPageBreak/>
              <w:t>atjaunojamo energoresursu veicināšana</w:t>
            </w:r>
            <w:r w:rsidRPr="00AA4B99">
              <w:rPr>
                <w:rStyle w:val="FootnoteReference"/>
                <w:bCs/>
              </w:rPr>
              <w:footnoteReference w:id="15"/>
            </w:r>
            <w:r w:rsidRPr="00AA4B99">
              <w:rPr>
                <w:bCs/>
              </w:rPr>
              <w:t>, tad pastāv iespēja, ka finansējums nākošajā daudzgadu budžeta ietvarā energoefektivitātes un atjaunojamo energoresursu pasākumiem varētu būt pat lielāks nekā iepriekšējā periodā. Ja Daudzgadu budžeta ietvarā 2021</w:t>
            </w:r>
            <w:r>
              <w:rPr>
                <w:bCs/>
              </w:rPr>
              <w:t>.</w:t>
            </w:r>
            <w:r w:rsidRPr="00AA4B99">
              <w:rPr>
                <w:bCs/>
              </w:rPr>
              <w:t>-2027.</w:t>
            </w:r>
            <w:r>
              <w:rPr>
                <w:bCs/>
              </w:rPr>
              <w:t> </w:t>
            </w:r>
            <w:r w:rsidRPr="00AA4B99">
              <w:rPr>
                <w:bCs/>
              </w:rPr>
              <w:t xml:space="preserve">gadam Latvijai Kohēzijas fondam, ERAF un ESF kopā tiks piešķirts 4,789 miljardi </w:t>
            </w:r>
            <w:r w:rsidR="00543123" w:rsidRPr="00543123">
              <w:rPr>
                <w:bCs/>
                <w:i/>
              </w:rPr>
              <w:t>euro</w:t>
            </w:r>
            <w:r w:rsidRPr="00AA4B99">
              <w:rPr>
                <w:bCs/>
              </w:rPr>
              <w:t xml:space="preserve"> un 30%</w:t>
            </w:r>
            <w:r w:rsidRPr="00AA4B99">
              <w:rPr>
                <w:rStyle w:val="FootnoteReference"/>
                <w:bCs/>
              </w:rPr>
              <w:footnoteReference w:id="16"/>
            </w:r>
            <w:r w:rsidRPr="00AA4B99">
              <w:rPr>
                <w:bCs/>
              </w:rPr>
              <w:t xml:space="preserve"> tiktu novirzīti PO2 mērķim, tad naudas izteiksmē PO2 mērķim būtu ~1,44 miljardi </w:t>
            </w:r>
            <w:r w:rsidR="00543123" w:rsidRPr="00543123">
              <w:rPr>
                <w:bCs/>
                <w:i/>
              </w:rPr>
              <w:t>euro</w:t>
            </w:r>
            <w:r w:rsidRPr="00AA4B99">
              <w:rPr>
                <w:bCs/>
              </w:rPr>
              <w:t xml:space="preserve">. Pieņemot, ka tikai 28,5% (proporcionāli kā 2 no 7 apakšmērķiem) no PO2 mērķim potenciāli pieejamā finansējuma tiktu novirzīti tikai energoefektivitātei un atjaunojamo energoresursu veicināšanai, tad tie būtu 410 milj. </w:t>
            </w:r>
            <w:r w:rsidR="00543123" w:rsidRPr="00543123">
              <w:rPr>
                <w:bCs/>
                <w:i/>
              </w:rPr>
              <w:t>euro</w:t>
            </w:r>
            <w:r w:rsidRPr="00AA4B99">
              <w:rPr>
                <w:bCs/>
              </w:rPr>
              <w:t>. (un tas būtu tikai plānošanas periodam no 2021</w:t>
            </w:r>
            <w:r>
              <w:rPr>
                <w:bCs/>
              </w:rPr>
              <w:t>.</w:t>
            </w:r>
            <w:r w:rsidRPr="00AA4B99">
              <w:rPr>
                <w:bCs/>
              </w:rPr>
              <w:t>-2027.</w:t>
            </w:r>
            <w:r>
              <w:rPr>
                <w:bCs/>
              </w:rPr>
              <w:t> </w:t>
            </w:r>
            <w:r w:rsidRPr="00AA4B99">
              <w:rPr>
                <w:bCs/>
              </w:rPr>
              <w:t>gadam, neņemot vērā arī pieejamo finansējumu, kāds tas pēc 2027. gada.)</w:t>
            </w:r>
          </w:p>
        </w:tc>
        <w:tc>
          <w:tcPr>
            <w:tcW w:w="2385" w:type="dxa"/>
            <w:tcBorders>
              <w:top w:val="single" w:sz="4" w:space="0" w:color="auto"/>
              <w:left w:val="single" w:sz="4" w:space="0" w:color="auto"/>
              <w:bottom w:val="single" w:sz="4" w:space="0" w:color="auto"/>
            </w:tcBorders>
          </w:tcPr>
          <w:p w14:paraId="18D29BB1" w14:textId="46246CAB" w:rsidR="00EC4256" w:rsidRDefault="00EC1EBF" w:rsidP="006C425E">
            <w:pPr>
              <w:jc w:val="both"/>
              <w:rPr>
                <w:b/>
              </w:rPr>
            </w:pPr>
            <w:r>
              <w:rPr>
                <w:b/>
              </w:rPr>
              <w:lastRenderedPageBreak/>
              <w:t>Informatīvais ziņojums</w:t>
            </w:r>
          </w:p>
        </w:tc>
      </w:tr>
      <w:tr w:rsidR="006C425E" w:rsidRPr="00606385" w14:paraId="11C04FCD" w14:textId="77777777" w:rsidTr="008B684E">
        <w:tc>
          <w:tcPr>
            <w:tcW w:w="534" w:type="dxa"/>
            <w:tcBorders>
              <w:top w:val="single" w:sz="6" w:space="0" w:color="000000"/>
              <w:left w:val="single" w:sz="6" w:space="0" w:color="000000"/>
              <w:bottom w:val="single" w:sz="6" w:space="0" w:color="000000"/>
              <w:right w:val="single" w:sz="6" w:space="0" w:color="000000"/>
            </w:tcBorders>
          </w:tcPr>
          <w:p w14:paraId="71EE812A" w14:textId="1CC1D0AB" w:rsidR="006C425E" w:rsidRDefault="00EC1EBF" w:rsidP="006C425E">
            <w:r>
              <w:lastRenderedPageBreak/>
              <w:t>8</w:t>
            </w:r>
            <w:r w:rsidR="006C425E">
              <w:t>.</w:t>
            </w:r>
          </w:p>
        </w:tc>
        <w:tc>
          <w:tcPr>
            <w:tcW w:w="2152" w:type="dxa"/>
            <w:tcBorders>
              <w:top w:val="single" w:sz="6" w:space="0" w:color="000000"/>
              <w:left w:val="single" w:sz="6" w:space="0" w:color="000000"/>
              <w:bottom w:val="single" w:sz="6" w:space="0" w:color="000000"/>
              <w:right w:val="single" w:sz="6" w:space="0" w:color="000000"/>
            </w:tcBorders>
          </w:tcPr>
          <w:p w14:paraId="65DE12CE" w14:textId="57A0A298" w:rsidR="006C425E" w:rsidRDefault="006C425E"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1EF3328D" w14:textId="77777777" w:rsidR="006C425E" w:rsidRDefault="006C425E" w:rsidP="00A47347">
            <w:pPr>
              <w:spacing w:before="120" w:after="120"/>
              <w:jc w:val="center"/>
              <w:rPr>
                <w:b/>
              </w:rPr>
            </w:pPr>
            <w:r>
              <w:rPr>
                <w:b/>
              </w:rPr>
              <w:t>Ekonomikas ministrijas 02.09.19 atzinums</w:t>
            </w:r>
          </w:p>
          <w:p w14:paraId="13844E11" w14:textId="3C6765DB" w:rsidR="006C425E" w:rsidRDefault="006C425E" w:rsidP="006C425E">
            <w:pPr>
              <w:spacing w:before="120" w:after="120"/>
              <w:jc w:val="both"/>
              <w:rPr>
                <w:b/>
              </w:rPr>
            </w:pPr>
            <w:r w:rsidRPr="00642B0A">
              <w:rPr>
                <w:b/>
                <w:bCs/>
              </w:rPr>
              <w:t>Lūgums papildināt ziņojumu ar nodaļu “MF priekšrocības un EKII trūkumi”</w:t>
            </w:r>
            <w:r w:rsidRPr="00642B0A">
              <w:t>, vai šo analīzi veikt 5.nodaļā mainot tās nosaukumu.</w:t>
            </w:r>
          </w:p>
        </w:tc>
        <w:tc>
          <w:tcPr>
            <w:tcW w:w="5103" w:type="dxa"/>
            <w:tcBorders>
              <w:top w:val="single" w:sz="6" w:space="0" w:color="000000"/>
              <w:left w:val="single" w:sz="6" w:space="0" w:color="000000"/>
              <w:bottom w:val="single" w:sz="6" w:space="0" w:color="000000"/>
              <w:right w:val="single" w:sz="6" w:space="0" w:color="000000"/>
            </w:tcBorders>
          </w:tcPr>
          <w:p w14:paraId="3B881E84" w14:textId="77777777" w:rsidR="00A47347" w:rsidRPr="00A47347" w:rsidRDefault="006C425E" w:rsidP="00A47347">
            <w:pPr>
              <w:spacing w:before="120" w:after="120"/>
              <w:jc w:val="center"/>
              <w:rPr>
                <w:b/>
                <w:bCs/>
              </w:rPr>
            </w:pPr>
            <w:r w:rsidRPr="00A47347">
              <w:rPr>
                <w:b/>
                <w:bCs/>
              </w:rPr>
              <w:t>Ņemts vērā.</w:t>
            </w:r>
          </w:p>
          <w:p w14:paraId="55B3A4DC" w14:textId="6D4FF8A3" w:rsidR="006C425E" w:rsidRPr="00F56355" w:rsidRDefault="006C425E" w:rsidP="006C425E">
            <w:pPr>
              <w:spacing w:before="120" w:after="120"/>
              <w:jc w:val="both"/>
              <w:rPr>
                <w:b/>
                <w:color w:val="FF0000"/>
              </w:rPr>
            </w:pPr>
            <w:r w:rsidRPr="00DC4790">
              <w:rPr>
                <w:bCs/>
              </w:rPr>
              <w:t>Precizēta 5. nodaļa, t.sk. mainot tās nosaukumu uz “</w:t>
            </w:r>
            <w:r w:rsidRPr="00DC4790">
              <w:t>Apsvērumi lēmuma pieņemšanai attiecībā uz finansējuma pārvirzīšanas iespēju no EKII uz Modernizācijas fondu</w:t>
            </w:r>
            <w:r w:rsidRPr="00DC4790">
              <w:rPr>
                <w:bCs/>
              </w:rPr>
              <w:t>”.</w:t>
            </w:r>
          </w:p>
        </w:tc>
        <w:tc>
          <w:tcPr>
            <w:tcW w:w="2385" w:type="dxa"/>
            <w:tcBorders>
              <w:top w:val="single" w:sz="4" w:space="0" w:color="auto"/>
              <w:left w:val="single" w:sz="4" w:space="0" w:color="auto"/>
              <w:bottom w:val="single" w:sz="4" w:space="0" w:color="auto"/>
            </w:tcBorders>
          </w:tcPr>
          <w:p w14:paraId="67C87F16" w14:textId="21FDC36F" w:rsidR="006C425E" w:rsidRPr="00494DFF" w:rsidRDefault="008B684E" w:rsidP="006C425E">
            <w:pPr>
              <w:jc w:val="both"/>
              <w:rPr>
                <w:color w:val="000000" w:themeColor="text1"/>
              </w:rPr>
            </w:pPr>
            <w:r>
              <w:rPr>
                <w:b/>
              </w:rPr>
              <w:t>Informatīvais ziņojums</w:t>
            </w:r>
          </w:p>
        </w:tc>
      </w:tr>
      <w:tr w:rsidR="006C425E" w:rsidRPr="00606385" w14:paraId="65C1DEA7"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87D9AAD" w14:textId="3A05FE10" w:rsidR="006C425E" w:rsidRDefault="00EC1EBF" w:rsidP="006C425E">
            <w:r>
              <w:t>9</w:t>
            </w:r>
            <w:r w:rsidR="006C425E">
              <w:t>.</w:t>
            </w:r>
          </w:p>
        </w:tc>
        <w:tc>
          <w:tcPr>
            <w:tcW w:w="2152" w:type="dxa"/>
            <w:tcBorders>
              <w:top w:val="single" w:sz="6" w:space="0" w:color="000000"/>
              <w:left w:val="single" w:sz="6" w:space="0" w:color="000000"/>
              <w:bottom w:val="single" w:sz="6" w:space="0" w:color="000000"/>
              <w:right w:val="single" w:sz="6" w:space="0" w:color="000000"/>
            </w:tcBorders>
          </w:tcPr>
          <w:p w14:paraId="45A3C041" w14:textId="6DDAAF0F" w:rsidR="006C425E" w:rsidRDefault="006C425E"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76317DAA" w14:textId="77777777" w:rsidR="006C425E" w:rsidRDefault="006C425E" w:rsidP="00A47347">
            <w:pPr>
              <w:spacing w:before="120" w:after="120"/>
              <w:jc w:val="center"/>
              <w:rPr>
                <w:b/>
              </w:rPr>
            </w:pPr>
            <w:r>
              <w:rPr>
                <w:b/>
              </w:rPr>
              <w:t>Ekonomikas ministrijas 02.09.19 atzinums</w:t>
            </w:r>
          </w:p>
          <w:p w14:paraId="36135C8C" w14:textId="5B2AA644" w:rsidR="006C425E" w:rsidRDefault="006C425E" w:rsidP="006C425E">
            <w:pPr>
              <w:spacing w:before="120" w:after="120"/>
              <w:jc w:val="both"/>
              <w:rPr>
                <w:b/>
              </w:rPr>
            </w:pPr>
            <w:r w:rsidRPr="00642B0A">
              <w:rPr>
                <w:b/>
                <w:bCs/>
              </w:rPr>
              <w:t>Lūgums papildināt 5.nodaļas 3.rindkopu</w:t>
            </w:r>
            <w:r w:rsidRPr="00642B0A">
              <w:t xml:space="preserve"> ar informāciju, uz kā pamata tika izdarīti </w:t>
            </w:r>
            <w:r w:rsidRPr="00642B0A">
              <w:lastRenderedPageBreak/>
              <w:t>secinājumi par MF trūkumiem. Norādām, ka Informatīvā ziņojumā nav sniegta informācija, kas liecinātu, ka MF līdzekļi būs pieejami novēloti, ka tā izveide sarežģīs naudas plūsmas struktūru utt.</w:t>
            </w:r>
          </w:p>
        </w:tc>
        <w:tc>
          <w:tcPr>
            <w:tcW w:w="5103" w:type="dxa"/>
            <w:tcBorders>
              <w:top w:val="single" w:sz="6" w:space="0" w:color="000000"/>
              <w:left w:val="single" w:sz="6" w:space="0" w:color="000000"/>
              <w:bottom w:val="single" w:sz="6" w:space="0" w:color="000000"/>
              <w:right w:val="single" w:sz="6" w:space="0" w:color="000000"/>
            </w:tcBorders>
          </w:tcPr>
          <w:p w14:paraId="6B18B360" w14:textId="77777777" w:rsidR="00A47347" w:rsidRPr="00A47347" w:rsidRDefault="006C425E" w:rsidP="00A47347">
            <w:pPr>
              <w:spacing w:before="120" w:after="120"/>
              <w:jc w:val="center"/>
              <w:rPr>
                <w:b/>
                <w:bCs/>
              </w:rPr>
            </w:pPr>
            <w:r w:rsidRPr="00A47347">
              <w:rPr>
                <w:b/>
                <w:bCs/>
              </w:rPr>
              <w:lastRenderedPageBreak/>
              <w:t>Ņemts vērā.</w:t>
            </w:r>
          </w:p>
          <w:p w14:paraId="047173C9" w14:textId="2DA65B51" w:rsidR="006C425E" w:rsidRDefault="006C425E" w:rsidP="006C425E">
            <w:pPr>
              <w:spacing w:before="120" w:after="120"/>
              <w:jc w:val="both"/>
              <w:rPr>
                <w:bCs/>
              </w:rPr>
            </w:pPr>
            <w:r w:rsidRPr="00DC4790">
              <w:rPr>
                <w:bCs/>
              </w:rPr>
              <w:t xml:space="preserve">Precizēta 5. nodaļa. </w:t>
            </w:r>
          </w:p>
          <w:p w14:paraId="1FD24605" w14:textId="309A6576" w:rsidR="006C425E" w:rsidRPr="00DC4790" w:rsidRDefault="006C425E" w:rsidP="00EC1EBF">
            <w:pPr>
              <w:spacing w:before="120" w:after="120"/>
              <w:jc w:val="both"/>
              <w:rPr>
                <w:b/>
              </w:rPr>
            </w:pPr>
            <w:r w:rsidRPr="00DC4790">
              <w:rPr>
                <w:bCs/>
              </w:rPr>
              <w:t xml:space="preserve">Informācija par identificētajiem riskiem </w:t>
            </w:r>
            <w:r>
              <w:rPr>
                <w:bCs/>
              </w:rPr>
              <w:t>un potenciālajiem trūkumiem</w:t>
            </w:r>
            <w:r w:rsidRPr="00DC4790">
              <w:rPr>
                <w:bCs/>
              </w:rPr>
              <w:t xml:space="preserve"> attiecībā uz </w:t>
            </w:r>
            <w:r w:rsidRPr="00DC4790">
              <w:rPr>
                <w:bCs/>
              </w:rPr>
              <w:lastRenderedPageBreak/>
              <w:t>Modernizācijas fondu ir izdarīti balstoties uz Direktīvas 2003/87</w:t>
            </w:r>
            <w:r w:rsidR="00EC1EBF">
              <w:rPr>
                <w:bCs/>
              </w:rPr>
              <w:t xml:space="preserve"> 1</w:t>
            </w:r>
            <w:r w:rsidRPr="00DC4790">
              <w:rPr>
                <w:bCs/>
              </w:rPr>
              <w:t>0.d pantā iekļauto informāciju, Konceptuālo papīru par ieviešanas regulu attiecībā uz Modernizācijas fondu</w:t>
            </w:r>
            <w:r>
              <w:rPr>
                <w:bCs/>
              </w:rPr>
              <w:t xml:space="preserve"> </w:t>
            </w:r>
            <w:r w:rsidRPr="00DC4790">
              <w:rPr>
                <w:bCs/>
              </w:rPr>
              <w:t>(kas tika izplatīta klimata pārmaiņu ko</w:t>
            </w:r>
            <w:r w:rsidR="00A47347">
              <w:rPr>
                <w:bCs/>
              </w:rPr>
              <w:t>mitejas 3. darba grupā jūnija vi</w:t>
            </w:r>
            <w:r w:rsidRPr="00DC4790">
              <w:rPr>
                <w:bCs/>
              </w:rPr>
              <w:t xml:space="preserve">dū) un arī balstoties uz pieejamo informāciju, kas iekļauta </w:t>
            </w:r>
            <w:r w:rsidR="00A47347">
              <w:t>2019. </w:t>
            </w:r>
            <w:r w:rsidRPr="00DC4790">
              <w:t>gada 28.</w:t>
            </w:r>
            <w:r w:rsidR="00A47347">
              <w:t> </w:t>
            </w:r>
            <w:r w:rsidRPr="00DC4790">
              <w:t>augustā Eiropas Komisijā apstiprinātās regulas priekšlikuma (C(2019) 6182 final) ar ko groza Regulu (ES) Nr. 1031/2010 nolūkā kvotu izsolīšanu pieskaņot ES ETS 2021.-2030.</w:t>
            </w:r>
            <w:r w:rsidR="00A47347">
              <w:t> </w:t>
            </w:r>
            <w:r w:rsidRPr="00DC4790">
              <w:t>gada noteikumiem un kvotu klasificēšanai par finanšu instrumentiem saskaņā ar Eiropas Parlamenta un Padomes Direktīvu 2014/65/ES.</w:t>
            </w:r>
          </w:p>
        </w:tc>
        <w:tc>
          <w:tcPr>
            <w:tcW w:w="2385" w:type="dxa"/>
            <w:tcBorders>
              <w:top w:val="single" w:sz="4" w:space="0" w:color="auto"/>
              <w:left w:val="single" w:sz="4" w:space="0" w:color="auto"/>
              <w:bottom w:val="single" w:sz="4" w:space="0" w:color="auto"/>
            </w:tcBorders>
          </w:tcPr>
          <w:p w14:paraId="60D4FB84" w14:textId="33D23310" w:rsidR="006C425E" w:rsidRPr="00494DFF" w:rsidRDefault="008B684E" w:rsidP="006C425E">
            <w:pPr>
              <w:jc w:val="both"/>
              <w:rPr>
                <w:color w:val="000000" w:themeColor="text1"/>
              </w:rPr>
            </w:pPr>
            <w:r>
              <w:rPr>
                <w:b/>
              </w:rPr>
              <w:lastRenderedPageBreak/>
              <w:t>Informatīvais ziņojums</w:t>
            </w:r>
          </w:p>
        </w:tc>
      </w:tr>
      <w:tr w:rsidR="006C425E" w:rsidRPr="00606385" w14:paraId="7BB38EC2" w14:textId="77777777" w:rsidTr="008B684E">
        <w:tc>
          <w:tcPr>
            <w:tcW w:w="534" w:type="dxa"/>
            <w:tcBorders>
              <w:top w:val="single" w:sz="6" w:space="0" w:color="000000"/>
              <w:left w:val="single" w:sz="6" w:space="0" w:color="000000"/>
              <w:bottom w:val="single" w:sz="6" w:space="0" w:color="000000"/>
              <w:right w:val="single" w:sz="6" w:space="0" w:color="000000"/>
            </w:tcBorders>
          </w:tcPr>
          <w:p w14:paraId="17DCBC04" w14:textId="56E94A8C" w:rsidR="006C425E" w:rsidRDefault="00A47347" w:rsidP="006C425E">
            <w:r>
              <w:t>6</w:t>
            </w:r>
            <w:r w:rsidR="006C425E">
              <w:t>.</w:t>
            </w:r>
          </w:p>
        </w:tc>
        <w:tc>
          <w:tcPr>
            <w:tcW w:w="2152" w:type="dxa"/>
            <w:tcBorders>
              <w:top w:val="single" w:sz="6" w:space="0" w:color="000000"/>
              <w:left w:val="single" w:sz="6" w:space="0" w:color="000000"/>
              <w:bottom w:val="single" w:sz="6" w:space="0" w:color="000000"/>
              <w:right w:val="single" w:sz="6" w:space="0" w:color="000000"/>
            </w:tcBorders>
          </w:tcPr>
          <w:p w14:paraId="0A25B03C" w14:textId="074677F9" w:rsidR="006C425E" w:rsidRDefault="006C425E"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19A8BB1B" w14:textId="77777777" w:rsidR="006C425E" w:rsidRDefault="006C425E" w:rsidP="00A47347">
            <w:pPr>
              <w:spacing w:before="120" w:after="120"/>
              <w:jc w:val="center"/>
              <w:rPr>
                <w:b/>
              </w:rPr>
            </w:pPr>
            <w:r>
              <w:rPr>
                <w:b/>
              </w:rPr>
              <w:t>Ekonomikas ministrijas 02.09.19 atzinums</w:t>
            </w:r>
          </w:p>
          <w:p w14:paraId="62E6ABE9" w14:textId="6D255215" w:rsidR="006C425E" w:rsidRDefault="006C425E" w:rsidP="008B684E">
            <w:pPr>
              <w:spacing w:before="120" w:after="120"/>
              <w:jc w:val="both"/>
              <w:rPr>
                <w:b/>
              </w:rPr>
            </w:pPr>
            <w:r w:rsidRPr="00642B0A">
              <w:t>Tāpat lūgums iekļaut korektu 17. zemsvītras piezīmi, jo tā Informatīvajā ziņojumā ir tukša.</w:t>
            </w:r>
          </w:p>
        </w:tc>
        <w:tc>
          <w:tcPr>
            <w:tcW w:w="5103" w:type="dxa"/>
            <w:tcBorders>
              <w:top w:val="single" w:sz="6" w:space="0" w:color="000000"/>
              <w:left w:val="single" w:sz="6" w:space="0" w:color="000000"/>
              <w:bottom w:val="single" w:sz="6" w:space="0" w:color="000000"/>
              <w:right w:val="single" w:sz="6" w:space="0" w:color="000000"/>
            </w:tcBorders>
          </w:tcPr>
          <w:p w14:paraId="3CF32305" w14:textId="77777777" w:rsidR="006C425E" w:rsidRPr="00DC4790" w:rsidRDefault="006C425E" w:rsidP="008B684E">
            <w:pPr>
              <w:spacing w:before="120" w:after="120"/>
              <w:jc w:val="center"/>
              <w:rPr>
                <w:b/>
              </w:rPr>
            </w:pPr>
            <w:r w:rsidRPr="00DC4790">
              <w:rPr>
                <w:b/>
              </w:rPr>
              <w:t>Ņemts vērā</w:t>
            </w:r>
          </w:p>
          <w:p w14:paraId="465DF9BD" w14:textId="77777777" w:rsidR="006C425E" w:rsidRPr="00F56355" w:rsidRDefault="006C425E" w:rsidP="006C425E">
            <w:pPr>
              <w:jc w:val="both"/>
              <w:rPr>
                <w:b/>
                <w:color w:val="FF0000"/>
              </w:rPr>
            </w:pPr>
          </w:p>
        </w:tc>
        <w:tc>
          <w:tcPr>
            <w:tcW w:w="2385" w:type="dxa"/>
            <w:tcBorders>
              <w:top w:val="single" w:sz="4" w:space="0" w:color="auto"/>
              <w:left w:val="single" w:sz="4" w:space="0" w:color="auto"/>
              <w:bottom w:val="single" w:sz="4" w:space="0" w:color="auto"/>
            </w:tcBorders>
          </w:tcPr>
          <w:p w14:paraId="1E429750" w14:textId="09CDB62B" w:rsidR="006C425E" w:rsidRPr="00494DFF" w:rsidRDefault="008B684E" w:rsidP="006C425E">
            <w:pPr>
              <w:jc w:val="both"/>
              <w:rPr>
                <w:color w:val="000000" w:themeColor="text1"/>
              </w:rPr>
            </w:pPr>
            <w:r>
              <w:rPr>
                <w:b/>
              </w:rPr>
              <w:t>Informatīvais ziņojums</w:t>
            </w:r>
          </w:p>
        </w:tc>
      </w:tr>
      <w:tr w:rsidR="007F737A" w:rsidRPr="00606385" w14:paraId="64F18172" w14:textId="77777777" w:rsidTr="008B684E">
        <w:tc>
          <w:tcPr>
            <w:tcW w:w="534" w:type="dxa"/>
            <w:tcBorders>
              <w:top w:val="single" w:sz="6" w:space="0" w:color="000000"/>
              <w:left w:val="single" w:sz="6" w:space="0" w:color="000000"/>
              <w:bottom w:val="single" w:sz="6" w:space="0" w:color="000000"/>
              <w:right w:val="single" w:sz="6" w:space="0" w:color="000000"/>
            </w:tcBorders>
          </w:tcPr>
          <w:p w14:paraId="19597B7B" w14:textId="77777777" w:rsidR="007F737A" w:rsidRDefault="007F737A" w:rsidP="006C425E"/>
        </w:tc>
        <w:tc>
          <w:tcPr>
            <w:tcW w:w="2152" w:type="dxa"/>
            <w:tcBorders>
              <w:top w:val="single" w:sz="6" w:space="0" w:color="000000"/>
              <w:left w:val="single" w:sz="6" w:space="0" w:color="000000"/>
              <w:bottom w:val="single" w:sz="6" w:space="0" w:color="000000"/>
              <w:right w:val="single" w:sz="6" w:space="0" w:color="000000"/>
            </w:tcBorders>
          </w:tcPr>
          <w:p w14:paraId="18E2EE76" w14:textId="1E7C41F7" w:rsidR="007F737A" w:rsidRDefault="007F737A"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1FFFE462" w14:textId="77777777" w:rsidR="007F737A" w:rsidRDefault="007F737A" w:rsidP="007F737A">
            <w:pPr>
              <w:spacing w:before="120" w:after="120"/>
              <w:jc w:val="center"/>
              <w:rPr>
                <w:b/>
              </w:rPr>
            </w:pPr>
            <w:r>
              <w:rPr>
                <w:b/>
              </w:rPr>
              <w:t>Ekonomikas ministrijas 02.09.19 atzinums</w:t>
            </w:r>
          </w:p>
          <w:p w14:paraId="54E2D100" w14:textId="36E941A5" w:rsidR="007F737A" w:rsidRPr="007F737A" w:rsidRDefault="007F737A" w:rsidP="007F737A">
            <w:pPr>
              <w:pStyle w:val="ListParagraph"/>
              <w:widowControl w:val="0"/>
              <w:spacing w:after="0" w:line="240" w:lineRule="auto"/>
              <w:ind w:left="0"/>
              <w:jc w:val="both"/>
              <w:rPr>
                <w:rFonts w:ascii="Times New Roman" w:hAnsi="Times New Roman"/>
                <w:b/>
                <w:sz w:val="24"/>
                <w:szCs w:val="24"/>
                <w:lang w:val="lv-LV"/>
              </w:rPr>
            </w:pPr>
            <w:r w:rsidRPr="007F737A">
              <w:rPr>
                <w:rFonts w:ascii="Times New Roman" w:hAnsi="Times New Roman"/>
                <w:sz w:val="24"/>
                <w:szCs w:val="24"/>
              </w:rPr>
              <w:t>Papildus lūdzam ņemt vērā labojumus un komentārus, kas ir veikti Informatīvā ziņojuma tekstā (pievienots atzinuma pielikumā).</w:t>
            </w:r>
          </w:p>
        </w:tc>
        <w:tc>
          <w:tcPr>
            <w:tcW w:w="5103" w:type="dxa"/>
            <w:tcBorders>
              <w:top w:val="single" w:sz="6" w:space="0" w:color="000000"/>
              <w:left w:val="single" w:sz="6" w:space="0" w:color="000000"/>
              <w:bottom w:val="single" w:sz="6" w:space="0" w:color="000000"/>
              <w:right w:val="single" w:sz="6" w:space="0" w:color="000000"/>
            </w:tcBorders>
          </w:tcPr>
          <w:p w14:paraId="574E8824" w14:textId="7AA18701" w:rsidR="007F737A" w:rsidRDefault="007F737A" w:rsidP="007F737A">
            <w:pPr>
              <w:spacing w:before="120" w:after="120"/>
              <w:jc w:val="center"/>
            </w:pPr>
            <w:r>
              <w:rPr>
                <w:b/>
              </w:rPr>
              <w:t>Ņ</w:t>
            </w:r>
            <w:r w:rsidRPr="00AA1B8E">
              <w:rPr>
                <w:b/>
              </w:rPr>
              <w:t>emts vērā</w:t>
            </w:r>
          </w:p>
          <w:p w14:paraId="1C78C651" w14:textId="7AC9A45E" w:rsidR="007F737A" w:rsidRDefault="007F737A" w:rsidP="007F737A">
            <w:pPr>
              <w:spacing w:before="120" w:after="120"/>
              <w:jc w:val="both"/>
              <w:rPr>
                <w:b/>
              </w:rPr>
            </w:pPr>
            <w:r w:rsidRPr="00AA1B8E">
              <w:t>Neskatoties uz to, ka komentāri nebija iekļauti atzinuma formā, veikti redakcionāli labojumi un labot</w:t>
            </w:r>
            <w:r>
              <w:t>a Informatīvā ziņojuma 5.nodaļā</w:t>
            </w:r>
            <w:r w:rsidRPr="00AA1B8E">
              <w:t>.</w:t>
            </w:r>
          </w:p>
        </w:tc>
        <w:tc>
          <w:tcPr>
            <w:tcW w:w="2385" w:type="dxa"/>
            <w:tcBorders>
              <w:top w:val="single" w:sz="4" w:space="0" w:color="auto"/>
              <w:left w:val="single" w:sz="4" w:space="0" w:color="auto"/>
              <w:bottom w:val="single" w:sz="4" w:space="0" w:color="auto"/>
            </w:tcBorders>
          </w:tcPr>
          <w:p w14:paraId="605CD8AE" w14:textId="1FFB5AA7" w:rsidR="007F737A" w:rsidRDefault="007F737A" w:rsidP="006C425E">
            <w:pPr>
              <w:jc w:val="both"/>
              <w:rPr>
                <w:b/>
              </w:rPr>
            </w:pPr>
            <w:r>
              <w:rPr>
                <w:b/>
              </w:rPr>
              <w:t>Informatīvais ziņojums</w:t>
            </w:r>
          </w:p>
        </w:tc>
      </w:tr>
      <w:tr w:rsidR="0053526A" w:rsidRPr="00606385" w14:paraId="4F60678D"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003696E" w14:textId="77777777" w:rsidR="0053526A" w:rsidRDefault="0053526A" w:rsidP="006C425E"/>
        </w:tc>
        <w:tc>
          <w:tcPr>
            <w:tcW w:w="2152" w:type="dxa"/>
            <w:tcBorders>
              <w:top w:val="single" w:sz="6" w:space="0" w:color="000000"/>
              <w:left w:val="single" w:sz="6" w:space="0" w:color="000000"/>
              <w:bottom w:val="single" w:sz="6" w:space="0" w:color="000000"/>
              <w:right w:val="single" w:sz="6" w:space="0" w:color="000000"/>
            </w:tcBorders>
          </w:tcPr>
          <w:p w14:paraId="0DF06839" w14:textId="237B09FD" w:rsidR="0053526A" w:rsidRDefault="0053526A"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40715FFE" w14:textId="77777777" w:rsidR="0053526A" w:rsidRDefault="0053526A" w:rsidP="0053526A">
            <w:pPr>
              <w:pStyle w:val="ListParagraph"/>
              <w:widowControl w:val="0"/>
              <w:spacing w:after="0" w:line="240" w:lineRule="auto"/>
              <w:ind w:left="0"/>
              <w:jc w:val="center"/>
              <w:rPr>
                <w:rFonts w:ascii="Times New Roman" w:hAnsi="Times New Roman"/>
                <w:b/>
                <w:sz w:val="24"/>
                <w:szCs w:val="24"/>
                <w:lang w:val="lv-LV"/>
              </w:rPr>
            </w:pPr>
            <w:r>
              <w:rPr>
                <w:rFonts w:ascii="Times New Roman" w:hAnsi="Times New Roman"/>
                <w:b/>
                <w:sz w:val="24"/>
                <w:szCs w:val="24"/>
                <w:lang w:val="lv-LV"/>
              </w:rPr>
              <w:t xml:space="preserve">Latvijas Lielo pilsētu asociācijas </w:t>
            </w:r>
            <w:r w:rsidRPr="00C92FDD">
              <w:rPr>
                <w:rFonts w:ascii="Times New Roman" w:hAnsi="Times New Roman"/>
                <w:b/>
                <w:sz w:val="24"/>
                <w:szCs w:val="24"/>
                <w:lang w:val="lv-LV"/>
              </w:rPr>
              <w:t>02.09.2019</w:t>
            </w:r>
            <w:r>
              <w:rPr>
                <w:rFonts w:ascii="Times New Roman" w:hAnsi="Times New Roman"/>
                <w:b/>
                <w:sz w:val="24"/>
                <w:szCs w:val="24"/>
                <w:lang w:val="lv-LV"/>
              </w:rPr>
              <w:t xml:space="preserve"> atzinums</w:t>
            </w:r>
          </w:p>
          <w:p w14:paraId="5ADAFC37" w14:textId="587C6FF5" w:rsidR="0053526A" w:rsidRDefault="0053526A" w:rsidP="0053526A">
            <w:pPr>
              <w:spacing w:before="120" w:after="120"/>
              <w:jc w:val="both"/>
              <w:rPr>
                <w:b/>
              </w:rPr>
            </w:pPr>
            <w:r>
              <w:rPr>
                <w:color w:val="000000"/>
              </w:rPr>
              <w:t xml:space="preserve">Informatīvajā ziņojumā norādīts, ka Modernizācijas fonda finansējumu ir plānots izlietot ne-ETS SEG emisiju </w:t>
            </w:r>
            <w:r>
              <w:rPr>
                <w:color w:val="000000"/>
              </w:rPr>
              <w:lastRenderedPageBreak/>
              <w:t xml:space="preserve">mazinošu pasākumu ieviešanai, tādējādi nodrošinot ne-ETS darbību SEG emisiju mērķa 2030. gadam izpildi (4.lpp.). Ņemot vērā Modernizācijas fonda plānoto finansējuma apjomu un 2007.-2013. un 2014.-2020. gada Eiropas Savienības fondu plānošanas periodā pieejamā finansējuma apjomu SEG emisiju mazināšanai, </w:t>
            </w:r>
            <w:r>
              <w:rPr>
                <w:b/>
                <w:bCs/>
                <w:color w:val="000000"/>
              </w:rPr>
              <w:t>lūdzam skaidrot, kādus pasākumus Vides aizsardzības un reģionālās attīstības ministrija plāno ieviest, lai ar Modernizācijas fondā pieejamo salīdzinoši nelielo finansējuma apjomu nodrošinātu ne-ETS darbību SEG emisiju mērķa 2030. gadam izpildi.</w:t>
            </w:r>
          </w:p>
        </w:tc>
        <w:tc>
          <w:tcPr>
            <w:tcW w:w="5103" w:type="dxa"/>
            <w:tcBorders>
              <w:top w:val="single" w:sz="6" w:space="0" w:color="000000"/>
              <w:left w:val="single" w:sz="6" w:space="0" w:color="000000"/>
              <w:bottom w:val="single" w:sz="6" w:space="0" w:color="000000"/>
              <w:right w:val="single" w:sz="6" w:space="0" w:color="000000"/>
            </w:tcBorders>
          </w:tcPr>
          <w:p w14:paraId="79C6C5F2" w14:textId="5EEBD0F4" w:rsidR="0053526A" w:rsidRPr="00316B64" w:rsidRDefault="0053526A" w:rsidP="0053526A">
            <w:pPr>
              <w:spacing w:before="120" w:after="120"/>
              <w:jc w:val="center"/>
              <w:rPr>
                <w:b/>
              </w:rPr>
            </w:pPr>
            <w:r>
              <w:rPr>
                <w:b/>
              </w:rPr>
              <w:lastRenderedPageBreak/>
              <w:t>Ņ</w:t>
            </w:r>
            <w:r w:rsidRPr="00316B64">
              <w:rPr>
                <w:b/>
              </w:rPr>
              <w:t>emts vērā.</w:t>
            </w:r>
          </w:p>
          <w:p w14:paraId="69CF289C" w14:textId="77777777" w:rsidR="0053526A" w:rsidRDefault="0053526A" w:rsidP="0053526A">
            <w:pPr>
              <w:spacing w:before="120" w:after="120"/>
              <w:jc w:val="both"/>
            </w:pPr>
            <w:r w:rsidRPr="000721B8">
              <w:t>Precizēts informatīvais ziņojums svītrojot vārdu “trīs” 2. nodaļas pēdējā rindkopā.</w:t>
            </w:r>
          </w:p>
          <w:p w14:paraId="59A4BEF0" w14:textId="77777777" w:rsidR="0053526A" w:rsidRPr="000721B8" w:rsidRDefault="0053526A" w:rsidP="0053526A">
            <w:pPr>
              <w:spacing w:before="120" w:after="120"/>
              <w:jc w:val="both"/>
            </w:pPr>
            <w:r w:rsidRPr="000721B8">
              <w:lastRenderedPageBreak/>
              <w:t xml:space="preserve">Informatīvā ziņojuma uzdevums nav noteikt konkrētus pasākumus vai pat projektus, kas tiks atbalstīti Modernizācijas fonda ietvaros. Saskaņā ar </w:t>
            </w:r>
            <w:r>
              <w:t>M</w:t>
            </w:r>
            <w:r w:rsidRPr="000721B8">
              <w:t>inistru kabineta 2019.</w:t>
            </w:r>
            <w:r>
              <w:t> </w:t>
            </w:r>
            <w:r w:rsidRPr="000721B8">
              <w:t>gada 17.</w:t>
            </w:r>
            <w:r>
              <w:t> </w:t>
            </w:r>
            <w:r w:rsidRPr="000721B8">
              <w:t>jūnija rīkojumu Nr.</w:t>
            </w:r>
            <w:r>
              <w:t> </w:t>
            </w:r>
            <w:r w:rsidRPr="000721B8">
              <w:t>381</w:t>
            </w:r>
            <w:r>
              <w:t xml:space="preserve"> </w:t>
            </w:r>
            <w:r w:rsidRPr="000721B8">
              <w:t>(prot.</w:t>
            </w:r>
            <w:r>
              <w:t> </w:t>
            </w:r>
            <w:r w:rsidRPr="000721B8">
              <w:t>Nr. 33 75. §) “Par konceptuālo ziņojumu "Par bezmaksas emisijas kvotu piešķiršanu elektroenerģijas ražotājiem Eiropas Savienības emisiju tir</w:t>
            </w:r>
            <w:r>
              <w:t>dzniecības sistēmas 2021.–2030. </w:t>
            </w:r>
            <w:r w:rsidRPr="000721B8">
              <w:t>gada periodā"” 3.</w:t>
            </w:r>
            <w:r>
              <w:t> </w:t>
            </w:r>
            <w:r w:rsidRPr="000721B8">
              <w:t xml:space="preserve">punktu Informatīvā ziņojuma un </w:t>
            </w:r>
            <w:r>
              <w:t xml:space="preserve">MK sēdes </w:t>
            </w:r>
            <w:r w:rsidRPr="000721B8">
              <w:t>protokollēmuma uzdevums ir noteikt Modernizācijas fonda pārvaldību un pieejamo finansējuma apjomu, lai saskaņā ar Direktīvas 2003/87 10.d panta 4.</w:t>
            </w:r>
            <w:r>
              <w:t> daļu līdz 2019. </w:t>
            </w:r>
            <w:r w:rsidRPr="000721B8">
              <w:t>gada 30.</w:t>
            </w:r>
            <w:r>
              <w:t> </w:t>
            </w:r>
            <w:r w:rsidRPr="000721B8">
              <w:t xml:space="preserve">septembrim būtu iespējams paziņot Eiropas Komisijai par izmantojamajiem kvotu apjomiem Modernizācijas fonda vajadzībām. </w:t>
            </w:r>
          </w:p>
          <w:p w14:paraId="1E0ABBF3" w14:textId="203DD7EE" w:rsidR="0053526A" w:rsidRPr="00DC4790" w:rsidRDefault="0053526A" w:rsidP="0053526A">
            <w:pPr>
              <w:spacing w:before="120" w:after="120"/>
              <w:jc w:val="both"/>
              <w:rPr>
                <w:b/>
              </w:rPr>
            </w:pPr>
            <w:r w:rsidRPr="000721B8">
              <w:t>Papildus jānorāda, ka saskaņā ar Direktīvas 2003/87 10.d panta 12.</w:t>
            </w:r>
            <w:r>
              <w:t> </w:t>
            </w:r>
            <w:r w:rsidRPr="000721B8">
              <w:t>punktu Eiropas Komisija izstrādās īstenošanas regulu par detāli izstrādātiem nosacījumiem attiecībā uz Modernizācijas fonda darbību, kuras izstrāde un ieviešana plānota 2019.-2020. gadā. Detālu Modernizācijas fonda noteikumu izstrāde nacionālā līmenī, t.sk. par atbalstāmajiem pasākumiem tiks uzsākti jau pēc minētās īstenošanas regulas pirmā projekta saņemšanas no Eiropas Komisijas.</w:t>
            </w:r>
          </w:p>
        </w:tc>
        <w:tc>
          <w:tcPr>
            <w:tcW w:w="2385" w:type="dxa"/>
            <w:tcBorders>
              <w:top w:val="single" w:sz="4" w:space="0" w:color="auto"/>
              <w:left w:val="single" w:sz="4" w:space="0" w:color="auto"/>
              <w:bottom w:val="single" w:sz="4" w:space="0" w:color="auto"/>
            </w:tcBorders>
          </w:tcPr>
          <w:p w14:paraId="1CD91752" w14:textId="7DB8A93E" w:rsidR="0053526A" w:rsidRDefault="0053526A" w:rsidP="006C425E">
            <w:pPr>
              <w:jc w:val="both"/>
              <w:rPr>
                <w:b/>
              </w:rPr>
            </w:pPr>
            <w:r>
              <w:rPr>
                <w:b/>
              </w:rPr>
              <w:lastRenderedPageBreak/>
              <w:t>Informatīvais ziņojums</w:t>
            </w:r>
          </w:p>
        </w:tc>
      </w:tr>
      <w:tr w:rsidR="003A3ED3" w:rsidRPr="00606385" w14:paraId="55A665AC" w14:textId="77777777" w:rsidTr="008B684E">
        <w:tc>
          <w:tcPr>
            <w:tcW w:w="534" w:type="dxa"/>
            <w:tcBorders>
              <w:top w:val="single" w:sz="6" w:space="0" w:color="000000"/>
              <w:left w:val="single" w:sz="6" w:space="0" w:color="000000"/>
              <w:bottom w:val="single" w:sz="6" w:space="0" w:color="000000"/>
              <w:right w:val="single" w:sz="6" w:space="0" w:color="000000"/>
            </w:tcBorders>
          </w:tcPr>
          <w:p w14:paraId="0A8B111B" w14:textId="77777777" w:rsidR="003A3ED3" w:rsidRDefault="003A3ED3" w:rsidP="006C425E"/>
        </w:tc>
        <w:tc>
          <w:tcPr>
            <w:tcW w:w="2152" w:type="dxa"/>
            <w:tcBorders>
              <w:top w:val="single" w:sz="6" w:space="0" w:color="000000"/>
              <w:left w:val="single" w:sz="6" w:space="0" w:color="000000"/>
              <w:bottom w:val="single" w:sz="6" w:space="0" w:color="000000"/>
              <w:right w:val="single" w:sz="6" w:space="0" w:color="000000"/>
            </w:tcBorders>
          </w:tcPr>
          <w:p w14:paraId="141C0217" w14:textId="24DE2F6F" w:rsidR="003A3ED3" w:rsidRDefault="003A3ED3" w:rsidP="006C425E">
            <w:pPr>
              <w:jc w:val="both"/>
              <w:rPr>
                <w:b/>
              </w:rPr>
            </w:pPr>
            <w:r>
              <w:rPr>
                <w:b/>
              </w:rP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23037AF3" w14:textId="77777777" w:rsidR="003A3ED3" w:rsidRDefault="003A3ED3" w:rsidP="003A3ED3">
            <w:pPr>
              <w:pStyle w:val="ListParagraph"/>
              <w:widowControl w:val="0"/>
              <w:spacing w:after="0" w:line="240" w:lineRule="auto"/>
              <w:ind w:left="0"/>
              <w:jc w:val="center"/>
              <w:rPr>
                <w:rFonts w:ascii="Times New Roman" w:hAnsi="Times New Roman"/>
                <w:b/>
                <w:sz w:val="24"/>
                <w:szCs w:val="24"/>
                <w:lang w:val="lv-LV"/>
              </w:rPr>
            </w:pPr>
            <w:r>
              <w:rPr>
                <w:rFonts w:ascii="Times New Roman" w:hAnsi="Times New Roman"/>
                <w:b/>
                <w:sz w:val="24"/>
                <w:szCs w:val="24"/>
                <w:lang w:val="lv-LV"/>
              </w:rPr>
              <w:t xml:space="preserve">Latvijas Lielo pilsētu asociācijas </w:t>
            </w:r>
            <w:r w:rsidRPr="00C92FDD">
              <w:rPr>
                <w:rFonts w:ascii="Times New Roman" w:hAnsi="Times New Roman"/>
                <w:b/>
                <w:sz w:val="24"/>
                <w:szCs w:val="24"/>
                <w:lang w:val="lv-LV"/>
              </w:rPr>
              <w:t>02.09.2019</w:t>
            </w:r>
            <w:r>
              <w:rPr>
                <w:rFonts w:ascii="Times New Roman" w:hAnsi="Times New Roman"/>
                <w:b/>
                <w:sz w:val="24"/>
                <w:szCs w:val="24"/>
                <w:lang w:val="lv-LV"/>
              </w:rPr>
              <w:t xml:space="preserve"> atzinums</w:t>
            </w:r>
          </w:p>
          <w:p w14:paraId="1188F890" w14:textId="57908DA6" w:rsidR="003A3ED3" w:rsidRDefault="003A3ED3" w:rsidP="003A3ED3">
            <w:pPr>
              <w:pStyle w:val="ListParagraph"/>
              <w:widowControl w:val="0"/>
              <w:spacing w:after="0" w:line="240" w:lineRule="auto"/>
              <w:ind w:left="0"/>
              <w:jc w:val="both"/>
              <w:rPr>
                <w:rFonts w:ascii="Times New Roman" w:hAnsi="Times New Roman"/>
                <w:b/>
                <w:sz w:val="24"/>
                <w:szCs w:val="24"/>
                <w:lang w:val="lv-LV"/>
              </w:rPr>
            </w:pPr>
            <w:r>
              <w:rPr>
                <w:rFonts w:ascii="Times New Roman" w:hAnsi="Times New Roman"/>
                <w:color w:val="000000"/>
                <w:sz w:val="24"/>
                <w:szCs w:val="24"/>
                <w:lang w:val="lv-LV"/>
              </w:rPr>
              <w:t>Informatīvā ziņojuma 2. nodaļā (3.-4.lpp.) ir norādīts, ka lielākie ne-ETS SEG emisiju avoti ir transporta sektors (29 %), lauksaimniecības sektors (25 %) un cita ne-</w:t>
            </w:r>
            <w:r>
              <w:rPr>
                <w:rFonts w:ascii="Times New Roman" w:hAnsi="Times New Roman"/>
                <w:color w:val="000000"/>
                <w:sz w:val="24"/>
                <w:szCs w:val="24"/>
                <w:lang w:val="lv-LV"/>
              </w:rPr>
              <w:lastRenderedPageBreak/>
              <w:t xml:space="preserve">ETS enerģētika (16 %), un Modernizācijas fonda līdzekļi būtu jākoncentrē uz investīcijām ne-ETS sektora attiecīgajos problemātiskajos sektoros. Atbalstām investīciju veikšanu ne-ETS SEG emisiju samazināšanā transporta sektorā un citā ne-ETS enerģētikā, taču norādām, ka </w:t>
            </w:r>
            <w:r>
              <w:rPr>
                <w:rFonts w:ascii="Times New Roman" w:hAnsi="Times New Roman"/>
                <w:b/>
                <w:bCs/>
                <w:color w:val="000000"/>
                <w:sz w:val="24"/>
                <w:szCs w:val="24"/>
                <w:lang w:val="lv-LV"/>
              </w:rPr>
              <w:t>Modernizācijas fonda finansējuma ieguldīšana lauksaimniecības sektora radīto ne-ETS SEG emisiju mazināšanā nav atbalstāma</w:t>
            </w:r>
            <w:r>
              <w:rPr>
                <w:rFonts w:ascii="Times New Roman" w:hAnsi="Times New Roman"/>
                <w:color w:val="000000"/>
                <w:sz w:val="24"/>
                <w:szCs w:val="24"/>
                <w:lang w:val="lv-LV"/>
              </w:rPr>
              <w:t xml:space="preserve">, ņemot vērā sektoram novirzīto ikgadējo subsīdiju apjomu un Zemkopība ministrijas atbildībā esošo Eiropas Savienības fondu atbalsta programmu lauksaimniecībai apjomu. Tā vietā </w:t>
            </w:r>
            <w:r>
              <w:rPr>
                <w:rFonts w:ascii="Times New Roman" w:hAnsi="Times New Roman"/>
                <w:b/>
                <w:bCs/>
                <w:color w:val="000000"/>
                <w:sz w:val="24"/>
                <w:szCs w:val="24"/>
                <w:lang w:val="lv-LV"/>
              </w:rPr>
              <w:t>Eiropas Savienības fondu atbalsta programmu lauksaimniecībai ietvaros pieejamā finansējuma sadalē būtu nepieciešams ieviest tādus kritērijus, kas vērsti uz lauksaimniecības sektora radīto ne-ETS SEG emisiju samazināšanu.</w:t>
            </w:r>
          </w:p>
        </w:tc>
        <w:tc>
          <w:tcPr>
            <w:tcW w:w="5103" w:type="dxa"/>
            <w:tcBorders>
              <w:top w:val="single" w:sz="6" w:space="0" w:color="000000"/>
              <w:left w:val="single" w:sz="6" w:space="0" w:color="000000"/>
              <w:bottom w:val="single" w:sz="6" w:space="0" w:color="000000"/>
              <w:right w:val="single" w:sz="6" w:space="0" w:color="000000"/>
            </w:tcBorders>
          </w:tcPr>
          <w:p w14:paraId="7E557806" w14:textId="42F03274" w:rsidR="003A3ED3" w:rsidRDefault="003A3ED3" w:rsidP="003A3ED3">
            <w:pPr>
              <w:jc w:val="center"/>
              <w:rPr>
                <w:b/>
                <w:lang w:eastAsia="x-none"/>
              </w:rPr>
            </w:pPr>
            <w:r>
              <w:rPr>
                <w:b/>
                <w:lang w:eastAsia="x-none"/>
              </w:rPr>
              <w:lastRenderedPageBreak/>
              <w:t>Ņ</w:t>
            </w:r>
            <w:r w:rsidRPr="00494DFF">
              <w:rPr>
                <w:b/>
                <w:lang w:eastAsia="x-none"/>
              </w:rPr>
              <w:t>em</w:t>
            </w:r>
            <w:r>
              <w:rPr>
                <w:b/>
                <w:lang w:eastAsia="x-none"/>
              </w:rPr>
              <w:t>t</w:t>
            </w:r>
            <w:r w:rsidRPr="00494DFF">
              <w:rPr>
                <w:b/>
                <w:lang w:eastAsia="x-none"/>
              </w:rPr>
              <w:t>s vērā</w:t>
            </w:r>
          </w:p>
          <w:p w14:paraId="2FEA7FCF" w14:textId="77777777" w:rsidR="003A3ED3" w:rsidRDefault="003A3ED3" w:rsidP="003A3ED3">
            <w:pPr>
              <w:spacing w:before="120" w:after="120"/>
              <w:jc w:val="both"/>
            </w:pPr>
            <w:r w:rsidRPr="000721B8">
              <w:t>Precizēts informatīvais ziņojums svītrojot vārdu “trīs” 2. nodaļas pēdējā rindkopā.</w:t>
            </w:r>
          </w:p>
          <w:p w14:paraId="5235E4F7" w14:textId="77777777" w:rsidR="003A3ED3" w:rsidRDefault="003A3ED3" w:rsidP="003A3ED3">
            <w:pPr>
              <w:jc w:val="both"/>
            </w:pPr>
            <w:r>
              <w:t xml:space="preserve">Lūdzam ņemt vērā, ka </w:t>
            </w:r>
            <w:r w:rsidRPr="000721B8">
              <w:t xml:space="preserve">šī Informatīvā ziņojuma uzdevums nav noteikt konkrētus pasākumus vai pat </w:t>
            </w:r>
            <w:r w:rsidRPr="000721B8">
              <w:lastRenderedPageBreak/>
              <w:t>projektus, kas tiks atbalstīti Modernizācijas fonda ietvaros.</w:t>
            </w:r>
            <w:r>
              <w:t xml:space="preserve"> Tajā pat laikā Direktīvas 2003/87 10 d</w:t>
            </w:r>
            <w:r w:rsidRPr="00B07612">
              <w:t xml:space="preserve"> </w:t>
            </w:r>
            <w:r>
              <w:t xml:space="preserve"> </w:t>
            </w:r>
            <w:r w:rsidRPr="00B07612">
              <w:t>pan</w:t>
            </w:r>
            <w:r>
              <w:t>ta</w:t>
            </w:r>
            <w:r w:rsidRPr="00B07612">
              <w:t xml:space="preserve"> 2.</w:t>
            </w:r>
            <w:r>
              <w:t> </w:t>
            </w:r>
            <w:r w:rsidRPr="00B07612">
              <w:t>punktā</w:t>
            </w:r>
            <w:r>
              <w:t xml:space="preserve"> ir</w:t>
            </w:r>
            <w:r w:rsidRPr="00B07612">
              <w:t xml:space="preserve"> </w:t>
            </w:r>
            <w:r>
              <w:t>uzskaitīts</w:t>
            </w:r>
            <w:r w:rsidRPr="00B07612">
              <w:t xml:space="preserve"> plašs loks ar prioritārajām investīcijām, t.sk. investīcijām energoefektivitātē transporta, ēku, lauksaimniecības un atkritumu apsaimniekošanas jomās.</w:t>
            </w:r>
          </w:p>
          <w:p w14:paraId="789DBD7B" w14:textId="46071B7F" w:rsidR="003A3ED3" w:rsidRDefault="003A3ED3" w:rsidP="003A3ED3">
            <w:pPr>
              <w:spacing w:before="120" w:after="120"/>
              <w:jc w:val="both"/>
              <w:rPr>
                <w:bCs/>
                <w:color w:val="000000" w:themeColor="text1"/>
              </w:rPr>
            </w:pPr>
            <w:r w:rsidRPr="001D3DA4">
              <w:rPr>
                <w:rFonts w:eastAsia="Calibri"/>
              </w:rPr>
              <w:t>Vēršam uzmanību, ka</w:t>
            </w:r>
            <w:r>
              <w:rPr>
                <w:rFonts w:eastAsia="Calibri"/>
              </w:rPr>
              <w:t xml:space="preserve"> </w:t>
            </w:r>
            <w:r w:rsidRPr="00494DFF">
              <w:rPr>
                <w:bCs/>
                <w:color w:val="000000" w:themeColor="text1"/>
              </w:rPr>
              <w:t>tiek plānots nodrošināt demarkāciju starp citiem finanšu instrumentiem</w:t>
            </w:r>
            <w:r w:rsidR="00A85729">
              <w:rPr>
                <w:bCs/>
                <w:color w:val="000000" w:themeColor="text1"/>
              </w:rPr>
              <w:t xml:space="preserve"> un fondiem</w:t>
            </w:r>
            <w:r>
              <w:rPr>
                <w:bCs/>
                <w:color w:val="000000" w:themeColor="text1"/>
              </w:rPr>
              <w:t xml:space="preserve"> novēršot pieejamā finansējuma dublēšanos</w:t>
            </w:r>
            <w:r w:rsidR="00A85729">
              <w:rPr>
                <w:bCs/>
                <w:color w:val="000000" w:themeColor="text1"/>
              </w:rPr>
              <w:t>, t.sk</w:t>
            </w:r>
            <w:r w:rsidRPr="00494DFF">
              <w:rPr>
                <w:bCs/>
                <w:color w:val="000000" w:themeColor="text1"/>
              </w:rPr>
              <w:t>.</w:t>
            </w:r>
            <w:r w:rsidR="00A85729">
              <w:rPr>
                <w:bCs/>
                <w:color w:val="000000" w:themeColor="text1"/>
              </w:rPr>
              <w:t xml:space="preserve"> arī ar ES lauku attīstības politikai pieejamo finansējumu. </w:t>
            </w:r>
          </w:p>
          <w:p w14:paraId="4EB4555F" w14:textId="77777777" w:rsidR="003A3ED3" w:rsidRDefault="003A3ED3" w:rsidP="0053526A">
            <w:pPr>
              <w:spacing w:before="120" w:after="120"/>
              <w:jc w:val="center"/>
              <w:rPr>
                <w:b/>
              </w:rPr>
            </w:pPr>
          </w:p>
        </w:tc>
        <w:tc>
          <w:tcPr>
            <w:tcW w:w="2385" w:type="dxa"/>
            <w:tcBorders>
              <w:top w:val="single" w:sz="4" w:space="0" w:color="auto"/>
              <w:left w:val="single" w:sz="4" w:space="0" w:color="auto"/>
              <w:bottom w:val="single" w:sz="4" w:space="0" w:color="auto"/>
            </w:tcBorders>
          </w:tcPr>
          <w:p w14:paraId="773C0C07" w14:textId="7ACE760F" w:rsidR="003A3ED3" w:rsidRDefault="003A3ED3" w:rsidP="006C425E">
            <w:pPr>
              <w:jc w:val="both"/>
              <w:rPr>
                <w:b/>
              </w:rPr>
            </w:pPr>
            <w:r>
              <w:rPr>
                <w:b/>
              </w:rPr>
              <w:lastRenderedPageBreak/>
              <w:t>Informatīvais ziņojums</w:t>
            </w:r>
          </w:p>
        </w:tc>
      </w:tr>
    </w:tbl>
    <w:p w14:paraId="4F9A7F60" w14:textId="77AFE458" w:rsidR="00D45E44" w:rsidRPr="00606385" w:rsidRDefault="00D45E44" w:rsidP="00D45E44"/>
    <w:p w14:paraId="70EF3C77" w14:textId="77777777" w:rsidR="00D45E44" w:rsidRPr="00606385" w:rsidRDefault="00D45E44" w:rsidP="00D45E44">
      <w:r w:rsidRPr="00606385">
        <w:t xml:space="preserve">Atbildīgā amatpersona: </w:t>
      </w:r>
    </w:p>
    <w:p w14:paraId="0CE98814" w14:textId="77777777" w:rsidR="00807AA6" w:rsidRDefault="00551B1F" w:rsidP="00D45E44">
      <w:r>
        <w:t xml:space="preserve">G.Zustenieks, </w:t>
      </w:r>
    </w:p>
    <w:p w14:paraId="47318044" w14:textId="7616206F" w:rsidR="00551B1F" w:rsidRPr="00606385" w:rsidRDefault="000E2436" w:rsidP="00D45E44">
      <w:hyperlink r:id="rId8" w:history="1">
        <w:r w:rsidR="00551B1F" w:rsidRPr="007B4428">
          <w:rPr>
            <w:rStyle w:val="Hyperlink"/>
          </w:rPr>
          <w:t>gusts.zustenieks@varam.gov.lv</w:t>
        </w:r>
      </w:hyperlink>
      <w:r w:rsidR="00551B1F">
        <w:t xml:space="preserve"> </w:t>
      </w:r>
    </w:p>
    <w:sectPr w:rsidR="00551B1F" w:rsidRPr="00606385" w:rsidSect="001D6E1B">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53B67" w14:textId="77777777" w:rsidR="000E2436" w:rsidRDefault="000E2436" w:rsidP="00D45E44">
      <w:r>
        <w:separator/>
      </w:r>
    </w:p>
  </w:endnote>
  <w:endnote w:type="continuationSeparator" w:id="0">
    <w:p w14:paraId="347B6C5F" w14:textId="77777777" w:rsidR="000E2436" w:rsidRDefault="000E2436" w:rsidP="00D4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237A5" w14:textId="12623AC2" w:rsidR="00A11167" w:rsidRPr="00F13E2F" w:rsidRDefault="00A11167">
    <w:pPr>
      <w:pStyle w:val="Footer"/>
      <w:rPr>
        <w:sz w:val="20"/>
        <w:szCs w:val="20"/>
      </w:rPr>
    </w:pPr>
    <w:r w:rsidRPr="00446AE4">
      <w:rPr>
        <w:sz w:val="20"/>
        <w:szCs w:val="20"/>
      </w:rPr>
      <w:fldChar w:fldCharType="begin"/>
    </w:r>
    <w:r w:rsidRPr="00446AE4">
      <w:rPr>
        <w:sz w:val="20"/>
        <w:szCs w:val="20"/>
      </w:rPr>
      <w:instrText xml:space="preserve"> FILENAME   \* MERGEFORMAT </w:instrText>
    </w:r>
    <w:r w:rsidRPr="00446AE4">
      <w:rPr>
        <w:sz w:val="20"/>
        <w:szCs w:val="20"/>
      </w:rPr>
      <w:fldChar w:fldCharType="separate"/>
    </w:r>
    <w:r w:rsidR="00DB6274">
      <w:rPr>
        <w:noProof/>
        <w:sz w:val="20"/>
        <w:szCs w:val="20"/>
      </w:rPr>
      <w:t>VARAMIzz_ModF_1909019</w:t>
    </w:r>
    <w:r w:rsidRPr="00446AE4">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E2CE" w14:textId="054BEB33" w:rsidR="00A11167" w:rsidRPr="00B67DFF" w:rsidRDefault="00A11167">
    <w:pPr>
      <w:pStyle w:val="Footer"/>
      <w:rPr>
        <w:sz w:val="20"/>
        <w:szCs w:val="20"/>
      </w:rPr>
    </w:pPr>
    <w:r w:rsidRPr="00B67DFF">
      <w:rPr>
        <w:sz w:val="20"/>
        <w:szCs w:val="20"/>
      </w:rPr>
      <w:fldChar w:fldCharType="begin"/>
    </w:r>
    <w:r w:rsidRPr="00B67DFF">
      <w:rPr>
        <w:sz w:val="20"/>
        <w:szCs w:val="20"/>
      </w:rPr>
      <w:instrText xml:space="preserve"> FILENAME   \* MERGEFORMAT </w:instrText>
    </w:r>
    <w:r w:rsidRPr="00B67DFF">
      <w:rPr>
        <w:sz w:val="20"/>
        <w:szCs w:val="20"/>
      </w:rPr>
      <w:fldChar w:fldCharType="separate"/>
    </w:r>
    <w:r w:rsidR="005B14DC">
      <w:rPr>
        <w:noProof/>
        <w:sz w:val="20"/>
        <w:szCs w:val="20"/>
      </w:rPr>
      <w:t>VARAMIzz_ModF_1909019</w:t>
    </w:r>
    <w:r w:rsidRPr="00B67DF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01E2D" w14:textId="77777777" w:rsidR="000E2436" w:rsidRDefault="000E2436" w:rsidP="00D45E44">
      <w:r>
        <w:separator/>
      </w:r>
    </w:p>
  </w:footnote>
  <w:footnote w:type="continuationSeparator" w:id="0">
    <w:p w14:paraId="7604B586" w14:textId="77777777" w:rsidR="000E2436" w:rsidRDefault="000E2436" w:rsidP="00D45E44">
      <w:r>
        <w:continuationSeparator/>
      </w:r>
    </w:p>
  </w:footnote>
  <w:footnote w:id="1">
    <w:p w14:paraId="02EE1448" w14:textId="77777777" w:rsidR="00A11167" w:rsidRPr="00BC2ED8" w:rsidRDefault="00A11167" w:rsidP="00AE6305">
      <w:pPr>
        <w:pStyle w:val="FootnoteText"/>
        <w:spacing w:after="0" w:line="240" w:lineRule="auto"/>
        <w:jc w:val="both"/>
        <w:rPr>
          <w:rFonts w:ascii="Times New Roman" w:hAnsi="Times New Roman"/>
          <w:lang w:val="lv-LV"/>
        </w:rPr>
      </w:pPr>
      <w:r w:rsidRPr="00BC2ED8">
        <w:rPr>
          <w:rStyle w:val="FootnoteReference"/>
          <w:rFonts w:ascii="Times New Roman" w:hAnsi="Times New Roman"/>
          <w:lang w:val="lv-LV"/>
        </w:rPr>
        <w:footnoteRef/>
      </w:r>
      <w:r w:rsidRPr="00BC2ED8">
        <w:rPr>
          <w:rFonts w:ascii="Times New Roman" w:hAnsi="Times New Roman"/>
          <w:lang w:val="lv-LV"/>
        </w:rPr>
        <w:t xml:space="preserve"> Eiropas Parlamenta un Padomes 2003.gada 13.oktobra direktīva Nr.2003/87/EK, ar kuru nosaka sistēmu siltumnīcas efektu izraisošo gāzu emisijas kvotu tirdzniecībai M9  Savienībā un groza Padomes Direktīvu 96/61/EK</w:t>
      </w:r>
    </w:p>
  </w:footnote>
  <w:footnote w:id="2">
    <w:p w14:paraId="028CB160" w14:textId="77777777" w:rsidR="00A11167" w:rsidRPr="00BC2ED8" w:rsidRDefault="00A11167" w:rsidP="00AE6305">
      <w:pPr>
        <w:pStyle w:val="FootnoteText"/>
        <w:spacing w:after="0" w:line="240" w:lineRule="auto"/>
        <w:jc w:val="both"/>
        <w:rPr>
          <w:rFonts w:ascii="Times New Roman" w:hAnsi="Times New Roman"/>
          <w:lang w:val="lv-LV"/>
        </w:rPr>
      </w:pPr>
      <w:r w:rsidRPr="00BC2ED8">
        <w:rPr>
          <w:rStyle w:val="FootnoteReference"/>
          <w:rFonts w:ascii="Times New Roman" w:hAnsi="Times New Roman"/>
          <w:lang w:val="lv-LV"/>
        </w:rPr>
        <w:footnoteRef/>
      </w:r>
      <w:r w:rsidRPr="00BC2ED8">
        <w:rPr>
          <w:rFonts w:ascii="Times New Roman" w:hAnsi="Times New Roman"/>
          <w:lang w:val="lv-LV"/>
        </w:rPr>
        <w:t xml:space="preserve"> Eiropas Parlamenta un Padomes 2018.gada 14.marta direktīva Nr.2018/410, ar ko groza Direktīvu 2003/87/EK, lai sekmētu emisiju izmaksefektīvu samazināšanu un investīcijas mazoglekļa risinājumos, un Lēmumu (ES) 2015/1814</w:t>
      </w:r>
    </w:p>
  </w:footnote>
  <w:footnote w:id="3">
    <w:p w14:paraId="5226235C" w14:textId="77777777" w:rsidR="00A11167" w:rsidRPr="00B21E01" w:rsidRDefault="00A11167" w:rsidP="00B73772">
      <w:pPr>
        <w:pStyle w:val="FootnoteText"/>
        <w:spacing w:after="0" w:line="240" w:lineRule="auto"/>
        <w:rPr>
          <w:rFonts w:ascii="Times New Roman" w:hAnsi="Times New Roman"/>
          <w:lang w:val="lv-LV"/>
        </w:rPr>
      </w:pPr>
      <w:r w:rsidRPr="00B21E01">
        <w:rPr>
          <w:rStyle w:val="FootnoteReference"/>
          <w:rFonts w:ascii="Times New Roman" w:hAnsi="Times New Roman"/>
        </w:rPr>
        <w:footnoteRef/>
      </w:r>
      <w:r w:rsidRPr="00B21E01">
        <w:rPr>
          <w:rFonts w:ascii="Times New Roman" w:hAnsi="Times New Roman"/>
          <w:lang w:val="lv-LV"/>
        </w:rPr>
        <w:t xml:space="preserve"> </w:t>
      </w:r>
      <w:hyperlink r:id="rId1" w:history="1">
        <w:r w:rsidRPr="00B21E01">
          <w:rPr>
            <w:rStyle w:val="Hyperlink"/>
            <w:rFonts w:ascii="Times New Roman" w:hAnsi="Times New Roman"/>
            <w:lang w:val="lv-LV"/>
          </w:rPr>
          <w:t>http://data.consilium.europa.eu/doc/document/ST-169-2014-INIT/lv/pdf</w:t>
        </w:r>
      </w:hyperlink>
    </w:p>
  </w:footnote>
  <w:footnote w:id="4">
    <w:p w14:paraId="2BCB0969" w14:textId="77777777" w:rsidR="00A11167" w:rsidRPr="00AC0697" w:rsidRDefault="00A11167" w:rsidP="00B73772">
      <w:pPr>
        <w:pStyle w:val="FootnoteText"/>
        <w:spacing w:after="0" w:line="240" w:lineRule="auto"/>
        <w:rPr>
          <w:rFonts w:ascii="Times New Roman" w:hAnsi="Times New Roman"/>
          <w:lang w:val="lv-LV"/>
        </w:rPr>
      </w:pPr>
      <w:r w:rsidRPr="00AC0697">
        <w:rPr>
          <w:rStyle w:val="FootnoteReference"/>
          <w:rFonts w:ascii="Times New Roman" w:hAnsi="Times New Roman"/>
        </w:rPr>
        <w:footnoteRef/>
      </w:r>
      <w:r w:rsidRPr="00AC0697">
        <w:rPr>
          <w:rFonts w:ascii="Times New Roman" w:hAnsi="Times New Roman"/>
          <w:lang w:val="lv-LV"/>
        </w:rPr>
        <w:t xml:space="preserve"> </w:t>
      </w:r>
      <w:hyperlink r:id="rId2" w:history="1">
        <w:r w:rsidRPr="00AC0697">
          <w:rPr>
            <w:rStyle w:val="Hyperlink"/>
            <w:rFonts w:ascii="Times New Roman" w:hAnsi="Times New Roman"/>
            <w:lang w:val="lv-LV"/>
          </w:rPr>
          <w:t>https://www.pkc.gov.lv/sites/default/files/inline-files/Latvija_2030_7.pdf</w:t>
        </w:r>
      </w:hyperlink>
    </w:p>
  </w:footnote>
  <w:footnote w:id="5">
    <w:p w14:paraId="7896879E" w14:textId="77777777" w:rsidR="00C61609" w:rsidRPr="00AC0697" w:rsidRDefault="00C61609" w:rsidP="00C61609">
      <w:pPr>
        <w:pStyle w:val="FootnoteText"/>
        <w:spacing w:after="0" w:line="240" w:lineRule="auto"/>
        <w:rPr>
          <w:rFonts w:ascii="Times New Roman" w:hAnsi="Times New Roman"/>
          <w:lang w:val="lv-LV"/>
        </w:rPr>
      </w:pPr>
      <w:r w:rsidRPr="00AC0697">
        <w:rPr>
          <w:rStyle w:val="FootnoteReference"/>
          <w:rFonts w:ascii="Times New Roman" w:hAnsi="Times New Roman"/>
        </w:rPr>
        <w:footnoteRef/>
      </w:r>
      <w:r w:rsidRPr="00AC0697">
        <w:rPr>
          <w:rFonts w:ascii="Times New Roman" w:hAnsi="Times New Roman"/>
          <w:lang w:val="lv-LV"/>
        </w:rPr>
        <w:t xml:space="preserve"> Likuma “Par piesārņojumu” 52.panta pirmā daļa</w:t>
      </w:r>
    </w:p>
  </w:footnote>
  <w:footnote w:id="6">
    <w:p w14:paraId="130F8031" w14:textId="77777777" w:rsidR="00C61609" w:rsidRPr="002B429B" w:rsidRDefault="00C61609" w:rsidP="00C61609">
      <w:pPr>
        <w:pStyle w:val="FootnoteText"/>
        <w:rPr>
          <w:lang w:val="lv-LV"/>
        </w:rPr>
      </w:pPr>
      <w:r>
        <w:rPr>
          <w:rStyle w:val="FootnoteReference"/>
        </w:rPr>
        <w:footnoteRef/>
      </w:r>
      <w:r w:rsidRPr="001A7925">
        <w:rPr>
          <w:lang w:val="lv-LV"/>
        </w:rPr>
        <w:t xml:space="preserve"> </w:t>
      </w:r>
      <w:hyperlink r:id="rId3" w:history="1">
        <w:r w:rsidRPr="001A7925">
          <w:rPr>
            <w:rStyle w:val="Hyperlink"/>
            <w:lang w:val="lv-LV"/>
          </w:rPr>
          <w:t>https://ec.europa.eu/clima/policies/ets_en</w:t>
        </w:r>
      </w:hyperlink>
    </w:p>
  </w:footnote>
  <w:footnote w:id="7">
    <w:p w14:paraId="6949859C" w14:textId="77777777" w:rsidR="00EC4256" w:rsidRPr="004D14D4" w:rsidRDefault="00EC4256" w:rsidP="00EC4256">
      <w:pPr>
        <w:pStyle w:val="FootnoteText"/>
        <w:spacing w:after="0" w:line="240" w:lineRule="auto"/>
        <w:rPr>
          <w:rFonts w:ascii="Times New Roman" w:hAnsi="Times New Roman"/>
          <w:lang w:val="lv-LV"/>
        </w:rPr>
      </w:pPr>
      <w:r w:rsidRPr="00AC0697">
        <w:rPr>
          <w:rStyle w:val="FootnoteReference"/>
          <w:rFonts w:ascii="Times New Roman" w:hAnsi="Times New Roman"/>
        </w:rPr>
        <w:footnoteRef/>
      </w:r>
      <w:r w:rsidRPr="00AC0697">
        <w:rPr>
          <w:rFonts w:ascii="Times New Roman" w:hAnsi="Times New Roman"/>
          <w:lang w:val="lv-LV"/>
        </w:rPr>
        <w:t xml:space="preserve"> </w:t>
      </w:r>
      <w:hyperlink r:id="rId4" w:history="1">
        <w:r w:rsidRPr="00AC0697">
          <w:rPr>
            <w:rStyle w:val="Hyperlink"/>
            <w:rFonts w:ascii="Times New Roman" w:hAnsi="Times New Roman"/>
            <w:lang w:val="lv-LV"/>
          </w:rPr>
          <w:t>http://www.lrvk.gov.lv/revizija/vai-vides-aizsardzibas-un-regionalas-attistibas-ministrijas-administretie-klimata-parmainu-samazinasanai-paredzetie-lidzekli-tiek-planoti-un-izlietoti-efektivi-un-atbilstosi-normativo-aktu-prasibam/</w:t>
        </w:r>
      </w:hyperlink>
    </w:p>
  </w:footnote>
  <w:footnote w:id="8">
    <w:p w14:paraId="4497AF07" w14:textId="77777777" w:rsidR="00EC4256" w:rsidRPr="00E017DF" w:rsidRDefault="00EC4256" w:rsidP="00EC4256">
      <w:pPr>
        <w:pStyle w:val="FootnoteText"/>
        <w:spacing w:after="0" w:line="240" w:lineRule="auto"/>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w:t>
      </w:r>
      <w:hyperlink r:id="rId5" w:history="1">
        <w:r w:rsidRPr="00E017DF">
          <w:rPr>
            <w:rStyle w:val="Hyperlink"/>
            <w:rFonts w:ascii="Times New Roman" w:hAnsi="Times New Roman"/>
            <w:lang w:val="lv-LV"/>
          </w:rPr>
          <w:t>https://www.youtube.com/watch?v=ufVR1JV4Or0</w:t>
        </w:r>
      </w:hyperlink>
    </w:p>
  </w:footnote>
  <w:footnote w:id="9">
    <w:p w14:paraId="0A2274F7" w14:textId="77777777" w:rsidR="00EC4256" w:rsidRPr="00E017DF" w:rsidRDefault="00EC4256" w:rsidP="00EC4256">
      <w:pPr>
        <w:pStyle w:val="FootnoteText"/>
        <w:spacing w:after="0" w:line="240" w:lineRule="auto"/>
        <w:jc w:val="both"/>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rPr>
        <w:t xml:space="preserve"> </w:t>
      </w:r>
      <w:r w:rsidRPr="00E017DF">
        <w:rPr>
          <w:rFonts w:ascii="Times New Roman" w:hAnsi="Times New Roman"/>
          <w:lang w:val="lv-LV"/>
        </w:rPr>
        <w:t>Tehnoloģiju ražošana rada jaunas SEG emisijas nevis samazina esošo SEG emisiju apjomu</w:t>
      </w:r>
    </w:p>
  </w:footnote>
  <w:footnote w:id="10">
    <w:p w14:paraId="66EDDDE7" w14:textId="77777777" w:rsidR="00EC4256" w:rsidRPr="00E017DF" w:rsidRDefault="00EC4256" w:rsidP="00EC4256">
      <w:pPr>
        <w:pStyle w:val="FootnoteText"/>
        <w:spacing w:after="0" w:line="240" w:lineRule="auto"/>
        <w:jc w:val="both"/>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Būvniecības sektors un būvmateriālu ražošanas sektors ir lielākie SEG emisiju avoti rūpniecības nozarē, un būvniecības pastiprināta attīstība veicinās jaunu SEG emisiju radīšanu nevis samazinās esošo SEG emisiju apjomu</w:t>
      </w:r>
    </w:p>
  </w:footnote>
  <w:footnote w:id="11">
    <w:p w14:paraId="4E66CD45" w14:textId="77777777" w:rsidR="00EC4256" w:rsidRPr="00E017DF" w:rsidRDefault="00EC4256" w:rsidP="00EC4256">
      <w:pPr>
        <w:pStyle w:val="FootnoteText"/>
        <w:spacing w:after="0" w:line="240" w:lineRule="auto"/>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pie emisijas kvotu cenas 30,5</w:t>
      </w:r>
      <w:r w:rsidRPr="00E017DF">
        <w:rPr>
          <w:rFonts w:ascii="Times New Roman" w:hAnsi="Times New Roman"/>
          <w:iCs/>
          <w:lang w:val="lv-LV"/>
        </w:rPr>
        <w:t xml:space="preserve"> EUR </w:t>
      </w:r>
      <w:r w:rsidRPr="00E017DF">
        <w:rPr>
          <w:rFonts w:ascii="Times New Roman" w:hAnsi="Times New Roman"/>
          <w:lang w:val="lv-LV"/>
        </w:rPr>
        <w:t>Saskaņā ar ekspertu vidējām prognozēm ES ETS 4. periodā (publicēts 10.04.2019.; http://carbon-pulse.com/72837/)</w:t>
      </w:r>
    </w:p>
  </w:footnote>
  <w:footnote w:id="12">
    <w:p w14:paraId="58DDAE8D" w14:textId="77777777" w:rsidR="00EC4256" w:rsidRPr="00E017DF" w:rsidRDefault="00EC4256" w:rsidP="00EC4256">
      <w:pPr>
        <w:pStyle w:val="FootnoteText"/>
        <w:spacing w:after="0" w:line="240" w:lineRule="auto"/>
        <w:rPr>
          <w:rFonts w:ascii="Times New Roman" w:hAnsi="Times New Roman"/>
          <w:lang w:val="lv-LV"/>
        </w:rPr>
      </w:pPr>
      <w:r w:rsidRPr="00E017DF">
        <w:rPr>
          <w:rStyle w:val="FootnoteReference"/>
          <w:rFonts w:ascii="Times New Roman" w:hAnsi="Times New Roman"/>
        </w:rPr>
        <w:footnoteRef/>
      </w:r>
      <w:r w:rsidRPr="00E017DF">
        <w:rPr>
          <w:rFonts w:ascii="Times New Roman" w:hAnsi="Times New Roman"/>
          <w:lang w:val="lv-LV"/>
        </w:rPr>
        <w:t xml:space="preserve"> </w:t>
      </w:r>
      <w:hyperlink r:id="rId6" w:history="1">
        <w:r w:rsidRPr="00E017DF">
          <w:rPr>
            <w:rStyle w:val="Hyperlink"/>
            <w:rFonts w:ascii="Times New Roman" w:hAnsi="Times New Roman"/>
            <w:lang w:val="lv-LV"/>
          </w:rPr>
          <w:t>http://tap.mk.gov.lv/doc/2019_07/VARAMKonc_180619_bezmaksas_kv.1194.docx</w:t>
        </w:r>
      </w:hyperlink>
      <w:r w:rsidRPr="00E017DF">
        <w:rPr>
          <w:rFonts w:ascii="Times New Roman" w:hAnsi="Times New Roman"/>
          <w:lang w:val="lv-LV"/>
        </w:rPr>
        <w:t xml:space="preserve"> </w:t>
      </w:r>
    </w:p>
  </w:footnote>
  <w:footnote w:id="13">
    <w:p w14:paraId="4B7E32EF" w14:textId="77777777" w:rsidR="00EC4256" w:rsidRPr="006E43FC" w:rsidRDefault="00EC4256" w:rsidP="00EC4256">
      <w:pPr>
        <w:pStyle w:val="FootnoteText"/>
        <w:spacing w:after="0" w:line="240" w:lineRule="auto"/>
        <w:rPr>
          <w:rFonts w:ascii="Times New Roman" w:hAnsi="Times New Roman"/>
          <w:lang w:val="lv-LV"/>
        </w:rPr>
      </w:pPr>
      <w:r w:rsidRPr="006E43FC">
        <w:rPr>
          <w:rStyle w:val="FootnoteReference"/>
          <w:rFonts w:ascii="Times New Roman" w:hAnsi="Times New Roman"/>
        </w:rPr>
        <w:footnoteRef/>
      </w:r>
      <w:r w:rsidRPr="006E43FC">
        <w:rPr>
          <w:rFonts w:ascii="Times New Roman" w:hAnsi="Times New Roman"/>
        </w:rPr>
        <w:t xml:space="preserve"> </w:t>
      </w:r>
      <w:r w:rsidRPr="006E43FC">
        <w:rPr>
          <w:rFonts w:ascii="Times New Roman" w:hAnsi="Times New Roman"/>
          <w:lang w:val="lv-LV"/>
        </w:rPr>
        <w:t>Likuma “Par Latvijas Republikas dalību Kioto protokola elastīgajos mehānismos” 8.panta trešā daļa</w:t>
      </w:r>
    </w:p>
  </w:footnote>
  <w:footnote w:id="14">
    <w:p w14:paraId="4374E140" w14:textId="77777777" w:rsidR="00EC4256" w:rsidRPr="006E43FC" w:rsidRDefault="00EC4256" w:rsidP="00EC4256">
      <w:pPr>
        <w:pStyle w:val="FootnoteText"/>
        <w:spacing w:after="0" w:line="240" w:lineRule="auto"/>
        <w:rPr>
          <w:rFonts w:ascii="Times New Roman" w:hAnsi="Times New Roman"/>
          <w:lang w:val="lv-LV"/>
        </w:rPr>
      </w:pPr>
      <w:r w:rsidRPr="006E43FC">
        <w:rPr>
          <w:rStyle w:val="FootnoteReference"/>
          <w:rFonts w:ascii="Times New Roman" w:hAnsi="Times New Roman"/>
        </w:rPr>
        <w:footnoteRef/>
      </w:r>
      <w:r w:rsidRPr="006E43FC">
        <w:rPr>
          <w:rFonts w:ascii="Times New Roman" w:hAnsi="Times New Roman"/>
          <w:lang w:val="lv-LV"/>
        </w:rPr>
        <w:t xml:space="preserve"> </w:t>
      </w:r>
      <w:hyperlink r:id="rId7" w:history="1">
        <w:r w:rsidRPr="006E43FC">
          <w:rPr>
            <w:rStyle w:val="Hyperlink"/>
            <w:rFonts w:ascii="Times New Roman" w:hAnsi="Times New Roman"/>
            <w:lang w:val="lv-LV"/>
          </w:rPr>
          <w:t>https://www.em.gov.lv/resources/web/esfondi/2019.03.04.%20ES%20fondi%20LV%20macins.jpg</w:t>
        </w:r>
      </w:hyperlink>
    </w:p>
  </w:footnote>
  <w:footnote w:id="15">
    <w:p w14:paraId="10416BF0" w14:textId="77777777" w:rsidR="00EC4256" w:rsidRPr="00911572" w:rsidRDefault="00EC4256" w:rsidP="00EC4256">
      <w:pPr>
        <w:pStyle w:val="FootnoteText"/>
        <w:spacing w:after="0" w:line="240" w:lineRule="auto"/>
        <w:rPr>
          <w:lang w:val="lv-LV"/>
        </w:rPr>
      </w:pPr>
      <w:r>
        <w:rPr>
          <w:rStyle w:val="FootnoteReference"/>
        </w:rPr>
        <w:footnoteRef/>
      </w:r>
      <w:r>
        <w:t xml:space="preserve"> </w:t>
      </w:r>
      <w:hyperlink r:id="rId8" w:history="1">
        <w:r>
          <w:rPr>
            <w:rStyle w:val="Hyperlink"/>
          </w:rPr>
          <w:t>https://eur-lex.europa.eu/legal-content/EN/TXT/?uri=COM%3A2018%3A372%3AFIN</w:t>
        </w:r>
      </w:hyperlink>
      <w:r>
        <w:t xml:space="preserve"> (2.pants)</w:t>
      </w:r>
    </w:p>
  </w:footnote>
  <w:footnote w:id="16">
    <w:p w14:paraId="38D691D5" w14:textId="77777777" w:rsidR="00EC4256" w:rsidRPr="00911572" w:rsidRDefault="00EC4256" w:rsidP="00EC4256">
      <w:pPr>
        <w:pStyle w:val="FootnoteText"/>
        <w:rPr>
          <w:lang w:val="lv-LV"/>
        </w:rPr>
      </w:pPr>
      <w:r>
        <w:rPr>
          <w:rStyle w:val="FootnoteReference"/>
        </w:rPr>
        <w:footnoteRef/>
      </w:r>
      <w:r>
        <w:t xml:space="preserve"> </w:t>
      </w:r>
      <w:hyperlink r:id="rId9" w:history="1">
        <w:r>
          <w:rPr>
            <w:rStyle w:val="Hyperlink"/>
          </w:rPr>
          <w:t>https://www.esfondi.lv/upload/Prezentacijas/lv_updated-launch-event-v7-05april19.pdf</w:t>
        </w:r>
      </w:hyperlink>
      <w:r>
        <w:t xml:space="preserve"> (11. slaids)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D69F" w14:textId="77777777" w:rsidR="00A11167" w:rsidRDefault="00A11167"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E81A2" w14:textId="77777777" w:rsidR="00A11167" w:rsidRDefault="00A11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56A5" w14:textId="5781647D" w:rsidR="00A11167" w:rsidRDefault="00A11167"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A00">
      <w:rPr>
        <w:rStyle w:val="PageNumber"/>
        <w:noProof/>
      </w:rPr>
      <w:t>7</w:t>
    </w:r>
    <w:r>
      <w:rPr>
        <w:rStyle w:val="PageNumber"/>
      </w:rPr>
      <w:fldChar w:fldCharType="end"/>
    </w:r>
  </w:p>
  <w:p w14:paraId="6FB7C138" w14:textId="77777777" w:rsidR="00A11167" w:rsidRDefault="00A11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C3"/>
    <w:multiLevelType w:val="hybridMultilevel"/>
    <w:tmpl w:val="DA326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1">
    <w:nsid w:val="07F91EBE"/>
    <w:multiLevelType w:val="hybridMultilevel"/>
    <w:tmpl w:val="244CB970"/>
    <w:lvl w:ilvl="0" w:tplc="FFFFFFFF">
      <w:start w:val="1"/>
      <w:numFmt w:val="bullet"/>
      <w:lvlText w:val=""/>
      <w:lvlJc w:val="left"/>
      <w:pPr>
        <w:ind w:left="1571" w:hanging="360"/>
      </w:pPr>
      <w:rPr>
        <w:rFonts w:ascii="Symbol" w:eastAsia="Calibri" w:hAnsi="Symbol"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08165DD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051C34"/>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AB5B49"/>
    <w:multiLevelType w:val="hybridMultilevel"/>
    <w:tmpl w:val="7E3E926A"/>
    <w:lvl w:ilvl="0" w:tplc="5DA044DE">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BC21881"/>
    <w:multiLevelType w:val="hybridMultilevel"/>
    <w:tmpl w:val="1DB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81A35"/>
    <w:multiLevelType w:val="hybridMultilevel"/>
    <w:tmpl w:val="59A4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9650A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10" w15:restartNumberingAfterBreak="0">
    <w:nsid w:val="290969D5"/>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D6027"/>
    <w:multiLevelType w:val="hybridMultilevel"/>
    <w:tmpl w:val="2AC06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F1E0E"/>
    <w:multiLevelType w:val="multilevel"/>
    <w:tmpl w:val="7D9C4A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9D0535"/>
    <w:multiLevelType w:val="hybridMultilevel"/>
    <w:tmpl w:val="A22C2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D05FE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363DD1"/>
    <w:multiLevelType w:val="hybridMultilevel"/>
    <w:tmpl w:val="9B769BB6"/>
    <w:lvl w:ilvl="0" w:tplc="101A3428">
      <w:start w:val="1"/>
      <w:numFmt w:val="bullet"/>
      <w:lvlText w:val="•"/>
      <w:lvlJc w:val="left"/>
      <w:pPr>
        <w:tabs>
          <w:tab w:val="num" w:pos="720"/>
        </w:tabs>
        <w:ind w:left="720" w:hanging="360"/>
      </w:pPr>
      <w:rPr>
        <w:rFonts w:ascii="Times New Roman" w:hAnsi="Times New Roman" w:hint="default"/>
      </w:rPr>
    </w:lvl>
    <w:lvl w:ilvl="1" w:tplc="35B00B7E" w:tentative="1">
      <w:start w:val="1"/>
      <w:numFmt w:val="bullet"/>
      <w:lvlText w:val="•"/>
      <w:lvlJc w:val="left"/>
      <w:pPr>
        <w:tabs>
          <w:tab w:val="num" w:pos="1440"/>
        </w:tabs>
        <w:ind w:left="1440" w:hanging="360"/>
      </w:pPr>
      <w:rPr>
        <w:rFonts w:ascii="Times New Roman" w:hAnsi="Times New Roman" w:hint="default"/>
      </w:rPr>
    </w:lvl>
    <w:lvl w:ilvl="2" w:tplc="4D0E9006" w:tentative="1">
      <w:start w:val="1"/>
      <w:numFmt w:val="bullet"/>
      <w:lvlText w:val="•"/>
      <w:lvlJc w:val="left"/>
      <w:pPr>
        <w:tabs>
          <w:tab w:val="num" w:pos="2160"/>
        </w:tabs>
        <w:ind w:left="2160" w:hanging="360"/>
      </w:pPr>
      <w:rPr>
        <w:rFonts w:ascii="Times New Roman" w:hAnsi="Times New Roman" w:hint="default"/>
      </w:rPr>
    </w:lvl>
    <w:lvl w:ilvl="3" w:tplc="C9D0E1EE" w:tentative="1">
      <w:start w:val="1"/>
      <w:numFmt w:val="bullet"/>
      <w:lvlText w:val="•"/>
      <w:lvlJc w:val="left"/>
      <w:pPr>
        <w:tabs>
          <w:tab w:val="num" w:pos="2880"/>
        </w:tabs>
        <w:ind w:left="2880" w:hanging="360"/>
      </w:pPr>
      <w:rPr>
        <w:rFonts w:ascii="Times New Roman" w:hAnsi="Times New Roman" w:hint="default"/>
      </w:rPr>
    </w:lvl>
    <w:lvl w:ilvl="4" w:tplc="E84672AC" w:tentative="1">
      <w:start w:val="1"/>
      <w:numFmt w:val="bullet"/>
      <w:lvlText w:val="•"/>
      <w:lvlJc w:val="left"/>
      <w:pPr>
        <w:tabs>
          <w:tab w:val="num" w:pos="3600"/>
        </w:tabs>
        <w:ind w:left="3600" w:hanging="360"/>
      </w:pPr>
      <w:rPr>
        <w:rFonts w:ascii="Times New Roman" w:hAnsi="Times New Roman" w:hint="default"/>
      </w:rPr>
    </w:lvl>
    <w:lvl w:ilvl="5" w:tplc="9F5621FE" w:tentative="1">
      <w:start w:val="1"/>
      <w:numFmt w:val="bullet"/>
      <w:lvlText w:val="•"/>
      <w:lvlJc w:val="left"/>
      <w:pPr>
        <w:tabs>
          <w:tab w:val="num" w:pos="4320"/>
        </w:tabs>
        <w:ind w:left="4320" w:hanging="360"/>
      </w:pPr>
      <w:rPr>
        <w:rFonts w:ascii="Times New Roman" w:hAnsi="Times New Roman" w:hint="default"/>
      </w:rPr>
    </w:lvl>
    <w:lvl w:ilvl="6" w:tplc="89A6211E" w:tentative="1">
      <w:start w:val="1"/>
      <w:numFmt w:val="bullet"/>
      <w:lvlText w:val="•"/>
      <w:lvlJc w:val="left"/>
      <w:pPr>
        <w:tabs>
          <w:tab w:val="num" w:pos="5040"/>
        </w:tabs>
        <w:ind w:left="5040" w:hanging="360"/>
      </w:pPr>
      <w:rPr>
        <w:rFonts w:ascii="Times New Roman" w:hAnsi="Times New Roman" w:hint="default"/>
      </w:rPr>
    </w:lvl>
    <w:lvl w:ilvl="7" w:tplc="FC2847EA" w:tentative="1">
      <w:start w:val="1"/>
      <w:numFmt w:val="bullet"/>
      <w:lvlText w:val="•"/>
      <w:lvlJc w:val="left"/>
      <w:pPr>
        <w:tabs>
          <w:tab w:val="num" w:pos="5760"/>
        </w:tabs>
        <w:ind w:left="5760" w:hanging="360"/>
      </w:pPr>
      <w:rPr>
        <w:rFonts w:ascii="Times New Roman" w:hAnsi="Times New Roman" w:hint="default"/>
      </w:rPr>
    </w:lvl>
    <w:lvl w:ilvl="8" w:tplc="327C4F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044E98"/>
    <w:multiLevelType w:val="hybridMultilevel"/>
    <w:tmpl w:val="0016C310"/>
    <w:lvl w:ilvl="0" w:tplc="DE5AA668">
      <w:start w:val="1"/>
      <w:numFmt w:val="decimal"/>
      <w:lvlText w:val="%1)"/>
      <w:lvlJc w:val="left"/>
      <w:pPr>
        <w:ind w:left="360" w:hanging="360"/>
      </w:pPr>
      <w:rPr>
        <w:rFonts w:hint="default"/>
      </w:rPr>
    </w:lvl>
    <w:lvl w:ilvl="1" w:tplc="956260A0" w:tentative="1">
      <w:start w:val="1"/>
      <w:numFmt w:val="lowerLetter"/>
      <w:lvlText w:val="%2."/>
      <w:lvlJc w:val="left"/>
      <w:pPr>
        <w:ind w:left="1080" w:hanging="360"/>
      </w:pPr>
    </w:lvl>
    <w:lvl w:ilvl="2" w:tplc="3AE25218" w:tentative="1">
      <w:start w:val="1"/>
      <w:numFmt w:val="lowerRoman"/>
      <w:lvlText w:val="%3."/>
      <w:lvlJc w:val="right"/>
      <w:pPr>
        <w:ind w:left="1800" w:hanging="180"/>
      </w:pPr>
    </w:lvl>
    <w:lvl w:ilvl="3" w:tplc="E1029D96" w:tentative="1">
      <w:start w:val="1"/>
      <w:numFmt w:val="decimal"/>
      <w:lvlText w:val="%4."/>
      <w:lvlJc w:val="left"/>
      <w:pPr>
        <w:ind w:left="2520" w:hanging="360"/>
      </w:pPr>
    </w:lvl>
    <w:lvl w:ilvl="4" w:tplc="1DDCCF0A" w:tentative="1">
      <w:start w:val="1"/>
      <w:numFmt w:val="lowerLetter"/>
      <w:lvlText w:val="%5."/>
      <w:lvlJc w:val="left"/>
      <w:pPr>
        <w:ind w:left="3240" w:hanging="360"/>
      </w:pPr>
    </w:lvl>
    <w:lvl w:ilvl="5" w:tplc="40DA718A" w:tentative="1">
      <w:start w:val="1"/>
      <w:numFmt w:val="lowerRoman"/>
      <w:lvlText w:val="%6."/>
      <w:lvlJc w:val="right"/>
      <w:pPr>
        <w:ind w:left="3960" w:hanging="180"/>
      </w:pPr>
    </w:lvl>
    <w:lvl w:ilvl="6" w:tplc="1BEEEF30" w:tentative="1">
      <w:start w:val="1"/>
      <w:numFmt w:val="decimal"/>
      <w:lvlText w:val="%7."/>
      <w:lvlJc w:val="left"/>
      <w:pPr>
        <w:ind w:left="4680" w:hanging="360"/>
      </w:pPr>
    </w:lvl>
    <w:lvl w:ilvl="7" w:tplc="B6986388" w:tentative="1">
      <w:start w:val="1"/>
      <w:numFmt w:val="lowerLetter"/>
      <w:lvlText w:val="%8."/>
      <w:lvlJc w:val="left"/>
      <w:pPr>
        <w:ind w:left="5400" w:hanging="360"/>
      </w:pPr>
    </w:lvl>
    <w:lvl w:ilvl="8" w:tplc="C110208C" w:tentative="1">
      <w:start w:val="1"/>
      <w:numFmt w:val="lowerRoman"/>
      <w:lvlText w:val="%9."/>
      <w:lvlJc w:val="right"/>
      <w:pPr>
        <w:ind w:left="6120" w:hanging="180"/>
      </w:pPr>
    </w:lvl>
  </w:abstractNum>
  <w:abstractNum w:abstractNumId="18" w15:restartNumberingAfterBreak="0">
    <w:nsid w:val="4E293C01"/>
    <w:multiLevelType w:val="hybridMultilevel"/>
    <w:tmpl w:val="7DEE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D54A28"/>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0" w15:restartNumberingAfterBreak="0">
    <w:nsid w:val="589504C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1" w15:restartNumberingAfterBreak="0">
    <w:nsid w:val="5B673CEC"/>
    <w:multiLevelType w:val="hybridMultilevel"/>
    <w:tmpl w:val="30D60B22"/>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9FD4BA9"/>
    <w:multiLevelType w:val="hybridMultilevel"/>
    <w:tmpl w:val="9ACC08C0"/>
    <w:lvl w:ilvl="0" w:tplc="354E79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D6A38EB"/>
    <w:multiLevelType w:val="hybridMultilevel"/>
    <w:tmpl w:val="BD089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4227A7"/>
    <w:multiLevelType w:val="hybridMultilevel"/>
    <w:tmpl w:val="BEF67F7E"/>
    <w:lvl w:ilvl="0" w:tplc="740A0DD4">
      <w:numFmt w:val="bullet"/>
      <w:lvlText w:val="-"/>
      <w:lvlJc w:val="left"/>
      <w:pPr>
        <w:ind w:left="720" w:hanging="360"/>
      </w:pPr>
      <w:rPr>
        <w:rFonts w:ascii="Calibri" w:eastAsia="Times New Roman"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465872"/>
    <w:multiLevelType w:val="hybridMultilevel"/>
    <w:tmpl w:val="B75CECDA"/>
    <w:lvl w:ilvl="0" w:tplc="B92EC43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0120D7"/>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E25152"/>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12479"/>
    <w:multiLevelType w:val="multilevel"/>
    <w:tmpl w:val="C9F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0"/>
  </w:num>
  <w:num w:numId="4">
    <w:abstractNumId w:val="21"/>
  </w:num>
  <w:num w:numId="5">
    <w:abstractNumId w:val="2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5"/>
  </w:num>
  <w:num w:numId="11">
    <w:abstractNumId w:val="20"/>
  </w:num>
  <w:num w:numId="12">
    <w:abstractNumId w:val="26"/>
  </w:num>
  <w:num w:numId="13">
    <w:abstractNumId w:val="15"/>
  </w:num>
  <w:num w:numId="14">
    <w:abstractNumId w:val="3"/>
  </w:num>
  <w:num w:numId="15">
    <w:abstractNumId w:val="8"/>
  </w:num>
  <w:num w:numId="16">
    <w:abstractNumId w:val="13"/>
  </w:num>
  <w:num w:numId="17">
    <w:abstractNumId w:val="0"/>
  </w:num>
  <w:num w:numId="18">
    <w:abstractNumId w:val="27"/>
  </w:num>
  <w:num w:numId="19">
    <w:abstractNumId w:val="23"/>
  </w:num>
  <w:num w:numId="20">
    <w:abstractNumId w:val="12"/>
  </w:num>
  <w:num w:numId="21">
    <w:abstractNumId w:val="28"/>
  </w:num>
  <w:num w:numId="22">
    <w:abstractNumId w:val="18"/>
  </w:num>
  <w:num w:numId="23">
    <w:abstractNumId w:val="4"/>
  </w:num>
  <w:num w:numId="24">
    <w:abstractNumId w:val="24"/>
  </w:num>
  <w:num w:numId="25">
    <w:abstractNumId w:val="16"/>
  </w:num>
  <w:num w:numId="26">
    <w:abstractNumId w:val="11"/>
  </w:num>
  <w:num w:numId="27">
    <w:abstractNumId w:val="2"/>
  </w:num>
  <w:num w:numId="28">
    <w:abstractNumId w:val="9"/>
  </w:num>
  <w:num w:numId="29">
    <w:abstractNumId w:val="17"/>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44"/>
    <w:rsid w:val="000004F0"/>
    <w:rsid w:val="00006269"/>
    <w:rsid w:val="000107BB"/>
    <w:rsid w:val="000112C1"/>
    <w:rsid w:val="0001283C"/>
    <w:rsid w:val="00014269"/>
    <w:rsid w:val="00015891"/>
    <w:rsid w:val="000167EE"/>
    <w:rsid w:val="00020F84"/>
    <w:rsid w:val="00020F90"/>
    <w:rsid w:val="0002724B"/>
    <w:rsid w:val="00027EE6"/>
    <w:rsid w:val="00041ADA"/>
    <w:rsid w:val="000421BC"/>
    <w:rsid w:val="00044DC8"/>
    <w:rsid w:val="000517FA"/>
    <w:rsid w:val="0006239B"/>
    <w:rsid w:val="00064ECF"/>
    <w:rsid w:val="000674A9"/>
    <w:rsid w:val="000721B8"/>
    <w:rsid w:val="00072820"/>
    <w:rsid w:val="000733D2"/>
    <w:rsid w:val="000771AD"/>
    <w:rsid w:val="0008039F"/>
    <w:rsid w:val="00085592"/>
    <w:rsid w:val="00095C44"/>
    <w:rsid w:val="000967CD"/>
    <w:rsid w:val="000A08DF"/>
    <w:rsid w:val="000A168E"/>
    <w:rsid w:val="000A2A2D"/>
    <w:rsid w:val="000A3332"/>
    <w:rsid w:val="000A3669"/>
    <w:rsid w:val="000A6574"/>
    <w:rsid w:val="000A6D0D"/>
    <w:rsid w:val="000B038D"/>
    <w:rsid w:val="000B484F"/>
    <w:rsid w:val="000B67BF"/>
    <w:rsid w:val="000B7FDA"/>
    <w:rsid w:val="000C770E"/>
    <w:rsid w:val="000D681B"/>
    <w:rsid w:val="000E2436"/>
    <w:rsid w:val="000E3959"/>
    <w:rsid w:val="000E4BD5"/>
    <w:rsid w:val="000E5A2F"/>
    <w:rsid w:val="000E66EC"/>
    <w:rsid w:val="000E6AD1"/>
    <w:rsid w:val="000F297D"/>
    <w:rsid w:val="000F3C46"/>
    <w:rsid w:val="000F525A"/>
    <w:rsid w:val="000F5917"/>
    <w:rsid w:val="00101E6D"/>
    <w:rsid w:val="00101F95"/>
    <w:rsid w:val="00116C08"/>
    <w:rsid w:val="0012669E"/>
    <w:rsid w:val="00132389"/>
    <w:rsid w:val="0014391F"/>
    <w:rsid w:val="0015078D"/>
    <w:rsid w:val="00150B19"/>
    <w:rsid w:val="00163906"/>
    <w:rsid w:val="00173E96"/>
    <w:rsid w:val="0017647A"/>
    <w:rsid w:val="001767FB"/>
    <w:rsid w:val="001774AB"/>
    <w:rsid w:val="00181AFD"/>
    <w:rsid w:val="001911F9"/>
    <w:rsid w:val="00191C11"/>
    <w:rsid w:val="001952D0"/>
    <w:rsid w:val="001A144B"/>
    <w:rsid w:val="001A265A"/>
    <w:rsid w:val="001C6111"/>
    <w:rsid w:val="001D3DA4"/>
    <w:rsid w:val="001D6E1B"/>
    <w:rsid w:val="001D71DF"/>
    <w:rsid w:val="001D76DF"/>
    <w:rsid w:val="001E755A"/>
    <w:rsid w:val="001F5A6E"/>
    <w:rsid w:val="00201E76"/>
    <w:rsid w:val="00201E88"/>
    <w:rsid w:val="002159C3"/>
    <w:rsid w:val="00217B95"/>
    <w:rsid w:val="00223E2B"/>
    <w:rsid w:val="002444C2"/>
    <w:rsid w:val="002470C5"/>
    <w:rsid w:val="002472AA"/>
    <w:rsid w:val="00256C82"/>
    <w:rsid w:val="0026658A"/>
    <w:rsid w:val="00271D74"/>
    <w:rsid w:val="0028355B"/>
    <w:rsid w:val="00285BA7"/>
    <w:rsid w:val="002A362D"/>
    <w:rsid w:val="002A47AF"/>
    <w:rsid w:val="002B04C5"/>
    <w:rsid w:val="002B0A7F"/>
    <w:rsid w:val="002B236C"/>
    <w:rsid w:val="002B4E02"/>
    <w:rsid w:val="002C7097"/>
    <w:rsid w:val="002D261F"/>
    <w:rsid w:val="002D7310"/>
    <w:rsid w:val="002E04CA"/>
    <w:rsid w:val="002E2BCD"/>
    <w:rsid w:val="002E2C9B"/>
    <w:rsid w:val="002E4396"/>
    <w:rsid w:val="002F1086"/>
    <w:rsid w:val="002F64F0"/>
    <w:rsid w:val="002F790E"/>
    <w:rsid w:val="00301564"/>
    <w:rsid w:val="00313F1C"/>
    <w:rsid w:val="00316B64"/>
    <w:rsid w:val="00316EAB"/>
    <w:rsid w:val="0032311D"/>
    <w:rsid w:val="00331011"/>
    <w:rsid w:val="00350777"/>
    <w:rsid w:val="0035090F"/>
    <w:rsid w:val="00351B86"/>
    <w:rsid w:val="00355827"/>
    <w:rsid w:val="00365B11"/>
    <w:rsid w:val="003720E6"/>
    <w:rsid w:val="003723EF"/>
    <w:rsid w:val="00377E42"/>
    <w:rsid w:val="00380C25"/>
    <w:rsid w:val="00384111"/>
    <w:rsid w:val="00387347"/>
    <w:rsid w:val="00392BD8"/>
    <w:rsid w:val="003942BF"/>
    <w:rsid w:val="003A1AE3"/>
    <w:rsid w:val="003A3ED3"/>
    <w:rsid w:val="003B2751"/>
    <w:rsid w:val="003B42FA"/>
    <w:rsid w:val="003B6862"/>
    <w:rsid w:val="003D07E3"/>
    <w:rsid w:val="003D680C"/>
    <w:rsid w:val="003E546C"/>
    <w:rsid w:val="003F1F5F"/>
    <w:rsid w:val="003F7694"/>
    <w:rsid w:val="003F7BE2"/>
    <w:rsid w:val="00400729"/>
    <w:rsid w:val="004113EB"/>
    <w:rsid w:val="00413124"/>
    <w:rsid w:val="00414448"/>
    <w:rsid w:val="00414543"/>
    <w:rsid w:val="00443417"/>
    <w:rsid w:val="00453BE4"/>
    <w:rsid w:val="004614F2"/>
    <w:rsid w:val="00464E07"/>
    <w:rsid w:val="00471885"/>
    <w:rsid w:val="0047540F"/>
    <w:rsid w:val="004874AA"/>
    <w:rsid w:val="00494DFF"/>
    <w:rsid w:val="004A4F47"/>
    <w:rsid w:val="004A72C2"/>
    <w:rsid w:val="004B14CA"/>
    <w:rsid w:val="004B2243"/>
    <w:rsid w:val="004B245B"/>
    <w:rsid w:val="004B64A0"/>
    <w:rsid w:val="004C10B6"/>
    <w:rsid w:val="004C31D5"/>
    <w:rsid w:val="004D3F43"/>
    <w:rsid w:val="004D426B"/>
    <w:rsid w:val="004D786D"/>
    <w:rsid w:val="00516B41"/>
    <w:rsid w:val="005229F6"/>
    <w:rsid w:val="00523668"/>
    <w:rsid w:val="0052601D"/>
    <w:rsid w:val="00531C73"/>
    <w:rsid w:val="0053526A"/>
    <w:rsid w:val="00536FF8"/>
    <w:rsid w:val="005419E6"/>
    <w:rsid w:val="00543123"/>
    <w:rsid w:val="0054479C"/>
    <w:rsid w:val="00545763"/>
    <w:rsid w:val="0055161F"/>
    <w:rsid w:val="00551B1F"/>
    <w:rsid w:val="00554B2A"/>
    <w:rsid w:val="00561A7E"/>
    <w:rsid w:val="00562D42"/>
    <w:rsid w:val="00563C9C"/>
    <w:rsid w:val="00563F9C"/>
    <w:rsid w:val="005656FB"/>
    <w:rsid w:val="005663A3"/>
    <w:rsid w:val="005831EE"/>
    <w:rsid w:val="00586C2C"/>
    <w:rsid w:val="00592BE6"/>
    <w:rsid w:val="00597B9C"/>
    <w:rsid w:val="005A2FF1"/>
    <w:rsid w:val="005A5DE5"/>
    <w:rsid w:val="005A6746"/>
    <w:rsid w:val="005B14DC"/>
    <w:rsid w:val="005B2D08"/>
    <w:rsid w:val="005B331C"/>
    <w:rsid w:val="005C2B1C"/>
    <w:rsid w:val="005D0565"/>
    <w:rsid w:val="005D46FF"/>
    <w:rsid w:val="005D68A6"/>
    <w:rsid w:val="005D7CC1"/>
    <w:rsid w:val="005E2E1F"/>
    <w:rsid w:val="006001E1"/>
    <w:rsid w:val="006027EC"/>
    <w:rsid w:val="00604979"/>
    <w:rsid w:val="00605FE4"/>
    <w:rsid w:val="00606385"/>
    <w:rsid w:val="006135C1"/>
    <w:rsid w:val="00622590"/>
    <w:rsid w:val="006247BD"/>
    <w:rsid w:val="00646C64"/>
    <w:rsid w:val="00646D6E"/>
    <w:rsid w:val="00647941"/>
    <w:rsid w:val="00672E77"/>
    <w:rsid w:val="006763BA"/>
    <w:rsid w:val="006838F2"/>
    <w:rsid w:val="006859DE"/>
    <w:rsid w:val="006954E6"/>
    <w:rsid w:val="00697976"/>
    <w:rsid w:val="006A3483"/>
    <w:rsid w:val="006A601C"/>
    <w:rsid w:val="006C425E"/>
    <w:rsid w:val="006D1A73"/>
    <w:rsid w:val="006D25F3"/>
    <w:rsid w:val="006D500A"/>
    <w:rsid w:val="006F0F44"/>
    <w:rsid w:val="006F5B54"/>
    <w:rsid w:val="00705CE2"/>
    <w:rsid w:val="00706469"/>
    <w:rsid w:val="00737CA4"/>
    <w:rsid w:val="00741670"/>
    <w:rsid w:val="007469F0"/>
    <w:rsid w:val="00752991"/>
    <w:rsid w:val="00767692"/>
    <w:rsid w:val="007827FA"/>
    <w:rsid w:val="007838FC"/>
    <w:rsid w:val="00785181"/>
    <w:rsid w:val="00792DB4"/>
    <w:rsid w:val="00794F96"/>
    <w:rsid w:val="007A454F"/>
    <w:rsid w:val="007A6A00"/>
    <w:rsid w:val="007B189F"/>
    <w:rsid w:val="007B4B1D"/>
    <w:rsid w:val="007B7544"/>
    <w:rsid w:val="007C0664"/>
    <w:rsid w:val="007C1FC5"/>
    <w:rsid w:val="007C4792"/>
    <w:rsid w:val="007C69C3"/>
    <w:rsid w:val="007E25A9"/>
    <w:rsid w:val="007E5D0C"/>
    <w:rsid w:val="007E67CB"/>
    <w:rsid w:val="007F1468"/>
    <w:rsid w:val="007F3A30"/>
    <w:rsid w:val="007F6690"/>
    <w:rsid w:val="007F737A"/>
    <w:rsid w:val="008059BE"/>
    <w:rsid w:val="00807312"/>
    <w:rsid w:val="00807AA6"/>
    <w:rsid w:val="008110F3"/>
    <w:rsid w:val="00813550"/>
    <w:rsid w:val="0081414D"/>
    <w:rsid w:val="0082691D"/>
    <w:rsid w:val="008302F6"/>
    <w:rsid w:val="008403DB"/>
    <w:rsid w:val="008469C8"/>
    <w:rsid w:val="00851D27"/>
    <w:rsid w:val="00867C3F"/>
    <w:rsid w:val="00872523"/>
    <w:rsid w:val="00883AE3"/>
    <w:rsid w:val="00885786"/>
    <w:rsid w:val="00890848"/>
    <w:rsid w:val="00891DEE"/>
    <w:rsid w:val="00893D37"/>
    <w:rsid w:val="008A14A0"/>
    <w:rsid w:val="008A6BCC"/>
    <w:rsid w:val="008B2891"/>
    <w:rsid w:val="008B3884"/>
    <w:rsid w:val="008B5445"/>
    <w:rsid w:val="008B6016"/>
    <w:rsid w:val="008B684E"/>
    <w:rsid w:val="008C5407"/>
    <w:rsid w:val="008C62B8"/>
    <w:rsid w:val="008D2958"/>
    <w:rsid w:val="008D45CE"/>
    <w:rsid w:val="008E0924"/>
    <w:rsid w:val="008E0A14"/>
    <w:rsid w:val="008E0DD6"/>
    <w:rsid w:val="008E1F4F"/>
    <w:rsid w:val="008E23C3"/>
    <w:rsid w:val="008E3398"/>
    <w:rsid w:val="008E5D51"/>
    <w:rsid w:val="008E73A6"/>
    <w:rsid w:val="008F22AA"/>
    <w:rsid w:val="008F282E"/>
    <w:rsid w:val="009023FA"/>
    <w:rsid w:val="00903B22"/>
    <w:rsid w:val="00907261"/>
    <w:rsid w:val="009127D5"/>
    <w:rsid w:val="009178E1"/>
    <w:rsid w:val="00920143"/>
    <w:rsid w:val="009248DD"/>
    <w:rsid w:val="00930A01"/>
    <w:rsid w:val="00932B76"/>
    <w:rsid w:val="00933040"/>
    <w:rsid w:val="00941F38"/>
    <w:rsid w:val="009501BB"/>
    <w:rsid w:val="00950F3B"/>
    <w:rsid w:val="00966566"/>
    <w:rsid w:val="009668CD"/>
    <w:rsid w:val="0097289F"/>
    <w:rsid w:val="009831C7"/>
    <w:rsid w:val="009866F3"/>
    <w:rsid w:val="009869F4"/>
    <w:rsid w:val="00993C93"/>
    <w:rsid w:val="009959BD"/>
    <w:rsid w:val="00995F5D"/>
    <w:rsid w:val="009A1CB0"/>
    <w:rsid w:val="009A4DCD"/>
    <w:rsid w:val="009A6A17"/>
    <w:rsid w:val="009A7F77"/>
    <w:rsid w:val="009B5CB0"/>
    <w:rsid w:val="009B7AA9"/>
    <w:rsid w:val="009C144C"/>
    <w:rsid w:val="009C7A15"/>
    <w:rsid w:val="009E0EF4"/>
    <w:rsid w:val="009E1E38"/>
    <w:rsid w:val="009E2F61"/>
    <w:rsid w:val="009E7516"/>
    <w:rsid w:val="009F5C16"/>
    <w:rsid w:val="00A0001C"/>
    <w:rsid w:val="00A05748"/>
    <w:rsid w:val="00A11015"/>
    <w:rsid w:val="00A11167"/>
    <w:rsid w:val="00A134CB"/>
    <w:rsid w:val="00A15CA1"/>
    <w:rsid w:val="00A17E6E"/>
    <w:rsid w:val="00A23695"/>
    <w:rsid w:val="00A278BB"/>
    <w:rsid w:val="00A30AE7"/>
    <w:rsid w:val="00A33116"/>
    <w:rsid w:val="00A35912"/>
    <w:rsid w:val="00A35D6A"/>
    <w:rsid w:val="00A456E4"/>
    <w:rsid w:val="00A47347"/>
    <w:rsid w:val="00A516F2"/>
    <w:rsid w:val="00A52339"/>
    <w:rsid w:val="00A55894"/>
    <w:rsid w:val="00A62A90"/>
    <w:rsid w:val="00A66230"/>
    <w:rsid w:val="00A7572E"/>
    <w:rsid w:val="00A779C6"/>
    <w:rsid w:val="00A85729"/>
    <w:rsid w:val="00A862B6"/>
    <w:rsid w:val="00A86A18"/>
    <w:rsid w:val="00A94945"/>
    <w:rsid w:val="00A96F98"/>
    <w:rsid w:val="00AA1B8E"/>
    <w:rsid w:val="00AA4B99"/>
    <w:rsid w:val="00AB7615"/>
    <w:rsid w:val="00AC78B0"/>
    <w:rsid w:val="00AD112B"/>
    <w:rsid w:val="00AD1156"/>
    <w:rsid w:val="00AD2D2F"/>
    <w:rsid w:val="00AE1041"/>
    <w:rsid w:val="00AE3366"/>
    <w:rsid w:val="00AE6305"/>
    <w:rsid w:val="00AE6DC0"/>
    <w:rsid w:val="00AF502B"/>
    <w:rsid w:val="00AF578B"/>
    <w:rsid w:val="00B013EF"/>
    <w:rsid w:val="00B07612"/>
    <w:rsid w:val="00B15F3A"/>
    <w:rsid w:val="00B167E2"/>
    <w:rsid w:val="00B1699E"/>
    <w:rsid w:val="00B25E11"/>
    <w:rsid w:val="00B315D1"/>
    <w:rsid w:val="00B43708"/>
    <w:rsid w:val="00B44A55"/>
    <w:rsid w:val="00B452DE"/>
    <w:rsid w:val="00B45645"/>
    <w:rsid w:val="00B50587"/>
    <w:rsid w:val="00B51D54"/>
    <w:rsid w:val="00B54FED"/>
    <w:rsid w:val="00B613DC"/>
    <w:rsid w:val="00B62718"/>
    <w:rsid w:val="00B63775"/>
    <w:rsid w:val="00B679EE"/>
    <w:rsid w:val="00B734BB"/>
    <w:rsid w:val="00B73772"/>
    <w:rsid w:val="00B75A38"/>
    <w:rsid w:val="00B804CB"/>
    <w:rsid w:val="00B80E4A"/>
    <w:rsid w:val="00B84333"/>
    <w:rsid w:val="00B84E16"/>
    <w:rsid w:val="00B902E9"/>
    <w:rsid w:val="00B91861"/>
    <w:rsid w:val="00B925F8"/>
    <w:rsid w:val="00B935C8"/>
    <w:rsid w:val="00B94F24"/>
    <w:rsid w:val="00BA0B2F"/>
    <w:rsid w:val="00BA3D81"/>
    <w:rsid w:val="00BB164E"/>
    <w:rsid w:val="00BB6956"/>
    <w:rsid w:val="00BC61A4"/>
    <w:rsid w:val="00BD104D"/>
    <w:rsid w:val="00BD3679"/>
    <w:rsid w:val="00BE1F5F"/>
    <w:rsid w:val="00BE5785"/>
    <w:rsid w:val="00BF2744"/>
    <w:rsid w:val="00BF451C"/>
    <w:rsid w:val="00BF7D5B"/>
    <w:rsid w:val="00C06E57"/>
    <w:rsid w:val="00C06FCA"/>
    <w:rsid w:val="00C10F74"/>
    <w:rsid w:val="00C12271"/>
    <w:rsid w:val="00C15047"/>
    <w:rsid w:val="00C2260D"/>
    <w:rsid w:val="00C41CAB"/>
    <w:rsid w:val="00C61609"/>
    <w:rsid w:val="00C6589D"/>
    <w:rsid w:val="00C74DE9"/>
    <w:rsid w:val="00C80928"/>
    <w:rsid w:val="00C8316C"/>
    <w:rsid w:val="00C83854"/>
    <w:rsid w:val="00C921BE"/>
    <w:rsid w:val="00C92FDD"/>
    <w:rsid w:val="00C9451C"/>
    <w:rsid w:val="00C95F40"/>
    <w:rsid w:val="00C97FF7"/>
    <w:rsid w:val="00CA374B"/>
    <w:rsid w:val="00CB52FD"/>
    <w:rsid w:val="00CB7825"/>
    <w:rsid w:val="00CC0004"/>
    <w:rsid w:val="00CC60EF"/>
    <w:rsid w:val="00CD00EF"/>
    <w:rsid w:val="00CD4F46"/>
    <w:rsid w:val="00CD5136"/>
    <w:rsid w:val="00CE0CAE"/>
    <w:rsid w:val="00CE25DC"/>
    <w:rsid w:val="00CE34FB"/>
    <w:rsid w:val="00CE583A"/>
    <w:rsid w:val="00CF39C4"/>
    <w:rsid w:val="00CF7822"/>
    <w:rsid w:val="00D14824"/>
    <w:rsid w:val="00D21D3E"/>
    <w:rsid w:val="00D268E6"/>
    <w:rsid w:val="00D41EC6"/>
    <w:rsid w:val="00D42445"/>
    <w:rsid w:val="00D44646"/>
    <w:rsid w:val="00D45E44"/>
    <w:rsid w:val="00D50C40"/>
    <w:rsid w:val="00D57314"/>
    <w:rsid w:val="00D63915"/>
    <w:rsid w:val="00D81FF1"/>
    <w:rsid w:val="00D8512D"/>
    <w:rsid w:val="00D8729E"/>
    <w:rsid w:val="00D9068E"/>
    <w:rsid w:val="00D923EA"/>
    <w:rsid w:val="00D94399"/>
    <w:rsid w:val="00D9578C"/>
    <w:rsid w:val="00DA15F1"/>
    <w:rsid w:val="00DA79D7"/>
    <w:rsid w:val="00DB1795"/>
    <w:rsid w:val="00DB2526"/>
    <w:rsid w:val="00DB41FE"/>
    <w:rsid w:val="00DB6274"/>
    <w:rsid w:val="00DB7F10"/>
    <w:rsid w:val="00DC0E2D"/>
    <w:rsid w:val="00DC4790"/>
    <w:rsid w:val="00DF5A2A"/>
    <w:rsid w:val="00E010B5"/>
    <w:rsid w:val="00E0237F"/>
    <w:rsid w:val="00E064F6"/>
    <w:rsid w:val="00E22124"/>
    <w:rsid w:val="00E3037A"/>
    <w:rsid w:val="00E32F64"/>
    <w:rsid w:val="00E365E8"/>
    <w:rsid w:val="00E37BF6"/>
    <w:rsid w:val="00E43584"/>
    <w:rsid w:val="00E4677E"/>
    <w:rsid w:val="00E46A82"/>
    <w:rsid w:val="00E4702F"/>
    <w:rsid w:val="00E564DD"/>
    <w:rsid w:val="00E60BC7"/>
    <w:rsid w:val="00E63267"/>
    <w:rsid w:val="00E66955"/>
    <w:rsid w:val="00E66F18"/>
    <w:rsid w:val="00E73FE8"/>
    <w:rsid w:val="00E76D27"/>
    <w:rsid w:val="00E80C3A"/>
    <w:rsid w:val="00E90B24"/>
    <w:rsid w:val="00E967A0"/>
    <w:rsid w:val="00EB48E9"/>
    <w:rsid w:val="00EB5BD2"/>
    <w:rsid w:val="00EC0006"/>
    <w:rsid w:val="00EC1EBF"/>
    <w:rsid w:val="00EC2BDF"/>
    <w:rsid w:val="00EC4256"/>
    <w:rsid w:val="00EC7EF4"/>
    <w:rsid w:val="00ED007B"/>
    <w:rsid w:val="00ED1B73"/>
    <w:rsid w:val="00ED3D55"/>
    <w:rsid w:val="00ED5973"/>
    <w:rsid w:val="00ED66B2"/>
    <w:rsid w:val="00EE3ACF"/>
    <w:rsid w:val="00EF1E6C"/>
    <w:rsid w:val="00EF2722"/>
    <w:rsid w:val="00EF58C4"/>
    <w:rsid w:val="00EF5DC0"/>
    <w:rsid w:val="00EF77AC"/>
    <w:rsid w:val="00F003A4"/>
    <w:rsid w:val="00F029A2"/>
    <w:rsid w:val="00F02E89"/>
    <w:rsid w:val="00F02F63"/>
    <w:rsid w:val="00F13B55"/>
    <w:rsid w:val="00F2462D"/>
    <w:rsid w:val="00F246E2"/>
    <w:rsid w:val="00F2504A"/>
    <w:rsid w:val="00F30E90"/>
    <w:rsid w:val="00F30F11"/>
    <w:rsid w:val="00F32933"/>
    <w:rsid w:val="00F33005"/>
    <w:rsid w:val="00F353CF"/>
    <w:rsid w:val="00F40130"/>
    <w:rsid w:val="00F40CCC"/>
    <w:rsid w:val="00F4180B"/>
    <w:rsid w:val="00F4688D"/>
    <w:rsid w:val="00F503EE"/>
    <w:rsid w:val="00F505A8"/>
    <w:rsid w:val="00F554F3"/>
    <w:rsid w:val="00F7019E"/>
    <w:rsid w:val="00F70C25"/>
    <w:rsid w:val="00F826BF"/>
    <w:rsid w:val="00FA0B02"/>
    <w:rsid w:val="00FA41E6"/>
    <w:rsid w:val="00FB27AF"/>
    <w:rsid w:val="00FB3182"/>
    <w:rsid w:val="00FB39A7"/>
    <w:rsid w:val="00FB3E75"/>
    <w:rsid w:val="00FC48D8"/>
    <w:rsid w:val="00FD2653"/>
    <w:rsid w:val="00FD30E4"/>
    <w:rsid w:val="00FD4DE3"/>
    <w:rsid w:val="00FD7131"/>
    <w:rsid w:val="00FE513C"/>
    <w:rsid w:val="00FE6177"/>
    <w:rsid w:val="00FF2B02"/>
    <w:rsid w:val="00FF553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2771"/>
  <w15:docId w15:val="{A2DA5FB1-A1CC-47C4-B92D-47400CAF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4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D45E44"/>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rsid w:val="00D45E44"/>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D45E44"/>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E4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D45E44"/>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D45E44"/>
    <w:rPr>
      <w:rFonts w:ascii="Calibri Light" w:eastAsia="Times New Roman" w:hAnsi="Calibri Light" w:cs="Times New Roman"/>
      <w:b/>
      <w:bCs/>
      <w:sz w:val="26"/>
      <w:szCs w:val="26"/>
      <w:lang w:val="x-none" w:eastAsia="x-none"/>
    </w:rPr>
  </w:style>
  <w:style w:type="character" w:styleId="Hyperlink">
    <w:name w:val="Hyperlink"/>
    <w:uiPriority w:val="99"/>
    <w:semiHidden/>
    <w:rsid w:val="00D45E44"/>
    <w:rPr>
      <w:rFonts w:cs="Times New Roman"/>
      <w:color w:val="0000FF"/>
      <w:u w:val="single"/>
    </w:rPr>
  </w:style>
  <w:style w:type="character" w:styleId="FollowedHyperlink">
    <w:name w:val="FollowedHyperlink"/>
    <w:uiPriority w:val="99"/>
    <w:semiHidden/>
    <w:rsid w:val="00D45E44"/>
    <w:rPr>
      <w:rFonts w:cs="Times New Roman"/>
      <w:color w:val="800080"/>
      <w:u w:val="single"/>
    </w:rPr>
  </w:style>
  <w:style w:type="paragraph" w:customStyle="1" w:styleId="h1">
    <w:name w:val="h1"/>
    <w:basedOn w:val="Normal"/>
    <w:uiPriority w:val="99"/>
    <w:rsid w:val="00D45E44"/>
    <w:pPr>
      <w:spacing w:after="150"/>
    </w:pPr>
    <w:rPr>
      <w:color w:val="306060"/>
      <w:sz w:val="31"/>
      <w:szCs w:val="31"/>
    </w:rPr>
  </w:style>
  <w:style w:type="paragraph" w:customStyle="1" w:styleId="h2">
    <w:name w:val="h2"/>
    <w:basedOn w:val="Normal"/>
    <w:uiPriority w:val="99"/>
    <w:rsid w:val="00D45E44"/>
    <w:pPr>
      <w:spacing w:before="100" w:beforeAutospacing="1" w:after="100" w:afterAutospacing="1"/>
    </w:pPr>
    <w:rPr>
      <w:color w:val="306060"/>
    </w:rPr>
  </w:style>
  <w:style w:type="paragraph" w:customStyle="1" w:styleId="a">
    <w:name w:val="a"/>
    <w:basedOn w:val="Normal"/>
    <w:uiPriority w:val="99"/>
    <w:rsid w:val="00D45E44"/>
    <w:pPr>
      <w:spacing w:before="100" w:beforeAutospacing="1" w:after="100" w:afterAutospacing="1"/>
    </w:pPr>
    <w:rPr>
      <w:color w:val="306060"/>
    </w:rPr>
  </w:style>
  <w:style w:type="paragraph" w:customStyle="1" w:styleId="b">
    <w:name w:val="b"/>
    <w:basedOn w:val="Normal"/>
    <w:uiPriority w:val="99"/>
    <w:rsid w:val="00D45E44"/>
    <w:pPr>
      <w:spacing w:before="100" w:beforeAutospacing="1" w:after="100" w:afterAutospacing="1"/>
    </w:pPr>
    <w:rPr>
      <w:color w:val="306060"/>
    </w:rPr>
  </w:style>
  <w:style w:type="paragraph" w:customStyle="1" w:styleId="body">
    <w:name w:val="body"/>
    <w:basedOn w:val="Normal"/>
    <w:uiPriority w:val="99"/>
    <w:rsid w:val="00D45E44"/>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D45E44"/>
    <w:pPr>
      <w:spacing w:before="100" w:beforeAutospacing="1" w:after="100" w:afterAutospacing="1"/>
    </w:pPr>
    <w:rPr>
      <w:color w:val="F0F8F8"/>
    </w:rPr>
  </w:style>
  <w:style w:type="paragraph" w:customStyle="1" w:styleId="radio">
    <w:name w:val="radio"/>
    <w:basedOn w:val="Normal"/>
    <w:uiPriority w:val="99"/>
    <w:rsid w:val="00D45E44"/>
    <w:pPr>
      <w:spacing w:before="100" w:beforeAutospacing="1" w:after="100" w:afterAutospacing="1"/>
    </w:pPr>
  </w:style>
  <w:style w:type="paragraph" w:customStyle="1" w:styleId="headcol">
    <w:name w:val="headcol"/>
    <w:basedOn w:val="Normal"/>
    <w:uiPriority w:val="99"/>
    <w:rsid w:val="00D45E44"/>
    <w:pPr>
      <w:spacing w:before="100" w:beforeAutospacing="1" w:after="100" w:afterAutospacing="1"/>
    </w:pPr>
    <w:rPr>
      <w:color w:val="F0F8F8"/>
    </w:rPr>
  </w:style>
  <w:style w:type="paragraph" w:customStyle="1" w:styleId="titlecol">
    <w:name w:val="titlecol"/>
    <w:basedOn w:val="Normal"/>
    <w:uiPriority w:val="99"/>
    <w:rsid w:val="00D45E44"/>
    <w:pPr>
      <w:spacing w:before="100" w:beforeAutospacing="1" w:after="100" w:afterAutospacing="1"/>
      <w:jc w:val="right"/>
    </w:pPr>
    <w:rPr>
      <w:b/>
      <w:bCs/>
    </w:rPr>
  </w:style>
  <w:style w:type="paragraph" w:customStyle="1" w:styleId="th">
    <w:name w:val="th"/>
    <w:basedOn w:val="Normal"/>
    <w:uiPriority w:val="99"/>
    <w:rsid w:val="00D45E44"/>
    <w:pPr>
      <w:spacing w:before="100" w:beforeAutospacing="1" w:after="100" w:afterAutospacing="1"/>
    </w:pPr>
    <w:rPr>
      <w:b/>
      <w:bCs/>
      <w:color w:val="333333"/>
    </w:rPr>
  </w:style>
  <w:style w:type="paragraph" w:customStyle="1" w:styleId="thr">
    <w:name w:val="thr"/>
    <w:basedOn w:val="Normal"/>
    <w:uiPriority w:val="99"/>
    <w:rsid w:val="00D45E44"/>
    <w:pPr>
      <w:spacing w:before="100" w:beforeAutospacing="1" w:after="100" w:afterAutospacing="1"/>
      <w:jc w:val="right"/>
    </w:pPr>
  </w:style>
  <w:style w:type="paragraph" w:customStyle="1" w:styleId="bdc">
    <w:name w:val="bdc"/>
    <w:basedOn w:val="Normal"/>
    <w:uiPriority w:val="99"/>
    <w:rsid w:val="00D45E44"/>
    <w:pPr>
      <w:spacing w:before="100" w:beforeAutospacing="1" w:after="100" w:afterAutospacing="1"/>
    </w:pPr>
    <w:rPr>
      <w:b/>
      <w:bCs/>
    </w:rPr>
  </w:style>
  <w:style w:type="paragraph" w:customStyle="1" w:styleId="input">
    <w:name w:val="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D45E44"/>
    <w:pPr>
      <w:shd w:val="clear" w:color="auto" w:fill="F0F8F8"/>
      <w:spacing w:before="100" w:beforeAutospacing="1" w:after="100" w:afterAutospacing="1"/>
    </w:pPr>
    <w:rPr>
      <w:color w:val="333333"/>
    </w:rPr>
  </w:style>
  <w:style w:type="paragraph" w:customStyle="1" w:styleId="top1">
    <w:name w:val="top1"/>
    <w:basedOn w:val="Normal"/>
    <w:uiPriority w:val="99"/>
    <w:rsid w:val="00D45E44"/>
    <w:pPr>
      <w:spacing w:before="100" w:beforeAutospacing="1" w:after="100" w:afterAutospacing="1"/>
    </w:pPr>
  </w:style>
  <w:style w:type="paragraph" w:customStyle="1" w:styleId="logo">
    <w:name w:val="logo"/>
    <w:basedOn w:val="Normal"/>
    <w:uiPriority w:val="99"/>
    <w:rsid w:val="00D45E44"/>
    <w:pPr>
      <w:spacing w:before="100" w:beforeAutospacing="1" w:after="100" w:afterAutospacing="1"/>
    </w:pPr>
  </w:style>
  <w:style w:type="paragraph" w:customStyle="1" w:styleId="top2">
    <w:name w:val="top2"/>
    <w:basedOn w:val="Normal"/>
    <w:uiPriority w:val="99"/>
    <w:rsid w:val="00D45E44"/>
    <w:pPr>
      <w:spacing w:before="100" w:beforeAutospacing="1" w:after="100" w:afterAutospacing="1"/>
    </w:pPr>
  </w:style>
  <w:style w:type="paragraph" w:customStyle="1" w:styleId="hline">
    <w:name w:val="hline"/>
    <w:basedOn w:val="Normal"/>
    <w:uiPriority w:val="99"/>
    <w:rsid w:val="00D45E44"/>
    <w:pPr>
      <w:spacing w:before="100" w:beforeAutospacing="1" w:after="100" w:afterAutospacing="1"/>
    </w:pPr>
  </w:style>
  <w:style w:type="paragraph" w:customStyle="1" w:styleId="vline">
    <w:name w:val="vline"/>
    <w:basedOn w:val="Normal"/>
    <w:uiPriority w:val="99"/>
    <w:rsid w:val="00D45E44"/>
    <w:pPr>
      <w:spacing w:before="100" w:beforeAutospacing="1" w:after="100" w:afterAutospacing="1"/>
    </w:pPr>
  </w:style>
  <w:style w:type="paragraph" w:customStyle="1" w:styleId="zvabri">
    <w:name w:val="zvabri"/>
    <w:basedOn w:val="Normal"/>
    <w:uiPriority w:val="99"/>
    <w:rsid w:val="00D45E44"/>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D45E44"/>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D45E44"/>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rsid w:val="00D45E44"/>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D45E44"/>
    <w:rPr>
      <w:rFonts w:ascii="Arial" w:eastAsia="Times New Roman" w:hAnsi="Arial" w:cs="Times New Roman"/>
      <w:vanish/>
      <w:sz w:val="16"/>
      <w:szCs w:val="16"/>
      <w:lang w:val="x-none" w:eastAsia="x-none"/>
    </w:rPr>
  </w:style>
  <w:style w:type="paragraph" w:styleId="NormalWeb">
    <w:name w:val="Normal (Web)"/>
    <w:basedOn w:val="Normal"/>
    <w:uiPriority w:val="99"/>
    <w:rsid w:val="00D45E44"/>
    <w:pPr>
      <w:spacing w:before="100" w:beforeAutospacing="1" w:after="100" w:afterAutospacing="1"/>
    </w:pPr>
  </w:style>
  <w:style w:type="paragraph" w:customStyle="1" w:styleId="naisf">
    <w:name w:val="naisf"/>
    <w:basedOn w:val="Normal"/>
    <w:rsid w:val="00D45E44"/>
    <w:pPr>
      <w:spacing w:before="75" w:after="75"/>
      <w:ind w:firstLine="375"/>
      <w:jc w:val="both"/>
    </w:pPr>
  </w:style>
  <w:style w:type="paragraph" w:customStyle="1" w:styleId="nais1">
    <w:name w:val="nais1"/>
    <w:basedOn w:val="Normal"/>
    <w:uiPriority w:val="99"/>
    <w:rsid w:val="00D45E44"/>
    <w:pPr>
      <w:spacing w:before="75" w:after="75"/>
      <w:ind w:left="450" w:firstLine="375"/>
      <w:jc w:val="both"/>
    </w:pPr>
  </w:style>
  <w:style w:type="paragraph" w:customStyle="1" w:styleId="nais2">
    <w:name w:val="nais2"/>
    <w:basedOn w:val="Normal"/>
    <w:uiPriority w:val="99"/>
    <w:rsid w:val="00D45E44"/>
    <w:pPr>
      <w:spacing w:before="75" w:after="75"/>
      <w:ind w:left="900" w:firstLine="375"/>
      <w:jc w:val="both"/>
    </w:pPr>
  </w:style>
  <w:style w:type="paragraph" w:customStyle="1" w:styleId="naispant">
    <w:name w:val="naispant"/>
    <w:basedOn w:val="Normal"/>
    <w:uiPriority w:val="99"/>
    <w:rsid w:val="00D45E44"/>
    <w:pPr>
      <w:spacing w:before="75" w:after="75"/>
      <w:ind w:left="375" w:firstLine="375"/>
      <w:jc w:val="both"/>
    </w:pPr>
    <w:rPr>
      <w:b/>
      <w:bCs/>
    </w:rPr>
  </w:style>
  <w:style w:type="paragraph" w:customStyle="1" w:styleId="naisvisr">
    <w:name w:val="naisvisr"/>
    <w:basedOn w:val="Normal"/>
    <w:uiPriority w:val="99"/>
    <w:rsid w:val="00D45E44"/>
    <w:pPr>
      <w:spacing w:before="150" w:after="150"/>
      <w:jc w:val="center"/>
    </w:pPr>
    <w:rPr>
      <w:b/>
      <w:bCs/>
      <w:sz w:val="28"/>
      <w:szCs w:val="28"/>
    </w:rPr>
  </w:style>
  <w:style w:type="paragraph" w:customStyle="1" w:styleId="naisnod">
    <w:name w:val="naisnod"/>
    <w:basedOn w:val="Normal"/>
    <w:uiPriority w:val="99"/>
    <w:rsid w:val="00D45E44"/>
    <w:pPr>
      <w:spacing w:before="150" w:after="150"/>
      <w:jc w:val="center"/>
    </w:pPr>
    <w:rPr>
      <w:b/>
      <w:bCs/>
    </w:rPr>
  </w:style>
  <w:style w:type="paragraph" w:customStyle="1" w:styleId="naislab">
    <w:name w:val="naislab"/>
    <w:basedOn w:val="Normal"/>
    <w:uiPriority w:val="99"/>
    <w:rsid w:val="00D45E44"/>
    <w:pPr>
      <w:spacing w:before="75" w:after="75"/>
      <w:jc w:val="right"/>
    </w:pPr>
  </w:style>
  <w:style w:type="paragraph" w:customStyle="1" w:styleId="naiskr">
    <w:name w:val="naiskr"/>
    <w:basedOn w:val="Normal"/>
    <w:rsid w:val="00D45E44"/>
    <w:pPr>
      <w:spacing w:before="75" w:after="75"/>
    </w:pPr>
  </w:style>
  <w:style w:type="paragraph" w:customStyle="1" w:styleId="naisc">
    <w:name w:val="naisc"/>
    <w:basedOn w:val="Normal"/>
    <w:rsid w:val="00D45E44"/>
    <w:pPr>
      <w:spacing w:before="75" w:after="75"/>
      <w:jc w:val="center"/>
    </w:pPr>
  </w:style>
  <w:style w:type="character" w:styleId="Strong">
    <w:name w:val="Strong"/>
    <w:uiPriority w:val="22"/>
    <w:qFormat/>
    <w:rsid w:val="00D45E44"/>
    <w:rPr>
      <w:rFonts w:cs="Times New Roman"/>
      <w:b/>
      <w:bCs/>
    </w:rPr>
  </w:style>
  <w:style w:type="character" w:customStyle="1" w:styleId="th1">
    <w:name w:val="th1"/>
    <w:uiPriority w:val="99"/>
    <w:rsid w:val="00D45E44"/>
    <w:rPr>
      <w:rFonts w:cs="Times New Roman"/>
      <w:b/>
      <w:bCs/>
      <w:color w:val="333333"/>
    </w:rPr>
  </w:style>
  <w:style w:type="character" w:styleId="Emphasis">
    <w:name w:val="Emphasis"/>
    <w:uiPriority w:val="99"/>
    <w:qFormat/>
    <w:rsid w:val="00D45E44"/>
    <w:rPr>
      <w:rFonts w:cs="Times New Roman"/>
      <w:i/>
      <w:iCs/>
    </w:rPr>
  </w:style>
  <w:style w:type="paragraph" w:styleId="BalloonText">
    <w:name w:val="Balloon Text"/>
    <w:basedOn w:val="Normal"/>
    <w:link w:val="BalloonTextChar"/>
    <w:uiPriority w:val="99"/>
    <w:semiHidden/>
    <w:rsid w:val="00D45E4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45E44"/>
    <w:rPr>
      <w:rFonts w:ascii="Tahoma" w:eastAsia="Times New Roman" w:hAnsi="Tahoma" w:cs="Times New Roman"/>
      <w:sz w:val="16"/>
      <w:szCs w:val="16"/>
      <w:lang w:val="x-none" w:eastAsia="x-none"/>
    </w:rPr>
  </w:style>
  <w:style w:type="table" w:styleId="TableGrid">
    <w:name w:val="Table Grid"/>
    <w:basedOn w:val="TableNormal"/>
    <w:uiPriority w:val="99"/>
    <w:rsid w:val="00D45E4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D45E44"/>
    <w:pPr>
      <w:ind w:firstLine="709"/>
      <w:jc w:val="both"/>
    </w:pPr>
    <w:rPr>
      <w:sz w:val="28"/>
      <w:szCs w:val="28"/>
      <w:lang w:eastAsia="x-none"/>
    </w:rPr>
  </w:style>
  <w:style w:type="character" w:customStyle="1" w:styleId="BodyTextIndent3Char">
    <w:name w:val="Body Text Indent 3 Char"/>
    <w:basedOn w:val="DefaultParagraphFont"/>
    <w:link w:val="BodyTextIndent3"/>
    <w:uiPriority w:val="99"/>
    <w:rsid w:val="00D45E44"/>
    <w:rPr>
      <w:rFonts w:ascii="Times New Roman" w:eastAsia="Times New Roman" w:hAnsi="Times New Roman" w:cs="Times New Roman"/>
      <w:sz w:val="28"/>
      <w:szCs w:val="28"/>
      <w:lang w:eastAsia="x-none"/>
    </w:rPr>
  </w:style>
  <w:style w:type="paragraph" w:styleId="Header">
    <w:name w:val="header"/>
    <w:basedOn w:val="Normal"/>
    <w:link w:val="HeaderChar"/>
    <w:uiPriority w:val="99"/>
    <w:rsid w:val="00D45E44"/>
    <w:pPr>
      <w:tabs>
        <w:tab w:val="center" w:pos="4153"/>
        <w:tab w:val="right" w:pos="8306"/>
      </w:tabs>
    </w:pPr>
  </w:style>
  <w:style w:type="character" w:customStyle="1" w:styleId="HeaderChar">
    <w:name w:val="Header Char"/>
    <w:basedOn w:val="DefaultParagraphFont"/>
    <w:link w:val="Header"/>
    <w:uiPriority w:val="99"/>
    <w:rsid w:val="00D45E44"/>
    <w:rPr>
      <w:rFonts w:ascii="Times New Roman" w:eastAsia="Times New Roman" w:hAnsi="Times New Roman" w:cs="Times New Roman"/>
      <w:sz w:val="24"/>
      <w:szCs w:val="24"/>
      <w:lang w:eastAsia="lv-LV"/>
    </w:rPr>
  </w:style>
  <w:style w:type="character" w:styleId="PageNumber">
    <w:name w:val="page number"/>
    <w:uiPriority w:val="99"/>
    <w:rsid w:val="00D45E44"/>
    <w:rPr>
      <w:rFonts w:cs="Times New Roman"/>
    </w:rPr>
  </w:style>
  <w:style w:type="paragraph" w:styleId="Footer">
    <w:name w:val="footer"/>
    <w:basedOn w:val="Normal"/>
    <w:link w:val="FooterChar"/>
    <w:uiPriority w:val="99"/>
    <w:rsid w:val="00D45E44"/>
    <w:pPr>
      <w:tabs>
        <w:tab w:val="center" w:pos="4153"/>
        <w:tab w:val="right" w:pos="8306"/>
      </w:tabs>
    </w:pPr>
  </w:style>
  <w:style w:type="character" w:customStyle="1" w:styleId="FooterChar">
    <w:name w:val="Footer Char"/>
    <w:basedOn w:val="DefaultParagraphFont"/>
    <w:link w:val="Footer"/>
    <w:uiPriority w:val="99"/>
    <w:rsid w:val="00D45E44"/>
    <w:rPr>
      <w:rFonts w:ascii="Times New Roman" w:eastAsia="Times New Roman" w:hAnsi="Times New Roman" w:cs="Times New Roman"/>
      <w:sz w:val="24"/>
      <w:szCs w:val="24"/>
      <w:lang w:eastAsia="lv-LV"/>
    </w:rPr>
  </w:style>
  <w:style w:type="paragraph" w:styleId="ListParagraph">
    <w:name w:val="List Paragraph"/>
    <w:aliases w:val="2,Strip,H&amp;P List Paragraph,Medium Grid 1 - Accent 21,Bullets,Normal bullet 2,Bullet list,Numbered List,List Paragraph1,Paragraph,Bullet point 1,1st level - Bullet List Paragraph,Lettre d'introduction,Paragrafo elenco,List Paragraph11"/>
    <w:basedOn w:val="Normal"/>
    <w:link w:val="ListParagraphChar"/>
    <w:uiPriority w:val="34"/>
    <w:qFormat/>
    <w:rsid w:val="00D45E44"/>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unhideWhenUsed/>
    <w:rsid w:val="00D45E44"/>
    <w:rPr>
      <w:sz w:val="16"/>
      <w:szCs w:val="16"/>
    </w:rPr>
  </w:style>
  <w:style w:type="paragraph" w:styleId="CommentText">
    <w:name w:val="annotation text"/>
    <w:basedOn w:val="Normal"/>
    <w:link w:val="CommentTextChar"/>
    <w:uiPriority w:val="99"/>
    <w:unhideWhenUsed/>
    <w:rsid w:val="00D45E44"/>
    <w:rPr>
      <w:sz w:val="20"/>
      <w:szCs w:val="20"/>
    </w:rPr>
  </w:style>
  <w:style w:type="character" w:customStyle="1" w:styleId="CommentTextChar">
    <w:name w:val="Comment Text Char"/>
    <w:basedOn w:val="DefaultParagraphFont"/>
    <w:link w:val="CommentText"/>
    <w:uiPriority w:val="99"/>
    <w:rsid w:val="00D45E4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D45E44"/>
    <w:rPr>
      <w:b/>
      <w:bCs/>
      <w:lang w:val="x-none" w:eastAsia="x-none"/>
    </w:rPr>
  </w:style>
  <w:style w:type="character" w:customStyle="1" w:styleId="CommentSubjectChar">
    <w:name w:val="Comment Subject Char"/>
    <w:basedOn w:val="CommentTextChar"/>
    <w:link w:val="CommentSubject"/>
    <w:rsid w:val="00D45E44"/>
    <w:rPr>
      <w:rFonts w:ascii="Times New Roman" w:eastAsia="Times New Roman" w:hAnsi="Times New Roman" w:cs="Times New Roman"/>
      <w:b/>
      <w:bCs/>
      <w:sz w:val="20"/>
      <w:szCs w:val="20"/>
      <w:lang w:val="x-none" w:eastAsia="x-none"/>
    </w:rPr>
  </w:style>
  <w:style w:type="paragraph" w:customStyle="1" w:styleId="tv213">
    <w:name w:val="tv213"/>
    <w:basedOn w:val="Normal"/>
    <w:rsid w:val="00D45E44"/>
    <w:pPr>
      <w:spacing w:before="100" w:beforeAutospacing="1" w:after="100" w:afterAutospacing="1"/>
    </w:pPr>
  </w:style>
  <w:style w:type="character" w:customStyle="1" w:styleId="italic">
    <w:name w:val="italic"/>
    <w:rsid w:val="00D45E44"/>
  </w:style>
  <w:style w:type="character" w:customStyle="1" w:styleId="ListParagraphChar">
    <w:name w:val="List Paragraph Char"/>
    <w:aliases w:val="2 Char,Strip Char,H&amp;P List Paragraph Char,Medium Grid 1 - Accent 21 Char,Bullets Char,Normal bullet 2 Char,Bullet list Char,Numbered List Char,List Paragraph1 Char,Paragraph Char,Bullet point 1 Char,Lettre d'introduction Char"/>
    <w:link w:val="ListParagraph"/>
    <w:uiPriority w:val="34"/>
    <w:qFormat/>
    <w:rsid w:val="00D45E44"/>
    <w:rPr>
      <w:rFonts w:ascii="Calibri" w:eastAsia="Times New Roman" w:hAnsi="Calibri" w:cs="Times New Roman"/>
      <w:lang w:val="x-none"/>
    </w:rPr>
  </w:style>
  <w:style w:type="paragraph" w:styleId="FootnoteText">
    <w:name w:val="footnote text"/>
    <w:aliases w:val="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D45E44"/>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Char Char,(Diplomarbeit) Char,(Diplomarbeit)1 Char,(Diplomarbeit)2 Char,(Diplomarbeit)3 Char,(Diplomarbeit)4 Char,(Diplomarbeit)5 Char,(Diplomarbeit)6 Char,(Diplomarbeit)7 Char,-E Fußnotentext Char,Footnote Char,Fußnote Char1,o Char"/>
    <w:basedOn w:val="DefaultParagraphFont"/>
    <w:link w:val="FootnoteText"/>
    <w:uiPriority w:val="99"/>
    <w:qFormat/>
    <w:rsid w:val="00D45E44"/>
    <w:rPr>
      <w:rFonts w:ascii="Calibri" w:eastAsia="Calibri" w:hAnsi="Calibri" w:cs="Times New Roman"/>
      <w:sz w:val="20"/>
      <w:szCs w:val="20"/>
      <w:lang w:val="en-US"/>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fr,BVI fnr,N"/>
    <w:link w:val="FootnoteRefernece"/>
    <w:uiPriority w:val="99"/>
    <w:unhideWhenUsed/>
    <w:qFormat/>
    <w:rsid w:val="00D45E44"/>
    <w:rPr>
      <w:vertAlign w:val="superscript"/>
    </w:rPr>
  </w:style>
  <w:style w:type="character" w:customStyle="1" w:styleId="spelle">
    <w:name w:val="spelle"/>
    <w:rsid w:val="00D45E44"/>
  </w:style>
  <w:style w:type="paragraph" w:styleId="BodyText">
    <w:name w:val="Body Text"/>
    <w:basedOn w:val="Normal"/>
    <w:link w:val="BodyTextChar"/>
    <w:uiPriority w:val="99"/>
    <w:unhideWhenUsed/>
    <w:rsid w:val="00D45E44"/>
    <w:pPr>
      <w:spacing w:after="120"/>
    </w:pPr>
    <w:rPr>
      <w:lang w:val="x-none" w:eastAsia="x-none"/>
    </w:rPr>
  </w:style>
  <w:style w:type="character" w:customStyle="1" w:styleId="BodyTextChar">
    <w:name w:val="Body Text Char"/>
    <w:basedOn w:val="DefaultParagraphFont"/>
    <w:link w:val="BodyText"/>
    <w:uiPriority w:val="99"/>
    <w:rsid w:val="00D45E44"/>
    <w:rPr>
      <w:rFonts w:ascii="Times New Roman" w:eastAsia="Times New Roman" w:hAnsi="Times New Roman" w:cs="Times New Roman"/>
      <w:sz w:val="24"/>
      <w:szCs w:val="24"/>
      <w:lang w:val="x-none" w:eastAsia="x-none"/>
    </w:rPr>
  </w:style>
  <w:style w:type="table" w:customStyle="1" w:styleId="ListTable5Dark-Accent33">
    <w:name w:val="List Table 5 Dark - Accent 33"/>
    <w:basedOn w:val="TableNormal"/>
    <w:next w:val="ListTable5Dark-Accent31"/>
    <w:uiPriority w:val="50"/>
    <w:rsid w:val="00D45E44"/>
    <w:pPr>
      <w:spacing w:after="0" w:line="240" w:lineRule="auto"/>
    </w:pPr>
    <w:rPr>
      <w:rFonts w:ascii="Calibri" w:eastAsia="Calibri" w:hAnsi="Calibri" w:cs="DokChampa"/>
      <w:color w:val="FFFFFF"/>
      <w:lang w:val="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5E44"/>
    <w:pPr>
      <w:spacing w:after="0" w:line="240" w:lineRule="auto"/>
    </w:pPr>
    <w:rPr>
      <w:rFonts w:ascii="Times New Roman" w:eastAsia="Times New Roman" w:hAnsi="Times New Roman" w:cs="Times New Roman"/>
      <w:color w:val="FFFFFF"/>
      <w:sz w:val="20"/>
      <w:szCs w:val="20"/>
      <w:lang w:eastAsia="lv-LV"/>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FootnoteCharacters">
    <w:name w:val="Footnote Characters"/>
    <w:rsid w:val="00D45E44"/>
    <w:rPr>
      <w:rFonts w:ascii="Times New Roman" w:hAnsi="Times New Roman"/>
      <w:sz w:val="20"/>
    </w:rPr>
  </w:style>
  <w:style w:type="paragraph" w:customStyle="1" w:styleId="FootnoteText2">
    <w:name w:val="Footnote Text2"/>
    <w:basedOn w:val="TOC4"/>
    <w:rsid w:val="00D45E44"/>
    <w:pPr>
      <w:tabs>
        <w:tab w:val="left" w:pos="1540"/>
        <w:tab w:val="right" w:leader="dot" w:pos="9061"/>
      </w:tabs>
      <w:suppressAutoHyphens/>
      <w:ind w:left="0"/>
    </w:pPr>
    <w:rPr>
      <w:rFonts w:ascii="Calibri Light" w:hAnsi="Calibri Light" w:cs="Calibri"/>
      <w:i/>
      <w:sz w:val="18"/>
      <w:lang w:val="en-US" w:eastAsia="zh-CN"/>
    </w:rPr>
  </w:style>
  <w:style w:type="paragraph" w:styleId="TOC4">
    <w:name w:val="toc 4"/>
    <w:basedOn w:val="Normal"/>
    <w:next w:val="Normal"/>
    <w:autoRedefine/>
    <w:rsid w:val="00D45E44"/>
    <w:pPr>
      <w:ind w:left="720"/>
    </w:pPr>
  </w:style>
  <w:style w:type="paragraph" w:customStyle="1" w:styleId="FootnoteRefernece">
    <w:name w:val="Footnote Refernece"/>
    <w:aliases w:val="ftref,Odwołanie przypisu,Footnotes refss,Ref,de nota al pie,E,E FNZ"/>
    <w:basedOn w:val="Normal"/>
    <w:next w:val="Normal"/>
    <w:link w:val="FootnoteReference"/>
    <w:uiPriority w:val="99"/>
    <w:rsid w:val="00D45E4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D45E4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ody0">
    <w:name w:val="Body"/>
    <w:rsid w:val="00D45E44"/>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lv-LV"/>
    </w:rPr>
  </w:style>
  <w:style w:type="paragraph" w:customStyle="1" w:styleId="pamattekststabul">
    <w:name w:val="pamattekststabul"/>
    <w:basedOn w:val="Normal"/>
    <w:rsid w:val="00D45E44"/>
    <w:pPr>
      <w:spacing w:before="100" w:beforeAutospacing="1" w:after="100" w:afterAutospacing="1"/>
    </w:pPr>
    <w:rPr>
      <w:lang w:val="en-US" w:eastAsia="en-US"/>
    </w:rPr>
  </w:style>
  <w:style w:type="paragraph" w:customStyle="1" w:styleId="ManualNumPar1">
    <w:name w:val="Manual NumPar 1"/>
    <w:basedOn w:val="Normal"/>
    <w:next w:val="Normal"/>
    <w:rsid w:val="00D45E44"/>
    <w:pPr>
      <w:spacing w:before="120" w:after="120"/>
      <w:ind w:left="850" w:hanging="850"/>
      <w:jc w:val="both"/>
    </w:pPr>
    <w:rPr>
      <w:rFonts w:eastAsia="Calibri"/>
      <w:szCs w:val="22"/>
      <w:lang w:eastAsia="en-US"/>
    </w:rPr>
  </w:style>
  <w:style w:type="paragraph" w:customStyle="1" w:styleId="ChapterTitle">
    <w:name w:val="ChapterTitle"/>
    <w:basedOn w:val="Normal"/>
    <w:next w:val="Normal"/>
    <w:rsid w:val="00D45E44"/>
    <w:pPr>
      <w:keepNext/>
      <w:spacing w:before="120" w:after="360"/>
      <w:jc w:val="center"/>
    </w:pPr>
    <w:rPr>
      <w:rFonts w:eastAsia="Calibri"/>
      <w:b/>
      <w:sz w:val="32"/>
      <w:szCs w:val="22"/>
      <w:lang w:eastAsia="en-US"/>
    </w:rPr>
  </w:style>
  <w:style w:type="paragraph" w:customStyle="1" w:styleId="Point0number">
    <w:name w:val="Point 0 (number)"/>
    <w:basedOn w:val="Normal"/>
    <w:rsid w:val="00D45E44"/>
    <w:pPr>
      <w:numPr>
        <w:numId w:val="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45E44"/>
    <w:pPr>
      <w:numPr>
        <w:ilvl w:val="2"/>
        <w:numId w:val="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45E44"/>
    <w:pPr>
      <w:numPr>
        <w:ilvl w:val="4"/>
        <w:numId w:val="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45E44"/>
    <w:pPr>
      <w:numPr>
        <w:ilvl w:val="6"/>
        <w:numId w:val="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45E44"/>
    <w:pPr>
      <w:numPr>
        <w:ilvl w:val="1"/>
        <w:numId w:val="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45E44"/>
    <w:pPr>
      <w:numPr>
        <w:ilvl w:val="3"/>
        <w:numId w:val="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45E44"/>
    <w:pPr>
      <w:numPr>
        <w:ilvl w:val="5"/>
        <w:numId w:val="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45E44"/>
    <w:pPr>
      <w:numPr>
        <w:ilvl w:val="7"/>
        <w:numId w:val="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45E44"/>
    <w:pPr>
      <w:numPr>
        <w:ilvl w:val="8"/>
        <w:numId w:val="6"/>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D45E44"/>
    <w:pPr>
      <w:keepNext/>
      <w:spacing w:before="360" w:after="120"/>
      <w:jc w:val="center"/>
    </w:pPr>
    <w:rPr>
      <w:rFonts w:eastAsia="Calibri"/>
      <w:i/>
      <w:szCs w:val="22"/>
      <w:lang w:eastAsia="en-US"/>
    </w:rPr>
  </w:style>
  <w:style w:type="character" w:customStyle="1" w:styleId="None">
    <w:name w:val="None"/>
    <w:rsid w:val="00D45E44"/>
  </w:style>
  <w:style w:type="paragraph" w:customStyle="1" w:styleId="CharCharCharChar">
    <w:name w:val="Char Char Char Char"/>
    <w:aliases w:val="Char2"/>
    <w:basedOn w:val="Normal"/>
    <w:next w:val="Normal"/>
    <w:uiPriority w:val="99"/>
    <w:rsid w:val="00D45E44"/>
    <w:pPr>
      <w:widowControl w:val="0"/>
      <w:autoSpaceDE w:val="0"/>
      <w:autoSpaceDN w:val="0"/>
      <w:adjustRightInd w:val="0"/>
      <w:spacing w:after="160" w:line="240" w:lineRule="exact"/>
      <w:jc w:val="both"/>
    </w:pPr>
    <w:rPr>
      <w:rFonts w:ascii="Calibri" w:hAnsi="Calibri"/>
      <w:sz w:val="20"/>
      <w:szCs w:val="20"/>
      <w:vertAlign w:val="superscript"/>
    </w:rPr>
  </w:style>
  <w:style w:type="paragraph" w:customStyle="1" w:styleId="xmsonormal">
    <w:name w:val="x_msonormal"/>
    <w:basedOn w:val="Normal"/>
    <w:rsid w:val="00D45E44"/>
    <w:pPr>
      <w:spacing w:before="100" w:beforeAutospacing="1" w:after="100" w:afterAutospacing="1"/>
    </w:pPr>
  </w:style>
  <w:style w:type="paragraph" w:customStyle="1" w:styleId="mt-translation">
    <w:name w:val="mt-translation"/>
    <w:basedOn w:val="Normal"/>
    <w:rsid w:val="00D45E44"/>
    <w:pPr>
      <w:spacing w:before="100" w:beforeAutospacing="1" w:after="100" w:afterAutospacing="1"/>
    </w:pPr>
    <w:rPr>
      <w:lang w:val="en-GB" w:eastAsia="en-GB"/>
    </w:rPr>
  </w:style>
  <w:style w:type="paragraph" w:customStyle="1" w:styleId="xmsolistparagraph">
    <w:name w:val="x_msolistparagraph"/>
    <w:basedOn w:val="Normal"/>
    <w:rsid w:val="00D45E44"/>
    <w:pPr>
      <w:spacing w:before="100" w:beforeAutospacing="1" w:after="100" w:afterAutospacing="1"/>
    </w:pPr>
  </w:style>
  <w:style w:type="paragraph" w:customStyle="1" w:styleId="BodyA">
    <w:name w:val="Body A"/>
    <w:rsid w:val="00D45E44"/>
    <w:pPr>
      <w:spacing w:after="0" w:line="240" w:lineRule="auto"/>
    </w:pPr>
    <w:rPr>
      <w:rFonts w:ascii="Helvetica" w:eastAsia="Arial Unicode MS" w:hAnsi="Helvetica" w:cs="Arial Unicode MS"/>
      <w:color w:val="000000"/>
      <w:u w:color="000000"/>
      <w:lang w:eastAsia="lv-LV"/>
    </w:rPr>
  </w:style>
  <w:style w:type="paragraph" w:styleId="Revision">
    <w:name w:val="Revision"/>
    <w:hidden/>
    <w:uiPriority w:val="99"/>
    <w:semiHidden/>
    <w:rsid w:val="00A7572E"/>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64ECF"/>
    <w:pPr>
      <w:spacing w:after="120"/>
      <w:ind w:left="283"/>
    </w:pPr>
  </w:style>
  <w:style w:type="character" w:customStyle="1" w:styleId="BodyTextIndentChar">
    <w:name w:val="Body Text Indent Char"/>
    <w:basedOn w:val="DefaultParagraphFont"/>
    <w:link w:val="BodyTextIndent"/>
    <w:uiPriority w:val="99"/>
    <w:semiHidden/>
    <w:rsid w:val="00064EC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5912">
      <w:bodyDiv w:val="1"/>
      <w:marLeft w:val="0"/>
      <w:marRight w:val="0"/>
      <w:marTop w:val="0"/>
      <w:marBottom w:val="0"/>
      <w:divBdr>
        <w:top w:val="none" w:sz="0" w:space="0" w:color="auto"/>
        <w:left w:val="none" w:sz="0" w:space="0" w:color="auto"/>
        <w:bottom w:val="none" w:sz="0" w:space="0" w:color="auto"/>
        <w:right w:val="none" w:sz="0" w:space="0" w:color="auto"/>
      </w:divBdr>
    </w:div>
    <w:div w:id="90707316">
      <w:bodyDiv w:val="1"/>
      <w:marLeft w:val="0"/>
      <w:marRight w:val="0"/>
      <w:marTop w:val="0"/>
      <w:marBottom w:val="0"/>
      <w:divBdr>
        <w:top w:val="none" w:sz="0" w:space="0" w:color="auto"/>
        <w:left w:val="none" w:sz="0" w:space="0" w:color="auto"/>
        <w:bottom w:val="none" w:sz="0" w:space="0" w:color="auto"/>
        <w:right w:val="none" w:sz="0" w:space="0" w:color="auto"/>
      </w:divBdr>
    </w:div>
    <w:div w:id="651448684">
      <w:bodyDiv w:val="1"/>
      <w:marLeft w:val="0"/>
      <w:marRight w:val="0"/>
      <w:marTop w:val="0"/>
      <w:marBottom w:val="0"/>
      <w:divBdr>
        <w:top w:val="none" w:sz="0" w:space="0" w:color="auto"/>
        <w:left w:val="none" w:sz="0" w:space="0" w:color="auto"/>
        <w:bottom w:val="none" w:sz="0" w:space="0" w:color="auto"/>
        <w:right w:val="none" w:sz="0" w:space="0" w:color="auto"/>
      </w:divBdr>
    </w:div>
    <w:div w:id="740177039">
      <w:bodyDiv w:val="1"/>
      <w:marLeft w:val="0"/>
      <w:marRight w:val="0"/>
      <w:marTop w:val="0"/>
      <w:marBottom w:val="0"/>
      <w:divBdr>
        <w:top w:val="none" w:sz="0" w:space="0" w:color="auto"/>
        <w:left w:val="none" w:sz="0" w:space="0" w:color="auto"/>
        <w:bottom w:val="none" w:sz="0" w:space="0" w:color="auto"/>
        <w:right w:val="none" w:sz="0" w:space="0" w:color="auto"/>
      </w:divBdr>
    </w:div>
    <w:div w:id="1111125547">
      <w:bodyDiv w:val="1"/>
      <w:marLeft w:val="0"/>
      <w:marRight w:val="0"/>
      <w:marTop w:val="0"/>
      <w:marBottom w:val="0"/>
      <w:divBdr>
        <w:top w:val="none" w:sz="0" w:space="0" w:color="auto"/>
        <w:left w:val="none" w:sz="0" w:space="0" w:color="auto"/>
        <w:bottom w:val="none" w:sz="0" w:space="0" w:color="auto"/>
        <w:right w:val="none" w:sz="0" w:space="0" w:color="auto"/>
      </w:divBdr>
    </w:div>
    <w:div w:id="1178352386">
      <w:bodyDiv w:val="1"/>
      <w:marLeft w:val="0"/>
      <w:marRight w:val="0"/>
      <w:marTop w:val="0"/>
      <w:marBottom w:val="0"/>
      <w:divBdr>
        <w:top w:val="none" w:sz="0" w:space="0" w:color="auto"/>
        <w:left w:val="none" w:sz="0" w:space="0" w:color="auto"/>
        <w:bottom w:val="none" w:sz="0" w:space="0" w:color="auto"/>
        <w:right w:val="none" w:sz="0" w:space="0" w:color="auto"/>
      </w:divBdr>
    </w:div>
    <w:div w:id="1236472931">
      <w:bodyDiv w:val="1"/>
      <w:marLeft w:val="0"/>
      <w:marRight w:val="0"/>
      <w:marTop w:val="0"/>
      <w:marBottom w:val="0"/>
      <w:divBdr>
        <w:top w:val="none" w:sz="0" w:space="0" w:color="auto"/>
        <w:left w:val="none" w:sz="0" w:space="0" w:color="auto"/>
        <w:bottom w:val="none" w:sz="0" w:space="0" w:color="auto"/>
        <w:right w:val="none" w:sz="0" w:space="0" w:color="auto"/>
      </w:divBdr>
    </w:div>
    <w:div w:id="1249343363">
      <w:bodyDiv w:val="1"/>
      <w:marLeft w:val="0"/>
      <w:marRight w:val="0"/>
      <w:marTop w:val="0"/>
      <w:marBottom w:val="0"/>
      <w:divBdr>
        <w:top w:val="none" w:sz="0" w:space="0" w:color="auto"/>
        <w:left w:val="none" w:sz="0" w:space="0" w:color="auto"/>
        <w:bottom w:val="none" w:sz="0" w:space="0" w:color="auto"/>
        <w:right w:val="none" w:sz="0" w:space="0" w:color="auto"/>
      </w:divBdr>
    </w:div>
    <w:div w:id="1736277992">
      <w:bodyDiv w:val="1"/>
      <w:marLeft w:val="0"/>
      <w:marRight w:val="0"/>
      <w:marTop w:val="0"/>
      <w:marBottom w:val="0"/>
      <w:divBdr>
        <w:top w:val="none" w:sz="0" w:space="0" w:color="auto"/>
        <w:left w:val="none" w:sz="0" w:space="0" w:color="auto"/>
        <w:bottom w:val="none" w:sz="0" w:space="0" w:color="auto"/>
        <w:right w:val="none" w:sz="0" w:space="0" w:color="auto"/>
      </w:divBdr>
    </w:div>
    <w:div w:id="1940258918">
      <w:bodyDiv w:val="1"/>
      <w:marLeft w:val="0"/>
      <w:marRight w:val="0"/>
      <w:marTop w:val="0"/>
      <w:marBottom w:val="0"/>
      <w:divBdr>
        <w:top w:val="none" w:sz="0" w:space="0" w:color="auto"/>
        <w:left w:val="none" w:sz="0" w:space="0" w:color="auto"/>
        <w:bottom w:val="none" w:sz="0" w:space="0" w:color="auto"/>
        <w:right w:val="none" w:sz="0" w:space="0" w:color="auto"/>
      </w:divBdr>
    </w:div>
    <w:div w:id="20345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s.zusteniek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OM%3A2018%3A372%3AFIN" TargetMode="External"/><Relationship Id="rId3" Type="http://schemas.openxmlformats.org/officeDocument/2006/relationships/hyperlink" Target="https://ec.europa.eu/clima/policies/ets_en" TargetMode="External"/><Relationship Id="rId7" Type="http://schemas.openxmlformats.org/officeDocument/2006/relationships/hyperlink" Target="https://www.em.gov.lv/resources/web/esfondi/2019.03.04.%20ES%20fondi%20LV%20macins.jpg" TargetMode="External"/><Relationship Id="rId2" Type="http://schemas.openxmlformats.org/officeDocument/2006/relationships/hyperlink" Target="https://www.pkc.gov.lv/sites/default/files/inline-files/Latvija_2030_7.pdf" TargetMode="External"/><Relationship Id="rId1" Type="http://schemas.openxmlformats.org/officeDocument/2006/relationships/hyperlink" Target="http://data.consilium.europa.eu/doc/document/ST-169-2014-INIT/lv/pdf" TargetMode="External"/><Relationship Id="rId6" Type="http://schemas.openxmlformats.org/officeDocument/2006/relationships/hyperlink" Target="http://tap.mk.gov.lv/doc/2019_07/VARAMKonc_180619_bezmaksas_kv.1194.docx" TargetMode="External"/><Relationship Id="rId5" Type="http://schemas.openxmlformats.org/officeDocument/2006/relationships/hyperlink" Target="https://www.youtube.com/watch?v=ufVR1JV4Or0" TargetMode="External"/><Relationship Id="rId4" Type="http://schemas.openxmlformats.org/officeDocument/2006/relationships/hyperlink" Target="http://www.lrvk.gov.lv/revizija/vai-vides-aizsardzibas-un-regionalas-attistibas-ministrijas-administretie-klimata-parmainu-samazinasanai-paredzetie-lidzekli-tiek-planoti-un-izlietoti-efektivi-un-atbilstosi-normativo-aktu-prasibam/" TargetMode="External"/><Relationship Id="rId9" Type="http://schemas.openxmlformats.org/officeDocument/2006/relationships/hyperlink" Target="https://www.esfondi.lv/upload/Prezentacijas/lv_updated-launch-event-v7-05april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288E-7EAB-4BC2-9667-D5D321EA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26125</Words>
  <Characters>14892</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Vides aizsardzības un reģionālās attīstības ministrija</Company>
  <LinksUpToDate>false</LinksUpToDate>
  <CharactersWithSpaces>40936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Gusts Zustenieks</dc:creator>
  <cp:keywords/>
  <dc:description/>
  <cp:lastModifiedBy>Gusts Zustenieks</cp:lastModifiedBy>
  <cp:revision>4</cp:revision>
  <cp:lastPrinted>2019-04-29T11:44:00Z</cp:lastPrinted>
  <dcterms:created xsi:type="dcterms:W3CDTF">2019-09-20T08:55:00Z</dcterms:created>
  <dcterms:modified xsi:type="dcterms:W3CDTF">2019-09-20T09:07:00Z</dcterms:modified>
  <cp:category>Vides politika</cp:category>
</cp:coreProperties>
</file>