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453C" w14:textId="77777777" w:rsidR="007116C7" w:rsidRPr="00761B68" w:rsidRDefault="007116C7" w:rsidP="00DB7395">
      <w:pPr>
        <w:pStyle w:val="naisnod"/>
        <w:spacing w:before="0" w:after="0"/>
        <w:ind w:firstLine="720"/>
        <w:rPr>
          <w:sz w:val="28"/>
          <w:szCs w:val="28"/>
        </w:rPr>
      </w:pPr>
      <w:r w:rsidRPr="00761B68">
        <w:rPr>
          <w:sz w:val="28"/>
          <w:szCs w:val="28"/>
        </w:rPr>
        <w:t>Izziņa par atzinumos sniegtajiem iebildumiem</w:t>
      </w:r>
    </w:p>
    <w:p w14:paraId="5937F213" w14:textId="77777777" w:rsidR="007116C7" w:rsidRPr="00761B68"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61B68" w:rsidRPr="00761B68" w14:paraId="30BFAA14" w14:textId="77777777">
        <w:trPr>
          <w:jc w:val="center"/>
        </w:trPr>
        <w:tc>
          <w:tcPr>
            <w:tcW w:w="10188" w:type="dxa"/>
            <w:tcBorders>
              <w:bottom w:val="single" w:sz="6" w:space="0" w:color="000000"/>
            </w:tcBorders>
          </w:tcPr>
          <w:p w14:paraId="524EB697" w14:textId="77777777" w:rsidR="007116C7" w:rsidRPr="00761B68" w:rsidRDefault="00321723" w:rsidP="007C3F2F">
            <w:pPr>
              <w:ind w:firstLine="720"/>
              <w:jc w:val="center"/>
              <w:rPr>
                <w:sz w:val="28"/>
                <w:szCs w:val="28"/>
              </w:rPr>
            </w:pPr>
            <w:r w:rsidRPr="00761B68">
              <w:rPr>
                <w:sz w:val="28"/>
                <w:szCs w:val="28"/>
              </w:rPr>
              <w:t>Ministru kabineta noteikumu projekts “Nacionālie antidopinga noteikumi”</w:t>
            </w:r>
          </w:p>
        </w:tc>
      </w:tr>
    </w:tbl>
    <w:p w14:paraId="43EC9855" w14:textId="77777777" w:rsidR="007116C7" w:rsidRPr="00761B68" w:rsidRDefault="007116C7" w:rsidP="009623BC">
      <w:pPr>
        <w:pStyle w:val="naisc"/>
        <w:spacing w:before="0" w:after="0"/>
        <w:ind w:firstLine="1080"/>
      </w:pPr>
      <w:r w:rsidRPr="00761B68">
        <w:t>(dokumenta veids un nosaukums)</w:t>
      </w:r>
    </w:p>
    <w:p w14:paraId="669CD143" w14:textId="77777777" w:rsidR="007B4C0F" w:rsidRPr="00761B68" w:rsidRDefault="007B4C0F" w:rsidP="00DB7395">
      <w:pPr>
        <w:pStyle w:val="naisf"/>
        <w:spacing w:before="0" w:after="0"/>
        <w:ind w:firstLine="720"/>
      </w:pPr>
    </w:p>
    <w:p w14:paraId="2914F61F" w14:textId="77777777" w:rsidR="007B4C0F" w:rsidRPr="00761B68" w:rsidRDefault="007B4C0F" w:rsidP="00184479">
      <w:pPr>
        <w:pStyle w:val="naisf"/>
        <w:spacing w:before="0" w:after="0"/>
        <w:ind w:firstLine="0"/>
        <w:jc w:val="center"/>
        <w:rPr>
          <w:b/>
        </w:rPr>
      </w:pPr>
      <w:r w:rsidRPr="00761B68">
        <w:rPr>
          <w:b/>
        </w:rPr>
        <w:t xml:space="preserve">I. Jautājumi, par kuriem saskaņošanā </w:t>
      </w:r>
      <w:r w:rsidR="00134188" w:rsidRPr="00761B68">
        <w:rPr>
          <w:b/>
        </w:rPr>
        <w:t xml:space="preserve">vienošanās </w:t>
      </w:r>
      <w:r w:rsidRPr="00761B68">
        <w:rPr>
          <w:b/>
        </w:rPr>
        <w:t>nav panākta</w:t>
      </w:r>
    </w:p>
    <w:p w14:paraId="2432C3A1" w14:textId="77777777" w:rsidR="007B4C0F" w:rsidRPr="00761B68"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61B68" w:rsidRPr="00761B68" w14:paraId="0A8B6C8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A87AC16" w14:textId="77777777" w:rsidR="005F4BFD" w:rsidRPr="00761B68" w:rsidRDefault="005F4BFD" w:rsidP="0036160E">
            <w:pPr>
              <w:pStyle w:val="naisc"/>
              <w:spacing w:before="0" w:after="0"/>
            </w:pPr>
            <w:r w:rsidRPr="00761B68">
              <w:t>Nr. p.</w:t>
            </w:r>
            <w:r w:rsidR="00D64FB0" w:rsidRPr="00761B68">
              <w:t> </w:t>
            </w:r>
            <w:r w:rsidRPr="00761B68">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1E1B576" w14:textId="77777777" w:rsidR="005F4BFD" w:rsidRPr="00761B68" w:rsidRDefault="005F4BFD" w:rsidP="00364BB6">
            <w:pPr>
              <w:pStyle w:val="naisc"/>
              <w:spacing w:before="0" w:after="0"/>
              <w:ind w:firstLine="12"/>
            </w:pPr>
            <w:r w:rsidRPr="00761B6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AFB582B" w14:textId="77777777" w:rsidR="005F4BFD" w:rsidRPr="00761B68" w:rsidRDefault="005F4BFD" w:rsidP="00364BB6">
            <w:pPr>
              <w:pStyle w:val="naisc"/>
              <w:spacing w:before="0" w:after="0"/>
              <w:ind w:right="3"/>
            </w:pPr>
            <w:r w:rsidRPr="00761B68">
              <w:t>Atzinumā norādītais ministrijas (citas institūcijas) iebildums</w:t>
            </w:r>
            <w:r w:rsidR="00184479" w:rsidRPr="00761B68">
              <w:t>,</w:t>
            </w:r>
            <w:r w:rsidR="000E5509" w:rsidRPr="00761B68">
              <w:t xml:space="preserve"> kā arī saskaņošanā papildus izteiktais iebildums</w:t>
            </w:r>
            <w:r w:rsidRPr="00761B68">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7723D76" w14:textId="77777777" w:rsidR="005F4BFD" w:rsidRPr="00761B68" w:rsidRDefault="005F4BFD" w:rsidP="00364BB6">
            <w:pPr>
              <w:pStyle w:val="naisc"/>
              <w:spacing w:before="0" w:after="0"/>
              <w:ind w:firstLine="21"/>
            </w:pPr>
            <w:r w:rsidRPr="00761B68">
              <w:t>Atbildīgās ministrijas pamatojums</w:t>
            </w:r>
            <w:r w:rsidR="009307F2" w:rsidRPr="00761B68">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4ACE1E2" w14:textId="77777777" w:rsidR="005F4BFD" w:rsidRPr="00761B68" w:rsidRDefault="005F4BFD" w:rsidP="00364BB6">
            <w:pPr>
              <w:jc w:val="center"/>
            </w:pPr>
            <w:r w:rsidRPr="00761B6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7628B6C" w14:textId="77777777" w:rsidR="005F4BFD" w:rsidRPr="00761B68" w:rsidRDefault="005F4BFD" w:rsidP="00364BB6">
            <w:pPr>
              <w:jc w:val="center"/>
            </w:pPr>
            <w:r w:rsidRPr="00761B68">
              <w:t>Projekta attiecīgā punkta (panta) galīgā redakcija</w:t>
            </w:r>
          </w:p>
        </w:tc>
      </w:tr>
      <w:tr w:rsidR="00761B68" w:rsidRPr="00761B68" w14:paraId="5C6CE988" w14:textId="77777777">
        <w:tc>
          <w:tcPr>
            <w:tcW w:w="708" w:type="dxa"/>
            <w:tcBorders>
              <w:top w:val="single" w:sz="6" w:space="0" w:color="000000"/>
              <w:left w:val="single" w:sz="6" w:space="0" w:color="000000"/>
              <w:bottom w:val="single" w:sz="6" w:space="0" w:color="000000"/>
              <w:right w:val="single" w:sz="6" w:space="0" w:color="000000"/>
            </w:tcBorders>
          </w:tcPr>
          <w:p w14:paraId="21CE422B" w14:textId="77777777" w:rsidR="005F4BFD" w:rsidRPr="00761B68" w:rsidRDefault="008A36C9" w:rsidP="008A36C9">
            <w:pPr>
              <w:pStyle w:val="naisc"/>
              <w:spacing w:before="0" w:after="0"/>
              <w:rPr>
                <w:sz w:val="20"/>
                <w:szCs w:val="20"/>
              </w:rPr>
            </w:pPr>
            <w:r w:rsidRPr="00761B68">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0CD3308" w14:textId="77777777" w:rsidR="005F4BFD" w:rsidRPr="00761B68" w:rsidRDefault="008A36C9" w:rsidP="008A36C9">
            <w:pPr>
              <w:pStyle w:val="naisc"/>
              <w:spacing w:before="0" w:after="0"/>
              <w:ind w:firstLine="720"/>
              <w:rPr>
                <w:sz w:val="20"/>
                <w:szCs w:val="20"/>
              </w:rPr>
            </w:pPr>
            <w:r w:rsidRPr="00761B68">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B2B715A" w14:textId="77777777" w:rsidR="005F4BFD" w:rsidRPr="00761B68" w:rsidRDefault="008A36C9" w:rsidP="008A36C9">
            <w:pPr>
              <w:pStyle w:val="naisc"/>
              <w:spacing w:before="0" w:after="0"/>
              <w:ind w:firstLine="720"/>
              <w:rPr>
                <w:sz w:val="20"/>
                <w:szCs w:val="20"/>
              </w:rPr>
            </w:pPr>
            <w:r w:rsidRPr="00761B68">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CA8736C" w14:textId="77777777" w:rsidR="005F4BFD" w:rsidRPr="00761B68" w:rsidRDefault="008A36C9" w:rsidP="008A36C9">
            <w:pPr>
              <w:pStyle w:val="naisc"/>
              <w:spacing w:before="0" w:after="0"/>
              <w:ind w:firstLine="720"/>
              <w:rPr>
                <w:sz w:val="20"/>
                <w:szCs w:val="20"/>
              </w:rPr>
            </w:pPr>
            <w:r w:rsidRPr="00761B68">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560C07D" w14:textId="77777777" w:rsidR="005F4BFD" w:rsidRPr="00761B68" w:rsidRDefault="008A36C9" w:rsidP="008A36C9">
            <w:pPr>
              <w:jc w:val="center"/>
              <w:rPr>
                <w:sz w:val="20"/>
                <w:szCs w:val="20"/>
              </w:rPr>
            </w:pPr>
            <w:r w:rsidRPr="00761B68">
              <w:rPr>
                <w:sz w:val="20"/>
                <w:szCs w:val="20"/>
              </w:rPr>
              <w:t>5</w:t>
            </w:r>
          </w:p>
        </w:tc>
        <w:tc>
          <w:tcPr>
            <w:tcW w:w="1920" w:type="dxa"/>
            <w:tcBorders>
              <w:top w:val="single" w:sz="4" w:space="0" w:color="auto"/>
              <w:left w:val="single" w:sz="4" w:space="0" w:color="auto"/>
              <w:bottom w:val="single" w:sz="4" w:space="0" w:color="auto"/>
            </w:tcBorders>
          </w:tcPr>
          <w:p w14:paraId="7BC55578" w14:textId="77777777" w:rsidR="005F4BFD" w:rsidRPr="00761B68" w:rsidRDefault="008A36C9" w:rsidP="008A36C9">
            <w:pPr>
              <w:jc w:val="center"/>
              <w:rPr>
                <w:sz w:val="20"/>
                <w:szCs w:val="20"/>
              </w:rPr>
            </w:pPr>
            <w:r w:rsidRPr="00761B68">
              <w:rPr>
                <w:sz w:val="20"/>
                <w:szCs w:val="20"/>
              </w:rPr>
              <w:t>6</w:t>
            </w:r>
          </w:p>
        </w:tc>
      </w:tr>
      <w:tr w:rsidR="00761B68" w:rsidRPr="00761B68" w14:paraId="6C81B317" w14:textId="77777777">
        <w:tc>
          <w:tcPr>
            <w:tcW w:w="708" w:type="dxa"/>
            <w:tcBorders>
              <w:left w:val="single" w:sz="6" w:space="0" w:color="000000"/>
              <w:bottom w:val="single" w:sz="4" w:space="0" w:color="auto"/>
              <w:right w:val="single" w:sz="6" w:space="0" w:color="000000"/>
            </w:tcBorders>
          </w:tcPr>
          <w:p w14:paraId="5947F9DF" w14:textId="77777777" w:rsidR="005F4BFD" w:rsidRPr="00761B68"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3949B654" w14:textId="77777777" w:rsidR="005F4BFD" w:rsidRPr="00761B68"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BE497F2" w14:textId="77777777" w:rsidR="005F4BFD" w:rsidRPr="00761B68"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BA5FA2D" w14:textId="77777777" w:rsidR="005F4BFD" w:rsidRPr="00761B68"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97B7354" w14:textId="77777777" w:rsidR="005F4BFD" w:rsidRPr="00761B68" w:rsidRDefault="005F4BFD" w:rsidP="0036160E"/>
        </w:tc>
        <w:tc>
          <w:tcPr>
            <w:tcW w:w="1920" w:type="dxa"/>
            <w:tcBorders>
              <w:top w:val="single" w:sz="4" w:space="0" w:color="auto"/>
              <w:left w:val="single" w:sz="4" w:space="0" w:color="auto"/>
              <w:bottom w:val="single" w:sz="4" w:space="0" w:color="auto"/>
            </w:tcBorders>
          </w:tcPr>
          <w:p w14:paraId="70043567" w14:textId="77777777" w:rsidR="005F4BFD" w:rsidRPr="00761B68" w:rsidRDefault="005F4BFD" w:rsidP="0036160E"/>
        </w:tc>
      </w:tr>
      <w:tr w:rsidR="008A36C9" w:rsidRPr="00761B68" w14:paraId="020048D2" w14:textId="77777777">
        <w:tc>
          <w:tcPr>
            <w:tcW w:w="708" w:type="dxa"/>
            <w:tcBorders>
              <w:left w:val="single" w:sz="6" w:space="0" w:color="000000"/>
              <w:bottom w:val="single" w:sz="4" w:space="0" w:color="auto"/>
              <w:right w:val="single" w:sz="6" w:space="0" w:color="000000"/>
            </w:tcBorders>
          </w:tcPr>
          <w:p w14:paraId="46C0712A" w14:textId="77777777" w:rsidR="008A36C9" w:rsidRPr="00761B68"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FC2432E" w14:textId="77777777" w:rsidR="008A36C9" w:rsidRPr="00761B68"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A981D45" w14:textId="77777777" w:rsidR="008A36C9" w:rsidRPr="00761B68"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8A7A692" w14:textId="77777777" w:rsidR="008A36C9" w:rsidRPr="00761B68"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2AE2C51" w14:textId="77777777" w:rsidR="008A36C9" w:rsidRPr="00761B68"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EE7143C" w14:textId="77777777" w:rsidR="008A36C9" w:rsidRPr="00761B68" w:rsidRDefault="008A36C9" w:rsidP="008A36C9"/>
        </w:tc>
      </w:tr>
    </w:tbl>
    <w:p w14:paraId="5FF6600D" w14:textId="77777777" w:rsidR="007B4C0F" w:rsidRPr="00761B68" w:rsidRDefault="007B4C0F" w:rsidP="007B4C0F">
      <w:pPr>
        <w:pStyle w:val="naisf"/>
        <w:spacing w:before="0" w:after="0"/>
        <w:ind w:firstLine="0"/>
      </w:pPr>
    </w:p>
    <w:p w14:paraId="09CFC2AC" w14:textId="77777777" w:rsidR="005D67F7" w:rsidRPr="00761B68" w:rsidRDefault="005D67F7" w:rsidP="005D67F7">
      <w:pPr>
        <w:pStyle w:val="naisf"/>
        <w:spacing w:before="0" w:after="0"/>
        <w:ind w:firstLine="0"/>
        <w:rPr>
          <w:b/>
        </w:rPr>
      </w:pPr>
      <w:r w:rsidRPr="00761B68">
        <w:rPr>
          <w:b/>
        </w:rPr>
        <w:t>Informācija par starpministriju (starpinstitūciju) sanāksmi vai elektronisko saskaņošanu</w:t>
      </w:r>
    </w:p>
    <w:p w14:paraId="026BF2D7" w14:textId="77777777" w:rsidR="005D67F7" w:rsidRPr="00761B68"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61B68" w:rsidRPr="00761B68" w14:paraId="232A935D" w14:textId="77777777">
        <w:tc>
          <w:tcPr>
            <w:tcW w:w="6345" w:type="dxa"/>
          </w:tcPr>
          <w:p w14:paraId="024FD7FC" w14:textId="77777777" w:rsidR="007B4C0F" w:rsidRPr="00761B68" w:rsidRDefault="005D67F7" w:rsidP="005D67F7">
            <w:pPr>
              <w:pStyle w:val="naisf"/>
              <w:spacing w:before="0" w:after="0"/>
              <w:ind w:firstLine="0"/>
            </w:pPr>
            <w:r w:rsidRPr="00761B68">
              <w:t>D</w:t>
            </w:r>
            <w:r w:rsidR="007B4C0F" w:rsidRPr="00761B68">
              <w:t>atums</w:t>
            </w:r>
          </w:p>
        </w:tc>
        <w:tc>
          <w:tcPr>
            <w:tcW w:w="6237" w:type="dxa"/>
            <w:gridSpan w:val="2"/>
            <w:tcBorders>
              <w:bottom w:val="single" w:sz="4" w:space="0" w:color="auto"/>
            </w:tcBorders>
          </w:tcPr>
          <w:p w14:paraId="4C1D82AA" w14:textId="3C5BDC18" w:rsidR="007B4C0F" w:rsidRPr="00761B68" w:rsidRDefault="00032368" w:rsidP="0036160E">
            <w:pPr>
              <w:pStyle w:val="NormalWeb"/>
              <w:spacing w:before="0" w:beforeAutospacing="0" w:after="0" w:afterAutospacing="0"/>
              <w:ind w:firstLine="720"/>
            </w:pPr>
            <w:r w:rsidRPr="00761B68">
              <w:t>27.06.2019.</w:t>
            </w:r>
          </w:p>
        </w:tc>
      </w:tr>
      <w:tr w:rsidR="00761B68" w:rsidRPr="00761B68" w14:paraId="26CEAE56" w14:textId="77777777">
        <w:tc>
          <w:tcPr>
            <w:tcW w:w="6345" w:type="dxa"/>
          </w:tcPr>
          <w:p w14:paraId="3364204A" w14:textId="77777777" w:rsidR="003C27A2" w:rsidRPr="00761B68" w:rsidRDefault="003C27A2" w:rsidP="007B4C0F">
            <w:pPr>
              <w:pStyle w:val="naisf"/>
              <w:spacing w:before="0" w:after="0"/>
              <w:ind w:firstLine="0"/>
            </w:pPr>
          </w:p>
        </w:tc>
        <w:tc>
          <w:tcPr>
            <w:tcW w:w="6237" w:type="dxa"/>
            <w:gridSpan w:val="2"/>
            <w:tcBorders>
              <w:top w:val="single" w:sz="4" w:space="0" w:color="auto"/>
            </w:tcBorders>
          </w:tcPr>
          <w:p w14:paraId="233797FE" w14:textId="77777777" w:rsidR="003C27A2" w:rsidRPr="00761B68" w:rsidRDefault="003C27A2" w:rsidP="0036160E">
            <w:pPr>
              <w:pStyle w:val="NormalWeb"/>
              <w:spacing w:before="0" w:beforeAutospacing="0" w:after="0" w:afterAutospacing="0"/>
              <w:ind w:firstLine="720"/>
            </w:pPr>
          </w:p>
        </w:tc>
      </w:tr>
      <w:tr w:rsidR="00761B68" w:rsidRPr="00761B68" w14:paraId="0A7D7F87" w14:textId="77777777">
        <w:tc>
          <w:tcPr>
            <w:tcW w:w="6345" w:type="dxa"/>
          </w:tcPr>
          <w:p w14:paraId="6202E285" w14:textId="77777777" w:rsidR="007B4C0F" w:rsidRPr="00761B68" w:rsidRDefault="00365CC0" w:rsidP="003C27A2">
            <w:pPr>
              <w:pStyle w:val="naiskr"/>
              <w:spacing w:before="0" w:after="0"/>
            </w:pPr>
            <w:r w:rsidRPr="00761B68">
              <w:t>Saskaņošanas dalībnieki</w:t>
            </w:r>
          </w:p>
        </w:tc>
        <w:tc>
          <w:tcPr>
            <w:tcW w:w="6237" w:type="dxa"/>
            <w:gridSpan w:val="2"/>
          </w:tcPr>
          <w:p w14:paraId="23B8FAE2" w14:textId="5786E2BA" w:rsidR="007B4C0F" w:rsidRPr="00761B68" w:rsidRDefault="00032368" w:rsidP="0036160E">
            <w:pPr>
              <w:pStyle w:val="NormalWeb"/>
              <w:spacing w:before="0" w:beforeAutospacing="0" w:after="0" w:afterAutospacing="0"/>
              <w:ind w:firstLine="720"/>
            </w:pPr>
            <w:r w:rsidRPr="00761B68">
              <w:t>Tieslietu ministrija, Finanšu ministrija, Izglītības un zinātnes ministrija</w:t>
            </w:r>
          </w:p>
        </w:tc>
      </w:tr>
      <w:tr w:rsidR="00761B68" w:rsidRPr="00761B68" w14:paraId="5198A91F" w14:textId="77777777">
        <w:tc>
          <w:tcPr>
            <w:tcW w:w="6345" w:type="dxa"/>
          </w:tcPr>
          <w:p w14:paraId="0B922634" w14:textId="77777777" w:rsidR="007B4C0F" w:rsidRPr="00761B68" w:rsidRDefault="007B4C0F" w:rsidP="0036160E">
            <w:pPr>
              <w:pStyle w:val="naiskr"/>
              <w:spacing w:before="0" w:after="0"/>
              <w:ind w:firstLine="720"/>
            </w:pPr>
            <w:r w:rsidRPr="00761B68">
              <w:t>  </w:t>
            </w:r>
          </w:p>
        </w:tc>
        <w:tc>
          <w:tcPr>
            <w:tcW w:w="6237" w:type="dxa"/>
            <w:gridSpan w:val="2"/>
            <w:tcBorders>
              <w:top w:val="single" w:sz="6" w:space="0" w:color="000000"/>
              <w:bottom w:val="single" w:sz="6" w:space="0" w:color="000000"/>
            </w:tcBorders>
          </w:tcPr>
          <w:p w14:paraId="00D0494C" w14:textId="77777777" w:rsidR="007B4C0F" w:rsidRPr="00761B68" w:rsidRDefault="007B4C0F" w:rsidP="0036160E">
            <w:pPr>
              <w:pStyle w:val="naiskr"/>
              <w:spacing w:before="0" w:after="0"/>
              <w:ind w:firstLine="720"/>
            </w:pPr>
          </w:p>
        </w:tc>
      </w:tr>
      <w:tr w:rsidR="00761B68" w:rsidRPr="00761B68" w14:paraId="2BE04223" w14:textId="77777777">
        <w:trPr>
          <w:trHeight w:val="285"/>
        </w:trPr>
        <w:tc>
          <w:tcPr>
            <w:tcW w:w="6345" w:type="dxa"/>
          </w:tcPr>
          <w:p w14:paraId="689CF329" w14:textId="77777777" w:rsidR="000D0AED" w:rsidRPr="00761B68" w:rsidRDefault="000D0AED" w:rsidP="000D0AED">
            <w:pPr>
              <w:pStyle w:val="naiskr"/>
              <w:spacing w:before="0" w:after="0"/>
            </w:pPr>
          </w:p>
        </w:tc>
        <w:tc>
          <w:tcPr>
            <w:tcW w:w="1203" w:type="dxa"/>
          </w:tcPr>
          <w:p w14:paraId="68295C96" w14:textId="77777777" w:rsidR="000D0AED" w:rsidRPr="00761B68" w:rsidRDefault="000D0AED" w:rsidP="0036160E">
            <w:pPr>
              <w:pStyle w:val="naiskr"/>
              <w:spacing w:before="0" w:after="0"/>
              <w:ind w:firstLine="720"/>
            </w:pPr>
          </w:p>
        </w:tc>
        <w:tc>
          <w:tcPr>
            <w:tcW w:w="5034" w:type="dxa"/>
          </w:tcPr>
          <w:p w14:paraId="15D1C787" w14:textId="77777777" w:rsidR="000D0AED" w:rsidRPr="00761B68" w:rsidRDefault="000D0AED" w:rsidP="0036160E">
            <w:pPr>
              <w:pStyle w:val="naiskr"/>
              <w:spacing w:before="0" w:after="0"/>
              <w:ind w:firstLine="12"/>
            </w:pPr>
          </w:p>
        </w:tc>
      </w:tr>
    </w:tbl>
    <w:p w14:paraId="5556061D" w14:textId="77777777" w:rsidR="008A36C9" w:rsidRPr="00761B68" w:rsidRDefault="008A36C9">
      <w:r w:rsidRPr="00761B68">
        <w:br w:type="page"/>
      </w:r>
    </w:p>
    <w:tbl>
      <w:tblPr>
        <w:tblW w:w="14085" w:type="dxa"/>
        <w:tblLook w:val="00A0" w:firstRow="1" w:lastRow="0" w:firstColumn="1" w:lastColumn="0" w:noHBand="0" w:noVBand="0"/>
      </w:tblPr>
      <w:tblGrid>
        <w:gridCol w:w="6224"/>
        <w:gridCol w:w="3274"/>
        <w:gridCol w:w="4587"/>
      </w:tblGrid>
      <w:tr w:rsidR="00761B68" w:rsidRPr="00761B68" w14:paraId="0984EF87" w14:textId="77777777" w:rsidTr="00032368">
        <w:trPr>
          <w:trHeight w:val="285"/>
        </w:trPr>
        <w:tc>
          <w:tcPr>
            <w:tcW w:w="6224" w:type="dxa"/>
          </w:tcPr>
          <w:p w14:paraId="603578B9" w14:textId="77777777" w:rsidR="007B4C0F" w:rsidRPr="00761B68" w:rsidRDefault="00365CC0" w:rsidP="000D0AED">
            <w:pPr>
              <w:pStyle w:val="naiskr"/>
              <w:spacing w:before="0" w:after="0"/>
            </w:pPr>
            <w:r w:rsidRPr="00761B68">
              <w:lastRenderedPageBreak/>
              <w:t xml:space="preserve">Saskaņošanas dalībnieki </w:t>
            </w:r>
            <w:r w:rsidR="007B4C0F" w:rsidRPr="00761B68">
              <w:t>izskatīja</w:t>
            </w:r>
            <w:r w:rsidR="005D67F7" w:rsidRPr="00761B68">
              <w:t xml:space="preserve"> šādu ministriju </w:t>
            </w:r>
            <w:r w:rsidR="003E4C3F" w:rsidRPr="00761B68">
              <w:t>(c</w:t>
            </w:r>
            <w:r w:rsidR="005D67F7" w:rsidRPr="00761B68">
              <w:t>itu institūciju</w:t>
            </w:r>
            <w:r w:rsidR="003E4C3F" w:rsidRPr="00761B68">
              <w:t>)</w:t>
            </w:r>
            <w:r w:rsidR="005D67F7" w:rsidRPr="00761B68">
              <w:t xml:space="preserve"> iebildumus</w:t>
            </w:r>
          </w:p>
        </w:tc>
        <w:tc>
          <w:tcPr>
            <w:tcW w:w="3274" w:type="dxa"/>
          </w:tcPr>
          <w:p w14:paraId="7E654A83" w14:textId="430B2318" w:rsidR="007B4C0F" w:rsidRPr="00761B68" w:rsidRDefault="00032368" w:rsidP="0036160E">
            <w:pPr>
              <w:pStyle w:val="naiskr"/>
              <w:spacing w:before="0" w:after="0"/>
              <w:ind w:firstLine="720"/>
            </w:pPr>
            <w:r w:rsidRPr="00761B68">
              <w:t>Tieslietu ministrijas</w:t>
            </w:r>
          </w:p>
        </w:tc>
        <w:tc>
          <w:tcPr>
            <w:tcW w:w="4582" w:type="dxa"/>
          </w:tcPr>
          <w:p w14:paraId="0EE886B8" w14:textId="77777777" w:rsidR="007B4C0F" w:rsidRPr="00761B68" w:rsidRDefault="007B4C0F" w:rsidP="0036160E">
            <w:pPr>
              <w:pStyle w:val="naiskr"/>
              <w:spacing w:before="0" w:after="0"/>
              <w:ind w:firstLine="12"/>
            </w:pPr>
          </w:p>
        </w:tc>
      </w:tr>
      <w:tr w:rsidR="00761B68" w:rsidRPr="00761B68" w14:paraId="49280439" w14:textId="77777777" w:rsidTr="00032368">
        <w:trPr>
          <w:trHeight w:val="465"/>
        </w:trPr>
        <w:tc>
          <w:tcPr>
            <w:tcW w:w="6224" w:type="dxa"/>
          </w:tcPr>
          <w:p w14:paraId="4BE5C7BD" w14:textId="77777777" w:rsidR="003C27A2" w:rsidRPr="00761B68" w:rsidRDefault="003C27A2" w:rsidP="0036160E">
            <w:pPr>
              <w:pStyle w:val="naiskr"/>
              <w:spacing w:before="0" w:after="0"/>
              <w:ind w:firstLine="720"/>
            </w:pPr>
            <w:r w:rsidRPr="00761B68">
              <w:t>  </w:t>
            </w:r>
          </w:p>
        </w:tc>
        <w:tc>
          <w:tcPr>
            <w:tcW w:w="7861" w:type="dxa"/>
            <w:gridSpan w:val="2"/>
            <w:tcBorders>
              <w:top w:val="single" w:sz="6" w:space="0" w:color="000000"/>
              <w:bottom w:val="single" w:sz="6" w:space="0" w:color="000000"/>
            </w:tcBorders>
          </w:tcPr>
          <w:p w14:paraId="492C7241" w14:textId="77777777" w:rsidR="003C27A2" w:rsidRPr="00761B68" w:rsidRDefault="003C27A2" w:rsidP="0036160E">
            <w:pPr>
              <w:pStyle w:val="NormalWeb"/>
              <w:spacing w:before="0" w:beforeAutospacing="0" w:after="0" w:afterAutospacing="0"/>
              <w:ind w:firstLine="720"/>
            </w:pPr>
          </w:p>
        </w:tc>
      </w:tr>
      <w:tr w:rsidR="00761B68" w:rsidRPr="00761B68" w14:paraId="1909A2E9" w14:textId="77777777" w:rsidTr="00032368">
        <w:trPr>
          <w:trHeight w:val="465"/>
        </w:trPr>
        <w:tc>
          <w:tcPr>
            <w:tcW w:w="14085" w:type="dxa"/>
            <w:gridSpan w:val="3"/>
          </w:tcPr>
          <w:p w14:paraId="1F36EC08" w14:textId="77777777" w:rsidR="007B4C0F" w:rsidRPr="00761B68" w:rsidRDefault="007B4C0F" w:rsidP="00032368">
            <w:pPr>
              <w:pStyle w:val="naisc"/>
              <w:spacing w:before="0" w:after="0"/>
              <w:jc w:val="left"/>
            </w:pPr>
          </w:p>
        </w:tc>
      </w:tr>
      <w:tr w:rsidR="00761B68" w:rsidRPr="00761B68" w14:paraId="601628EF" w14:textId="77777777" w:rsidTr="00032368">
        <w:tc>
          <w:tcPr>
            <w:tcW w:w="6224" w:type="dxa"/>
          </w:tcPr>
          <w:p w14:paraId="21BB7A5F" w14:textId="77777777" w:rsidR="007B4C0F" w:rsidRPr="00761B68" w:rsidRDefault="007B4C0F" w:rsidP="0036160E">
            <w:pPr>
              <w:pStyle w:val="naiskr"/>
              <w:spacing w:before="0" w:after="0"/>
            </w:pPr>
            <w:r w:rsidRPr="00761B68">
              <w:t>Ministrijas (citas institūcijas), kuras nav ieradušās uz sanāksmi vai kuras nav atbildējušas uz uzaicinājumu piedalīties elektroniskajā saskaņošanā</w:t>
            </w:r>
          </w:p>
        </w:tc>
        <w:tc>
          <w:tcPr>
            <w:tcW w:w="7861" w:type="dxa"/>
            <w:gridSpan w:val="2"/>
          </w:tcPr>
          <w:p w14:paraId="30524B0E" w14:textId="77777777" w:rsidR="007B4C0F" w:rsidRPr="00761B68" w:rsidRDefault="007B4C0F" w:rsidP="0036160E">
            <w:pPr>
              <w:pStyle w:val="naiskr"/>
              <w:spacing w:before="0" w:after="0"/>
              <w:ind w:firstLine="720"/>
            </w:pPr>
          </w:p>
        </w:tc>
      </w:tr>
      <w:tr w:rsidR="00761B68" w:rsidRPr="00761B68" w14:paraId="442EC4E6" w14:textId="77777777" w:rsidTr="00032368">
        <w:tc>
          <w:tcPr>
            <w:tcW w:w="6224" w:type="dxa"/>
          </w:tcPr>
          <w:p w14:paraId="4D2D324A" w14:textId="77777777" w:rsidR="007B4C0F" w:rsidRPr="00761B68" w:rsidRDefault="007B4C0F" w:rsidP="0036160E">
            <w:pPr>
              <w:pStyle w:val="naiskr"/>
              <w:spacing w:before="0" w:after="0"/>
              <w:ind w:firstLine="720"/>
            </w:pPr>
            <w:r w:rsidRPr="00761B68">
              <w:t>  </w:t>
            </w:r>
          </w:p>
        </w:tc>
        <w:tc>
          <w:tcPr>
            <w:tcW w:w="7861" w:type="dxa"/>
            <w:gridSpan w:val="2"/>
            <w:tcBorders>
              <w:top w:val="single" w:sz="6" w:space="0" w:color="000000"/>
              <w:bottom w:val="single" w:sz="6" w:space="0" w:color="000000"/>
            </w:tcBorders>
          </w:tcPr>
          <w:p w14:paraId="59EF1613" w14:textId="77777777" w:rsidR="007B4C0F" w:rsidRPr="00761B68" w:rsidRDefault="007B4C0F" w:rsidP="0036160E">
            <w:pPr>
              <w:pStyle w:val="naiskr"/>
              <w:spacing w:before="0" w:after="0"/>
              <w:ind w:firstLine="720"/>
            </w:pPr>
          </w:p>
        </w:tc>
      </w:tr>
      <w:tr w:rsidR="007B4C0F" w:rsidRPr="00761B68" w14:paraId="30F565DB" w14:textId="77777777" w:rsidTr="00032368">
        <w:tc>
          <w:tcPr>
            <w:tcW w:w="6224" w:type="dxa"/>
          </w:tcPr>
          <w:p w14:paraId="514477E8" w14:textId="77777777" w:rsidR="007B4C0F" w:rsidRPr="00761B68" w:rsidRDefault="007B4C0F" w:rsidP="0036160E">
            <w:pPr>
              <w:pStyle w:val="naiskr"/>
              <w:spacing w:before="0" w:after="0"/>
              <w:ind w:firstLine="720"/>
            </w:pPr>
            <w:r w:rsidRPr="00761B68">
              <w:t>  </w:t>
            </w:r>
          </w:p>
        </w:tc>
        <w:tc>
          <w:tcPr>
            <w:tcW w:w="7861" w:type="dxa"/>
            <w:gridSpan w:val="2"/>
            <w:tcBorders>
              <w:bottom w:val="single" w:sz="6" w:space="0" w:color="000000"/>
            </w:tcBorders>
          </w:tcPr>
          <w:p w14:paraId="4AB8DCA4" w14:textId="77777777" w:rsidR="007B4C0F" w:rsidRPr="00761B68" w:rsidRDefault="007B4C0F" w:rsidP="0036160E">
            <w:pPr>
              <w:pStyle w:val="naiskr"/>
              <w:spacing w:before="0" w:after="0"/>
              <w:ind w:firstLine="720"/>
            </w:pPr>
          </w:p>
        </w:tc>
      </w:tr>
    </w:tbl>
    <w:p w14:paraId="51515A13" w14:textId="77777777" w:rsidR="00683081" w:rsidRPr="00761B68" w:rsidRDefault="00683081" w:rsidP="00683081">
      <w:pPr>
        <w:pStyle w:val="naisf"/>
        <w:spacing w:before="0" w:after="0"/>
        <w:ind w:firstLine="720"/>
      </w:pPr>
    </w:p>
    <w:p w14:paraId="33AA31AF" w14:textId="77777777" w:rsidR="00032368" w:rsidRPr="00761B68" w:rsidRDefault="00032368" w:rsidP="00184479">
      <w:pPr>
        <w:pStyle w:val="naisf"/>
        <w:spacing w:before="0" w:after="0"/>
        <w:ind w:firstLine="0"/>
        <w:jc w:val="center"/>
        <w:rPr>
          <w:b/>
        </w:rPr>
      </w:pPr>
    </w:p>
    <w:p w14:paraId="38F96ABD" w14:textId="02B34D54" w:rsidR="007B4C0F" w:rsidRPr="00761B68" w:rsidRDefault="007B4C0F" w:rsidP="00184479">
      <w:pPr>
        <w:pStyle w:val="naisf"/>
        <w:spacing w:before="0" w:after="0"/>
        <w:ind w:firstLine="0"/>
        <w:jc w:val="center"/>
        <w:rPr>
          <w:b/>
        </w:rPr>
      </w:pPr>
      <w:r w:rsidRPr="00761B68">
        <w:rPr>
          <w:b/>
        </w:rPr>
        <w:t>II. </w:t>
      </w:r>
      <w:r w:rsidR="00134188" w:rsidRPr="00761B68">
        <w:rPr>
          <w:b/>
        </w:rPr>
        <w:t>Jautājumi, par kuriem saskaņošanā vienošan</w:t>
      </w:r>
      <w:r w:rsidR="00144622" w:rsidRPr="00761B68">
        <w:rPr>
          <w:b/>
        </w:rPr>
        <w:t>ā</w:t>
      </w:r>
      <w:r w:rsidR="00134188" w:rsidRPr="00761B68">
        <w:rPr>
          <w:b/>
        </w:rPr>
        <w:t>s ir panākta</w:t>
      </w:r>
    </w:p>
    <w:p w14:paraId="53809459" w14:textId="77777777" w:rsidR="007B4C0F" w:rsidRPr="00761B68" w:rsidRDefault="007B4C0F" w:rsidP="00DB7395">
      <w:pPr>
        <w:pStyle w:val="naisf"/>
        <w:spacing w:before="0" w:after="0"/>
        <w:ind w:firstLine="720"/>
      </w:pPr>
    </w:p>
    <w:tbl>
      <w:tblPr>
        <w:tblW w:w="15143"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2407"/>
        <w:gridCol w:w="679"/>
        <w:gridCol w:w="4111"/>
        <w:gridCol w:w="1389"/>
        <w:gridCol w:w="2438"/>
        <w:gridCol w:w="3260"/>
        <w:gridCol w:w="7"/>
      </w:tblGrid>
      <w:tr w:rsidR="00761B68" w:rsidRPr="00761B68" w14:paraId="3E621CD7" w14:textId="77777777" w:rsidTr="00061A65">
        <w:trPr>
          <w:gridAfter w:val="1"/>
          <w:wAfter w:w="7" w:type="dxa"/>
        </w:trPr>
        <w:tc>
          <w:tcPr>
            <w:tcW w:w="852" w:type="dxa"/>
            <w:tcBorders>
              <w:top w:val="single" w:sz="6" w:space="0" w:color="000000"/>
              <w:left w:val="single" w:sz="6" w:space="0" w:color="000000"/>
              <w:bottom w:val="single" w:sz="6" w:space="0" w:color="000000"/>
              <w:right w:val="single" w:sz="6" w:space="0" w:color="000000"/>
            </w:tcBorders>
            <w:vAlign w:val="center"/>
          </w:tcPr>
          <w:p w14:paraId="06C8034F" w14:textId="77777777" w:rsidR="00134188" w:rsidRPr="00761B68" w:rsidRDefault="00134188" w:rsidP="009623BC">
            <w:pPr>
              <w:pStyle w:val="naisc"/>
              <w:spacing w:before="0" w:after="0"/>
            </w:pPr>
            <w:r w:rsidRPr="00761B68">
              <w:t>Nr. p.</w:t>
            </w:r>
            <w:r w:rsidR="00D64FB0" w:rsidRPr="00761B68">
              <w:t> </w:t>
            </w:r>
            <w:r w:rsidRPr="00761B68">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233B388" w14:textId="77777777" w:rsidR="00134188" w:rsidRPr="00761B68" w:rsidRDefault="00134188" w:rsidP="009623BC">
            <w:pPr>
              <w:pStyle w:val="naisc"/>
              <w:spacing w:before="0" w:after="0"/>
              <w:ind w:firstLine="12"/>
            </w:pPr>
            <w:r w:rsidRPr="00761B68">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547B4D55" w14:textId="77777777" w:rsidR="00134188" w:rsidRPr="00761B68" w:rsidRDefault="00134188" w:rsidP="009623BC">
            <w:pPr>
              <w:pStyle w:val="naisc"/>
              <w:spacing w:before="0" w:after="0"/>
              <w:ind w:right="3"/>
            </w:pPr>
            <w:r w:rsidRPr="00761B68">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1952A96C" w14:textId="77777777" w:rsidR="00134188" w:rsidRPr="00761B68" w:rsidRDefault="00134188" w:rsidP="009623BC">
            <w:pPr>
              <w:pStyle w:val="naisc"/>
              <w:spacing w:before="0" w:after="0"/>
              <w:ind w:firstLine="21"/>
            </w:pPr>
            <w:r w:rsidRPr="00761B68">
              <w:t>Atbildīgās ministrijas norāde</w:t>
            </w:r>
            <w:r w:rsidR="006C1C48" w:rsidRPr="00761B68">
              <w:t xml:space="preserve"> par to, ka </w:t>
            </w:r>
            <w:r w:rsidRPr="00761B68">
              <w:t>iebildums ir ņemts vērā</w:t>
            </w:r>
            <w:r w:rsidR="006455E7" w:rsidRPr="00761B68">
              <w:t>,</w:t>
            </w:r>
            <w:r w:rsidRPr="00761B68">
              <w:t xml:space="preserve"> vai </w:t>
            </w:r>
            <w:r w:rsidR="006C1C48" w:rsidRPr="00761B68">
              <w:t xml:space="preserve">informācija par saskaņošanā </w:t>
            </w:r>
            <w:r w:rsidR="00022B0F" w:rsidRPr="00761B68">
              <w:t>panākto alternatīvo risinājumu</w:t>
            </w:r>
          </w:p>
        </w:tc>
        <w:tc>
          <w:tcPr>
            <w:tcW w:w="3260" w:type="dxa"/>
            <w:tcBorders>
              <w:top w:val="single" w:sz="4" w:space="0" w:color="auto"/>
              <w:left w:val="single" w:sz="4" w:space="0" w:color="auto"/>
              <w:bottom w:val="single" w:sz="4" w:space="0" w:color="auto"/>
            </w:tcBorders>
            <w:vAlign w:val="center"/>
          </w:tcPr>
          <w:p w14:paraId="133A4B29" w14:textId="77777777" w:rsidR="00134188" w:rsidRPr="00761B68" w:rsidRDefault="00134188" w:rsidP="009623BC">
            <w:pPr>
              <w:jc w:val="center"/>
            </w:pPr>
            <w:r w:rsidRPr="00761B68">
              <w:t>Projekta attiecīgā punkta (panta) galīgā redakcija</w:t>
            </w:r>
          </w:p>
        </w:tc>
      </w:tr>
      <w:tr w:rsidR="00761B68" w:rsidRPr="00761B68" w14:paraId="55F0B5B0" w14:textId="77777777" w:rsidTr="00061A65">
        <w:trPr>
          <w:gridAfter w:val="1"/>
          <w:wAfter w:w="7" w:type="dxa"/>
        </w:trPr>
        <w:tc>
          <w:tcPr>
            <w:tcW w:w="852" w:type="dxa"/>
            <w:tcBorders>
              <w:top w:val="single" w:sz="6" w:space="0" w:color="000000"/>
              <w:left w:val="single" w:sz="6" w:space="0" w:color="000000"/>
              <w:bottom w:val="single" w:sz="6" w:space="0" w:color="000000"/>
              <w:right w:val="single" w:sz="6" w:space="0" w:color="000000"/>
            </w:tcBorders>
          </w:tcPr>
          <w:p w14:paraId="54F93FBE" w14:textId="77777777" w:rsidR="00134188" w:rsidRPr="00761B68" w:rsidRDefault="003B71E0" w:rsidP="003B71E0">
            <w:pPr>
              <w:pStyle w:val="naisc"/>
              <w:spacing w:before="0" w:after="0"/>
              <w:rPr>
                <w:sz w:val="20"/>
                <w:szCs w:val="20"/>
              </w:rPr>
            </w:pPr>
            <w:r w:rsidRPr="00761B68">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790F3B7B" w14:textId="77777777" w:rsidR="00134188" w:rsidRPr="00761B68" w:rsidRDefault="00F34AAB" w:rsidP="003B71E0">
            <w:pPr>
              <w:pStyle w:val="naisc"/>
              <w:spacing w:before="0" w:after="0"/>
              <w:ind w:firstLine="720"/>
              <w:rPr>
                <w:sz w:val="20"/>
                <w:szCs w:val="20"/>
              </w:rPr>
            </w:pPr>
            <w:r w:rsidRPr="00761B68">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5869C742" w14:textId="77777777" w:rsidR="00134188" w:rsidRPr="00761B68" w:rsidRDefault="003B71E0" w:rsidP="003B71E0">
            <w:pPr>
              <w:pStyle w:val="naisc"/>
              <w:spacing w:before="0" w:after="0"/>
              <w:ind w:firstLine="720"/>
            </w:pPr>
            <w:r w:rsidRPr="00761B68">
              <w:t>3</w:t>
            </w:r>
          </w:p>
        </w:tc>
        <w:tc>
          <w:tcPr>
            <w:tcW w:w="3827" w:type="dxa"/>
            <w:gridSpan w:val="2"/>
            <w:tcBorders>
              <w:top w:val="single" w:sz="6" w:space="0" w:color="000000"/>
              <w:left w:val="single" w:sz="6" w:space="0" w:color="000000"/>
              <w:bottom w:val="single" w:sz="6" w:space="0" w:color="000000"/>
              <w:right w:val="single" w:sz="6" w:space="0" w:color="000000"/>
            </w:tcBorders>
          </w:tcPr>
          <w:p w14:paraId="6D0E0644" w14:textId="77777777" w:rsidR="00134188" w:rsidRPr="00761B68" w:rsidRDefault="003B71E0" w:rsidP="003B71E0">
            <w:pPr>
              <w:pStyle w:val="naisc"/>
              <w:spacing w:before="0" w:after="0"/>
              <w:ind w:firstLine="720"/>
              <w:rPr>
                <w:sz w:val="20"/>
                <w:szCs w:val="20"/>
              </w:rPr>
            </w:pPr>
            <w:r w:rsidRPr="00761B68">
              <w:rPr>
                <w:sz w:val="20"/>
                <w:szCs w:val="20"/>
              </w:rPr>
              <w:t>4</w:t>
            </w:r>
          </w:p>
        </w:tc>
        <w:tc>
          <w:tcPr>
            <w:tcW w:w="3260" w:type="dxa"/>
            <w:tcBorders>
              <w:top w:val="single" w:sz="4" w:space="0" w:color="auto"/>
              <w:left w:val="single" w:sz="4" w:space="0" w:color="auto"/>
              <w:bottom w:val="single" w:sz="4" w:space="0" w:color="auto"/>
            </w:tcBorders>
          </w:tcPr>
          <w:p w14:paraId="4E134FFF" w14:textId="77777777" w:rsidR="00134188" w:rsidRPr="00761B68" w:rsidRDefault="003B71E0" w:rsidP="003B71E0">
            <w:pPr>
              <w:jc w:val="center"/>
              <w:rPr>
                <w:sz w:val="20"/>
                <w:szCs w:val="20"/>
              </w:rPr>
            </w:pPr>
            <w:r w:rsidRPr="00761B68">
              <w:rPr>
                <w:sz w:val="20"/>
                <w:szCs w:val="20"/>
              </w:rPr>
              <w:t>5</w:t>
            </w:r>
          </w:p>
        </w:tc>
      </w:tr>
      <w:tr w:rsidR="00761B68" w:rsidRPr="00761B68" w14:paraId="0798FDC9" w14:textId="77777777" w:rsidTr="00061A65">
        <w:tc>
          <w:tcPr>
            <w:tcW w:w="15143" w:type="dxa"/>
            <w:gridSpan w:val="8"/>
            <w:tcBorders>
              <w:left w:val="single" w:sz="6" w:space="0" w:color="000000"/>
              <w:bottom w:val="single" w:sz="4" w:space="0" w:color="auto"/>
            </w:tcBorders>
          </w:tcPr>
          <w:p w14:paraId="0E7708CB" w14:textId="77777777" w:rsidR="00321723" w:rsidRPr="00761B68" w:rsidRDefault="00321723" w:rsidP="00321723">
            <w:pPr>
              <w:jc w:val="center"/>
              <w:rPr>
                <w:b/>
              </w:rPr>
            </w:pPr>
            <w:r w:rsidRPr="00761B68">
              <w:rPr>
                <w:b/>
              </w:rPr>
              <w:t>Tieslietu ministrija</w:t>
            </w:r>
          </w:p>
        </w:tc>
      </w:tr>
      <w:tr w:rsidR="00761B68" w:rsidRPr="00761B68" w14:paraId="77599573"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25A3DEE4" w14:textId="5E8EF3FB" w:rsidR="00D044F6" w:rsidRPr="00761B68" w:rsidRDefault="00D044F6" w:rsidP="004E0C07">
            <w:pPr>
              <w:pStyle w:val="naisc"/>
              <w:numPr>
                <w:ilvl w:val="0"/>
                <w:numId w:val="11"/>
              </w:numPr>
              <w:spacing w:before="0" w:after="0"/>
              <w:jc w:val="left"/>
            </w:pPr>
          </w:p>
        </w:tc>
        <w:tc>
          <w:tcPr>
            <w:tcW w:w="3086" w:type="dxa"/>
            <w:gridSpan w:val="2"/>
            <w:tcBorders>
              <w:left w:val="single" w:sz="6" w:space="0" w:color="000000"/>
              <w:bottom w:val="single" w:sz="4" w:space="0" w:color="auto"/>
              <w:right w:val="single" w:sz="6" w:space="0" w:color="000000"/>
            </w:tcBorders>
          </w:tcPr>
          <w:p w14:paraId="7E34A5A3" w14:textId="77777777" w:rsidR="00D044F6" w:rsidRPr="00761B68" w:rsidRDefault="00D044F6" w:rsidP="00D044F6">
            <w:pPr>
              <w:jc w:val="both"/>
            </w:pPr>
            <w:r w:rsidRPr="00761B68">
              <w:t xml:space="preserve">Noteikumu projekta 21.punkta redakcija: </w:t>
            </w:r>
          </w:p>
          <w:p w14:paraId="44C36636" w14:textId="77777777" w:rsidR="00D044F6" w:rsidRPr="00761B68" w:rsidRDefault="00D044F6" w:rsidP="00D044F6">
            <w:pPr>
              <w:jc w:val="both"/>
            </w:pPr>
            <w:r w:rsidRPr="00761B68">
              <w:t>“21.</w:t>
            </w:r>
            <w:r w:rsidRPr="00761B68">
              <w:tab/>
              <w:t>Sportists vai sporta darbinieks saņemot paziņojumu par iespējamo antidopinga noteikumu pārkāpumu ne vēlāk kā piecu darba dienu laikā var:</w:t>
            </w:r>
          </w:p>
          <w:p w14:paraId="1734F32C" w14:textId="77777777" w:rsidR="00D044F6" w:rsidRPr="00761B68" w:rsidRDefault="00D044F6" w:rsidP="00D044F6">
            <w:pPr>
              <w:jc w:val="both"/>
            </w:pPr>
            <w:r w:rsidRPr="00761B68">
              <w:t>21.1.</w:t>
            </w:r>
            <w:r w:rsidRPr="00761B68">
              <w:tab/>
              <w:t xml:space="preserve">iesniegt Birojā rakstveida paskaidrojumus vai apliecinošos dokumentus, </w:t>
            </w:r>
          </w:p>
          <w:p w14:paraId="65619262" w14:textId="77777777" w:rsidR="00D044F6" w:rsidRPr="00761B68" w:rsidRDefault="00D044F6" w:rsidP="00D044F6">
            <w:pPr>
              <w:jc w:val="both"/>
            </w:pPr>
            <w:r w:rsidRPr="00761B68">
              <w:lastRenderedPageBreak/>
              <w:t>21.2.</w:t>
            </w:r>
            <w:r w:rsidRPr="00761B68">
              <w:tab/>
              <w:t>vērsties Birojā ar lūgumu veikt dopinga kontroles B parauga analīzi par saviem līdzekļiem Pasaules Antidopinga aģentūras akreditētā laboratorijā.”</w:t>
            </w:r>
          </w:p>
          <w:p w14:paraId="1AAAA294" w14:textId="77777777" w:rsidR="00D044F6" w:rsidRPr="00761B68" w:rsidRDefault="00D044F6" w:rsidP="00321723">
            <w:pPr>
              <w:pStyle w:val="naisc"/>
              <w:jc w:val="left"/>
            </w:pPr>
          </w:p>
        </w:tc>
        <w:tc>
          <w:tcPr>
            <w:tcW w:w="4111" w:type="dxa"/>
            <w:tcBorders>
              <w:left w:val="single" w:sz="6" w:space="0" w:color="000000"/>
              <w:bottom w:val="single" w:sz="4" w:space="0" w:color="auto"/>
              <w:right w:val="single" w:sz="6" w:space="0" w:color="000000"/>
            </w:tcBorders>
          </w:tcPr>
          <w:p w14:paraId="68CDEC51" w14:textId="77777777" w:rsidR="00D044F6" w:rsidRPr="00761B68" w:rsidRDefault="00D044F6" w:rsidP="00D044F6">
            <w:pPr>
              <w:jc w:val="center"/>
              <w:rPr>
                <w:b/>
              </w:rPr>
            </w:pPr>
            <w:r w:rsidRPr="00761B68">
              <w:rPr>
                <w:b/>
              </w:rPr>
              <w:lastRenderedPageBreak/>
              <w:t>2019.gada 28.jūnija elektroniski sniegts atzinums</w:t>
            </w:r>
          </w:p>
          <w:p w14:paraId="0FA8A019" w14:textId="77777777" w:rsidR="00D044F6" w:rsidRPr="00761B68" w:rsidRDefault="00D044F6" w:rsidP="00D044F6"/>
          <w:p w14:paraId="1D0FCF55" w14:textId="1895ED7A" w:rsidR="00D044F6" w:rsidRPr="00761B68" w:rsidRDefault="00D044F6" w:rsidP="00D044F6">
            <w:pPr>
              <w:jc w:val="both"/>
            </w:pPr>
            <w:r w:rsidRPr="00761B68">
              <w:t>Vēršam uzmanību, ka personas tiesības uz taisnīgu tiesu nostiprinātas vairākos starptautiski saistošos cilvēktiesību instrumentos, piemēram, Cilvēka tiesību un pamatbrīvību aizsardzības konvencija.</w:t>
            </w:r>
          </w:p>
          <w:p w14:paraId="1F2BC1C3" w14:textId="2B6AC6BF" w:rsidR="00D044F6" w:rsidRPr="00761B68" w:rsidRDefault="00D044F6" w:rsidP="00D044F6">
            <w:pPr>
              <w:jc w:val="both"/>
            </w:pPr>
            <w:r w:rsidRPr="00761B68">
              <w:t xml:space="preserve">Minētās tiesības ietver arī personas tiesības uz savu tiesību aizsardzību bez jebkādiem ierobežojumiem – šajā </w:t>
            </w:r>
            <w:r w:rsidRPr="00761B68">
              <w:lastRenderedPageBreak/>
              <w:t xml:space="preserve">gadījumā finansiāliem ierobežojumiem. Tieslietu ministrijas ieskatā arguments, ka “valsts budžetā nav paredzēti attiecīgie līdzekļi” nav pamatots un nevar attaisnot tiesību ierobežojumu. Uzsveram, ka jebkuram </w:t>
            </w:r>
            <w:proofErr w:type="spellStart"/>
            <w:r w:rsidRPr="00761B68">
              <w:t>pamattiesību</w:t>
            </w:r>
            <w:proofErr w:type="spellEnd"/>
            <w:r w:rsidRPr="00761B68">
              <w:t xml:space="preserve"> ierobežojumam jāiztur </w:t>
            </w:r>
            <w:proofErr w:type="spellStart"/>
            <w:r w:rsidRPr="00761B68">
              <w:t>satversmības</w:t>
            </w:r>
            <w:proofErr w:type="spellEnd"/>
            <w:r w:rsidRPr="00761B68">
              <w:t xml:space="preserve"> kontrole. Proti, šim ierobežojumam jābūt noteiktam likumā, ierobežojumam ir leģitīms mērķis, kā arī nav citi līdzekļi, lai sasniegto minēto leģitīmo mērķi. Ievērojot minēto, lūdzam projekta anotāciju papildināt ar </w:t>
            </w:r>
            <w:proofErr w:type="spellStart"/>
            <w:r w:rsidRPr="00761B68">
              <w:t>satversmības</w:t>
            </w:r>
            <w:proofErr w:type="spellEnd"/>
            <w:r w:rsidRPr="00761B68">
              <w:t xml:space="preserve"> </w:t>
            </w:r>
            <w:proofErr w:type="spellStart"/>
            <w:r w:rsidRPr="00761B68">
              <w:t>izvērtējumu</w:t>
            </w:r>
            <w:proofErr w:type="spellEnd"/>
            <w:r w:rsidRPr="00761B68">
              <w:t>, nepieciešamības gadījumā svītrojot no projekta regulējumu, kas saistīts ar B proves pieprasīšanu par maksu.</w:t>
            </w:r>
          </w:p>
        </w:tc>
        <w:tc>
          <w:tcPr>
            <w:tcW w:w="3827" w:type="dxa"/>
            <w:gridSpan w:val="2"/>
            <w:tcBorders>
              <w:left w:val="single" w:sz="6" w:space="0" w:color="000000"/>
              <w:bottom w:val="single" w:sz="4" w:space="0" w:color="auto"/>
              <w:right w:val="single" w:sz="6" w:space="0" w:color="000000"/>
            </w:tcBorders>
          </w:tcPr>
          <w:p w14:paraId="61E489C3" w14:textId="77777777" w:rsidR="00D044F6" w:rsidRPr="00761B68" w:rsidRDefault="00D044F6" w:rsidP="00321723">
            <w:pPr>
              <w:pStyle w:val="naisc"/>
              <w:spacing w:before="0" w:after="0"/>
              <w:ind w:firstLine="720"/>
              <w:rPr>
                <w:b/>
              </w:rPr>
            </w:pPr>
            <w:r w:rsidRPr="00761B68">
              <w:rPr>
                <w:b/>
              </w:rPr>
              <w:lastRenderedPageBreak/>
              <w:t>Ņemts vērā</w:t>
            </w:r>
          </w:p>
          <w:p w14:paraId="07CC3C10" w14:textId="77777777" w:rsidR="00D044F6" w:rsidRPr="00761B68" w:rsidRDefault="00D044F6" w:rsidP="00321723">
            <w:pPr>
              <w:pStyle w:val="naisc"/>
              <w:spacing w:before="0" w:after="0"/>
              <w:ind w:firstLine="720"/>
              <w:rPr>
                <w:b/>
              </w:rPr>
            </w:pPr>
          </w:p>
          <w:p w14:paraId="5F7F2DB6" w14:textId="26D202FC" w:rsidR="00D044F6" w:rsidRPr="00761B68" w:rsidRDefault="0064591E" w:rsidP="00D044F6">
            <w:pPr>
              <w:pStyle w:val="naisc"/>
              <w:spacing w:before="0" w:after="0"/>
              <w:jc w:val="both"/>
            </w:pPr>
            <w:r w:rsidRPr="00761B68">
              <w:t xml:space="preserve">    </w:t>
            </w:r>
            <w:r w:rsidR="00D044F6" w:rsidRPr="00761B68">
              <w:t xml:space="preserve">Papildināts noteikumu projekta anotācijas I sadaļas 2.punkts ar </w:t>
            </w:r>
            <w:proofErr w:type="spellStart"/>
            <w:r w:rsidR="00D044F6" w:rsidRPr="00761B68">
              <w:t>izvērtējumu</w:t>
            </w:r>
            <w:proofErr w:type="spellEnd"/>
            <w:r w:rsidR="00D044F6" w:rsidRPr="00761B68">
              <w:t xml:space="preserve"> saistībā ar sportista tiesībām veikt B parauga analīzi.</w:t>
            </w:r>
          </w:p>
          <w:p w14:paraId="504868C0" w14:textId="15CF0CAD" w:rsidR="00746956" w:rsidRPr="00761B68" w:rsidRDefault="00746956" w:rsidP="00D044F6">
            <w:pPr>
              <w:pStyle w:val="naisc"/>
              <w:spacing w:before="0" w:after="0"/>
              <w:jc w:val="both"/>
            </w:pPr>
          </w:p>
          <w:p w14:paraId="6BFCF2A1" w14:textId="034125AF" w:rsidR="00746956" w:rsidRPr="00761B68" w:rsidRDefault="0064591E" w:rsidP="00D044F6">
            <w:pPr>
              <w:pStyle w:val="naisc"/>
              <w:spacing w:before="0" w:after="0"/>
              <w:jc w:val="both"/>
            </w:pPr>
            <w:r w:rsidRPr="00761B68">
              <w:t xml:space="preserve">    </w:t>
            </w:r>
            <w:r w:rsidR="00746956" w:rsidRPr="00761B68">
              <w:t xml:space="preserve">Atbilstoši </w:t>
            </w:r>
            <w:r w:rsidR="00BD4B26" w:rsidRPr="00761B68">
              <w:t xml:space="preserve">Pasaules Antidopinga aģentūras 2015.gada Pasaules Antidopinga kodeksā (turpmāk – Pasaules Antidopinga kodekss) </w:t>
            </w:r>
            <w:r w:rsidR="00746956" w:rsidRPr="00761B68">
              <w:t xml:space="preserve">2.1. punktam, katra sportista personīgais </w:t>
            </w:r>
            <w:r w:rsidR="00746956" w:rsidRPr="00761B68">
              <w:lastRenderedPageBreak/>
              <w:t>pienākums ir nodrošināt, lai viņa organismā nenokļūst aizliegta viela. Tāpēc atbilstoši starptautiskajam dokumentam</w:t>
            </w:r>
            <w:r w:rsidRPr="00761B68">
              <w:t>,</w:t>
            </w:r>
            <w:r w:rsidR="00746956" w:rsidRPr="00761B68">
              <w:t xml:space="preserve"> lai konstatētu antidopinga noteikumu pārkāpumu, nav nepieciešams pierādīt sportista nodomu, vainu, nolaidību vai aizliegtās vielas apzinātu lietošanu. Papildus </w:t>
            </w:r>
            <w:r w:rsidR="00D044F6" w:rsidRPr="00761B68">
              <w:t xml:space="preserve">Pasaules Antidopinga kodeksa 2.1.2.punkts nosaka, ka </w:t>
            </w:r>
            <w:r w:rsidR="00746956" w:rsidRPr="00761B68">
              <w:t>pietiekams dopinga izmantošanas pierādījums ir kāds no norādītajiem apstākļiem: aizliegtas vielas, tās metabolītu vai marķieru klātbūtne A paraugā, kas ņemts no sportista ķermeņa, gadījumos, kad sportists atsakās no B parauga analīzes un B paraugs netiek analizēts.</w:t>
            </w:r>
          </w:p>
          <w:p w14:paraId="105EA531" w14:textId="61F13713" w:rsidR="003A27B4" w:rsidRPr="00761B68" w:rsidRDefault="0064591E" w:rsidP="00D044F6">
            <w:pPr>
              <w:pStyle w:val="naisc"/>
              <w:spacing w:before="0" w:after="0"/>
              <w:jc w:val="both"/>
            </w:pPr>
            <w:r w:rsidRPr="00761B68">
              <w:t xml:space="preserve">    </w:t>
            </w:r>
            <w:r w:rsidR="003A27B4" w:rsidRPr="00761B68">
              <w:t xml:space="preserve">Vienlaikus Pasaules Antidopinga aģentūra ir sniegusi informāciju, ka lielākajā daļā valstu B </w:t>
            </w:r>
            <w:r w:rsidR="00C77DFA" w:rsidRPr="00761B68">
              <w:t>parauga</w:t>
            </w:r>
            <w:r w:rsidR="003A27B4" w:rsidRPr="00761B68">
              <w:t xml:space="preserve"> analīze netiek apmaksāta no valsts līdzekļiem. B </w:t>
            </w:r>
            <w:r w:rsidR="00C77DFA" w:rsidRPr="00761B68">
              <w:t>parauga</w:t>
            </w:r>
            <w:r w:rsidR="003A27B4" w:rsidRPr="00761B68">
              <w:t xml:space="preserve"> analīze netiek uzskatīta kā vienlīdzības principu nodrošināšanas elements rezultātu pārvaldības procesā. </w:t>
            </w:r>
            <w:r w:rsidRPr="00761B68">
              <w:t xml:space="preserve">    </w:t>
            </w:r>
            <w:r w:rsidR="003A27B4" w:rsidRPr="00761B68">
              <w:t xml:space="preserve">    </w:t>
            </w:r>
          </w:p>
          <w:p w14:paraId="396EF7C1" w14:textId="13EBDD8C" w:rsidR="0064591E" w:rsidRPr="00761B68" w:rsidRDefault="003A27B4" w:rsidP="00D044F6">
            <w:pPr>
              <w:pStyle w:val="naisc"/>
              <w:spacing w:before="0" w:after="0"/>
              <w:jc w:val="both"/>
            </w:pPr>
            <w:r w:rsidRPr="00761B68">
              <w:t xml:space="preserve">     </w:t>
            </w:r>
            <w:r w:rsidR="00746956" w:rsidRPr="00761B68">
              <w:t xml:space="preserve">Atbilstoši </w:t>
            </w:r>
            <w:r w:rsidR="0064591E" w:rsidRPr="00761B68">
              <w:t xml:space="preserve">Veselības ministrijas rīcībā esošajai informācijai </w:t>
            </w:r>
            <w:r w:rsidR="00746956" w:rsidRPr="00761B68">
              <w:t>B</w:t>
            </w:r>
            <w:r w:rsidRPr="00761B68">
              <w:t xml:space="preserve"> </w:t>
            </w:r>
            <w:r w:rsidR="00C77DFA" w:rsidRPr="00761B68">
              <w:t xml:space="preserve">parauga </w:t>
            </w:r>
            <w:r w:rsidR="00746956" w:rsidRPr="00761B68">
              <w:t xml:space="preserve">analīzes sportistam tiek apmaksātas no valsts budžeta Norvēģijā un Dānijā. </w:t>
            </w:r>
            <w:r w:rsidR="0064591E" w:rsidRPr="00761B68">
              <w:t>Savukārt citās valstīs, p</w:t>
            </w:r>
            <w:r w:rsidR="00BD4B26" w:rsidRPr="00761B68">
              <w:t>iemēram</w:t>
            </w:r>
            <w:r w:rsidRPr="00761B68">
              <w:t>,</w:t>
            </w:r>
            <w:r w:rsidR="00BD4B26" w:rsidRPr="00761B68">
              <w:t xml:space="preserve"> Igaunijā</w:t>
            </w:r>
            <w:r w:rsidR="0064591E" w:rsidRPr="00761B68">
              <w:t xml:space="preserve"> (no 2015.g.) un </w:t>
            </w:r>
            <w:r w:rsidR="0064591E" w:rsidRPr="00761B68">
              <w:lastRenderedPageBreak/>
              <w:t>Vācijā</w:t>
            </w:r>
            <w:r w:rsidR="00BD4B26" w:rsidRPr="00761B68">
              <w:t xml:space="preserve"> sportisti paši apmaksā B parauga analīžu veikšanu. </w:t>
            </w:r>
          </w:p>
          <w:p w14:paraId="53BCCBE2" w14:textId="2D9E32FD" w:rsidR="00746956" w:rsidRPr="00761B68" w:rsidRDefault="0064591E" w:rsidP="00D044F6">
            <w:pPr>
              <w:pStyle w:val="naisc"/>
              <w:spacing w:before="0" w:after="0"/>
              <w:jc w:val="both"/>
            </w:pPr>
            <w:r w:rsidRPr="00761B68">
              <w:t xml:space="preserve">     </w:t>
            </w:r>
            <w:r w:rsidR="00BD4B26" w:rsidRPr="00761B68">
              <w:t xml:space="preserve">Vācijas un Igaunijas antidopinga organizācijas norāda, ka A </w:t>
            </w:r>
            <w:r w:rsidR="00C77DFA" w:rsidRPr="00761B68">
              <w:t xml:space="preserve">parauga </w:t>
            </w:r>
            <w:r w:rsidR="00BD4B26" w:rsidRPr="00761B68">
              <w:t xml:space="preserve">analīze ir pietiekošs un ticams pierādījums iespējamam antidopinga noteikumu pārkāpumam, tāpēc B </w:t>
            </w:r>
            <w:r w:rsidR="00C77DFA" w:rsidRPr="00761B68">
              <w:t xml:space="preserve">parauga </w:t>
            </w:r>
            <w:r w:rsidR="00BD4B26" w:rsidRPr="00761B68">
              <w:t xml:space="preserve">analīze nav nepieciešama, lai turpinātu nākamos </w:t>
            </w:r>
            <w:r w:rsidR="00B44D88" w:rsidRPr="00761B68">
              <w:t>pārbaudes</w:t>
            </w:r>
            <w:r w:rsidR="00BD4B26" w:rsidRPr="00761B68">
              <w:t xml:space="preserve"> soļus. Tāpat jāņem vērā Pasaules Antidopinga kodeksa 3.2.1.punktā ietverto norādi uz zinātniski pamatotām analītiskajām metodēm, kas pierāda, ka antidopinga noteikumu pārkāpums ir izdarīts. Ja laboratorijas slēdziens norāda uz aizliegtu vielu vai tās metabolītu - tas ir ticams, </w:t>
            </w:r>
            <w:r w:rsidR="00A3631C" w:rsidRPr="00761B68">
              <w:t>ņemot vērā, ka</w:t>
            </w:r>
            <w:r w:rsidR="00BD4B26" w:rsidRPr="00761B68">
              <w:t xml:space="preserve"> Pasaules Antidopinga aģentūras akreditētās laboratorijas un citas apstiprinātās laboratorijas paraugu analīzi veic saskaņā ar Laboratoriju starptautisko standartu. Savukārt sportistu vienlīdzība tiek nodrošināta ar disciplinārajiem un pārsūdzības procesiem, tostarp, tikt uzklausītam, piesaistīt aizstāvībai pārstāvjus un ekspertus. </w:t>
            </w:r>
          </w:p>
          <w:p w14:paraId="6F590766" w14:textId="208BB5E5" w:rsidR="00BD4B26" w:rsidRPr="00761B68" w:rsidRDefault="0064591E" w:rsidP="00D044F6">
            <w:pPr>
              <w:pStyle w:val="naisc"/>
              <w:spacing w:before="0" w:after="0"/>
              <w:jc w:val="both"/>
            </w:pPr>
            <w:r w:rsidRPr="00761B68">
              <w:t xml:space="preserve">     </w:t>
            </w:r>
            <w:r w:rsidR="00BD4B26" w:rsidRPr="00761B68">
              <w:t xml:space="preserve">Vienlaikus atbilstoši </w:t>
            </w:r>
            <w:r w:rsidRPr="00761B68">
              <w:t xml:space="preserve">Pasaules Antidopinga aģentūras </w:t>
            </w:r>
            <w:r w:rsidR="00BD4B26" w:rsidRPr="00761B68">
              <w:t xml:space="preserve">sniegtajai informācijai gadījumi, kad dopinga kontroles B </w:t>
            </w:r>
            <w:r w:rsidR="00C77DFA" w:rsidRPr="00761B68">
              <w:t xml:space="preserve">paraugs </w:t>
            </w:r>
            <w:r w:rsidR="00BD4B26" w:rsidRPr="00761B68">
              <w:t xml:space="preserve">neapstiprina A parauga rezultātu ir ļoti reti, </w:t>
            </w:r>
            <w:r w:rsidR="00BD4B26" w:rsidRPr="00761B68">
              <w:lastRenderedPageBreak/>
              <w:t xml:space="preserve">iespējamība šādam B </w:t>
            </w:r>
            <w:r w:rsidR="00C77DFA" w:rsidRPr="00761B68">
              <w:t xml:space="preserve">parauga </w:t>
            </w:r>
            <w:r w:rsidR="00BD4B26" w:rsidRPr="00761B68">
              <w:t>rezultātam ir reizi divos gados.</w:t>
            </w:r>
            <w:r w:rsidRPr="00761B68">
              <w:t xml:space="preserve"> Sporta arbitrāžas tiesas un Starptautiskās riteņbraukšanas federācijas tribunāla judikatūrā ir atrodamas tikai divas </w:t>
            </w:r>
            <w:r w:rsidR="001076AF" w:rsidRPr="00761B68">
              <w:t>lietas</w:t>
            </w:r>
            <w:r w:rsidRPr="00761B68">
              <w:t xml:space="preserve">, kurās B </w:t>
            </w:r>
            <w:r w:rsidR="00C77DFA" w:rsidRPr="00761B68">
              <w:t xml:space="preserve">parauga </w:t>
            </w:r>
            <w:r w:rsidR="003A27B4" w:rsidRPr="00761B68">
              <w:t xml:space="preserve">rezultāts </w:t>
            </w:r>
            <w:r w:rsidRPr="00761B68">
              <w:t xml:space="preserve">neapstiprināja A </w:t>
            </w:r>
            <w:r w:rsidR="00C77DFA" w:rsidRPr="00761B68">
              <w:t xml:space="preserve">parauga </w:t>
            </w:r>
            <w:r w:rsidRPr="00761B68">
              <w:t>rezultātus</w:t>
            </w:r>
            <w:r w:rsidRPr="00761B68">
              <w:rPr>
                <w:rStyle w:val="FootnoteReference"/>
              </w:rPr>
              <w:footnoteReference w:id="1"/>
            </w:r>
            <w:r w:rsidRPr="00761B68">
              <w:t xml:space="preserve">. </w:t>
            </w:r>
          </w:p>
          <w:p w14:paraId="6B1BC612" w14:textId="0FDA91FB" w:rsidR="0064591E" w:rsidRPr="00761B68" w:rsidRDefault="0064591E" w:rsidP="00D044F6">
            <w:pPr>
              <w:pStyle w:val="naisc"/>
              <w:spacing w:before="0" w:after="0"/>
              <w:jc w:val="both"/>
            </w:pPr>
            <w:r w:rsidRPr="00761B68">
              <w:t xml:space="preserve">    Vienlaikus Latvijā nacionālās antidopinga organizācijas veiktās dopinga kontroles B </w:t>
            </w:r>
            <w:r w:rsidR="00C77DFA" w:rsidRPr="00761B68">
              <w:t xml:space="preserve">parauga </w:t>
            </w:r>
            <w:r w:rsidRPr="00761B68">
              <w:t>analīze nekad netika pie</w:t>
            </w:r>
            <w:r w:rsidR="00C77DFA" w:rsidRPr="00761B68">
              <w:t>p</w:t>
            </w:r>
            <w:r w:rsidRPr="00761B68">
              <w:t xml:space="preserve">rasīta. Bet starptautiskās antidopinga organizācijas (Starptautiskā federācija, Starptautiskā Olimpiskā komiteja) </w:t>
            </w:r>
            <w:r w:rsidR="00922375" w:rsidRPr="00761B68">
              <w:t>divas reizes</w:t>
            </w:r>
            <w:r w:rsidRPr="00761B68">
              <w:t xml:space="preserve"> ir pieprasījuš</w:t>
            </w:r>
            <w:r w:rsidR="00C77DFA" w:rsidRPr="00761B68">
              <w:t>as</w:t>
            </w:r>
            <w:r w:rsidRPr="00761B68">
              <w:t xml:space="preserve"> veikt Latvijas starptautiska līmeņa sportist</w:t>
            </w:r>
            <w:r w:rsidR="009B7525" w:rsidRPr="00761B68">
              <w:t>u</w:t>
            </w:r>
            <w:r w:rsidRPr="00761B68">
              <w:t xml:space="preserve"> B </w:t>
            </w:r>
            <w:r w:rsidR="00C77DFA" w:rsidRPr="00761B68">
              <w:t xml:space="preserve">paraugu </w:t>
            </w:r>
            <w:r w:rsidRPr="00761B68">
              <w:t>analīzi un t</w:t>
            </w:r>
            <w:r w:rsidR="009B7525" w:rsidRPr="00761B68">
              <w:t>o</w:t>
            </w:r>
            <w:r w:rsidRPr="00761B68">
              <w:t xml:space="preserve"> rezultāt</w:t>
            </w:r>
            <w:r w:rsidR="009B7525" w:rsidRPr="00761B68">
              <w:t>i</w:t>
            </w:r>
            <w:r w:rsidRPr="00761B68">
              <w:t xml:space="preserve"> apstiprināja A paraug</w:t>
            </w:r>
            <w:r w:rsidR="00C77DFA" w:rsidRPr="00761B68">
              <w:t>u</w:t>
            </w:r>
            <w:r w:rsidRPr="00761B68">
              <w:t xml:space="preserve"> rezultātu</w:t>
            </w:r>
            <w:r w:rsidR="00C77DFA" w:rsidRPr="00761B68">
              <w:t>s</w:t>
            </w:r>
            <w:r w:rsidR="009B7525" w:rsidRPr="00761B68">
              <w:t xml:space="preserve"> abos gadījumos.</w:t>
            </w:r>
          </w:p>
          <w:p w14:paraId="638B5178" w14:textId="6C3CD587" w:rsidR="00D044F6" w:rsidRPr="00761B68" w:rsidRDefault="0064591E" w:rsidP="00D044F6">
            <w:pPr>
              <w:pStyle w:val="naisc"/>
              <w:spacing w:before="0" w:after="0"/>
              <w:jc w:val="both"/>
            </w:pPr>
            <w:r w:rsidRPr="00761B68">
              <w:t xml:space="preserve">    Tāpat Lietuvā nacionālajā līmenī nekad netika pieprasīts veikt B </w:t>
            </w:r>
            <w:r w:rsidR="00C77DFA" w:rsidRPr="00761B68">
              <w:t xml:space="preserve">parauga </w:t>
            </w:r>
            <w:r w:rsidRPr="00761B68">
              <w:t>analīzi.</w:t>
            </w:r>
            <w:r w:rsidR="00C77DFA" w:rsidRPr="00761B68">
              <w:t xml:space="preserve"> </w:t>
            </w:r>
            <w:r w:rsidRPr="00761B68">
              <w:t xml:space="preserve">Savukārt starptautiskās antidopinga organizācijas (Starptautiskā federācija, Starptautiskā Olimpiskā komiteja) trīs reizes ir pieprasījušas veikt dopinga kontroles B </w:t>
            </w:r>
            <w:r w:rsidR="00C77DFA" w:rsidRPr="00761B68">
              <w:t xml:space="preserve">parauga </w:t>
            </w:r>
            <w:r w:rsidRPr="00761B68">
              <w:t xml:space="preserve">analīzi Lietuvas starptautiska līmeņa sportistiem un to rezultāti visos gadījumos ir apstiprinājuši A parauga analīžu rezultātu. </w:t>
            </w:r>
          </w:p>
          <w:p w14:paraId="301A86AA" w14:textId="31A6D9C4" w:rsidR="009B7525" w:rsidRPr="00761B68" w:rsidRDefault="009B7525" w:rsidP="009B7525">
            <w:pPr>
              <w:pStyle w:val="NoSpacing"/>
              <w:jc w:val="both"/>
            </w:pPr>
            <w:r w:rsidRPr="00761B68">
              <w:lastRenderedPageBreak/>
              <w:t xml:space="preserve">   Igaunijā vairākkārt nacionālajā līmenī pieprasīts veikt B parauga analīzes, kuru rezultāti sakrita ar A </w:t>
            </w:r>
            <w:r w:rsidR="00C77DFA" w:rsidRPr="00761B68">
              <w:t xml:space="preserve">parauga  </w:t>
            </w:r>
            <w:r w:rsidRPr="00761B68">
              <w:t xml:space="preserve">analīžu rezultātiem. Starptautiska līmeņa Igaunijas sportistiem vairākkārt veiktas B </w:t>
            </w:r>
            <w:r w:rsidR="00C77DFA" w:rsidRPr="00761B68">
              <w:t xml:space="preserve">parauga </w:t>
            </w:r>
            <w:r w:rsidRPr="00761B68">
              <w:t>analīzes, taču vienā gadījumā rezultāti neapstiprināja A parauga rezultātu, sakarā ar fizioloģiskām īpatnībām un lieta tika izbeigta.</w:t>
            </w:r>
          </w:p>
          <w:p w14:paraId="6CB51FF1" w14:textId="38693D37" w:rsidR="00D044F6" w:rsidRPr="00761B68" w:rsidRDefault="009B7525" w:rsidP="00D044F6">
            <w:pPr>
              <w:pStyle w:val="naisc"/>
              <w:spacing w:before="0" w:after="0"/>
              <w:jc w:val="both"/>
            </w:pPr>
            <w:r w:rsidRPr="00761B68">
              <w:t xml:space="preserve">     </w:t>
            </w:r>
            <w:r w:rsidR="0077505B" w:rsidRPr="00761B68">
              <w:t xml:space="preserve">Vienlaikus </w:t>
            </w:r>
            <w:r w:rsidR="000A6F14" w:rsidRPr="00761B68">
              <w:t>jāatzīmē, ka Pasaules Antidopinga aģentūras akreditēt</w:t>
            </w:r>
            <w:r w:rsidR="00C77DFA" w:rsidRPr="00761B68">
              <w:t>ā</w:t>
            </w:r>
            <w:r w:rsidR="000A6F14" w:rsidRPr="00761B68">
              <w:t xml:space="preserve"> laboratorij</w:t>
            </w:r>
            <w:r w:rsidR="00C77DFA" w:rsidRPr="00761B68">
              <w:t>a</w:t>
            </w:r>
            <w:r w:rsidR="000A6F14" w:rsidRPr="00761B68">
              <w:t xml:space="preserve">, ar kuru sadarbojas arī Latvija, sniedza informāciju, ka visā tās darbības laikā tikai vienu reizi ir bijis gadījums, kad B </w:t>
            </w:r>
            <w:r w:rsidR="002469D1" w:rsidRPr="00761B68">
              <w:t>parauga</w:t>
            </w:r>
            <w:r w:rsidR="000A6F14" w:rsidRPr="00761B68">
              <w:t xml:space="preserve"> analīze neapstiprināja A </w:t>
            </w:r>
            <w:r w:rsidR="002469D1" w:rsidRPr="00761B68">
              <w:t>parauga</w:t>
            </w:r>
            <w:r w:rsidR="000A6F14" w:rsidRPr="00761B68">
              <w:t xml:space="preserve"> analīzes rezultātu. </w:t>
            </w:r>
            <w:r w:rsidR="00275566" w:rsidRPr="00761B68">
              <w:t xml:space="preserve">Laboratorijas </w:t>
            </w:r>
            <w:r w:rsidR="000A6F14" w:rsidRPr="00761B68">
              <w:t xml:space="preserve"> pārbaužu un izmeklējumu standarts šādu situāciju definē kā </w:t>
            </w:r>
            <w:r w:rsidR="00275566" w:rsidRPr="00761B68">
              <w:rPr>
                <w:i/>
              </w:rPr>
              <w:t>kļūdaini nelabvēlīgu analīžu rezultātu</w:t>
            </w:r>
            <w:r w:rsidR="000A6F14" w:rsidRPr="00761B68">
              <w:t>, kam parasti seko laboratorijas darbības izvērtēšana un attiecīgi nepieciešamības gadījumā tās darbības apturēšana un akreditācijas zaudēšana. Līdz ar to Pasaules Antidopinga aģentūras akreditētās laboratorijas analīzes veic tādā līmenī, lai šāda situācija nevarētu notikt</w:t>
            </w:r>
            <w:r w:rsidRPr="00761B68">
              <w:t>.</w:t>
            </w:r>
          </w:p>
        </w:tc>
        <w:tc>
          <w:tcPr>
            <w:tcW w:w="3260" w:type="dxa"/>
            <w:tcBorders>
              <w:top w:val="single" w:sz="4" w:space="0" w:color="auto"/>
              <w:left w:val="single" w:sz="4" w:space="0" w:color="auto"/>
              <w:bottom w:val="single" w:sz="4" w:space="0" w:color="auto"/>
            </w:tcBorders>
          </w:tcPr>
          <w:p w14:paraId="039C0913" w14:textId="3B45E26E" w:rsidR="00883ECA" w:rsidRPr="00761B68" w:rsidRDefault="00883ECA" w:rsidP="00883ECA">
            <w:pPr>
              <w:pStyle w:val="naisc"/>
              <w:spacing w:before="0" w:after="0"/>
              <w:jc w:val="both"/>
            </w:pPr>
            <w:r w:rsidRPr="00761B68">
              <w:lastRenderedPageBreak/>
              <w:t xml:space="preserve">Papildināts noteikumu projekta anotācijas I sadaļas 2.punkts </w:t>
            </w:r>
            <w:r w:rsidR="00954590" w:rsidRPr="00761B68">
              <w:t>(</w:t>
            </w:r>
            <w:r w:rsidR="00C77DFA" w:rsidRPr="00761B68">
              <w:t>4</w:t>
            </w:r>
            <w:r w:rsidR="00954590" w:rsidRPr="00761B68">
              <w:t xml:space="preserve">.-6.lpp) </w:t>
            </w:r>
            <w:r w:rsidRPr="00761B68">
              <w:t xml:space="preserve">ar </w:t>
            </w:r>
            <w:proofErr w:type="spellStart"/>
            <w:r w:rsidRPr="00761B68">
              <w:t>izvērtējumu</w:t>
            </w:r>
            <w:proofErr w:type="spellEnd"/>
            <w:r w:rsidRPr="00761B68">
              <w:t xml:space="preserve"> saistībā ar sportista tiesībām veikt B parauga analīzi.</w:t>
            </w:r>
          </w:p>
          <w:p w14:paraId="7E580068" w14:textId="77777777" w:rsidR="00883ECA" w:rsidRPr="00761B68" w:rsidRDefault="00883ECA" w:rsidP="00D044F6">
            <w:pPr>
              <w:jc w:val="both"/>
            </w:pPr>
          </w:p>
          <w:p w14:paraId="6B39AAAB" w14:textId="1414D5BA" w:rsidR="00D044F6" w:rsidRPr="00761B68" w:rsidRDefault="00D044F6" w:rsidP="00D044F6">
            <w:pPr>
              <w:jc w:val="both"/>
            </w:pPr>
            <w:r w:rsidRPr="00761B68">
              <w:t xml:space="preserve">Noteikumu projekta 21.punkta redakcija: </w:t>
            </w:r>
          </w:p>
          <w:p w14:paraId="1E553FA2" w14:textId="77777777" w:rsidR="00D044F6" w:rsidRPr="00761B68" w:rsidRDefault="00D044F6" w:rsidP="00D044F6">
            <w:pPr>
              <w:jc w:val="both"/>
            </w:pPr>
            <w:r w:rsidRPr="00761B68">
              <w:t>“21.</w:t>
            </w:r>
            <w:r w:rsidRPr="00761B68">
              <w:tab/>
              <w:t xml:space="preserve">Sportists vai sporta darbinieks saņemot paziņojumu par iespējamo antidopinga </w:t>
            </w:r>
            <w:r w:rsidRPr="00761B68">
              <w:lastRenderedPageBreak/>
              <w:t>noteikumu pārkāpumu ne vēlāk kā piecu darba dienu laikā var:</w:t>
            </w:r>
          </w:p>
          <w:p w14:paraId="4776F7B4" w14:textId="77777777" w:rsidR="00D044F6" w:rsidRPr="00761B68" w:rsidRDefault="00D044F6" w:rsidP="00D044F6">
            <w:pPr>
              <w:jc w:val="both"/>
            </w:pPr>
            <w:r w:rsidRPr="00761B68">
              <w:t>21.1.</w:t>
            </w:r>
            <w:r w:rsidRPr="00761B68">
              <w:tab/>
              <w:t xml:space="preserve">iesniegt Birojā rakstveida paskaidrojumus vai apliecinošos dokumentus, </w:t>
            </w:r>
          </w:p>
          <w:p w14:paraId="3A0983AA" w14:textId="77777777" w:rsidR="00D044F6" w:rsidRPr="00761B68" w:rsidRDefault="00D044F6" w:rsidP="00D044F6">
            <w:pPr>
              <w:jc w:val="both"/>
            </w:pPr>
            <w:r w:rsidRPr="00761B68">
              <w:t>21.2.</w:t>
            </w:r>
            <w:r w:rsidRPr="00761B68">
              <w:tab/>
              <w:t>vērsties Birojā ar lūgumu veikt dopinga kontroles B parauga analīzi par saviem līdzekļiem Pasaules Antidopinga aģentūras akreditētā laboratorijā.”</w:t>
            </w:r>
          </w:p>
          <w:p w14:paraId="7B97530A" w14:textId="77777777" w:rsidR="00D044F6" w:rsidRPr="00761B68" w:rsidRDefault="00D044F6" w:rsidP="001534D0">
            <w:pPr>
              <w:pStyle w:val="naisc"/>
              <w:jc w:val="both"/>
            </w:pPr>
          </w:p>
        </w:tc>
      </w:tr>
      <w:tr w:rsidR="00761B68" w:rsidRPr="00761B68" w14:paraId="236476A3"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134CB7AD" w14:textId="5D668F11" w:rsidR="0087361C" w:rsidRPr="00761B68" w:rsidRDefault="0087361C" w:rsidP="00321723">
            <w:pPr>
              <w:pStyle w:val="naisc"/>
              <w:spacing w:before="0" w:after="0"/>
              <w:ind w:firstLine="720"/>
            </w:pPr>
            <w:r w:rsidRPr="00761B68">
              <w:lastRenderedPageBreak/>
              <w:t>1</w:t>
            </w:r>
          </w:p>
          <w:p w14:paraId="428B5FD6" w14:textId="5C026B2C" w:rsidR="00321723" w:rsidRPr="00761B68" w:rsidRDefault="00321723" w:rsidP="004E0C07">
            <w:pPr>
              <w:pStyle w:val="ListParagraph"/>
              <w:numPr>
                <w:ilvl w:val="0"/>
                <w:numId w:val="11"/>
              </w:numPr>
            </w:pPr>
          </w:p>
        </w:tc>
        <w:tc>
          <w:tcPr>
            <w:tcW w:w="3086" w:type="dxa"/>
            <w:gridSpan w:val="2"/>
            <w:tcBorders>
              <w:left w:val="single" w:sz="6" w:space="0" w:color="000000"/>
              <w:bottom w:val="single" w:sz="4" w:space="0" w:color="auto"/>
              <w:right w:val="single" w:sz="6" w:space="0" w:color="000000"/>
            </w:tcBorders>
          </w:tcPr>
          <w:p w14:paraId="012F2F69" w14:textId="77777777" w:rsidR="00321723" w:rsidRPr="00761B68" w:rsidRDefault="00321723" w:rsidP="00321723">
            <w:pPr>
              <w:pStyle w:val="naisc"/>
              <w:jc w:val="left"/>
            </w:pPr>
            <w:r w:rsidRPr="00761B68">
              <w:t xml:space="preserve">Noteikumu projekta 1.punkta redakcija: </w:t>
            </w:r>
          </w:p>
          <w:p w14:paraId="0A3A6E2B" w14:textId="77777777" w:rsidR="00321723" w:rsidRPr="00761B68" w:rsidRDefault="00321723" w:rsidP="00321723">
            <w:pPr>
              <w:pStyle w:val="naisc"/>
              <w:jc w:val="left"/>
            </w:pPr>
            <w:r w:rsidRPr="00761B68">
              <w:t>1.</w:t>
            </w:r>
            <w:r w:rsidRPr="00761B68">
              <w:tab/>
              <w:t>Noteikumi nosaka:</w:t>
            </w:r>
          </w:p>
          <w:p w14:paraId="7EA122BD" w14:textId="77777777" w:rsidR="00321723" w:rsidRPr="00761B68" w:rsidRDefault="00321723" w:rsidP="00321723">
            <w:pPr>
              <w:pStyle w:val="naisc"/>
              <w:spacing w:before="0" w:after="0"/>
              <w:jc w:val="both"/>
            </w:pPr>
            <w:r w:rsidRPr="00761B68">
              <w:lastRenderedPageBreak/>
              <w:t>1.1.</w:t>
            </w:r>
            <w:r w:rsidRPr="00761B68">
              <w:tab/>
              <w:t>dopinga definīciju, antidopinga noteikumu pārkāpumus, reglamentē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19. oktobra Starptautiskajai konvencijai pret dopingu sportā un 1989. gada 16.  novembra Eiropas Padomes Antidopinga konvencijai Nr. 135. (..)”</w:t>
            </w:r>
          </w:p>
        </w:tc>
        <w:tc>
          <w:tcPr>
            <w:tcW w:w="4111" w:type="dxa"/>
            <w:tcBorders>
              <w:left w:val="single" w:sz="6" w:space="0" w:color="000000"/>
              <w:bottom w:val="single" w:sz="4" w:space="0" w:color="auto"/>
              <w:right w:val="single" w:sz="6" w:space="0" w:color="000000"/>
            </w:tcBorders>
          </w:tcPr>
          <w:p w14:paraId="06BE9E11" w14:textId="77777777" w:rsidR="00321723" w:rsidRPr="00761B68" w:rsidRDefault="00321723" w:rsidP="00321723">
            <w:pPr>
              <w:pStyle w:val="naisc"/>
              <w:spacing w:before="0" w:after="0"/>
              <w:ind w:firstLine="720"/>
              <w:rPr>
                <w:b/>
              </w:rPr>
            </w:pPr>
            <w:r w:rsidRPr="00761B68">
              <w:rPr>
                <w:b/>
              </w:rPr>
              <w:lastRenderedPageBreak/>
              <w:t>2019.gada 11.jūnija atzinums Nr. 1-9.1/576</w:t>
            </w:r>
          </w:p>
          <w:p w14:paraId="59C2B589" w14:textId="77777777" w:rsidR="00321723" w:rsidRPr="00761B68" w:rsidRDefault="00321723" w:rsidP="00321723">
            <w:pPr>
              <w:pStyle w:val="naisc"/>
              <w:spacing w:before="0" w:after="0"/>
              <w:jc w:val="both"/>
              <w:rPr>
                <w:b/>
              </w:rPr>
            </w:pPr>
            <w:r w:rsidRPr="00761B68">
              <w:t xml:space="preserve">Projekta 1.1. apakšpunktā norādīts, ka projektā ietverti arī citi noteikumi </w:t>
            </w:r>
            <w:r w:rsidRPr="00761B68">
              <w:lastRenderedPageBreak/>
              <w:t xml:space="preserve">atbilstoši 2005. gada 19. oktobra Starptautiskās konvencijas pret dopingu sportā un 1989. gada 16. novembra Eiropas Padomes Antidopinga konvencijas Nr.135 (turpmāk – antidopinga konvencija). Vēršam uzmanību, ka pašlaik projektā </w:t>
            </w:r>
            <w:proofErr w:type="spellStart"/>
            <w:r w:rsidRPr="00761B68">
              <w:t>sasaite</w:t>
            </w:r>
            <w:proofErr w:type="spellEnd"/>
            <w:r w:rsidRPr="00761B68">
              <w:t xml:space="preserve"> ar antidopinga konvencijām konstatējama, ja tas izriet no projekta izdošanas tiesiskā pamata un “citus jautājumus” nav iespējams identificēt. Ievērojot minēto, lūdzam skaidrot, kuri jautājumi uzskatāmi par “citiem jautājumiem” projekta kontekstā vai attiecīgi precizēt projektu. </w:t>
            </w:r>
          </w:p>
          <w:p w14:paraId="1DBB2DED" w14:textId="77777777" w:rsidR="00321723" w:rsidRPr="00761B68" w:rsidRDefault="00321723" w:rsidP="00321723">
            <w:pPr>
              <w:pStyle w:val="naisc"/>
              <w:spacing w:before="0" w:after="0"/>
              <w:jc w:val="both"/>
            </w:pPr>
            <w:r w:rsidRPr="00761B68">
              <w:t>Vienlaikus lūdzam projekta 1.1. apakšpunktā svītrot vārdu “reglamentē”, jo tas kopsakarā ar projekta 1. punkta ievaddaļu ir lieks.</w:t>
            </w:r>
          </w:p>
        </w:tc>
        <w:tc>
          <w:tcPr>
            <w:tcW w:w="3827" w:type="dxa"/>
            <w:gridSpan w:val="2"/>
            <w:tcBorders>
              <w:left w:val="single" w:sz="6" w:space="0" w:color="000000"/>
              <w:bottom w:val="single" w:sz="4" w:space="0" w:color="auto"/>
              <w:right w:val="single" w:sz="6" w:space="0" w:color="000000"/>
            </w:tcBorders>
          </w:tcPr>
          <w:p w14:paraId="30DD98D1" w14:textId="77777777" w:rsidR="00321723" w:rsidRPr="00761B68" w:rsidRDefault="00321723" w:rsidP="00321723">
            <w:pPr>
              <w:pStyle w:val="naisc"/>
              <w:spacing w:before="0" w:after="0"/>
              <w:ind w:firstLine="720"/>
              <w:rPr>
                <w:b/>
              </w:rPr>
            </w:pPr>
            <w:r w:rsidRPr="00761B68">
              <w:rPr>
                <w:b/>
              </w:rPr>
              <w:lastRenderedPageBreak/>
              <w:t>Ņemts vērā</w:t>
            </w:r>
          </w:p>
          <w:p w14:paraId="403C5AD9" w14:textId="77777777" w:rsidR="00321723" w:rsidRPr="00761B68" w:rsidRDefault="00321723" w:rsidP="00321723">
            <w:pPr>
              <w:pStyle w:val="naisc"/>
              <w:spacing w:before="0" w:after="0"/>
              <w:ind w:firstLine="720"/>
            </w:pPr>
          </w:p>
          <w:p w14:paraId="46B7762D" w14:textId="75B0AD31" w:rsidR="00FF7B91" w:rsidRPr="00761B68" w:rsidRDefault="00321723" w:rsidP="001534D0">
            <w:pPr>
              <w:pStyle w:val="naisc"/>
              <w:spacing w:before="0" w:after="0"/>
              <w:jc w:val="both"/>
            </w:pPr>
            <w:r w:rsidRPr="00761B68">
              <w:t>Precizēt</w:t>
            </w:r>
            <w:r w:rsidR="00E40A00" w:rsidRPr="00761B68">
              <w:t>s</w:t>
            </w:r>
            <w:r w:rsidRPr="00761B68">
              <w:t xml:space="preserve"> noteikumu projekta anotācijas I sadaļas 2.punkts. </w:t>
            </w:r>
            <w:r w:rsidRPr="00761B68">
              <w:lastRenderedPageBreak/>
              <w:t>Noteikumu projekta 1.1.apakšpunktā svītrots vārds “reglamentē”</w:t>
            </w:r>
            <w:r w:rsidR="00E40A00" w:rsidRPr="00761B68">
              <w:t>.</w:t>
            </w:r>
          </w:p>
          <w:p w14:paraId="4D888C40" w14:textId="77777777" w:rsidR="001534D0" w:rsidRPr="00761B68" w:rsidRDefault="001534D0" w:rsidP="001534D0">
            <w:pPr>
              <w:pStyle w:val="naisc"/>
              <w:spacing w:before="0" w:after="0"/>
              <w:jc w:val="both"/>
            </w:pPr>
          </w:p>
          <w:p w14:paraId="79A0C04C" w14:textId="1215FF69" w:rsidR="00391190" w:rsidRPr="00761B68" w:rsidRDefault="001F506B" w:rsidP="001534D0">
            <w:pPr>
              <w:pStyle w:val="naisc"/>
              <w:spacing w:before="0" w:after="0"/>
              <w:jc w:val="both"/>
            </w:pPr>
            <w:bookmarkStart w:id="0" w:name="_Hlk11933799"/>
            <w:r w:rsidRPr="00761B68">
              <w:t>N</w:t>
            </w:r>
            <w:r w:rsidR="001534D0" w:rsidRPr="00761B68">
              <w:t>oteikumu projektā</w:t>
            </w:r>
            <w:r w:rsidR="008B790A" w:rsidRPr="00761B68">
              <w:t xml:space="preserve"> kā “citi jautājumi” </w:t>
            </w:r>
            <w:r w:rsidR="001534D0" w:rsidRPr="00761B68">
              <w:t xml:space="preserve"> ietvertas prasības, kas </w:t>
            </w:r>
            <w:r w:rsidR="008B790A" w:rsidRPr="00761B68">
              <w:t>tiek</w:t>
            </w:r>
            <w:r w:rsidR="001534D0" w:rsidRPr="00761B68">
              <w:t xml:space="preserve"> pārņemtas no</w:t>
            </w:r>
            <w:r w:rsidR="008B790A" w:rsidRPr="00761B68">
              <w:t xml:space="preserve"> </w:t>
            </w:r>
            <w:r w:rsidR="00391190" w:rsidRPr="00761B68">
              <w:t>2005. gada 19. oktobra Starptautiskajās konvencijas pret dopingu sportā</w:t>
            </w:r>
            <w:r w:rsidR="001534D0" w:rsidRPr="00761B68">
              <w:t xml:space="preserve"> (</w:t>
            </w:r>
            <w:r w:rsidR="00391190" w:rsidRPr="00761B68">
              <w:t>13. un 16.pants</w:t>
            </w:r>
            <w:r w:rsidR="001534D0" w:rsidRPr="00761B68">
              <w:t>)</w:t>
            </w:r>
            <w:r w:rsidR="00391190" w:rsidRPr="00761B68">
              <w:t xml:space="preserve"> un 1989. gada 16.  novembra Eiropas Padomes Antidopinga konvencijas Nr. 135</w:t>
            </w:r>
            <w:r w:rsidR="001534D0" w:rsidRPr="00761B68">
              <w:t xml:space="preserve"> (</w:t>
            </w:r>
            <w:r w:rsidR="00391190" w:rsidRPr="00761B68">
              <w:t>7. un 8.pants</w:t>
            </w:r>
            <w:r w:rsidR="001534D0" w:rsidRPr="00761B68">
              <w:t>), piemēram, attiecībā uz informācijas sniegšanu par nelabvēlīgajiem dopinga kontroles analīzēm sportista valsts antidopinga organizācijām</w:t>
            </w:r>
            <w:r w:rsidR="008B790A" w:rsidRPr="00761B68">
              <w:t xml:space="preserve"> un  </w:t>
            </w:r>
            <w:r w:rsidR="001534D0" w:rsidRPr="00761B68">
              <w:t>starptautiskām sporta</w:t>
            </w:r>
            <w:r w:rsidR="00E40A00" w:rsidRPr="00761B68">
              <w:t xml:space="preserve"> federācijām</w:t>
            </w:r>
            <w:r w:rsidR="001534D0" w:rsidRPr="00761B68">
              <w:t xml:space="preserve">. </w:t>
            </w:r>
            <w:r w:rsidR="008B790A" w:rsidRPr="00761B68">
              <w:t xml:space="preserve">Šīs prasības nav noteiktas </w:t>
            </w:r>
            <w:r w:rsidR="007D249C" w:rsidRPr="00761B68">
              <w:t xml:space="preserve">Pasaules Antidopinga kodekss) </w:t>
            </w:r>
            <w:r w:rsidR="008B790A" w:rsidRPr="00761B68">
              <w:t xml:space="preserve">tomēr šādu praksi jau šobrīd Latvijas Antidopinga birojs izmanto savā ikdienas darbā. </w:t>
            </w:r>
            <w:bookmarkEnd w:id="0"/>
            <w:r w:rsidR="00E40A00" w:rsidRPr="00761B68">
              <w:t>Līdz ar to ir svarīgi noteikumu projektā paredzēt arī citus jautājumus, kas nav noteikti Pasaules Antidopinga kodeksā.</w:t>
            </w:r>
          </w:p>
          <w:p w14:paraId="66761743" w14:textId="311E7CA6" w:rsidR="001F506B" w:rsidRPr="00761B68" w:rsidRDefault="001F506B" w:rsidP="001534D0">
            <w:pPr>
              <w:pStyle w:val="naisc"/>
              <w:spacing w:before="0" w:after="0"/>
              <w:jc w:val="both"/>
            </w:pPr>
          </w:p>
        </w:tc>
        <w:tc>
          <w:tcPr>
            <w:tcW w:w="3260" w:type="dxa"/>
            <w:tcBorders>
              <w:top w:val="single" w:sz="4" w:space="0" w:color="auto"/>
              <w:left w:val="single" w:sz="4" w:space="0" w:color="auto"/>
              <w:bottom w:val="single" w:sz="4" w:space="0" w:color="auto"/>
            </w:tcBorders>
          </w:tcPr>
          <w:p w14:paraId="5B675CC6" w14:textId="77777777" w:rsidR="00321723" w:rsidRPr="00761B68" w:rsidRDefault="00321723" w:rsidP="001534D0">
            <w:pPr>
              <w:pStyle w:val="naisc"/>
              <w:jc w:val="both"/>
            </w:pPr>
            <w:r w:rsidRPr="00761B68">
              <w:lastRenderedPageBreak/>
              <w:t>Precizēta noteikumu projekta anotācijas I sadaļas 2.punkts.</w:t>
            </w:r>
          </w:p>
          <w:p w14:paraId="275F064D" w14:textId="77777777" w:rsidR="00321723" w:rsidRPr="00761B68" w:rsidRDefault="00321723" w:rsidP="00321723">
            <w:pPr>
              <w:pStyle w:val="naisc"/>
              <w:jc w:val="left"/>
            </w:pPr>
          </w:p>
          <w:p w14:paraId="038180CF" w14:textId="77777777" w:rsidR="00321723" w:rsidRPr="00761B68" w:rsidRDefault="00321723" w:rsidP="001F506B">
            <w:pPr>
              <w:pStyle w:val="naisc"/>
              <w:jc w:val="both"/>
            </w:pPr>
            <w:r w:rsidRPr="00761B68">
              <w:lastRenderedPageBreak/>
              <w:t xml:space="preserve">Noteikumu projekta 1.punkta redakcija: </w:t>
            </w:r>
          </w:p>
          <w:p w14:paraId="1A372798" w14:textId="77777777" w:rsidR="00321723" w:rsidRPr="00761B68" w:rsidRDefault="00321723" w:rsidP="00321723">
            <w:pPr>
              <w:pStyle w:val="naisc"/>
              <w:jc w:val="left"/>
            </w:pPr>
            <w:r w:rsidRPr="00761B68">
              <w:t>1.</w:t>
            </w:r>
            <w:r w:rsidRPr="00761B68">
              <w:tab/>
              <w:t>Noteikumi nosaka:</w:t>
            </w:r>
          </w:p>
          <w:p w14:paraId="50F6B401" w14:textId="2978B55F" w:rsidR="00321723" w:rsidRPr="00761B68" w:rsidRDefault="00E40A00" w:rsidP="00321723">
            <w:pPr>
              <w:pStyle w:val="naisc"/>
              <w:spacing w:before="0" w:after="0"/>
              <w:jc w:val="both"/>
            </w:pPr>
            <w:r w:rsidRPr="00761B68">
              <w:t>“</w:t>
            </w:r>
            <w:r w:rsidR="00321723" w:rsidRPr="00761B68">
              <w:t>1.1.</w:t>
            </w:r>
            <w:r w:rsidR="00321723" w:rsidRPr="00761B68">
              <w:tab/>
              <w:t>dopinga definīciju, antidopinga noteikumu pārkāpumus,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19. oktobra Starptautiskajai konvencijai pret dopingu sportā un 1989. gada 16.  novembra Eiropas Padomes Antidopinga konvencijai Nr. 135. (..)”</w:t>
            </w:r>
          </w:p>
        </w:tc>
      </w:tr>
      <w:tr w:rsidR="00761B68" w:rsidRPr="00761B68" w14:paraId="784EC822"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602810BF" w14:textId="29043187" w:rsidR="0087361C" w:rsidRPr="00761B68" w:rsidRDefault="0087361C" w:rsidP="00321723">
            <w:pPr>
              <w:pStyle w:val="naisc"/>
              <w:spacing w:before="0" w:after="0"/>
              <w:ind w:firstLine="720"/>
            </w:pPr>
          </w:p>
          <w:p w14:paraId="20ECE362" w14:textId="42A556DE" w:rsidR="00321723" w:rsidRPr="00761B68" w:rsidRDefault="00321723" w:rsidP="004E0C07">
            <w:pPr>
              <w:pStyle w:val="ListParagraph"/>
              <w:numPr>
                <w:ilvl w:val="0"/>
                <w:numId w:val="11"/>
              </w:numPr>
            </w:pPr>
          </w:p>
        </w:tc>
        <w:tc>
          <w:tcPr>
            <w:tcW w:w="3086" w:type="dxa"/>
            <w:gridSpan w:val="2"/>
            <w:tcBorders>
              <w:left w:val="single" w:sz="6" w:space="0" w:color="000000"/>
              <w:bottom w:val="single" w:sz="4" w:space="0" w:color="auto"/>
              <w:right w:val="single" w:sz="6" w:space="0" w:color="000000"/>
            </w:tcBorders>
          </w:tcPr>
          <w:p w14:paraId="7C175ECD" w14:textId="77777777" w:rsidR="00321723" w:rsidRPr="00761B68" w:rsidRDefault="00321723" w:rsidP="00321723">
            <w:pPr>
              <w:jc w:val="both"/>
              <w:rPr>
                <w:sz w:val="26"/>
                <w:szCs w:val="26"/>
              </w:rPr>
            </w:pPr>
            <w:r w:rsidRPr="00761B68">
              <w:rPr>
                <w:sz w:val="26"/>
                <w:szCs w:val="26"/>
              </w:rPr>
              <w:t xml:space="preserve">Noteikumu projekta anotācijas IV sadaļas 1.punkta redakcija: </w:t>
            </w:r>
          </w:p>
          <w:p w14:paraId="279CE280" w14:textId="77777777" w:rsidR="00321723" w:rsidRPr="00761B68" w:rsidRDefault="00321723" w:rsidP="00321723">
            <w:pPr>
              <w:jc w:val="both"/>
              <w:rPr>
                <w:sz w:val="26"/>
                <w:szCs w:val="26"/>
              </w:rPr>
            </w:pPr>
            <w:r w:rsidRPr="00761B68">
              <w:rPr>
                <w:sz w:val="26"/>
                <w:szCs w:val="26"/>
              </w:rPr>
              <w:t>“</w:t>
            </w:r>
            <w:r w:rsidRPr="00761B68">
              <w:rPr>
                <w:iCs/>
              </w:rPr>
              <w:t xml:space="preserve">Noteikumu projektu izskatīt vienlaikus ar Ministru kabineta noteikumu projektu “Par Pasaules Antidopinga aģentūras 2015.gada Pasaules </w:t>
            </w:r>
            <w:r w:rsidRPr="00761B68">
              <w:rPr>
                <w:iCs/>
              </w:rPr>
              <w:lastRenderedPageBreak/>
              <w:t>Antidopinga kodeksa pieņemšanu”.</w:t>
            </w:r>
            <w:r w:rsidRPr="00761B68">
              <w:rPr>
                <w:sz w:val="26"/>
                <w:szCs w:val="26"/>
              </w:rPr>
              <w:t>”</w:t>
            </w:r>
          </w:p>
          <w:p w14:paraId="48A9FE13" w14:textId="77777777" w:rsidR="00321723" w:rsidRPr="00761B68" w:rsidRDefault="00321723" w:rsidP="00321723">
            <w:pPr>
              <w:pStyle w:val="naisc"/>
              <w:jc w:val="both"/>
            </w:pPr>
          </w:p>
        </w:tc>
        <w:tc>
          <w:tcPr>
            <w:tcW w:w="4111" w:type="dxa"/>
            <w:tcBorders>
              <w:left w:val="single" w:sz="6" w:space="0" w:color="000000"/>
              <w:bottom w:val="single" w:sz="4" w:space="0" w:color="auto"/>
              <w:right w:val="single" w:sz="6" w:space="0" w:color="000000"/>
            </w:tcBorders>
          </w:tcPr>
          <w:p w14:paraId="3C84F3DF" w14:textId="77777777" w:rsidR="00321723" w:rsidRPr="00761B68" w:rsidRDefault="00321723" w:rsidP="00321723">
            <w:pPr>
              <w:pStyle w:val="naisc"/>
              <w:spacing w:before="0" w:after="0"/>
              <w:jc w:val="both"/>
              <w:rPr>
                <w:b/>
              </w:rPr>
            </w:pPr>
            <w:r w:rsidRPr="00761B68">
              <w:lastRenderedPageBreak/>
              <w:t xml:space="preserve">Projektā daudzviet norādīta atsauce uz Pasaules Antidopinga aģentūras pieņemtā Antidopinga kodeksa (turpmāk – Kodekss) normām. Vēršam uzmanību, ka atbilstoši 2005. gada 19. oktobra Starptautiskās konvencijas pret dopingu sportā 4. panta 2. punktam “Kodekss un jaunākās 2. un 3. papildinājuma </w:t>
            </w:r>
            <w:r w:rsidRPr="00761B68">
              <w:lastRenderedPageBreak/>
              <w:t xml:space="preserve">redakcijas pievienotas informatīviem nolūkiem un nav šīs Konvencijas neatņemamas sastāvdaļas. Papildinājumi kā tādi </w:t>
            </w:r>
            <w:r w:rsidRPr="00761B68">
              <w:rPr>
                <w:u w:val="single"/>
              </w:rPr>
              <w:t>nerada nekādas starptautisko tiesību saistības</w:t>
            </w:r>
            <w:r w:rsidRPr="00761B68">
              <w:t xml:space="preserve"> Dalībvalstīm”. No minētā izriet, ka Kodeksam pašam par sevi ir ieteikuma raksturs. Tas neliedz dalībvalstīm Kodeksu padarīt saistošu, tomēr saistošā rakstura piešķiršana jāveic kopsakarā ar visu prasību nodrošināšanu, kas attiecas uz ārējiem normatīvajiem aktiem. Proti, Kodeksam un tā grozījumiem jābūt pieejamam latviešu valodā. Ievērojot minēto, lūdzam nodrošināt Kodeksa pieejamību kā ārējam normatīvajam aktam, projekta anotācijā ietverot izvērstu skaidrojumu, kā tas tiks nodrošināts, vai lūdzam projektā ietvertās atsauces uz Kodeksu svītrot, tās aizstājot ar attiecīgo Kodeksa regulējumu.”</w:t>
            </w:r>
          </w:p>
        </w:tc>
        <w:tc>
          <w:tcPr>
            <w:tcW w:w="3827" w:type="dxa"/>
            <w:gridSpan w:val="2"/>
            <w:tcBorders>
              <w:left w:val="single" w:sz="6" w:space="0" w:color="000000"/>
              <w:bottom w:val="single" w:sz="4" w:space="0" w:color="auto"/>
              <w:right w:val="single" w:sz="6" w:space="0" w:color="000000"/>
            </w:tcBorders>
          </w:tcPr>
          <w:p w14:paraId="538C8B1A" w14:textId="77777777" w:rsidR="00321723" w:rsidRPr="00761B68" w:rsidRDefault="00562AC1" w:rsidP="00321723">
            <w:pPr>
              <w:pStyle w:val="naisc"/>
              <w:spacing w:before="0" w:after="0"/>
              <w:ind w:firstLine="720"/>
              <w:rPr>
                <w:b/>
              </w:rPr>
            </w:pPr>
            <w:r w:rsidRPr="00761B68">
              <w:rPr>
                <w:b/>
              </w:rPr>
              <w:lastRenderedPageBreak/>
              <w:t>Ņemts vērā</w:t>
            </w:r>
          </w:p>
          <w:p w14:paraId="51C13D29" w14:textId="77777777" w:rsidR="00562AC1" w:rsidRPr="00761B68" w:rsidRDefault="00562AC1" w:rsidP="00321723">
            <w:pPr>
              <w:pStyle w:val="naisc"/>
              <w:spacing w:before="0" w:after="0"/>
              <w:ind w:firstLine="720"/>
              <w:rPr>
                <w:b/>
              </w:rPr>
            </w:pPr>
          </w:p>
          <w:p w14:paraId="23DB7423" w14:textId="1FB7B12C" w:rsidR="008B790A" w:rsidRPr="00761B68" w:rsidRDefault="00562AC1" w:rsidP="00562AC1">
            <w:pPr>
              <w:pStyle w:val="naisc"/>
              <w:jc w:val="both"/>
              <w:rPr>
                <w:iCs/>
              </w:rPr>
            </w:pPr>
            <w:r w:rsidRPr="00761B68">
              <w:t>Papildināt</w:t>
            </w:r>
            <w:r w:rsidR="00E40A00" w:rsidRPr="00761B68">
              <w:t>s</w:t>
            </w:r>
            <w:r w:rsidRPr="00761B68">
              <w:t xml:space="preserve"> noteikumu projekta anotācijas I sadaļas 2.punkts ar informāciju par saistošo Ministru kabineta noteikumu projektu “</w:t>
            </w:r>
            <w:r w:rsidRPr="00761B68">
              <w:rPr>
                <w:i/>
                <w:iCs/>
              </w:rPr>
              <w:t xml:space="preserve">Par Pasaules Antidopinga aģentūras 2015.gada Pasaules Antidopinga </w:t>
            </w:r>
            <w:r w:rsidRPr="00761B68">
              <w:rPr>
                <w:i/>
                <w:iCs/>
              </w:rPr>
              <w:lastRenderedPageBreak/>
              <w:t>kodeksa pieņemšanu</w:t>
            </w:r>
            <w:r w:rsidRPr="00761B68">
              <w:rPr>
                <w:iCs/>
              </w:rPr>
              <w:t xml:space="preserve">”, kas tiek paralēli virzīts </w:t>
            </w:r>
            <w:r w:rsidR="007D249C" w:rsidRPr="00761B68">
              <w:rPr>
                <w:iCs/>
              </w:rPr>
              <w:t xml:space="preserve">un </w:t>
            </w:r>
            <w:r w:rsidRPr="00761B68">
              <w:rPr>
                <w:iCs/>
              </w:rPr>
              <w:t xml:space="preserve">š.g. 30.maijā </w:t>
            </w:r>
            <w:r w:rsidR="007D249C" w:rsidRPr="00761B68">
              <w:rPr>
                <w:iCs/>
              </w:rPr>
              <w:t xml:space="preserve">tas tika </w:t>
            </w:r>
            <w:r w:rsidRPr="00761B68">
              <w:rPr>
                <w:iCs/>
              </w:rPr>
              <w:t>iz</w:t>
            </w:r>
            <w:r w:rsidR="00AC7C2F" w:rsidRPr="00761B68">
              <w:rPr>
                <w:iCs/>
              </w:rPr>
              <w:t>sludināts</w:t>
            </w:r>
            <w:r w:rsidRPr="00761B68">
              <w:rPr>
                <w:iCs/>
              </w:rPr>
              <w:t xml:space="preserve"> Valsts sekretāru sanāksmē. Tiek </w:t>
            </w:r>
            <w:r w:rsidR="007D249C" w:rsidRPr="00761B68">
              <w:rPr>
                <w:iCs/>
              </w:rPr>
              <w:t>paredzēts</w:t>
            </w:r>
            <w:r w:rsidRPr="00761B68">
              <w:rPr>
                <w:iCs/>
              </w:rPr>
              <w:t xml:space="preserve"> ar šiem noteikumiem pieņemt un apstiprināt</w:t>
            </w:r>
            <w:r w:rsidR="009E68E9" w:rsidRPr="00761B68">
              <w:rPr>
                <w:iCs/>
              </w:rPr>
              <w:t xml:space="preserve"> Pasaules Antidopinga kodeks</w:t>
            </w:r>
            <w:r w:rsidR="007D249C" w:rsidRPr="00761B68">
              <w:rPr>
                <w:iCs/>
              </w:rPr>
              <w:t>u</w:t>
            </w:r>
            <w:r w:rsidRPr="00761B68">
              <w:rPr>
                <w:iCs/>
              </w:rPr>
              <w:t xml:space="preserve">, tādējādi </w:t>
            </w:r>
            <w:r w:rsidR="00A7346B" w:rsidRPr="00761B68">
              <w:rPr>
                <w:iCs/>
              </w:rPr>
              <w:t xml:space="preserve">padarot </w:t>
            </w:r>
            <w:r w:rsidRPr="00761B68">
              <w:rPr>
                <w:iCs/>
              </w:rPr>
              <w:t xml:space="preserve">to saistošu Latvijā. </w:t>
            </w:r>
            <w:r w:rsidRPr="00761B68">
              <w:t>Ministru kabineta noteikumu projekta “</w:t>
            </w:r>
            <w:r w:rsidRPr="00761B68">
              <w:rPr>
                <w:i/>
                <w:iCs/>
              </w:rPr>
              <w:t>Par Pasaules Antidopinga aģentūras 2015.gada Pasaules Antidopinga kodeksa pieņemšanu</w:t>
            </w:r>
            <w:r w:rsidRPr="00761B68">
              <w:rPr>
                <w:iCs/>
              </w:rPr>
              <w:t xml:space="preserve">” dokumentu </w:t>
            </w:r>
            <w:proofErr w:type="spellStart"/>
            <w:r w:rsidRPr="00761B68">
              <w:rPr>
                <w:iCs/>
              </w:rPr>
              <w:t>pakotnē</w:t>
            </w:r>
            <w:proofErr w:type="spellEnd"/>
            <w:r w:rsidRPr="00761B68">
              <w:rPr>
                <w:iCs/>
              </w:rPr>
              <w:t xml:space="preserve"> ir pievienots ar</w:t>
            </w:r>
            <w:r w:rsidR="00A7346B" w:rsidRPr="00761B68">
              <w:rPr>
                <w:iCs/>
              </w:rPr>
              <w:t>ī</w:t>
            </w:r>
            <w:r w:rsidRPr="00761B68">
              <w:rPr>
                <w:iCs/>
              </w:rPr>
              <w:t xml:space="preserve"> Pasaules Antidopinga kodekss latviešu valodā.</w:t>
            </w:r>
            <w:r w:rsidR="009E68E9" w:rsidRPr="00761B68">
              <w:rPr>
                <w:iCs/>
              </w:rPr>
              <w:t xml:space="preserve"> </w:t>
            </w:r>
          </w:p>
          <w:p w14:paraId="3CBAA523" w14:textId="2542BA71" w:rsidR="001F506B" w:rsidRPr="00761B68" w:rsidRDefault="001F506B" w:rsidP="001F506B">
            <w:pPr>
              <w:jc w:val="both"/>
              <w:rPr>
                <w:iCs/>
              </w:rPr>
            </w:pPr>
            <w:r w:rsidRPr="00761B68">
              <w:rPr>
                <w:iCs/>
              </w:rPr>
              <w:t>Izmaiņas vai grozījumi Pasaules Antidopinga kodeksā tiek veiktas reti, jo parasti tas tiek pārskatīts un izdots jaunā redakcijā, kas vidēji notiek reizi piecos gados. Visos gadījumos aktuālākās Pasaules Antidopinga kodeksa versijas ar Valsts valodas centra palīdzību tiek tulkotas latviešu valodā un Latvijas Antidopinga Birojs (turpmāk – Birojs) nodrošina tā publisku pieejamību savā tīmekļvietnē. Norādām, ka sportisti, sporta organizācijas</w:t>
            </w:r>
            <w:r w:rsidR="00AC7C2F" w:rsidRPr="00761B68">
              <w:rPr>
                <w:iCs/>
              </w:rPr>
              <w:t xml:space="preserve"> (gan nacionāla, gan starptautiska līmeņa)</w:t>
            </w:r>
            <w:r w:rsidRPr="00761B68">
              <w:rPr>
                <w:iCs/>
              </w:rPr>
              <w:t xml:space="preserve"> un Birojs ikdienas darbā, tostarp dopinga pārbaužu veikšanā, lietas izskatīšanā un sankciju piemērošanā, izmanto Pasaules Antidopinga kodeksu. </w:t>
            </w:r>
          </w:p>
          <w:p w14:paraId="7D542A21" w14:textId="40E396CA" w:rsidR="002717F5" w:rsidRPr="00761B68" w:rsidRDefault="002717F5" w:rsidP="001F506B">
            <w:pPr>
              <w:pStyle w:val="naisc"/>
              <w:jc w:val="both"/>
              <w:rPr>
                <w:iCs/>
              </w:rPr>
            </w:pPr>
          </w:p>
        </w:tc>
        <w:tc>
          <w:tcPr>
            <w:tcW w:w="3260" w:type="dxa"/>
            <w:tcBorders>
              <w:top w:val="single" w:sz="4" w:space="0" w:color="auto"/>
              <w:left w:val="single" w:sz="4" w:space="0" w:color="auto"/>
              <w:bottom w:val="single" w:sz="4" w:space="0" w:color="auto"/>
            </w:tcBorders>
          </w:tcPr>
          <w:p w14:paraId="12274434" w14:textId="77777777" w:rsidR="00321723" w:rsidRPr="00761B68" w:rsidRDefault="00562AC1" w:rsidP="00562AC1">
            <w:pPr>
              <w:jc w:val="both"/>
              <w:rPr>
                <w:iCs/>
              </w:rPr>
            </w:pPr>
            <w:r w:rsidRPr="00761B68">
              <w:lastRenderedPageBreak/>
              <w:t>Papildināt</w:t>
            </w:r>
            <w:r w:rsidR="00DB6F91" w:rsidRPr="00761B68">
              <w:t>s</w:t>
            </w:r>
            <w:r w:rsidRPr="00761B68">
              <w:t xml:space="preserve"> noteikumu projekta anotācijas I sadaļas 2.punkts ar informāciju par saistošo Ministru kabineta noteikumu projektu “</w:t>
            </w:r>
            <w:r w:rsidRPr="00761B68">
              <w:rPr>
                <w:i/>
                <w:iCs/>
              </w:rPr>
              <w:t xml:space="preserve">Par Pasaules Antidopinga aģentūras 2015.gada Pasaules Antidopinga kodeksa </w:t>
            </w:r>
            <w:r w:rsidRPr="00761B68">
              <w:rPr>
                <w:i/>
                <w:iCs/>
              </w:rPr>
              <w:lastRenderedPageBreak/>
              <w:t>pieņemšanu</w:t>
            </w:r>
            <w:r w:rsidRPr="00761B68">
              <w:rPr>
                <w:iCs/>
              </w:rPr>
              <w:t>”</w:t>
            </w:r>
            <w:r w:rsidR="007C3F2F" w:rsidRPr="00761B68">
              <w:rPr>
                <w:iCs/>
              </w:rPr>
              <w:t>, kas vienlaicīgi tiek virzīts saskaņošanai ar Ministru kabineta noteikumu projektu “</w:t>
            </w:r>
            <w:r w:rsidR="007C3F2F" w:rsidRPr="00761B68">
              <w:rPr>
                <w:i/>
                <w:iCs/>
              </w:rPr>
              <w:t>Nacionālie antidopinga noteikumi</w:t>
            </w:r>
            <w:r w:rsidR="007C3F2F" w:rsidRPr="00761B68">
              <w:rPr>
                <w:iCs/>
              </w:rPr>
              <w:t>”.</w:t>
            </w:r>
          </w:p>
          <w:p w14:paraId="792610D7" w14:textId="77777777" w:rsidR="001F506B" w:rsidRPr="00761B68" w:rsidRDefault="001F506B" w:rsidP="00562AC1">
            <w:pPr>
              <w:jc w:val="both"/>
            </w:pPr>
          </w:p>
          <w:p w14:paraId="3B35BAD0" w14:textId="77777777" w:rsidR="001F506B" w:rsidRPr="00761B68" w:rsidRDefault="001F506B" w:rsidP="001F506B">
            <w:pPr>
              <w:jc w:val="both"/>
              <w:rPr>
                <w:sz w:val="26"/>
                <w:szCs w:val="26"/>
              </w:rPr>
            </w:pPr>
            <w:r w:rsidRPr="00761B68">
              <w:rPr>
                <w:sz w:val="26"/>
                <w:szCs w:val="26"/>
              </w:rPr>
              <w:t xml:space="preserve">Noteikumu projekta anotācijas IV sadaļas 1.punkta redakcija: </w:t>
            </w:r>
          </w:p>
          <w:p w14:paraId="174C9083" w14:textId="77777777" w:rsidR="001F506B" w:rsidRPr="00761B68" w:rsidRDefault="001F506B" w:rsidP="001F506B">
            <w:pPr>
              <w:jc w:val="both"/>
              <w:rPr>
                <w:sz w:val="26"/>
                <w:szCs w:val="26"/>
              </w:rPr>
            </w:pPr>
            <w:r w:rsidRPr="00761B68">
              <w:rPr>
                <w:sz w:val="26"/>
                <w:szCs w:val="26"/>
              </w:rPr>
              <w:t>“</w:t>
            </w:r>
            <w:r w:rsidRPr="00761B68">
              <w:rPr>
                <w:iCs/>
              </w:rPr>
              <w:t>Noteikumu projektu izskatīt vienlaikus ar Ministru kabineta noteikumu projektu “Par Pasaules Antidopinga aģentūras 2015.gada Pasaules Antidopinga kodeksa pieņemšanu”.</w:t>
            </w:r>
            <w:r w:rsidRPr="00761B68">
              <w:rPr>
                <w:sz w:val="26"/>
                <w:szCs w:val="26"/>
              </w:rPr>
              <w:t>”</w:t>
            </w:r>
          </w:p>
          <w:p w14:paraId="20E124D5" w14:textId="0770457A" w:rsidR="001F506B" w:rsidRPr="00761B68" w:rsidRDefault="001F506B" w:rsidP="00562AC1">
            <w:pPr>
              <w:jc w:val="both"/>
            </w:pPr>
          </w:p>
        </w:tc>
      </w:tr>
      <w:tr w:rsidR="00761B68" w:rsidRPr="00761B68" w14:paraId="1624DD2B"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0160A882" w14:textId="21B40722" w:rsidR="0087361C" w:rsidRPr="00761B68" w:rsidRDefault="0087361C" w:rsidP="00321723">
            <w:pPr>
              <w:pStyle w:val="naisc"/>
              <w:spacing w:before="0" w:after="0"/>
              <w:ind w:firstLine="720"/>
            </w:pPr>
          </w:p>
          <w:p w14:paraId="12827913" w14:textId="326B7996" w:rsidR="0087361C" w:rsidRPr="00761B68" w:rsidRDefault="0087361C" w:rsidP="004E0C07">
            <w:pPr>
              <w:pStyle w:val="ListParagraph"/>
              <w:numPr>
                <w:ilvl w:val="0"/>
                <w:numId w:val="11"/>
              </w:numPr>
            </w:pPr>
          </w:p>
          <w:p w14:paraId="6024455C" w14:textId="72D3CE7C" w:rsidR="00562AC1" w:rsidRPr="00761B68" w:rsidRDefault="00562AC1" w:rsidP="0087361C"/>
        </w:tc>
        <w:tc>
          <w:tcPr>
            <w:tcW w:w="3086" w:type="dxa"/>
            <w:gridSpan w:val="2"/>
            <w:tcBorders>
              <w:left w:val="single" w:sz="6" w:space="0" w:color="000000"/>
              <w:bottom w:val="single" w:sz="4" w:space="0" w:color="auto"/>
              <w:right w:val="single" w:sz="6" w:space="0" w:color="000000"/>
            </w:tcBorders>
          </w:tcPr>
          <w:p w14:paraId="742D22EB" w14:textId="77777777" w:rsidR="00562AC1" w:rsidRPr="00761B68" w:rsidRDefault="00562AC1" w:rsidP="00321723">
            <w:pPr>
              <w:jc w:val="both"/>
              <w:rPr>
                <w:sz w:val="26"/>
                <w:szCs w:val="26"/>
              </w:rPr>
            </w:pPr>
            <w:r w:rsidRPr="00761B68">
              <w:rPr>
                <w:sz w:val="26"/>
                <w:szCs w:val="26"/>
              </w:rPr>
              <w:t>Noteikumu projekta 3.punkta punkta redakcija:</w:t>
            </w:r>
          </w:p>
          <w:p w14:paraId="02A18B36" w14:textId="77777777" w:rsidR="00562AC1" w:rsidRPr="00761B68" w:rsidRDefault="00562AC1" w:rsidP="00321723">
            <w:pPr>
              <w:jc w:val="both"/>
              <w:rPr>
                <w:sz w:val="26"/>
                <w:szCs w:val="26"/>
              </w:rPr>
            </w:pPr>
            <w:r w:rsidRPr="00761B68">
              <w:rPr>
                <w:sz w:val="26"/>
                <w:szCs w:val="26"/>
              </w:rPr>
              <w:t>“3.</w:t>
            </w:r>
            <w:r w:rsidRPr="00761B68">
              <w:rPr>
                <w:sz w:val="26"/>
                <w:szCs w:val="26"/>
              </w:rPr>
              <w:tab/>
              <w:t>Dopinga definīcija ir noteikta Kodeksa 1.pantā.”</w:t>
            </w:r>
          </w:p>
          <w:p w14:paraId="0A663C9C" w14:textId="77777777" w:rsidR="00562AC1" w:rsidRPr="00761B68" w:rsidRDefault="00562AC1" w:rsidP="00321723">
            <w:pPr>
              <w:jc w:val="both"/>
              <w:rPr>
                <w:sz w:val="26"/>
                <w:szCs w:val="26"/>
              </w:rPr>
            </w:pPr>
          </w:p>
          <w:p w14:paraId="0F2FE3AD" w14:textId="77777777" w:rsidR="00562AC1" w:rsidRPr="00761B68" w:rsidRDefault="00562AC1" w:rsidP="00321723">
            <w:pPr>
              <w:jc w:val="both"/>
              <w:rPr>
                <w:sz w:val="26"/>
                <w:szCs w:val="26"/>
              </w:rPr>
            </w:pPr>
            <w:r w:rsidRPr="00761B68">
              <w:rPr>
                <w:sz w:val="26"/>
                <w:szCs w:val="26"/>
              </w:rPr>
              <w:t>Noteikumu projekta 6.punkta redakcija:</w:t>
            </w:r>
          </w:p>
          <w:p w14:paraId="3B3E1464" w14:textId="77777777" w:rsidR="00562AC1" w:rsidRPr="00761B68" w:rsidRDefault="00562AC1" w:rsidP="00321723">
            <w:pPr>
              <w:jc w:val="both"/>
              <w:rPr>
                <w:sz w:val="26"/>
                <w:szCs w:val="26"/>
              </w:rPr>
            </w:pPr>
            <w:r w:rsidRPr="00761B68">
              <w:rPr>
                <w:sz w:val="26"/>
                <w:szCs w:val="26"/>
              </w:rPr>
              <w:t>“6.</w:t>
            </w:r>
            <w:r w:rsidRPr="00761B68">
              <w:rPr>
                <w:sz w:val="26"/>
                <w:szCs w:val="26"/>
              </w:rPr>
              <w:tab/>
              <w:t>Antidopinga noteikumu pārkāpumi ir noteikti Kodeksa 2. pantā.”</w:t>
            </w:r>
          </w:p>
        </w:tc>
        <w:tc>
          <w:tcPr>
            <w:tcW w:w="4111" w:type="dxa"/>
            <w:tcBorders>
              <w:left w:val="single" w:sz="6" w:space="0" w:color="000000"/>
              <w:bottom w:val="single" w:sz="4" w:space="0" w:color="auto"/>
              <w:right w:val="single" w:sz="6" w:space="0" w:color="000000"/>
            </w:tcBorders>
          </w:tcPr>
          <w:p w14:paraId="57A125E4" w14:textId="77777777" w:rsidR="00562AC1" w:rsidRPr="00761B68" w:rsidRDefault="00562AC1" w:rsidP="00321723">
            <w:pPr>
              <w:pStyle w:val="naisc"/>
              <w:spacing w:before="0" w:after="0"/>
              <w:jc w:val="both"/>
            </w:pPr>
            <w:r w:rsidRPr="00761B68">
              <w:t>Lūdzam apvienot projekta 3. un 6. punktu, jo tajā faktiski ietvertas atsauces uz vienu un to pašu Kodeksa regulējumu.</w:t>
            </w:r>
          </w:p>
        </w:tc>
        <w:tc>
          <w:tcPr>
            <w:tcW w:w="3827" w:type="dxa"/>
            <w:gridSpan w:val="2"/>
            <w:tcBorders>
              <w:left w:val="single" w:sz="6" w:space="0" w:color="000000"/>
              <w:bottom w:val="single" w:sz="4" w:space="0" w:color="auto"/>
              <w:right w:val="single" w:sz="6" w:space="0" w:color="000000"/>
            </w:tcBorders>
          </w:tcPr>
          <w:p w14:paraId="5C379104" w14:textId="77777777" w:rsidR="00562AC1" w:rsidRPr="00761B68" w:rsidRDefault="00562AC1" w:rsidP="00321723">
            <w:pPr>
              <w:pStyle w:val="naisc"/>
              <w:spacing w:before="0" w:after="0"/>
              <w:ind w:firstLine="720"/>
              <w:rPr>
                <w:b/>
              </w:rPr>
            </w:pPr>
            <w:r w:rsidRPr="00761B68">
              <w:rPr>
                <w:b/>
              </w:rPr>
              <w:t>Ņemts vērā</w:t>
            </w:r>
          </w:p>
          <w:p w14:paraId="5AC32396" w14:textId="77777777" w:rsidR="00562AC1" w:rsidRPr="00761B68" w:rsidRDefault="00562AC1" w:rsidP="00321723">
            <w:pPr>
              <w:pStyle w:val="naisc"/>
              <w:spacing w:before="0" w:after="0"/>
              <w:ind w:firstLine="720"/>
              <w:rPr>
                <w:b/>
              </w:rPr>
            </w:pPr>
          </w:p>
          <w:p w14:paraId="0B39293B" w14:textId="219A41D1" w:rsidR="00562AC1" w:rsidRPr="00761B68" w:rsidRDefault="00562AC1" w:rsidP="00562AC1">
            <w:pPr>
              <w:pStyle w:val="naisc"/>
              <w:spacing w:before="0" w:after="0"/>
              <w:jc w:val="both"/>
            </w:pPr>
            <w:r w:rsidRPr="00761B68">
              <w:t xml:space="preserve">Noteikumu projekta 3. un 6.punkts tika apvienots, izsakot jaunā redakcijā noteikumu projekta </w:t>
            </w:r>
            <w:r w:rsidR="007C3F2F" w:rsidRPr="00761B68">
              <w:t>3</w:t>
            </w:r>
            <w:r w:rsidRPr="00761B68">
              <w:t>.punktā.</w:t>
            </w:r>
          </w:p>
        </w:tc>
        <w:tc>
          <w:tcPr>
            <w:tcW w:w="3260" w:type="dxa"/>
            <w:tcBorders>
              <w:top w:val="single" w:sz="4" w:space="0" w:color="auto"/>
              <w:left w:val="single" w:sz="4" w:space="0" w:color="auto"/>
              <w:bottom w:val="single" w:sz="4" w:space="0" w:color="auto"/>
            </w:tcBorders>
          </w:tcPr>
          <w:p w14:paraId="2AEF79F4" w14:textId="4B43E824" w:rsidR="00562AC1" w:rsidRPr="00761B68" w:rsidRDefault="00562AC1" w:rsidP="00562AC1">
            <w:pPr>
              <w:jc w:val="both"/>
            </w:pPr>
            <w:r w:rsidRPr="00761B68">
              <w:t>Noteikumu projekta 3.punkt</w:t>
            </w:r>
            <w:r w:rsidR="009E68E9" w:rsidRPr="00761B68">
              <w:t>a redakcija</w:t>
            </w:r>
            <w:r w:rsidRPr="00761B68">
              <w:t xml:space="preserve">: </w:t>
            </w:r>
          </w:p>
          <w:p w14:paraId="40263DFD" w14:textId="77777777" w:rsidR="00562AC1" w:rsidRPr="00761B68" w:rsidRDefault="00562AC1" w:rsidP="00562AC1">
            <w:pPr>
              <w:jc w:val="both"/>
            </w:pPr>
            <w:r w:rsidRPr="00761B68">
              <w:t>“3.</w:t>
            </w:r>
            <w:r w:rsidRPr="00761B68">
              <w:tab/>
              <w:t>Dopinga definīcija ir noteikta Kodeksa 1.pantā, un antidopinga noteikumu pārkāpumi ir noteikti Kodeksa 2. pantā.”</w:t>
            </w:r>
          </w:p>
        </w:tc>
      </w:tr>
      <w:tr w:rsidR="00761B68" w:rsidRPr="00761B68" w14:paraId="464AF33A"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1F456E53" w14:textId="274CF569" w:rsidR="00C1277F" w:rsidRPr="00761B68" w:rsidRDefault="00C1277F" w:rsidP="00C1277F">
            <w:pPr>
              <w:pStyle w:val="naisc"/>
              <w:spacing w:before="0" w:after="0"/>
              <w:ind w:firstLine="720"/>
            </w:pPr>
          </w:p>
          <w:p w14:paraId="74686AA7" w14:textId="77777777" w:rsidR="00C1277F" w:rsidRPr="00761B68" w:rsidRDefault="00C1277F" w:rsidP="004E0C07">
            <w:pPr>
              <w:pStyle w:val="ListParagraph"/>
              <w:numPr>
                <w:ilvl w:val="0"/>
                <w:numId w:val="11"/>
              </w:numPr>
            </w:pPr>
          </w:p>
          <w:p w14:paraId="2CCC9F75" w14:textId="77777777" w:rsidR="00C1277F" w:rsidRPr="00761B68" w:rsidRDefault="00C1277F" w:rsidP="00C1277F"/>
          <w:p w14:paraId="4E6F7783" w14:textId="410E0799" w:rsidR="00C1277F" w:rsidRPr="00761B68" w:rsidRDefault="00C1277F" w:rsidP="00C1277F"/>
          <w:p w14:paraId="524645FB" w14:textId="36CD08B5" w:rsidR="00C1277F" w:rsidRPr="00761B68" w:rsidRDefault="00C1277F" w:rsidP="00C1277F"/>
        </w:tc>
        <w:tc>
          <w:tcPr>
            <w:tcW w:w="3086" w:type="dxa"/>
            <w:gridSpan w:val="2"/>
            <w:tcBorders>
              <w:left w:val="single" w:sz="6" w:space="0" w:color="000000"/>
              <w:bottom w:val="single" w:sz="4" w:space="0" w:color="auto"/>
              <w:right w:val="single" w:sz="6" w:space="0" w:color="000000"/>
            </w:tcBorders>
          </w:tcPr>
          <w:p w14:paraId="45A6265E" w14:textId="77777777" w:rsidR="00C1277F" w:rsidRPr="00761B68" w:rsidRDefault="00C1277F" w:rsidP="00C1277F">
            <w:pPr>
              <w:jc w:val="both"/>
              <w:rPr>
                <w:sz w:val="26"/>
                <w:szCs w:val="26"/>
              </w:rPr>
            </w:pPr>
            <w:r w:rsidRPr="00761B68">
              <w:rPr>
                <w:sz w:val="26"/>
                <w:szCs w:val="26"/>
              </w:rPr>
              <w:t>Noteikumu projekta 8.2. apakšpunkta redakcija:</w:t>
            </w:r>
          </w:p>
          <w:p w14:paraId="121AB12E" w14:textId="77777777" w:rsidR="00C1277F" w:rsidRPr="00761B68" w:rsidRDefault="00C1277F" w:rsidP="00C1277F">
            <w:pPr>
              <w:jc w:val="both"/>
              <w:rPr>
                <w:sz w:val="26"/>
                <w:szCs w:val="26"/>
              </w:rPr>
            </w:pPr>
            <w:r w:rsidRPr="00761B68">
              <w:rPr>
                <w:sz w:val="26"/>
                <w:szCs w:val="26"/>
              </w:rPr>
              <w:t>“8.2.</w:t>
            </w:r>
            <w:r w:rsidRPr="00761B68">
              <w:rPr>
                <w:sz w:val="26"/>
                <w:szCs w:val="26"/>
              </w:rPr>
              <w:tab/>
              <w:t xml:space="preserve">citas personas – dopinga kontrolieru asistenti, citu valstu antidopinga organizācijas, starptautiskās federācijas, lielu sporta pasākumu </w:t>
            </w:r>
            <w:proofErr w:type="spellStart"/>
            <w:r w:rsidRPr="00761B68">
              <w:rPr>
                <w:sz w:val="26"/>
                <w:szCs w:val="26"/>
              </w:rPr>
              <w:t>rīkotājorganizācijas</w:t>
            </w:r>
            <w:proofErr w:type="spellEnd"/>
            <w:r w:rsidRPr="00761B68">
              <w:rPr>
                <w:sz w:val="26"/>
                <w:szCs w:val="26"/>
              </w:rPr>
              <w:t>, Pasaules Antidopinga aģentūra vai neatkarīgas starptautiskās dopinga kontroles institūcijas atbilstoši līgumam, kas ir noslēgts ar Biroju.”</w:t>
            </w:r>
          </w:p>
        </w:tc>
        <w:tc>
          <w:tcPr>
            <w:tcW w:w="4111" w:type="dxa"/>
            <w:tcBorders>
              <w:left w:val="single" w:sz="6" w:space="0" w:color="000000"/>
              <w:bottom w:val="single" w:sz="4" w:space="0" w:color="auto"/>
              <w:right w:val="single" w:sz="6" w:space="0" w:color="000000"/>
            </w:tcBorders>
          </w:tcPr>
          <w:p w14:paraId="250BDAB3" w14:textId="77777777" w:rsidR="00C1277F" w:rsidRPr="00761B68" w:rsidRDefault="00C1277F" w:rsidP="00C1277F">
            <w:pPr>
              <w:pStyle w:val="naisc"/>
              <w:spacing w:before="0" w:after="0"/>
              <w:jc w:val="both"/>
            </w:pPr>
            <w:r w:rsidRPr="00761B68">
              <w:t>Nav saprotams, kas uzskatāms par lielu sporta pasākumu projekta 8.2. apakšpunktā. Ievērojot minēto, lūdzam projektu papildināt ar konkrētiem kritērijiem, lai būtu iespējams identificēt lielu sporta pasākumu.</w:t>
            </w:r>
          </w:p>
        </w:tc>
        <w:tc>
          <w:tcPr>
            <w:tcW w:w="3827" w:type="dxa"/>
            <w:gridSpan w:val="2"/>
            <w:tcBorders>
              <w:left w:val="single" w:sz="6" w:space="0" w:color="000000"/>
              <w:bottom w:val="single" w:sz="4" w:space="0" w:color="auto"/>
              <w:right w:val="single" w:sz="6" w:space="0" w:color="000000"/>
            </w:tcBorders>
          </w:tcPr>
          <w:p w14:paraId="0CEF2E79" w14:textId="77777777" w:rsidR="00C1277F" w:rsidRPr="00761B68" w:rsidRDefault="00C1277F" w:rsidP="00C1277F">
            <w:pPr>
              <w:pStyle w:val="naisc"/>
              <w:spacing w:before="0" w:after="0"/>
              <w:ind w:firstLine="720"/>
              <w:rPr>
                <w:b/>
              </w:rPr>
            </w:pPr>
            <w:r w:rsidRPr="00761B68">
              <w:rPr>
                <w:b/>
              </w:rPr>
              <w:t>Ņemts vērā</w:t>
            </w:r>
          </w:p>
          <w:p w14:paraId="52D1C637" w14:textId="796AB002" w:rsidR="00C1277F" w:rsidRPr="00761B68" w:rsidRDefault="00C1277F" w:rsidP="00C1277F">
            <w:pPr>
              <w:pStyle w:val="naisc"/>
              <w:spacing w:before="0" w:after="0"/>
              <w:ind w:firstLine="720"/>
              <w:rPr>
                <w:b/>
              </w:rPr>
            </w:pPr>
          </w:p>
          <w:p w14:paraId="25E5B649" w14:textId="0BF75234" w:rsidR="00C1277F" w:rsidRPr="00761B68" w:rsidRDefault="00C1277F" w:rsidP="00C1277F">
            <w:pPr>
              <w:pStyle w:val="naisc"/>
              <w:spacing w:before="0" w:after="0"/>
              <w:jc w:val="both"/>
            </w:pPr>
            <w:r w:rsidRPr="00761B68">
              <w:t>Papildināt</w:t>
            </w:r>
            <w:r w:rsidR="00C27592" w:rsidRPr="00761B68">
              <w:t>s</w:t>
            </w:r>
            <w:r w:rsidRPr="00761B68">
              <w:t xml:space="preserve"> noteikumu projekta anotācijas I sadaļas 2.punkts ar </w:t>
            </w:r>
            <w:proofErr w:type="spellStart"/>
            <w:r w:rsidRPr="00761B68">
              <w:t>rīkotājorganizāciju</w:t>
            </w:r>
            <w:proofErr w:type="spellEnd"/>
            <w:r w:rsidRPr="00761B68">
              <w:t xml:space="preserve"> uzskatījumu, kas atbilstoši Pasaules Antidopinga kodeksa 1.pielikuma skaidrojumam tiek apzīmēts ar “lielu sporta pasākumu </w:t>
            </w:r>
            <w:proofErr w:type="spellStart"/>
            <w:r w:rsidRPr="00761B68">
              <w:t>rīkotājorganizāciju</w:t>
            </w:r>
            <w:proofErr w:type="spellEnd"/>
            <w:r w:rsidRPr="00761B68">
              <w:t xml:space="preserve">” - valstu olimpisko komiteju kontinentālās apvienības un citas starptautiskas vairāku sporta veidu organizācijas, kas rīko kontinentālus, reģionālus vai citus starptautiskus sporta pasākumus, </w:t>
            </w:r>
            <w:proofErr w:type="spellStart"/>
            <w:r w:rsidRPr="00761B68">
              <w:t>rīkotājorganizācijas</w:t>
            </w:r>
            <w:proofErr w:type="spellEnd"/>
            <w:r w:rsidR="001F506B" w:rsidRPr="00761B68">
              <w:t xml:space="preserve">. </w:t>
            </w:r>
          </w:p>
          <w:p w14:paraId="2A193D81" w14:textId="44A91A0D" w:rsidR="00AC7C2F" w:rsidRPr="00761B68" w:rsidRDefault="00AC7C2F" w:rsidP="00C1277F">
            <w:pPr>
              <w:pStyle w:val="naisc"/>
              <w:spacing w:before="0" w:after="0"/>
              <w:jc w:val="both"/>
            </w:pPr>
            <w:r w:rsidRPr="00761B68">
              <w:t>Ņemot vērā, ka vienlaikus ar šo noteikumu projektu tiek virzīts arī Ministru kabineta noteikumu projekta “</w:t>
            </w:r>
            <w:r w:rsidRPr="00761B68">
              <w:rPr>
                <w:i/>
                <w:iCs/>
              </w:rPr>
              <w:t>Par Pasaules Antidopinga aģentūras 2015.gada Pasaules Antidopinga kodeksa pieņemšanu</w:t>
            </w:r>
            <w:r w:rsidRPr="00761B68">
              <w:rPr>
                <w:iCs/>
              </w:rPr>
              <w:t xml:space="preserve">”, </w:t>
            </w:r>
            <w:r w:rsidRPr="00761B68">
              <w:rPr>
                <w:iCs/>
              </w:rPr>
              <w:lastRenderedPageBreak/>
              <w:t>kur ir sniegts skaidrojums, Veselības ministrijas ieskatā nav nepieciešams to vēlreiz pārrakstīt šajā noteikumu projektā.</w:t>
            </w:r>
          </w:p>
          <w:p w14:paraId="54AE06DE" w14:textId="788ED613" w:rsidR="006C6790" w:rsidRPr="00761B68" w:rsidRDefault="006C6790" w:rsidP="00C1277F">
            <w:pPr>
              <w:pStyle w:val="naisc"/>
              <w:spacing w:before="0" w:after="0"/>
              <w:jc w:val="both"/>
            </w:pPr>
          </w:p>
        </w:tc>
        <w:tc>
          <w:tcPr>
            <w:tcW w:w="3260" w:type="dxa"/>
            <w:tcBorders>
              <w:top w:val="single" w:sz="4" w:space="0" w:color="auto"/>
              <w:left w:val="single" w:sz="4" w:space="0" w:color="auto"/>
              <w:bottom w:val="single" w:sz="4" w:space="0" w:color="auto"/>
            </w:tcBorders>
          </w:tcPr>
          <w:p w14:paraId="2935474E" w14:textId="67C7AD91" w:rsidR="00C1277F" w:rsidRPr="00761B68" w:rsidRDefault="00C1277F" w:rsidP="00C1277F">
            <w:pPr>
              <w:jc w:val="both"/>
            </w:pPr>
            <w:r w:rsidRPr="00761B68">
              <w:lastRenderedPageBreak/>
              <w:t>Papildināt</w:t>
            </w:r>
            <w:r w:rsidR="001F506B" w:rsidRPr="00761B68">
              <w:t>s</w:t>
            </w:r>
            <w:r w:rsidRPr="00761B68">
              <w:t xml:space="preserve"> noteikumu projekta anotācijas I sadaļas 2.punkts.</w:t>
            </w:r>
          </w:p>
          <w:p w14:paraId="769EC57C" w14:textId="77777777" w:rsidR="00C1277F" w:rsidRPr="00761B68" w:rsidRDefault="00C1277F" w:rsidP="00C1277F">
            <w:pPr>
              <w:jc w:val="both"/>
            </w:pPr>
          </w:p>
          <w:p w14:paraId="7A3A6F64" w14:textId="39384E2A" w:rsidR="00C1277F" w:rsidRPr="00761B68" w:rsidRDefault="00C1277F" w:rsidP="00C1277F">
            <w:pPr>
              <w:jc w:val="both"/>
            </w:pPr>
            <w:r w:rsidRPr="00761B68">
              <w:t xml:space="preserve">Noteikumu projekta </w:t>
            </w:r>
            <w:r w:rsidR="004E6C48" w:rsidRPr="00761B68">
              <w:t>7</w:t>
            </w:r>
            <w:r w:rsidRPr="00761B68">
              <w:t>.2. apakšpunkta redakcija:</w:t>
            </w:r>
          </w:p>
          <w:p w14:paraId="334A5927" w14:textId="77BEB1BA" w:rsidR="00C1277F" w:rsidRPr="00761B68" w:rsidRDefault="00C1277F" w:rsidP="00C1277F">
            <w:pPr>
              <w:jc w:val="both"/>
            </w:pPr>
            <w:r w:rsidRPr="00761B68">
              <w:t>“</w:t>
            </w:r>
            <w:r w:rsidR="004E6C48" w:rsidRPr="00761B68">
              <w:t>7</w:t>
            </w:r>
            <w:r w:rsidRPr="00761B68">
              <w:t>.2.</w:t>
            </w:r>
            <w:r w:rsidRPr="00761B68">
              <w:tab/>
              <w:t xml:space="preserve">citas personas – dopinga kontrolieru asistenti, citu valstu antidopinga organizācijas, starptautiskās federācijas, lielu sporta pasākumu </w:t>
            </w:r>
            <w:proofErr w:type="spellStart"/>
            <w:r w:rsidRPr="00761B68">
              <w:t>rīkotājorganizācijas</w:t>
            </w:r>
            <w:proofErr w:type="spellEnd"/>
            <w:r w:rsidRPr="00761B68">
              <w:t>, Pasaules Antidopinga aģentūra vai neatkarīgas starptautiskās dopinga kontroles institūcijas atbilstoši līgumam, kas ir noslēgts ar Biroju.”</w:t>
            </w:r>
          </w:p>
        </w:tc>
      </w:tr>
      <w:tr w:rsidR="00761B68" w:rsidRPr="00761B68" w14:paraId="196DB38D"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4461CB8A" w14:textId="72D055D1" w:rsidR="00C1277F" w:rsidRPr="00761B68" w:rsidRDefault="00C1277F" w:rsidP="00C1277F">
            <w:pPr>
              <w:pStyle w:val="naisc"/>
              <w:spacing w:before="0" w:after="0"/>
              <w:ind w:firstLine="720"/>
            </w:pPr>
          </w:p>
          <w:p w14:paraId="1A5F7A49" w14:textId="77777777" w:rsidR="00C1277F" w:rsidRPr="00761B68" w:rsidRDefault="00C1277F" w:rsidP="00C1277F"/>
          <w:p w14:paraId="54F18A3C" w14:textId="1495182C" w:rsidR="00C1277F" w:rsidRPr="00761B68" w:rsidRDefault="00C1277F" w:rsidP="00CC5F52">
            <w:pPr>
              <w:pStyle w:val="ListParagraph"/>
              <w:numPr>
                <w:ilvl w:val="0"/>
                <w:numId w:val="11"/>
              </w:numPr>
            </w:pPr>
          </w:p>
        </w:tc>
        <w:tc>
          <w:tcPr>
            <w:tcW w:w="3086" w:type="dxa"/>
            <w:gridSpan w:val="2"/>
            <w:tcBorders>
              <w:left w:val="single" w:sz="6" w:space="0" w:color="000000"/>
              <w:bottom w:val="single" w:sz="4" w:space="0" w:color="auto"/>
              <w:right w:val="single" w:sz="6" w:space="0" w:color="000000"/>
            </w:tcBorders>
          </w:tcPr>
          <w:p w14:paraId="76CA544E" w14:textId="77777777" w:rsidR="00C1277F" w:rsidRPr="00761B68" w:rsidRDefault="00C1277F" w:rsidP="00C1277F">
            <w:pPr>
              <w:jc w:val="both"/>
              <w:rPr>
                <w:sz w:val="26"/>
                <w:szCs w:val="26"/>
              </w:rPr>
            </w:pPr>
            <w:r w:rsidRPr="00761B68">
              <w:rPr>
                <w:sz w:val="26"/>
                <w:szCs w:val="26"/>
              </w:rPr>
              <w:t xml:space="preserve">Noteikumu projekta 9.punkta redakcija: </w:t>
            </w:r>
          </w:p>
          <w:p w14:paraId="4B11391C" w14:textId="77777777" w:rsidR="00C1277F" w:rsidRPr="00761B68" w:rsidRDefault="00C1277F" w:rsidP="00C1277F">
            <w:pPr>
              <w:jc w:val="both"/>
              <w:rPr>
                <w:sz w:val="26"/>
                <w:szCs w:val="26"/>
              </w:rPr>
            </w:pPr>
            <w:r w:rsidRPr="00761B68">
              <w:rPr>
                <w:sz w:val="26"/>
                <w:szCs w:val="26"/>
              </w:rPr>
              <w:t>“9.</w:t>
            </w:r>
            <w:r w:rsidRPr="00761B68">
              <w:rPr>
                <w:sz w:val="26"/>
                <w:szCs w:val="26"/>
              </w:rPr>
              <w:tab/>
              <w:t>Dopinga kontrolieris uzrāda Biroja izsniegtu pilnvaru un nodod sportistam uzaicinājumu veikt dopinga kontroles parauga nodošanu, par ko sportists parakstās, uzrādot personu apliecinošu dokumentu.”</w:t>
            </w:r>
          </w:p>
        </w:tc>
        <w:tc>
          <w:tcPr>
            <w:tcW w:w="4111" w:type="dxa"/>
            <w:tcBorders>
              <w:left w:val="single" w:sz="6" w:space="0" w:color="000000"/>
              <w:bottom w:val="single" w:sz="4" w:space="0" w:color="auto"/>
              <w:right w:val="single" w:sz="6" w:space="0" w:color="000000"/>
            </w:tcBorders>
          </w:tcPr>
          <w:p w14:paraId="6EC8BBEA" w14:textId="77777777" w:rsidR="00C1277F" w:rsidRPr="00761B68" w:rsidRDefault="00C1277F" w:rsidP="00C1277F">
            <w:pPr>
              <w:pStyle w:val="naisc"/>
              <w:spacing w:before="0" w:after="0"/>
              <w:jc w:val="both"/>
            </w:pPr>
            <w:r w:rsidRPr="00761B68">
              <w:t xml:space="preserve">Projekta 9. punktā lūdzam </w:t>
            </w:r>
            <w:bookmarkStart w:id="1" w:name="_Hlk11231719"/>
            <w:r w:rsidRPr="00761B68">
              <w:t>precizēt laika posmu, kurā jāveic dopinga kontroles parauga nodošanu, tādējādi nodrošinot skaidru tiesību normu.</w:t>
            </w:r>
            <w:bookmarkEnd w:id="1"/>
          </w:p>
        </w:tc>
        <w:tc>
          <w:tcPr>
            <w:tcW w:w="3827" w:type="dxa"/>
            <w:gridSpan w:val="2"/>
            <w:tcBorders>
              <w:left w:val="single" w:sz="6" w:space="0" w:color="000000"/>
              <w:bottom w:val="single" w:sz="4" w:space="0" w:color="auto"/>
              <w:right w:val="single" w:sz="6" w:space="0" w:color="000000"/>
            </w:tcBorders>
          </w:tcPr>
          <w:p w14:paraId="25DDEA8F" w14:textId="77777777" w:rsidR="00C1277F" w:rsidRPr="00761B68" w:rsidRDefault="00C1277F" w:rsidP="00C1277F">
            <w:pPr>
              <w:pStyle w:val="naisc"/>
              <w:spacing w:before="0" w:after="0"/>
              <w:ind w:firstLine="720"/>
              <w:rPr>
                <w:b/>
              </w:rPr>
            </w:pPr>
            <w:r w:rsidRPr="00761B68">
              <w:rPr>
                <w:b/>
              </w:rPr>
              <w:t>Ņemts vērā</w:t>
            </w:r>
          </w:p>
          <w:p w14:paraId="4D7C2ED0" w14:textId="77777777" w:rsidR="00C1277F" w:rsidRPr="00761B68" w:rsidRDefault="00C1277F" w:rsidP="00C1277F">
            <w:pPr>
              <w:pStyle w:val="naisc"/>
              <w:spacing w:before="0" w:after="0"/>
              <w:ind w:firstLine="720"/>
            </w:pPr>
          </w:p>
          <w:p w14:paraId="34ACC4C8" w14:textId="24C3D4B4" w:rsidR="00C1277F" w:rsidRPr="00761B68" w:rsidRDefault="00C1277F" w:rsidP="00C1277F">
            <w:pPr>
              <w:pStyle w:val="naisc"/>
              <w:spacing w:before="0" w:after="0"/>
              <w:jc w:val="both"/>
            </w:pPr>
            <w:r w:rsidRPr="00761B68">
              <w:t>Papildināts anotācijas I sadaļas 2.punkts</w:t>
            </w:r>
            <w:r w:rsidR="00AC7C2F" w:rsidRPr="00761B68">
              <w:t xml:space="preserve">. </w:t>
            </w:r>
            <w:r w:rsidRPr="00761B68">
              <w:t>Precīzs dopinga kontroles parauga nodošanas pieļaujamais laika posms starptautiskajos dokumentos nav noteikts, jo šajā gadījumā svarīgākais ir atbilstoša parauga</w:t>
            </w:r>
            <w:r w:rsidR="006C6790" w:rsidRPr="00761B68">
              <w:t xml:space="preserve">, </w:t>
            </w:r>
            <w:r w:rsidRPr="00761B68">
              <w:t xml:space="preserve">kas atbilst prasībām, </w:t>
            </w:r>
            <w:r w:rsidR="006C6790" w:rsidRPr="00761B68">
              <w:t xml:space="preserve">nodošana, </w:t>
            </w:r>
            <w:r w:rsidRPr="00761B68">
              <w:t xml:space="preserve">piemēram, noteikta tilpuma un/vai relatīvā blīvuma rādītājam. Tādējādi parasti analīžu veikšana tiek turpināta līdz tiek iegūts atbilstošs paraugs. Papildus ir noteikti izņēmuma gadījumi, kad ir iespējams pārtraukt analīžu ievākšanu noteiktu apstākļu dēļ. </w:t>
            </w:r>
          </w:p>
          <w:p w14:paraId="7288C5A9" w14:textId="22BBBBCD" w:rsidR="00C1277F" w:rsidRPr="00761B68" w:rsidRDefault="001C60A5" w:rsidP="001C60A5">
            <w:pPr>
              <w:pStyle w:val="naisc"/>
              <w:spacing w:before="0" w:after="0"/>
              <w:jc w:val="both"/>
            </w:pPr>
            <w:r w:rsidRPr="00761B68">
              <w:t xml:space="preserve">Vienlaikus dopinga kontroles parasti notiek sportista norādītajā atrašanās vietā un laikā, ko Latvijas Antidopinga birojs apkopo </w:t>
            </w:r>
            <w:r w:rsidR="0038077B" w:rsidRPr="00761B68">
              <w:t>pārbaudāmo sportistu reģistrā,</w:t>
            </w:r>
            <w:r w:rsidRPr="00761B68">
              <w:t xml:space="preserve"> vai sacensību laikā, kontrolierim uzrunājot sportistu. Dopinga kontroles notiek uzreiz pēc dopinga kontroliera uzaicinājuma.</w:t>
            </w:r>
          </w:p>
          <w:p w14:paraId="301CCA9D" w14:textId="33703407" w:rsidR="001C60A5" w:rsidRPr="00761B68" w:rsidRDefault="001C60A5" w:rsidP="001C60A5">
            <w:pPr>
              <w:pStyle w:val="naisc"/>
              <w:spacing w:before="0" w:after="0"/>
              <w:jc w:val="both"/>
            </w:pPr>
          </w:p>
        </w:tc>
        <w:tc>
          <w:tcPr>
            <w:tcW w:w="3260" w:type="dxa"/>
            <w:tcBorders>
              <w:top w:val="single" w:sz="4" w:space="0" w:color="auto"/>
              <w:left w:val="single" w:sz="4" w:space="0" w:color="auto"/>
              <w:bottom w:val="single" w:sz="4" w:space="0" w:color="auto"/>
            </w:tcBorders>
          </w:tcPr>
          <w:p w14:paraId="5B95B5D6" w14:textId="0086AC2A" w:rsidR="00C1277F" w:rsidRPr="00761B68" w:rsidRDefault="00C1277F" w:rsidP="00C1277F">
            <w:pPr>
              <w:jc w:val="both"/>
            </w:pPr>
            <w:r w:rsidRPr="00761B68">
              <w:t xml:space="preserve">Papildināts anotācijas I sadaļas 2.punkts. </w:t>
            </w:r>
          </w:p>
        </w:tc>
      </w:tr>
      <w:tr w:rsidR="00761B68" w:rsidRPr="00761B68" w14:paraId="6D9DCD1E"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208DF5C7" w14:textId="2B99A779" w:rsidR="00C1277F" w:rsidRPr="00761B68" w:rsidRDefault="00C1277F" w:rsidP="004E0C07">
            <w:pPr>
              <w:pStyle w:val="naisc"/>
              <w:numPr>
                <w:ilvl w:val="0"/>
                <w:numId w:val="11"/>
              </w:numPr>
              <w:spacing w:before="0" w:after="0"/>
            </w:pPr>
          </w:p>
          <w:p w14:paraId="661FA735" w14:textId="77777777" w:rsidR="00C1277F" w:rsidRPr="00761B68" w:rsidRDefault="00C1277F" w:rsidP="00C1277F"/>
          <w:p w14:paraId="40BA9A5C" w14:textId="0ABBEA7E" w:rsidR="00CC5F52" w:rsidRPr="00761B68" w:rsidRDefault="00CC5F52" w:rsidP="00C1277F"/>
        </w:tc>
        <w:tc>
          <w:tcPr>
            <w:tcW w:w="3086" w:type="dxa"/>
            <w:gridSpan w:val="2"/>
            <w:tcBorders>
              <w:left w:val="single" w:sz="6" w:space="0" w:color="000000"/>
              <w:bottom w:val="single" w:sz="4" w:space="0" w:color="auto"/>
              <w:right w:val="single" w:sz="6" w:space="0" w:color="000000"/>
            </w:tcBorders>
          </w:tcPr>
          <w:p w14:paraId="011A86B3" w14:textId="77777777" w:rsidR="00C1277F" w:rsidRPr="00761B68" w:rsidRDefault="00C1277F" w:rsidP="00C1277F">
            <w:pPr>
              <w:jc w:val="both"/>
              <w:rPr>
                <w:sz w:val="26"/>
                <w:szCs w:val="26"/>
              </w:rPr>
            </w:pPr>
            <w:r w:rsidRPr="00761B68">
              <w:rPr>
                <w:sz w:val="26"/>
                <w:szCs w:val="26"/>
              </w:rPr>
              <w:t>Noteikumu projekta 12.punkta redakcija:</w:t>
            </w:r>
          </w:p>
          <w:p w14:paraId="71AE255D" w14:textId="77777777" w:rsidR="00C1277F" w:rsidRPr="00761B68" w:rsidRDefault="00C1277F" w:rsidP="00C1277F">
            <w:pPr>
              <w:jc w:val="both"/>
              <w:rPr>
                <w:sz w:val="26"/>
                <w:szCs w:val="26"/>
              </w:rPr>
            </w:pPr>
            <w:r w:rsidRPr="00761B68">
              <w:rPr>
                <w:sz w:val="26"/>
                <w:szCs w:val="26"/>
              </w:rPr>
              <w:t>“12.</w:t>
            </w:r>
            <w:r w:rsidRPr="00761B68">
              <w:rPr>
                <w:sz w:val="26"/>
                <w:szCs w:val="26"/>
              </w:rPr>
              <w:tab/>
              <w:t>Par nelabvēlīgiem dopinga kontroles analīžu rezultātiem Birojs trīs darba dienu laikā paziņo vienlaicīgi sportistam, sportista sporta organizācijai, valsts nacionālajai antidopinga organizācijai un Pasaules Antidopinga aģentūrai.”</w:t>
            </w:r>
          </w:p>
          <w:p w14:paraId="40DC64A9" w14:textId="77777777" w:rsidR="00C1277F" w:rsidRPr="00761B68" w:rsidRDefault="00C1277F" w:rsidP="00C1277F">
            <w:pPr>
              <w:jc w:val="both"/>
              <w:rPr>
                <w:sz w:val="26"/>
                <w:szCs w:val="26"/>
              </w:rPr>
            </w:pPr>
          </w:p>
          <w:p w14:paraId="620E80C8" w14:textId="77777777" w:rsidR="00C1277F" w:rsidRPr="00761B68" w:rsidRDefault="00C1277F" w:rsidP="00C1277F">
            <w:pPr>
              <w:jc w:val="both"/>
              <w:rPr>
                <w:sz w:val="26"/>
                <w:szCs w:val="26"/>
              </w:rPr>
            </w:pPr>
            <w:r w:rsidRPr="00761B68">
              <w:rPr>
                <w:sz w:val="26"/>
                <w:szCs w:val="26"/>
              </w:rPr>
              <w:t>Noteikumu projekta 14.punkta redakcija:</w:t>
            </w:r>
          </w:p>
          <w:p w14:paraId="616F6D3E" w14:textId="77777777" w:rsidR="00C1277F" w:rsidRPr="00761B68" w:rsidRDefault="00C1277F" w:rsidP="00C1277F">
            <w:pPr>
              <w:jc w:val="both"/>
              <w:rPr>
                <w:sz w:val="26"/>
                <w:szCs w:val="26"/>
              </w:rPr>
            </w:pPr>
            <w:r w:rsidRPr="00761B68">
              <w:rPr>
                <w:sz w:val="26"/>
                <w:szCs w:val="26"/>
              </w:rPr>
              <w:t>“14.</w:t>
            </w:r>
            <w:r w:rsidRPr="00761B68">
              <w:rPr>
                <w:sz w:val="26"/>
                <w:szCs w:val="26"/>
              </w:rPr>
              <w:tab/>
              <w:t>Par veikto pasākumu un izmeklēšanas rezultātiem saistībā ar netipisku dopinga kontroles atradi Birojs trīs darba dienu laikā paziņo vienlaicīgi sportistam, sportista sporta organizācijai, valsts antidopinga organizācijai un Pasaules Antidopinga aģentūrai.”</w:t>
            </w:r>
          </w:p>
        </w:tc>
        <w:tc>
          <w:tcPr>
            <w:tcW w:w="4111" w:type="dxa"/>
            <w:tcBorders>
              <w:left w:val="single" w:sz="6" w:space="0" w:color="000000"/>
              <w:bottom w:val="single" w:sz="4" w:space="0" w:color="auto"/>
              <w:right w:val="single" w:sz="6" w:space="0" w:color="000000"/>
            </w:tcBorders>
          </w:tcPr>
          <w:p w14:paraId="0ABED5A5" w14:textId="77777777" w:rsidR="00C1277F" w:rsidRPr="00761B68" w:rsidRDefault="00C1277F" w:rsidP="00C1277F">
            <w:pPr>
              <w:pStyle w:val="naisc"/>
              <w:spacing w:before="0" w:after="0"/>
              <w:jc w:val="both"/>
            </w:pPr>
            <w:r w:rsidRPr="00761B68">
              <w:t>Projekta 12. punktā lūdzam norādīt trīs dienu termiņa atskaites brīdi. Minētais attiecas arī uz projekta 14. punktu un līdzīgu regulējumu citviet projektā.</w:t>
            </w:r>
          </w:p>
        </w:tc>
        <w:tc>
          <w:tcPr>
            <w:tcW w:w="3827" w:type="dxa"/>
            <w:gridSpan w:val="2"/>
            <w:tcBorders>
              <w:left w:val="single" w:sz="6" w:space="0" w:color="000000"/>
              <w:bottom w:val="single" w:sz="4" w:space="0" w:color="auto"/>
              <w:right w:val="single" w:sz="6" w:space="0" w:color="000000"/>
            </w:tcBorders>
          </w:tcPr>
          <w:p w14:paraId="5616C08E" w14:textId="77777777" w:rsidR="00C1277F" w:rsidRPr="00761B68" w:rsidRDefault="00C1277F" w:rsidP="00C1277F">
            <w:pPr>
              <w:pStyle w:val="naisc"/>
              <w:spacing w:before="0" w:after="0"/>
              <w:ind w:firstLine="720"/>
              <w:rPr>
                <w:b/>
              </w:rPr>
            </w:pPr>
            <w:r w:rsidRPr="00761B68">
              <w:rPr>
                <w:b/>
              </w:rPr>
              <w:t>Ņemts vērā</w:t>
            </w:r>
          </w:p>
          <w:p w14:paraId="4CA57850" w14:textId="77777777" w:rsidR="00C1277F" w:rsidRPr="00761B68" w:rsidRDefault="00C1277F" w:rsidP="00C1277F">
            <w:pPr>
              <w:pStyle w:val="naisc"/>
              <w:spacing w:before="0" w:after="0"/>
              <w:jc w:val="both"/>
              <w:rPr>
                <w:b/>
              </w:rPr>
            </w:pPr>
          </w:p>
          <w:p w14:paraId="2C14181D" w14:textId="47395587" w:rsidR="00C1277F" w:rsidRPr="00761B68" w:rsidRDefault="00C1277F" w:rsidP="00C1277F">
            <w:pPr>
              <w:pStyle w:val="naisc"/>
              <w:spacing w:before="0" w:after="0"/>
              <w:jc w:val="both"/>
            </w:pPr>
            <w:r w:rsidRPr="00761B68">
              <w:t>Tika pārskatīt</w:t>
            </w:r>
            <w:r w:rsidR="006C6790" w:rsidRPr="00761B68">
              <w:t>s</w:t>
            </w:r>
            <w:r w:rsidRPr="00761B68">
              <w:t xml:space="preserve"> noteikumu projekts un 1</w:t>
            </w:r>
            <w:r w:rsidR="006C6790" w:rsidRPr="00761B68">
              <w:t>1</w:t>
            </w:r>
            <w:r w:rsidRPr="00761B68">
              <w:t>. un 1</w:t>
            </w:r>
            <w:r w:rsidR="006C6790" w:rsidRPr="00761B68">
              <w:t>3</w:t>
            </w:r>
            <w:r w:rsidRPr="00761B68">
              <w:t>.punktā, kā arī citos līdzīgos punktos veikti precizējumi, papildinot tos ar noteiktā termiņa atskaites brīdi.</w:t>
            </w:r>
          </w:p>
        </w:tc>
        <w:tc>
          <w:tcPr>
            <w:tcW w:w="3260" w:type="dxa"/>
            <w:tcBorders>
              <w:top w:val="single" w:sz="4" w:space="0" w:color="auto"/>
              <w:left w:val="single" w:sz="4" w:space="0" w:color="auto"/>
              <w:bottom w:val="single" w:sz="4" w:space="0" w:color="auto"/>
            </w:tcBorders>
          </w:tcPr>
          <w:p w14:paraId="19EDE62E" w14:textId="5E06B82F" w:rsidR="00C1277F" w:rsidRPr="00761B68" w:rsidRDefault="00C1277F" w:rsidP="00C1277F">
            <w:pPr>
              <w:jc w:val="both"/>
            </w:pPr>
            <w:r w:rsidRPr="00761B68">
              <w:t>Noteikumu projekta 1</w:t>
            </w:r>
            <w:r w:rsidR="004E6C48" w:rsidRPr="00761B68">
              <w:t>1</w:t>
            </w:r>
            <w:r w:rsidRPr="00761B68">
              <w:t>.punkta redakcija:</w:t>
            </w:r>
          </w:p>
          <w:p w14:paraId="56A43DCA" w14:textId="2F371A8C" w:rsidR="00C1277F" w:rsidRPr="00761B68" w:rsidRDefault="00C1277F" w:rsidP="00C1277F">
            <w:pPr>
              <w:jc w:val="both"/>
            </w:pPr>
            <w:r w:rsidRPr="00761B68">
              <w:t>“1</w:t>
            </w:r>
            <w:r w:rsidR="004E6C48" w:rsidRPr="00761B68">
              <w:t>1</w:t>
            </w:r>
            <w:r w:rsidRPr="00761B68">
              <w:t>. Par nelabvēlīgiem dopinga kontroles analīžu rezultātiem Birojs trīs darba dienu laikā no informācijas saņemšanas brīža paziņo vienlaicīgi sportistam, sportista sporta organizācijai, valsts nacionālajai antidopinga organizācijai un Pasaules Antidopinga aģentūrai.”</w:t>
            </w:r>
          </w:p>
          <w:p w14:paraId="75E3485E" w14:textId="77777777" w:rsidR="00C1277F" w:rsidRPr="00761B68" w:rsidRDefault="00C1277F" w:rsidP="00C1277F">
            <w:pPr>
              <w:jc w:val="both"/>
            </w:pPr>
          </w:p>
          <w:p w14:paraId="2B5C441F" w14:textId="7AE97A6E" w:rsidR="00C1277F" w:rsidRPr="00761B68" w:rsidRDefault="00C1277F" w:rsidP="00C1277F">
            <w:pPr>
              <w:jc w:val="both"/>
            </w:pPr>
            <w:r w:rsidRPr="00761B68">
              <w:t>Noteikumu projekta 1</w:t>
            </w:r>
            <w:r w:rsidR="004E6C48" w:rsidRPr="00761B68">
              <w:t>3</w:t>
            </w:r>
            <w:r w:rsidRPr="00761B68">
              <w:t>.punkta redakcija:</w:t>
            </w:r>
          </w:p>
          <w:p w14:paraId="0DAE2A6A" w14:textId="1EA4BDA3" w:rsidR="00C1277F" w:rsidRPr="00761B68" w:rsidRDefault="00C1277F" w:rsidP="00C1277F">
            <w:pPr>
              <w:jc w:val="both"/>
            </w:pPr>
            <w:r w:rsidRPr="00761B68">
              <w:t>“1</w:t>
            </w:r>
            <w:r w:rsidR="004E6C48" w:rsidRPr="00761B68">
              <w:t>3</w:t>
            </w:r>
            <w:r w:rsidRPr="00761B68">
              <w:t>.Par veikto pasākumu un pārbaudes rezultātiem saistībā ar netipisku dopinga kontroles atradi Birojs trīs darba dienu laikā pēc pārbaudes pabeigšanas paziņo  vienlaicīgi sportistam, sportista sporta organizācijai, valsts antidopinga organizācijai un Pasaules Antidopinga aģentūrai.”</w:t>
            </w:r>
          </w:p>
        </w:tc>
      </w:tr>
      <w:tr w:rsidR="00761B68" w:rsidRPr="00761B68" w14:paraId="48D346B6"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59D2E2F8" w14:textId="62117532" w:rsidR="00C1277F" w:rsidRPr="00761B68" w:rsidRDefault="00C1277F" w:rsidP="00C1277F">
            <w:pPr>
              <w:pStyle w:val="naisc"/>
              <w:spacing w:before="0" w:after="0"/>
              <w:ind w:firstLine="720"/>
            </w:pPr>
          </w:p>
          <w:p w14:paraId="14FECD66" w14:textId="77777777" w:rsidR="00C1277F" w:rsidRPr="00761B68" w:rsidRDefault="00C1277F" w:rsidP="00C1277F"/>
          <w:p w14:paraId="52C9DBED" w14:textId="0E1A7888" w:rsidR="00C1277F" w:rsidRPr="00761B68" w:rsidRDefault="00C1277F" w:rsidP="004E0C07">
            <w:pPr>
              <w:pStyle w:val="ListParagraph"/>
              <w:numPr>
                <w:ilvl w:val="0"/>
                <w:numId w:val="11"/>
              </w:numPr>
            </w:pPr>
          </w:p>
          <w:p w14:paraId="288EAEE8" w14:textId="0B884F5F" w:rsidR="00C1277F" w:rsidRPr="00761B68" w:rsidRDefault="00C1277F" w:rsidP="00C1277F"/>
        </w:tc>
        <w:tc>
          <w:tcPr>
            <w:tcW w:w="3086" w:type="dxa"/>
            <w:gridSpan w:val="2"/>
            <w:tcBorders>
              <w:left w:val="single" w:sz="6" w:space="0" w:color="000000"/>
              <w:bottom w:val="single" w:sz="4" w:space="0" w:color="auto"/>
              <w:right w:val="single" w:sz="6" w:space="0" w:color="000000"/>
            </w:tcBorders>
          </w:tcPr>
          <w:p w14:paraId="0A5A33AA" w14:textId="77777777" w:rsidR="00C1277F" w:rsidRPr="00761B68" w:rsidRDefault="00C1277F" w:rsidP="00C1277F">
            <w:pPr>
              <w:jc w:val="both"/>
              <w:rPr>
                <w:sz w:val="26"/>
                <w:szCs w:val="26"/>
              </w:rPr>
            </w:pPr>
            <w:r w:rsidRPr="00761B68">
              <w:rPr>
                <w:sz w:val="26"/>
                <w:szCs w:val="26"/>
              </w:rPr>
              <w:lastRenderedPageBreak/>
              <w:t>Noteikumu projekta 18.punkta redakcija:</w:t>
            </w:r>
          </w:p>
          <w:p w14:paraId="417CC5FE" w14:textId="77777777" w:rsidR="00C1277F" w:rsidRPr="00761B68" w:rsidRDefault="00C1277F" w:rsidP="00C1277F">
            <w:pPr>
              <w:jc w:val="both"/>
              <w:rPr>
                <w:sz w:val="26"/>
                <w:szCs w:val="26"/>
              </w:rPr>
            </w:pPr>
            <w:r w:rsidRPr="00761B68">
              <w:rPr>
                <w:sz w:val="26"/>
                <w:szCs w:val="26"/>
              </w:rPr>
              <w:t>“18.</w:t>
            </w:r>
            <w:r w:rsidRPr="00761B68">
              <w:rPr>
                <w:sz w:val="26"/>
                <w:szCs w:val="26"/>
              </w:rPr>
              <w:tab/>
              <w:t xml:space="preserve">Ja, pārskatot sportista paskaidrojumus, </w:t>
            </w:r>
            <w:r w:rsidRPr="00761B68">
              <w:rPr>
                <w:sz w:val="26"/>
                <w:szCs w:val="26"/>
              </w:rPr>
              <w:lastRenderedPageBreak/>
              <w:t>šo noteikumu 17.punktā minētās ekspertu grupas viedoklis apstiprina iespējamu antidopinga noteikumu pārkāpumu, Birojs trīs darba dienu laikā par to paziņo vienlaicīgi sportistam, sportista sporta organizācijai, valsts antidopinga organizācijai un Pasaules Antidopinga aģentūrai.”</w:t>
            </w:r>
          </w:p>
        </w:tc>
        <w:tc>
          <w:tcPr>
            <w:tcW w:w="4111" w:type="dxa"/>
            <w:tcBorders>
              <w:left w:val="single" w:sz="6" w:space="0" w:color="000000"/>
              <w:bottom w:val="single" w:sz="4" w:space="0" w:color="auto"/>
              <w:right w:val="single" w:sz="6" w:space="0" w:color="000000"/>
            </w:tcBorders>
          </w:tcPr>
          <w:p w14:paraId="6AC474D1" w14:textId="77777777" w:rsidR="00C1277F" w:rsidRPr="00761B68" w:rsidRDefault="00C1277F" w:rsidP="00C1277F">
            <w:pPr>
              <w:pStyle w:val="naisc"/>
              <w:spacing w:before="0" w:after="0"/>
              <w:jc w:val="both"/>
            </w:pPr>
            <w:r w:rsidRPr="00761B68">
              <w:lastRenderedPageBreak/>
              <w:t xml:space="preserve">Lūdzam projekta 18. punktā norādīt regulējumu, ja ekspertu grupa neapstiprina iespējamu antidopinga </w:t>
            </w:r>
            <w:r w:rsidRPr="00761B68">
              <w:lastRenderedPageBreak/>
              <w:t>pārkāpumu, tādējādi skaidri nosakot sportista pienākumus un tiesības.</w:t>
            </w:r>
          </w:p>
        </w:tc>
        <w:tc>
          <w:tcPr>
            <w:tcW w:w="3827" w:type="dxa"/>
            <w:gridSpan w:val="2"/>
            <w:tcBorders>
              <w:left w:val="single" w:sz="6" w:space="0" w:color="000000"/>
              <w:bottom w:val="single" w:sz="4" w:space="0" w:color="auto"/>
              <w:right w:val="single" w:sz="6" w:space="0" w:color="000000"/>
            </w:tcBorders>
          </w:tcPr>
          <w:p w14:paraId="0DC26413" w14:textId="77777777" w:rsidR="00C1277F" w:rsidRPr="00761B68" w:rsidRDefault="00C1277F" w:rsidP="00C1277F">
            <w:pPr>
              <w:pStyle w:val="naisc"/>
              <w:spacing w:before="0" w:after="0"/>
              <w:ind w:firstLine="720"/>
              <w:rPr>
                <w:b/>
              </w:rPr>
            </w:pPr>
            <w:r w:rsidRPr="00761B68">
              <w:rPr>
                <w:b/>
              </w:rPr>
              <w:lastRenderedPageBreak/>
              <w:t>Ņemts vērā</w:t>
            </w:r>
          </w:p>
          <w:p w14:paraId="7585E0D3" w14:textId="77777777" w:rsidR="00C1277F" w:rsidRPr="00761B68" w:rsidRDefault="00C1277F" w:rsidP="00C1277F">
            <w:pPr>
              <w:pStyle w:val="naisc"/>
              <w:spacing w:before="0" w:after="0"/>
              <w:jc w:val="left"/>
              <w:rPr>
                <w:b/>
              </w:rPr>
            </w:pPr>
          </w:p>
          <w:p w14:paraId="6B264CC0" w14:textId="77777777" w:rsidR="00C1277F" w:rsidRPr="00761B68" w:rsidRDefault="00C1277F" w:rsidP="00C1277F">
            <w:pPr>
              <w:pStyle w:val="naisc"/>
              <w:spacing w:before="0" w:after="0"/>
              <w:jc w:val="both"/>
            </w:pPr>
            <w:r w:rsidRPr="00761B68">
              <w:t>Papildināts noteikumu projekta 18.punkts.</w:t>
            </w:r>
          </w:p>
          <w:p w14:paraId="2C0EFA23" w14:textId="71B2514C" w:rsidR="00C1277F" w:rsidRPr="00761B68" w:rsidRDefault="00C1277F" w:rsidP="00C1277F">
            <w:pPr>
              <w:pStyle w:val="naisc"/>
              <w:spacing w:before="0" w:after="0"/>
              <w:jc w:val="both"/>
            </w:pPr>
            <w:r w:rsidRPr="00761B68">
              <w:lastRenderedPageBreak/>
              <w:t xml:space="preserve">Vienlaikus skaidrojam, ka atbilstoši Pasaules Antidopinga kodeksam, ja ekspertu grupa neapstiprina antidopinga noteikumu pārkāpumu, </w:t>
            </w:r>
            <w:r w:rsidR="006C6790" w:rsidRPr="00761B68">
              <w:t>B</w:t>
            </w:r>
            <w:r w:rsidRPr="00761B68">
              <w:t>irojs par to paziņo sportistam un Pasaules Antidopinga aģentūrai un konkrētā lieta tiek izbeigta.</w:t>
            </w:r>
          </w:p>
        </w:tc>
        <w:tc>
          <w:tcPr>
            <w:tcW w:w="3260" w:type="dxa"/>
            <w:tcBorders>
              <w:top w:val="single" w:sz="4" w:space="0" w:color="auto"/>
              <w:left w:val="single" w:sz="4" w:space="0" w:color="auto"/>
              <w:bottom w:val="single" w:sz="4" w:space="0" w:color="auto"/>
            </w:tcBorders>
          </w:tcPr>
          <w:p w14:paraId="07090BF7" w14:textId="351BB1D9" w:rsidR="00C1277F" w:rsidRPr="00761B68" w:rsidRDefault="00C1277F" w:rsidP="00C1277F">
            <w:pPr>
              <w:jc w:val="both"/>
            </w:pPr>
            <w:r w:rsidRPr="00761B68">
              <w:lastRenderedPageBreak/>
              <w:t xml:space="preserve">Papildināts noteikumu projekta anotācijas I sadaļas 2.punkts ar skaidrojumu. </w:t>
            </w:r>
          </w:p>
          <w:p w14:paraId="0282B4F7" w14:textId="77777777" w:rsidR="00C1277F" w:rsidRPr="00761B68" w:rsidRDefault="00C1277F" w:rsidP="00C1277F">
            <w:pPr>
              <w:jc w:val="both"/>
            </w:pPr>
          </w:p>
          <w:p w14:paraId="196643B1" w14:textId="1944A8F2" w:rsidR="00C1277F" w:rsidRPr="00761B68" w:rsidRDefault="00C1277F" w:rsidP="00C1277F">
            <w:pPr>
              <w:jc w:val="both"/>
            </w:pPr>
            <w:r w:rsidRPr="00761B68">
              <w:lastRenderedPageBreak/>
              <w:t>Noteikumu projekta 1</w:t>
            </w:r>
            <w:r w:rsidR="004E6C48" w:rsidRPr="00761B68">
              <w:t>7</w:t>
            </w:r>
            <w:r w:rsidRPr="00761B68">
              <w:t>.punkta redakcija:</w:t>
            </w:r>
          </w:p>
          <w:p w14:paraId="559ED161" w14:textId="2DAF0787" w:rsidR="00C1277F" w:rsidRPr="00761B68" w:rsidRDefault="00C1277F" w:rsidP="00C1277F">
            <w:pPr>
              <w:jc w:val="both"/>
            </w:pPr>
            <w:r w:rsidRPr="00761B68">
              <w:t>“1</w:t>
            </w:r>
            <w:r w:rsidR="004E6C48" w:rsidRPr="00761B68">
              <w:t>7</w:t>
            </w:r>
            <w:r w:rsidRPr="00761B68">
              <w:t>.</w:t>
            </w:r>
            <w:r w:rsidRPr="00761B68">
              <w:tab/>
            </w:r>
            <w:bookmarkStart w:id="2" w:name="_Hlk11422752"/>
            <w:r w:rsidRPr="00761B68">
              <w:t>Ja, pārskatot sportista paskaidrojumus, šo noteikumu 1</w:t>
            </w:r>
            <w:r w:rsidR="00770816" w:rsidRPr="00761B68">
              <w:t>6</w:t>
            </w:r>
            <w:r w:rsidRPr="00761B68">
              <w:t xml:space="preserve">.punktā minētās ekspertu grupas viedoklis </w:t>
            </w:r>
            <w:bookmarkStart w:id="3" w:name="_Hlk12446939"/>
            <w:r w:rsidRPr="00761B68">
              <w:t xml:space="preserve">vienbalsīgi </w:t>
            </w:r>
            <w:bookmarkEnd w:id="3"/>
            <w:r w:rsidRPr="00761B68">
              <w:t xml:space="preserve">apstiprina iespējamu antidopinga noteikumu pārkāpumu, Birojs trīs darba dienu laikā pēc viedokļa saņemšanas par to paziņo vienlaicīgi sportistam, sportista sporta organizācijai, valsts antidopinga organizācijai un Pasaules Antidopinga aģentūrai. </w:t>
            </w:r>
            <w:bookmarkStart w:id="4" w:name="_Hlk11422780"/>
            <w:r w:rsidRPr="00761B68">
              <w:t>Ja pārskatot sportista paskaidrojumus, šo noteikumu 1</w:t>
            </w:r>
            <w:r w:rsidR="00770816" w:rsidRPr="00761B68">
              <w:t>6</w:t>
            </w:r>
            <w:r w:rsidRPr="00761B68">
              <w:t>.punktā minētās ekspertu grupas viedoklis vienbalsīgi neapstiprina iespējamu antidopinga noteikumu pārkāpumu, Birojs trīs darba dienu laikā pēc viedokļa saņemšanas par to paziņo vienlaicīgi sportistam un Pasaules Antidopinga aģentūrai.</w:t>
            </w:r>
            <w:bookmarkEnd w:id="2"/>
            <w:bookmarkEnd w:id="4"/>
            <w:r w:rsidRPr="00761B68">
              <w:t>”</w:t>
            </w:r>
          </w:p>
        </w:tc>
      </w:tr>
      <w:tr w:rsidR="00761B68" w:rsidRPr="00761B68" w14:paraId="6418CC59"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6C4C911A" w14:textId="52380D17" w:rsidR="00C1277F" w:rsidRPr="00761B68" w:rsidRDefault="00A141B1" w:rsidP="00A141B1">
            <w:pPr>
              <w:pStyle w:val="naisc"/>
              <w:spacing w:before="0" w:after="0"/>
              <w:ind w:left="-705" w:firstLine="720"/>
            </w:pPr>
            <w:r w:rsidRPr="00761B68">
              <w:lastRenderedPageBreak/>
              <w:t>9.</w:t>
            </w:r>
          </w:p>
        </w:tc>
        <w:tc>
          <w:tcPr>
            <w:tcW w:w="3086" w:type="dxa"/>
            <w:gridSpan w:val="2"/>
            <w:tcBorders>
              <w:left w:val="single" w:sz="6" w:space="0" w:color="000000"/>
              <w:bottom w:val="single" w:sz="4" w:space="0" w:color="auto"/>
              <w:right w:val="single" w:sz="6" w:space="0" w:color="000000"/>
            </w:tcBorders>
          </w:tcPr>
          <w:p w14:paraId="50677C3E" w14:textId="77777777" w:rsidR="00C1277F" w:rsidRPr="00761B68" w:rsidRDefault="00C1277F" w:rsidP="00C1277F">
            <w:pPr>
              <w:jc w:val="both"/>
              <w:rPr>
                <w:sz w:val="26"/>
                <w:szCs w:val="26"/>
              </w:rPr>
            </w:pPr>
            <w:r w:rsidRPr="00761B68">
              <w:rPr>
                <w:sz w:val="26"/>
                <w:szCs w:val="26"/>
              </w:rPr>
              <w:t xml:space="preserve">Noteikumu projekta III sadaļas virsrakstā, 14., 15., 21., 23., 27. un 33.punktā vārds “izmeklēšana” aizvietots ar vārdu </w:t>
            </w:r>
            <w:r w:rsidRPr="00761B68">
              <w:rPr>
                <w:sz w:val="26"/>
                <w:szCs w:val="26"/>
              </w:rPr>
              <w:lastRenderedPageBreak/>
              <w:t>“pārbaude” atbilstošā locījumā.</w:t>
            </w:r>
          </w:p>
        </w:tc>
        <w:tc>
          <w:tcPr>
            <w:tcW w:w="4111" w:type="dxa"/>
            <w:tcBorders>
              <w:left w:val="single" w:sz="6" w:space="0" w:color="000000"/>
              <w:bottom w:val="single" w:sz="4" w:space="0" w:color="auto"/>
              <w:right w:val="single" w:sz="6" w:space="0" w:color="000000"/>
            </w:tcBorders>
          </w:tcPr>
          <w:p w14:paraId="6A88B8E4" w14:textId="77777777" w:rsidR="00C1277F" w:rsidRPr="00761B68" w:rsidRDefault="00C1277F" w:rsidP="00C1277F">
            <w:pPr>
              <w:pStyle w:val="naisc"/>
              <w:spacing w:before="0" w:after="0"/>
              <w:jc w:val="both"/>
            </w:pPr>
            <w:r w:rsidRPr="00761B68">
              <w:lastRenderedPageBreak/>
              <w:t xml:space="preserve">Projektā daudzviet lietots termins “izmeklēšana”, kas ir kriminālprocesuāls termins. Ņemot vērā, ka Latvijas Antidopinga birojs (turpmāk – Birojs) neveic kriminālprocesuālas darbības, </w:t>
            </w:r>
            <w:r w:rsidRPr="00761B68">
              <w:lastRenderedPageBreak/>
              <w:t>lūdzam minēto terminu aizstāt, piemēram, ar terminu “pārbaude”.</w:t>
            </w:r>
          </w:p>
          <w:p w14:paraId="2D1642A5" w14:textId="60E5CA24" w:rsidR="006C6790" w:rsidRPr="00761B68" w:rsidRDefault="006C6790" w:rsidP="00C1277F">
            <w:pPr>
              <w:pStyle w:val="naisc"/>
              <w:spacing w:before="0" w:after="0"/>
              <w:jc w:val="both"/>
            </w:pPr>
          </w:p>
        </w:tc>
        <w:tc>
          <w:tcPr>
            <w:tcW w:w="3827" w:type="dxa"/>
            <w:gridSpan w:val="2"/>
            <w:tcBorders>
              <w:left w:val="single" w:sz="6" w:space="0" w:color="000000"/>
              <w:bottom w:val="single" w:sz="4" w:space="0" w:color="auto"/>
              <w:right w:val="single" w:sz="6" w:space="0" w:color="000000"/>
            </w:tcBorders>
          </w:tcPr>
          <w:p w14:paraId="1F751C38" w14:textId="229A9D5E" w:rsidR="00C1277F" w:rsidRPr="00761B68" w:rsidRDefault="00C1277F" w:rsidP="00C1277F">
            <w:pPr>
              <w:pStyle w:val="naisc"/>
              <w:spacing w:before="0" w:after="0"/>
              <w:ind w:firstLine="720"/>
              <w:rPr>
                <w:b/>
              </w:rPr>
            </w:pPr>
            <w:r w:rsidRPr="00761B68">
              <w:rPr>
                <w:b/>
              </w:rPr>
              <w:lastRenderedPageBreak/>
              <w:t>Ņemts vērā</w:t>
            </w:r>
          </w:p>
          <w:p w14:paraId="2093E61C" w14:textId="77777777" w:rsidR="00C1277F" w:rsidRPr="00761B68" w:rsidRDefault="00C1277F" w:rsidP="00C1277F">
            <w:pPr>
              <w:pStyle w:val="naisc"/>
              <w:spacing w:before="0" w:after="0"/>
              <w:ind w:firstLine="720"/>
              <w:rPr>
                <w:b/>
              </w:rPr>
            </w:pPr>
          </w:p>
          <w:p w14:paraId="6A4F5860" w14:textId="3FB3DA2D" w:rsidR="00C1277F" w:rsidRPr="00761B68" w:rsidRDefault="00C1277F" w:rsidP="00C1277F">
            <w:pPr>
              <w:pStyle w:val="naisc"/>
              <w:spacing w:before="0" w:after="0"/>
              <w:jc w:val="both"/>
            </w:pPr>
            <w:r w:rsidRPr="00761B68">
              <w:t xml:space="preserve">Noteikumu projekta III sadaļas virsrakstā, </w:t>
            </w:r>
            <w:r w:rsidR="008200D0" w:rsidRPr="00761B68">
              <w:t xml:space="preserve">12., </w:t>
            </w:r>
            <w:r w:rsidRPr="00761B68">
              <w:t>1</w:t>
            </w:r>
            <w:r w:rsidR="006C6790" w:rsidRPr="00761B68">
              <w:t>3</w:t>
            </w:r>
            <w:r w:rsidRPr="00761B68">
              <w:t xml:space="preserve">., </w:t>
            </w:r>
            <w:r w:rsidR="008200D0" w:rsidRPr="00761B68">
              <w:t>19.,</w:t>
            </w:r>
            <w:r w:rsidRPr="00761B68">
              <w:t xml:space="preserve"> 2</w:t>
            </w:r>
            <w:r w:rsidR="0038077B" w:rsidRPr="00761B68">
              <w:t>1</w:t>
            </w:r>
            <w:r w:rsidRPr="00761B68">
              <w:t>., 2</w:t>
            </w:r>
            <w:r w:rsidR="008200D0" w:rsidRPr="00761B68">
              <w:t>5</w:t>
            </w:r>
            <w:r w:rsidRPr="00761B68">
              <w:t>. un 3</w:t>
            </w:r>
            <w:r w:rsidR="008200D0" w:rsidRPr="00761B68">
              <w:t>1</w:t>
            </w:r>
            <w:r w:rsidRPr="00761B68">
              <w:t xml:space="preserve">.punktā vārds “izmeklēšana” </w:t>
            </w:r>
            <w:r w:rsidRPr="00761B68">
              <w:lastRenderedPageBreak/>
              <w:t>aizvietots ar vārdu “pārbaude” atbilstošā locījumā.</w:t>
            </w:r>
          </w:p>
          <w:p w14:paraId="6AC846E4" w14:textId="1E717224" w:rsidR="00C1277F" w:rsidRPr="00761B68" w:rsidRDefault="00C1277F" w:rsidP="00C1277F">
            <w:pPr>
              <w:pStyle w:val="naisc"/>
              <w:spacing w:before="0" w:after="0"/>
              <w:jc w:val="both"/>
            </w:pPr>
          </w:p>
        </w:tc>
        <w:tc>
          <w:tcPr>
            <w:tcW w:w="3260" w:type="dxa"/>
            <w:tcBorders>
              <w:top w:val="single" w:sz="4" w:space="0" w:color="auto"/>
              <w:left w:val="single" w:sz="4" w:space="0" w:color="auto"/>
              <w:bottom w:val="single" w:sz="4" w:space="0" w:color="auto"/>
            </w:tcBorders>
          </w:tcPr>
          <w:p w14:paraId="6AB2556E" w14:textId="77777777" w:rsidR="008200D0" w:rsidRPr="00761B68" w:rsidRDefault="008200D0" w:rsidP="008200D0">
            <w:pPr>
              <w:pStyle w:val="naisc"/>
              <w:spacing w:before="0" w:after="0"/>
              <w:jc w:val="both"/>
            </w:pPr>
            <w:r w:rsidRPr="00761B68">
              <w:lastRenderedPageBreak/>
              <w:t>Noteikumu projekta III sadaļas virsrakstā, 12., 13., 19., 21., 25. un 31.punktā vārds “izmeklēšana” aizvietots ar vārdu “pārbaude” atbilstošā locījumā.</w:t>
            </w:r>
          </w:p>
          <w:p w14:paraId="20547BA9" w14:textId="1F8FCCD9" w:rsidR="00C1277F" w:rsidRPr="00761B68" w:rsidRDefault="00C1277F" w:rsidP="00C1277F">
            <w:pPr>
              <w:jc w:val="both"/>
            </w:pPr>
          </w:p>
        </w:tc>
      </w:tr>
      <w:tr w:rsidR="00761B68" w:rsidRPr="00761B68" w14:paraId="34FCDE25"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266456E3" w14:textId="1F911786" w:rsidR="00C1277F" w:rsidRPr="00761B68" w:rsidRDefault="00C1277F" w:rsidP="004E0C07">
            <w:pPr>
              <w:pStyle w:val="naisc"/>
              <w:numPr>
                <w:ilvl w:val="0"/>
                <w:numId w:val="10"/>
              </w:numPr>
              <w:spacing w:before="0" w:after="0"/>
            </w:pPr>
          </w:p>
        </w:tc>
        <w:tc>
          <w:tcPr>
            <w:tcW w:w="3086" w:type="dxa"/>
            <w:gridSpan w:val="2"/>
            <w:tcBorders>
              <w:left w:val="single" w:sz="6" w:space="0" w:color="000000"/>
              <w:bottom w:val="single" w:sz="4" w:space="0" w:color="auto"/>
              <w:right w:val="single" w:sz="6" w:space="0" w:color="000000"/>
            </w:tcBorders>
          </w:tcPr>
          <w:p w14:paraId="761D985B" w14:textId="0B3A2B9F" w:rsidR="00E71DE5" w:rsidRPr="00761B68" w:rsidRDefault="00E71DE5" w:rsidP="00E71DE5">
            <w:pPr>
              <w:jc w:val="both"/>
              <w:rPr>
                <w:sz w:val="26"/>
                <w:szCs w:val="26"/>
              </w:rPr>
            </w:pPr>
            <w:r w:rsidRPr="00761B68">
              <w:rPr>
                <w:sz w:val="26"/>
                <w:szCs w:val="26"/>
              </w:rPr>
              <w:t xml:space="preserve">Noteikumu projekta 21.punkta redakcija: </w:t>
            </w:r>
          </w:p>
          <w:p w14:paraId="09106355" w14:textId="57B27B54" w:rsidR="00E71DE5" w:rsidRPr="00761B68" w:rsidRDefault="00E71DE5" w:rsidP="00E71DE5">
            <w:pPr>
              <w:jc w:val="both"/>
              <w:rPr>
                <w:sz w:val="26"/>
                <w:szCs w:val="26"/>
              </w:rPr>
            </w:pPr>
            <w:r w:rsidRPr="00761B68">
              <w:rPr>
                <w:sz w:val="26"/>
                <w:szCs w:val="26"/>
              </w:rPr>
              <w:t>“21.</w:t>
            </w:r>
            <w:r w:rsidRPr="00761B68">
              <w:rPr>
                <w:sz w:val="26"/>
                <w:szCs w:val="26"/>
              </w:rPr>
              <w:tab/>
              <w:t>Sportists vai sporta darbinieks saņemot paziņojumu par iespējamo antidopinga noteikumu pārkāpumu ne vēlāk kā piecu darba dienu laikā var:</w:t>
            </w:r>
          </w:p>
          <w:p w14:paraId="54BF616F" w14:textId="77777777" w:rsidR="00E71DE5" w:rsidRPr="00761B68" w:rsidRDefault="00E71DE5" w:rsidP="00E71DE5">
            <w:pPr>
              <w:jc w:val="both"/>
              <w:rPr>
                <w:sz w:val="26"/>
                <w:szCs w:val="26"/>
              </w:rPr>
            </w:pPr>
            <w:r w:rsidRPr="00761B68">
              <w:rPr>
                <w:sz w:val="26"/>
                <w:szCs w:val="26"/>
              </w:rPr>
              <w:t>21.1.</w:t>
            </w:r>
            <w:r w:rsidRPr="00761B68">
              <w:rPr>
                <w:sz w:val="26"/>
                <w:szCs w:val="26"/>
              </w:rPr>
              <w:tab/>
              <w:t xml:space="preserve">iesniegt Birojā rakstveida paskaidrojumus vai apliecinošos dokumentus, </w:t>
            </w:r>
          </w:p>
          <w:p w14:paraId="4D09C9F2" w14:textId="3099B804" w:rsidR="00E71DE5" w:rsidRPr="00761B68" w:rsidRDefault="00E71DE5" w:rsidP="00E71DE5">
            <w:pPr>
              <w:jc w:val="both"/>
              <w:rPr>
                <w:sz w:val="26"/>
                <w:szCs w:val="26"/>
              </w:rPr>
            </w:pPr>
            <w:r w:rsidRPr="00761B68">
              <w:rPr>
                <w:sz w:val="26"/>
                <w:szCs w:val="26"/>
              </w:rPr>
              <w:t>21.2.</w:t>
            </w:r>
            <w:r w:rsidRPr="00761B68">
              <w:rPr>
                <w:sz w:val="26"/>
                <w:szCs w:val="26"/>
              </w:rPr>
              <w:tab/>
              <w:t>vērsties Birojā ar lūgumu veikt dopinga kontroles B parauga analīzi par saviem līdzekļiem Pasaules Antidopinga aģentūras akreditētā laboratorijā.”</w:t>
            </w:r>
          </w:p>
          <w:p w14:paraId="2189E575" w14:textId="53DAB9A2" w:rsidR="00C1277F" w:rsidRPr="00761B68" w:rsidRDefault="00C1277F" w:rsidP="00C1277F">
            <w:pPr>
              <w:jc w:val="both"/>
              <w:rPr>
                <w:sz w:val="26"/>
                <w:szCs w:val="26"/>
              </w:rPr>
            </w:pPr>
          </w:p>
        </w:tc>
        <w:tc>
          <w:tcPr>
            <w:tcW w:w="4111" w:type="dxa"/>
            <w:tcBorders>
              <w:left w:val="single" w:sz="6" w:space="0" w:color="000000"/>
              <w:bottom w:val="single" w:sz="4" w:space="0" w:color="auto"/>
              <w:right w:val="single" w:sz="6" w:space="0" w:color="000000"/>
            </w:tcBorders>
          </w:tcPr>
          <w:p w14:paraId="42348063" w14:textId="77777777" w:rsidR="00C1277F" w:rsidRPr="00761B68" w:rsidRDefault="00C1277F" w:rsidP="00C1277F">
            <w:pPr>
              <w:pStyle w:val="naisc"/>
              <w:spacing w:before="0" w:after="0"/>
              <w:jc w:val="both"/>
            </w:pPr>
            <w:r w:rsidRPr="00761B68">
              <w:t xml:space="preserve">Lūdzam skaidrot, vai projekta 21.2. apakšpunkts nepārkāpj personas tiesības uz taisnīgu tiesu. Proti, minētajā normā norādīts, ka dopinga kontroles B parauga analīzi sportists var veikt tikai par saviem līdzekļiem. Attiecīgi trūcīgu sportistu iespējas aizstāvēt savas tiesības ir mazākas nekā finansiāli nodrošinātiem sportistiem. Ievērojot minēto, lūdzam projekta anotācijā ietvert minētā regulējuma </w:t>
            </w:r>
            <w:proofErr w:type="spellStart"/>
            <w:r w:rsidRPr="00761B68">
              <w:t>satversmības</w:t>
            </w:r>
            <w:proofErr w:type="spellEnd"/>
            <w:r w:rsidRPr="00761B68">
              <w:t xml:space="preserve"> </w:t>
            </w:r>
            <w:proofErr w:type="spellStart"/>
            <w:r w:rsidRPr="00761B68">
              <w:t>izvērtējumu</w:t>
            </w:r>
            <w:proofErr w:type="spellEnd"/>
            <w:r w:rsidRPr="00761B68">
              <w:t xml:space="preserve"> vai precizēt projekta 21.2. apakšpunktu.</w:t>
            </w:r>
          </w:p>
        </w:tc>
        <w:tc>
          <w:tcPr>
            <w:tcW w:w="3827" w:type="dxa"/>
            <w:gridSpan w:val="2"/>
            <w:tcBorders>
              <w:left w:val="single" w:sz="6" w:space="0" w:color="000000"/>
              <w:bottom w:val="single" w:sz="4" w:space="0" w:color="auto"/>
              <w:right w:val="single" w:sz="6" w:space="0" w:color="000000"/>
            </w:tcBorders>
          </w:tcPr>
          <w:p w14:paraId="732E295B" w14:textId="77777777" w:rsidR="00C1277F" w:rsidRPr="00761B68" w:rsidRDefault="00C1277F" w:rsidP="00C1277F">
            <w:pPr>
              <w:pStyle w:val="naisc"/>
              <w:spacing w:before="0" w:after="0"/>
              <w:ind w:firstLine="720"/>
              <w:rPr>
                <w:b/>
              </w:rPr>
            </w:pPr>
            <w:r w:rsidRPr="00761B68">
              <w:rPr>
                <w:b/>
              </w:rPr>
              <w:t xml:space="preserve">Ņemts vērā </w:t>
            </w:r>
          </w:p>
          <w:p w14:paraId="4CF58EA1" w14:textId="77777777" w:rsidR="00C1277F" w:rsidRPr="00761B68" w:rsidRDefault="00C1277F" w:rsidP="00C1277F">
            <w:pPr>
              <w:pStyle w:val="naisc"/>
              <w:spacing w:before="0" w:after="0"/>
              <w:ind w:firstLine="720"/>
              <w:rPr>
                <w:b/>
              </w:rPr>
            </w:pPr>
          </w:p>
          <w:p w14:paraId="0E5D1F1A" w14:textId="77777777" w:rsidR="00053FC5" w:rsidRPr="00761B68" w:rsidRDefault="00053FC5" w:rsidP="00053FC5">
            <w:pPr>
              <w:jc w:val="both"/>
            </w:pPr>
            <w:r w:rsidRPr="00761B68">
              <w:t xml:space="preserve">Papildināts noteikumu projekta anotācijas I sadaļas 2.punkts. </w:t>
            </w:r>
          </w:p>
          <w:p w14:paraId="036D9906" w14:textId="082CA6E0" w:rsidR="00417953" w:rsidRPr="00761B68" w:rsidRDefault="00417953" w:rsidP="00FE5E91">
            <w:pPr>
              <w:pStyle w:val="naisc"/>
              <w:spacing w:before="0" w:after="0"/>
              <w:jc w:val="both"/>
            </w:pPr>
          </w:p>
        </w:tc>
        <w:tc>
          <w:tcPr>
            <w:tcW w:w="3260" w:type="dxa"/>
            <w:tcBorders>
              <w:top w:val="single" w:sz="4" w:space="0" w:color="auto"/>
              <w:left w:val="single" w:sz="4" w:space="0" w:color="auto"/>
              <w:bottom w:val="single" w:sz="4" w:space="0" w:color="auto"/>
            </w:tcBorders>
          </w:tcPr>
          <w:p w14:paraId="1CB54101" w14:textId="2A0D22B3" w:rsidR="001C78A2" w:rsidRPr="00761B68" w:rsidRDefault="001C78A2" w:rsidP="00E71DE5">
            <w:pPr>
              <w:jc w:val="both"/>
            </w:pPr>
            <w:r w:rsidRPr="00761B68">
              <w:t xml:space="preserve">Papildināts noteikumu projekta anotācijas I sadaļas 2.punkts. </w:t>
            </w:r>
          </w:p>
          <w:p w14:paraId="54F90298" w14:textId="77777777" w:rsidR="001C78A2" w:rsidRPr="00761B68" w:rsidRDefault="001C78A2" w:rsidP="00E71DE5">
            <w:pPr>
              <w:jc w:val="both"/>
            </w:pPr>
          </w:p>
          <w:p w14:paraId="5629F04B" w14:textId="5C434B86" w:rsidR="00E71DE5" w:rsidRPr="00761B68" w:rsidRDefault="00E71DE5" w:rsidP="00E71DE5">
            <w:pPr>
              <w:jc w:val="both"/>
            </w:pPr>
            <w:r w:rsidRPr="00761B68">
              <w:t xml:space="preserve">Noteikumu projekta 20.punkta redakcija: </w:t>
            </w:r>
          </w:p>
          <w:p w14:paraId="5C99332D" w14:textId="7AAFC0E5" w:rsidR="00E71DE5" w:rsidRPr="00761B68" w:rsidRDefault="00E71DE5" w:rsidP="00E71DE5">
            <w:pPr>
              <w:jc w:val="both"/>
            </w:pPr>
            <w:r w:rsidRPr="00761B68">
              <w:t>“20.</w:t>
            </w:r>
            <w:r w:rsidRPr="00761B68">
              <w:tab/>
              <w:t>Sportists vai sporta darbinieks saņemot paziņojumu par iespējamo antidopinga noteikumu pārkāpumu ne vēlāk kā piecu darba dienu laikā var:</w:t>
            </w:r>
          </w:p>
          <w:p w14:paraId="7C4D227B" w14:textId="77777777" w:rsidR="00E71DE5" w:rsidRPr="00761B68" w:rsidRDefault="00E71DE5" w:rsidP="00E71DE5">
            <w:pPr>
              <w:jc w:val="both"/>
            </w:pPr>
            <w:r w:rsidRPr="00761B68">
              <w:t>20.1.</w:t>
            </w:r>
            <w:r w:rsidRPr="00761B68">
              <w:tab/>
              <w:t xml:space="preserve">iesniegt Birojā rakstveida paskaidrojumus vai apliecinošos dokumentus, </w:t>
            </w:r>
          </w:p>
          <w:p w14:paraId="3630C06C" w14:textId="20ABC316" w:rsidR="00E71DE5" w:rsidRPr="00761B68" w:rsidRDefault="00E71DE5" w:rsidP="00E71DE5">
            <w:pPr>
              <w:jc w:val="both"/>
            </w:pPr>
            <w:r w:rsidRPr="00761B68">
              <w:t>20.2.</w:t>
            </w:r>
            <w:r w:rsidRPr="00761B68">
              <w:tab/>
              <w:t>vērsties Birojā ar lūgumu veikt dopinga kontroles B parauga analīzi par saviem līdzekļiem Pasaules Antidopinga aģentūras akreditētā laboratorijā.”</w:t>
            </w:r>
          </w:p>
          <w:p w14:paraId="1E942930" w14:textId="7CC1EB3E" w:rsidR="00C1277F" w:rsidRPr="00761B68" w:rsidRDefault="00C1277F" w:rsidP="00E71DE5">
            <w:pPr>
              <w:jc w:val="both"/>
            </w:pPr>
          </w:p>
        </w:tc>
        <w:bookmarkStart w:id="5" w:name="_GoBack"/>
        <w:bookmarkEnd w:id="5"/>
      </w:tr>
      <w:tr w:rsidR="00761B68" w:rsidRPr="00761B68" w14:paraId="1E7298E5"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63E304C3" w14:textId="5B3109AE" w:rsidR="00C1277F" w:rsidRPr="00761B68" w:rsidRDefault="00C1277F" w:rsidP="004E0C07">
            <w:pPr>
              <w:pStyle w:val="naisc"/>
              <w:numPr>
                <w:ilvl w:val="0"/>
                <w:numId w:val="10"/>
              </w:numPr>
              <w:spacing w:before="0" w:after="0"/>
            </w:pPr>
          </w:p>
        </w:tc>
        <w:tc>
          <w:tcPr>
            <w:tcW w:w="3086" w:type="dxa"/>
            <w:gridSpan w:val="2"/>
            <w:tcBorders>
              <w:left w:val="single" w:sz="6" w:space="0" w:color="000000"/>
              <w:bottom w:val="single" w:sz="4" w:space="0" w:color="auto"/>
              <w:right w:val="single" w:sz="6" w:space="0" w:color="000000"/>
            </w:tcBorders>
          </w:tcPr>
          <w:p w14:paraId="173A8615" w14:textId="77777777" w:rsidR="00C1277F" w:rsidRPr="00761B68" w:rsidRDefault="00C1277F" w:rsidP="00C1277F">
            <w:pPr>
              <w:jc w:val="both"/>
              <w:rPr>
                <w:sz w:val="26"/>
                <w:szCs w:val="26"/>
              </w:rPr>
            </w:pPr>
            <w:r w:rsidRPr="00761B68">
              <w:rPr>
                <w:sz w:val="26"/>
                <w:szCs w:val="26"/>
              </w:rPr>
              <w:t>Noteikumu projekta 23.punkta redakcija:</w:t>
            </w:r>
          </w:p>
          <w:p w14:paraId="3B3693EB" w14:textId="77777777" w:rsidR="00C1277F" w:rsidRPr="00761B68" w:rsidRDefault="00C1277F" w:rsidP="00C1277F">
            <w:pPr>
              <w:jc w:val="both"/>
              <w:rPr>
                <w:sz w:val="26"/>
                <w:szCs w:val="26"/>
              </w:rPr>
            </w:pPr>
            <w:r w:rsidRPr="00761B68">
              <w:rPr>
                <w:sz w:val="26"/>
                <w:szCs w:val="26"/>
              </w:rPr>
              <w:t>“23.</w:t>
            </w:r>
            <w:r w:rsidRPr="00761B68">
              <w:rPr>
                <w:sz w:val="26"/>
                <w:szCs w:val="26"/>
              </w:rPr>
              <w:tab/>
              <w:t xml:space="preserve">Birojs var pagarināt lēmumu pieņemšanu par iespējamo antidopinga noteikuma pārkāpuma konstatēšanu sportistam vai sporta darbiniekam par 20 </w:t>
            </w:r>
            <w:r w:rsidRPr="00761B68">
              <w:rPr>
                <w:sz w:val="26"/>
                <w:szCs w:val="26"/>
              </w:rPr>
              <w:lastRenderedPageBreak/>
              <w:t>darba dienām, ja ir nepieciešams iegūt papildu pierādījumus, vai veikt citus pasākumus lēmuma pieņemšanai.”</w:t>
            </w:r>
          </w:p>
        </w:tc>
        <w:tc>
          <w:tcPr>
            <w:tcW w:w="4111" w:type="dxa"/>
            <w:tcBorders>
              <w:left w:val="single" w:sz="6" w:space="0" w:color="000000"/>
              <w:bottom w:val="single" w:sz="4" w:space="0" w:color="auto"/>
              <w:right w:val="single" w:sz="6" w:space="0" w:color="000000"/>
            </w:tcBorders>
          </w:tcPr>
          <w:p w14:paraId="37D5725E" w14:textId="77777777" w:rsidR="00C1277F" w:rsidRPr="00761B68" w:rsidRDefault="00C1277F" w:rsidP="00C1277F">
            <w:pPr>
              <w:pStyle w:val="naisc"/>
              <w:spacing w:before="0" w:after="0"/>
              <w:jc w:val="both"/>
            </w:pPr>
            <w:r w:rsidRPr="00761B68">
              <w:lastRenderedPageBreak/>
              <w:t>Lūdzam konkretizēt projekta 23. punktu, skaidri norādot, kas uzskatāmi par citiem pasākumiem lēmuma pieņemšanai.</w:t>
            </w:r>
          </w:p>
        </w:tc>
        <w:tc>
          <w:tcPr>
            <w:tcW w:w="3827" w:type="dxa"/>
            <w:gridSpan w:val="2"/>
            <w:tcBorders>
              <w:left w:val="single" w:sz="6" w:space="0" w:color="000000"/>
              <w:bottom w:val="single" w:sz="4" w:space="0" w:color="auto"/>
              <w:right w:val="single" w:sz="6" w:space="0" w:color="000000"/>
            </w:tcBorders>
          </w:tcPr>
          <w:p w14:paraId="12914B61" w14:textId="77777777" w:rsidR="00C1277F" w:rsidRPr="00761B68" w:rsidRDefault="00C1277F" w:rsidP="00C1277F">
            <w:pPr>
              <w:pStyle w:val="naisc"/>
              <w:spacing w:before="0" w:after="0"/>
              <w:ind w:firstLine="720"/>
              <w:rPr>
                <w:b/>
              </w:rPr>
            </w:pPr>
            <w:r w:rsidRPr="00761B68">
              <w:rPr>
                <w:b/>
              </w:rPr>
              <w:t>Ņemts vērā</w:t>
            </w:r>
          </w:p>
          <w:p w14:paraId="6B0589CC" w14:textId="77777777" w:rsidR="00C1277F" w:rsidRPr="00761B68" w:rsidRDefault="00C1277F" w:rsidP="00C1277F">
            <w:pPr>
              <w:pStyle w:val="naisc"/>
              <w:spacing w:before="0" w:after="0"/>
              <w:jc w:val="left"/>
              <w:rPr>
                <w:b/>
              </w:rPr>
            </w:pPr>
          </w:p>
          <w:p w14:paraId="2B8CDB80" w14:textId="0F58B4B8" w:rsidR="00C1277F" w:rsidRPr="00761B68" w:rsidRDefault="00A25D12" w:rsidP="00C1277F">
            <w:pPr>
              <w:pStyle w:val="naisc"/>
              <w:spacing w:before="0" w:after="0"/>
              <w:jc w:val="both"/>
            </w:pPr>
            <w:r w:rsidRPr="00761B68">
              <w:t>Precizēta 22.punkta redakcija, svītrojot vārdus “vai veikt citus pasākumus”.</w:t>
            </w:r>
          </w:p>
          <w:p w14:paraId="4E8454D7" w14:textId="2A0CDAE9" w:rsidR="00C1277F" w:rsidRPr="00761B68" w:rsidRDefault="00C1277F" w:rsidP="00C1277F">
            <w:pPr>
              <w:pStyle w:val="naisc"/>
              <w:spacing w:before="0" w:after="0"/>
              <w:jc w:val="both"/>
            </w:pPr>
          </w:p>
        </w:tc>
        <w:tc>
          <w:tcPr>
            <w:tcW w:w="3260" w:type="dxa"/>
            <w:tcBorders>
              <w:top w:val="single" w:sz="4" w:space="0" w:color="auto"/>
              <w:left w:val="single" w:sz="4" w:space="0" w:color="auto"/>
              <w:bottom w:val="single" w:sz="4" w:space="0" w:color="auto"/>
            </w:tcBorders>
          </w:tcPr>
          <w:p w14:paraId="699FED40" w14:textId="76762C40" w:rsidR="00C1277F" w:rsidRPr="00761B68" w:rsidRDefault="00A25D12" w:rsidP="00C1277F">
            <w:pPr>
              <w:jc w:val="both"/>
              <w:rPr>
                <w:sz w:val="26"/>
                <w:szCs w:val="26"/>
              </w:rPr>
            </w:pPr>
            <w:r w:rsidRPr="00761B68">
              <w:t>Precizēta n</w:t>
            </w:r>
            <w:r w:rsidR="00C1277F" w:rsidRPr="00761B68">
              <w:rPr>
                <w:sz w:val="26"/>
                <w:szCs w:val="26"/>
              </w:rPr>
              <w:t>oteikumu projekta 2</w:t>
            </w:r>
            <w:r w:rsidRPr="00761B68">
              <w:rPr>
                <w:sz w:val="26"/>
                <w:szCs w:val="26"/>
              </w:rPr>
              <w:t>2</w:t>
            </w:r>
            <w:r w:rsidR="00C1277F" w:rsidRPr="00761B68">
              <w:rPr>
                <w:sz w:val="26"/>
                <w:szCs w:val="26"/>
              </w:rPr>
              <w:t>.punkta redakcija:</w:t>
            </w:r>
          </w:p>
          <w:p w14:paraId="375DA43D" w14:textId="09DC3A6D" w:rsidR="00C1277F" w:rsidRPr="00761B68" w:rsidRDefault="00C1277F" w:rsidP="00C1277F">
            <w:pPr>
              <w:jc w:val="both"/>
            </w:pPr>
            <w:r w:rsidRPr="00761B68">
              <w:rPr>
                <w:sz w:val="26"/>
                <w:szCs w:val="26"/>
              </w:rPr>
              <w:t>“2</w:t>
            </w:r>
            <w:r w:rsidR="00A25D12" w:rsidRPr="00761B68">
              <w:rPr>
                <w:sz w:val="26"/>
                <w:szCs w:val="26"/>
              </w:rPr>
              <w:t>2</w:t>
            </w:r>
            <w:r w:rsidRPr="00761B68">
              <w:rPr>
                <w:sz w:val="26"/>
                <w:szCs w:val="26"/>
              </w:rPr>
              <w:t>.</w:t>
            </w:r>
            <w:r w:rsidRPr="00761B68">
              <w:rPr>
                <w:sz w:val="26"/>
                <w:szCs w:val="26"/>
              </w:rPr>
              <w:tab/>
              <w:t xml:space="preserve">Birojs var pagarināt lēmumu pieņemšanu par iespējamo antidopinga noteikuma pārkāpuma konstatēšanu sportistam vai sporta darbiniekam par 20 </w:t>
            </w:r>
            <w:r w:rsidRPr="00761B68">
              <w:rPr>
                <w:sz w:val="26"/>
                <w:szCs w:val="26"/>
              </w:rPr>
              <w:lastRenderedPageBreak/>
              <w:t>darba dienām, ja ir nepieciešams iegūt papildu pierādījumus</w:t>
            </w:r>
            <w:r w:rsidR="00A25D12" w:rsidRPr="00761B68">
              <w:rPr>
                <w:sz w:val="26"/>
                <w:szCs w:val="26"/>
              </w:rPr>
              <w:t xml:space="preserve"> </w:t>
            </w:r>
            <w:r w:rsidRPr="00761B68">
              <w:rPr>
                <w:sz w:val="26"/>
                <w:szCs w:val="26"/>
              </w:rPr>
              <w:t>lēmuma pieņemšanai.”</w:t>
            </w:r>
          </w:p>
        </w:tc>
      </w:tr>
      <w:tr w:rsidR="00761B68" w:rsidRPr="00761B68" w14:paraId="29B6956F"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2D604FC6" w14:textId="404311A1" w:rsidR="004E0C07" w:rsidRPr="00761B68" w:rsidRDefault="004E0C07" w:rsidP="004E0C07">
            <w:pPr>
              <w:pStyle w:val="naisc"/>
              <w:numPr>
                <w:ilvl w:val="0"/>
                <w:numId w:val="10"/>
              </w:numPr>
              <w:spacing w:before="0" w:after="0"/>
            </w:pPr>
          </w:p>
        </w:tc>
        <w:tc>
          <w:tcPr>
            <w:tcW w:w="3086" w:type="dxa"/>
            <w:gridSpan w:val="2"/>
            <w:tcBorders>
              <w:left w:val="single" w:sz="6" w:space="0" w:color="000000"/>
              <w:bottom w:val="single" w:sz="4" w:space="0" w:color="auto"/>
              <w:right w:val="single" w:sz="6" w:space="0" w:color="000000"/>
            </w:tcBorders>
          </w:tcPr>
          <w:p w14:paraId="62E13CD0" w14:textId="77777777" w:rsidR="00C1277F" w:rsidRPr="00761B68" w:rsidRDefault="00C1277F" w:rsidP="00C1277F">
            <w:pPr>
              <w:jc w:val="both"/>
              <w:rPr>
                <w:sz w:val="26"/>
                <w:szCs w:val="26"/>
              </w:rPr>
            </w:pPr>
            <w:r w:rsidRPr="00761B68">
              <w:rPr>
                <w:sz w:val="26"/>
                <w:szCs w:val="26"/>
              </w:rPr>
              <w:t xml:space="preserve">Noteikumu projekta 35.punkta redakcija: </w:t>
            </w:r>
          </w:p>
          <w:p w14:paraId="75E6E840" w14:textId="77777777" w:rsidR="00C1277F" w:rsidRPr="00761B68" w:rsidRDefault="00C1277F" w:rsidP="00C1277F">
            <w:pPr>
              <w:jc w:val="both"/>
              <w:rPr>
                <w:sz w:val="26"/>
                <w:szCs w:val="26"/>
              </w:rPr>
            </w:pPr>
            <w:r w:rsidRPr="00761B68">
              <w:rPr>
                <w:sz w:val="26"/>
                <w:szCs w:val="26"/>
              </w:rPr>
              <w:t>“35.</w:t>
            </w:r>
            <w:r w:rsidRPr="00761B68">
              <w:rPr>
                <w:sz w:val="26"/>
                <w:szCs w:val="26"/>
              </w:rPr>
              <w:tab/>
              <w:t>Disciplinārās antidopinga komisijas sēdē antidopinga noteikumu pārkāpuma lietas izskatīšana notiek mutvārdos. Ja sportists vai sporta darbinieks nav sniedzis atbildi uz šo noteikumu II. nodaļā minēto Biroja nosūtīto paziņojumu, antidopinga noteikumu pārkāpuma lietas izskatīšana var notikt rakstveida procesā.</w:t>
            </w:r>
          </w:p>
          <w:p w14:paraId="3668E6A5" w14:textId="77777777" w:rsidR="00C1277F" w:rsidRPr="00761B68" w:rsidRDefault="00C1277F" w:rsidP="00C1277F">
            <w:pPr>
              <w:jc w:val="both"/>
              <w:rPr>
                <w:sz w:val="26"/>
                <w:szCs w:val="26"/>
              </w:rPr>
            </w:pPr>
            <w:r w:rsidRPr="00761B68">
              <w:rPr>
                <w:sz w:val="26"/>
                <w:szCs w:val="26"/>
              </w:rPr>
              <w:t>”</w:t>
            </w:r>
          </w:p>
        </w:tc>
        <w:tc>
          <w:tcPr>
            <w:tcW w:w="4111" w:type="dxa"/>
            <w:tcBorders>
              <w:left w:val="single" w:sz="6" w:space="0" w:color="000000"/>
              <w:bottom w:val="single" w:sz="4" w:space="0" w:color="auto"/>
              <w:right w:val="single" w:sz="6" w:space="0" w:color="000000"/>
            </w:tcBorders>
          </w:tcPr>
          <w:p w14:paraId="71652A78" w14:textId="77777777" w:rsidR="00C1277F" w:rsidRPr="00761B68" w:rsidRDefault="00C1277F" w:rsidP="00C1277F">
            <w:pPr>
              <w:pStyle w:val="naisc"/>
              <w:spacing w:before="0" w:after="0"/>
              <w:jc w:val="both"/>
            </w:pPr>
            <w:r w:rsidRPr="00761B68">
              <w:t>Lūdzam precizēt atsauci projekta 35. punktā, norādot nevis atsauci uz projekta nodaļu, bet gan konkrētām projekta normām.</w:t>
            </w:r>
          </w:p>
        </w:tc>
        <w:tc>
          <w:tcPr>
            <w:tcW w:w="3827" w:type="dxa"/>
            <w:gridSpan w:val="2"/>
            <w:tcBorders>
              <w:left w:val="single" w:sz="6" w:space="0" w:color="000000"/>
              <w:bottom w:val="single" w:sz="4" w:space="0" w:color="auto"/>
              <w:right w:val="single" w:sz="6" w:space="0" w:color="000000"/>
            </w:tcBorders>
          </w:tcPr>
          <w:p w14:paraId="511B3853" w14:textId="77777777" w:rsidR="00C1277F" w:rsidRPr="00761B68" w:rsidRDefault="00C1277F" w:rsidP="00C1277F">
            <w:pPr>
              <w:pStyle w:val="naisc"/>
              <w:spacing w:before="0" w:after="0"/>
              <w:ind w:firstLine="720"/>
              <w:rPr>
                <w:b/>
              </w:rPr>
            </w:pPr>
            <w:r w:rsidRPr="00761B68">
              <w:rPr>
                <w:b/>
              </w:rPr>
              <w:t>Ņemts vērā</w:t>
            </w:r>
          </w:p>
          <w:p w14:paraId="1C4CB660" w14:textId="77777777" w:rsidR="00C1277F" w:rsidRPr="00761B68" w:rsidRDefault="00C1277F" w:rsidP="00C1277F">
            <w:pPr>
              <w:pStyle w:val="naisc"/>
              <w:spacing w:before="0" w:after="0"/>
              <w:jc w:val="left"/>
              <w:rPr>
                <w:b/>
              </w:rPr>
            </w:pPr>
          </w:p>
          <w:p w14:paraId="45FD3BC5" w14:textId="77777777" w:rsidR="00C1277F" w:rsidRPr="00761B68" w:rsidRDefault="00C1277F" w:rsidP="00C1277F">
            <w:pPr>
              <w:pStyle w:val="naisc"/>
              <w:spacing w:before="0" w:after="0"/>
              <w:jc w:val="both"/>
            </w:pPr>
            <w:r w:rsidRPr="00761B68">
              <w:t xml:space="preserve">Precizēta noteikumu projekta 35.punkta redakcija. </w:t>
            </w:r>
          </w:p>
        </w:tc>
        <w:tc>
          <w:tcPr>
            <w:tcW w:w="3260" w:type="dxa"/>
            <w:tcBorders>
              <w:top w:val="single" w:sz="4" w:space="0" w:color="auto"/>
              <w:left w:val="single" w:sz="4" w:space="0" w:color="auto"/>
              <w:bottom w:val="single" w:sz="4" w:space="0" w:color="auto"/>
            </w:tcBorders>
          </w:tcPr>
          <w:p w14:paraId="1EEAC591" w14:textId="2205D20F" w:rsidR="00C1277F" w:rsidRPr="00761B68" w:rsidRDefault="00C1277F" w:rsidP="00C1277F">
            <w:pPr>
              <w:jc w:val="both"/>
            </w:pPr>
            <w:r w:rsidRPr="00761B68">
              <w:t>Tika precizēta noteikumu projekta 3</w:t>
            </w:r>
            <w:r w:rsidR="007B6654" w:rsidRPr="00761B68">
              <w:t>4</w:t>
            </w:r>
            <w:r w:rsidRPr="00761B68">
              <w:t>.punkta redakcija:</w:t>
            </w:r>
          </w:p>
          <w:p w14:paraId="54584431" w14:textId="77777777" w:rsidR="007B6654" w:rsidRPr="00761B68" w:rsidRDefault="007B6654" w:rsidP="00C1277F">
            <w:pPr>
              <w:jc w:val="both"/>
            </w:pPr>
          </w:p>
          <w:p w14:paraId="2FAA0CB7" w14:textId="487327B1" w:rsidR="00C1277F" w:rsidRPr="00761B68" w:rsidRDefault="00C1277F" w:rsidP="00C1277F">
            <w:pPr>
              <w:jc w:val="both"/>
            </w:pPr>
            <w:r w:rsidRPr="00761B68">
              <w:t>“3</w:t>
            </w:r>
            <w:r w:rsidR="007B6654" w:rsidRPr="00761B68">
              <w:t>4</w:t>
            </w:r>
            <w:r w:rsidRPr="00761B68">
              <w:t>. Disciplinārās antidopinga komisijas sēdē antidopinga noteikumu pārkāpuma lietas izskatīšana notiek mutvārdos. Ja sportists vai sporta darbinieks nav sniedzis šo noteikumu 2</w:t>
            </w:r>
            <w:r w:rsidR="007B6654" w:rsidRPr="00761B68">
              <w:t>0</w:t>
            </w:r>
            <w:r w:rsidRPr="00761B68">
              <w:t>.1.punktā minēto skaidrojumu, antidopinga noteikumu pārkāpuma lietas izskatīšana var notikt rakstveida procesā.”</w:t>
            </w:r>
          </w:p>
        </w:tc>
      </w:tr>
      <w:tr w:rsidR="00761B68" w:rsidRPr="00761B68" w14:paraId="5E04E505"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5C8F8BB4" w14:textId="308B55B3" w:rsidR="00C1277F" w:rsidRPr="00761B68" w:rsidRDefault="00C1277F" w:rsidP="004E0C07">
            <w:pPr>
              <w:pStyle w:val="naisc"/>
              <w:numPr>
                <w:ilvl w:val="0"/>
                <w:numId w:val="10"/>
              </w:numPr>
              <w:spacing w:before="0" w:after="0"/>
              <w:jc w:val="left"/>
            </w:pPr>
          </w:p>
        </w:tc>
        <w:tc>
          <w:tcPr>
            <w:tcW w:w="3086" w:type="dxa"/>
            <w:gridSpan w:val="2"/>
            <w:tcBorders>
              <w:left w:val="single" w:sz="6" w:space="0" w:color="000000"/>
              <w:bottom w:val="single" w:sz="4" w:space="0" w:color="auto"/>
              <w:right w:val="single" w:sz="6" w:space="0" w:color="000000"/>
            </w:tcBorders>
          </w:tcPr>
          <w:p w14:paraId="09EF6411" w14:textId="77777777" w:rsidR="00C1277F" w:rsidRPr="00761B68" w:rsidRDefault="00C1277F" w:rsidP="00C1277F">
            <w:pPr>
              <w:jc w:val="both"/>
              <w:rPr>
                <w:sz w:val="26"/>
                <w:szCs w:val="26"/>
              </w:rPr>
            </w:pPr>
            <w:r w:rsidRPr="00761B68">
              <w:rPr>
                <w:sz w:val="26"/>
                <w:szCs w:val="26"/>
              </w:rPr>
              <w:t>Noteikumu projekta 38.punkta redakcija:</w:t>
            </w:r>
          </w:p>
          <w:p w14:paraId="3FDE9454" w14:textId="77777777" w:rsidR="00C1277F" w:rsidRPr="00761B68" w:rsidRDefault="00C1277F" w:rsidP="00C1277F">
            <w:pPr>
              <w:jc w:val="both"/>
              <w:rPr>
                <w:sz w:val="26"/>
                <w:szCs w:val="26"/>
              </w:rPr>
            </w:pPr>
            <w:r w:rsidRPr="00761B68">
              <w:rPr>
                <w:sz w:val="26"/>
                <w:szCs w:val="26"/>
              </w:rPr>
              <w:t>“38.</w:t>
            </w:r>
            <w:r w:rsidRPr="00761B68">
              <w:rPr>
                <w:sz w:val="26"/>
                <w:szCs w:val="26"/>
              </w:rPr>
              <w:tab/>
              <w:t xml:space="preserve">Organizācijām, kas saņēmušas lēmumu par iespējamo antidopinga noteikuma pārkāpuma konstatēšanu, ir tiesības piedalīties Disciplinārās </w:t>
            </w:r>
            <w:r w:rsidRPr="00761B68">
              <w:rPr>
                <w:sz w:val="26"/>
                <w:szCs w:val="26"/>
              </w:rPr>
              <w:lastRenderedPageBreak/>
              <w:t>antidopinga komisijas sēdē.”</w:t>
            </w:r>
          </w:p>
        </w:tc>
        <w:tc>
          <w:tcPr>
            <w:tcW w:w="4111" w:type="dxa"/>
            <w:tcBorders>
              <w:left w:val="single" w:sz="6" w:space="0" w:color="000000"/>
              <w:bottom w:val="single" w:sz="4" w:space="0" w:color="auto"/>
              <w:right w:val="single" w:sz="6" w:space="0" w:color="000000"/>
            </w:tcBorders>
          </w:tcPr>
          <w:p w14:paraId="58ED1E2D" w14:textId="77777777" w:rsidR="00C1277F" w:rsidRPr="00761B68" w:rsidRDefault="00C1277F" w:rsidP="00C1277F">
            <w:pPr>
              <w:pStyle w:val="naisc"/>
              <w:spacing w:before="0" w:after="0"/>
              <w:jc w:val="both"/>
            </w:pPr>
            <w:r w:rsidRPr="00761B68">
              <w:lastRenderedPageBreak/>
              <w:t>Lūdzam projekta 38. punktā, konkretizēt organizācijas, norādot vismaz to darbību jomu, jo, loģiski vērtējot, projekta regulējums skar tikai sporta organizācijas.</w:t>
            </w:r>
          </w:p>
        </w:tc>
        <w:tc>
          <w:tcPr>
            <w:tcW w:w="3827" w:type="dxa"/>
            <w:gridSpan w:val="2"/>
            <w:tcBorders>
              <w:left w:val="single" w:sz="6" w:space="0" w:color="000000"/>
              <w:bottom w:val="single" w:sz="4" w:space="0" w:color="auto"/>
              <w:right w:val="single" w:sz="6" w:space="0" w:color="000000"/>
            </w:tcBorders>
          </w:tcPr>
          <w:p w14:paraId="1BAB7F03" w14:textId="77777777" w:rsidR="00C1277F" w:rsidRPr="00761B68" w:rsidRDefault="00C1277F" w:rsidP="00C1277F">
            <w:pPr>
              <w:pStyle w:val="naisc"/>
              <w:spacing w:before="0" w:after="0"/>
              <w:ind w:firstLine="720"/>
              <w:rPr>
                <w:b/>
              </w:rPr>
            </w:pPr>
            <w:r w:rsidRPr="00761B68">
              <w:rPr>
                <w:b/>
              </w:rPr>
              <w:t>Ņemts vērā</w:t>
            </w:r>
          </w:p>
          <w:p w14:paraId="1D3467B0" w14:textId="77777777" w:rsidR="00C1277F" w:rsidRPr="00761B68" w:rsidRDefault="00C1277F" w:rsidP="00C1277F">
            <w:pPr>
              <w:pStyle w:val="naisc"/>
              <w:spacing w:before="0" w:after="0"/>
              <w:jc w:val="left"/>
              <w:rPr>
                <w:b/>
              </w:rPr>
            </w:pPr>
          </w:p>
          <w:p w14:paraId="416A8BF7" w14:textId="77777777" w:rsidR="00C1277F" w:rsidRPr="00761B68" w:rsidRDefault="007B6654" w:rsidP="00C1277F">
            <w:pPr>
              <w:pStyle w:val="naisc"/>
              <w:spacing w:before="0" w:after="0"/>
              <w:jc w:val="both"/>
            </w:pPr>
            <w:r w:rsidRPr="00761B68">
              <w:t xml:space="preserve">Precizēts noteikumu projekta 37.punkts ar organizācijām, kuras atbilstoši noteikumu projekta 11., 13., 17. un 18.punktam var saņemt informāciju par iespējamo antidopinga noteikuma pārkāpuma konstatēšanu un uzaicinājumu </w:t>
            </w:r>
            <w:r w:rsidRPr="00761B68">
              <w:lastRenderedPageBreak/>
              <w:t xml:space="preserve">piedalīties Disciplinārās antidopinga komisijas sēdē. Šīs organizācijas ir </w:t>
            </w:r>
            <w:r w:rsidR="00C1277F" w:rsidRPr="00761B68">
              <w:t>sportista sporta organizācija, valsts nacionāl</w:t>
            </w:r>
            <w:r w:rsidRPr="00761B68">
              <w:t>ā</w:t>
            </w:r>
            <w:r w:rsidR="00C1277F" w:rsidRPr="00761B68">
              <w:t xml:space="preserve"> antidopinga organizācija un Pasaules Antidopinga aģentūra. </w:t>
            </w:r>
          </w:p>
          <w:p w14:paraId="7E7A9D5B" w14:textId="3F6FDC7D" w:rsidR="007B6654" w:rsidRPr="00761B68" w:rsidRDefault="007B6654" w:rsidP="00C1277F">
            <w:pPr>
              <w:pStyle w:val="naisc"/>
              <w:spacing w:before="0" w:after="0"/>
              <w:jc w:val="both"/>
            </w:pPr>
          </w:p>
        </w:tc>
        <w:tc>
          <w:tcPr>
            <w:tcW w:w="3260" w:type="dxa"/>
            <w:tcBorders>
              <w:top w:val="single" w:sz="4" w:space="0" w:color="auto"/>
              <w:left w:val="single" w:sz="4" w:space="0" w:color="auto"/>
              <w:bottom w:val="single" w:sz="4" w:space="0" w:color="auto"/>
            </w:tcBorders>
          </w:tcPr>
          <w:p w14:paraId="127E83EC" w14:textId="77777777" w:rsidR="00C1277F" w:rsidRPr="00761B68" w:rsidRDefault="00C1277F" w:rsidP="00C1277F">
            <w:pPr>
              <w:jc w:val="both"/>
            </w:pPr>
            <w:r w:rsidRPr="00761B68">
              <w:lastRenderedPageBreak/>
              <w:t xml:space="preserve">Precizēts noteikumu projekta 37.punkts: </w:t>
            </w:r>
          </w:p>
          <w:p w14:paraId="40F3A4C5" w14:textId="217C49E5" w:rsidR="00C1277F" w:rsidRPr="00761B68" w:rsidRDefault="001C78A2" w:rsidP="00C1277F">
            <w:pPr>
              <w:jc w:val="both"/>
            </w:pPr>
            <w:r w:rsidRPr="00761B68">
              <w:t>“37.</w:t>
            </w:r>
            <w:r w:rsidRPr="00761B68">
              <w:tab/>
              <w:t xml:space="preserve"> Ja sportista sporta organizācija, valsts nacionālā antidopinga organizācija un Pasaules Antidopinga aģentūra ir saņēmusi lēmumu par iespējamo antidopinga noteikuma pārkāpuma </w:t>
            </w:r>
            <w:r w:rsidRPr="00761B68">
              <w:lastRenderedPageBreak/>
              <w:t>konstatēšanu, tai ir tiesības piedalīties Disciplinārās antidopinga komisijas sēdē.”</w:t>
            </w:r>
          </w:p>
        </w:tc>
      </w:tr>
      <w:tr w:rsidR="00761B68" w:rsidRPr="00761B68" w14:paraId="458F0223"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7CD2C748" w14:textId="307D3E85" w:rsidR="00C1277F" w:rsidRPr="00761B68" w:rsidRDefault="00C1277F" w:rsidP="00876529">
            <w:pPr>
              <w:pStyle w:val="naisc"/>
              <w:numPr>
                <w:ilvl w:val="0"/>
                <w:numId w:val="10"/>
              </w:numPr>
              <w:spacing w:before="0" w:after="0"/>
              <w:jc w:val="left"/>
            </w:pPr>
          </w:p>
        </w:tc>
        <w:tc>
          <w:tcPr>
            <w:tcW w:w="3086" w:type="dxa"/>
            <w:gridSpan w:val="2"/>
            <w:tcBorders>
              <w:left w:val="single" w:sz="6" w:space="0" w:color="000000"/>
              <w:bottom w:val="single" w:sz="4" w:space="0" w:color="auto"/>
              <w:right w:val="single" w:sz="6" w:space="0" w:color="000000"/>
            </w:tcBorders>
          </w:tcPr>
          <w:p w14:paraId="3D340686" w14:textId="77777777" w:rsidR="00C1277F" w:rsidRPr="00761B68" w:rsidRDefault="00C1277F" w:rsidP="00C1277F">
            <w:pPr>
              <w:jc w:val="both"/>
              <w:rPr>
                <w:sz w:val="26"/>
                <w:szCs w:val="26"/>
              </w:rPr>
            </w:pPr>
            <w:r w:rsidRPr="00761B68">
              <w:rPr>
                <w:sz w:val="26"/>
                <w:szCs w:val="26"/>
              </w:rPr>
              <w:t xml:space="preserve">Noteikumu projekta 44. un 45. punkta redakcija: </w:t>
            </w:r>
          </w:p>
          <w:p w14:paraId="0FEB15C7" w14:textId="77777777" w:rsidR="00C1277F" w:rsidRPr="00761B68" w:rsidRDefault="00C1277F" w:rsidP="00C1277F">
            <w:pPr>
              <w:jc w:val="both"/>
              <w:rPr>
                <w:sz w:val="26"/>
                <w:szCs w:val="26"/>
              </w:rPr>
            </w:pPr>
            <w:r w:rsidRPr="00761B68">
              <w:rPr>
                <w:sz w:val="26"/>
                <w:szCs w:val="26"/>
              </w:rPr>
              <w:t>“44.</w:t>
            </w:r>
            <w:r w:rsidRPr="00761B68">
              <w:rPr>
                <w:sz w:val="26"/>
                <w:szCs w:val="26"/>
              </w:rPr>
              <w:tab/>
              <w:t>Birojs ne vēlāk kā trīs darba dienu laikā atdod sportistam nepareizi aizpildītu terapeitiskās lietošanas atļaujas piešķiršanas pieteikuma anketu vai neatbilstošu medicīnisko dokumentāciju, un sportists 10 darba dienu laikā iesniedz precizētu terapeitiskās lietošanas atļaujas piešķiršanas pieteikuma anketu vai atbilstošu medicīnisko dokumentāciju.</w:t>
            </w:r>
          </w:p>
          <w:p w14:paraId="48AF37A1" w14:textId="77777777" w:rsidR="00C1277F" w:rsidRPr="00761B68" w:rsidRDefault="00C1277F" w:rsidP="00C1277F">
            <w:pPr>
              <w:jc w:val="both"/>
              <w:rPr>
                <w:sz w:val="26"/>
                <w:szCs w:val="26"/>
              </w:rPr>
            </w:pPr>
          </w:p>
          <w:p w14:paraId="04F5E825" w14:textId="77777777" w:rsidR="00C1277F" w:rsidRPr="00761B68" w:rsidRDefault="00C1277F" w:rsidP="00C1277F">
            <w:pPr>
              <w:jc w:val="both"/>
              <w:rPr>
                <w:sz w:val="26"/>
                <w:szCs w:val="26"/>
              </w:rPr>
            </w:pPr>
            <w:r w:rsidRPr="00761B68">
              <w:rPr>
                <w:sz w:val="26"/>
                <w:szCs w:val="26"/>
              </w:rPr>
              <w:t>45.</w:t>
            </w:r>
            <w:r w:rsidRPr="00761B68">
              <w:rPr>
                <w:sz w:val="26"/>
                <w:szCs w:val="26"/>
              </w:rPr>
              <w:tab/>
              <w:t xml:space="preserve">Birojs ne vēlāk kā trīs darba dienu laikā pareizi aizpildītu terapeitiskās lietošanas atļaujas piešķiršanas pieteikuma anketu un </w:t>
            </w:r>
            <w:r w:rsidRPr="00761B68">
              <w:rPr>
                <w:sz w:val="26"/>
                <w:szCs w:val="26"/>
              </w:rPr>
              <w:lastRenderedPageBreak/>
              <w:t xml:space="preserve">medicīnisko dokumentāciju </w:t>
            </w:r>
            <w:proofErr w:type="spellStart"/>
            <w:r w:rsidRPr="00761B68">
              <w:rPr>
                <w:sz w:val="26"/>
                <w:szCs w:val="26"/>
              </w:rPr>
              <w:t>nosūta</w:t>
            </w:r>
            <w:proofErr w:type="spellEnd"/>
            <w:r w:rsidRPr="00761B68">
              <w:rPr>
                <w:sz w:val="26"/>
                <w:szCs w:val="26"/>
              </w:rPr>
              <w:t xml:space="preserve"> izvērtēšanai Terapeitiskās lietošanas izņēmumu komisijai.”</w:t>
            </w:r>
          </w:p>
        </w:tc>
        <w:tc>
          <w:tcPr>
            <w:tcW w:w="4111" w:type="dxa"/>
            <w:tcBorders>
              <w:left w:val="single" w:sz="6" w:space="0" w:color="000000"/>
              <w:bottom w:val="single" w:sz="4" w:space="0" w:color="auto"/>
              <w:right w:val="single" w:sz="6" w:space="0" w:color="000000"/>
            </w:tcBorders>
          </w:tcPr>
          <w:p w14:paraId="68D77FF2" w14:textId="77777777" w:rsidR="00C1277F" w:rsidRPr="00761B68" w:rsidRDefault="00C1277F" w:rsidP="00C1277F">
            <w:pPr>
              <w:pStyle w:val="naisc"/>
              <w:spacing w:before="0" w:after="0"/>
              <w:jc w:val="both"/>
            </w:pPr>
            <w:r w:rsidRPr="00761B68">
              <w:lastRenderedPageBreak/>
              <w:t>Vēršam uzmanību, ka projekta 44. un 45. punktā nav saprotams, kas ir “pareizi” un “nepareizi” aizpildīta anketa. Attiecīgi lūdzam projektā norādīt pareizības konstatēšanas kritērijus.</w:t>
            </w:r>
          </w:p>
        </w:tc>
        <w:tc>
          <w:tcPr>
            <w:tcW w:w="3827" w:type="dxa"/>
            <w:gridSpan w:val="2"/>
            <w:tcBorders>
              <w:left w:val="single" w:sz="6" w:space="0" w:color="000000"/>
              <w:bottom w:val="single" w:sz="4" w:space="0" w:color="auto"/>
              <w:right w:val="single" w:sz="6" w:space="0" w:color="000000"/>
            </w:tcBorders>
          </w:tcPr>
          <w:p w14:paraId="2E546312" w14:textId="77777777" w:rsidR="00C1277F" w:rsidRPr="00761B68" w:rsidRDefault="00C1277F" w:rsidP="00C1277F">
            <w:pPr>
              <w:pStyle w:val="naisc"/>
              <w:spacing w:before="0" w:after="0"/>
              <w:ind w:firstLine="720"/>
              <w:rPr>
                <w:b/>
              </w:rPr>
            </w:pPr>
            <w:r w:rsidRPr="00761B68">
              <w:rPr>
                <w:b/>
              </w:rPr>
              <w:t>Ņemts vērā</w:t>
            </w:r>
          </w:p>
          <w:p w14:paraId="7669828D" w14:textId="77777777" w:rsidR="00C1277F" w:rsidRPr="00761B68" w:rsidRDefault="00C1277F" w:rsidP="00C1277F">
            <w:pPr>
              <w:pStyle w:val="naisc"/>
              <w:spacing w:before="0" w:after="0"/>
              <w:jc w:val="left"/>
              <w:rPr>
                <w:b/>
              </w:rPr>
            </w:pPr>
          </w:p>
          <w:p w14:paraId="467787B3" w14:textId="3D8C82AF" w:rsidR="00C1277F" w:rsidRPr="00761B68" w:rsidRDefault="00C1277F" w:rsidP="00C1277F">
            <w:pPr>
              <w:pStyle w:val="naisc"/>
              <w:spacing w:before="0" w:after="0"/>
              <w:jc w:val="both"/>
            </w:pPr>
            <w:r w:rsidRPr="00761B68">
              <w:t>Precizēts noteikumu projekta 4</w:t>
            </w:r>
            <w:r w:rsidR="001C78A2" w:rsidRPr="00761B68">
              <w:t>3. un 4</w:t>
            </w:r>
            <w:r w:rsidR="006703E1" w:rsidRPr="00761B68">
              <w:t>4</w:t>
            </w:r>
            <w:r w:rsidRPr="00761B68">
              <w:t xml:space="preserve">.punkts, aizvietojot vārdu “pareizi” ar vārdu “pilnīgi”. </w:t>
            </w:r>
          </w:p>
          <w:p w14:paraId="25C04DFA" w14:textId="559007A7" w:rsidR="00C1277F" w:rsidRPr="00761B68" w:rsidRDefault="00C1277F" w:rsidP="00C1277F">
            <w:pPr>
              <w:pStyle w:val="naisc"/>
              <w:spacing w:before="0" w:after="0"/>
              <w:jc w:val="both"/>
            </w:pPr>
            <w:r w:rsidRPr="00761B68">
              <w:t xml:space="preserve">Papildināts noteikumu projekta anotācijas I sadaļas 2.punkts ar skaidrojumu, kāda anketa tiek uzskatīta par pilnīgi aizpildītu pieteikuma anketu. </w:t>
            </w:r>
          </w:p>
          <w:p w14:paraId="48C25355" w14:textId="18F116FB" w:rsidR="00C1277F" w:rsidRPr="00761B68" w:rsidRDefault="00C1277F" w:rsidP="00C1277F">
            <w:pPr>
              <w:pStyle w:val="naisc"/>
              <w:spacing w:before="0" w:after="0"/>
              <w:jc w:val="both"/>
            </w:pPr>
            <w:r w:rsidRPr="00761B68">
              <w:t xml:space="preserve">Skaidrojam, ka </w:t>
            </w:r>
            <w:r w:rsidR="001C78A2" w:rsidRPr="00761B68">
              <w:t>B</w:t>
            </w:r>
            <w:r w:rsidRPr="00761B68">
              <w:t xml:space="preserve">irojs terapeitiskās lietošanas atļaujas pieteikumu pieņem, ja ir aizpildīta </w:t>
            </w:r>
            <w:r w:rsidR="001C78A2" w:rsidRPr="00761B68">
              <w:t xml:space="preserve">Biroja </w:t>
            </w:r>
            <w:r w:rsidRPr="00761B68">
              <w:t>mājaslapā publicētā veidlapa un tās visas sadaļas aizpildītas salasāmi ar prasīto informāciju un to ir parakstījis sportists un sportista ārsts. Tāpat iesniegtajai medicīniskajai informācijai ir jāatbilst Starptautiskā terapeitiskās lietošanas atļaujas standarta 6.2.punkta prasībām.</w:t>
            </w:r>
          </w:p>
        </w:tc>
        <w:tc>
          <w:tcPr>
            <w:tcW w:w="3260" w:type="dxa"/>
            <w:tcBorders>
              <w:top w:val="single" w:sz="4" w:space="0" w:color="auto"/>
              <w:left w:val="single" w:sz="4" w:space="0" w:color="auto"/>
              <w:bottom w:val="single" w:sz="4" w:space="0" w:color="auto"/>
            </w:tcBorders>
          </w:tcPr>
          <w:p w14:paraId="7BC2BE60" w14:textId="598CBDAD" w:rsidR="00C1277F" w:rsidRPr="00761B68" w:rsidRDefault="00C1277F" w:rsidP="00C1277F">
            <w:pPr>
              <w:pStyle w:val="naisc"/>
              <w:spacing w:before="0" w:after="0"/>
              <w:jc w:val="both"/>
            </w:pPr>
            <w:r w:rsidRPr="00761B68">
              <w:t xml:space="preserve">Precizēts noteikumu projekta </w:t>
            </w:r>
            <w:r w:rsidR="001C78A2" w:rsidRPr="00761B68">
              <w:t>4</w:t>
            </w:r>
            <w:r w:rsidR="006703E1" w:rsidRPr="00761B68">
              <w:t>3</w:t>
            </w:r>
            <w:r w:rsidR="001C78A2" w:rsidRPr="00761B68">
              <w:t>. un 4</w:t>
            </w:r>
            <w:r w:rsidR="006703E1" w:rsidRPr="00761B68">
              <w:t>4</w:t>
            </w:r>
            <w:r w:rsidR="001C78A2" w:rsidRPr="00761B68">
              <w:t>.</w:t>
            </w:r>
            <w:r w:rsidRPr="00761B68">
              <w:t xml:space="preserve">punkts, aizvietojot vārdu “pareizi” ar vārdu “pilnīgi”. </w:t>
            </w:r>
          </w:p>
          <w:p w14:paraId="1D4F9B1B" w14:textId="63F560B0" w:rsidR="00C1277F" w:rsidRPr="00761B68" w:rsidRDefault="00C1277F" w:rsidP="00C1277F">
            <w:pPr>
              <w:jc w:val="both"/>
            </w:pPr>
          </w:p>
          <w:p w14:paraId="6203C44F" w14:textId="7FB351A1" w:rsidR="00C1277F" w:rsidRPr="00761B68" w:rsidRDefault="00C1277F" w:rsidP="00C1277F">
            <w:pPr>
              <w:jc w:val="both"/>
            </w:pPr>
            <w:r w:rsidRPr="00761B68">
              <w:t>Papildināts noteikumu projekta anotācijas I sadaļas 2.punkts ar skaidrojumu, kāda anketa tiek uzskatīta par pilnīgi aizpildītu anketu.</w:t>
            </w:r>
          </w:p>
        </w:tc>
      </w:tr>
      <w:tr w:rsidR="00761B68" w:rsidRPr="00761B68" w14:paraId="5B585AF0"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1A51C0B9" w14:textId="7AFBC9A4" w:rsidR="00C1277F" w:rsidRPr="00761B68" w:rsidRDefault="00876529" w:rsidP="00876529">
            <w:pPr>
              <w:pStyle w:val="naisc"/>
              <w:spacing w:before="0" w:after="0"/>
              <w:ind w:left="174"/>
              <w:jc w:val="left"/>
            </w:pPr>
            <w:r w:rsidRPr="00761B68">
              <w:t xml:space="preserve">15. </w:t>
            </w:r>
          </w:p>
        </w:tc>
        <w:tc>
          <w:tcPr>
            <w:tcW w:w="3086" w:type="dxa"/>
            <w:gridSpan w:val="2"/>
            <w:tcBorders>
              <w:left w:val="single" w:sz="6" w:space="0" w:color="000000"/>
              <w:bottom w:val="single" w:sz="4" w:space="0" w:color="auto"/>
              <w:right w:val="single" w:sz="6" w:space="0" w:color="000000"/>
            </w:tcBorders>
          </w:tcPr>
          <w:p w14:paraId="4D5B4209" w14:textId="77777777" w:rsidR="00C1277F" w:rsidRPr="00761B68" w:rsidRDefault="00C1277F" w:rsidP="00C1277F">
            <w:pPr>
              <w:jc w:val="both"/>
              <w:rPr>
                <w:sz w:val="26"/>
                <w:szCs w:val="26"/>
              </w:rPr>
            </w:pPr>
            <w:r w:rsidRPr="00761B68">
              <w:rPr>
                <w:sz w:val="26"/>
                <w:szCs w:val="26"/>
              </w:rPr>
              <w:t xml:space="preserve">Noteikumu projekta 52.punkta redakcija: </w:t>
            </w:r>
          </w:p>
          <w:p w14:paraId="41014263" w14:textId="77777777" w:rsidR="00C1277F" w:rsidRPr="00761B68" w:rsidRDefault="00C1277F" w:rsidP="00C1277F">
            <w:pPr>
              <w:jc w:val="both"/>
              <w:rPr>
                <w:sz w:val="26"/>
                <w:szCs w:val="26"/>
              </w:rPr>
            </w:pPr>
            <w:r w:rsidRPr="00761B68">
              <w:rPr>
                <w:sz w:val="26"/>
                <w:szCs w:val="26"/>
              </w:rPr>
              <w:t>“52.</w:t>
            </w:r>
            <w:r w:rsidRPr="00761B68">
              <w:rPr>
                <w:sz w:val="26"/>
                <w:szCs w:val="26"/>
              </w:rPr>
              <w:tab/>
              <w:t>Sporta likumā noteiktās personas iesniegumu lietas izskatīšanai Pārsūdzības komisijā var iesniegt Birojā 20 darba dienu laikā no lēmuma pieņemšanas dienas.”</w:t>
            </w:r>
          </w:p>
        </w:tc>
        <w:tc>
          <w:tcPr>
            <w:tcW w:w="4111" w:type="dxa"/>
            <w:tcBorders>
              <w:left w:val="single" w:sz="6" w:space="0" w:color="000000"/>
              <w:bottom w:val="single" w:sz="4" w:space="0" w:color="auto"/>
              <w:right w:val="single" w:sz="6" w:space="0" w:color="000000"/>
            </w:tcBorders>
          </w:tcPr>
          <w:p w14:paraId="685CB81D" w14:textId="77777777" w:rsidR="00C1277F" w:rsidRPr="00761B68" w:rsidRDefault="00C1277F" w:rsidP="00C1277F">
            <w:pPr>
              <w:pStyle w:val="naisc"/>
              <w:spacing w:before="0" w:after="0"/>
              <w:jc w:val="both"/>
            </w:pPr>
            <w:r w:rsidRPr="00761B68">
              <w:t>Lūdzam precizēt projekta 52. punktā ietverto atsauci uz Sporta likumu, norādot precīzas Sporta likuma normas, tādējādi atvieglojot projekta piemērošanu praksē.</w:t>
            </w:r>
          </w:p>
        </w:tc>
        <w:tc>
          <w:tcPr>
            <w:tcW w:w="3827" w:type="dxa"/>
            <w:gridSpan w:val="2"/>
            <w:tcBorders>
              <w:left w:val="single" w:sz="6" w:space="0" w:color="000000"/>
              <w:bottom w:val="single" w:sz="4" w:space="0" w:color="auto"/>
              <w:right w:val="single" w:sz="6" w:space="0" w:color="000000"/>
            </w:tcBorders>
          </w:tcPr>
          <w:p w14:paraId="48101CCE" w14:textId="77777777" w:rsidR="00C1277F" w:rsidRPr="00761B68" w:rsidRDefault="00C1277F" w:rsidP="00C1277F">
            <w:pPr>
              <w:pStyle w:val="naisc"/>
              <w:spacing w:before="0" w:after="0"/>
              <w:ind w:firstLine="720"/>
              <w:rPr>
                <w:b/>
              </w:rPr>
            </w:pPr>
            <w:r w:rsidRPr="00761B68">
              <w:rPr>
                <w:b/>
              </w:rPr>
              <w:t>Ņemts vērā</w:t>
            </w:r>
          </w:p>
          <w:p w14:paraId="2D2DF6BC" w14:textId="77777777" w:rsidR="00C1277F" w:rsidRPr="00761B68" w:rsidRDefault="00C1277F" w:rsidP="00C1277F">
            <w:pPr>
              <w:pStyle w:val="naisc"/>
              <w:spacing w:before="0" w:after="0"/>
              <w:ind w:firstLine="720"/>
              <w:rPr>
                <w:b/>
              </w:rPr>
            </w:pPr>
          </w:p>
          <w:p w14:paraId="575F535A" w14:textId="3C9E96A8" w:rsidR="00C1277F" w:rsidRPr="00761B68" w:rsidRDefault="00C1277F" w:rsidP="00C1277F">
            <w:pPr>
              <w:pStyle w:val="naisc"/>
              <w:spacing w:before="0" w:after="0"/>
              <w:jc w:val="both"/>
            </w:pPr>
            <w:r w:rsidRPr="00761B68">
              <w:t xml:space="preserve">Papildināts noteikumu projekta 52.punkts ar Sporta likuma </w:t>
            </w:r>
            <w:r w:rsidR="006703E1" w:rsidRPr="00761B68">
              <w:t>pantu</w:t>
            </w:r>
            <w:r w:rsidRPr="00761B68">
              <w:t xml:space="preserve">, kas nosaka personas un organizācijas, kuras var vērsties ar sūdzību Pārsūdzības komisijā. </w:t>
            </w:r>
          </w:p>
        </w:tc>
        <w:tc>
          <w:tcPr>
            <w:tcW w:w="3260" w:type="dxa"/>
            <w:tcBorders>
              <w:top w:val="single" w:sz="4" w:space="0" w:color="auto"/>
              <w:left w:val="single" w:sz="4" w:space="0" w:color="auto"/>
              <w:bottom w:val="single" w:sz="4" w:space="0" w:color="auto"/>
            </w:tcBorders>
          </w:tcPr>
          <w:p w14:paraId="7F0D815A" w14:textId="3191EE4D" w:rsidR="00C1277F" w:rsidRPr="00761B68" w:rsidRDefault="00C1277F" w:rsidP="00C1277F">
            <w:pPr>
              <w:jc w:val="both"/>
            </w:pPr>
            <w:r w:rsidRPr="00761B68">
              <w:t>Precizētā noteikumu projekta 5</w:t>
            </w:r>
            <w:r w:rsidR="006703E1" w:rsidRPr="00761B68">
              <w:t>1</w:t>
            </w:r>
            <w:r w:rsidRPr="00761B68">
              <w:t xml:space="preserve">.punkta redakcija: </w:t>
            </w:r>
          </w:p>
          <w:p w14:paraId="44285BD9" w14:textId="49A54D86" w:rsidR="00C1277F" w:rsidRPr="00761B68" w:rsidRDefault="00C1277F" w:rsidP="00C1277F">
            <w:pPr>
              <w:jc w:val="both"/>
              <w:rPr>
                <w:sz w:val="26"/>
                <w:szCs w:val="26"/>
              </w:rPr>
            </w:pPr>
            <w:r w:rsidRPr="00761B68">
              <w:t>“5</w:t>
            </w:r>
            <w:r w:rsidR="006703E1" w:rsidRPr="00761B68">
              <w:t>1</w:t>
            </w:r>
            <w:r w:rsidRPr="00761B68">
              <w:t>. Sporta likuma 11.</w:t>
            </w:r>
            <w:r w:rsidRPr="00761B68">
              <w:rPr>
                <w:vertAlign w:val="superscript"/>
              </w:rPr>
              <w:t>5</w:t>
            </w:r>
            <w:r w:rsidRPr="00761B68">
              <w:t xml:space="preserve"> panta pirmās daļas trešajā punktā noteiktās personas iesniegumu lietas izskatīšanai Pārsūdzības komisijā var iesniegt 20 darba dienu laikā no lēmuma pieņemšanas dienas.”</w:t>
            </w:r>
          </w:p>
        </w:tc>
      </w:tr>
      <w:tr w:rsidR="00761B68" w:rsidRPr="00761B68" w14:paraId="5D04B91F"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67A5917C" w14:textId="1C7601FE" w:rsidR="00C1277F" w:rsidRPr="00761B68" w:rsidRDefault="00C1277F" w:rsidP="00876529">
            <w:pPr>
              <w:pStyle w:val="naisc"/>
              <w:numPr>
                <w:ilvl w:val="0"/>
                <w:numId w:val="12"/>
              </w:numPr>
              <w:spacing w:before="0" w:after="0"/>
              <w:jc w:val="left"/>
            </w:pPr>
          </w:p>
        </w:tc>
        <w:tc>
          <w:tcPr>
            <w:tcW w:w="3086" w:type="dxa"/>
            <w:gridSpan w:val="2"/>
            <w:tcBorders>
              <w:left w:val="single" w:sz="6" w:space="0" w:color="000000"/>
              <w:bottom w:val="single" w:sz="4" w:space="0" w:color="auto"/>
              <w:right w:val="single" w:sz="6" w:space="0" w:color="000000"/>
            </w:tcBorders>
          </w:tcPr>
          <w:p w14:paraId="55CB3C41" w14:textId="77777777" w:rsidR="00C1277F" w:rsidRPr="00761B68" w:rsidRDefault="00C1277F" w:rsidP="00C1277F">
            <w:pPr>
              <w:jc w:val="both"/>
              <w:rPr>
                <w:sz w:val="26"/>
                <w:szCs w:val="26"/>
              </w:rPr>
            </w:pPr>
          </w:p>
        </w:tc>
        <w:tc>
          <w:tcPr>
            <w:tcW w:w="4111" w:type="dxa"/>
            <w:tcBorders>
              <w:left w:val="single" w:sz="6" w:space="0" w:color="000000"/>
              <w:bottom w:val="single" w:sz="4" w:space="0" w:color="auto"/>
              <w:right w:val="single" w:sz="6" w:space="0" w:color="000000"/>
            </w:tcBorders>
          </w:tcPr>
          <w:p w14:paraId="70D36D44" w14:textId="77777777" w:rsidR="00C1277F" w:rsidRPr="00761B68" w:rsidRDefault="00C1277F" w:rsidP="00C1277F">
            <w:pPr>
              <w:pStyle w:val="naisc"/>
              <w:spacing w:before="0" w:after="0"/>
              <w:jc w:val="both"/>
            </w:pPr>
            <w:r w:rsidRPr="00761B68">
              <w:t>Ņemot vērā, ka projekta 1.1. apakšpunktā ietverta atsauce arī uz 1989. gada 16. novembra Eiropas Padomes Antidopinga konvenciju Nr.135, lūdzam papildināt projekta anotācijas V sadaļas 2. punktu un 2. tabulu atbilstoši Ministru kabineta 2009. gada 15. decembra instrukcijas Nr. 19 “Tiesību akta projekta sākotnējās ietekmes izvērtēšanas kārtība” 57. un 58. punktam.</w:t>
            </w:r>
          </w:p>
        </w:tc>
        <w:tc>
          <w:tcPr>
            <w:tcW w:w="3827" w:type="dxa"/>
            <w:gridSpan w:val="2"/>
            <w:tcBorders>
              <w:left w:val="single" w:sz="6" w:space="0" w:color="000000"/>
              <w:bottom w:val="single" w:sz="4" w:space="0" w:color="auto"/>
              <w:right w:val="single" w:sz="6" w:space="0" w:color="000000"/>
            </w:tcBorders>
          </w:tcPr>
          <w:p w14:paraId="7A13B9DE" w14:textId="77777777" w:rsidR="00C1277F" w:rsidRPr="00761B68" w:rsidRDefault="00C1277F" w:rsidP="00C1277F">
            <w:pPr>
              <w:pStyle w:val="naisc"/>
              <w:spacing w:before="0" w:after="0"/>
              <w:ind w:firstLine="720"/>
              <w:rPr>
                <w:b/>
              </w:rPr>
            </w:pPr>
            <w:r w:rsidRPr="00761B68">
              <w:rPr>
                <w:b/>
              </w:rPr>
              <w:t>Ņemts vērā</w:t>
            </w:r>
          </w:p>
          <w:p w14:paraId="61CE76B4" w14:textId="77777777" w:rsidR="00C1277F" w:rsidRPr="00761B68" w:rsidRDefault="00C1277F" w:rsidP="00C1277F">
            <w:pPr>
              <w:pStyle w:val="naisc"/>
              <w:spacing w:before="0" w:after="0"/>
              <w:jc w:val="left"/>
              <w:rPr>
                <w:b/>
              </w:rPr>
            </w:pPr>
          </w:p>
          <w:p w14:paraId="48ACB760" w14:textId="77777777" w:rsidR="00C1277F" w:rsidRPr="00761B68" w:rsidRDefault="00C1277F" w:rsidP="00C1277F">
            <w:pPr>
              <w:pStyle w:val="naisc"/>
              <w:spacing w:before="0" w:after="0"/>
              <w:jc w:val="both"/>
              <w:rPr>
                <w:b/>
              </w:rPr>
            </w:pPr>
            <w:r w:rsidRPr="00761B68">
              <w:rPr>
                <w:sz w:val="26"/>
                <w:szCs w:val="26"/>
              </w:rPr>
              <w:t>Papildināts noteikumu projekta V sadaļas 2.punkts un V sadaļas 2.tabula.</w:t>
            </w:r>
          </w:p>
        </w:tc>
        <w:tc>
          <w:tcPr>
            <w:tcW w:w="3260" w:type="dxa"/>
            <w:tcBorders>
              <w:top w:val="single" w:sz="4" w:space="0" w:color="auto"/>
              <w:left w:val="single" w:sz="4" w:space="0" w:color="auto"/>
              <w:bottom w:val="single" w:sz="4" w:space="0" w:color="auto"/>
            </w:tcBorders>
          </w:tcPr>
          <w:p w14:paraId="2503AB81" w14:textId="77777777" w:rsidR="00C1277F" w:rsidRPr="00761B68" w:rsidRDefault="00C1277F" w:rsidP="00C1277F">
            <w:pPr>
              <w:jc w:val="both"/>
              <w:rPr>
                <w:sz w:val="26"/>
                <w:szCs w:val="26"/>
              </w:rPr>
            </w:pPr>
            <w:r w:rsidRPr="00761B68">
              <w:rPr>
                <w:sz w:val="26"/>
                <w:szCs w:val="26"/>
              </w:rPr>
              <w:t xml:space="preserve">Papildināts noteikumu projekta V sadaļas 2.punkts šādā redakcijā: </w:t>
            </w:r>
          </w:p>
          <w:p w14:paraId="18D72E3C" w14:textId="659BDA41" w:rsidR="00C1277F" w:rsidRPr="00761B68" w:rsidRDefault="00C1277F" w:rsidP="00C1277F">
            <w:pPr>
              <w:jc w:val="both"/>
              <w:rPr>
                <w:sz w:val="26"/>
                <w:szCs w:val="26"/>
              </w:rPr>
            </w:pPr>
            <w:r w:rsidRPr="00761B68">
              <w:rPr>
                <w:sz w:val="26"/>
                <w:szCs w:val="26"/>
              </w:rPr>
              <w:t>“</w:t>
            </w:r>
            <w:r w:rsidRPr="00761B68">
              <w:t>2005.gada 19.oktobra Starptautiskās konvencijas pret dopingu sportā 1. </w:t>
            </w:r>
            <w:r w:rsidRPr="00761B68">
              <w:rPr>
                <w:shd w:val="clear" w:color="auto" w:fill="FFFFFF"/>
              </w:rPr>
              <w:t>papildinājums Pasaules antidopinga aģentūras 2003. gada 5. martā Kopenhāgenā pieņemtais Pasaules Antidopinga kodekss. 1989. gada 16.  novembra Eiropas Padomes Antidopinga konvencijai Nr. 135.</w:t>
            </w:r>
            <w:r w:rsidRPr="00761B68">
              <w:rPr>
                <w:sz w:val="26"/>
                <w:szCs w:val="26"/>
              </w:rPr>
              <w:t>”</w:t>
            </w:r>
          </w:p>
          <w:p w14:paraId="2710E1E1" w14:textId="77777777" w:rsidR="006703E1" w:rsidRPr="00761B68" w:rsidRDefault="006703E1" w:rsidP="00C1277F">
            <w:pPr>
              <w:jc w:val="both"/>
              <w:rPr>
                <w:sz w:val="26"/>
                <w:szCs w:val="26"/>
              </w:rPr>
            </w:pPr>
          </w:p>
          <w:p w14:paraId="12157A62" w14:textId="7359D9DC" w:rsidR="00C1277F" w:rsidRPr="00761B68" w:rsidRDefault="00C1277F" w:rsidP="00C1277F">
            <w:pPr>
              <w:jc w:val="both"/>
              <w:rPr>
                <w:sz w:val="26"/>
                <w:szCs w:val="26"/>
              </w:rPr>
            </w:pPr>
            <w:r w:rsidRPr="00761B68">
              <w:rPr>
                <w:sz w:val="26"/>
                <w:szCs w:val="26"/>
              </w:rPr>
              <w:lastRenderedPageBreak/>
              <w:t>Vienlaikus papildināta noteikumu projekta V sadaļas 2.tabula.</w:t>
            </w:r>
          </w:p>
        </w:tc>
      </w:tr>
      <w:tr w:rsidR="00761B68" w:rsidRPr="00761B68" w14:paraId="634658DA" w14:textId="77777777" w:rsidTr="00061A65">
        <w:trPr>
          <w:gridAfter w:val="1"/>
          <w:wAfter w:w="7" w:type="dxa"/>
        </w:trPr>
        <w:tc>
          <w:tcPr>
            <w:tcW w:w="852" w:type="dxa"/>
            <w:tcBorders>
              <w:left w:val="single" w:sz="6" w:space="0" w:color="000000"/>
              <w:bottom w:val="single" w:sz="4" w:space="0" w:color="auto"/>
              <w:right w:val="single" w:sz="6" w:space="0" w:color="000000"/>
            </w:tcBorders>
          </w:tcPr>
          <w:p w14:paraId="3E65842C" w14:textId="03EA507C" w:rsidR="00103F01" w:rsidRPr="00761B68" w:rsidRDefault="00876529" w:rsidP="00876529">
            <w:pPr>
              <w:pStyle w:val="naisc"/>
              <w:spacing w:before="0" w:after="0"/>
              <w:ind w:left="174"/>
              <w:jc w:val="left"/>
            </w:pPr>
            <w:r w:rsidRPr="00761B68">
              <w:lastRenderedPageBreak/>
              <w:t xml:space="preserve">17. </w:t>
            </w:r>
          </w:p>
        </w:tc>
        <w:tc>
          <w:tcPr>
            <w:tcW w:w="3086" w:type="dxa"/>
            <w:gridSpan w:val="2"/>
            <w:tcBorders>
              <w:left w:val="single" w:sz="6" w:space="0" w:color="000000"/>
              <w:bottom w:val="single" w:sz="4" w:space="0" w:color="auto"/>
              <w:right w:val="single" w:sz="6" w:space="0" w:color="000000"/>
            </w:tcBorders>
          </w:tcPr>
          <w:p w14:paraId="578C5FAE" w14:textId="77777777" w:rsidR="00103F01" w:rsidRPr="00761B68" w:rsidRDefault="00103F01" w:rsidP="00C1277F">
            <w:pPr>
              <w:jc w:val="both"/>
              <w:rPr>
                <w:sz w:val="26"/>
                <w:szCs w:val="26"/>
              </w:rPr>
            </w:pPr>
          </w:p>
        </w:tc>
        <w:tc>
          <w:tcPr>
            <w:tcW w:w="4111" w:type="dxa"/>
            <w:tcBorders>
              <w:left w:val="single" w:sz="6" w:space="0" w:color="000000"/>
              <w:bottom w:val="single" w:sz="4" w:space="0" w:color="auto"/>
              <w:right w:val="single" w:sz="6" w:space="0" w:color="000000"/>
            </w:tcBorders>
          </w:tcPr>
          <w:p w14:paraId="363C02D2" w14:textId="6AA495FC" w:rsidR="00B60B5F" w:rsidRPr="00761B68" w:rsidRDefault="00A10BC3" w:rsidP="00A10BC3">
            <w:pPr>
              <w:pStyle w:val="naisc"/>
              <w:rPr>
                <w:b/>
              </w:rPr>
            </w:pPr>
            <w:r w:rsidRPr="00761B68">
              <w:rPr>
                <w:b/>
              </w:rPr>
              <w:t>Latvijas Skvoša federācijas 2019.gada 10.jūlija un Latvijas Biatlona federācijas 2019.gada 4.jūlija iebildumi</w:t>
            </w:r>
          </w:p>
          <w:p w14:paraId="6ED820B1" w14:textId="77777777" w:rsidR="00B60B5F" w:rsidRPr="00761B68" w:rsidRDefault="00B60B5F" w:rsidP="00103F01">
            <w:pPr>
              <w:pStyle w:val="naisc"/>
              <w:jc w:val="both"/>
            </w:pPr>
          </w:p>
          <w:p w14:paraId="6C230C4C" w14:textId="5365F4EA" w:rsidR="00103F01" w:rsidRPr="00761B68" w:rsidRDefault="00B60B5F" w:rsidP="00103F01">
            <w:pPr>
              <w:pStyle w:val="naisc"/>
              <w:jc w:val="both"/>
              <w:rPr>
                <w:b/>
                <w:sz w:val="22"/>
              </w:rPr>
            </w:pPr>
            <w:r w:rsidRPr="00761B68">
              <w:rPr>
                <w:b/>
                <w:sz w:val="22"/>
              </w:rPr>
              <w:t>Disciplinārās antidopinga komisijas institucionālās</w:t>
            </w:r>
            <w:r w:rsidR="00A10BC3" w:rsidRPr="00761B68">
              <w:rPr>
                <w:b/>
                <w:sz w:val="22"/>
              </w:rPr>
              <w:t xml:space="preserve"> </w:t>
            </w:r>
            <w:r w:rsidRPr="00761B68">
              <w:rPr>
                <w:b/>
                <w:sz w:val="22"/>
              </w:rPr>
              <w:t xml:space="preserve">Pakļautības antidopinga birojam neatbilstība </w:t>
            </w:r>
            <w:proofErr w:type="spellStart"/>
            <w:r w:rsidRPr="00761B68">
              <w:rPr>
                <w:b/>
                <w:sz w:val="22"/>
              </w:rPr>
              <w:t>eiropas</w:t>
            </w:r>
            <w:proofErr w:type="spellEnd"/>
            <w:r w:rsidR="00A10BC3" w:rsidRPr="00761B68">
              <w:rPr>
                <w:b/>
                <w:sz w:val="22"/>
              </w:rPr>
              <w:t xml:space="preserve"> </w:t>
            </w:r>
            <w:r w:rsidRPr="00761B68">
              <w:rPr>
                <w:b/>
                <w:sz w:val="22"/>
              </w:rPr>
              <w:t>Padomes antidopinga konvencijai nr.135 un kodeksa principiem</w:t>
            </w:r>
          </w:p>
          <w:p w14:paraId="48A81386" w14:textId="18F37B55" w:rsidR="00103F01" w:rsidRPr="00761B68" w:rsidRDefault="00103F01" w:rsidP="00103F01">
            <w:pPr>
              <w:pStyle w:val="naisc"/>
              <w:jc w:val="both"/>
            </w:pPr>
            <w:r w:rsidRPr="00761B68">
              <w:t>Izvērtējot veiktos grozījumus Sporta likumā un Noteikumu projektu,</w:t>
            </w:r>
            <w:r w:rsidR="00B60B5F" w:rsidRPr="00761B68">
              <w:t xml:space="preserve"> </w:t>
            </w:r>
            <w:r w:rsidRPr="00761B68">
              <w:t>konstatēts, ka Disciplināro antidopinga komisiju (turpmāk - Komisija) izveido</w:t>
            </w:r>
          </w:p>
          <w:p w14:paraId="3527C1AB" w14:textId="4EC10473" w:rsidR="00103F01" w:rsidRPr="00761B68" w:rsidRDefault="00103F01" w:rsidP="00103F01">
            <w:pPr>
              <w:pStyle w:val="naisc"/>
              <w:jc w:val="both"/>
            </w:pPr>
            <w:r w:rsidRPr="00761B68">
              <w:t>Antidopinga birojs.2 Taču saskaņā ar Eiropas Padomes Antidopinga konvencijas</w:t>
            </w:r>
            <w:r w:rsidR="00B60B5F" w:rsidRPr="00761B68">
              <w:t xml:space="preserve"> </w:t>
            </w:r>
            <w:r w:rsidRPr="00761B68">
              <w:t>Nr.135 7.panta otrās daļas i. punktu, Komisijai, jābūt nesaistītai ar Antidopinga</w:t>
            </w:r>
            <w:r w:rsidR="00B60B5F" w:rsidRPr="00761B68">
              <w:t xml:space="preserve"> </w:t>
            </w:r>
            <w:r w:rsidRPr="00761B68">
              <w:t>biroju.</w:t>
            </w:r>
            <w:r w:rsidR="00B60B5F" w:rsidRPr="00761B68">
              <w:t xml:space="preserve"> </w:t>
            </w:r>
            <w:r w:rsidRPr="00761B68">
              <w:t>3Piešķirot Antidopinga birojam tiesības iecelt Komisijas locekļus, Antidopinga</w:t>
            </w:r>
          </w:p>
          <w:p w14:paraId="719D2537" w14:textId="29B2E9D6" w:rsidR="00103F01" w:rsidRPr="00761B68" w:rsidRDefault="00103F01" w:rsidP="00103F01">
            <w:pPr>
              <w:pStyle w:val="naisc"/>
              <w:jc w:val="both"/>
            </w:pPr>
            <w:r w:rsidRPr="00761B68">
              <w:t>birojam pastāv iespēja ietekmēt Komisijas darbību un apstiprināt tās sastāvā sev</w:t>
            </w:r>
            <w:r w:rsidR="00B60B5F" w:rsidRPr="00761B68">
              <w:t xml:space="preserve"> </w:t>
            </w:r>
            <w:r w:rsidRPr="00761B68">
              <w:t>labvēlīgas personas.</w:t>
            </w:r>
            <w:r w:rsidR="00B60B5F" w:rsidRPr="00761B68">
              <w:t xml:space="preserve"> </w:t>
            </w:r>
            <w:r w:rsidRPr="00761B68">
              <w:t>2018.gada 24. jūlija Ministru kabineta noteikumi Nr. 440 “Disciplinārās</w:t>
            </w:r>
            <w:r w:rsidR="00B60B5F" w:rsidRPr="00761B68">
              <w:t xml:space="preserve"> </w:t>
            </w:r>
            <w:r w:rsidRPr="00761B68">
              <w:t>antidopinga komisijas un Terapeitiskās lietošanas izņēmumu komisijas</w:t>
            </w:r>
            <w:r w:rsidR="00B60B5F" w:rsidRPr="00761B68">
              <w:t xml:space="preserve"> </w:t>
            </w:r>
            <w:r w:rsidRPr="00761B68">
              <w:t xml:space="preserve">izveidošanas kārtība”,4 paredz, ka </w:t>
            </w:r>
            <w:r w:rsidRPr="00761B68">
              <w:lastRenderedPageBreak/>
              <w:t>Antidopinga birojs izvērtē personas atbilstību</w:t>
            </w:r>
            <w:r w:rsidR="00B60B5F" w:rsidRPr="00761B68">
              <w:t xml:space="preserve"> </w:t>
            </w:r>
            <w:r w:rsidRPr="00761B68">
              <w:t>kļūt par Komisijas vai Terapeitiskās lietošanas izņēmumu komisijas locekli. Saskaņā</w:t>
            </w:r>
          </w:p>
          <w:p w14:paraId="0E15B409" w14:textId="5F4630CB" w:rsidR="00103F01" w:rsidRPr="00761B68" w:rsidRDefault="00103F01" w:rsidP="00B60B5F">
            <w:pPr>
              <w:pStyle w:val="naisc"/>
              <w:spacing w:before="0" w:after="0"/>
              <w:jc w:val="both"/>
            </w:pPr>
            <w:r w:rsidRPr="00761B68">
              <w:t>ar iepriekšminētajiem Ministru kabineta noteikumiem un Sporta likumā noteiktajām</w:t>
            </w:r>
            <w:r w:rsidR="00B60B5F" w:rsidRPr="00761B68">
              <w:t xml:space="preserve"> </w:t>
            </w:r>
            <w:r w:rsidRPr="00761B68">
              <w:t>prasībām, kritēriji, kas ir jāizvērtē Antidopinga birojam, izvēloties Komisijas</w:t>
            </w:r>
            <w:r w:rsidR="00B60B5F" w:rsidRPr="00761B68">
              <w:t xml:space="preserve"> </w:t>
            </w:r>
            <w:r w:rsidRPr="00761B68">
              <w:t xml:space="preserve">locekļus, ir salīdzinoši zemi. </w:t>
            </w:r>
            <w:r w:rsidRPr="00761B68">
              <w:rPr>
                <w:b/>
              </w:rPr>
              <w:t>Proti:</w:t>
            </w:r>
          </w:p>
          <w:p w14:paraId="66E016B6" w14:textId="59B59E59" w:rsidR="00103F01" w:rsidRPr="00761B68" w:rsidRDefault="00103F01" w:rsidP="00103F01">
            <w:pPr>
              <w:pStyle w:val="naisc"/>
              <w:jc w:val="both"/>
            </w:pPr>
            <w:r w:rsidRPr="00761B68">
              <w:t>1. Viena un tā pati persona var tikt izvirzīta ne vairāk kā divus pilnvaru termiņus</w:t>
            </w:r>
            <w:r w:rsidR="00B60B5F" w:rsidRPr="00761B68">
              <w:t xml:space="preserve"> </w:t>
            </w:r>
            <w:r w:rsidRPr="00761B68">
              <w:t>(4 gadi) pēc kārtas;</w:t>
            </w:r>
          </w:p>
          <w:p w14:paraId="7E6554EE" w14:textId="37C4E2E0" w:rsidR="00103F01" w:rsidRPr="00761B68" w:rsidRDefault="00103F01" w:rsidP="00103F01">
            <w:pPr>
              <w:pStyle w:val="naisc"/>
              <w:jc w:val="both"/>
            </w:pPr>
            <w:r w:rsidRPr="00761B68">
              <w:t xml:space="preserve">2. Organizācijām, 10 dienu laikā pēc Antidopinga biroja aicinājuma, ir </w:t>
            </w:r>
            <w:proofErr w:type="spellStart"/>
            <w:r w:rsidRPr="00761B68">
              <w:t>rakstveidā</w:t>
            </w:r>
            <w:proofErr w:type="spellEnd"/>
            <w:r w:rsidR="00B60B5F" w:rsidRPr="00761B68">
              <w:t xml:space="preserve"> j</w:t>
            </w:r>
            <w:r w:rsidRPr="00761B68">
              <w:t>āizvirza 2 kandidāti, pievienojot katras personas izglītības apliecinošu</w:t>
            </w:r>
            <w:r w:rsidR="00B60B5F" w:rsidRPr="00761B68">
              <w:t xml:space="preserve"> </w:t>
            </w:r>
            <w:r w:rsidRPr="00761B68">
              <w:t>dokumenta kopijas un dzīves gājuma aprakstu;</w:t>
            </w:r>
          </w:p>
          <w:p w14:paraId="21EF6A38" w14:textId="125B1BA1" w:rsidR="00103F01" w:rsidRPr="00761B68" w:rsidRDefault="00103F01" w:rsidP="00103F01">
            <w:pPr>
              <w:pStyle w:val="naisc"/>
              <w:jc w:val="both"/>
            </w:pPr>
            <w:r w:rsidRPr="00761B68">
              <w:t>3. Antidopinga disciplinārās komisijas sastāvā ir jābūt ārstam; sporta</w:t>
            </w:r>
            <w:r w:rsidR="00B60B5F" w:rsidRPr="00761B68">
              <w:t xml:space="preserve"> </w:t>
            </w:r>
            <w:r w:rsidRPr="00761B68">
              <w:t>darbiniekam; sportistam; jāievēro Sporta likuma 11.3 panta piektā daļa;</w:t>
            </w:r>
            <w:r w:rsidR="00B60B5F" w:rsidRPr="00761B68">
              <w:t xml:space="preserve"> </w:t>
            </w:r>
            <w:r w:rsidRPr="00761B68">
              <w:t>komisijas loceklis nevar būt citas komisijas loceklis.</w:t>
            </w:r>
            <w:r w:rsidR="00B60B5F" w:rsidRPr="00761B68">
              <w:t xml:space="preserve"> </w:t>
            </w:r>
            <w:r w:rsidRPr="00761B68">
              <w:t>Iepriekšminētie kritēriji, pēc kuriem Antidopinga birojs izvēlās Komisijas</w:t>
            </w:r>
            <w:r w:rsidR="00B60B5F" w:rsidRPr="00761B68">
              <w:t xml:space="preserve"> </w:t>
            </w:r>
            <w:r w:rsidRPr="00761B68">
              <w:t>locekļus, nav noteikti ar nepieciešamo detalizācijas pakāpi, tādējādi paredzot</w:t>
            </w:r>
            <w:r w:rsidR="00B60B5F" w:rsidRPr="00761B68">
              <w:t xml:space="preserve"> </w:t>
            </w:r>
            <w:r w:rsidRPr="00761B68">
              <w:t>pietiekami plašas iespējas Antidopinga birojam, Komisijas locekļu sastāvā</w:t>
            </w:r>
            <w:r w:rsidR="00B60B5F" w:rsidRPr="00761B68">
              <w:t xml:space="preserve"> </w:t>
            </w:r>
            <w:r w:rsidRPr="00761B68">
              <w:t>apstiprināt sev vēlamas personas.</w:t>
            </w:r>
            <w:r w:rsidR="00B60B5F" w:rsidRPr="00761B68">
              <w:t xml:space="preserve"> </w:t>
            </w:r>
            <w:r w:rsidRPr="00761B68">
              <w:t xml:space="preserve">Neatkarīgas Komisijas </w:t>
            </w:r>
            <w:r w:rsidRPr="00761B68">
              <w:lastRenderedPageBreak/>
              <w:t>neesamība Latvijā, kā arī Valsts sporta medicīnas</w:t>
            </w:r>
            <w:r w:rsidR="00B60B5F" w:rsidRPr="00761B68">
              <w:t xml:space="preserve"> </w:t>
            </w:r>
            <w:r w:rsidRPr="00761B68">
              <w:t>centra pakļautība Veselības ministrijai bija tikai dažas no Pasaules Antidopinga</w:t>
            </w:r>
            <w:r w:rsidR="00B60B5F" w:rsidRPr="00761B68">
              <w:t xml:space="preserve"> </w:t>
            </w:r>
            <w:r w:rsidRPr="00761B68">
              <w:t>aģentūras (turpmāk – VADA) konstatētajām neatbilstībām Latvijas antidopinga</w:t>
            </w:r>
            <w:r w:rsidR="00B60B5F" w:rsidRPr="00761B68">
              <w:t xml:space="preserve"> </w:t>
            </w:r>
            <w:r w:rsidRPr="00761B68">
              <w:t>sistēmā.</w:t>
            </w:r>
            <w:r w:rsidR="00B60B5F" w:rsidRPr="00761B68">
              <w:t xml:space="preserve"> </w:t>
            </w:r>
            <w:r w:rsidRPr="00761B68">
              <w:t>5 Šajā sakarā VADA ir sniegusi norādījumus Antidopinga birojam pēc</w:t>
            </w:r>
            <w:r w:rsidR="00B60B5F" w:rsidRPr="00761B68">
              <w:t xml:space="preserve"> </w:t>
            </w:r>
            <w:r w:rsidRPr="00761B68">
              <w:t>iespējas mazāk iejaukties Komisijas izveides procesā, tā pārstāvju izvēles procesā,</w:t>
            </w:r>
            <w:r w:rsidR="00B60B5F" w:rsidRPr="00761B68">
              <w:t xml:space="preserve">  </w:t>
            </w:r>
            <w:r w:rsidRPr="00761B68">
              <w:t>kā arī Komisijas darbībā, nodrošinot tās autonomiju un neatkarību.</w:t>
            </w:r>
            <w:r w:rsidR="00B60B5F" w:rsidRPr="00761B68">
              <w:t xml:space="preserve"> </w:t>
            </w:r>
            <w:r w:rsidRPr="00761B68">
              <w:t>6 Tomēr ar</w:t>
            </w:r>
            <w:r w:rsidR="00B60B5F" w:rsidRPr="00761B68">
              <w:t xml:space="preserve"> </w:t>
            </w:r>
            <w:r w:rsidRPr="00761B68">
              <w:t>Noteikumu projektu VADA konstatētās neatbilstības Latvijas antidopinga sistēmā</w:t>
            </w:r>
            <w:r w:rsidR="00B60B5F" w:rsidRPr="00761B68">
              <w:t xml:space="preserve"> </w:t>
            </w:r>
            <w:r w:rsidRPr="00761B68">
              <w:t>nav tikušas novērstas. Gluži pretēji, Latvijas nacionālā antidopinga sistēma ir</w:t>
            </w:r>
            <w:r w:rsidR="00B60B5F" w:rsidRPr="00761B68">
              <w:t xml:space="preserve"> </w:t>
            </w:r>
            <w:r w:rsidRPr="00761B68">
              <w:t>kļuvusi mazāk pārredzama. Kā minēts iepriekš ir apšaubāma Komisijas autonomija</w:t>
            </w:r>
            <w:r w:rsidR="00B60B5F" w:rsidRPr="00761B68">
              <w:t xml:space="preserve"> </w:t>
            </w:r>
            <w:r w:rsidRPr="00761B68">
              <w:t>no Antidopinga biroja, kā arī kritēriji komisijas locekļu noteikšanai neveicina augsti</w:t>
            </w:r>
            <w:r w:rsidR="00B60B5F" w:rsidRPr="00761B68">
              <w:t xml:space="preserve"> </w:t>
            </w:r>
            <w:r w:rsidRPr="00761B68">
              <w:t>kvalificētu profesionāļu piesaisti, pastāv augsts Antidopinga biroja interešu</w:t>
            </w:r>
            <w:r w:rsidR="00B60B5F" w:rsidRPr="00761B68">
              <w:t xml:space="preserve"> </w:t>
            </w:r>
            <w:r w:rsidRPr="00761B68">
              <w:t>konflikta risks, ieceļot Komisijas locekļus.</w:t>
            </w:r>
            <w:r w:rsidR="00B60B5F" w:rsidRPr="00761B68">
              <w:t xml:space="preserve"> C</w:t>
            </w:r>
            <w:r w:rsidRPr="00761B68">
              <w:t>itās valstīs ir vērojams atšķirīgs nacionālās disciplinārās antidopinga</w:t>
            </w:r>
            <w:r w:rsidR="00B60B5F" w:rsidRPr="00761B68">
              <w:t xml:space="preserve"> </w:t>
            </w:r>
            <w:r w:rsidRPr="00761B68">
              <w:t>komisija izveides process. Piemēram, Austrālijas antidopinga organizācija</w:t>
            </w:r>
            <w:r w:rsidR="00B60B5F" w:rsidRPr="00761B68">
              <w:t xml:space="preserve"> </w:t>
            </w:r>
            <w:r w:rsidRPr="00761B68">
              <w:t>(</w:t>
            </w:r>
            <w:proofErr w:type="spellStart"/>
            <w:r w:rsidRPr="00761B68">
              <w:t>Australian</w:t>
            </w:r>
            <w:proofErr w:type="spellEnd"/>
            <w:r w:rsidRPr="00761B68">
              <w:t xml:space="preserve"> Sport Anti-doping </w:t>
            </w:r>
            <w:proofErr w:type="spellStart"/>
            <w:r w:rsidRPr="00761B68">
              <w:t>Authority</w:t>
            </w:r>
            <w:proofErr w:type="spellEnd"/>
            <w:r w:rsidRPr="00761B68">
              <w:t>) (turpmāk – ASADA) ievēro Kodeksa</w:t>
            </w:r>
            <w:r w:rsidR="00B60B5F" w:rsidRPr="00761B68">
              <w:t xml:space="preserve"> </w:t>
            </w:r>
            <w:r w:rsidRPr="00761B68">
              <w:t>principus, un pamatojoties uz tiem ir izveidojusi iespējamo antidopinga pārkāpuma</w:t>
            </w:r>
            <w:r w:rsidR="00B60B5F" w:rsidRPr="00761B68">
              <w:t xml:space="preserve"> </w:t>
            </w:r>
            <w:r w:rsidRPr="00761B68">
              <w:t xml:space="preserve">izskatīšanas sistēmu. Proti, ASADA7, </w:t>
            </w:r>
            <w:r w:rsidRPr="00761B68">
              <w:lastRenderedPageBreak/>
              <w:t>konstatējot iespējamo antidopinga</w:t>
            </w:r>
            <w:r w:rsidR="00B60B5F" w:rsidRPr="00761B68">
              <w:t xml:space="preserve"> p</w:t>
            </w:r>
            <w:r w:rsidRPr="00761B68">
              <w:t>ārkāpumu, mēģina noskaidrot pēc iespējas pilnīgāku informāciju saistībā ar</w:t>
            </w:r>
          </w:p>
          <w:p w14:paraId="0962646F" w14:textId="1E514076" w:rsidR="00103F01" w:rsidRPr="00761B68" w:rsidRDefault="00103F01" w:rsidP="00103F01">
            <w:pPr>
              <w:pStyle w:val="naisc"/>
              <w:jc w:val="both"/>
            </w:pPr>
            <w:r w:rsidRPr="00761B68">
              <w:t>iespējamo pārkāpumu, ko pēc tam nodod izskatīšanai un tālākai lēmumu</w:t>
            </w:r>
            <w:r w:rsidR="00B60B5F" w:rsidRPr="00761B68">
              <w:t xml:space="preserve"> </w:t>
            </w:r>
            <w:r w:rsidRPr="00761B68">
              <w:t>pieņemšanai Neatkarīgai Antidopinga noteikumu pārkāpumu komisijai (turpmāk</w:t>
            </w:r>
            <w:r w:rsidR="00B60B5F" w:rsidRPr="00761B68">
              <w:t xml:space="preserve"> </w:t>
            </w:r>
            <w:r w:rsidRPr="00761B68">
              <w:t>tekstā - ADRVP). ADRVP ir no ASADA neatkarīga lēmumu pieņemšanas institūcija,</w:t>
            </w:r>
            <w:r w:rsidR="00B60B5F" w:rsidRPr="00761B68">
              <w:t xml:space="preserve"> </w:t>
            </w:r>
            <w:r w:rsidRPr="00761B68">
              <w:t>kuras locekļu ieceļ Austrālijas Sporta ministrija.8 Savukārt Austrijas Nacionālā</w:t>
            </w:r>
            <w:r w:rsidR="00B60B5F" w:rsidRPr="00761B68">
              <w:t xml:space="preserve"> </w:t>
            </w:r>
            <w:r w:rsidRPr="00761B68">
              <w:t>Antidopinga aģentūra (turpmāk - NADA) konstatējot iespējamo antidopinga</w:t>
            </w:r>
            <w:r w:rsidR="00B60B5F" w:rsidRPr="00761B68">
              <w:t xml:space="preserve"> pā</w:t>
            </w:r>
            <w:r w:rsidRPr="00761B68">
              <w:t>rkāpumu to nodod izskatīšanai Neatkarīgai šķīrējtiesas komisijai, kuras locekļus</w:t>
            </w:r>
            <w:r w:rsidR="00B60B5F" w:rsidRPr="00761B68">
              <w:t xml:space="preserve"> </w:t>
            </w:r>
            <w:r w:rsidRPr="00761B68">
              <w:t>uz četriem gadiem ieceļ Premjerministrs.9 Piemēram, Šveicē, neatkarīgi no Šveices</w:t>
            </w:r>
          </w:p>
          <w:p w14:paraId="0FE2CF58" w14:textId="77777777" w:rsidR="00103F01" w:rsidRPr="00761B68" w:rsidRDefault="00103F01" w:rsidP="00103F01">
            <w:pPr>
              <w:pStyle w:val="naisc"/>
              <w:jc w:val="both"/>
            </w:pPr>
            <w:r w:rsidRPr="00761B68">
              <w:t>Antidopinga organizācijas (turpmāk - ADCH), ir izveidota Šveices Olimpiskās dopinga lietu disciplīnas palāta, kas ir pirmās instances centrālā iestāde visām</w:t>
            </w:r>
          </w:p>
          <w:p w14:paraId="76B03BC9" w14:textId="268FFEFC" w:rsidR="00103F01" w:rsidRPr="00761B68" w:rsidRDefault="00103F01" w:rsidP="00103F01">
            <w:pPr>
              <w:pStyle w:val="naisc"/>
              <w:jc w:val="both"/>
            </w:pPr>
            <w:r w:rsidRPr="00761B68">
              <w:t>dopinga lietām. Disciplinārās palātas locekļus izvēlās Šveices sporta parlaments.</w:t>
            </w:r>
            <w:r w:rsidR="00B60B5F" w:rsidRPr="00761B68">
              <w:t xml:space="preserve"> </w:t>
            </w:r>
            <w:r w:rsidRPr="00761B68">
              <w:t>Iepriekšminētās nacionālās antidopinga organizācijas, tāpat kā Antidopinga</w:t>
            </w:r>
            <w:r w:rsidR="00B60B5F" w:rsidRPr="00761B68">
              <w:t xml:space="preserve"> </w:t>
            </w:r>
            <w:r w:rsidRPr="00761B68">
              <w:t>birojs ir pieņēmušas Kodeksa noteikumus, tāpat Šveicē un Austrijā ir spēkā</w:t>
            </w:r>
            <w:r w:rsidR="00B60B5F" w:rsidRPr="00761B68">
              <w:t xml:space="preserve"> E</w:t>
            </w:r>
            <w:r w:rsidRPr="00761B68">
              <w:t>iropas Padomes Antidopinga konvencija Nr.135.12 No kā būtu paredzams, ka</w:t>
            </w:r>
          </w:p>
          <w:p w14:paraId="61F29377" w14:textId="77777777" w:rsidR="00103F01" w:rsidRPr="00761B68" w:rsidRDefault="00103F01" w:rsidP="00103F01">
            <w:pPr>
              <w:pStyle w:val="naisc"/>
              <w:jc w:val="both"/>
            </w:pPr>
            <w:r w:rsidRPr="00761B68">
              <w:lastRenderedPageBreak/>
              <w:t>piemērojot vienādus antidopinga standartus, nacionālajām antidopinga sistēmām</w:t>
            </w:r>
          </w:p>
          <w:p w14:paraId="3D7A8E44" w14:textId="2DBCBF12" w:rsidR="00103F01" w:rsidRPr="00761B68" w:rsidRDefault="00103F01" w:rsidP="00103F01">
            <w:pPr>
              <w:pStyle w:val="naisc"/>
              <w:jc w:val="both"/>
            </w:pPr>
            <w:r w:rsidRPr="00761B68">
              <w:t>nevajadzētu būtiski atšķirties, tomēr saistībā ar Latvijas antidopinga sistēmu ir</w:t>
            </w:r>
            <w:r w:rsidR="00B60B5F" w:rsidRPr="00761B68">
              <w:t xml:space="preserve"> </w:t>
            </w:r>
            <w:r w:rsidRPr="00761B68">
              <w:t xml:space="preserve">konstatētas būtiskas regulējuma un sistēmas </w:t>
            </w:r>
            <w:proofErr w:type="spellStart"/>
            <w:r w:rsidRPr="00761B68">
              <w:t>atšķirības.Ņemot</w:t>
            </w:r>
            <w:proofErr w:type="spellEnd"/>
            <w:r w:rsidRPr="00761B68">
              <w:t xml:space="preserve"> vērā, ka Disciplinārā antidopinga komisija nav pilnībā</w:t>
            </w:r>
            <w:r w:rsidR="00B60B5F" w:rsidRPr="00761B68">
              <w:t xml:space="preserve"> </w:t>
            </w:r>
            <w:r w:rsidRPr="00761B68">
              <w:t>neatkarīga no Antidopinga biroja, tad antidopinga sistēma neatbilst</w:t>
            </w:r>
          </w:p>
          <w:p w14:paraId="4A943758" w14:textId="33954EF5" w:rsidR="00B60B5F" w:rsidRPr="00761B68" w:rsidRDefault="00103F01" w:rsidP="00103F01">
            <w:pPr>
              <w:pStyle w:val="naisc"/>
              <w:jc w:val="both"/>
            </w:pPr>
            <w:r w:rsidRPr="00761B68">
              <w:t>Eiropas Padomes Antidopinga konvencijas Nr.135 un Kodeksa</w:t>
            </w:r>
            <w:r w:rsidR="00B60B5F" w:rsidRPr="00761B68">
              <w:t xml:space="preserve"> </w:t>
            </w:r>
            <w:r w:rsidRPr="00761B68">
              <w:t>nosacījumiem. Esošā antidopinga sistēma neveicina uzticību Latvijas</w:t>
            </w:r>
            <w:r w:rsidR="00B60B5F" w:rsidRPr="00761B68">
              <w:t xml:space="preserve"> a</w:t>
            </w:r>
            <w:r w:rsidRPr="00761B68">
              <w:t>ntidopinga sistēmai, kā arī pārkāpj sportista tiesības uz taisnīgu procesu</w:t>
            </w:r>
            <w:r w:rsidR="00B60B5F" w:rsidRPr="00761B68">
              <w:t xml:space="preserve"> </w:t>
            </w:r>
            <w:r w:rsidRPr="00761B68">
              <w:t xml:space="preserve">šādu lietu izskatīšanā. </w:t>
            </w:r>
          </w:p>
          <w:p w14:paraId="769B2679" w14:textId="2C31F0DC" w:rsidR="00103F01" w:rsidRPr="00761B68" w:rsidRDefault="00B60B5F" w:rsidP="00103F01">
            <w:pPr>
              <w:pStyle w:val="naisc"/>
              <w:jc w:val="both"/>
              <w:rPr>
                <w:b/>
              </w:rPr>
            </w:pPr>
            <w:r w:rsidRPr="00761B68">
              <w:rPr>
                <w:b/>
              </w:rPr>
              <w:t>Nacionālo noteikumu neatbilstība vada kodeksam</w:t>
            </w:r>
          </w:p>
          <w:p w14:paraId="537ACC68" w14:textId="5A70025D" w:rsidR="00103F01" w:rsidRPr="00761B68" w:rsidRDefault="00103F01" w:rsidP="00103F01">
            <w:pPr>
              <w:pStyle w:val="naisc"/>
              <w:jc w:val="both"/>
            </w:pPr>
            <w:r w:rsidRPr="00761B68">
              <w:t>2004.gada 7. janvārī Latvijas Republikas Ministru kabinets izdeva rīkojumu</w:t>
            </w:r>
            <w:r w:rsidR="00B60B5F" w:rsidRPr="00761B68">
              <w:t xml:space="preserve"> </w:t>
            </w:r>
            <w:r w:rsidRPr="00761B68">
              <w:t>Nr.1. “Par Kopenhāgenas deklarāciju par antidopingu sportā”. Ar šo deklarāciju</w:t>
            </w:r>
            <w:r w:rsidR="00B60B5F" w:rsidRPr="00761B68">
              <w:t xml:space="preserve"> </w:t>
            </w:r>
            <w:r w:rsidRPr="00761B68">
              <w:t>Latvija atzīst VADA jurisdikciju antidopinga jomā, tai skaitā, apņemoties ieviest un</w:t>
            </w:r>
            <w:r w:rsidR="00B60B5F" w:rsidRPr="00761B68">
              <w:t xml:space="preserve"> </w:t>
            </w:r>
            <w:r w:rsidRPr="00761B68">
              <w:t>nodrošināt nacionālās antidopinga sistēmas atbilstību Kodeksa prasības. Kodeksa</w:t>
            </w:r>
            <w:r w:rsidR="00B60B5F" w:rsidRPr="00761B68">
              <w:t xml:space="preserve"> </w:t>
            </w:r>
            <w:r w:rsidRPr="00761B68">
              <w:t>23.4. pants paredz: “Kamēr parakstītāji nav pieņēmuši Kodeksu un īstenojuši to</w:t>
            </w:r>
            <w:r w:rsidR="00B60B5F" w:rsidRPr="00761B68">
              <w:t xml:space="preserve"> </w:t>
            </w:r>
            <w:r w:rsidRPr="00761B68">
              <w:t>saskaņā ar 23. panta 1., 2. un 3. pantiem, neuzskata, ka tie ievēro Kodeksu”.</w:t>
            </w:r>
            <w:r w:rsidR="00B60B5F" w:rsidRPr="00761B68">
              <w:t xml:space="preserve"> </w:t>
            </w:r>
            <w:r w:rsidRPr="00761B68">
              <w:t xml:space="preserve">Pirmkārt, Latvijas </w:t>
            </w:r>
            <w:r w:rsidRPr="00761B68">
              <w:lastRenderedPageBreak/>
              <w:t>Antidopinga birojs saskaņā ar Kodeksa 23.1. pants ir</w:t>
            </w:r>
            <w:r w:rsidR="00B60B5F" w:rsidRPr="00761B68">
              <w:t xml:space="preserve"> </w:t>
            </w:r>
            <w:r w:rsidRPr="00761B68">
              <w:t xml:space="preserve">parakstījis un </w:t>
            </w:r>
            <w:proofErr w:type="spellStart"/>
            <w:r w:rsidRPr="00761B68">
              <w:t>pieņēmuis</w:t>
            </w:r>
            <w:proofErr w:type="spellEnd"/>
            <w:r w:rsidRPr="00761B68">
              <w:t xml:space="preserve"> Kodeksa prasības ko apliecina, VADA oficiālajā tīmekļa</w:t>
            </w:r>
            <w:r w:rsidR="00B60B5F" w:rsidRPr="00761B68">
              <w:t xml:space="preserve"> </w:t>
            </w:r>
            <w:r w:rsidRPr="00761B68">
              <w:t>vietnē pieejamā informācija.13 Pieņemot Kodeksa principus, Latvijas Antidopinga</w:t>
            </w:r>
            <w:r w:rsidR="00B60B5F" w:rsidRPr="00761B68">
              <w:t xml:space="preserve"> </w:t>
            </w:r>
            <w:r w:rsidRPr="00761B68">
              <w:t>birojs ir apņēmies ievērot un īstenot Kodeksa noteikumus.</w:t>
            </w:r>
            <w:r w:rsidR="00B60B5F" w:rsidRPr="00761B68">
              <w:t xml:space="preserve"> </w:t>
            </w:r>
            <w:r w:rsidRPr="00761B68">
              <w:t>Otrkārt, Kodeksa 23.2. pants regulē Kodeksa prasību īstenošanas</w:t>
            </w:r>
            <w:r w:rsidR="00B60B5F" w:rsidRPr="00761B68">
              <w:t xml:space="preserve"> </w:t>
            </w:r>
            <w:r w:rsidRPr="00761B68">
              <w:t>nosacījumus. Proti, Kodeksa 23.2.1. pants paredz, ka Parakstītāji (tai skaitā</w:t>
            </w:r>
            <w:r w:rsidR="00B60B5F" w:rsidRPr="00761B68">
              <w:t xml:space="preserve"> </w:t>
            </w:r>
            <w:r w:rsidRPr="00761B68">
              <w:t>Latvijas Antidopinga birojs) īsteno piemērojamos Kodeksa noteikumus, atbilstīgi</w:t>
            </w:r>
            <w:r w:rsidR="00B60B5F" w:rsidRPr="00761B68">
              <w:t xml:space="preserve"> </w:t>
            </w:r>
            <w:r w:rsidRPr="00761B68">
              <w:t>savām pilnvarām un savā attiecīgajā atbildības jomā, izstrādājot un īstenojot</w:t>
            </w:r>
            <w:r w:rsidR="00B60B5F" w:rsidRPr="00761B68">
              <w:t xml:space="preserve"> </w:t>
            </w:r>
            <w:r w:rsidRPr="00761B68">
              <w:t>politikas nostādnes, statūtus, noteikumus vai reglamentu. Parakstītāji</w:t>
            </w:r>
            <w:r w:rsidR="00B60B5F" w:rsidRPr="00761B68">
              <w:t xml:space="preserve"> </w:t>
            </w:r>
            <w:r w:rsidRPr="00761B68">
              <w:t>atbilstīgi antidopinga organizācijas veikto dopinga apkarošanas pasākumu</w:t>
            </w:r>
            <w:r w:rsidR="00B60B5F" w:rsidRPr="00761B68">
              <w:t xml:space="preserve"> </w:t>
            </w:r>
            <w:r w:rsidRPr="00761B68">
              <w:t>piemērošanas jomai īsteno tālāk norādītos pantus bez būtiskām izmaiņām</w:t>
            </w:r>
          </w:p>
          <w:p w14:paraId="18DE978F" w14:textId="1FCAFB2B" w:rsidR="00103F01" w:rsidRPr="00761B68" w:rsidRDefault="00103F01" w:rsidP="00103F01">
            <w:pPr>
              <w:pStyle w:val="naisc"/>
              <w:jc w:val="both"/>
            </w:pPr>
            <w:r w:rsidRPr="00761B68">
              <w:t>(būdamas tiesīgas veikt nebūtiskas izmaiņas saistībā ar valodas lietojumu,</w:t>
            </w:r>
            <w:r w:rsidR="00B60B5F" w:rsidRPr="00761B68">
              <w:t xml:space="preserve"> </w:t>
            </w:r>
            <w:r w:rsidRPr="00761B68">
              <w:t>atsaucoties uz organizācijas nosaukumu, sporta veidu, sadaļas numuru u. c.):</w:t>
            </w:r>
          </w:p>
          <w:p w14:paraId="2E6917C6" w14:textId="77777777" w:rsidR="00103F01" w:rsidRPr="00761B68" w:rsidRDefault="00103F01" w:rsidP="00103F01">
            <w:pPr>
              <w:pStyle w:val="naisc"/>
              <w:jc w:val="both"/>
            </w:pPr>
            <w:r w:rsidRPr="00761B68">
              <w:t>• 1. pantu (“Dopinga definīcija”),</w:t>
            </w:r>
          </w:p>
          <w:p w14:paraId="10C1E412" w14:textId="77777777" w:rsidR="00103F01" w:rsidRPr="00761B68" w:rsidRDefault="00103F01" w:rsidP="00103F01">
            <w:pPr>
              <w:pStyle w:val="naisc"/>
              <w:jc w:val="both"/>
            </w:pPr>
            <w:r w:rsidRPr="00761B68">
              <w:t>• 2. pantu (“Antidopinga noteikumu pārkāpumi”),</w:t>
            </w:r>
          </w:p>
          <w:p w14:paraId="7957318B" w14:textId="77777777" w:rsidR="00103F01" w:rsidRPr="00761B68" w:rsidRDefault="00103F01" w:rsidP="00103F01">
            <w:pPr>
              <w:pStyle w:val="naisc"/>
              <w:jc w:val="both"/>
            </w:pPr>
            <w:r w:rsidRPr="00761B68">
              <w:t>• 3. pantu (“Dopinga pierādījums”),</w:t>
            </w:r>
          </w:p>
          <w:p w14:paraId="2114ABBE" w14:textId="77777777" w:rsidR="00103F01" w:rsidRPr="00761B68" w:rsidRDefault="00103F01" w:rsidP="00103F01">
            <w:pPr>
              <w:pStyle w:val="naisc"/>
              <w:jc w:val="both"/>
            </w:pPr>
            <w:r w:rsidRPr="00761B68">
              <w:t>• 4. panta 2. punkta 2. apakšpunktu (“Īpašās vielas”),</w:t>
            </w:r>
          </w:p>
          <w:p w14:paraId="310D5072" w14:textId="77777777" w:rsidR="00103F01" w:rsidRPr="00761B68" w:rsidRDefault="00103F01" w:rsidP="00103F01">
            <w:pPr>
              <w:pStyle w:val="naisc"/>
              <w:jc w:val="both"/>
            </w:pPr>
            <w:r w:rsidRPr="00761B68">
              <w:lastRenderedPageBreak/>
              <w:t>• 4. panta 3. punkta 3. apakšpunktu (“WADA lēmums par Aizliegto vielu un metožu</w:t>
            </w:r>
          </w:p>
          <w:p w14:paraId="66D3F6A2" w14:textId="77777777" w:rsidR="00103F01" w:rsidRPr="00761B68" w:rsidRDefault="00103F01" w:rsidP="00103F01">
            <w:pPr>
              <w:pStyle w:val="naisc"/>
              <w:jc w:val="both"/>
            </w:pPr>
            <w:r w:rsidRPr="00761B68">
              <w:t>sarakstu”),</w:t>
            </w:r>
          </w:p>
          <w:p w14:paraId="281933FF" w14:textId="77777777" w:rsidR="00B60B5F" w:rsidRPr="00761B68" w:rsidRDefault="00103F01" w:rsidP="00103F01">
            <w:pPr>
              <w:pStyle w:val="naisc"/>
              <w:jc w:val="both"/>
            </w:pPr>
            <w:r w:rsidRPr="00761B68">
              <w:t xml:space="preserve">• 7. panta 11. punktu (“Aktīvās karjeras pārtraukšana”), </w:t>
            </w:r>
          </w:p>
          <w:p w14:paraId="0119F1A7" w14:textId="2EF92BFC" w:rsidR="00103F01" w:rsidRPr="00761B68" w:rsidRDefault="00103F01" w:rsidP="00103F01">
            <w:pPr>
              <w:pStyle w:val="naisc"/>
              <w:jc w:val="both"/>
            </w:pPr>
            <w:r w:rsidRPr="00761B68">
              <w:t>•9. pantu (“Individuālo rezultātu automātiska anulēšana”),</w:t>
            </w:r>
          </w:p>
          <w:p w14:paraId="5B585468" w14:textId="77777777" w:rsidR="00103F01" w:rsidRPr="00761B68" w:rsidRDefault="00103F01" w:rsidP="00103F01">
            <w:pPr>
              <w:pStyle w:val="naisc"/>
              <w:jc w:val="both"/>
            </w:pPr>
            <w:r w:rsidRPr="00761B68">
              <w:t>• 10. pantu (“Individuālās sankcijas”),</w:t>
            </w:r>
          </w:p>
          <w:p w14:paraId="66AAF139" w14:textId="77777777" w:rsidR="00103F01" w:rsidRPr="00761B68" w:rsidRDefault="00103F01" w:rsidP="00103F01">
            <w:pPr>
              <w:pStyle w:val="naisc"/>
              <w:jc w:val="both"/>
            </w:pPr>
            <w:r w:rsidRPr="00761B68">
              <w:t>• 11. pantu (“Sekas komandām”),</w:t>
            </w:r>
          </w:p>
          <w:p w14:paraId="46F4FC09" w14:textId="77777777" w:rsidR="00103F01" w:rsidRPr="00761B68" w:rsidRDefault="00103F01" w:rsidP="00103F01">
            <w:pPr>
              <w:pStyle w:val="naisc"/>
              <w:jc w:val="both"/>
            </w:pPr>
            <w:r w:rsidRPr="00761B68">
              <w:t>• 13. pantu (“Pārsūdzības”), izņemot 13. panta 2. punkta 2. apakšpunktu un</w:t>
            </w:r>
          </w:p>
          <w:p w14:paraId="3F75C76D" w14:textId="77777777" w:rsidR="00103F01" w:rsidRPr="00761B68" w:rsidRDefault="00103F01" w:rsidP="00103F01">
            <w:pPr>
              <w:pStyle w:val="naisc"/>
              <w:jc w:val="both"/>
            </w:pPr>
            <w:r w:rsidRPr="00761B68">
              <w:t>13. panta 6. un 7. punktu,</w:t>
            </w:r>
          </w:p>
          <w:p w14:paraId="2470787E" w14:textId="77777777" w:rsidR="00103F01" w:rsidRPr="00761B68" w:rsidRDefault="00103F01" w:rsidP="00103F01">
            <w:pPr>
              <w:pStyle w:val="naisc"/>
              <w:jc w:val="both"/>
            </w:pPr>
            <w:r w:rsidRPr="00761B68">
              <w:t>• 15. panta 1. punktu (“Lēmumu atzīšana”),</w:t>
            </w:r>
          </w:p>
          <w:p w14:paraId="09CB2FBA" w14:textId="77777777" w:rsidR="00103F01" w:rsidRPr="00761B68" w:rsidRDefault="00103F01" w:rsidP="00103F01">
            <w:pPr>
              <w:pStyle w:val="naisc"/>
              <w:jc w:val="both"/>
            </w:pPr>
            <w:r w:rsidRPr="00761B68">
              <w:t>• 17. pantu (“Ierobežojoši noteikumi”),</w:t>
            </w:r>
          </w:p>
          <w:p w14:paraId="52F29DA7" w14:textId="77777777" w:rsidR="00103F01" w:rsidRPr="00761B68" w:rsidRDefault="00103F01" w:rsidP="00103F01">
            <w:pPr>
              <w:pStyle w:val="naisc"/>
              <w:jc w:val="both"/>
            </w:pPr>
            <w:r w:rsidRPr="00761B68">
              <w:t>• 24. pantu (“Kodeksa interpretācija”),</w:t>
            </w:r>
          </w:p>
          <w:p w14:paraId="4096FA84" w14:textId="77777777" w:rsidR="00103F01" w:rsidRPr="00761B68" w:rsidRDefault="00103F01" w:rsidP="00103F01">
            <w:pPr>
              <w:pStyle w:val="naisc"/>
              <w:jc w:val="both"/>
            </w:pPr>
            <w:r w:rsidRPr="00761B68">
              <w:t>• 1. pielikumu (“Definīcijas”).</w:t>
            </w:r>
          </w:p>
          <w:p w14:paraId="452CE03E" w14:textId="05A0C638" w:rsidR="00B60B5F" w:rsidRPr="00761B68" w:rsidRDefault="00103F01" w:rsidP="00103F01">
            <w:pPr>
              <w:pStyle w:val="naisc"/>
              <w:jc w:val="both"/>
            </w:pPr>
            <w:r w:rsidRPr="00761B68">
              <w:t>No Noteikumu projekta 23.2.2. panta noteikumiem izriet, ka Kodeksa</w:t>
            </w:r>
            <w:r w:rsidR="00B60B5F" w:rsidRPr="00761B68">
              <w:t xml:space="preserve"> </w:t>
            </w:r>
            <w:r w:rsidRPr="00761B68">
              <w:t>obligātos pantus ir paredzēts ieviest, veicot nebūtiskas izmaiņas saistībā ar valodas</w:t>
            </w:r>
            <w:r w:rsidR="00B60B5F" w:rsidRPr="00761B68">
              <w:t xml:space="preserve"> </w:t>
            </w:r>
            <w:r w:rsidRPr="00761B68">
              <w:t>lietojumu, vai atsaucoties uz organizācijas nosaukumu, sporta veidu vai sadaļas</w:t>
            </w:r>
            <w:r w:rsidR="00B60B5F" w:rsidRPr="00761B68">
              <w:t xml:space="preserve"> n</w:t>
            </w:r>
            <w:r w:rsidRPr="00761B68">
              <w:t>umuru. Līdz ar to, nepietiek nacionālajos noteikumos ietvert atsauci uz konkrēto</w:t>
            </w:r>
            <w:r w:rsidR="00B60B5F" w:rsidRPr="00761B68">
              <w:t xml:space="preserve"> </w:t>
            </w:r>
            <w:r w:rsidRPr="00761B68">
              <w:t>pantu, jo Kodeksa ieviešanas un piemērošanas primārais mērķis ir panākt, lai visi</w:t>
            </w:r>
            <w:r w:rsidR="00B60B5F" w:rsidRPr="00761B68">
              <w:t xml:space="preserve"> </w:t>
            </w:r>
            <w:r w:rsidRPr="00761B68">
              <w:t xml:space="preserve">sportisti gūtu labumu no efektīviem un taisnīgiem </w:t>
            </w:r>
            <w:r w:rsidRPr="00761B68">
              <w:lastRenderedPageBreak/>
              <w:t>antidopinga noteikumiem, kas ir</w:t>
            </w:r>
            <w:r w:rsidR="00B60B5F" w:rsidRPr="00761B68">
              <w:t xml:space="preserve"> </w:t>
            </w:r>
            <w:r w:rsidRPr="00761B68">
              <w:t>vienādi tiek piemēroti attiecībā uz visiem, neatkarīgi no sporta veida,</w:t>
            </w:r>
            <w:r w:rsidR="00B60B5F" w:rsidRPr="00761B68">
              <w:t xml:space="preserve"> </w:t>
            </w:r>
            <w:r w:rsidRPr="00761B68">
              <w:t>valstspiederības vai valsts, kurā sportistam ir veikta antidopinga pārbaude, kā arī</w:t>
            </w:r>
            <w:r w:rsidR="00B60B5F" w:rsidRPr="00761B68">
              <w:t xml:space="preserve"> </w:t>
            </w:r>
            <w:r w:rsidRPr="00761B68">
              <w:t>nodrošinātu Kodeksa nosacījumu vienlīdzīgu piemērošanu dažādās valstīs, kurās</w:t>
            </w:r>
            <w:r w:rsidR="00B60B5F" w:rsidRPr="00761B68">
              <w:t xml:space="preserve"> </w:t>
            </w:r>
            <w:r w:rsidRPr="00761B68">
              <w:t>tie piemērojami.</w:t>
            </w:r>
            <w:r w:rsidR="00B60B5F" w:rsidRPr="00761B68">
              <w:t xml:space="preserve"> </w:t>
            </w:r>
            <w:r w:rsidRPr="00761B68">
              <w:t>Jāsecina, ka pieņemot Noteikumu projektu, tie ievērojami atšķirsies no citu</w:t>
            </w:r>
            <w:r w:rsidR="00B60B5F" w:rsidRPr="00761B68">
              <w:t xml:space="preserve"> </w:t>
            </w:r>
            <w:r w:rsidRPr="00761B68">
              <w:t>valstu pieņemtajiem antidopinga noteikumiem. Piemēram, Dānijas, Šveices,</w:t>
            </w:r>
            <w:r w:rsidR="00B60B5F" w:rsidRPr="00761B68">
              <w:t xml:space="preserve"> </w:t>
            </w:r>
            <w:r w:rsidRPr="00761B68">
              <w:t>Somijas nacionālie antidopinga noteikumi ir izveidoti pēc vienotiem principiem,</w:t>
            </w:r>
            <w:r w:rsidR="00B60B5F" w:rsidRPr="00761B68">
              <w:t xml:space="preserve"> </w:t>
            </w:r>
            <w:r w:rsidRPr="00761B68">
              <w:t>saskaņā ar VADA Kodeksa prasībām un, ņemot vērā VADA ieteiktos labākās prakses</w:t>
            </w:r>
            <w:r w:rsidR="00B60B5F" w:rsidRPr="00761B68">
              <w:t xml:space="preserve"> </w:t>
            </w:r>
            <w:r w:rsidRPr="00761B68">
              <w:t>paraugus.</w:t>
            </w:r>
            <w:r w:rsidR="00B60B5F" w:rsidRPr="00761B68">
              <w:t xml:space="preserve"> </w:t>
            </w:r>
            <w:r w:rsidRPr="00761B68">
              <w:t>Līdzīgi kā Latvijā, 2018.gadā VADA veica auditu saistībā ar Francijas</w:t>
            </w:r>
            <w:r w:rsidR="00B60B5F" w:rsidRPr="00761B68">
              <w:t xml:space="preserve"> </w:t>
            </w:r>
            <w:r w:rsidRPr="00761B68">
              <w:t>antidopinga sistēmas atbilstību VADA kodeksa prasībām. Audita rezultātā, tāpat kā</w:t>
            </w:r>
            <w:r w:rsidR="00B60B5F" w:rsidRPr="00761B68">
              <w:t xml:space="preserve"> </w:t>
            </w:r>
            <w:r w:rsidRPr="00761B68">
              <w:t>Latvijā tika konstatēts, ka antidopinga sistēma Francijā nav saskaņā ar Kodeksa</w:t>
            </w:r>
            <w:r w:rsidR="00B60B5F" w:rsidRPr="00761B68">
              <w:t xml:space="preserve"> </w:t>
            </w:r>
            <w:r w:rsidRPr="00761B68">
              <w:t>prasībām, līdz ar to 2018.gadā stājās spēkā jaunie Francijas nacionālie antidopinga</w:t>
            </w:r>
            <w:r w:rsidR="00B60B5F" w:rsidRPr="00761B68">
              <w:t xml:space="preserve"> </w:t>
            </w:r>
            <w:r w:rsidRPr="00761B68">
              <w:t>noteikumi17, kas formas un satura ziņā būtiski neatšķiras no iepriekšējā paragrāfā</w:t>
            </w:r>
            <w:r w:rsidR="00B60B5F" w:rsidRPr="00761B68">
              <w:t xml:space="preserve"> </w:t>
            </w:r>
            <w:r w:rsidRPr="00761B68">
              <w:t>minēto valstu nacionālajiem antidopinga noteikumiem. Savukārt vērojama būtiska</w:t>
            </w:r>
            <w:r w:rsidR="00B60B5F" w:rsidRPr="00761B68">
              <w:t xml:space="preserve"> </w:t>
            </w:r>
            <w:r w:rsidRPr="00761B68">
              <w:t>iepriekšminēto valstu nacionālo antidopinga noteikumu atšķirība no Latvijas</w:t>
            </w:r>
            <w:r w:rsidR="00B60B5F" w:rsidRPr="00761B68">
              <w:t xml:space="preserve"> </w:t>
            </w:r>
            <w:r w:rsidRPr="00761B68">
              <w:t xml:space="preserve">nacionālajiem antidopinga </w:t>
            </w:r>
            <w:r w:rsidRPr="00761B68">
              <w:lastRenderedPageBreak/>
              <w:t>noteikumiem.</w:t>
            </w:r>
            <w:r w:rsidR="00B60B5F" w:rsidRPr="00761B68">
              <w:t xml:space="preserve"> </w:t>
            </w:r>
            <w:r w:rsidRPr="00761B68">
              <w:t>Ņemot vērā augstākminēto Noteikumu projekts nav saskaņā ar VADA</w:t>
            </w:r>
            <w:r w:rsidR="00B60B5F" w:rsidRPr="00761B68">
              <w:t xml:space="preserve">. </w:t>
            </w:r>
            <w:r w:rsidRPr="00761B68">
              <w:t>Kodeksa 23.2.2. pantu. Noteikumu projektā ir iekļautas vien vispārīgas atsauces</w:t>
            </w:r>
            <w:r w:rsidR="00B60B5F" w:rsidRPr="00761B68">
              <w:t xml:space="preserve"> </w:t>
            </w:r>
            <w:r w:rsidRPr="00761B68">
              <w:t>uz atsevišķiem augstākminētajiem pantiem. Lai veicinātu antidopinga sistēmas</w:t>
            </w:r>
            <w:r w:rsidR="00B60B5F" w:rsidRPr="00761B68">
              <w:t xml:space="preserve"> </w:t>
            </w:r>
            <w:r w:rsidRPr="00761B68">
              <w:t>vienotu regulējumu, Kodeksa 23.2.3. pantā ir minēts aicinājums Kodeksa</w:t>
            </w:r>
            <w:r w:rsidR="00B60B5F" w:rsidRPr="00761B68">
              <w:t xml:space="preserve"> </w:t>
            </w:r>
            <w:r w:rsidRPr="00761B68">
              <w:t>īstenošanā izmantot WADA ieteiktos labākās prakses paraugus, ko Noteikumu</w:t>
            </w:r>
            <w:r w:rsidR="00B60B5F" w:rsidRPr="00761B68">
              <w:t xml:space="preserve"> </w:t>
            </w:r>
            <w:r w:rsidRPr="00761B68">
              <w:t>projekta veidotāji nav ņēmuši vērā.</w:t>
            </w:r>
            <w:r w:rsidR="00B60B5F" w:rsidRPr="00761B68">
              <w:t xml:space="preserve"> </w:t>
            </w:r>
            <w:r w:rsidRPr="00761B68">
              <w:t>Ņemot vērā iepriekšminēto, jo īpaši Kodeksa 23.4. pantu, secināms,</w:t>
            </w:r>
            <w:r w:rsidR="00B60B5F" w:rsidRPr="00761B68">
              <w:t xml:space="preserve"> </w:t>
            </w:r>
            <w:r w:rsidRPr="00761B68">
              <w:t>ka Latvijas nacionālie antidopinga noteikumi nav saskaņā ar Kodeksa</w:t>
            </w:r>
            <w:r w:rsidR="00B60B5F" w:rsidRPr="00761B68">
              <w:t xml:space="preserve"> </w:t>
            </w:r>
            <w:r w:rsidRPr="00761B68">
              <w:t>prasībām un nacionālā antidopinga sistēma ir pretrunā starptautiskajiem</w:t>
            </w:r>
            <w:r w:rsidR="00BA2362" w:rsidRPr="00761B68">
              <w:t xml:space="preserve"> </w:t>
            </w:r>
            <w:r w:rsidRPr="00761B68">
              <w:t xml:space="preserve">antidopinga principiem. </w:t>
            </w:r>
          </w:p>
          <w:p w14:paraId="36C4CAE5" w14:textId="4CD7986E" w:rsidR="00103F01" w:rsidRPr="00761B68" w:rsidRDefault="00B60B5F" w:rsidP="00103F01">
            <w:pPr>
              <w:pStyle w:val="naisc"/>
              <w:jc w:val="both"/>
              <w:rPr>
                <w:b/>
              </w:rPr>
            </w:pPr>
            <w:r w:rsidRPr="00761B68">
              <w:rPr>
                <w:b/>
              </w:rPr>
              <w:t>Sportista tiesības uz taisnīgu lietas izskatīšanu</w:t>
            </w:r>
          </w:p>
          <w:p w14:paraId="36A890DA" w14:textId="77777777" w:rsidR="00103F01" w:rsidRPr="00761B68" w:rsidRDefault="00103F01" w:rsidP="00103F01">
            <w:pPr>
              <w:pStyle w:val="naisc"/>
              <w:jc w:val="both"/>
            </w:pPr>
            <w:r w:rsidRPr="00761B68">
              <w:t>Kodeksa 13. pantā ir minētas ar antidopinga noteikumu pārkāpumiem, tā</w:t>
            </w:r>
          </w:p>
          <w:p w14:paraId="03EB69B4" w14:textId="7336FE69" w:rsidR="00103F01" w:rsidRPr="00761B68" w:rsidRDefault="00103F01" w:rsidP="00103F01">
            <w:pPr>
              <w:pStyle w:val="naisc"/>
              <w:jc w:val="both"/>
            </w:pPr>
            <w:r w:rsidRPr="00761B68">
              <w:t>sekām un pagaidu aizliegumiem saistītu lēmumu pārsūdzēšana, atzīšana un</w:t>
            </w:r>
            <w:r w:rsidR="00BA2362" w:rsidRPr="00761B68">
              <w:t xml:space="preserve"> </w:t>
            </w:r>
            <w:r w:rsidRPr="00761B68">
              <w:t>piekritības kārtība. Kodeksa 23.2.2. pants nosaka, ka Kodeksa 13.pants, izņemot</w:t>
            </w:r>
            <w:r w:rsidR="00B60B5F" w:rsidRPr="00761B68">
              <w:t xml:space="preserve"> </w:t>
            </w:r>
            <w:r w:rsidRPr="00761B68">
              <w:t>13.2.2.,13.6. un 13.7. ir jāievieš nacionālajos antidopinga noteikumos bez</w:t>
            </w:r>
            <w:r w:rsidR="00B60B5F" w:rsidRPr="00761B68">
              <w:t xml:space="preserve"> </w:t>
            </w:r>
            <w:r w:rsidRPr="00761B68">
              <w:t>būtiskām izmaiņām. Sporta likuma 11.2 panta trešajā daļā ir minēts, ka sportistam</w:t>
            </w:r>
            <w:r w:rsidR="00B60B5F" w:rsidRPr="00761B68">
              <w:t xml:space="preserve"> </w:t>
            </w:r>
            <w:r w:rsidRPr="00761B68">
              <w:t xml:space="preserve">ir iespējas iesniegt sūdzību saskaņā ar antidopinga konvenciju </w:t>
            </w:r>
            <w:r w:rsidRPr="00761B68">
              <w:lastRenderedPageBreak/>
              <w:t>noteikumiem vai</w:t>
            </w:r>
            <w:r w:rsidR="00BA2362" w:rsidRPr="00761B68">
              <w:t xml:space="preserve"> </w:t>
            </w:r>
            <w:r w:rsidRPr="00761B68">
              <w:t>Nacionālajiem antidopinga noteikumiem, tādi paši nosacījumi ir ietverti arī Sporta</w:t>
            </w:r>
            <w:r w:rsidR="00B60B5F" w:rsidRPr="00761B68">
              <w:t xml:space="preserve"> </w:t>
            </w:r>
            <w:r w:rsidRPr="00761B68">
              <w:t>likuma 11.3 panta ceturtajā daļā un 11.4 panta ceturtajā daļā. Proti, gan saskaņā</w:t>
            </w:r>
            <w:r w:rsidR="00B60B5F" w:rsidRPr="00761B68">
              <w:t xml:space="preserve"> </w:t>
            </w:r>
            <w:r w:rsidRPr="00761B68">
              <w:t>ar Kodeksa prasībām, gan Sporta likumu, sportistam ir paredzētas tiesības</w:t>
            </w:r>
            <w:r w:rsidR="00B60B5F" w:rsidRPr="00761B68">
              <w:t xml:space="preserve"> </w:t>
            </w:r>
            <w:r w:rsidRPr="00761B68">
              <w:t>pārsūdzēt tam nelabvēlīgu lēmumu.</w:t>
            </w:r>
            <w:r w:rsidR="00B60B5F" w:rsidRPr="00761B68">
              <w:t xml:space="preserve"> </w:t>
            </w:r>
            <w:r w:rsidRPr="00761B68">
              <w:t>Izpētot Noteikumu projektu, konstatēts, ka tajos nav ietverts regulējums</w:t>
            </w:r>
            <w:r w:rsidR="00B60B5F" w:rsidRPr="00761B68">
              <w:t xml:space="preserve"> s</w:t>
            </w:r>
            <w:r w:rsidRPr="00761B68">
              <w:t>aistībā ar lēmumu pārsūdzību Starptautiskajā sporta šķīrējtiesā vai VADA.</w:t>
            </w:r>
            <w:r w:rsidR="00B60B5F" w:rsidRPr="00761B68">
              <w:t xml:space="preserve"> </w:t>
            </w:r>
            <w:r w:rsidRPr="00761B68">
              <w:t>Saskaņā ar Kodeksa prasībām, antidopinga noteikumos ir obligāti jābūt regulētai</w:t>
            </w:r>
            <w:r w:rsidR="00B60B5F" w:rsidRPr="00761B68">
              <w:t xml:space="preserve"> </w:t>
            </w:r>
            <w:r w:rsidRPr="00761B68">
              <w:t>sūdzību iesniegšanas un pārsūdzības kārtībai, tomēr Noteikumu projektā par</w:t>
            </w:r>
            <w:r w:rsidR="00A10BC3" w:rsidRPr="00761B68">
              <w:t xml:space="preserve"> </w:t>
            </w:r>
            <w:r w:rsidRPr="00761B68">
              <w:t>pārsūdzības vai sūdzības iesniegšanas kārtību nekas nav minēts. Tāpat esošā</w:t>
            </w:r>
            <w:r w:rsidR="00A10BC3" w:rsidRPr="00761B68">
              <w:t xml:space="preserve"> </w:t>
            </w:r>
            <w:r w:rsidRPr="00761B68">
              <w:t>Sporta likuma redakcija ir sportistiem, sporta darbiniekiem un sporta organizācijām</w:t>
            </w:r>
            <w:r w:rsidR="00BA2362" w:rsidRPr="00761B68">
              <w:t xml:space="preserve"> </w:t>
            </w:r>
            <w:r w:rsidRPr="00761B68">
              <w:t>mulsinoši, jo:</w:t>
            </w:r>
          </w:p>
          <w:p w14:paraId="0DBD489F" w14:textId="1FD3B322" w:rsidR="00103F01" w:rsidRPr="00761B68" w:rsidRDefault="00103F01" w:rsidP="00103F01">
            <w:pPr>
              <w:pStyle w:val="naisc"/>
              <w:jc w:val="both"/>
            </w:pPr>
            <w:r w:rsidRPr="00761B68">
              <w:t>1. Sporta likumā ir minēts, ka lēmumus var pārsūdzēt vai sūdzības iesniegt</w:t>
            </w:r>
            <w:r w:rsidR="00A10BC3" w:rsidRPr="00761B68">
              <w:t xml:space="preserve"> </w:t>
            </w:r>
            <w:r w:rsidRPr="00761B68">
              <w:t>saskaņā ar antidopinga konvenciju noteikumiem. Likumā nav definēts</w:t>
            </w:r>
            <w:r w:rsidR="00A10BC3" w:rsidRPr="00761B68">
              <w:t xml:space="preserve"> </w:t>
            </w:r>
            <w:r w:rsidRPr="00761B68">
              <w:t>antidopinga konvenciju noteikumu tvērums, tādējādi neveicinot tiesisko</w:t>
            </w:r>
            <w:r w:rsidR="00A10BC3" w:rsidRPr="00761B68">
              <w:t xml:space="preserve"> </w:t>
            </w:r>
            <w:r w:rsidRPr="00761B68">
              <w:t>noteiktību. Piemēram, Latvijai ir saistoša UNESCO Starptautiskā</w:t>
            </w:r>
            <w:r w:rsidR="00A10BC3" w:rsidRPr="00761B68">
              <w:t xml:space="preserve"> </w:t>
            </w:r>
            <w:r w:rsidRPr="00761B68">
              <w:t>konvencija pret dopingu sportā18, Eiropas Padomes Antidopinga</w:t>
            </w:r>
            <w:r w:rsidR="00A10BC3" w:rsidRPr="00761B68">
              <w:t xml:space="preserve"> </w:t>
            </w:r>
            <w:r w:rsidRPr="00761B68">
              <w:t>konvencija Nr.13519, tās papildprotokols20 un Kopenhāgenas deklarācija</w:t>
            </w:r>
            <w:r w:rsidR="00A10BC3" w:rsidRPr="00761B68">
              <w:t xml:space="preserve"> </w:t>
            </w:r>
            <w:r w:rsidRPr="00761B68">
              <w:t xml:space="preserve">par antidopingu sportā, tomēr </w:t>
            </w:r>
            <w:r w:rsidRPr="00761B68">
              <w:lastRenderedPageBreak/>
              <w:t>nav skaidrs, vai likumdevējs konkrēto</w:t>
            </w:r>
            <w:r w:rsidR="00A10BC3" w:rsidRPr="00761B68">
              <w:t xml:space="preserve"> </w:t>
            </w:r>
            <w:r w:rsidRPr="00761B68">
              <w:t>terminu ir attiecinājis uz visiem iepriekšminētajiem normatīvajie</w:t>
            </w:r>
            <w:r w:rsidR="00A10BC3" w:rsidRPr="00761B68">
              <w:t xml:space="preserve">m </w:t>
            </w:r>
            <w:r w:rsidRPr="00761B68">
              <w:t>aktiem. Pieņemot, ka ne katra ar sportu saistīta persona, spēs atšķirt</w:t>
            </w:r>
            <w:r w:rsidR="00A10BC3" w:rsidRPr="00761B68">
              <w:t xml:space="preserve"> </w:t>
            </w:r>
            <w:proofErr w:type="spellStart"/>
            <w:r w:rsidRPr="00761B68">
              <w:t>materiāltiesisko</w:t>
            </w:r>
            <w:proofErr w:type="spellEnd"/>
            <w:r w:rsidRPr="00761B68">
              <w:t xml:space="preserve"> un procesuālo regulējumu, būtu ieteicams konkretizēt</w:t>
            </w:r>
            <w:r w:rsidR="00A10BC3" w:rsidRPr="00761B68">
              <w:t xml:space="preserve"> </w:t>
            </w:r>
            <w:r w:rsidRPr="00761B68">
              <w:t>uz kādiem normatīvajiem aktiem tiek attiecināms Sporta likumā minētā</w:t>
            </w:r>
            <w:r w:rsidR="00A10BC3" w:rsidRPr="00761B68">
              <w:t xml:space="preserve"> </w:t>
            </w:r>
            <w:r w:rsidRPr="00761B68">
              <w:t>“antidopinga konvencijas” termins.</w:t>
            </w:r>
          </w:p>
          <w:p w14:paraId="3C354B8C" w14:textId="5609F254" w:rsidR="00103F01" w:rsidRPr="00761B68" w:rsidRDefault="00103F01" w:rsidP="00103F01">
            <w:pPr>
              <w:pStyle w:val="naisc"/>
              <w:jc w:val="both"/>
            </w:pPr>
            <w:r w:rsidRPr="00761B68">
              <w:t>2. Sporta likuma 11.2 panta trešajā daļā ir minēts, ka Sportists vai sporta</w:t>
            </w:r>
            <w:r w:rsidR="00A10BC3" w:rsidRPr="00761B68">
              <w:t xml:space="preserve"> </w:t>
            </w:r>
            <w:r w:rsidRPr="00761B68">
              <w:t>darbinieks sūdzības var iesniegt starptautiskajā atbilstoši antidopinga</w:t>
            </w:r>
            <w:r w:rsidR="00A10BC3" w:rsidRPr="00761B68">
              <w:t xml:space="preserve"> </w:t>
            </w:r>
            <w:r w:rsidRPr="00761B68">
              <w:t>konvenciju noteikumiem vai Nacionālajiem antidopinga noteikumiem.</w:t>
            </w:r>
            <w:r w:rsidR="00A10BC3" w:rsidRPr="00761B68">
              <w:t xml:space="preserve"> </w:t>
            </w:r>
            <w:r w:rsidRPr="00761B68">
              <w:t>Tāpat Sporta likuma 11.3 panta ceturtajā daļā un 11.4 panta ceturtajā</w:t>
            </w:r>
            <w:r w:rsidR="00A10BC3" w:rsidRPr="00761B68">
              <w:t xml:space="preserve"> </w:t>
            </w:r>
            <w:r w:rsidRPr="00761B68">
              <w:t>daļā ir minēts, ka par Disciplinārās antidopinga komisijas vai</w:t>
            </w:r>
          </w:p>
          <w:p w14:paraId="12DD1E80" w14:textId="12EB4A04" w:rsidR="00103F01" w:rsidRPr="00761B68" w:rsidRDefault="00103F01" w:rsidP="00103F01">
            <w:pPr>
              <w:pStyle w:val="naisc"/>
              <w:jc w:val="both"/>
            </w:pPr>
            <w:r w:rsidRPr="00761B68">
              <w:t>Terapeitiskās lietošanas izņēmumu komisijas lēmumus Latvijas</w:t>
            </w:r>
            <w:r w:rsidR="00A10BC3" w:rsidRPr="00761B68">
              <w:t xml:space="preserve"> </w:t>
            </w:r>
            <w:r w:rsidRPr="00761B68">
              <w:t>Antidopinga birojs, sportists vai sporta darbinieks sūdzību var iesniegt</w:t>
            </w:r>
            <w:r w:rsidR="00A10BC3" w:rsidRPr="00761B68">
              <w:t xml:space="preserve"> </w:t>
            </w:r>
            <w:r w:rsidRPr="00761B68">
              <w:t>atbilstoši antidopinga konvenciju noteikumiem vai Nacionālajiem</w:t>
            </w:r>
            <w:r w:rsidR="00A10BC3" w:rsidRPr="00761B68">
              <w:t xml:space="preserve"> </w:t>
            </w:r>
            <w:r w:rsidRPr="00761B68">
              <w:t>antidopinga</w:t>
            </w:r>
            <w:r w:rsidR="00A10BC3" w:rsidRPr="00761B68">
              <w:t xml:space="preserve"> </w:t>
            </w:r>
            <w:r w:rsidRPr="00761B68">
              <w:t>noteikumiem. Tomēr Noteikuma projektā par pārsūdzības</w:t>
            </w:r>
            <w:r w:rsidR="00A10BC3" w:rsidRPr="00761B68">
              <w:t xml:space="preserve"> </w:t>
            </w:r>
            <w:r w:rsidRPr="00761B68">
              <w:t>iespējām nekas nav pieminēts.</w:t>
            </w:r>
            <w:r w:rsidR="00A10BC3" w:rsidRPr="00761B68">
              <w:t xml:space="preserve"> </w:t>
            </w:r>
            <w:r w:rsidRPr="00761B68">
              <w:t xml:space="preserve">VADA ir izveidojis Sportista antidopinga tiesību Hartas projektu, kura 4.pantā ir minēts, ka sportistiem ir tiesības uz taisnīgu lietas izskatīšanu, tai skaitā, objektīvu un </w:t>
            </w:r>
            <w:r w:rsidRPr="00761B68">
              <w:lastRenderedPageBreak/>
              <w:t>funkcionāli neatkarīgu komisijas sastāvu. Sportista antidopinga tiesību</w:t>
            </w:r>
            <w:r w:rsidR="00A10BC3" w:rsidRPr="00761B68">
              <w:t xml:space="preserve"> </w:t>
            </w:r>
            <w:r w:rsidRPr="00761B68">
              <w:t>hartas 4.pantā arī ir minēts, ka sportiskam, pārsūdzot attiecībā uz to pieņemto</w:t>
            </w:r>
            <w:r w:rsidR="00A10BC3" w:rsidRPr="00761B68">
              <w:t xml:space="preserve"> </w:t>
            </w:r>
            <w:r w:rsidRPr="00761B68">
              <w:t>nelabvēlīgo lēmumu, ir tiesības uz taisnīgu, objektīvu un funkcionāli neatkarīgu</w:t>
            </w:r>
            <w:r w:rsidR="00A10BC3" w:rsidRPr="00761B68">
              <w:t xml:space="preserve"> </w:t>
            </w:r>
            <w:r w:rsidRPr="00761B68">
              <w:t>komisijas sastāvu. Ņemot vērā iepriekšminēto, secināms, ka Noteikumu</w:t>
            </w:r>
            <w:r w:rsidR="00A10BC3" w:rsidRPr="00761B68">
              <w:t xml:space="preserve"> </w:t>
            </w:r>
            <w:r w:rsidRPr="00761B68">
              <w:t>projektā nav ņemts vērā Kodeksa 13.pants, līdz ar to nav ietverta atsauce</w:t>
            </w:r>
            <w:r w:rsidR="00A10BC3" w:rsidRPr="00761B68">
              <w:t xml:space="preserve"> </w:t>
            </w:r>
            <w:r w:rsidRPr="00761B68">
              <w:t>uz sportistam nelabvēlīgu lēmumu pārsūdzēšanas iespējām, tādējādi</w:t>
            </w:r>
            <w:r w:rsidR="00A10BC3" w:rsidRPr="00761B68">
              <w:t xml:space="preserve"> s</w:t>
            </w:r>
            <w:r w:rsidRPr="00761B68">
              <w:t>portista tiesības uz taisnīgu tiesu nav nodrošinātas.</w:t>
            </w:r>
          </w:p>
          <w:p w14:paraId="47E7D563" w14:textId="3138B4C7" w:rsidR="00103F01" w:rsidRPr="00761B68" w:rsidRDefault="00A10BC3" w:rsidP="00103F01">
            <w:pPr>
              <w:pStyle w:val="naisc"/>
              <w:jc w:val="both"/>
              <w:rPr>
                <w:b/>
              </w:rPr>
            </w:pPr>
            <w:r w:rsidRPr="00761B68">
              <w:rPr>
                <w:b/>
              </w:rPr>
              <w:t>Noslēguma secinājumi</w:t>
            </w:r>
          </w:p>
          <w:p w14:paraId="24BABEDA" w14:textId="20F62F16" w:rsidR="00103F01" w:rsidRPr="00761B68" w:rsidRDefault="00103F01" w:rsidP="00103F01">
            <w:pPr>
              <w:pStyle w:val="naisc"/>
              <w:jc w:val="both"/>
            </w:pPr>
            <w:r w:rsidRPr="00761B68">
              <w:t>Valstij ir jāsasniedz taisnīgs līdzsvars starp sabiedrības un privātpersonas</w:t>
            </w:r>
            <w:r w:rsidR="00A10BC3" w:rsidRPr="00761B68">
              <w:t xml:space="preserve"> </w:t>
            </w:r>
            <w:r w:rsidRPr="00761B68">
              <w:t>interesēm, kā arī tiesību mērķis ir nodrošināt taisnīgumu sabiedrībā23. Apkopojot</w:t>
            </w:r>
            <w:r w:rsidR="00A10BC3" w:rsidRPr="00761B68">
              <w:t xml:space="preserve"> </w:t>
            </w:r>
            <w:r w:rsidRPr="00761B68">
              <w:t>visu iepriekšminēto, secināms, ka nacionālie antidopinga noteikumi nav</w:t>
            </w:r>
            <w:r w:rsidR="00A10BC3" w:rsidRPr="00761B68">
              <w:t xml:space="preserve"> </w:t>
            </w:r>
            <w:r w:rsidRPr="00761B68">
              <w:t>izveidoti saskaņā ar Kodeksa prasībām un ir sportista tiesību</w:t>
            </w:r>
          </w:p>
          <w:p w14:paraId="78E67D69" w14:textId="3DDABD00" w:rsidR="00103F01" w:rsidRPr="00761B68" w:rsidRDefault="00103F01" w:rsidP="00103F01">
            <w:pPr>
              <w:pStyle w:val="naisc"/>
              <w:jc w:val="both"/>
            </w:pPr>
            <w:r w:rsidRPr="00761B68">
              <w:t>diskriminējoši. Noteikumu projekta līdzšinējā versija nenodrošina</w:t>
            </w:r>
            <w:r w:rsidR="00A10BC3" w:rsidRPr="00761B68">
              <w:t xml:space="preserve"> </w:t>
            </w:r>
            <w:r w:rsidRPr="00761B68">
              <w:t>līdzsvaru starp sabiedrības un sportista tiesībām, jo esošā antidopinga</w:t>
            </w:r>
            <w:r w:rsidR="00A10BC3" w:rsidRPr="00761B68">
              <w:t xml:space="preserve"> </w:t>
            </w:r>
            <w:r w:rsidRPr="00761B68">
              <w:t>sistēma ir nepārredzama, necaurspīdīga, kā arī noteikumi neatbilst</w:t>
            </w:r>
            <w:r w:rsidR="00A10BC3" w:rsidRPr="00761B68">
              <w:t xml:space="preserve"> </w:t>
            </w:r>
            <w:r w:rsidRPr="00761B68">
              <w:t>Kodeksā noteiktajiem principiem. Kodeksa noteikumu mērķis ir</w:t>
            </w:r>
            <w:r w:rsidR="00A10BC3" w:rsidRPr="00761B68">
              <w:t xml:space="preserve"> </w:t>
            </w:r>
            <w:r w:rsidRPr="00761B68">
              <w:t>harmonizēt antidopinga regulējumu starptautiskā līmenī, piemērojot</w:t>
            </w:r>
            <w:r w:rsidR="00A10BC3" w:rsidRPr="00761B68">
              <w:t xml:space="preserve"> </w:t>
            </w:r>
            <w:r w:rsidRPr="00761B68">
              <w:t xml:space="preserve">sportiskiem vienādus </w:t>
            </w:r>
            <w:r w:rsidRPr="00761B68">
              <w:lastRenderedPageBreak/>
              <w:t>antidopinga noteikumu un nodrošinot vienādas</w:t>
            </w:r>
            <w:r w:rsidR="00A10BC3" w:rsidRPr="00761B68">
              <w:t xml:space="preserve"> </w:t>
            </w:r>
            <w:r w:rsidRPr="00761B68">
              <w:t>aizsardzības garantijas, neatkarīgi no sporta veida, valstspiederības vai</w:t>
            </w:r>
            <w:r w:rsidR="00A10BC3" w:rsidRPr="00761B68">
              <w:t xml:space="preserve"> </w:t>
            </w:r>
            <w:r w:rsidRPr="00761B68">
              <w:t>valsts, kurā ir veiktas antidopinga pārbaudes. Esošos nacionālos</w:t>
            </w:r>
            <w:r w:rsidR="00A10BC3" w:rsidRPr="00761B68">
              <w:t xml:space="preserve"> </w:t>
            </w:r>
            <w:r w:rsidRPr="00761B68">
              <w:t>noteikumus nepieciešams pārstrādāt nodrošinot ar sportu saistītajām</w:t>
            </w:r>
            <w:r w:rsidR="00A10BC3" w:rsidRPr="00761B68">
              <w:t xml:space="preserve"> </w:t>
            </w:r>
            <w:r w:rsidRPr="00761B68">
              <w:t>personām Kodeksā paredzētās tiesības.</w:t>
            </w:r>
          </w:p>
          <w:p w14:paraId="3D6628F2" w14:textId="77777777" w:rsidR="00103F01" w:rsidRPr="00761B68" w:rsidRDefault="00103F01" w:rsidP="00103F01">
            <w:pPr>
              <w:pStyle w:val="naisc"/>
              <w:jc w:val="both"/>
            </w:pPr>
            <w:r w:rsidRPr="00761B68">
              <w:t>Ievērojot iepriekšminēto, Latvijas Skvoša federācija ierosina:</w:t>
            </w:r>
          </w:p>
          <w:p w14:paraId="133D92E0" w14:textId="77777777" w:rsidR="00103F01" w:rsidRPr="00761B68" w:rsidRDefault="00103F01" w:rsidP="00103F01">
            <w:pPr>
              <w:pStyle w:val="naisc"/>
              <w:jc w:val="both"/>
            </w:pPr>
            <w:r w:rsidRPr="00761B68">
              <w:t>1. Pārstrādāt Noteikumu projektu atbilstoši Kodeksa prasībām;</w:t>
            </w:r>
          </w:p>
          <w:p w14:paraId="3C384F60" w14:textId="77777777" w:rsidR="00103F01" w:rsidRPr="00761B68" w:rsidRDefault="00103F01" w:rsidP="00103F01">
            <w:pPr>
              <w:pStyle w:val="naisc"/>
              <w:jc w:val="both"/>
            </w:pPr>
            <w:r w:rsidRPr="00761B68">
              <w:t>2. Noteikt Disciplinārās Antidopinga komisijas institucionālo</w:t>
            </w:r>
          </w:p>
          <w:p w14:paraId="5749F1F6" w14:textId="77777777" w:rsidR="00103F01" w:rsidRPr="00761B68" w:rsidRDefault="00103F01" w:rsidP="00103F01">
            <w:pPr>
              <w:pStyle w:val="naisc"/>
              <w:jc w:val="both"/>
            </w:pPr>
            <w:r w:rsidRPr="00761B68">
              <w:t>neatkarību no Antidopinga biroja;</w:t>
            </w:r>
          </w:p>
          <w:p w14:paraId="4AD44D46" w14:textId="77777777" w:rsidR="00103F01" w:rsidRPr="00761B68" w:rsidRDefault="00103F01" w:rsidP="00103F01">
            <w:pPr>
              <w:pStyle w:val="naisc"/>
              <w:jc w:val="both"/>
            </w:pPr>
            <w:r w:rsidRPr="00761B68">
              <w:t>3. Nacionālajos antidopinga noteikumos iekļaut regulējumu par</w:t>
            </w:r>
          </w:p>
          <w:p w14:paraId="4DA54747" w14:textId="77777777" w:rsidR="00103F01" w:rsidRPr="00761B68" w:rsidRDefault="00103F01" w:rsidP="00103F01">
            <w:pPr>
              <w:pStyle w:val="naisc"/>
              <w:jc w:val="both"/>
            </w:pPr>
            <w:r w:rsidRPr="00761B68">
              <w:t>pārsūdzības un sūdzības iesniegšanas iespējām;</w:t>
            </w:r>
          </w:p>
          <w:p w14:paraId="58AC4842" w14:textId="77777777" w:rsidR="00103F01" w:rsidRPr="00761B68" w:rsidRDefault="00103F01" w:rsidP="00103F01">
            <w:pPr>
              <w:pStyle w:val="naisc"/>
              <w:jc w:val="both"/>
            </w:pPr>
            <w:r w:rsidRPr="00761B68">
              <w:t>4. Saskaņā ar Sporta likuma 11.3 un 11.4 pantu, izstrādāt atsevišķus</w:t>
            </w:r>
          </w:p>
          <w:p w14:paraId="645CE12B" w14:textId="77777777" w:rsidR="00103F01" w:rsidRPr="00761B68" w:rsidRDefault="00103F01" w:rsidP="00103F01">
            <w:pPr>
              <w:pStyle w:val="naisc"/>
              <w:jc w:val="both"/>
            </w:pPr>
            <w:r w:rsidRPr="00761B68">
              <w:t>Ministru Kabineta noteikumus, kas regulē Disciplinārās Antidopinga</w:t>
            </w:r>
          </w:p>
          <w:p w14:paraId="5A371C9D" w14:textId="77777777" w:rsidR="00103F01" w:rsidRPr="00761B68" w:rsidRDefault="00103F01" w:rsidP="00103F01">
            <w:pPr>
              <w:pStyle w:val="naisc"/>
              <w:jc w:val="both"/>
            </w:pPr>
            <w:r w:rsidRPr="00761B68">
              <w:t>komisijas, Terapeitiskās lietošanas izņēmumu komisijas un</w:t>
            </w:r>
          </w:p>
          <w:p w14:paraId="3F3F6BEE" w14:textId="0F51A5C1" w:rsidR="00103F01" w:rsidRPr="00761B68" w:rsidRDefault="00103F01" w:rsidP="00103F01">
            <w:pPr>
              <w:pStyle w:val="naisc"/>
              <w:spacing w:before="0" w:after="0"/>
              <w:jc w:val="both"/>
            </w:pPr>
            <w:r w:rsidRPr="00761B68">
              <w:t>Pārsūdzības komisijas noteikumus.</w:t>
            </w:r>
          </w:p>
        </w:tc>
        <w:tc>
          <w:tcPr>
            <w:tcW w:w="3827" w:type="dxa"/>
            <w:gridSpan w:val="2"/>
            <w:tcBorders>
              <w:left w:val="single" w:sz="6" w:space="0" w:color="000000"/>
              <w:bottom w:val="single" w:sz="4" w:space="0" w:color="auto"/>
              <w:right w:val="single" w:sz="6" w:space="0" w:color="000000"/>
            </w:tcBorders>
          </w:tcPr>
          <w:p w14:paraId="3B40A3E0" w14:textId="77777777" w:rsidR="00103F01" w:rsidRPr="00761B68" w:rsidRDefault="00A10BC3" w:rsidP="00C1277F">
            <w:pPr>
              <w:pStyle w:val="naisc"/>
              <w:spacing w:before="0" w:after="0"/>
              <w:ind w:firstLine="720"/>
              <w:rPr>
                <w:b/>
              </w:rPr>
            </w:pPr>
            <w:r w:rsidRPr="00761B68">
              <w:rPr>
                <w:b/>
              </w:rPr>
              <w:lastRenderedPageBreak/>
              <w:t>Panākta vienošanās</w:t>
            </w:r>
          </w:p>
          <w:p w14:paraId="369DCFAD" w14:textId="77777777" w:rsidR="00A10BC3" w:rsidRPr="00761B68" w:rsidRDefault="00A10BC3" w:rsidP="00A10BC3">
            <w:pPr>
              <w:pStyle w:val="naisc"/>
              <w:spacing w:before="0" w:after="0"/>
              <w:ind w:firstLine="720"/>
              <w:jc w:val="left"/>
              <w:rPr>
                <w:b/>
              </w:rPr>
            </w:pPr>
          </w:p>
          <w:p w14:paraId="4BAD6F6A" w14:textId="796582F4" w:rsidR="00A10BC3" w:rsidRPr="00761B68" w:rsidRDefault="00A10BC3" w:rsidP="00A10BC3">
            <w:pPr>
              <w:pStyle w:val="naisc"/>
              <w:spacing w:before="0" w:after="0"/>
              <w:jc w:val="both"/>
              <w:rPr>
                <w:b/>
              </w:rPr>
            </w:pPr>
            <w:r w:rsidRPr="00761B68">
              <w:rPr>
                <w:b/>
              </w:rPr>
              <w:t>Par Latvijas Skvoša federācijas un Latvijas Biatlona federācijas iebildumiem</w:t>
            </w:r>
            <w:r w:rsidR="000A707D" w:rsidRPr="00761B68">
              <w:rPr>
                <w:b/>
              </w:rPr>
              <w:t>, t.sk.</w:t>
            </w:r>
            <w:r w:rsidRPr="00761B68">
              <w:rPr>
                <w:b/>
              </w:rPr>
              <w:t xml:space="preserve"> saistībā ar antidopinga jomas sistēmas </w:t>
            </w:r>
            <w:proofErr w:type="spellStart"/>
            <w:r w:rsidRPr="00761B68">
              <w:rPr>
                <w:b/>
              </w:rPr>
              <w:t>izvērtējumu</w:t>
            </w:r>
            <w:proofErr w:type="spellEnd"/>
            <w:r w:rsidRPr="00761B68">
              <w:rPr>
                <w:b/>
              </w:rPr>
              <w:t xml:space="preserve">, Pasaules Antidopinga kodeksa pārņemšanu, </w:t>
            </w:r>
            <w:proofErr w:type="spellStart"/>
            <w:r w:rsidRPr="00761B68">
              <w:rPr>
                <w:b/>
              </w:rPr>
              <w:t>dicisplinārās</w:t>
            </w:r>
            <w:proofErr w:type="spellEnd"/>
            <w:r w:rsidRPr="00761B68">
              <w:rPr>
                <w:b/>
              </w:rPr>
              <w:t xml:space="preserve"> antidopinga komisijas un pārsūdzības komisijas izveides kārtību</w:t>
            </w:r>
            <w:r w:rsidR="000A707D" w:rsidRPr="00761B68">
              <w:rPr>
                <w:b/>
              </w:rPr>
              <w:t>, Sporta likumā sniegto lietotās terminoloģiju</w:t>
            </w:r>
            <w:r w:rsidRPr="00761B68">
              <w:rPr>
                <w:b/>
              </w:rPr>
              <w:t xml:space="preserve"> sniegta atbilde 2019.gada 29.jūlija vēstulē Nr. 01-17.1/3243. </w:t>
            </w:r>
          </w:p>
          <w:p w14:paraId="465DC047" w14:textId="15A64487" w:rsidR="000A707D" w:rsidRPr="00761B68" w:rsidRDefault="000A707D" w:rsidP="00A10BC3">
            <w:pPr>
              <w:pStyle w:val="naisc"/>
              <w:spacing w:before="0" w:after="0"/>
              <w:jc w:val="both"/>
              <w:rPr>
                <w:b/>
              </w:rPr>
            </w:pPr>
          </w:p>
          <w:p w14:paraId="05F5D6F3" w14:textId="674732B8" w:rsidR="000A707D" w:rsidRPr="00761B68" w:rsidRDefault="000A707D" w:rsidP="000A707D">
            <w:pPr>
              <w:pStyle w:val="naisc"/>
              <w:jc w:val="both"/>
            </w:pPr>
            <w:r w:rsidRPr="00761B68">
              <w:t>Lai nodrošinātu Kodeksa pārņemšanu, Veselības ministrija sadarbībā ar Biroju izstrādāja Ministru kabineta noteikumu projektu “</w:t>
            </w:r>
            <w:r w:rsidRPr="00761B68">
              <w:rPr>
                <w:i/>
              </w:rPr>
              <w:t>Par Pasaules Antidopinga aģentūras 2015.gada Pasaules Antidopinga kodeksa pieņemšanu</w:t>
            </w:r>
            <w:r w:rsidRPr="00761B68">
              <w:t xml:space="preserve">”, kurš š.g. 30.maijā izsludināts Valsts sekretāru sanāksmē. Šis noteikumu projekts paredz pilnībā pieņemt un apstiprināt Kodeksu, tādējādi padarot to par saistošu un obligāti piemērojamu arī Latvijā. Šādu Kodeksa pārņemšanu ir atbalstījusi un </w:t>
            </w:r>
            <w:r w:rsidRPr="00761B68">
              <w:lastRenderedPageBreak/>
              <w:t>saskaņojusi Tieslietu ministrija un Ārlietu ministrija.</w:t>
            </w:r>
          </w:p>
          <w:p w14:paraId="269FB5A1" w14:textId="63E5743E" w:rsidR="000A707D" w:rsidRPr="00761B68" w:rsidRDefault="000A707D" w:rsidP="000A707D">
            <w:pPr>
              <w:pStyle w:val="naisc"/>
              <w:spacing w:before="0" w:after="0"/>
              <w:jc w:val="both"/>
            </w:pPr>
            <w:r w:rsidRPr="00761B68">
              <w:t xml:space="preserve">Noteikumu projekta par nacionālajiem antidopinga noteikumiem izstrādes laikā, noteikumu projekts vairākkārt nosūtīts izskatīšanai Pasaules Antidopinga kodeksa atbilstības un juridiskajam departamentam. Pasaules Antidopinga aģentūras sniegtie iebildumi un priekšlikumi ņemti vērā un iestrādāti noteikumu projektā. </w:t>
            </w:r>
            <w:r w:rsidRPr="00761B68">
              <w:rPr>
                <w:b/>
              </w:rPr>
              <w:t>Š.g. 9.jūlijā Pasaules Antidopinga aģentūra elektroniski informēja, ka saskaņo noteikumu projektu bez iebildumiem. Attiecīgi Pasaules antidopinga aģentūra atzīst, ka noteikumu projektā paredzētās prasības ir atbilstošas, kā arī Kodeksa panti, kuri ir jāpārņem obligāti, ir iekļauti noteikumu projektā pietiekamā apjomā un ir atbilstoši starptautiskajām prasībām.</w:t>
            </w:r>
          </w:p>
          <w:p w14:paraId="00F6BEF3" w14:textId="77777777" w:rsidR="000A707D" w:rsidRPr="00761B68" w:rsidRDefault="000A707D" w:rsidP="000A707D">
            <w:pPr>
              <w:pStyle w:val="naisc"/>
              <w:jc w:val="both"/>
            </w:pPr>
            <w:r w:rsidRPr="00761B68">
              <w:t xml:space="preserve">Attiecībā uz lietas par iespējamo antidopinga noteikumu pārkāpumu izskatīšanas kārtību, tā ir aprakstīta noteikumu projekta III nodaļā un atbilst starptautiskajai praksei. Skaidrojam, ka Birojs, uzsākot antidopinga noteikumu pārkāpuma izmeklēšanu, veic pasākumus atbilstoši Pasaules Antidopinga </w:t>
            </w:r>
            <w:r w:rsidRPr="00761B68">
              <w:lastRenderedPageBreak/>
              <w:t xml:space="preserve">kodeksā noteiktajai kārtībai, t.sk. apkopo Pasaules Antidopinga aģentūras akreditētas laboratorijas vai Pasaules Antidopinga aģentūras akreditētas Sportista bioloģisko pasu pārvaldības vienības atzinumus, dopinga kontroles anketu un citus pierādījumus, kas apstiprina iespējamo antidopinga noteikumu pārkāpumu. </w:t>
            </w:r>
          </w:p>
          <w:p w14:paraId="55A1C64A" w14:textId="77777777" w:rsidR="000A707D" w:rsidRPr="00761B68" w:rsidRDefault="000A707D" w:rsidP="000A707D">
            <w:pPr>
              <w:pStyle w:val="naisc"/>
              <w:jc w:val="both"/>
            </w:pPr>
            <w:r w:rsidRPr="00761B68">
              <w:t xml:space="preserve">Tāpat par nelabvēlīgiem dopinga kontroles analīžu rezultātiem Birojs trīs darba dienu laikā paziņo vienlaicīgi sportistam, sportista sporta organizācijai, valsts nacionālajai antidopinga organizācijai un Pasaules Antidopinga aģentūrai. </w:t>
            </w:r>
          </w:p>
          <w:p w14:paraId="5164AF7B" w14:textId="62BF97DA" w:rsidR="000A707D" w:rsidRPr="00761B68" w:rsidRDefault="000A707D" w:rsidP="000A707D">
            <w:pPr>
              <w:pStyle w:val="naisc"/>
              <w:jc w:val="both"/>
            </w:pPr>
            <w:r w:rsidRPr="00761B68">
              <w:t xml:space="preserve">Sportistam pēc paziņojuma par iespējamo antidopinga noteikumu pārkāpumu ir tiesības noteiktā laikā iesniegt Birojā rakstveida paskaidrojumus vai apliecinošos dokumentus, tādejādi nodrošinot sportista tiesības uz aizstāvību. Tālāk Birojs nodod lietas izskatīšanu Disciplinārajā antidopinga komisijā. Vēršam uzmanību, ka atbilstoši noteikumu projektā paredzētajam, </w:t>
            </w:r>
            <w:r w:rsidRPr="00761B68">
              <w:rPr>
                <w:b/>
              </w:rPr>
              <w:t xml:space="preserve">Birojs nepieņem lēmumu par antidopinga noteikumu pārkāpumu un sankcijām, kā arī nepiedalās turpmākajā lietas </w:t>
            </w:r>
            <w:r w:rsidRPr="00761B68">
              <w:rPr>
                <w:b/>
              </w:rPr>
              <w:lastRenderedPageBreak/>
              <w:t>izskatīšanā Disciplinārajā antidopinga komisijā</w:t>
            </w:r>
            <w:r w:rsidRPr="00761B68">
              <w:t xml:space="preserve">. </w:t>
            </w:r>
          </w:p>
          <w:p w14:paraId="6C7DE944" w14:textId="5F966B8E" w:rsidR="000A707D" w:rsidRPr="00761B68" w:rsidRDefault="000A707D" w:rsidP="000A707D">
            <w:pPr>
              <w:pStyle w:val="naisc"/>
              <w:spacing w:before="0" w:after="0"/>
              <w:jc w:val="both"/>
            </w:pPr>
            <w:r w:rsidRPr="00761B68">
              <w:t xml:space="preserve">Savukārt noteikumu projekta VI nodaļa paredz antidopinga jomā pieņemto lēmumu pārsūdzības kārtību nacionālajā līmenī, tostarp par lēmumiem, kas pieņemti saistībā ar nacionāla līmeņa sacensībām Latvijā vai Latvijas sportistiem, kas nav starptautiska līmeņa sportisti. Savukārt, kārtība par lēmumu pārsūdzības iespējām Starptautiskajā sporta šķīrējtiesā gadījumos, kas saistīti ar starptautiska līmeņa sacensībām vai starptautiska līmeņa sportistiem, ir noteikta Pasaules Antidopinga kodeksa 13.2.1.apakšpunktā. Tā kā Pasaules Antidopinga kodeksu ir plānots pieņemt ar atsevišķiem Ministru kabineta noteikumiem un tas būs tieši piemērojams Latvijā, </w:t>
            </w:r>
            <w:r w:rsidRPr="00761B68">
              <w:rPr>
                <w:b/>
              </w:rPr>
              <w:t>nav nepieciešamības divos normatīvajos aktos noteikt kārtību, kādā lēmumi pārsūdzami Starptautiskajā sporta šķīrējtiesā.</w:t>
            </w:r>
            <w:r w:rsidRPr="00761B68">
              <w:t xml:space="preserve"> Starptautiska līmeņa sportisti tāpat kā līdz šim, vadoties pēc Pasaules Antidopinga kodeksa, varēs vērsties Starptautiskajā sporta šķīrējtiesā lēmuma pārskatīšanai.</w:t>
            </w:r>
          </w:p>
          <w:p w14:paraId="5BAF4B9F" w14:textId="77777777" w:rsidR="000A707D" w:rsidRPr="00761B68" w:rsidRDefault="000A707D" w:rsidP="000A707D">
            <w:pPr>
              <w:pStyle w:val="naisc"/>
              <w:spacing w:before="0" w:after="0"/>
              <w:jc w:val="both"/>
            </w:pPr>
            <w:r w:rsidRPr="00761B68">
              <w:t xml:space="preserve">Informācija par plānoto sabiedrisko apspriedi par noteikumu projektiem </w:t>
            </w:r>
            <w:r w:rsidRPr="00761B68">
              <w:lastRenderedPageBreak/>
              <w:t xml:space="preserve">tika publicēta Veselības ministrijas tīmekļvietnē š.g. 2. maijā.  Tāpat informācija par sabiedrisko apspriedi un uzaicinājumu piedalīties sanāksmē tika nosūtīta Latvijas Antidopinga birojam, biedrībai "Latvijas Sporta federāciju padome", biedrībai "Latvijas Olimpiskā komiteja", sabiedrībai ar ierobežotu atbildību "Latvijas Olimpiskā vienība". </w:t>
            </w:r>
            <w:r w:rsidRPr="00761B68">
              <w:rPr>
                <w:b/>
              </w:rPr>
              <w:t>Sabiedriskā apspriede par noteikumu projektu notika š.g. 15. maijā, kurā piedalījās Latvijas Sporta federāciju padomes pārstāvis.</w:t>
            </w:r>
            <w:r w:rsidRPr="00761B68">
              <w:t xml:space="preserve"> Atbilstoši sabiedriskajā apspriedē diskutētajam un Latvijas Sporta federāciju padomes pārstāvja ierosinātajam, noteikumu projekts papildināts ar punktiem, kas skaidro kārtību, kā tiek pieņemts lēmums par izskatītajām lietām Disciplinārajā antidopinga komisijā, Terapeitiskās lietošanas izņēmumu komisijā un Pārsūdzības komisijā. Vienlaikus ņemti vērā Pasaules Antidopinga aģentūras komentāri attiecībā uz informācijas paziņošanu sportistam, sporta organizācijām, valsts antidopinga organizācijai un Pasaules Antidopinga aģentūrai. Citi iebildumi par noteikumu projektu, kā arī citu organizāciju pieteikumi sabiedriskai apspriedei netika saņemti. </w:t>
            </w:r>
          </w:p>
          <w:p w14:paraId="0DDED6B7" w14:textId="77777777" w:rsidR="00BA2362" w:rsidRPr="00761B68" w:rsidRDefault="000A707D" w:rsidP="000A707D">
            <w:pPr>
              <w:pStyle w:val="naisc"/>
              <w:spacing w:before="0" w:after="0"/>
              <w:jc w:val="both"/>
            </w:pPr>
            <w:r w:rsidRPr="00761B68">
              <w:lastRenderedPageBreak/>
              <w:t>Sabiedriskās apspriedes rezultāti ir aprakstīti noteikumu projekta anotācijā sadaļā “</w:t>
            </w:r>
            <w:r w:rsidRPr="00761B68">
              <w:rPr>
                <w:i/>
              </w:rPr>
              <w:t>VI. Sabiedrības līdzdalība un komunikācijas aktivitātes</w:t>
            </w:r>
            <w:r w:rsidRPr="00761B68">
              <w:t xml:space="preserve">”. </w:t>
            </w:r>
          </w:p>
          <w:p w14:paraId="759C8685" w14:textId="64697BE8" w:rsidR="000A707D" w:rsidRPr="00761B68" w:rsidRDefault="00BA2362" w:rsidP="000A707D">
            <w:pPr>
              <w:pStyle w:val="naisc"/>
              <w:spacing w:before="0" w:after="0"/>
              <w:jc w:val="both"/>
            </w:pPr>
            <w:r w:rsidRPr="00761B68">
              <w:t xml:space="preserve">Atbilstoši </w:t>
            </w:r>
            <w:r w:rsidR="000A707D" w:rsidRPr="00761B68">
              <w:t>Sporta likuma 10.panta sestajai daļai, Latvijā atzīto sporta federāciju darbību koordinē, to kopīgās intereses pārstāv un īsteno sporta organizācija — biedrība "Latvijas Sporta federāciju padome" (turpmāk – Sporta federācijas padome). Līdz ar to, ja Sporta federāciju padomes priekšlikumi tika ņemti vērā un citi iebildumi netika norādīti noteikumu projekta izstrādes laikā, projekts tika uzskatīts par Latvijā atzītu sporta federāciju saskaņotu.</w:t>
            </w:r>
          </w:p>
          <w:p w14:paraId="1AF58CF3" w14:textId="77777777" w:rsidR="00A10BC3" w:rsidRPr="00761B68" w:rsidRDefault="00A10BC3" w:rsidP="00A10BC3">
            <w:pPr>
              <w:pStyle w:val="naisc"/>
              <w:spacing w:before="0" w:after="0"/>
              <w:jc w:val="both"/>
              <w:rPr>
                <w:b/>
              </w:rPr>
            </w:pPr>
          </w:p>
          <w:p w14:paraId="7F1C5B81" w14:textId="24B3A60A" w:rsidR="00A10BC3" w:rsidRPr="00761B68" w:rsidRDefault="00A10BC3" w:rsidP="00A10BC3">
            <w:pPr>
              <w:pStyle w:val="naisc"/>
              <w:spacing w:before="0" w:after="0"/>
              <w:jc w:val="both"/>
              <w:rPr>
                <w:b/>
              </w:rPr>
            </w:pPr>
          </w:p>
        </w:tc>
        <w:tc>
          <w:tcPr>
            <w:tcW w:w="3260" w:type="dxa"/>
            <w:tcBorders>
              <w:top w:val="single" w:sz="4" w:space="0" w:color="auto"/>
              <w:left w:val="single" w:sz="4" w:space="0" w:color="auto"/>
              <w:bottom w:val="single" w:sz="4" w:space="0" w:color="auto"/>
            </w:tcBorders>
          </w:tcPr>
          <w:p w14:paraId="7DEF6017" w14:textId="77777777" w:rsidR="00103F01" w:rsidRPr="00761B68" w:rsidRDefault="00103F01" w:rsidP="00C1277F">
            <w:pPr>
              <w:jc w:val="both"/>
              <w:rPr>
                <w:sz w:val="26"/>
                <w:szCs w:val="26"/>
              </w:rPr>
            </w:pPr>
          </w:p>
        </w:tc>
      </w:tr>
      <w:tr w:rsidR="00761B68" w:rsidRPr="00761B68" w14:paraId="68749DF3" w14:textId="77777777" w:rsidTr="00061A65">
        <w:tblPrEx>
          <w:tblBorders>
            <w:top w:val="none" w:sz="0" w:space="0" w:color="auto"/>
            <w:left w:val="none" w:sz="0" w:space="0" w:color="auto"/>
            <w:bottom w:val="none" w:sz="0" w:space="0" w:color="auto"/>
            <w:right w:val="none" w:sz="0" w:space="0" w:color="auto"/>
          </w:tblBorders>
        </w:tblPrEx>
        <w:trPr>
          <w:gridAfter w:val="3"/>
          <w:wAfter w:w="5705" w:type="dxa"/>
        </w:trPr>
        <w:tc>
          <w:tcPr>
            <w:tcW w:w="3259" w:type="dxa"/>
            <w:gridSpan w:val="2"/>
          </w:tcPr>
          <w:p w14:paraId="193ECAF5" w14:textId="77777777" w:rsidR="00C1277F" w:rsidRPr="00761B68" w:rsidRDefault="00C1277F" w:rsidP="00C1277F">
            <w:pPr>
              <w:pStyle w:val="naiskr"/>
              <w:spacing w:before="0" w:after="0"/>
            </w:pPr>
          </w:p>
          <w:p w14:paraId="18FCD3AD" w14:textId="77777777" w:rsidR="00C1277F" w:rsidRPr="00761B68" w:rsidRDefault="00C1277F" w:rsidP="00C1277F">
            <w:pPr>
              <w:pStyle w:val="naiskr"/>
              <w:spacing w:before="0" w:after="0"/>
            </w:pPr>
            <w:r w:rsidRPr="00761B68">
              <w:t>Atbildīgā amatpersona</w:t>
            </w:r>
          </w:p>
        </w:tc>
        <w:tc>
          <w:tcPr>
            <w:tcW w:w="6179" w:type="dxa"/>
            <w:gridSpan w:val="3"/>
          </w:tcPr>
          <w:p w14:paraId="36514FF1" w14:textId="77777777" w:rsidR="00C1277F" w:rsidRPr="00761B68" w:rsidRDefault="00C1277F" w:rsidP="00C1277F">
            <w:pPr>
              <w:pStyle w:val="naiskr"/>
              <w:spacing w:before="0" w:after="0"/>
              <w:ind w:firstLine="720"/>
            </w:pPr>
            <w:r w:rsidRPr="00761B68">
              <w:t>  </w:t>
            </w:r>
          </w:p>
        </w:tc>
      </w:tr>
      <w:tr w:rsidR="00761B68" w:rsidRPr="00761B68" w14:paraId="0282ADE6" w14:textId="77777777" w:rsidTr="00061A65">
        <w:tblPrEx>
          <w:tblBorders>
            <w:top w:val="none" w:sz="0" w:space="0" w:color="auto"/>
            <w:left w:val="none" w:sz="0" w:space="0" w:color="auto"/>
            <w:bottom w:val="none" w:sz="0" w:space="0" w:color="auto"/>
            <w:right w:val="none" w:sz="0" w:space="0" w:color="auto"/>
          </w:tblBorders>
        </w:tblPrEx>
        <w:trPr>
          <w:gridAfter w:val="3"/>
          <w:wAfter w:w="5705" w:type="dxa"/>
        </w:trPr>
        <w:tc>
          <w:tcPr>
            <w:tcW w:w="3259" w:type="dxa"/>
            <w:gridSpan w:val="2"/>
          </w:tcPr>
          <w:p w14:paraId="5CDC6577" w14:textId="77777777" w:rsidR="00C1277F" w:rsidRPr="00761B68" w:rsidRDefault="00C1277F" w:rsidP="00C1277F">
            <w:pPr>
              <w:pStyle w:val="naiskr"/>
              <w:spacing w:before="0" w:after="0"/>
              <w:ind w:firstLine="720"/>
            </w:pPr>
          </w:p>
        </w:tc>
        <w:tc>
          <w:tcPr>
            <w:tcW w:w="6179" w:type="dxa"/>
            <w:gridSpan w:val="3"/>
            <w:tcBorders>
              <w:top w:val="single" w:sz="6" w:space="0" w:color="000000"/>
            </w:tcBorders>
          </w:tcPr>
          <w:p w14:paraId="0E2D7F8B" w14:textId="77777777" w:rsidR="00C1277F" w:rsidRPr="00761B68" w:rsidRDefault="00C1277F" w:rsidP="00C1277F">
            <w:pPr>
              <w:pStyle w:val="naisc"/>
              <w:spacing w:before="0" w:after="0"/>
              <w:ind w:firstLine="720"/>
            </w:pPr>
            <w:r w:rsidRPr="00761B68">
              <w:t>(paraksts*)</w:t>
            </w:r>
          </w:p>
        </w:tc>
      </w:tr>
    </w:tbl>
    <w:p w14:paraId="6A55FF15" w14:textId="77777777" w:rsidR="007116C7" w:rsidRPr="00761B68" w:rsidRDefault="007116C7" w:rsidP="00DB7395">
      <w:pPr>
        <w:pStyle w:val="naisf"/>
        <w:spacing w:before="0" w:after="0"/>
        <w:ind w:firstLine="720"/>
      </w:pPr>
    </w:p>
    <w:p w14:paraId="0027C11F" w14:textId="77777777" w:rsidR="003B71E0" w:rsidRPr="00761B68" w:rsidRDefault="003B71E0" w:rsidP="00DB7395">
      <w:pPr>
        <w:pStyle w:val="naisf"/>
        <w:spacing w:before="0" w:after="0"/>
        <w:ind w:firstLine="720"/>
      </w:pPr>
    </w:p>
    <w:p w14:paraId="10286961" w14:textId="77777777" w:rsidR="00317DC7" w:rsidRPr="00761B68" w:rsidRDefault="00184479" w:rsidP="00DB7395">
      <w:pPr>
        <w:pStyle w:val="naisf"/>
        <w:spacing w:before="0" w:after="0"/>
        <w:ind w:firstLine="720"/>
      </w:pPr>
      <w:r w:rsidRPr="00761B68">
        <w:t>Piezīme.</w:t>
      </w:r>
      <w:r w:rsidR="00767BF3" w:rsidRPr="00761B68">
        <w:t> </w:t>
      </w:r>
      <w:r w:rsidR="00FB6C91" w:rsidRPr="00761B68">
        <w:t>*</w:t>
      </w:r>
      <w:r w:rsidR="00767BF3" w:rsidRPr="00761B68">
        <w:t> </w:t>
      </w:r>
      <w:r w:rsidR="00317DC7" w:rsidRPr="00761B68">
        <w:t xml:space="preserve">Dokumenta rekvizītu </w:t>
      </w:r>
      <w:r w:rsidR="00364BB6" w:rsidRPr="00761B68">
        <w:t>"</w:t>
      </w:r>
      <w:r w:rsidR="0018210A" w:rsidRPr="00761B68">
        <w:t>p</w:t>
      </w:r>
      <w:r w:rsidR="00317DC7" w:rsidRPr="00761B68">
        <w:t>araksts</w:t>
      </w:r>
      <w:r w:rsidR="00364BB6" w:rsidRPr="00761B68">
        <w:t>"</w:t>
      </w:r>
      <w:r w:rsidR="00317DC7" w:rsidRPr="00761B68">
        <w:t xml:space="preserve"> neaizpilda, ja elektroniskais dokuments ir </w:t>
      </w:r>
      <w:r w:rsidRPr="00761B68">
        <w:t>sagatavots</w:t>
      </w:r>
      <w:r w:rsidR="00317DC7" w:rsidRPr="00761B68">
        <w:t xml:space="preserve"> atbilstoši </w:t>
      </w:r>
      <w:r w:rsidRPr="00761B68">
        <w:t xml:space="preserve">normatīvajiem aktiem par </w:t>
      </w:r>
      <w:r w:rsidR="00317DC7" w:rsidRPr="00761B68">
        <w:t>elektronisko dokumentu noformēšan</w:t>
      </w:r>
      <w:r w:rsidRPr="00761B68">
        <w:t>u.</w:t>
      </w:r>
    </w:p>
    <w:p w14:paraId="795F5AAB" w14:textId="65F4354E" w:rsidR="004373E1" w:rsidRPr="00761B68" w:rsidRDefault="004373E1" w:rsidP="006703E1">
      <w:pPr>
        <w:pStyle w:val="naisf"/>
        <w:spacing w:before="0" w:after="0"/>
        <w:ind w:firstLine="0"/>
      </w:pPr>
    </w:p>
    <w:p w14:paraId="64ADECF7" w14:textId="7F68B4B1" w:rsidR="006703E1" w:rsidRPr="00761B68" w:rsidRDefault="006703E1" w:rsidP="006703E1">
      <w:pPr>
        <w:pStyle w:val="naisf"/>
        <w:spacing w:before="0" w:after="0"/>
        <w:ind w:firstLine="0"/>
      </w:pPr>
    </w:p>
    <w:p w14:paraId="6EE8D8E4" w14:textId="6D8C8EB7" w:rsidR="006703E1" w:rsidRPr="00761B68" w:rsidRDefault="00761B68" w:rsidP="006703E1">
      <w:pPr>
        <w:pStyle w:val="naisf"/>
        <w:spacing w:before="0" w:after="0"/>
        <w:ind w:firstLine="0"/>
      </w:pPr>
      <w:r>
        <w:t>Lāsma Piķele</w:t>
      </w:r>
    </w:p>
    <w:tbl>
      <w:tblPr>
        <w:tblW w:w="0" w:type="auto"/>
        <w:tblLook w:val="00A0" w:firstRow="1" w:lastRow="0" w:firstColumn="1" w:lastColumn="0" w:noHBand="0" w:noVBand="0"/>
      </w:tblPr>
      <w:tblGrid>
        <w:gridCol w:w="8268"/>
      </w:tblGrid>
      <w:tr w:rsidR="00761B68" w:rsidRPr="00761B68" w14:paraId="0BB1AE22" w14:textId="77777777">
        <w:tc>
          <w:tcPr>
            <w:tcW w:w="8268" w:type="dxa"/>
            <w:tcBorders>
              <w:top w:val="single" w:sz="4" w:space="0" w:color="000000"/>
            </w:tcBorders>
          </w:tcPr>
          <w:p w14:paraId="5A2655AD" w14:textId="77777777" w:rsidR="008655A2" w:rsidRPr="00761B68" w:rsidRDefault="00184479" w:rsidP="00184479">
            <w:pPr>
              <w:jc w:val="center"/>
            </w:pPr>
            <w:r w:rsidRPr="00761B68">
              <w:t>(</w:t>
            </w:r>
            <w:r w:rsidR="008655A2" w:rsidRPr="00761B68">
              <w:t xml:space="preserve">par projektu atbildīgās amatpersonas </w:t>
            </w:r>
            <w:r w:rsidRPr="00761B68">
              <w:t xml:space="preserve">vārds un </w:t>
            </w:r>
            <w:r w:rsidR="008655A2" w:rsidRPr="00761B68">
              <w:t>uzvārds</w:t>
            </w:r>
            <w:r w:rsidRPr="00761B68">
              <w:t>)</w:t>
            </w:r>
          </w:p>
        </w:tc>
      </w:tr>
      <w:tr w:rsidR="00761B68" w:rsidRPr="00761B68" w14:paraId="4515B8A9" w14:textId="77777777">
        <w:tc>
          <w:tcPr>
            <w:tcW w:w="8268" w:type="dxa"/>
            <w:tcBorders>
              <w:bottom w:val="single" w:sz="4" w:space="0" w:color="000000"/>
            </w:tcBorders>
          </w:tcPr>
          <w:p w14:paraId="3A72117D" w14:textId="5A1A7AB9" w:rsidR="008655A2" w:rsidRPr="00761B68" w:rsidRDefault="00761B68" w:rsidP="0036160E">
            <w:r>
              <w:t>Vecākā eksperte</w:t>
            </w:r>
          </w:p>
        </w:tc>
      </w:tr>
      <w:tr w:rsidR="00761B68" w:rsidRPr="00761B68" w14:paraId="2EDE5F1F" w14:textId="77777777">
        <w:tc>
          <w:tcPr>
            <w:tcW w:w="8268" w:type="dxa"/>
            <w:tcBorders>
              <w:top w:val="single" w:sz="4" w:space="0" w:color="000000"/>
            </w:tcBorders>
          </w:tcPr>
          <w:p w14:paraId="6D59F379" w14:textId="77777777" w:rsidR="008655A2" w:rsidRPr="00761B68" w:rsidRDefault="00184479" w:rsidP="00184479">
            <w:pPr>
              <w:jc w:val="center"/>
            </w:pPr>
            <w:r w:rsidRPr="00761B68">
              <w:t>(</w:t>
            </w:r>
            <w:r w:rsidR="008655A2" w:rsidRPr="00761B68">
              <w:t>amats</w:t>
            </w:r>
            <w:r w:rsidRPr="00761B68">
              <w:t>)</w:t>
            </w:r>
          </w:p>
        </w:tc>
      </w:tr>
      <w:tr w:rsidR="00761B68" w:rsidRPr="00761B68" w14:paraId="5FD6D596" w14:textId="77777777">
        <w:tc>
          <w:tcPr>
            <w:tcW w:w="8268" w:type="dxa"/>
            <w:tcBorders>
              <w:bottom w:val="single" w:sz="4" w:space="0" w:color="000000"/>
            </w:tcBorders>
          </w:tcPr>
          <w:p w14:paraId="23F3ECF9" w14:textId="74BEC22A" w:rsidR="008655A2" w:rsidRPr="00761B68" w:rsidRDefault="00761B68" w:rsidP="0036160E">
            <w:r>
              <w:t>67876075</w:t>
            </w:r>
          </w:p>
        </w:tc>
      </w:tr>
      <w:tr w:rsidR="00761B68" w:rsidRPr="00761B68" w14:paraId="7CF33CED" w14:textId="77777777">
        <w:tc>
          <w:tcPr>
            <w:tcW w:w="8268" w:type="dxa"/>
            <w:tcBorders>
              <w:top w:val="single" w:sz="4" w:space="0" w:color="000000"/>
            </w:tcBorders>
          </w:tcPr>
          <w:p w14:paraId="4FCCC01F" w14:textId="77777777" w:rsidR="008655A2" w:rsidRPr="00761B68" w:rsidRDefault="00184479" w:rsidP="00184479">
            <w:pPr>
              <w:jc w:val="center"/>
            </w:pPr>
            <w:r w:rsidRPr="00761B68">
              <w:t>(</w:t>
            </w:r>
            <w:r w:rsidR="008655A2" w:rsidRPr="00761B68">
              <w:t>tālruņa un faksa numurs</w:t>
            </w:r>
            <w:r w:rsidRPr="00761B68">
              <w:t>)</w:t>
            </w:r>
          </w:p>
        </w:tc>
      </w:tr>
      <w:tr w:rsidR="00761B68" w:rsidRPr="00761B68" w14:paraId="1ED34B89" w14:textId="77777777">
        <w:tc>
          <w:tcPr>
            <w:tcW w:w="8268" w:type="dxa"/>
            <w:tcBorders>
              <w:bottom w:val="single" w:sz="4" w:space="0" w:color="000000"/>
            </w:tcBorders>
          </w:tcPr>
          <w:p w14:paraId="1A753DDF" w14:textId="59CA300A" w:rsidR="008655A2" w:rsidRPr="00761B68" w:rsidRDefault="00761B68" w:rsidP="0036160E">
            <w:r>
              <w:t>Lasma.Pikele@vm.gov.lv</w:t>
            </w:r>
          </w:p>
        </w:tc>
      </w:tr>
      <w:tr w:rsidR="008655A2" w:rsidRPr="00761B68" w14:paraId="0F9C4D1E" w14:textId="77777777">
        <w:tc>
          <w:tcPr>
            <w:tcW w:w="8268" w:type="dxa"/>
            <w:tcBorders>
              <w:top w:val="single" w:sz="4" w:space="0" w:color="000000"/>
            </w:tcBorders>
          </w:tcPr>
          <w:p w14:paraId="2B05911A" w14:textId="77777777" w:rsidR="008655A2" w:rsidRPr="00761B68" w:rsidRDefault="00184479" w:rsidP="00184479">
            <w:pPr>
              <w:jc w:val="center"/>
            </w:pPr>
            <w:r w:rsidRPr="00761B68">
              <w:t>(</w:t>
            </w:r>
            <w:r w:rsidR="008655A2" w:rsidRPr="00761B68">
              <w:t>e-pasta adrese</w:t>
            </w:r>
            <w:r w:rsidRPr="00761B68">
              <w:t>)</w:t>
            </w:r>
          </w:p>
        </w:tc>
      </w:tr>
    </w:tbl>
    <w:p w14:paraId="7A4733FD" w14:textId="77777777" w:rsidR="007116C7" w:rsidRPr="00761B68" w:rsidRDefault="007116C7" w:rsidP="00015C84">
      <w:pPr>
        <w:pStyle w:val="naisf"/>
        <w:spacing w:before="0" w:after="0"/>
        <w:ind w:firstLine="0"/>
        <w:jc w:val="left"/>
        <w:rPr>
          <w:sz w:val="28"/>
          <w:szCs w:val="28"/>
        </w:rPr>
      </w:pPr>
    </w:p>
    <w:sectPr w:rsidR="007116C7" w:rsidRPr="00761B68"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7F49" w14:textId="77777777" w:rsidR="00A10BC3" w:rsidRDefault="00A10BC3">
      <w:r>
        <w:separator/>
      </w:r>
    </w:p>
  </w:endnote>
  <w:endnote w:type="continuationSeparator" w:id="0">
    <w:p w14:paraId="53F733C3" w14:textId="77777777" w:rsidR="00A10BC3" w:rsidRDefault="00A1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8293" w14:textId="77777777" w:rsidR="00761B68" w:rsidRDefault="00761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E629" w14:textId="2F4F94EB" w:rsidR="00A10BC3" w:rsidRDefault="00A10BC3">
    <w:pPr>
      <w:pStyle w:val="Footer"/>
    </w:pPr>
    <w:r>
      <w:rPr>
        <w:sz w:val="20"/>
        <w:szCs w:val="20"/>
      </w:rPr>
      <w:t>VM</w:t>
    </w:r>
    <w:r w:rsidRPr="00015C84">
      <w:rPr>
        <w:sz w:val="20"/>
        <w:szCs w:val="20"/>
      </w:rPr>
      <w:t>izz_</w:t>
    </w:r>
    <w:r>
      <w:rPr>
        <w:sz w:val="20"/>
        <w:szCs w:val="20"/>
      </w:rPr>
      <w:t>2</w:t>
    </w:r>
    <w:r w:rsidR="00761B68">
      <w:rPr>
        <w:sz w:val="20"/>
        <w:szCs w:val="20"/>
      </w:rPr>
      <w:t>7</w:t>
    </w:r>
    <w:r w:rsidR="00061A65">
      <w:rPr>
        <w:sz w:val="20"/>
        <w:szCs w:val="20"/>
      </w:rPr>
      <w:t>08</w:t>
    </w:r>
    <w:r>
      <w:rPr>
        <w:sz w:val="20"/>
        <w:szCs w:val="20"/>
      </w:rPr>
      <w:t>19</w:t>
    </w:r>
    <w:r w:rsidRPr="00015C84">
      <w:rPr>
        <w:sz w:val="20"/>
        <w:szCs w:val="20"/>
      </w:rPr>
      <w:t>_</w:t>
    </w:r>
    <w:r>
      <w:rPr>
        <w:sz w:val="20"/>
        <w:szCs w:val="20"/>
      </w:rPr>
      <w:t>antidop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8B4E" w14:textId="19946B8F" w:rsidR="00A10BC3" w:rsidRPr="00761B68" w:rsidRDefault="00761B68" w:rsidP="00761B68">
    <w:pPr>
      <w:pStyle w:val="Footer"/>
    </w:pPr>
    <w:r>
      <w:rPr>
        <w:sz w:val="20"/>
        <w:szCs w:val="20"/>
      </w:rPr>
      <w:t>VM</w:t>
    </w:r>
    <w:r w:rsidRPr="00015C84">
      <w:rPr>
        <w:sz w:val="20"/>
        <w:szCs w:val="20"/>
      </w:rPr>
      <w:t>izz_</w:t>
    </w:r>
    <w:r>
      <w:rPr>
        <w:sz w:val="20"/>
        <w:szCs w:val="20"/>
      </w:rPr>
      <w:t>270819</w:t>
    </w:r>
    <w:r w:rsidRPr="00015C84">
      <w:rPr>
        <w:sz w:val="20"/>
        <w:szCs w:val="20"/>
      </w:rPr>
      <w:t>_</w:t>
    </w:r>
    <w:r>
      <w:rPr>
        <w:sz w:val="20"/>
        <w:szCs w:val="20"/>
      </w:rPr>
      <w:t>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AF85" w14:textId="77777777" w:rsidR="00A10BC3" w:rsidRDefault="00A10BC3">
      <w:r>
        <w:separator/>
      </w:r>
    </w:p>
  </w:footnote>
  <w:footnote w:type="continuationSeparator" w:id="0">
    <w:p w14:paraId="4FF63639" w14:textId="77777777" w:rsidR="00A10BC3" w:rsidRDefault="00A10BC3">
      <w:r>
        <w:continuationSeparator/>
      </w:r>
    </w:p>
  </w:footnote>
  <w:footnote w:id="1">
    <w:p w14:paraId="468F9CE6" w14:textId="01B39D63" w:rsidR="00A10BC3" w:rsidRDefault="00A10BC3">
      <w:pPr>
        <w:pStyle w:val="FootnoteText"/>
      </w:pPr>
      <w:r>
        <w:rPr>
          <w:rStyle w:val="FootnoteReference"/>
        </w:rPr>
        <w:footnoteRef/>
      </w:r>
      <w:r>
        <w:t xml:space="preserve"> </w:t>
      </w:r>
      <w:r w:rsidRPr="0064591E">
        <w:t xml:space="preserve">UCI-ADT 2018 UCI </w:t>
      </w:r>
      <w:proofErr w:type="spellStart"/>
      <w:r w:rsidRPr="0064591E">
        <w:t>vs</w:t>
      </w:r>
      <w:proofErr w:type="spellEnd"/>
      <w:r w:rsidRPr="0064591E">
        <w:t xml:space="preserve"> </w:t>
      </w:r>
      <w:proofErr w:type="spellStart"/>
      <w:r w:rsidRPr="0064591E">
        <w:t>André</w:t>
      </w:r>
      <w:proofErr w:type="spellEnd"/>
      <w:r w:rsidRPr="0064591E">
        <w:t xml:space="preserve"> </w:t>
      </w:r>
      <w:proofErr w:type="spellStart"/>
      <w:r w:rsidRPr="0064591E">
        <w:t>Cardoso</w:t>
      </w:r>
      <w:proofErr w:type="spellEnd"/>
      <w:r w:rsidRPr="0064591E">
        <w:t xml:space="preserve">; </w:t>
      </w:r>
      <w:proofErr w:type="spellStart"/>
      <w:r w:rsidRPr="0064591E">
        <w:t>Arbitration</w:t>
      </w:r>
      <w:proofErr w:type="spellEnd"/>
      <w:r w:rsidRPr="0064591E">
        <w:t xml:space="preserve"> CAS 2016/A/4655 </w:t>
      </w:r>
      <w:proofErr w:type="spellStart"/>
      <w:r w:rsidRPr="0064591E">
        <w:t>International</w:t>
      </w:r>
      <w:proofErr w:type="spellEnd"/>
      <w:r w:rsidRPr="0064591E">
        <w:t xml:space="preserve"> Association </w:t>
      </w:r>
      <w:proofErr w:type="spellStart"/>
      <w:r w:rsidRPr="0064591E">
        <w:t>of</w:t>
      </w:r>
      <w:proofErr w:type="spellEnd"/>
      <w:r w:rsidRPr="0064591E">
        <w:t xml:space="preserve"> </w:t>
      </w:r>
      <w:proofErr w:type="spellStart"/>
      <w:r w:rsidRPr="0064591E">
        <w:t>Athletics</w:t>
      </w:r>
      <w:proofErr w:type="spellEnd"/>
      <w:r w:rsidRPr="0064591E">
        <w:t xml:space="preserve"> </w:t>
      </w:r>
      <w:proofErr w:type="spellStart"/>
      <w:r w:rsidRPr="0064591E">
        <w:t>Federations</w:t>
      </w:r>
      <w:proofErr w:type="spellEnd"/>
      <w:r w:rsidRPr="0064591E">
        <w:t xml:space="preserve"> (IAAF) v. All Russia Athletics Federation (ARAF) &amp; Stanislav Emelyanov, award of 7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53CD" w14:textId="77777777" w:rsidR="00A10BC3" w:rsidRDefault="00A10BC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DC90D" w14:textId="77777777" w:rsidR="00A10BC3" w:rsidRDefault="00A10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F9B9" w14:textId="77777777" w:rsidR="00A10BC3" w:rsidRDefault="00A10BC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224BF" w14:textId="77777777" w:rsidR="00A10BC3" w:rsidRDefault="00A10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A7B9" w14:textId="77777777" w:rsidR="00761B68" w:rsidRDefault="00761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1073"/>
    <w:multiLevelType w:val="hybridMultilevel"/>
    <w:tmpl w:val="9A0672B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78A3A5F"/>
    <w:multiLevelType w:val="hybridMultilevel"/>
    <w:tmpl w:val="1272DD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C23680"/>
    <w:multiLevelType w:val="hybridMultilevel"/>
    <w:tmpl w:val="EFFAD7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3D53223"/>
    <w:multiLevelType w:val="hybridMultilevel"/>
    <w:tmpl w:val="3496E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2C46AB"/>
    <w:multiLevelType w:val="hybridMultilevel"/>
    <w:tmpl w:val="BFC0D484"/>
    <w:lvl w:ilvl="0" w:tplc="FB8E0952">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6364036"/>
    <w:multiLevelType w:val="hybridMultilevel"/>
    <w:tmpl w:val="2A5420E0"/>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1B5A9B"/>
    <w:multiLevelType w:val="hybridMultilevel"/>
    <w:tmpl w:val="290894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4"/>
  </w:num>
  <w:num w:numId="5">
    <w:abstractNumId w:val="2"/>
  </w:num>
  <w:num w:numId="6">
    <w:abstractNumId w:val="5"/>
  </w:num>
  <w:num w:numId="7">
    <w:abstractNumId w:val="1"/>
  </w:num>
  <w:num w:numId="8">
    <w:abstractNumId w:val="0"/>
  </w:num>
  <w:num w:numId="9">
    <w:abstractNumId w:val="3"/>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78"/>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368"/>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3FC5"/>
    <w:rsid w:val="000579E6"/>
    <w:rsid w:val="00060E03"/>
    <w:rsid w:val="00061A65"/>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6F14"/>
    <w:rsid w:val="000A707D"/>
    <w:rsid w:val="000A77B9"/>
    <w:rsid w:val="000A7EA7"/>
    <w:rsid w:val="000B0403"/>
    <w:rsid w:val="000B057B"/>
    <w:rsid w:val="000B06E7"/>
    <w:rsid w:val="000B0C94"/>
    <w:rsid w:val="000B15E5"/>
    <w:rsid w:val="000B2156"/>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103"/>
    <w:rsid w:val="001012E3"/>
    <w:rsid w:val="00101EEB"/>
    <w:rsid w:val="0010375A"/>
    <w:rsid w:val="001038ED"/>
    <w:rsid w:val="00103F01"/>
    <w:rsid w:val="001042B0"/>
    <w:rsid w:val="001050EE"/>
    <w:rsid w:val="00106F4F"/>
    <w:rsid w:val="001071D3"/>
    <w:rsid w:val="001075A8"/>
    <w:rsid w:val="001076AF"/>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4FF"/>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30C"/>
    <w:rsid w:val="0014702D"/>
    <w:rsid w:val="00147596"/>
    <w:rsid w:val="00152718"/>
    <w:rsid w:val="001530CF"/>
    <w:rsid w:val="001534D0"/>
    <w:rsid w:val="00153F12"/>
    <w:rsid w:val="001543DB"/>
    <w:rsid w:val="00155215"/>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502"/>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23B"/>
    <w:rsid w:val="001C3349"/>
    <w:rsid w:val="001C4ABA"/>
    <w:rsid w:val="001C546B"/>
    <w:rsid w:val="001C5EA2"/>
    <w:rsid w:val="001C60A5"/>
    <w:rsid w:val="001C6608"/>
    <w:rsid w:val="001C6C7D"/>
    <w:rsid w:val="001C78A2"/>
    <w:rsid w:val="001D1CB1"/>
    <w:rsid w:val="001D2AC0"/>
    <w:rsid w:val="001D2DBA"/>
    <w:rsid w:val="001D2FD0"/>
    <w:rsid w:val="001D3830"/>
    <w:rsid w:val="001D3BA6"/>
    <w:rsid w:val="001D5564"/>
    <w:rsid w:val="001D6FAA"/>
    <w:rsid w:val="001D70FA"/>
    <w:rsid w:val="001D7BA9"/>
    <w:rsid w:val="001E039D"/>
    <w:rsid w:val="001E22E7"/>
    <w:rsid w:val="001E2714"/>
    <w:rsid w:val="001E2FEA"/>
    <w:rsid w:val="001E398C"/>
    <w:rsid w:val="001E4456"/>
    <w:rsid w:val="001E4DDC"/>
    <w:rsid w:val="001E774F"/>
    <w:rsid w:val="001E7C1D"/>
    <w:rsid w:val="001F073F"/>
    <w:rsid w:val="001F3009"/>
    <w:rsid w:val="001F3358"/>
    <w:rsid w:val="001F35CB"/>
    <w:rsid w:val="001F390F"/>
    <w:rsid w:val="001F506B"/>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055"/>
    <w:rsid w:val="002469D1"/>
    <w:rsid w:val="00250EDA"/>
    <w:rsid w:val="00251502"/>
    <w:rsid w:val="002518E8"/>
    <w:rsid w:val="00251C10"/>
    <w:rsid w:val="00252E1E"/>
    <w:rsid w:val="0025331A"/>
    <w:rsid w:val="002538BA"/>
    <w:rsid w:val="0025469D"/>
    <w:rsid w:val="002552B1"/>
    <w:rsid w:val="00255D01"/>
    <w:rsid w:val="00256E55"/>
    <w:rsid w:val="00257E0E"/>
    <w:rsid w:val="00257FF4"/>
    <w:rsid w:val="00260B42"/>
    <w:rsid w:val="00260FCB"/>
    <w:rsid w:val="002615F5"/>
    <w:rsid w:val="002616B9"/>
    <w:rsid w:val="00261CAD"/>
    <w:rsid w:val="0026217B"/>
    <w:rsid w:val="002629E4"/>
    <w:rsid w:val="00263FE3"/>
    <w:rsid w:val="00265593"/>
    <w:rsid w:val="002675EA"/>
    <w:rsid w:val="00267BC5"/>
    <w:rsid w:val="00267CBE"/>
    <w:rsid w:val="00267E0B"/>
    <w:rsid w:val="00270680"/>
    <w:rsid w:val="00271103"/>
    <w:rsid w:val="002717F5"/>
    <w:rsid w:val="002721FA"/>
    <w:rsid w:val="0027230C"/>
    <w:rsid w:val="00272B99"/>
    <w:rsid w:val="0027380D"/>
    <w:rsid w:val="0027468E"/>
    <w:rsid w:val="00274826"/>
    <w:rsid w:val="00275005"/>
    <w:rsid w:val="002752AB"/>
    <w:rsid w:val="00275566"/>
    <w:rsid w:val="002756D6"/>
    <w:rsid w:val="0027573C"/>
    <w:rsid w:val="002815D0"/>
    <w:rsid w:val="002820A7"/>
    <w:rsid w:val="00283B82"/>
    <w:rsid w:val="00283E13"/>
    <w:rsid w:val="00286478"/>
    <w:rsid w:val="00287EDD"/>
    <w:rsid w:val="00290702"/>
    <w:rsid w:val="0029141B"/>
    <w:rsid w:val="00292202"/>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39AE"/>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723"/>
    <w:rsid w:val="00321F0A"/>
    <w:rsid w:val="003223CE"/>
    <w:rsid w:val="00322A2D"/>
    <w:rsid w:val="00322E80"/>
    <w:rsid w:val="00324D5B"/>
    <w:rsid w:val="00325045"/>
    <w:rsid w:val="00325D91"/>
    <w:rsid w:val="003267B4"/>
    <w:rsid w:val="003308B6"/>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1DAD"/>
    <w:rsid w:val="00362610"/>
    <w:rsid w:val="00363830"/>
    <w:rsid w:val="00363D2D"/>
    <w:rsid w:val="00364BB6"/>
    <w:rsid w:val="00364D6B"/>
    <w:rsid w:val="00365408"/>
    <w:rsid w:val="00365CC0"/>
    <w:rsid w:val="003668DF"/>
    <w:rsid w:val="00367688"/>
    <w:rsid w:val="00372221"/>
    <w:rsid w:val="00372723"/>
    <w:rsid w:val="00372C08"/>
    <w:rsid w:val="00372CF2"/>
    <w:rsid w:val="00374C7E"/>
    <w:rsid w:val="00377353"/>
    <w:rsid w:val="0037736B"/>
    <w:rsid w:val="0038077B"/>
    <w:rsid w:val="00381F57"/>
    <w:rsid w:val="0038216E"/>
    <w:rsid w:val="003822E5"/>
    <w:rsid w:val="003830B8"/>
    <w:rsid w:val="00383262"/>
    <w:rsid w:val="00391190"/>
    <w:rsid w:val="003A157A"/>
    <w:rsid w:val="003A27B4"/>
    <w:rsid w:val="003A283F"/>
    <w:rsid w:val="003A2A16"/>
    <w:rsid w:val="003A2FDD"/>
    <w:rsid w:val="003A3C43"/>
    <w:rsid w:val="003A5CCC"/>
    <w:rsid w:val="003A6C50"/>
    <w:rsid w:val="003A70FF"/>
    <w:rsid w:val="003A74D2"/>
    <w:rsid w:val="003A756B"/>
    <w:rsid w:val="003A7783"/>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5D8"/>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51F"/>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05C"/>
    <w:rsid w:val="00410C48"/>
    <w:rsid w:val="00416277"/>
    <w:rsid w:val="00416E24"/>
    <w:rsid w:val="00417953"/>
    <w:rsid w:val="0042063D"/>
    <w:rsid w:val="00422B23"/>
    <w:rsid w:val="00423A60"/>
    <w:rsid w:val="0042620C"/>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845"/>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3"/>
    <w:rsid w:val="004A52F5"/>
    <w:rsid w:val="004A5D3A"/>
    <w:rsid w:val="004A6897"/>
    <w:rsid w:val="004A692B"/>
    <w:rsid w:val="004A6EB6"/>
    <w:rsid w:val="004A794C"/>
    <w:rsid w:val="004B3EC7"/>
    <w:rsid w:val="004B5664"/>
    <w:rsid w:val="004C2107"/>
    <w:rsid w:val="004C5FC6"/>
    <w:rsid w:val="004C6435"/>
    <w:rsid w:val="004C649B"/>
    <w:rsid w:val="004C6F5B"/>
    <w:rsid w:val="004C7B9C"/>
    <w:rsid w:val="004C7D55"/>
    <w:rsid w:val="004D089A"/>
    <w:rsid w:val="004D3184"/>
    <w:rsid w:val="004D5030"/>
    <w:rsid w:val="004D6045"/>
    <w:rsid w:val="004D64D1"/>
    <w:rsid w:val="004D7546"/>
    <w:rsid w:val="004D7EC5"/>
    <w:rsid w:val="004E02B0"/>
    <w:rsid w:val="004E0B29"/>
    <w:rsid w:val="004E0C07"/>
    <w:rsid w:val="004E0E11"/>
    <w:rsid w:val="004E0F08"/>
    <w:rsid w:val="004E1546"/>
    <w:rsid w:val="004E19DC"/>
    <w:rsid w:val="004E35E8"/>
    <w:rsid w:val="004E50F0"/>
    <w:rsid w:val="004E6A03"/>
    <w:rsid w:val="004E6C48"/>
    <w:rsid w:val="004F0070"/>
    <w:rsid w:val="004F0468"/>
    <w:rsid w:val="004F0C51"/>
    <w:rsid w:val="004F263C"/>
    <w:rsid w:val="004F2BB1"/>
    <w:rsid w:val="004F2EC7"/>
    <w:rsid w:val="004F3CE8"/>
    <w:rsid w:val="004F6BFB"/>
    <w:rsid w:val="004F7E4A"/>
    <w:rsid w:val="0050147C"/>
    <w:rsid w:val="0050182B"/>
    <w:rsid w:val="00502579"/>
    <w:rsid w:val="005029F7"/>
    <w:rsid w:val="00503AD4"/>
    <w:rsid w:val="00503D4C"/>
    <w:rsid w:val="00504C0C"/>
    <w:rsid w:val="00504E48"/>
    <w:rsid w:val="0050650C"/>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4EEC"/>
    <w:rsid w:val="00535417"/>
    <w:rsid w:val="00535833"/>
    <w:rsid w:val="00536D28"/>
    <w:rsid w:val="005372C5"/>
    <w:rsid w:val="00537A26"/>
    <w:rsid w:val="00540E47"/>
    <w:rsid w:val="0054196D"/>
    <w:rsid w:val="00543283"/>
    <w:rsid w:val="0054364C"/>
    <w:rsid w:val="00546747"/>
    <w:rsid w:val="00547510"/>
    <w:rsid w:val="00547ECC"/>
    <w:rsid w:val="00551D0F"/>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2AC1"/>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01E"/>
    <w:rsid w:val="005A1494"/>
    <w:rsid w:val="005A3590"/>
    <w:rsid w:val="005A4A1C"/>
    <w:rsid w:val="005A5BD8"/>
    <w:rsid w:val="005A692A"/>
    <w:rsid w:val="005A6AB8"/>
    <w:rsid w:val="005A748B"/>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41AE"/>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8BA"/>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4ED"/>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91E"/>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03E1"/>
    <w:rsid w:val="00671149"/>
    <w:rsid w:val="00671615"/>
    <w:rsid w:val="00671741"/>
    <w:rsid w:val="00671766"/>
    <w:rsid w:val="006723DE"/>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87E08"/>
    <w:rsid w:val="00691237"/>
    <w:rsid w:val="006920E6"/>
    <w:rsid w:val="00692555"/>
    <w:rsid w:val="006932E1"/>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5E14"/>
    <w:rsid w:val="006C65A8"/>
    <w:rsid w:val="006C6790"/>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AAA"/>
    <w:rsid w:val="00706B85"/>
    <w:rsid w:val="007071FC"/>
    <w:rsid w:val="00707C84"/>
    <w:rsid w:val="00710A59"/>
    <w:rsid w:val="00710FDE"/>
    <w:rsid w:val="007116C7"/>
    <w:rsid w:val="00711C5A"/>
    <w:rsid w:val="00712860"/>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6956"/>
    <w:rsid w:val="0074705B"/>
    <w:rsid w:val="007470EC"/>
    <w:rsid w:val="0075020B"/>
    <w:rsid w:val="00751017"/>
    <w:rsid w:val="00751960"/>
    <w:rsid w:val="007535C7"/>
    <w:rsid w:val="00756551"/>
    <w:rsid w:val="00757769"/>
    <w:rsid w:val="0076067E"/>
    <w:rsid w:val="00761B68"/>
    <w:rsid w:val="00761BFD"/>
    <w:rsid w:val="00761D5C"/>
    <w:rsid w:val="00761FE5"/>
    <w:rsid w:val="00762476"/>
    <w:rsid w:val="00762A18"/>
    <w:rsid w:val="00763AE2"/>
    <w:rsid w:val="0076467D"/>
    <w:rsid w:val="00766D90"/>
    <w:rsid w:val="00767BF3"/>
    <w:rsid w:val="00767C19"/>
    <w:rsid w:val="00767D4E"/>
    <w:rsid w:val="00770816"/>
    <w:rsid w:val="00771067"/>
    <w:rsid w:val="007722ED"/>
    <w:rsid w:val="0077408B"/>
    <w:rsid w:val="00774AF6"/>
    <w:rsid w:val="00774EC8"/>
    <w:rsid w:val="0077505B"/>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654"/>
    <w:rsid w:val="007B6E0E"/>
    <w:rsid w:val="007C27FB"/>
    <w:rsid w:val="007C2CBB"/>
    <w:rsid w:val="007C309C"/>
    <w:rsid w:val="007C3F2F"/>
    <w:rsid w:val="007C4209"/>
    <w:rsid w:val="007C5EB9"/>
    <w:rsid w:val="007C7449"/>
    <w:rsid w:val="007C7EA5"/>
    <w:rsid w:val="007D1A95"/>
    <w:rsid w:val="007D245E"/>
    <w:rsid w:val="007D249C"/>
    <w:rsid w:val="007D3764"/>
    <w:rsid w:val="007D485A"/>
    <w:rsid w:val="007D54FF"/>
    <w:rsid w:val="007D57D4"/>
    <w:rsid w:val="007D6315"/>
    <w:rsid w:val="007D6474"/>
    <w:rsid w:val="007D724A"/>
    <w:rsid w:val="007D75A3"/>
    <w:rsid w:val="007E16E2"/>
    <w:rsid w:val="007E19FE"/>
    <w:rsid w:val="007E1AAC"/>
    <w:rsid w:val="007E3502"/>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91"/>
    <w:rsid w:val="008017AA"/>
    <w:rsid w:val="00801CBA"/>
    <w:rsid w:val="00801D92"/>
    <w:rsid w:val="00804BCF"/>
    <w:rsid w:val="00804FA4"/>
    <w:rsid w:val="00805275"/>
    <w:rsid w:val="00806A62"/>
    <w:rsid w:val="00806E55"/>
    <w:rsid w:val="008075CE"/>
    <w:rsid w:val="00812179"/>
    <w:rsid w:val="008124E2"/>
    <w:rsid w:val="00813928"/>
    <w:rsid w:val="008143EF"/>
    <w:rsid w:val="00815321"/>
    <w:rsid w:val="008166DB"/>
    <w:rsid w:val="008173E0"/>
    <w:rsid w:val="008175C1"/>
    <w:rsid w:val="008200D0"/>
    <w:rsid w:val="008200D4"/>
    <w:rsid w:val="00820370"/>
    <w:rsid w:val="00820CC6"/>
    <w:rsid w:val="00822C41"/>
    <w:rsid w:val="00825043"/>
    <w:rsid w:val="00825267"/>
    <w:rsid w:val="0082546A"/>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181"/>
    <w:rsid w:val="008645D6"/>
    <w:rsid w:val="0086552B"/>
    <w:rsid w:val="008655A2"/>
    <w:rsid w:val="0086584F"/>
    <w:rsid w:val="008671C7"/>
    <w:rsid w:val="00867EB8"/>
    <w:rsid w:val="00870335"/>
    <w:rsid w:val="00870AA2"/>
    <w:rsid w:val="0087361C"/>
    <w:rsid w:val="00873D88"/>
    <w:rsid w:val="0087433B"/>
    <w:rsid w:val="0087621E"/>
    <w:rsid w:val="00876529"/>
    <w:rsid w:val="008767B2"/>
    <w:rsid w:val="00877328"/>
    <w:rsid w:val="0087787A"/>
    <w:rsid w:val="008802F0"/>
    <w:rsid w:val="00880992"/>
    <w:rsid w:val="00881692"/>
    <w:rsid w:val="00883143"/>
    <w:rsid w:val="00883ECA"/>
    <w:rsid w:val="00884EC8"/>
    <w:rsid w:val="00886154"/>
    <w:rsid w:val="00890277"/>
    <w:rsid w:val="0089061A"/>
    <w:rsid w:val="008915C6"/>
    <w:rsid w:val="00891677"/>
    <w:rsid w:val="00892C5F"/>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B790A"/>
    <w:rsid w:val="008C119E"/>
    <w:rsid w:val="008C1E24"/>
    <w:rsid w:val="008C296B"/>
    <w:rsid w:val="008C2A46"/>
    <w:rsid w:val="008C4278"/>
    <w:rsid w:val="008C520E"/>
    <w:rsid w:val="008C563B"/>
    <w:rsid w:val="008C564F"/>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2D74"/>
    <w:rsid w:val="008E3151"/>
    <w:rsid w:val="008E3386"/>
    <w:rsid w:val="008E5410"/>
    <w:rsid w:val="008E5A3F"/>
    <w:rsid w:val="008E7209"/>
    <w:rsid w:val="008E7448"/>
    <w:rsid w:val="008F11BB"/>
    <w:rsid w:val="008F16FF"/>
    <w:rsid w:val="008F182F"/>
    <w:rsid w:val="008F1E95"/>
    <w:rsid w:val="008F2304"/>
    <w:rsid w:val="008F57DD"/>
    <w:rsid w:val="008F5AEE"/>
    <w:rsid w:val="008F5D09"/>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5"/>
    <w:rsid w:val="009257B0"/>
    <w:rsid w:val="009258BD"/>
    <w:rsid w:val="00925DEB"/>
    <w:rsid w:val="009263C0"/>
    <w:rsid w:val="009302D4"/>
    <w:rsid w:val="009307F2"/>
    <w:rsid w:val="00930CEC"/>
    <w:rsid w:val="00930F4A"/>
    <w:rsid w:val="0093375E"/>
    <w:rsid w:val="00933BEF"/>
    <w:rsid w:val="0093787E"/>
    <w:rsid w:val="009412CC"/>
    <w:rsid w:val="0094363D"/>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0"/>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33D"/>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A70"/>
    <w:rsid w:val="009B01DF"/>
    <w:rsid w:val="009B020D"/>
    <w:rsid w:val="009B072F"/>
    <w:rsid w:val="009B07A1"/>
    <w:rsid w:val="009B09CC"/>
    <w:rsid w:val="009B173B"/>
    <w:rsid w:val="009B1A1A"/>
    <w:rsid w:val="009B2608"/>
    <w:rsid w:val="009B2A71"/>
    <w:rsid w:val="009B4027"/>
    <w:rsid w:val="009B4975"/>
    <w:rsid w:val="009B561F"/>
    <w:rsid w:val="009B5773"/>
    <w:rsid w:val="009B5C6B"/>
    <w:rsid w:val="009B5D2D"/>
    <w:rsid w:val="009B7525"/>
    <w:rsid w:val="009C058F"/>
    <w:rsid w:val="009C2B3E"/>
    <w:rsid w:val="009C2EA2"/>
    <w:rsid w:val="009C2F73"/>
    <w:rsid w:val="009C3721"/>
    <w:rsid w:val="009C4141"/>
    <w:rsid w:val="009C4B55"/>
    <w:rsid w:val="009C5FCC"/>
    <w:rsid w:val="009C61A2"/>
    <w:rsid w:val="009C6DF6"/>
    <w:rsid w:val="009C6E92"/>
    <w:rsid w:val="009C7FB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8E9"/>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0BC3"/>
    <w:rsid w:val="00A12979"/>
    <w:rsid w:val="00A131A9"/>
    <w:rsid w:val="00A141B1"/>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5D12"/>
    <w:rsid w:val="00A26367"/>
    <w:rsid w:val="00A2678A"/>
    <w:rsid w:val="00A269E1"/>
    <w:rsid w:val="00A27C1C"/>
    <w:rsid w:val="00A30F6A"/>
    <w:rsid w:val="00A31CCD"/>
    <w:rsid w:val="00A32AEA"/>
    <w:rsid w:val="00A32F32"/>
    <w:rsid w:val="00A33E80"/>
    <w:rsid w:val="00A33EFE"/>
    <w:rsid w:val="00A3631C"/>
    <w:rsid w:val="00A4148D"/>
    <w:rsid w:val="00A434FE"/>
    <w:rsid w:val="00A43D56"/>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46B"/>
    <w:rsid w:val="00A73505"/>
    <w:rsid w:val="00A74F93"/>
    <w:rsid w:val="00A75E02"/>
    <w:rsid w:val="00A76E79"/>
    <w:rsid w:val="00A7771B"/>
    <w:rsid w:val="00A77B53"/>
    <w:rsid w:val="00A811F1"/>
    <w:rsid w:val="00A82887"/>
    <w:rsid w:val="00A83010"/>
    <w:rsid w:val="00A83BF5"/>
    <w:rsid w:val="00A84CD1"/>
    <w:rsid w:val="00A85717"/>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34E8"/>
    <w:rsid w:val="00AC42B8"/>
    <w:rsid w:val="00AC45C5"/>
    <w:rsid w:val="00AC4791"/>
    <w:rsid w:val="00AC4FB6"/>
    <w:rsid w:val="00AC4FD1"/>
    <w:rsid w:val="00AC5FEF"/>
    <w:rsid w:val="00AC6036"/>
    <w:rsid w:val="00AC7C2F"/>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492"/>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257F"/>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575"/>
    <w:rsid w:val="00B44D88"/>
    <w:rsid w:val="00B46957"/>
    <w:rsid w:val="00B47B54"/>
    <w:rsid w:val="00B50E99"/>
    <w:rsid w:val="00B51926"/>
    <w:rsid w:val="00B51F9A"/>
    <w:rsid w:val="00B54DA7"/>
    <w:rsid w:val="00B57B0E"/>
    <w:rsid w:val="00B600C6"/>
    <w:rsid w:val="00B60167"/>
    <w:rsid w:val="00B60B5F"/>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36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515"/>
    <w:rsid w:val="00BC3C7A"/>
    <w:rsid w:val="00BC7DC6"/>
    <w:rsid w:val="00BD1039"/>
    <w:rsid w:val="00BD13B5"/>
    <w:rsid w:val="00BD2EFC"/>
    <w:rsid w:val="00BD340E"/>
    <w:rsid w:val="00BD4B26"/>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7E8"/>
    <w:rsid w:val="00C07919"/>
    <w:rsid w:val="00C103F9"/>
    <w:rsid w:val="00C104AC"/>
    <w:rsid w:val="00C110E1"/>
    <w:rsid w:val="00C1198F"/>
    <w:rsid w:val="00C11FA1"/>
    <w:rsid w:val="00C1277F"/>
    <w:rsid w:val="00C12E21"/>
    <w:rsid w:val="00C12E65"/>
    <w:rsid w:val="00C13C20"/>
    <w:rsid w:val="00C13F74"/>
    <w:rsid w:val="00C146D3"/>
    <w:rsid w:val="00C16BE0"/>
    <w:rsid w:val="00C17FF5"/>
    <w:rsid w:val="00C21974"/>
    <w:rsid w:val="00C21C39"/>
    <w:rsid w:val="00C2325C"/>
    <w:rsid w:val="00C239ED"/>
    <w:rsid w:val="00C24B5B"/>
    <w:rsid w:val="00C24D9D"/>
    <w:rsid w:val="00C25CF3"/>
    <w:rsid w:val="00C263E9"/>
    <w:rsid w:val="00C27592"/>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3E"/>
    <w:rsid w:val="00C52D62"/>
    <w:rsid w:val="00C52EF3"/>
    <w:rsid w:val="00C533D4"/>
    <w:rsid w:val="00C53A4C"/>
    <w:rsid w:val="00C5448D"/>
    <w:rsid w:val="00C5477F"/>
    <w:rsid w:val="00C547B7"/>
    <w:rsid w:val="00C5503B"/>
    <w:rsid w:val="00C55A32"/>
    <w:rsid w:val="00C564F2"/>
    <w:rsid w:val="00C56F11"/>
    <w:rsid w:val="00C57763"/>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77DFA"/>
    <w:rsid w:val="00C8398D"/>
    <w:rsid w:val="00C84BC2"/>
    <w:rsid w:val="00C85139"/>
    <w:rsid w:val="00C85657"/>
    <w:rsid w:val="00C91C88"/>
    <w:rsid w:val="00C939C3"/>
    <w:rsid w:val="00C94228"/>
    <w:rsid w:val="00C96D56"/>
    <w:rsid w:val="00C977E6"/>
    <w:rsid w:val="00CA0020"/>
    <w:rsid w:val="00CA04B7"/>
    <w:rsid w:val="00CA0B2E"/>
    <w:rsid w:val="00CA18CA"/>
    <w:rsid w:val="00CA2557"/>
    <w:rsid w:val="00CA3328"/>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5F52"/>
    <w:rsid w:val="00CD0E6E"/>
    <w:rsid w:val="00CD23AE"/>
    <w:rsid w:val="00CD27DF"/>
    <w:rsid w:val="00CD2D8A"/>
    <w:rsid w:val="00CD2DEB"/>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4F6"/>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2B23"/>
    <w:rsid w:val="00D839D8"/>
    <w:rsid w:val="00D83F9E"/>
    <w:rsid w:val="00D840C2"/>
    <w:rsid w:val="00D84562"/>
    <w:rsid w:val="00D85C16"/>
    <w:rsid w:val="00D86169"/>
    <w:rsid w:val="00D8732E"/>
    <w:rsid w:val="00D91294"/>
    <w:rsid w:val="00D9186A"/>
    <w:rsid w:val="00D91974"/>
    <w:rsid w:val="00D92D47"/>
    <w:rsid w:val="00D93AFC"/>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F91"/>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1A9"/>
    <w:rsid w:val="00DE68EE"/>
    <w:rsid w:val="00DE6D24"/>
    <w:rsid w:val="00DE7285"/>
    <w:rsid w:val="00DE7C40"/>
    <w:rsid w:val="00DF0EA5"/>
    <w:rsid w:val="00DF1F1D"/>
    <w:rsid w:val="00DF23A5"/>
    <w:rsid w:val="00DF3309"/>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6D8"/>
    <w:rsid w:val="00E3181C"/>
    <w:rsid w:val="00E32EF3"/>
    <w:rsid w:val="00E33E21"/>
    <w:rsid w:val="00E34BC4"/>
    <w:rsid w:val="00E3540C"/>
    <w:rsid w:val="00E36187"/>
    <w:rsid w:val="00E36332"/>
    <w:rsid w:val="00E36C9B"/>
    <w:rsid w:val="00E371E9"/>
    <w:rsid w:val="00E37638"/>
    <w:rsid w:val="00E37E9D"/>
    <w:rsid w:val="00E40A00"/>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78F"/>
    <w:rsid w:val="00E65FF5"/>
    <w:rsid w:val="00E66857"/>
    <w:rsid w:val="00E67556"/>
    <w:rsid w:val="00E71DE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7C7C"/>
    <w:rsid w:val="00EC1200"/>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0BD"/>
    <w:rsid w:val="00EF033E"/>
    <w:rsid w:val="00EF06EC"/>
    <w:rsid w:val="00EF14FF"/>
    <w:rsid w:val="00EF1D6D"/>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596"/>
    <w:rsid w:val="00F12DEC"/>
    <w:rsid w:val="00F13151"/>
    <w:rsid w:val="00F15523"/>
    <w:rsid w:val="00F15F18"/>
    <w:rsid w:val="00F16391"/>
    <w:rsid w:val="00F2062B"/>
    <w:rsid w:val="00F216BF"/>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69C"/>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16E3"/>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908"/>
    <w:rsid w:val="00F92E3F"/>
    <w:rsid w:val="00F938D2"/>
    <w:rsid w:val="00F94E2F"/>
    <w:rsid w:val="00F96389"/>
    <w:rsid w:val="00F9650E"/>
    <w:rsid w:val="00F96B73"/>
    <w:rsid w:val="00F977C7"/>
    <w:rsid w:val="00FA0890"/>
    <w:rsid w:val="00FA164A"/>
    <w:rsid w:val="00FA3F3E"/>
    <w:rsid w:val="00FA4272"/>
    <w:rsid w:val="00FA4855"/>
    <w:rsid w:val="00FA4ACD"/>
    <w:rsid w:val="00FA4C4E"/>
    <w:rsid w:val="00FA6428"/>
    <w:rsid w:val="00FA7144"/>
    <w:rsid w:val="00FA7184"/>
    <w:rsid w:val="00FB1D9D"/>
    <w:rsid w:val="00FB3304"/>
    <w:rsid w:val="00FB46B8"/>
    <w:rsid w:val="00FB4B38"/>
    <w:rsid w:val="00FB54BB"/>
    <w:rsid w:val="00FB5AC0"/>
    <w:rsid w:val="00FB65D5"/>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BCD"/>
    <w:rsid w:val="00FE3E3C"/>
    <w:rsid w:val="00FE43E7"/>
    <w:rsid w:val="00FE4B66"/>
    <w:rsid w:val="00FE4F6E"/>
    <w:rsid w:val="00FE583F"/>
    <w:rsid w:val="00FE5CC4"/>
    <w:rsid w:val="00FE5E91"/>
    <w:rsid w:val="00FE6B13"/>
    <w:rsid w:val="00FE7575"/>
    <w:rsid w:val="00FF1070"/>
    <w:rsid w:val="00FF13E2"/>
    <w:rsid w:val="00FF2237"/>
    <w:rsid w:val="00FF4953"/>
    <w:rsid w:val="00FF5FA3"/>
    <w:rsid w:val="00FF5FCE"/>
    <w:rsid w:val="00FF6177"/>
    <w:rsid w:val="00FF6AD9"/>
    <w:rsid w:val="00FF7A95"/>
    <w:rsid w:val="00FF7B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88F1"/>
  <w15:chartTrackingRefBased/>
  <w15:docId w15:val="{7E9CCCBA-EBCA-4230-9979-EE44A81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EndnoteText">
    <w:name w:val="endnote text"/>
    <w:basedOn w:val="Normal"/>
    <w:link w:val="EndnoteTextChar"/>
    <w:uiPriority w:val="99"/>
    <w:semiHidden/>
    <w:unhideWhenUsed/>
    <w:rsid w:val="00EF1D6D"/>
    <w:rPr>
      <w:sz w:val="20"/>
      <w:szCs w:val="20"/>
    </w:rPr>
  </w:style>
  <w:style w:type="character" w:customStyle="1" w:styleId="EndnoteTextChar">
    <w:name w:val="Endnote Text Char"/>
    <w:basedOn w:val="DefaultParagraphFont"/>
    <w:link w:val="EndnoteText"/>
    <w:uiPriority w:val="99"/>
    <w:semiHidden/>
    <w:rsid w:val="00EF1D6D"/>
  </w:style>
  <w:style w:type="character" w:styleId="EndnoteReference">
    <w:name w:val="endnote reference"/>
    <w:basedOn w:val="DefaultParagraphFont"/>
    <w:uiPriority w:val="99"/>
    <w:semiHidden/>
    <w:unhideWhenUsed/>
    <w:rsid w:val="00EF1D6D"/>
    <w:rPr>
      <w:vertAlign w:val="superscript"/>
    </w:rPr>
  </w:style>
  <w:style w:type="paragraph" w:customStyle="1" w:styleId="xmsonormal">
    <w:name w:val="x_msonormal"/>
    <w:basedOn w:val="Normal"/>
    <w:rsid w:val="00D044F6"/>
    <w:pPr>
      <w:spacing w:before="100" w:beforeAutospacing="1" w:after="100" w:afterAutospacing="1"/>
    </w:pPr>
  </w:style>
  <w:style w:type="paragraph" w:styleId="NoSpacing">
    <w:name w:val="No Spacing"/>
    <w:uiPriority w:val="1"/>
    <w:qFormat/>
    <w:rsid w:val="00D044F6"/>
    <w:rPr>
      <w:sz w:val="24"/>
      <w:szCs w:val="24"/>
    </w:rPr>
  </w:style>
  <w:style w:type="paragraph" w:styleId="FootnoteText">
    <w:name w:val="footnote text"/>
    <w:basedOn w:val="Normal"/>
    <w:link w:val="FootnoteTextChar"/>
    <w:uiPriority w:val="99"/>
    <w:semiHidden/>
    <w:unhideWhenUsed/>
    <w:rsid w:val="0064591E"/>
    <w:rPr>
      <w:sz w:val="20"/>
      <w:szCs w:val="20"/>
    </w:rPr>
  </w:style>
  <w:style w:type="character" w:customStyle="1" w:styleId="FootnoteTextChar">
    <w:name w:val="Footnote Text Char"/>
    <w:basedOn w:val="DefaultParagraphFont"/>
    <w:link w:val="FootnoteText"/>
    <w:uiPriority w:val="99"/>
    <w:semiHidden/>
    <w:rsid w:val="0064591E"/>
  </w:style>
  <w:style w:type="character" w:styleId="FootnoteReference">
    <w:name w:val="footnote reference"/>
    <w:basedOn w:val="DefaultParagraphFont"/>
    <w:uiPriority w:val="99"/>
    <w:semiHidden/>
    <w:unhideWhenUsed/>
    <w:rsid w:val="00645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3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53384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3F44-1645-430B-BD7B-8241119F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5935</Words>
  <Characters>43675</Characters>
  <Application>Microsoft Office Word</Application>
  <DocSecurity>0</DocSecurity>
  <Lines>363</Lines>
  <Paragraphs>99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Lāsma Piķele</cp:lastModifiedBy>
  <cp:revision>7</cp:revision>
  <cp:lastPrinted>2019-07-24T09:15:00Z</cp:lastPrinted>
  <dcterms:created xsi:type="dcterms:W3CDTF">2019-08-23T08:30:00Z</dcterms:created>
  <dcterms:modified xsi:type="dcterms:W3CDTF">2019-08-27T08:28:00Z</dcterms:modified>
</cp:coreProperties>
</file>