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4C40" w14:textId="77777777" w:rsidR="00365229" w:rsidRDefault="000723E4" w:rsidP="00365229">
      <w:pPr>
        <w:spacing w:line="276" w:lineRule="auto"/>
        <w:jc w:val="center"/>
        <w:rPr>
          <w:szCs w:val="28"/>
        </w:rPr>
      </w:pPr>
      <w:r w:rsidRPr="00365229">
        <w:rPr>
          <w:szCs w:val="28"/>
        </w:rPr>
        <w:t>Izziņa par atzinumā sniegt</w:t>
      </w:r>
      <w:r w:rsidR="003D418D" w:rsidRPr="00365229">
        <w:rPr>
          <w:szCs w:val="28"/>
        </w:rPr>
        <w:t>ajiem</w:t>
      </w:r>
      <w:r w:rsidRPr="00365229">
        <w:rPr>
          <w:szCs w:val="28"/>
        </w:rPr>
        <w:t xml:space="preserve"> iebild</w:t>
      </w:r>
      <w:r w:rsidR="00D4234D" w:rsidRPr="00365229">
        <w:rPr>
          <w:szCs w:val="28"/>
        </w:rPr>
        <w:t>um</w:t>
      </w:r>
      <w:r w:rsidR="003D418D" w:rsidRPr="00365229">
        <w:rPr>
          <w:szCs w:val="28"/>
        </w:rPr>
        <w:t>iem</w:t>
      </w:r>
      <w:r w:rsidR="00D4234D" w:rsidRPr="00365229">
        <w:rPr>
          <w:szCs w:val="28"/>
        </w:rPr>
        <w:t xml:space="preserve"> par likumprojektu </w:t>
      </w:r>
    </w:p>
    <w:p w14:paraId="60EC08E2" w14:textId="1554D5D0" w:rsidR="00FC54D9" w:rsidRPr="00365229" w:rsidRDefault="00D4234D" w:rsidP="00365229">
      <w:pPr>
        <w:spacing w:line="276" w:lineRule="auto"/>
        <w:jc w:val="center"/>
        <w:rPr>
          <w:szCs w:val="28"/>
        </w:rPr>
      </w:pPr>
      <w:r w:rsidRPr="00365229">
        <w:rPr>
          <w:szCs w:val="28"/>
        </w:rPr>
        <w:t>„Grozījumi</w:t>
      </w:r>
      <w:r w:rsidR="000723E4" w:rsidRPr="00365229">
        <w:rPr>
          <w:szCs w:val="28"/>
        </w:rPr>
        <w:t xml:space="preserve"> Valsts pārvaldes iekārtas likumā” (VSS-618)</w:t>
      </w:r>
    </w:p>
    <w:p w14:paraId="5A1DA57C" w14:textId="77777777" w:rsidR="00FC54D9" w:rsidRPr="00447352" w:rsidRDefault="00FC54D9" w:rsidP="00447352">
      <w:pPr>
        <w:spacing w:line="276" w:lineRule="auto"/>
        <w:contextualSpacing/>
        <w:jc w:val="both"/>
        <w:rPr>
          <w:b/>
          <w:sz w:val="22"/>
        </w:rPr>
      </w:pPr>
    </w:p>
    <w:p w14:paraId="3E6268A7" w14:textId="77777777" w:rsidR="00FC54D9" w:rsidRPr="00447352" w:rsidRDefault="00FC54D9" w:rsidP="00447352">
      <w:pPr>
        <w:pStyle w:val="Sarakstarindkopa"/>
        <w:numPr>
          <w:ilvl w:val="0"/>
          <w:numId w:val="1"/>
        </w:numPr>
        <w:spacing w:line="276" w:lineRule="auto"/>
        <w:ind w:left="567" w:hanging="207"/>
        <w:jc w:val="both"/>
        <w:rPr>
          <w:b/>
          <w:sz w:val="22"/>
        </w:rPr>
      </w:pPr>
      <w:r w:rsidRPr="00447352">
        <w:rPr>
          <w:b/>
          <w:sz w:val="22"/>
        </w:rPr>
        <w:t>Jautājumi, par kuriem saskaņošanā vienošanās nav panākta</w:t>
      </w:r>
    </w:p>
    <w:p w14:paraId="6055AA01" w14:textId="77777777" w:rsidR="00FC54D9" w:rsidRPr="00447352" w:rsidRDefault="00FC54D9" w:rsidP="00447352">
      <w:pPr>
        <w:spacing w:line="276" w:lineRule="auto"/>
        <w:contextualSpacing/>
        <w:jc w:val="both"/>
        <w:rPr>
          <w:sz w:val="22"/>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435"/>
        <w:gridCol w:w="4111"/>
        <w:gridCol w:w="3260"/>
        <w:gridCol w:w="1985"/>
        <w:gridCol w:w="2268"/>
      </w:tblGrid>
      <w:tr w:rsidR="00FC54D9" w:rsidRPr="00447352" w14:paraId="2030A089" w14:textId="77777777" w:rsidTr="004F77F5">
        <w:tc>
          <w:tcPr>
            <w:tcW w:w="650" w:type="dxa"/>
            <w:vAlign w:val="center"/>
          </w:tcPr>
          <w:p w14:paraId="5167D250" w14:textId="77777777" w:rsidR="00FC54D9" w:rsidRPr="00447352" w:rsidRDefault="00FC54D9" w:rsidP="00447352">
            <w:pPr>
              <w:pStyle w:val="naisc"/>
              <w:spacing w:before="0" w:after="0" w:line="276" w:lineRule="auto"/>
              <w:contextualSpacing/>
              <w:jc w:val="both"/>
              <w:rPr>
                <w:sz w:val="22"/>
                <w:szCs w:val="22"/>
              </w:rPr>
            </w:pPr>
            <w:r w:rsidRPr="00447352">
              <w:rPr>
                <w:sz w:val="22"/>
                <w:szCs w:val="22"/>
              </w:rPr>
              <w:t>Nr. p.k.</w:t>
            </w:r>
          </w:p>
        </w:tc>
        <w:tc>
          <w:tcPr>
            <w:tcW w:w="2435" w:type="dxa"/>
            <w:vAlign w:val="center"/>
          </w:tcPr>
          <w:p w14:paraId="16FC1AC3" w14:textId="77777777" w:rsidR="00FC54D9" w:rsidRPr="00447352" w:rsidRDefault="00FC54D9" w:rsidP="00447352">
            <w:pPr>
              <w:pStyle w:val="naisc"/>
              <w:spacing w:before="0" w:after="0" w:line="276" w:lineRule="auto"/>
              <w:ind w:firstLine="12"/>
              <w:contextualSpacing/>
              <w:jc w:val="both"/>
              <w:rPr>
                <w:sz w:val="22"/>
                <w:szCs w:val="22"/>
              </w:rPr>
            </w:pPr>
            <w:r w:rsidRPr="00447352">
              <w:rPr>
                <w:sz w:val="22"/>
                <w:szCs w:val="22"/>
              </w:rPr>
              <w:t>Saskaņošanai nosūtītā projekta redakcija (konkrēta punkta (panta) redakcija)</w:t>
            </w:r>
          </w:p>
        </w:tc>
        <w:tc>
          <w:tcPr>
            <w:tcW w:w="4111" w:type="dxa"/>
            <w:vAlign w:val="center"/>
          </w:tcPr>
          <w:p w14:paraId="609B5A31" w14:textId="77777777" w:rsidR="00FC54D9" w:rsidRPr="00447352" w:rsidRDefault="00FC54D9" w:rsidP="00447352">
            <w:pPr>
              <w:pStyle w:val="naisc"/>
              <w:spacing w:before="0" w:after="0" w:line="276" w:lineRule="auto"/>
              <w:ind w:right="3"/>
              <w:contextualSpacing/>
              <w:jc w:val="both"/>
              <w:rPr>
                <w:sz w:val="22"/>
                <w:szCs w:val="22"/>
              </w:rPr>
            </w:pPr>
            <w:r w:rsidRPr="00447352">
              <w:rPr>
                <w:sz w:val="22"/>
                <w:szCs w:val="22"/>
              </w:rPr>
              <w:t>Atzinumā norādītais ministrijas (citas institūcijas) iebildums, kā arī saskaņošanā papildus izteiktais iebildums par projekta konkrēto punktu (pantu)</w:t>
            </w:r>
          </w:p>
        </w:tc>
        <w:tc>
          <w:tcPr>
            <w:tcW w:w="3260" w:type="dxa"/>
            <w:vAlign w:val="center"/>
          </w:tcPr>
          <w:p w14:paraId="42E00236" w14:textId="77777777" w:rsidR="00FC54D9" w:rsidRPr="00447352" w:rsidRDefault="00FC54D9" w:rsidP="00447352">
            <w:pPr>
              <w:pStyle w:val="naisc"/>
              <w:spacing w:before="0" w:after="0" w:line="276" w:lineRule="auto"/>
              <w:ind w:firstLine="21"/>
              <w:contextualSpacing/>
              <w:jc w:val="both"/>
              <w:rPr>
                <w:sz w:val="22"/>
                <w:szCs w:val="22"/>
              </w:rPr>
            </w:pPr>
            <w:r w:rsidRPr="00447352">
              <w:rPr>
                <w:sz w:val="22"/>
                <w:szCs w:val="22"/>
              </w:rPr>
              <w:t>Atbildīgās ministrijas pamatojums iebilduma noraidījumam</w:t>
            </w:r>
          </w:p>
        </w:tc>
        <w:tc>
          <w:tcPr>
            <w:tcW w:w="1985" w:type="dxa"/>
            <w:vAlign w:val="center"/>
          </w:tcPr>
          <w:p w14:paraId="26C1A77D" w14:textId="77777777" w:rsidR="00FC54D9" w:rsidRPr="00447352" w:rsidRDefault="00FC54D9" w:rsidP="00447352">
            <w:pPr>
              <w:spacing w:line="276" w:lineRule="auto"/>
              <w:contextualSpacing/>
              <w:jc w:val="both"/>
              <w:rPr>
                <w:sz w:val="22"/>
              </w:rPr>
            </w:pPr>
            <w:r w:rsidRPr="00447352">
              <w:rPr>
                <w:sz w:val="22"/>
              </w:rPr>
              <w:t>Atzinuma sniedzēja uzturētais iebildums, ja tas atšķiras no atzinumā norādītā iebilduma pamatojuma</w:t>
            </w:r>
          </w:p>
        </w:tc>
        <w:tc>
          <w:tcPr>
            <w:tcW w:w="2268" w:type="dxa"/>
            <w:vAlign w:val="center"/>
          </w:tcPr>
          <w:p w14:paraId="6E432007" w14:textId="77777777" w:rsidR="00FC54D9" w:rsidRPr="00447352" w:rsidRDefault="00FC54D9" w:rsidP="00447352">
            <w:pPr>
              <w:spacing w:line="276" w:lineRule="auto"/>
              <w:contextualSpacing/>
              <w:jc w:val="both"/>
              <w:rPr>
                <w:sz w:val="22"/>
              </w:rPr>
            </w:pPr>
            <w:r w:rsidRPr="00447352">
              <w:rPr>
                <w:sz w:val="22"/>
              </w:rPr>
              <w:t>Projekta attiecīgā punkta (panta) galīgā redakcija</w:t>
            </w:r>
          </w:p>
        </w:tc>
      </w:tr>
      <w:tr w:rsidR="00FC54D9" w:rsidRPr="00447352" w14:paraId="320E7FD0" w14:textId="77777777" w:rsidTr="004F77F5">
        <w:tc>
          <w:tcPr>
            <w:tcW w:w="650" w:type="dxa"/>
          </w:tcPr>
          <w:p w14:paraId="048B6225" w14:textId="77777777" w:rsidR="00FC54D9" w:rsidRPr="00447352" w:rsidRDefault="00FC54D9" w:rsidP="00447352">
            <w:pPr>
              <w:spacing w:line="276" w:lineRule="auto"/>
              <w:contextualSpacing/>
              <w:jc w:val="both"/>
              <w:rPr>
                <w:sz w:val="22"/>
              </w:rPr>
            </w:pPr>
          </w:p>
        </w:tc>
        <w:tc>
          <w:tcPr>
            <w:tcW w:w="2435" w:type="dxa"/>
          </w:tcPr>
          <w:p w14:paraId="7240C5A8" w14:textId="77777777" w:rsidR="00FC54D9" w:rsidRPr="00447352" w:rsidRDefault="00FC54D9" w:rsidP="00447352">
            <w:pPr>
              <w:spacing w:line="276" w:lineRule="auto"/>
              <w:jc w:val="both"/>
              <w:rPr>
                <w:bCs/>
                <w:sz w:val="22"/>
              </w:rPr>
            </w:pPr>
          </w:p>
        </w:tc>
        <w:tc>
          <w:tcPr>
            <w:tcW w:w="4111" w:type="dxa"/>
          </w:tcPr>
          <w:p w14:paraId="39EBC248" w14:textId="77777777" w:rsidR="00FC54D9" w:rsidRPr="00447352" w:rsidRDefault="00FC54D9" w:rsidP="00447352">
            <w:pPr>
              <w:tabs>
                <w:tab w:val="left" w:pos="1134"/>
              </w:tabs>
              <w:spacing w:line="276" w:lineRule="auto"/>
              <w:jc w:val="both"/>
              <w:rPr>
                <w:sz w:val="22"/>
              </w:rPr>
            </w:pPr>
          </w:p>
        </w:tc>
        <w:tc>
          <w:tcPr>
            <w:tcW w:w="3260" w:type="dxa"/>
          </w:tcPr>
          <w:p w14:paraId="24890E90" w14:textId="77777777" w:rsidR="00FC54D9" w:rsidRPr="00447352" w:rsidRDefault="00FC54D9" w:rsidP="00447352">
            <w:pPr>
              <w:tabs>
                <w:tab w:val="left" w:pos="709"/>
              </w:tabs>
              <w:spacing w:line="276" w:lineRule="auto"/>
              <w:jc w:val="both"/>
              <w:rPr>
                <w:bCs/>
                <w:sz w:val="22"/>
                <w:lang w:eastAsia="lv-LV"/>
              </w:rPr>
            </w:pPr>
          </w:p>
        </w:tc>
        <w:tc>
          <w:tcPr>
            <w:tcW w:w="1985" w:type="dxa"/>
          </w:tcPr>
          <w:p w14:paraId="39006BF3" w14:textId="77777777" w:rsidR="00FC54D9" w:rsidRPr="00447352" w:rsidRDefault="00FC54D9" w:rsidP="00447352">
            <w:pPr>
              <w:autoSpaceDE w:val="0"/>
              <w:autoSpaceDN w:val="0"/>
              <w:adjustRightInd w:val="0"/>
              <w:spacing w:line="276" w:lineRule="auto"/>
              <w:contextualSpacing/>
              <w:jc w:val="both"/>
              <w:rPr>
                <w:b/>
                <w:sz w:val="22"/>
              </w:rPr>
            </w:pPr>
          </w:p>
        </w:tc>
        <w:tc>
          <w:tcPr>
            <w:tcW w:w="2268" w:type="dxa"/>
          </w:tcPr>
          <w:p w14:paraId="603A279C" w14:textId="77777777" w:rsidR="00FC54D9" w:rsidRPr="00447352" w:rsidRDefault="00FC54D9" w:rsidP="00447352">
            <w:pPr>
              <w:spacing w:line="276" w:lineRule="auto"/>
              <w:ind w:left="33"/>
              <w:contextualSpacing/>
              <w:jc w:val="both"/>
              <w:rPr>
                <w:sz w:val="22"/>
              </w:rPr>
            </w:pPr>
          </w:p>
        </w:tc>
      </w:tr>
    </w:tbl>
    <w:p w14:paraId="714A16DE" w14:textId="77777777" w:rsidR="00FC54D9" w:rsidRPr="00447352" w:rsidRDefault="00FC54D9" w:rsidP="00447352">
      <w:pPr>
        <w:pStyle w:val="naisf"/>
        <w:spacing w:before="0" w:after="0" w:line="276" w:lineRule="auto"/>
        <w:ind w:firstLine="0"/>
        <w:contextualSpacing/>
        <w:rPr>
          <w:b/>
          <w:sz w:val="22"/>
          <w:szCs w:val="22"/>
        </w:rPr>
      </w:pPr>
    </w:p>
    <w:p w14:paraId="425C275A" w14:textId="77777777" w:rsidR="00FC54D9" w:rsidRPr="00447352" w:rsidRDefault="00FC54D9" w:rsidP="00447352">
      <w:pPr>
        <w:pStyle w:val="naisf"/>
        <w:spacing w:before="0" w:after="0" w:line="276" w:lineRule="auto"/>
        <w:ind w:firstLine="0"/>
        <w:contextualSpacing/>
        <w:rPr>
          <w:b/>
          <w:sz w:val="22"/>
          <w:szCs w:val="22"/>
        </w:rPr>
      </w:pPr>
    </w:p>
    <w:p w14:paraId="645E8654" w14:textId="77777777" w:rsidR="00FC54D9" w:rsidRPr="00447352" w:rsidRDefault="00FC54D9" w:rsidP="00447352">
      <w:pPr>
        <w:pStyle w:val="naisf"/>
        <w:spacing w:before="0" w:after="0" w:line="276" w:lineRule="auto"/>
        <w:ind w:firstLine="0"/>
        <w:contextualSpacing/>
        <w:rPr>
          <w:b/>
          <w:sz w:val="22"/>
          <w:szCs w:val="22"/>
        </w:rPr>
      </w:pPr>
      <w:r w:rsidRPr="00447352">
        <w:rPr>
          <w:b/>
          <w:sz w:val="22"/>
          <w:szCs w:val="22"/>
        </w:rPr>
        <w:t>Informācija par starpministriju (starpinstitūciju) sanāksmi vai elektronisko saskaņošanu</w:t>
      </w:r>
    </w:p>
    <w:p w14:paraId="19542E2B" w14:textId="77777777" w:rsidR="00FC54D9" w:rsidRPr="00447352" w:rsidRDefault="00FC54D9" w:rsidP="00447352">
      <w:pPr>
        <w:pStyle w:val="naisf"/>
        <w:spacing w:before="0" w:after="0" w:line="276" w:lineRule="auto"/>
        <w:ind w:firstLine="0"/>
        <w:contextualSpacing/>
        <w:rPr>
          <w:b/>
          <w:sz w:val="22"/>
          <w:szCs w:val="22"/>
        </w:rPr>
      </w:pPr>
    </w:p>
    <w:tbl>
      <w:tblPr>
        <w:tblW w:w="12582" w:type="dxa"/>
        <w:tblLook w:val="00A0" w:firstRow="1" w:lastRow="0" w:firstColumn="1" w:lastColumn="0" w:noHBand="0" w:noVBand="0"/>
      </w:tblPr>
      <w:tblGrid>
        <w:gridCol w:w="6062"/>
        <w:gridCol w:w="6520"/>
      </w:tblGrid>
      <w:tr w:rsidR="00FC54D9" w:rsidRPr="00447352" w14:paraId="0D70062A" w14:textId="77777777" w:rsidTr="004F77F5">
        <w:tc>
          <w:tcPr>
            <w:tcW w:w="6062" w:type="dxa"/>
          </w:tcPr>
          <w:p w14:paraId="4D7BDF71" w14:textId="77777777" w:rsidR="00FC54D9" w:rsidRPr="00447352" w:rsidRDefault="00FC54D9" w:rsidP="00447352">
            <w:pPr>
              <w:pStyle w:val="naisf"/>
              <w:spacing w:before="0" w:after="0" w:line="276" w:lineRule="auto"/>
              <w:ind w:firstLine="0"/>
              <w:contextualSpacing/>
              <w:rPr>
                <w:sz w:val="22"/>
                <w:szCs w:val="22"/>
              </w:rPr>
            </w:pPr>
            <w:r w:rsidRPr="00447352">
              <w:rPr>
                <w:sz w:val="22"/>
                <w:szCs w:val="22"/>
              </w:rPr>
              <w:t xml:space="preserve">Datums: </w:t>
            </w:r>
          </w:p>
        </w:tc>
        <w:tc>
          <w:tcPr>
            <w:tcW w:w="6520" w:type="dxa"/>
            <w:tcBorders>
              <w:bottom w:val="single" w:sz="4" w:space="0" w:color="auto"/>
            </w:tcBorders>
          </w:tcPr>
          <w:p w14:paraId="2437D841" w14:textId="77777777" w:rsidR="00FC54D9" w:rsidRPr="00447352" w:rsidRDefault="00FC54D9" w:rsidP="00447352">
            <w:pPr>
              <w:pStyle w:val="Paraststmeklis"/>
              <w:spacing w:before="0" w:beforeAutospacing="0" w:after="0" w:afterAutospacing="0" w:line="276" w:lineRule="auto"/>
              <w:ind w:firstLine="720"/>
              <w:contextualSpacing/>
              <w:jc w:val="both"/>
              <w:rPr>
                <w:sz w:val="22"/>
                <w:szCs w:val="22"/>
              </w:rPr>
            </w:pPr>
          </w:p>
        </w:tc>
      </w:tr>
      <w:tr w:rsidR="00FC54D9" w:rsidRPr="00447352" w14:paraId="39154FB9" w14:textId="77777777" w:rsidTr="004F77F5">
        <w:tc>
          <w:tcPr>
            <w:tcW w:w="6062" w:type="dxa"/>
          </w:tcPr>
          <w:p w14:paraId="1DA936DA" w14:textId="77777777" w:rsidR="00FC54D9" w:rsidRPr="00447352" w:rsidRDefault="00FC54D9" w:rsidP="00447352">
            <w:pPr>
              <w:pStyle w:val="naisf"/>
              <w:spacing w:before="0" w:after="0" w:line="276" w:lineRule="auto"/>
              <w:ind w:firstLine="0"/>
              <w:contextualSpacing/>
              <w:rPr>
                <w:sz w:val="22"/>
                <w:szCs w:val="22"/>
              </w:rPr>
            </w:pPr>
          </w:p>
        </w:tc>
        <w:tc>
          <w:tcPr>
            <w:tcW w:w="6520" w:type="dxa"/>
            <w:tcBorders>
              <w:top w:val="single" w:sz="4" w:space="0" w:color="auto"/>
            </w:tcBorders>
          </w:tcPr>
          <w:p w14:paraId="7FAA0882" w14:textId="77777777" w:rsidR="00FC54D9" w:rsidRPr="00447352" w:rsidRDefault="00FC54D9" w:rsidP="00447352">
            <w:pPr>
              <w:pStyle w:val="Paraststmeklis"/>
              <w:spacing w:before="0" w:beforeAutospacing="0" w:after="0" w:afterAutospacing="0" w:line="276" w:lineRule="auto"/>
              <w:ind w:firstLine="720"/>
              <w:contextualSpacing/>
              <w:jc w:val="both"/>
              <w:rPr>
                <w:sz w:val="22"/>
                <w:szCs w:val="22"/>
              </w:rPr>
            </w:pPr>
          </w:p>
        </w:tc>
      </w:tr>
      <w:tr w:rsidR="00FC54D9" w:rsidRPr="00447352" w14:paraId="6189B76C" w14:textId="77777777" w:rsidTr="004F77F5">
        <w:tc>
          <w:tcPr>
            <w:tcW w:w="6062" w:type="dxa"/>
          </w:tcPr>
          <w:p w14:paraId="01A046A6" w14:textId="77777777" w:rsidR="00FC54D9" w:rsidRPr="00447352" w:rsidRDefault="00FC54D9" w:rsidP="00447352">
            <w:pPr>
              <w:pStyle w:val="naiskr"/>
              <w:spacing w:before="0" w:after="0" w:line="276" w:lineRule="auto"/>
              <w:contextualSpacing/>
              <w:jc w:val="both"/>
              <w:rPr>
                <w:sz w:val="22"/>
                <w:szCs w:val="22"/>
              </w:rPr>
            </w:pPr>
            <w:r w:rsidRPr="00447352">
              <w:rPr>
                <w:sz w:val="22"/>
                <w:szCs w:val="22"/>
              </w:rPr>
              <w:t xml:space="preserve">Saskaņošanas dalībnieki: </w:t>
            </w:r>
          </w:p>
        </w:tc>
        <w:tc>
          <w:tcPr>
            <w:tcW w:w="6520" w:type="dxa"/>
          </w:tcPr>
          <w:p w14:paraId="7CC30AFE" w14:textId="7AD7783B" w:rsidR="00FC54D9" w:rsidRPr="00447352" w:rsidRDefault="000723E4" w:rsidP="00447352">
            <w:pPr>
              <w:autoSpaceDE w:val="0"/>
              <w:autoSpaceDN w:val="0"/>
              <w:spacing w:line="276" w:lineRule="auto"/>
              <w:jc w:val="both"/>
              <w:rPr>
                <w:sz w:val="22"/>
              </w:rPr>
            </w:pPr>
            <w:r w:rsidRPr="00447352">
              <w:rPr>
                <w:sz w:val="22"/>
              </w:rPr>
              <w:t>Vides un reģionālās attīstības ministrija</w:t>
            </w:r>
            <w:r w:rsidR="00447352" w:rsidRPr="00447352">
              <w:rPr>
                <w:sz w:val="22"/>
              </w:rPr>
              <w:t xml:space="preserve"> (turpmāk- VARAM)</w:t>
            </w:r>
            <w:r w:rsidR="00FF5435">
              <w:rPr>
                <w:sz w:val="22"/>
              </w:rPr>
              <w:t>, Tieslietu ministrija</w:t>
            </w:r>
          </w:p>
        </w:tc>
      </w:tr>
    </w:tbl>
    <w:p w14:paraId="7B4E8711" w14:textId="77777777" w:rsidR="00FC54D9" w:rsidRPr="00447352" w:rsidRDefault="00FC54D9" w:rsidP="00447352">
      <w:pPr>
        <w:spacing w:line="276" w:lineRule="auto"/>
        <w:contextualSpacing/>
        <w:jc w:val="both"/>
        <w:rPr>
          <w:sz w:val="22"/>
        </w:rPr>
      </w:pPr>
    </w:p>
    <w:tbl>
      <w:tblPr>
        <w:tblW w:w="12582" w:type="dxa"/>
        <w:tblLook w:val="00A0" w:firstRow="1" w:lastRow="0" w:firstColumn="1" w:lastColumn="0" w:noHBand="0" w:noVBand="0"/>
      </w:tblPr>
      <w:tblGrid>
        <w:gridCol w:w="6062"/>
        <w:gridCol w:w="236"/>
        <w:gridCol w:w="6284"/>
      </w:tblGrid>
      <w:tr w:rsidR="00FC54D9" w:rsidRPr="00447352" w14:paraId="1C2041C1" w14:textId="77777777" w:rsidTr="004F77F5">
        <w:trPr>
          <w:trHeight w:val="285"/>
        </w:trPr>
        <w:tc>
          <w:tcPr>
            <w:tcW w:w="6062" w:type="dxa"/>
          </w:tcPr>
          <w:p w14:paraId="0EA09968" w14:textId="77777777" w:rsidR="00FC54D9" w:rsidRPr="00447352" w:rsidRDefault="00FC54D9" w:rsidP="00447352">
            <w:pPr>
              <w:pStyle w:val="naiskr"/>
              <w:spacing w:before="0" w:after="0" w:line="276" w:lineRule="auto"/>
              <w:contextualSpacing/>
              <w:jc w:val="both"/>
              <w:rPr>
                <w:sz w:val="22"/>
                <w:szCs w:val="22"/>
              </w:rPr>
            </w:pPr>
            <w:r w:rsidRPr="00447352">
              <w:rPr>
                <w:sz w:val="22"/>
                <w:szCs w:val="22"/>
              </w:rPr>
              <w:t>Saskaņošanas dalībnieki izskatīja šādu ministriju (citu institūciju) iebildumus</w:t>
            </w:r>
          </w:p>
        </w:tc>
        <w:tc>
          <w:tcPr>
            <w:tcW w:w="236" w:type="dxa"/>
          </w:tcPr>
          <w:p w14:paraId="4229D292" w14:textId="77777777" w:rsidR="00FC54D9" w:rsidRPr="00447352" w:rsidRDefault="00FC54D9" w:rsidP="00447352">
            <w:pPr>
              <w:pStyle w:val="naiskr"/>
              <w:spacing w:before="0" w:after="0" w:line="276" w:lineRule="auto"/>
              <w:ind w:firstLine="720"/>
              <w:contextualSpacing/>
              <w:jc w:val="both"/>
              <w:rPr>
                <w:sz w:val="22"/>
                <w:szCs w:val="22"/>
                <w:u w:val="single"/>
              </w:rPr>
            </w:pPr>
          </w:p>
        </w:tc>
        <w:tc>
          <w:tcPr>
            <w:tcW w:w="6284" w:type="dxa"/>
          </w:tcPr>
          <w:p w14:paraId="597FEFD2" w14:textId="77777777" w:rsidR="00FC54D9" w:rsidRPr="00447352" w:rsidRDefault="00FC54D9" w:rsidP="00447352">
            <w:pPr>
              <w:pStyle w:val="naiskr"/>
              <w:spacing w:before="0" w:after="0" w:line="276" w:lineRule="auto"/>
              <w:ind w:left="81"/>
              <w:contextualSpacing/>
              <w:jc w:val="both"/>
              <w:rPr>
                <w:sz w:val="22"/>
                <w:szCs w:val="22"/>
              </w:rPr>
            </w:pPr>
          </w:p>
        </w:tc>
      </w:tr>
      <w:tr w:rsidR="00FC54D9" w:rsidRPr="00447352" w14:paraId="11E26AB4" w14:textId="77777777" w:rsidTr="004F77F5">
        <w:tc>
          <w:tcPr>
            <w:tcW w:w="6062" w:type="dxa"/>
          </w:tcPr>
          <w:p w14:paraId="1C874343" w14:textId="77777777" w:rsidR="00FC54D9" w:rsidRPr="00447352" w:rsidRDefault="00FC54D9" w:rsidP="00447352">
            <w:pPr>
              <w:pStyle w:val="naiskr"/>
              <w:spacing w:before="0" w:after="0" w:line="276" w:lineRule="auto"/>
              <w:contextualSpacing/>
              <w:jc w:val="both"/>
              <w:rPr>
                <w:sz w:val="22"/>
                <w:szCs w:val="22"/>
              </w:rPr>
            </w:pPr>
            <w:r w:rsidRPr="00447352">
              <w:rPr>
                <w:sz w:val="22"/>
                <w:szCs w:val="22"/>
              </w:rPr>
              <w:t>Ministrijas (citas institūcijas), kuras nav ieradušās uz sanāksmi vai kuras nav atbildējušas uz uzaicinājumu piedalīties elektroniskajā saskaņošanā</w:t>
            </w:r>
          </w:p>
        </w:tc>
        <w:tc>
          <w:tcPr>
            <w:tcW w:w="6520" w:type="dxa"/>
            <w:gridSpan w:val="2"/>
            <w:tcBorders>
              <w:bottom w:val="single" w:sz="4" w:space="0" w:color="auto"/>
            </w:tcBorders>
          </w:tcPr>
          <w:p w14:paraId="0C2C1305" w14:textId="77777777" w:rsidR="00FC54D9" w:rsidRPr="00447352" w:rsidRDefault="00FC54D9" w:rsidP="00447352">
            <w:pPr>
              <w:pStyle w:val="naiskr"/>
              <w:spacing w:before="0" w:after="0" w:line="276" w:lineRule="auto"/>
              <w:contextualSpacing/>
              <w:jc w:val="both"/>
              <w:rPr>
                <w:sz w:val="22"/>
                <w:szCs w:val="22"/>
              </w:rPr>
            </w:pPr>
          </w:p>
        </w:tc>
      </w:tr>
    </w:tbl>
    <w:p w14:paraId="36244499" w14:textId="77777777" w:rsidR="00FC54D9" w:rsidRPr="00447352" w:rsidRDefault="00FC54D9" w:rsidP="00447352">
      <w:pPr>
        <w:pStyle w:val="naisf"/>
        <w:spacing w:before="0" w:after="0" w:line="276" w:lineRule="auto"/>
        <w:ind w:firstLine="0"/>
        <w:contextualSpacing/>
        <w:rPr>
          <w:b/>
          <w:sz w:val="22"/>
          <w:szCs w:val="22"/>
        </w:rPr>
      </w:pPr>
    </w:p>
    <w:p w14:paraId="74137978" w14:textId="77777777" w:rsidR="000723E4" w:rsidRPr="00447352" w:rsidRDefault="000723E4" w:rsidP="00447352">
      <w:pPr>
        <w:pStyle w:val="naisf"/>
        <w:spacing w:before="0" w:after="0" w:line="276" w:lineRule="auto"/>
        <w:ind w:firstLine="0"/>
        <w:contextualSpacing/>
        <w:rPr>
          <w:b/>
          <w:sz w:val="22"/>
          <w:szCs w:val="22"/>
        </w:rPr>
      </w:pPr>
    </w:p>
    <w:p w14:paraId="7FADDCF2" w14:textId="77777777" w:rsidR="00A856A0" w:rsidRPr="00447352" w:rsidRDefault="00A856A0" w:rsidP="00447352">
      <w:pPr>
        <w:pStyle w:val="naisf"/>
        <w:spacing w:before="0" w:after="0" w:line="276" w:lineRule="auto"/>
        <w:ind w:firstLine="0"/>
        <w:contextualSpacing/>
        <w:rPr>
          <w:b/>
          <w:sz w:val="22"/>
          <w:szCs w:val="22"/>
        </w:rPr>
      </w:pPr>
    </w:p>
    <w:p w14:paraId="4C022B78" w14:textId="77777777" w:rsidR="00FC54D9" w:rsidRPr="00447352" w:rsidRDefault="00FC54D9" w:rsidP="00447352">
      <w:pPr>
        <w:pStyle w:val="naisf"/>
        <w:spacing w:before="0" w:after="0" w:line="276" w:lineRule="auto"/>
        <w:ind w:firstLine="0"/>
        <w:contextualSpacing/>
        <w:rPr>
          <w:b/>
          <w:sz w:val="22"/>
          <w:szCs w:val="22"/>
        </w:rPr>
      </w:pPr>
      <w:r w:rsidRPr="00447352">
        <w:rPr>
          <w:b/>
          <w:sz w:val="22"/>
          <w:szCs w:val="22"/>
        </w:rPr>
        <w:lastRenderedPageBreak/>
        <w:t>II. Jautājumi, par kuriem saskaņošanā vienošanās ir panākta</w:t>
      </w:r>
    </w:p>
    <w:p w14:paraId="0A4A88AB" w14:textId="77777777" w:rsidR="00FC54D9" w:rsidRPr="00447352" w:rsidRDefault="00FC54D9" w:rsidP="00447352">
      <w:pPr>
        <w:spacing w:line="276" w:lineRule="auto"/>
        <w:contextualSpacing/>
        <w:jc w:val="both"/>
        <w:rPr>
          <w:sz w:val="22"/>
        </w:rPr>
      </w:pPr>
    </w:p>
    <w:tbl>
      <w:tblPr>
        <w:tblStyle w:val="Reatabula"/>
        <w:tblW w:w="0" w:type="auto"/>
        <w:tblLayout w:type="fixed"/>
        <w:tblLook w:val="04A0" w:firstRow="1" w:lastRow="0" w:firstColumn="1" w:lastColumn="0" w:noHBand="0" w:noVBand="1"/>
      </w:tblPr>
      <w:tblGrid>
        <w:gridCol w:w="704"/>
        <w:gridCol w:w="3260"/>
        <w:gridCol w:w="3686"/>
        <w:gridCol w:w="3118"/>
        <w:gridCol w:w="3225"/>
      </w:tblGrid>
      <w:tr w:rsidR="00FC54D9" w:rsidRPr="00447352" w14:paraId="6D4040C9" w14:textId="77777777" w:rsidTr="005F2B1C">
        <w:tc>
          <w:tcPr>
            <w:tcW w:w="704" w:type="dxa"/>
          </w:tcPr>
          <w:p w14:paraId="6869B513" w14:textId="77777777" w:rsidR="00FC54D9" w:rsidRPr="00447352" w:rsidRDefault="00FC54D9" w:rsidP="00447352">
            <w:pPr>
              <w:pStyle w:val="naisc"/>
              <w:spacing w:before="0" w:after="0" w:line="276" w:lineRule="auto"/>
              <w:contextualSpacing/>
              <w:jc w:val="both"/>
              <w:rPr>
                <w:sz w:val="22"/>
                <w:szCs w:val="22"/>
              </w:rPr>
            </w:pPr>
            <w:r w:rsidRPr="00447352">
              <w:rPr>
                <w:sz w:val="22"/>
                <w:szCs w:val="22"/>
              </w:rPr>
              <w:t>Nr. p.k.</w:t>
            </w:r>
          </w:p>
        </w:tc>
        <w:tc>
          <w:tcPr>
            <w:tcW w:w="3260" w:type="dxa"/>
          </w:tcPr>
          <w:p w14:paraId="3A549982" w14:textId="77777777" w:rsidR="00FC54D9" w:rsidRPr="00447352" w:rsidRDefault="00FC54D9" w:rsidP="00447352">
            <w:pPr>
              <w:pStyle w:val="naisc"/>
              <w:spacing w:before="0" w:after="0" w:line="276" w:lineRule="auto"/>
              <w:ind w:firstLine="12"/>
              <w:contextualSpacing/>
              <w:jc w:val="both"/>
              <w:rPr>
                <w:sz w:val="22"/>
                <w:szCs w:val="22"/>
              </w:rPr>
            </w:pPr>
            <w:r w:rsidRPr="00447352">
              <w:rPr>
                <w:sz w:val="22"/>
                <w:szCs w:val="22"/>
              </w:rPr>
              <w:t>Saskaņošanai nosūtītā projekta redakcija (konkrēta punkta (panta) redakcija)</w:t>
            </w:r>
          </w:p>
        </w:tc>
        <w:tc>
          <w:tcPr>
            <w:tcW w:w="3686" w:type="dxa"/>
          </w:tcPr>
          <w:p w14:paraId="5A91D084" w14:textId="77777777" w:rsidR="00FC54D9" w:rsidRPr="00447352" w:rsidRDefault="00FC54D9" w:rsidP="00447352">
            <w:pPr>
              <w:pStyle w:val="naisc"/>
              <w:spacing w:before="0" w:after="0" w:line="276" w:lineRule="auto"/>
              <w:ind w:right="3"/>
              <w:contextualSpacing/>
              <w:jc w:val="both"/>
              <w:rPr>
                <w:sz w:val="22"/>
                <w:szCs w:val="22"/>
              </w:rPr>
            </w:pPr>
            <w:r w:rsidRPr="00447352">
              <w:rPr>
                <w:sz w:val="22"/>
                <w:szCs w:val="22"/>
              </w:rPr>
              <w:t>Atzinumā norādītais ministrijas (citas institūcijas) iebildums, kā arī saskaņošanā papildus izteiktais iebildums par projekta konkrēto punktu (pantu)</w:t>
            </w:r>
          </w:p>
        </w:tc>
        <w:tc>
          <w:tcPr>
            <w:tcW w:w="3118" w:type="dxa"/>
          </w:tcPr>
          <w:p w14:paraId="26F92BF3" w14:textId="77777777" w:rsidR="00FC54D9" w:rsidRPr="00447352" w:rsidRDefault="00FC54D9" w:rsidP="00447352">
            <w:pPr>
              <w:pStyle w:val="naisc"/>
              <w:spacing w:before="0" w:after="0" w:line="276" w:lineRule="auto"/>
              <w:ind w:firstLine="21"/>
              <w:contextualSpacing/>
              <w:jc w:val="both"/>
              <w:rPr>
                <w:sz w:val="22"/>
                <w:szCs w:val="22"/>
              </w:rPr>
            </w:pPr>
            <w:r w:rsidRPr="00447352">
              <w:rPr>
                <w:sz w:val="22"/>
                <w:szCs w:val="22"/>
              </w:rPr>
              <w:t>Atbildīgās ministrijas norāde par to, ka iebildums ir ņemts vērā, vai informācija par saskaņošanā panākto alternatīvo risinājumu</w:t>
            </w:r>
          </w:p>
        </w:tc>
        <w:tc>
          <w:tcPr>
            <w:tcW w:w="3225" w:type="dxa"/>
          </w:tcPr>
          <w:p w14:paraId="4017D481" w14:textId="77777777" w:rsidR="00FC54D9" w:rsidRPr="00447352" w:rsidRDefault="00FC54D9" w:rsidP="00447352">
            <w:pPr>
              <w:spacing w:line="276" w:lineRule="auto"/>
              <w:contextualSpacing/>
              <w:jc w:val="both"/>
              <w:rPr>
                <w:sz w:val="22"/>
              </w:rPr>
            </w:pPr>
            <w:r w:rsidRPr="00447352">
              <w:rPr>
                <w:sz w:val="22"/>
              </w:rPr>
              <w:t>Projekta attiecīgā punkta (panta) galīgā redakcija</w:t>
            </w:r>
          </w:p>
        </w:tc>
      </w:tr>
      <w:tr w:rsidR="00084CD8" w:rsidRPr="00447352" w14:paraId="5F3D7874" w14:textId="77777777" w:rsidTr="005F2B1C">
        <w:tc>
          <w:tcPr>
            <w:tcW w:w="704" w:type="dxa"/>
          </w:tcPr>
          <w:p w14:paraId="55025CC0" w14:textId="716D1452" w:rsidR="00084CD8" w:rsidRPr="00447352" w:rsidRDefault="00B46B14" w:rsidP="00447352">
            <w:pPr>
              <w:pStyle w:val="naisc"/>
              <w:spacing w:before="0" w:after="0" w:line="276" w:lineRule="auto"/>
              <w:contextualSpacing/>
              <w:jc w:val="both"/>
              <w:rPr>
                <w:sz w:val="22"/>
                <w:szCs w:val="22"/>
              </w:rPr>
            </w:pPr>
            <w:r w:rsidRPr="00447352">
              <w:rPr>
                <w:sz w:val="22"/>
                <w:szCs w:val="22"/>
              </w:rPr>
              <w:t>1.</w:t>
            </w:r>
          </w:p>
        </w:tc>
        <w:tc>
          <w:tcPr>
            <w:tcW w:w="3260" w:type="dxa"/>
          </w:tcPr>
          <w:p w14:paraId="5E95E7E7" w14:textId="77777777" w:rsidR="00447352" w:rsidRPr="00447352" w:rsidRDefault="00447352" w:rsidP="00447352">
            <w:pPr>
              <w:pStyle w:val="tv213"/>
              <w:spacing w:before="0" w:beforeAutospacing="0" w:after="0" w:afterAutospacing="0" w:line="276" w:lineRule="auto"/>
              <w:ind w:firstLine="300"/>
              <w:jc w:val="both"/>
              <w:rPr>
                <w:color w:val="414142"/>
                <w:sz w:val="22"/>
                <w:szCs w:val="22"/>
              </w:rPr>
            </w:pPr>
            <w:r w:rsidRPr="00447352">
              <w:rPr>
                <w:b/>
                <w:bCs/>
                <w:color w:val="414142"/>
                <w:sz w:val="22"/>
                <w:szCs w:val="22"/>
              </w:rPr>
              <w:t>98.pants. Valsts pārvaldes vienotie klientu apkalpošanas centri</w:t>
            </w:r>
          </w:p>
          <w:p w14:paraId="50B3F993" w14:textId="237A67DA" w:rsidR="00447352" w:rsidRPr="00447352" w:rsidRDefault="00447352" w:rsidP="00447352">
            <w:pPr>
              <w:pStyle w:val="tv213"/>
              <w:spacing w:before="0" w:beforeAutospacing="0" w:after="0" w:afterAutospacing="0" w:line="276" w:lineRule="auto"/>
              <w:ind w:firstLine="300"/>
              <w:jc w:val="both"/>
              <w:rPr>
                <w:color w:val="414142"/>
                <w:sz w:val="22"/>
                <w:szCs w:val="22"/>
              </w:rPr>
            </w:pPr>
            <w:r w:rsidRPr="00447352">
              <w:rPr>
                <w:color w:val="414142"/>
                <w:sz w:val="22"/>
                <w:szCs w:val="22"/>
              </w:rPr>
              <w:t xml:space="preserve"> (2) Iestādei, kura sniedz valsts pārvaldes pakalpojumus, ir tiesības veikt fizisko personu datu apstrādi tādā apjomā, kāds nepieciešams valsts pārvaldes pakalpojumu sniegšanai. Šādu fizisko personu datu apstrādei nav nepieciešams slēgt </w:t>
            </w:r>
            <w:hyperlink r:id="rId8" w:tgtFrame="_blank" w:history="1">
              <w:r w:rsidRPr="00447352">
                <w:rPr>
                  <w:rStyle w:val="Hipersaite"/>
                  <w:color w:val="16497B"/>
                  <w:sz w:val="22"/>
                  <w:szCs w:val="22"/>
                </w:rPr>
                <w:t>Fizisko personu datu aizsardzības likumā</w:t>
              </w:r>
            </w:hyperlink>
            <w:r w:rsidRPr="00447352">
              <w:rPr>
                <w:color w:val="414142"/>
                <w:sz w:val="22"/>
                <w:szCs w:val="22"/>
              </w:rPr>
              <w:t xml:space="preserve"> paredzēto līgumu par datu apstrādi.</w:t>
            </w:r>
          </w:p>
          <w:p w14:paraId="46777EFA" w14:textId="17433859" w:rsidR="00084CD8" w:rsidRPr="00447352" w:rsidRDefault="00084CD8" w:rsidP="00447352">
            <w:pPr>
              <w:spacing w:line="276" w:lineRule="auto"/>
              <w:jc w:val="both"/>
              <w:rPr>
                <w:sz w:val="22"/>
              </w:rPr>
            </w:pPr>
          </w:p>
        </w:tc>
        <w:tc>
          <w:tcPr>
            <w:tcW w:w="3686" w:type="dxa"/>
          </w:tcPr>
          <w:p w14:paraId="2E618D38" w14:textId="77777777" w:rsidR="000723E4" w:rsidRPr="00447352" w:rsidRDefault="000723E4" w:rsidP="00447352">
            <w:pPr>
              <w:pStyle w:val="Sarakstarindkopa"/>
              <w:spacing w:line="276" w:lineRule="auto"/>
              <w:ind w:left="284"/>
              <w:jc w:val="both"/>
              <w:rPr>
                <w:b/>
                <w:sz w:val="22"/>
              </w:rPr>
            </w:pPr>
            <w:r w:rsidRPr="00447352">
              <w:rPr>
                <w:b/>
                <w:sz w:val="22"/>
              </w:rPr>
              <w:t>VARAM</w:t>
            </w:r>
          </w:p>
          <w:p w14:paraId="7E296587" w14:textId="551C010F" w:rsidR="00D472F9" w:rsidRPr="00447352" w:rsidRDefault="000723E4" w:rsidP="00447352">
            <w:pPr>
              <w:pStyle w:val="Sarakstarindkopa"/>
              <w:spacing w:line="276" w:lineRule="auto"/>
              <w:ind w:left="284"/>
              <w:jc w:val="both"/>
              <w:rPr>
                <w:sz w:val="22"/>
              </w:rPr>
            </w:pPr>
            <w:r w:rsidRPr="00447352">
              <w:rPr>
                <w:sz w:val="22"/>
              </w:rPr>
              <w:t>lūdzam likuma 98.panta otrajā daļā vārdus “Fizisko personu datu aizsardzības likumā” aizstāt ar “Fizisko personu datu apstrādes likumā”, ņemot vērā, ka Fizisko personu datu aizsardzības likums ir zaudējis spēku ar Fizisko personu datu apstrādes likuma stāšanos spēkā 2018.gada 5.jūlijā.</w:t>
            </w:r>
          </w:p>
          <w:p w14:paraId="1528E0EF" w14:textId="77777777" w:rsidR="00084CD8" w:rsidRPr="00447352" w:rsidRDefault="00084CD8" w:rsidP="00447352">
            <w:pPr>
              <w:pStyle w:val="naisc"/>
              <w:spacing w:before="0" w:after="0" w:line="276" w:lineRule="auto"/>
              <w:ind w:right="3"/>
              <w:contextualSpacing/>
              <w:jc w:val="both"/>
              <w:rPr>
                <w:sz w:val="22"/>
                <w:szCs w:val="22"/>
              </w:rPr>
            </w:pPr>
          </w:p>
        </w:tc>
        <w:tc>
          <w:tcPr>
            <w:tcW w:w="3118" w:type="dxa"/>
          </w:tcPr>
          <w:p w14:paraId="4A075592" w14:textId="56393DA6" w:rsidR="000A1078" w:rsidRPr="00447352" w:rsidRDefault="00447352" w:rsidP="00447352">
            <w:pPr>
              <w:spacing w:line="276" w:lineRule="auto"/>
              <w:jc w:val="both"/>
              <w:rPr>
                <w:sz w:val="22"/>
              </w:rPr>
            </w:pPr>
            <w:r w:rsidRPr="00447352">
              <w:rPr>
                <w:sz w:val="22"/>
              </w:rPr>
              <w:t>Ņemts vērā</w:t>
            </w:r>
          </w:p>
          <w:p w14:paraId="7274C236" w14:textId="1B49AC3F" w:rsidR="000A1078" w:rsidRPr="00447352" w:rsidRDefault="000A1078" w:rsidP="00447352">
            <w:pPr>
              <w:spacing w:line="276" w:lineRule="auto"/>
              <w:jc w:val="both"/>
              <w:rPr>
                <w:sz w:val="22"/>
              </w:rPr>
            </w:pPr>
          </w:p>
        </w:tc>
        <w:tc>
          <w:tcPr>
            <w:tcW w:w="3225" w:type="dxa"/>
          </w:tcPr>
          <w:p w14:paraId="73F39B26" w14:textId="77777777" w:rsidR="00447352" w:rsidRPr="00447352" w:rsidRDefault="00447352" w:rsidP="00447352">
            <w:pPr>
              <w:pStyle w:val="tv213"/>
              <w:spacing w:before="0" w:beforeAutospacing="0" w:after="0" w:afterAutospacing="0" w:line="276" w:lineRule="auto"/>
              <w:ind w:firstLine="300"/>
              <w:jc w:val="both"/>
              <w:rPr>
                <w:color w:val="414142"/>
                <w:sz w:val="22"/>
                <w:szCs w:val="22"/>
              </w:rPr>
            </w:pPr>
            <w:r w:rsidRPr="00447352">
              <w:rPr>
                <w:b/>
                <w:bCs/>
                <w:color w:val="414142"/>
                <w:sz w:val="22"/>
                <w:szCs w:val="22"/>
              </w:rPr>
              <w:t>98.pants. Valsts pārvaldes vienotie klientu apkalpošanas centri</w:t>
            </w:r>
          </w:p>
          <w:p w14:paraId="63940786" w14:textId="69DF996E" w:rsidR="00447352" w:rsidRPr="00447352" w:rsidRDefault="00447352" w:rsidP="00447352">
            <w:pPr>
              <w:pStyle w:val="tv213"/>
              <w:spacing w:before="0" w:beforeAutospacing="0" w:after="0" w:afterAutospacing="0" w:line="276" w:lineRule="auto"/>
              <w:ind w:firstLine="300"/>
              <w:jc w:val="both"/>
              <w:rPr>
                <w:color w:val="414142"/>
                <w:sz w:val="22"/>
                <w:szCs w:val="22"/>
              </w:rPr>
            </w:pPr>
            <w:r w:rsidRPr="00447352">
              <w:rPr>
                <w:color w:val="414142"/>
                <w:sz w:val="22"/>
                <w:szCs w:val="22"/>
              </w:rPr>
              <w:t xml:space="preserve"> (2) Iestādei, kura sniedz valsts pārvaldes pakalpojumus, ir tiesības veikt fizisko personu datu apstrādi tādā apjomā, kāds nepieciešams valsts pārvaldes pakalpojumu sniegšanai. Šādu fizisko personu datu apstrādei nav nepieciešams slēgt </w:t>
            </w:r>
            <w:hyperlink r:id="rId9" w:tgtFrame="_blank" w:history="1">
              <w:r w:rsidRPr="00447352">
                <w:rPr>
                  <w:rStyle w:val="Hipersaite"/>
                  <w:color w:val="16497B"/>
                  <w:sz w:val="22"/>
                  <w:szCs w:val="22"/>
                </w:rPr>
                <w:t>Fizisko personu datu apstrādes likumā</w:t>
              </w:r>
            </w:hyperlink>
            <w:r w:rsidRPr="00447352">
              <w:rPr>
                <w:color w:val="414142"/>
                <w:sz w:val="22"/>
                <w:szCs w:val="22"/>
              </w:rPr>
              <w:t xml:space="preserve"> paredzēto līgumu par datu apstrādi.</w:t>
            </w:r>
          </w:p>
          <w:p w14:paraId="044B7E6B" w14:textId="77777777" w:rsidR="00084CD8" w:rsidRPr="00447352" w:rsidRDefault="00084CD8" w:rsidP="00447352">
            <w:pPr>
              <w:spacing w:line="276" w:lineRule="auto"/>
              <w:jc w:val="both"/>
              <w:rPr>
                <w:sz w:val="22"/>
              </w:rPr>
            </w:pPr>
          </w:p>
        </w:tc>
      </w:tr>
      <w:tr w:rsidR="00FF5435" w:rsidRPr="00447352" w14:paraId="75729F74" w14:textId="77777777" w:rsidTr="005F2B1C">
        <w:tc>
          <w:tcPr>
            <w:tcW w:w="704" w:type="dxa"/>
          </w:tcPr>
          <w:p w14:paraId="7C62FD9E" w14:textId="6E175DE4" w:rsidR="00FF5435" w:rsidRPr="00447352" w:rsidRDefault="00FF5435" w:rsidP="00447352">
            <w:pPr>
              <w:pStyle w:val="naisc"/>
              <w:spacing w:before="0" w:after="0" w:line="276" w:lineRule="auto"/>
              <w:contextualSpacing/>
              <w:jc w:val="both"/>
              <w:rPr>
                <w:sz w:val="22"/>
                <w:szCs w:val="22"/>
              </w:rPr>
            </w:pPr>
            <w:r>
              <w:rPr>
                <w:sz w:val="22"/>
                <w:szCs w:val="22"/>
              </w:rPr>
              <w:t>2.</w:t>
            </w:r>
          </w:p>
        </w:tc>
        <w:tc>
          <w:tcPr>
            <w:tcW w:w="3260" w:type="dxa"/>
          </w:tcPr>
          <w:p w14:paraId="4DA48B10" w14:textId="77777777" w:rsidR="00FF5435" w:rsidRPr="003D418D" w:rsidRDefault="00FF5435" w:rsidP="00FF5435">
            <w:pPr>
              <w:pStyle w:val="tv213"/>
              <w:spacing w:before="0" w:beforeAutospacing="0" w:after="0" w:afterAutospacing="0" w:line="300" w:lineRule="atLeast"/>
              <w:ind w:firstLine="300"/>
              <w:jc w:val="both"/>
              <w:rPr>
                <w:color w:val="414142"/>
              </w:rPr>
            </w:pPr>
            <w:r w:rsidRPr="003D418D">
              <w:rPr>
                <w:b/>
                <w:bCs/>
                <w:color w:val="414142"/>
              </w:rPr>
              <w:t>98.pants. Valsts pārvaldes vienotie klientu apkalpošanas centri</w:t>
            </w:r>
          </w:p>
          <w:p w14:paraId="589AA12F" w14:textId="1A02D453" w:rsidR="00FF5435" w:rsidRPr="003D418D" w:rsidRDefault="00FF5435" w:rsidP="00FF5435">
            <w:pPr>
              <w:pStyle w:val="tv213"/>
              <w:spacing w:before="0" w:beforeAutospacing="0" w:after="0" w:afterAutospacing="0" w:line="300" w:lineRule="atLeast"/>
              <w:ind w:firstLine="300"/>
              <w:jc w:val="both"/>
              <w:rPr>
                <w:color w:val="414142"/>
              </w:rPr>
            </w:pPr>
            <w:r w:rsidRPr="003D418D">
              <w:rPr>
                <w:color w:val="414142"/>
              </w:rPr>
              <w:t xml:space="preserve"> (2) Iestādei, kura sniedz valsts pārvaldes pakalpojumus, ir tiesības veikt fizisko personu datu apstrādi tādā apjomā, kāds nepieciešams valsts pārvaldes </w:t>
            </w:r>
            <w:r w:rsidRPr="003D418D">
              <w:rPr>
                <w:color w:val="414142"/>
              </w:rPr>
              <w:lastRenderedPageBreak/>
              <w:t xml:space="preserve">pakalpojumu sniegšanai. Šādu fizisko personu datu apstrādei nav nepieciešams slēgt </w:t>
            </w:r>
            <w:hyperlink r:id="rId10" w:tgtFrame="_blank" w:history="1">
              <w:r w:rsidRPr="003D418D">
                <w:rPr>
                  <w:rStyle w:val="Hipersaite"/>
                  <w:color w:val="16497B"/>
                </w:rPr>
                <w:t>Fizisko personu datu apstrādes likumā</w:t>
              </w:r>
            </w:hyperlink>
            <w:r w:rsidRPr="003D418D">
              <w:rPr>
                <w:color w:val="414142"/>
              </w:rPr>
              <w:t xml:space="preserve"> paredzēto līgumu par datu apstrādi.</w:t>
            </w:r>
          </w:p>
          <w:p w14:paraId="7CA888BC" w14:textId="77777777" w:rsidR="00FF5435" w:rsidRPr="003D418D" w:rsidRDefault="00FF5435" w:rsidP="00447352">
            <w:pPr>
              <w:pStyle w:val="tv213"/>
              <w:spacing w:before="0" w:beforeAutospacing="0" w:after="0" w:afterAutospacing="0" w:line="276" w:lineRule="auto"/>
              <w:ind w:firstLine="300"/>
              <w:jc w:val="both"/>
              <w:rPr>
                <w:b/>
                <w:bCs/>
                <w:color w:val="414142"/>
              </w:rPr>
            </w:pPr>
          </w:p>
        </w:tc>
        <w:tc>
          <w:tcPr>
            <w:tcW w:w="3686" w:type="dxa"/>
          </w:tcPr>
          <w:p w14:paraId="62E0C4AE" w14:textId="77777777" w:rsidR="00FF5435" w:rsidRPr="003D418D" w:rsidRDefault="00FF5435" w:rsidP="00FF5435">
            <w:pPr>
              <w:rPr>
                <w:b/>
                <w:color w:val="000000"/>
                <w:sz w:val="24"/>
                <w:szCs w:val="24"/>
              </w:rPr>
            </w:pPr>
            <w:r w:rsidRPr="003D418D">
              <w:rPr>
                <w:b/>
                <w:color w:val="000000"/>
                <w:sz w:val="24"/>
                <w:szCs w:val="24"/>
              </w:rPr>
              <w:lastRenderedPageBreak/>
              <w:t>Tieslietu ministrija</w:t>
            </w:r>
          </w:p>
          <w:p w14:paraId="3837AD09" w14:textId="3FD9492D" w:rsidR="00FF5435" w:rsidRPr="003D418D" w:rsidRDefault="00FF5435" w:rsidP="00FF5435">
            <w:pPr>
              <w:rPr>
                <w:b/>
                <w:color w:val="000000"/>
                <w:sz w:val="24"/>
                <w:szCs w:val="24"/>
              </w:rPr>
            </w:pPr>
            <w:r w:rsidRPr="003D418D">
              <w:rPr>
                <w:b/>
                <w:color w:val="000000"/>
                <w:sz w:val="24"/>
                <w:szCs w:val="24"/>
              </w:rPr>
              <w:t xml:space="preserve">13.08.2019. </w:t>
            </w:r>
          </w:p>
          <w:p w14:paraId="3A78D16B" w14:textId="03002929" w:rsidR="00FF5435" w:rsidRPr="003D418D" w:rsidRDefault="00FF5435" w:rsidP="00FF5435">
            <w:pPr>
              <w:jc w:val="both"/>
              <w:rPr>
                <w:rFonts w:eastAsiaTheme="minorHAnsi"/>
                <w:sz w:val="24"/>
                <w:szCs w:val="24"/>
              </w:rPr>
            </w:pPr>
            <w:r w:rsidRPr="003D418D">
              <w:rPr>
                <w:color w:val="000000"/>
                <w:sz w:val="24"/>
                <w:szCs w:val="24"/>
              </w:rPr>
              <w:t xml:space="preserve">Ieteiktas grozījums </w:t>
            </w:r>
            <w:proofErr w:type="spellStart"/>
            <w:r w:rsidRPr="003D418D">
              <w:rPr>
                <w:color w:val="000000"/>
                <w:sz w:val="24"/>
                <w:szCs w:val="24"/>
              </w:rPr>
              <w:t>lik.proj</w:t>
            </w:r>
            <w:proofErr w:type="spellEnd"/>
            <w:r w:rsidRPr="003D418D">
              <w:rPr>
                <w:color w:val="000000"/>
                <w:sz w:val="24"/>
                <w:szCs w:val="24"/>
              </w:rPr>
              <w:t xml:space="preserve">. 1.p. paredz vārdus </w:t>
            </w:r>
            <w:r w:rsidRPr="003D418D">
              <w:rPr>
                <w:sz w:val="24"/>
                <w:szCs w:val="24"/>
              </w:rPr>
              <w:t xml:space="preserve">“Fizisko personu datu aizsardzības likumā” aizstāt ar vārdiem “Fizisko personu datu apstrādes likumā”, taču norādām, ka tādejādi tiesību norma paredzēs, ka "šādu fizisko personu datu apstrādei </w:t>
            </w:r>
            <w:r w:rsidRPr="003D418D">
              <w:rPr>
                <w:sz w:val="24"/>
                <w:szCs w:val="24"/>
              </w:rPr>
              <w:lastRenderedPageBreak/>
              <w:t xml:space="preserve">nav nepieciešams slēgt </w:t>
            </w:r>
            <w:hyperlink r:id="rId11" w:history="1">
              <w:r w:rsidRPr="003D418D">
                <w:rPr>
                  <w:rStyle w:val="Hipersaite"/>
                  <w:color w:val="16497B"/>
                  <w:sz w:val="24"/>
                  <w:szCs w:val="24"/>
                </w:rPr>
                <w:t>Fizisko personu datu apstrādes likumā</w:t>
              </w:r>
            </w:hyperlink>
            <w:r w:rsidRPr="003D418D">
              <w:rPr>
                <w:sz w:val="24"/>
                <w:szCs w:val="24"/>
              </w:rPr>
              <w:t xml:space="preserve"> </w:t>
            </w:r>
            <w:r w:rsidRPr="003D418D">
              <w:rPr>
                <w:b/>
                <w:bCs/>
                <w:sz w:val="24"/>
                <w:szCs w:val="24"/>
              </w:rPr>
              <w:t>paredzēto līgumu</w:t>
            </w:r>
            <w:r w:rsidRPr="003D418D">
              <w:rPr>
                <w:sz w:val="24"/>
                <w:szCs w:val="24"/>
              </w:rPr>
              <w:t xml:space="preserve"> par datu apstrādi", taču </w:t>
            </w:r>
            <w:hyperlink r:id="rId12" w:history="1">
              <w:r w:rsidRPr="003D418D">
                <w:rPr>
                  <w:rStyle w:val="Hipersaite"/>
                  <w:color w:val="16497B"/>
                  <w:sz w:val="24"/>
                  <w:szCs w:val="24"/>
                </w:rPr>
                <w:t>Fizisko personu datu apstrādes likum</w:t>
              </w:r>
            </w:hyperlink>
            <w:r w:rsidRPr="003D418D">
              <w:rPr>
                <w:sz w:val="24"/>
                <w:szCs w:val="24"/>
              </w:rPr>
              <w:t xml:space="preserve">ā nav atrodams vārds "līgums" vai "vienošanās", līdz ar to šāda it kā formāla  vecā likuma nosaukuma aizstāšana ar jaunu likuma nosaukumu  nav pieņemama šajā gadījumā, jo jaunais likums neparedz šādu regulējumu. </w:t>
            </w:r>
          </w:p>
          <w:p w14:paraId="4806D8A0" w14:textId="77777777" w:rsidR="00FF5435" w:rsidRPr="003D418D" w:rsidRDefault="00FF5435" w:rsidP="00FF5435">
            <w:pPr>
              <w:jc w:val="both"/>
              <w:rPr>
                <w:sz w:val="24"/>
                <w:szCs w:val="24"/>
              </w:rPr>
            </w:pPr>
            <w:r w:rsidRPr="003D418D">
              <w:rPr>
                <w:color w:val="000000"/>
                <w:sz w:val="24"/>
                <w:szCs w:val="24"/>
              </w:rPr>
              <w:t xml:space="preserve">  </w:t>
            </w:r>
          </w:p>
          <w:p w14:paraId="49B15B66" w14:textId="77777777" w:rsidR="00FF5435" w:rsidRPr="003D418D" w:rsidRDefault="00FF5435" w:rsidP="00FF5435">
            <w:pPr>
              <w:jc w:val="both"/>
              <w:rPr>
                <w:sz w:val="24"/>
                <w:szCs w:val="24"/>
              </w:rPr>
            </w:pPr>
            <w:r w:rsidRPr="003D418D">
              <w:rPr>
                <w:sz w:val="24"/>
                <w:szCs w:val="24"/>
              </w:rPr>
              <w:t xml:space="preserve">Turklāt Eiropas Parlamenta un Padomes 2016. gada 27. aprīļa Regulas (ES) 2016/679 par fizisku personu aizsardzību attiecībā uz personas datu apstrādi un šādu datu brīvu apriti un ar ko atceļ Direktīvu 95/46/EK (Vispārīgā datu aizsardzības regula) (turpmāk – Datu regula) 99. panta 2. punkts paredz, ka Datu regula ir piemērojama no 2018. gada 25. maija. </w:t>
            </w:r>
          </w:p>
          <w:p w14:paraId="340C39C3" w14:textId="0DD92907" w:rsidR="00FF5435" w:rsidRPr="003D418D" w:rsidRDefault="00FF5435" w:rsidP="00FF5435">
            <w:pPr>
              <w:jc w:val="both"/>
              <w:rPr>
                <w:sz w:val="24"/>
                <w:szCs w:val="24"/>
              </w:rPr>
            </w:pPr>
            <w:r w:rsidRPr="003D418D">
              <w:rPr>
                <w:sz w:val="24"/>
                <w:szCs w:val="24"/>
              </w:rPr>
              <w:t xml:space="preserve">2018. gada 5. jūlijā stājās spēkā Fizisko personu datu apstrādes likums, kas ievieš Datu regulas prasības. Fizisko personu datu apstrādes likuma 25. panta ceturtā daļa noteic, ka datu apstrādē tiek ievērotas Datu regulas, šā likuma un </w:t>
            </w:r>
            <w:r w:rsidRPr="003D418D">
              <w:rPr>
                <w:sz w:val="24"/>
                <w:szCs w:val="24"/>
              </w:rPr>
              <w:lastRenderedPageBreak/>
              <w:t xml:space="preserve">attiecīgo jomu regulējošo normatīvo aktu prasības. Datu regula ir tieši piemērojama visās Eiropas Savienības dalībvalstīs. </w:t>
            </w:r>
          </w:p>
          <w:p w14:paraId="5410C248" w14:textId="77777777" w:rsidR="00FF5435" w:rsidRPr="003D418D" w:rsidRDefault="00FF5435" w:rsidP="00FF5435">
            <w:pPr>
              <w:jc w:val="both"/>
              <w:rPr>
                <w:sz w:val="24"/>
                <w:szCs w:val="24"/>
              </w:rPr>
            </w:pPr>
            <w:r w:rsidRPr="003D418D">
              <w:rPr>
                <w:sz w:val="24"/>
                <w:szCs w:val="24"/>
              </w:rPr>
              <w:t xml:space="preserve">  </w:t>
            </w:r>
          </w:p>
          <w:p w14:paraId="21FA3932" w14:textId="77777777" w:rsidR="00FF5435" w:rsidRPr="003D418D" w:rsidRDefault="00FF5435" w:rsidP="00FF5435">
            <w:pPr>
              <w:jc w:val="both"/>
              <w:rPr>
                <w:sz w:val="24"/>
                <w:szCs w:val="24"/>
              </w:rPr>
            </w:pPr>
            <w:r w:rsidRPr="003D418D">
              <w:rPr>
                <w:sz w:val="24"/>
                <w:szCs w:val="24"/>
              </w:rPr>
              <w:t xml:space="preserve">Vienlaikus vēršam uzmanību, ka 2019.gada 5.augustā stājās spēkā likums "Par fizisko personu datu apstrādi kriminālprocesā un administratīvā pārkāpuma procesā, kuru piemēro tādai fizisko personu datu apstrādei, ko veic kompetentā iestāde, lai novērstu, izmeklētu un atklātu noziedzīgus nodarījumus un administratīvos pārkāpumus, piemērotu un izpildītu kriminālsodus un administratīvos sodus, veiktu citas ar administratīvā pārkāpuma procesu vai kriminālprocesu saistītas darbības, tostarp piemērotu procesuālos piespiedu līdzekļus, nodrošinātu to personu uzraudzību, kuras nosacīti atbrīvotas no kriminālatbildības, procesa par noziedzīgi iegūtu mantu, procesa par medicīniska rakstura piespiedu līdzekļiem, procesa par audzinoša rakstura piespiedu līdzekļiem, procesa par piespiedu ietekmēšanas līdzekļiem juridiskajām personām, procesa par spēkā esošu nolēmumu jaunu </w:t>
            </w:r>
            <w:r w:rsidRPr="003D418D">
              <w:rPr>
                <w:sz w:val="24"/>
                <w:szCs w:val="24"/>
              </w:rPr>
              <w:lastRenderedPageBreak/>
              <w:t xml:space="preserve">izskatīšanu norisi un to ietvaros pieņemto lēmumu izpildi. Likuma normas piemērojamas fizisko personu datu apstrādei, ja apstrāde pilnībā vai daļēji veikta ar automatizētiem līdzekļiem vai apstrādājamie personas dati veido kartotēku vai paredzēti, lai veidotu daļu no kartotēkas. </w:t>
            </w:r>
          </w:p>
          <w:p w14:paraId="1771025E" w14:textId="77777777" w:rsidR="00FF5435" w:rsidRPr="003D418D" w:rsidRDefault="00FF5435" w:rsidP="00FF5435">
            <w:pPr>
              <w:jc w:val="both"/>
              <w:rPr>
                <w:sz w:val="24"/>
                <w:szCs w:val="24"/>
              </w:rPr>
            </w:pPr>
            <w:r w:rsidRPr="003D418D">
              <w:rPr>
                <w:sz w:val="24"/>
                <w:szCs w:val="24"/>
              </w:rPr>
              <w:t xml:space="preserve">Likums "Par fizisko personu datu apstrādi kriminālprocesā un administratīvā pārkāpuma procesā" ir horizontāls regulējums kompetento iestāžu veiktajai personas datu apstrādei. Izņēmumi no pārziņa pienākumiem, tajā skaitā tiesības ierobežot datu subjekta tiesības, tiek noteikti speciālajā konkrēto procesu vai kompetentās iestādes darbību regulējošajā normatīvajā aktā. </w:t>
            </w:r>
          </w:p>
          <w:p w14:paraId="65748366" w14:textId="77777777" w:rsidR="00FF5435" w:rsidRPr="003D418D" w:rsidRDefault="00FF5435" w:rsidP="00FF5435">
            <w:pPr>
              <w:jc w:val="both"/>
              <w:rPr>
                <w:sz w:val="24"/>
                <w:szCs w:val="24"/>
              </w:rPr>
            </w:pPr>
            <w:r w:rsidRPr="003D418D">
              <w:rPr>
                <w:sz w:val="24"/>
                <w:szCs w:val="24"/>
              </w:rPr>
              <w:t xml:space="preserve">  </w:t>
            </w:r>
          </w:p>
          <w:p w14:paraId="41E1C32F" w14:textId="77777777" w:rsidR="00FF5435" w:rsidRPr="003D418D" w:rsidRDefault="00FF5435" w:rsidP="00FF5435">
            <w:pPr>
              <w:jc w:val="both"/>
              <w:rPr>
                <w:sz w:val="24"/>
                <w:szCs w:val="24"/>
              </w:rPr>
            </w:pPr>
            <w:r w:rsidRPr="003D418D">
              <w:rPr>
                <w:b/>
                <w:bCs/>
                <w:sz w:val="24"/>
                <w:szCs w:val="24"/>
              </w:rPr>
              <w:t xml:space="preserve">Ņemot vērā minēto,  Valsts pārvaldes iekārtas likuma 98.panta otrās daļas otrais teikums ir svītrojams, jo atsauce tikai uz </w:t>
            </w:r>
            <w:hyperlink r:id="rId13" w:history="1">
              <w:r w:rsidRPr="003D418D">
                <w:rPr>
                  <w:rStyle w:val="Hipersaite"/>
                  <w:b/>
                  <w:bCs/>
                  <w:sz w:val="24"/>
                  <w:szCs w:val="24"/>
                </w:rPr>
                <w:t>Fizisko personu datu apstrādes likum</w:t>
              </w:r>
            </w:hyperlink>
            <w:r w:rsidRPr="003D418D">
              <w:rPr>
                <w:b/>
                <w:bCs/>
                <w:sz w:val="24"/>
                <w:szCs w:val="24"/>
              </w:rPr>
              <w:t xml:space="preserve">u nav korekta. </w:t>
            </w:r>
          </w:p>
          <w:p w14:paraId="68929BB1" w14:textId="77777777" w:rsidR="00FF5435" w:rsidRPr="003D418D" w:rsidRDefault="00FF5435" w:rsidP="00447352">
            <w:pPr>
              <w:pStyle w:val="Sarakstarindkopa"/>
              <w:spacing w:line="276" w:lineRule="auto"/>
              <w:ind w:left="284"/>
              <w:jc w:val="both"/>
              <w:rPr>
                <w:b/>
                <w:sz w:val="24"/>
                <w:szCs w:val="24"/>
              </w:rPr>
            </w:pPr>
          </w:p>
        </w:tc>
        <w:tc>
          <w:tcPr>
            <w:tcW w:w="3118" w:type="dxa"/>
          </w:tcPr>
          <w:p w14:paraId="5B6BB7D5" w14:textId="5AEAE81C" w:rsidR="00FF5435" w:rsidRPr="003D418D" w:rsidRDefault="00FF5435" w:rsidP="00447352">
            <w:pPr>
              <w:spacing w:line="276" w:lineRule="auto"/>
              <w:jc w:val="both"/>
              <w:rPr>
                <w:sz w:val="24"/>
                <w:szCs w:val="24"/>
              </w:rPr>
            </w:pPr>
            <w:r w:rsidRPr="003D418D">
              <w:rPr>
                <w:sz w:val="24"/>
                <w:szCs w:val="24"/>
              </w:rPr>
              <w:lastRenderedPageBreak/>
              <w:t>Ņemts vērā</w:t>
            </w:r>
          </w:p>
        </w:tc>
        <w:tc>
          <w:tcPr>
            <w:tcW w:w="3225" w:type="dxa"/>
          </w:tcPr>
          <w:p w14:paraId="499B9B19" w14:textId="77777777" w:rsidR="00FF5435" w:rsidRPr="003D418D" w:rsidRDefault="00FF5435" w:rsidP="00FF5435">
            <w:pPr>
              <w:pStyle w:val="tv213"/>
              <w:spacing w:before="0" w:beforeAutospacing="0" w:after="0" w:afterAutospacing="0" w:line="300" w:lineRule="atLeast"/>
              <w:ind w:firstLine="300"/>
              <w:jc w:val="both"/>
              <w:rPr>
                <w:color w:val="414142"/>
              </w:rPr>
            </w:pPr>
            <w:r w:rsidRPr="003D418D">
              <w:rPr>
                <w:b/>
                <w:bCs/>
                <w:color w:val="414142"/>
              </w:rPr>
              <w:t>98.pants. Valsts pārvaldes vienotie klientu apkalpošanas centri</w:t>
            </w:r>
          </w:p>
          <w:p w14:paraId="4E783ABF" w14:textId="3B5158A7" w:rsidR="00FF5435" w:rsidRPr="003D418D" w:rsidRDefault="00FF5435" w:rsidP="00FF5435">
            <w:pPr>
              <w:pStyle w:val="tv213"/>
              <w:spacing w:before="0" w:beforeAutospacing="0" w:after="0" w:afterAutospacing="0" w:line="300" w:lineRule="atLeast"/>
              <w:ind w:firstLine="300"/>
              <w:jc w:val="both"/>
              <w:rPr>
                <w:b/>
                <w:bCs/>
                <w:color w:val="414142"/>
              </w:rPr>
            </w:pPr>
            <w:r w:rsidRPr="003D418D">
              <w:rPr>
                <w:color w:val="414142"/>
              </w:rPr>
              <w:t xml:space="preserve"> (2) Iestādei, kura sniedz valsts pārvaldes pakalpojumus, ir tiesības veikt fizisko personu datu apstrādi tādā apjomā, kāds </w:t>
            </w:r>
            <w:r w:rsidRPr="003D418D">
              <w:rPr>
                <w:color w:val="414142"/>
              </w:rPr>
              <w:lastRenderedPageBreak/>
              <w:t xml:space="preserve">nepieciešams valsts pārvaldes pakalpojumu sniegšanai. </w:t>
            </w:r>
          </w:p>
        </w:tc>
      </w:tr>
    </w:tbl>
    <w:p w14:paraId="721B0F18" w14:textId="77777777" w:rsidR="00FC54D9" w:rsidRPr="00447352" w:rsidRDefault="00FC54D9" w:rsidP="00447352">
      <w:pPr>
        <w:spacing w:line="276" w:lineRule="auto"/>
        <w:contextualSpacing/>
        <w:jc w:val="both"/>
        <w:rPr>
          <w:sz w:val="22"/>
        </w:rPr>
      </w:pPr>
    </w:p>
    <w:tbl>
      <w:tblPr>
        <w:tblW w:w="9287" w:type="dxa"/>
        <w:tblInd w:w="-108" w:type="dxa"/>
        <w:tblLayout w:type="fixed"/>
        <w:tblLook w:val="00A0" w:firstRow="1" w:lastRow="0" w:firstColumn="1" w:lastColumn="0" w:noHBand="0" w:noVBand="0"/>
      </w:tblPr>
      <w:tblGrid>
        <w:gridCol w:w="3108"/>
        <w:gridCol w:w="6179"/>
      </w:tblGrid>
      <w:tr w:rsidR="00365229" w:rsidRPr="00712B66" w14:paraId="4D5ACDD4" w14:textId="77777777" w:rsidTr="00DB6CAA">
        <w:tc>
          <w:tcPr>
            <w:tcW w:w="3108" w:type="dxa"/>
          </w:tcPr>
          <w:p w14:paraId="76DFF273" w14:textId="77777777" w:rsidR="00365229" w:rsidRDefault="00365229" w:rsidP="00DB6CAA">
            <w:pPr>
              <w:pStyle w:val="naiskr"/>
              <w:spacing w:before="0" w:after="0"/>
            </w:pPr>
          </w:p>
          <w:p w14:paraId="2AF0659F" w14:textId="77777777" w:rsidR="00365229" w:rsidRDefault="00365229" w:rsidP="00DB6CAA">
            <w:pPr>
              <w:pStyle w:val="naiskr"/>
              <w:spacing w:before="0" w:after="0"/>
            </w:pPr>
          </w:p>
          <w:p w14:paraId="77F30E27" w14:textId="086522B0" w:rsidR="00365229" w:rsidRPr="00712B66" w:rsidRDefault="00365229" w:rsidP="00DB6CAA">
            <w:pPr>
              <w:pStyle w:val="naiskr"/>
              <w:spacing w:before="0" w:after="0"/>
            </w:pPr>
            <w:r w:rsidRPr="00712B66">
              <w:lastRenderedPageBreak/>
              <w:t>Atbildīgā amatpersona</w:t>
            </w:r>
          </w:p>
        </w:tc>
        <w:tc>
          <w:tcPr>
            <w:tcW w:w="6179" w:type="dxa"/>
          </w:tcPr>
          <w:p w14:paraId="4272E8D3" w14:textId="77777777" w:rsidR="00365229" w:rsidRPr="00712B66" w:rsidRDefault="00365229" w:rsidP="00DB6CAA">
            <w:pPr>
              <w:pStyle w:val="naiskr"/>
              <w:spacing w:before="0" w:after="0"/>
              <w:ind w:firstLine="720"/>
            </w:pPr>
            <w:r w:rsidRPr="00712B66">
              <w:lastRenderedPageBreak/>
              <w:t>  </w:t>
            </w:r>
          </w:p>
        </w:tc>
      </w:tr>
      <w:tr w:rsidR="00365229" w:rsidRPr="00712B66" w14:paraId="1A3F3228" w14:textId="77777777" w:rsidTr="00DB6CAA">
        <w:tc>
          <w:tcPr>
            <w:tcW w:w="3108" w:type="dxa"/>
          </w:tcPr>
          <w:p w14:paraId="2F971C6D" w14:textId="77777777" w:rsidR="00365229" w:rsidRPr="00712B66" w:rsidRDefault="00365229" w:rsidP="00DB6CAA">
            <w:pPr>
              <w:pStyle w:val="naiskr"/>
              <w:spacing w:before="0" w:after="0"/>
              <w:ind w:firstLine="720"/>
            </w:pPr>
          </w:p>
        </w:tc>
        <w:tc>
          <w:tcPr>
            <w:tcW w:w="6179" w:type="dxa"/>
            <w:tcBorders>
              <w:top w:val="single" w:sz="6" w:space="0" w:color="000000"/>
            </w:tcBorders>
          </w:tcPr>
          <w:p w14:paraId="532A5657" w14:textId="77777777" w:rsidR="00365229" w:rsidRPr="00712B66" w:rsidRDefault="00365229" w:rsidP="00DB6CAA">
            <w:pPr>
              <w:pStyle w:val="naisc"/>
              <w:spacing w:before="0" w:after="0"/>
              <w:ind w:firstLine="720"/>
            </w:pPr>
            <w:r w:rsidRPr="00712B66">
              <w:t>(paraksts*)</w:t>
            </w:r>
          </w:p>
        </w:tc>
      </w:tr>
    </w:tbl>
    <w:p w14:paraId="74DCB278" w14:textId="77777777" w:rsidR="00365229" w:rsidRDefault="00365229" w:rsidP="00365229">
      <w:pPr>
        <w:pStyle w:val="naisf"/>
        <w:spacing w:before="0" w:after="0"/>
        <w:ind w:firstLine="720"/>
      </w:pPr>
    </w:p>
    <w:p w14:paraId="0B8BC9DD" w14:textId="77777777" w:rsidR="00365229" w:rsidRDefault="00365229" w:rsidP="00365229">
      <w:pPr>
        <w:pStyle w:val="naisf"/>
        <w:spacing w:before="0" w:after="0"/>
        <w:ind w:firstLine="720"/>
      </w:pPr>
    </w:p>
    <w:p w14:paraId="0573E740" w14:textId="51B79995" w:rsidR="00365229" w:rsidRDefault="00365229" w:rsidP="00365229">
      <w:pPr>
        <w:pStyle w:val="naisf"/>
        <w:spacing w:before="0" w:after="0"/>
        <w:ind w:firstLine="720"/>
      </w:pPr>
      <w:bookmarkStart w:id="0" w:name="_GoBack"/>
      <w:bookmarkEnd w:id="0"/>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4A7B3700" w14:textId="77777777" w:rsidR="00365229" w:rsidRPr="00712B66" w:rsidRDefault="00365229" w:rsidP="00365229">
      <w:pPr>
        <w:pStyle w:val="naisf"/>
        <w:spacing w:before="0" w:after="0"/>
        <w:ind w:firstLine="720"/>
      </w:pPr>
    </w:p>
    <w:p w14:paraId="73F9D00A" w14:textId="77777777" w:rsidR="00365229" w:rsidRPr="00712B66" w:rsidRDefault="00365229" w:rsidP="00365229">
      <w:pPr>
        <w:pStyle w:val="naisf"/>
        <w:spacing w:before="0" w:after="0"/>
        <w:ind w:firstLine="3261"/>
      </w:pPr>
      <w:r>
        <w:t>Inese Štromberga</w:t>
      </w:r>
    </w:p>
    <w:tbl>
      <w:tblPr>
        <w:tblW w:w="0" w:type="auto"/>
        <w:tblLook w:val="00A0" w:firstRow="1" w:lastRow="0" w:firstColumn="1" w:lastColumn="0" w:noHBand="0" w:noVBand="0"/>
      </w:tblPr>
      <w:tblGrid>
        <w:gridCol w:w="8268"/>
      </w:tblGrid>
      <w:tr w:rsidR="00365229" w:rsidRPr="00712B66" w14:paraId="767D0E90" w14:textId="77777777" w:rsidTr="00DB6CAA">
        <w:tc>
          <w:tcPr>
            <w:tcW w:w="8268" w:type="dxa"/>
            <w:tcBorders>
              <w:top w:val="single" w:sz="4" w:space="0" w:color="000000"/>
            </w:tcBorders>
          </w:tcPr>
          <w:p w14:paraId="51AF160E" w14:textId="77777777" w:rsidR="00365229" w:rsidRDefault="00365229" w:rsidP="00DB6CAA">
            <w:pPr>
              <w:jc w:val="center"/>
              <w:rPr>
                <w:sz w:val="24"/>
                <w:szCs w:val="24"/>
              </w:rPr>
            </w:pPr>
            <w:r w:rsidRPr="0070062F">
              <w:rPr>
                <w:sz w:val="24"/>
                <w:szCs w:val="24"/>
              </w:rPr>
              <w:t>(par projektu atbildīgās amatpersonas vārds un uzvārds)</w:t>
            </w:r>
          </w:p>
          <w:p w14:paraId="44EDEBD4" w14:textId="77777777" w:rsidR="00365229" w:rsidRPr="0070062F" w:rsidRDefault="00365229" w:rsidP="00DB6CAA">
            <w:pPr>
              <w:jc w:val="center"/>
              <w:rPr>
                <w:sz w:val="24"/>
                <w:szCs w:val="24"/>
              </w:rPr>
            </w:pPr>
          </w:p>
        </w:tc>
      </w:tr>
      <w:tr w:rsidR="00365229" w:rsidRPr="00712B66" w14:paraId="2BEF05F7" w14:textId="77777777" w:rsidTr="00DB6CAA">
        <w:tc>
          <w:tcPr>
            <w:tcW w:w="8268" w:type="dxa"/>
            <w:tcBorders>
              <w:bottom w:val="single" w:sz="4" w:space="0" w:color="000000"/>
            </w:tcBorders>
          </w:tcPr>
          <w:p w14:paraId="36A48F64" w14:textId="77777777" w:rsidR="00365229" w:rsidRDefault="00365229" w:rsidP="00DB6CAA">
            <w:pPr>
              <w:jc w:val="center"/>
              <w:rPr>
                <w:sz w:val="24"/>
                <w:szCs w:val="24"/>
              </w:rPr>
            </w:pPr>
            <w:r w:rsidRPr="0070062F">
              <w:rPr>
                <w:sz w:val="24"/>
                <w:szCs w:val="24"/>
              </w:rPr>
              <w:t xml:space="preserve">Lauku </w:t>
            </w:r>
            <w:r>
              <w:rPr>
                <w:sz w:val="24"/>
                <w:szCs w:val="24"/>
              </w:rPr>
              <w:t xml:space="preserve">attīstības atbalsta departamenta </w:t>
            </w:r>
            <w:r w:rsidRPr="0070062F">
              <w:rPr>
                <w:sz w:val="24"/>
                <w:szCs w:val="24"/>
              </w:rPr>
              <w:t>Valsts atbalsta plānošanas nodaļa</w:t>
            </w:r>
            <w:r>
              <w:rPr>
                <w:sz w:val="24"/>
                <w:szCs w:val="24"/>
              </w:rPr>
              <w:t xml:space="preserve"> </w:t>
            </w:r>
          </w:p>
          <w:p w14:paraId="621DCA84" w14:textId="77777777" w:rsidR="00365229" w:rsidRPr="0070062F" w:rsidRDefault="00365229" w:rsidP="00DB6CAA">
            <w:pPr>
              <w:jc w:val="center"/>
              <w:rPr>
                <w:sz w:val="24"/>
                <w:szCs w:val="24"/>
              </w:rPr>
            </w:pPr>
            <w:r w:rsidRPr="0070062F">
              <w:rPr>
                <w:sz w:val="24"/>
                <w:szCs w:val="24"/>
              </w:rPr>
              <w:t>Vecākais referents</w:t>
            </w:r>
          </w:p>
        </w:tc>
      </w:tr>
      <w:tr w:rsidR="00365229" w:rsidRPr="00712B66" w14:paraId="70C4FC71" w14:textId="77777777" w:rsidTr="00DB6CAA">
        <w:tc>
          <w:tcPr>
            <w:tcW w:w="8268" w:type="dxa"/>
            <w:tcBorders>
              <w:top w:val="single" w:sz="4" w:space="0" w:color="000000"/>
            </w:tcBorders>
          </w:tcPr>
          <w:p w14:paraId="0BC4B0AC" w14:textId="77777777" w:rsidR="00365229" w:rsidRDefault="00365229" w:rsidP="00DB6CAA">
            <w:pPr>
              <w:jc w:val="center"/>
              <w:rPr>
                <w:sz w:val="24"/>
                <w:szCs w:val="24"/>
              </w:rPr>
            </w:pPr>
            <w:r w:rsidRPr="0070062F">
              <w:rPr>
                <w:sz w:val="24"/>
                <w:szCs w:val="24"/>
              </w:rPr>
              <w:t>(amats)</w:t>
            </w:r>
          </w:p>
          <w:p w14:paraId="13BA6518" w14:textId="77777777" w:rsidR="00365229" w:rsidRPr="0070062F" w:rsidRDefault="00365229" w:rsidP="00DB6CAA">
            <w:pPr>
              <w:jc w:val="center"/>
              <w:rPr>
                <w:sz w:val="24"/>
                <w:szCs w:val="24"/>
              </w:rPr>
            </w:pPr>
          </w:p>
        </w:tc>
      </w:tr>
      <w:tr w:rsidR="00365229" w:rsidRPr="00712B66" w14:paraId="62FB2039" w14:textId="77777777" w:rsidTr="00DB6CAA">
        <w:tc>
          <w:tcPr>
            <w:tcW w:w="8268" w:type="dxa"/>
            <w:tcBorders>
              <w:bottom w:val="single" w:sz="4" w:space="0" w:color="000000"/>
            </w:tcBorders>
          </w:tcPr>
          <w:p w14:paraId="50157A21" w14:textId="77777777" w:rsidR="00365229" w:rsidRPr="0070062F" w:rsidRDefault="00365229" w:rsidP="00DB6CAA">
            <w:pPr>
              <w:jc w:val="center"/>
              <w:rPr>
                <w:sz w:val="24"/>
                <w:szCs w:val="24"/>
              </w:rPr>
            </w:pPr>
            <w:r w:rsidRPr="006F21C8">
              <w:rPr>
                <w:sz w:val="24"/>
                <w:szCs w:val="24"/>
              </w:rPr>
              <w:t>67027156</w:t>
            </w:r>
          </w:p>
        </w:tc>
      </w:tr>
      <w:tr w:rsidR="00365229" w:rsidRPr="00712B66" w14:paraId="63A8773A" w14:textId="77777777" w:rsidTr="00DB6CAA">
        <w:tc>
          <w:tcPr>
            <w:tcW w:w="8268" w:type="dxa"/>
            <w:tcBorders>
              <w:top w:val="single" w:sz="4" w:space="0" w:color="000000"/>
            </w:tcBorders>
          </w:tcPr>
          <w:p w14:paraId="57101B8C" w14:textId="77777777" w:rsidR="00365229" w:rsidRDefault="00365229" w:rsidP="00DB6CAA">
            <w:pPr>
              <w:jc w:val="center"/>
              <w:rPr>
                <w:sz w:val="24"/>
                <w:szCs w:val="24"/>
              </w:rPr>
            </w:pPr>
            <w:r w:rsidRPr="0070062F">
              <w:rPr>
                <w:sz w:val="24"/>
                <w:szCs w:val="24"/>
              </w:rPr>
              <w:t>(tālruņa un faksa numurs)</w:t>
            </w:r>
          </w:p>
          <w:p w14:paraId="1FFDB8D5" w14:textId="77777777" w:rsidR="00365229" w:rsidRPr="0070062F" w:rsidRDefault="00365229" w:rsidP="00DB6CAA">
            <w:pPr>
              <w:jc w:val="center"/>
              <w:rPr>
                <w:sz w:val="24"/>
                <w:szCs w:val="24"/>
              </w:rPr>
            </w:pPr>
          </w:p>
        </w:tc>
      </w:tr>
      <w:tr w:rsidR="00365229" w:rsidRPr="00712B66" w14:paraId="109E9F48" w14:textId="77777777" w:rsidTr="00DB6CAA">
        <w:tc>
          <w:tcPr>
            <w:tcW w:w="8268" w:type="dxa"/>
            <w:tcBorders>
              <w:bottom w:val="single" w:sz="4" w:space="0" w:color="000000"/>
            </w:tcBorders>
          </w:tcPr>
          <w:p w14:paraId="50F2E095" w14:textId="77777777" w:rsidR="00365229" w:rsidRPr="0070062F" w:rsidRDefault="00365229" w:rsidP="00DB6CAA">
            <w:pPr>
              <w:jc w:val="center"/>
              <w:rPr>
                <w:sz w:val="24"/>
                <w:szCs w:val="24"/>
              </w:rPr>
            </w:pPr>
            <w:hyperlink r:id="rId14" w:history="1">
              <w:r w:rsidRPr="0070062F">
                <w:rPr>
                  <w:rStyle w:val="Hipersaite"/>
                  <w:color w:val="auto"/>
                  <w:sz w:val="24"/>
                  <w:szCs w:val="24"/>
                  <w:u w:val="none"/>
                </w:rPr>
                <w:t>Inese.Stromberga@zm.gov.lv</w:t>
              </w:r>
            </w:hyperlink>
          </w:p>
        </w:tc>
      </w:tr>
      <w:tr w:rsidR="00365229" w:rsidRPr="00712B66" w14:paraId="36B3A956" w14:textId="77777777" w:rsidTr="00DB6CAA">
        <w:tc>
          <w:tcPr>
            <w:tcW w:w="8268" w:type="dxa"/>
            <w:tcBorders>
              <w:top w:val="single" w:sz="4" w:space="0" w:color="000000"/>
            </w:tcBorders>
          </w:tcPr>
          <w:p w14:paraId="305136E5" w14:textId="77777777" w:rsidR="00365229" w:rsidRPr="0070062F" w:rsidRDefault="00365229" w:rsidP="00DB6CAA">
            <w:pPr>
              <w:jc w:val="center"/>
              <w:rPr>
                <w:sz w:val="24"/>
                <w:szCs w:val="24"/>
              </w:rPr>
            </w:pPr>
            <w:r w:rsidRPr="0070062F">
              <w:rPr>
                <w:sz w:val="24"/>
                <w:szCs w:val="24"/>
              </w:rPr>
              <w:t>(e-pasta adrese)</w:t>
            </w:r>
          </w:p>
        </w:tc>
      </w:tr>
    </w:tbl>
    <w:p w14:paraId="20E62CA9" w14:textId="10693D72" w:rsidR="00421870" w:rsidRPr="00447352" w:rsidRDefault="00421870" w:rsidP="00447352">
      <w:pPr>
        <w:spacing w:line="276" w:lineRule="auto"/>
        <w:contextualSpacing/>
        <w:jc w:val="both"/>
        <w:rPr>
          <w:sz w:val="22"/>
        </w:rPr>
      </w:pPr>
    </w:p>
    <w:sectPr w:rsidR="00421870" w:rsidRPr="00447352" w:rsidSect="00365229">
      <w:headerReference w:type="default" r:id="rId15"/>
      <w:footerReference w:type="default" r:id="rId16"/>
      <w:footerReference w:type="first" r:id="rId17"/>
      <w:pgSz w:w="16838" w:h="11906" w:orient="landscape" w:code="9"/>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88BA" w14:textId="77777777" w:rsidR="00D573CD" w:rsidRDefault="00D573CD">
      <w:r>
        <w:separator/>
      </w:r>
    </w:p>
  </w:endnote>
  <w:endnote w:type="continuationSeparator" w:id="0">
    <w:p w14:paraId="3A5AB77A" w14:textId="77777777" w:rsidR="00D573CD" w:rsidRDefault="00D5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9232" w14:textId="76189EE2" w:rsidR="004F77F5" w:rsidRPr="00365229" w:rsidRDefault="00365229" w:rsidP="00365229">
    <w:pPr>
      <w:pStyle w:val="Kjene"/>
    </w:pPr>
    <w:r w:rsidRPr="00365229">
      <w:rPr>
        <w:sz w:val="20"/>
        <w:szCs w:val="20"/>
      </w:rPr>
      <w:t>ZMIzz_040919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C77B" w14:textId="27528038" w:rsidR="004F77F5" w:rsidRPr="00365229" w:rsidRDefault="00365229" w:rsidP="00365229">
    <w:pPr>
      <w:pStyle w:val="Kjene"/>
    </w:pPr>
    <w:r w:rsidRPr="00365229">
      <w:rPr>
        <w:sz w:val="20"/>
        <w:szCs w:val="20"/>
      </w:rPr>
      <w:t>ZMIzz_040919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DF6BF" w14:textId="77777777" w:rsidR="00D573CD" w:rsidRDefault="00D573CD">
      <w:r>
        <w:separator/>
      </w:r>
    </w:p>
  </w:footnote>
  <w:footnote w:type="continuationSeparator" w:id="0">
    <w:p w14:paraId="743F180D" w14:textId="77777777" w:rsidR="00D573CD" w:rsidRDefault="00D5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44318"/>
      <w:docPartObj>
        <w:docPartGallery w:val="Page Numbers (Top of Page)"/>
        <w:docPartUnique/>
      </w:docPartObj>
    </w:sdtPr>
    <w:sdtEndPr>
      <w:rPr>
        <w:sz w:val="24"/>
        <w:szCs w:val="24"/>
      </w:rPr>
    </w:sdtEndPr>
    <w:sdtContent>
      <w:p w14:paraId="4B8536E4" w14:textId="66D7AE4E" w:rsidR="00365229" w:rsidRPr="00365229" w:rsidRDefault="00365229">
        <w:pPr>
          <w:pStyle w:val="Galvene"/>
          <w:jc w:val="center"/>
          <w:rPr>
            <w:sz w:val="24"/>
            <w:szCs w:val="24"/>
          </w:rPr>
        </w:pPr>
        <w:r w:rsidRPr="00365229">
          <w:rPr>
            <w:sz w:val="24"/>
            <w:szCs w:val="24"/>
          </w:rPr>
          <w:fldChar w:fldCharType="begin"/>
        </w:r>
        <w:r w:rsidRPr="00365229">
          <w:rPr>
            <w:sz w:val="24"/>
            <w:szCs w:val="24"/>
          </w:rPr>
          <w:instrText>PAGE   \* MERGEFORMAT</w:instrText>
        </w:r>
        <w:r w:rsidRPr="00365229">
          <w:rPr>
            <w:sz w:val="24"/>
            <w:szCs w:val="24"/>
          </w:rPr>
          <w:fldChar w:fldCharType="separate"/>
        </w:r>
        <w:r w:rsidRPr="00365229">
          <w:rPr>
            <w:sz w:val="24"/>
            <w:szCs w:val="24"/>
          </w:rPr>
          <w:t>2</w:t>
        </w:r>
        <w:r w:rsidRPr="00365229">
          <w:rPr>
            <w:sz w:val="24"/>
            <w:szCs w:val="24"/>
          </w:rPr>
          <w:fldChar w:fldCharType="end"/>
        </w:r>
      </w:p>
    </w:sdtContent>
  </w:sdt>
  <w:p w14:paraId="1FF62F12" w14:textId="77777777" w:rsidR="00365229" w:rsidRDefault="0036522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52A"/>
    <w:multiLevelType w:val="multilevel"/>
    <w:tmpl w:val="881038FA"/>
    <w:lvl w:ilvl="0">
      <w:start w:val="1"/>
      <w:numFmt w:val="decimal"/>
      <w:lvlText w:val="%1."/>
      <w:lvlJc w:val="left"/>
      <w:pPr>
        <w:ind w:left="1210" w:hanging="360"/>
      </w:pPr>
      <w:rPr>
        <w:rFonts w:hint="default"/>
        <w:b w:val="0"/>
      </w:rPr>
    </w:lvl>
    <w:lvl w:ilvl="1">
      <w:start w:val="1"/>
      <w:numFmt w:val="decimal"/>
      <w:lvlText w:val="%1.%2."/>
      <w:lvlJc w:val="left"/>
      <w:pPr>
        <w:ind w:left="1708"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8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1" w15:restartNumberingAfterBreak="0">
    <w:nsid w:val="08C23B0B"/>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53E1E"/>
    <w:multiLevelType w:val="hybridMultilevel"/>
    <w:tmpl w:val="40DEFA3A"/>
    <w:lvl w:ilvl="0" w:tplc="FC2CD56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1FC256B"/>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2459EC"/>
    <w:multiLevelType w:val="hybridMultilevel"/>
    <w:tmpl w:val="B29A50E2"/>
    <w:lvl w:ilvl="0" w:tplc="51E408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B4D1D50"/>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F216E0"/>
    <w:multiLevelType w:val="hybridMultilevel"/>
    <w:tmpl w:val="43D49B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17C4A35"/>
    <w:multiLevelType w:val="multilevel"/>
    <w:tmpl w:val="F67A3E3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C9063D"/>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584460"/>
    <w:multiLevelType w:val="hybridMultilevel"/>
    <w:tmpl w:val="22E0427C"/>
    <w:lvl w:ilvl="0" w:tplc="CCA45834">
      <w:start w:val="2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0" w15:restartNumberingAfterBreak="0">
    <w:nsid w:val="44A94805"/>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8F39E3"/>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4AE665D"/>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7243F6"/>
    <w:multiLevelType w:val="hybridMultilevel"/>
    <w:tmpl w:val="B29A50E2"/>
    <w:lvl w:ilvl="0" w:tplc="51E408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6F668A9"/>
    <w:multiLevelType w:val="hybridMultilevel"/>
    <w:tmpl w:val="0BB8D8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E8A2F2F"/>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5D2229"/>
    <w:multiLevelType w:val="hybridMultilevel"/>
    <w:tmpl w:val="6E8444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2163798"/>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462538"/>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2B2569"/>
    <w:multiLevelType w:val="multilevel"/>
    <w:tmpl w:val="881038FA"/>
    <w:lvl w:ilvl="0">
      <w:start w:val="1"/>
      <w:numFmt w:val="decimal"/>
      <w:lvlText w:val="%1."/>
      <w:lvlJc w:val="left"/>
      <w:pPr>
        <w:ind w:left="785" w:hanging="360"/>
      </w:pPr>
      <w:rPr>
        <w:rFonts w:hint="default"/>
        <w:b w:val="0"/>
      </w:rPr>
    </w:lvl>
    <w:lvl w:ilvl="1">
      <w:start w:val="1"/>
      <w:numFmt w:val="decimal"/>
      <w:lvlText w:val="%1.%2."/>
      <w:lvlJc w:val="left"/>
      <w:pPr>
        <w:ind w:left="1283"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
  </w:num>
  <w:num w:numId="6">
    <w:abstractNumId w:val="18"/>
  </w:num>
  <w:num w:numId="7">
    <w:abstractNumId w:val="12"/>
  </w:num>
  <w:num w:numId="8">
    <w:abstractNumId w:val="0"/>
  </w:num>
  <w:num w:numId="9">
    <w:abstractNumId w:val="10"/>
  </w:num>
  <w:num w:numId="10">
    <w:abstractNumId w:val="5"/>
  </w:num>
  <w:num w:numId="11">
    <w:abstractNumId w:val="1"/>
  </w:num>
  <w:num w:numId="12">
    <w:abstractNumId w:val="11"/>
  </w:num>
  <w:num w:numId="13">
    <w:abstractNumId w:val="8"/>
  </w:num>
  <w:num w:numId="14">
    <w:abstractNumId w:val="15"/>
  </w:num>
  <w:num w:numId="15">
    <w:abstractNumId w:val="19"/>
  </w:num>
  <w:num w:numId="16">
    <w:abstractNumId w:val="6"/>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4D9"/>
    <w:rsid w:val="00017674"/>
    <w:rsid w:val="00022389"/>
    <w:rsid w:val="00036896"/>
    <w:rsid w:val="00047D85"/>
    <w:rsid w:val="00051A04"/>
    <w:rsid w:val="00051EC0"/>
    <w:rsid w:val="00055491"/>
    <w:rsid w:val="00060609"/>
    <w:rsid w:val="000619D5"/>
    <w:rsid w:val="000723E4"/>
    <w:rsid w:val="00081B1D"/>
    <w:rsid w:val="00084CD8"/>
    <w:rsid w:val="00084F9B"/>
    <w:rsid w:val="0008581F"/>
    <w:rsid w:val="00092EC2"/>
    <w:rsid w:val="0009539B"/>
    <w:rsid w:val="000A1078"/>
    <w:rsid w:val="000B6028"/>
    <w:rsid w:val="000C6BBE"/>
    <w:rsid w:val="00160F17"/>
    <w:rsid w:val="0016123D"/>
    <w:rsid w:val="00164370"/>
    <w:rsid w:val="001747FB"/>
    <w:rsid w:val="00182B71"/>
    <w:rsid w:val="00185101"/>
    <w:rsid w:val="001A14BD"/>
    <w:rsid w:val="001A53CE"/>
    <w:rsid w:val="001F4137"/>
    <w:rsid w:val="00200095"/>
    <w:rsid w:val="00206AC8"/>
    <w:rsid w:val="00213C8C"/>
    <w:rsid w:val="00224D20"/>
    <w:rsid w:val="00237CD0"/>
    <w:rsid w:val="00242361"/>
    <w:rsid w:val="00242951"/>
    <w:rsid w:val="002577C4"/>
    <w:rsid w:val="00263D7D"/>
    <w:rsid w:val="00270612"/>
    <w:rsid w:val="00272B3E"/>
    <w:rsid w:val="0027545E"/>
    <w:rsid w:val="002A56A8"/>
    <w:rsid w:val="002A7FC7"/>
    <w:rsid w:val="002B6BC7"/>
    <w:rsid w:val="002E17C9"/>
    <w:rsid w:val="0031287A"/>
    <w:rsid w:val="00330022"/>
    <w:rsid w:val="00333FA5"/>
    <w:rsid w:val="0035292D"/>
    <w:rsid w:val="0035498E"/>
    <w:rsid w:val="00356C7C"/>
    <w:rsid w:val="00365229"/>
    <w:rsid w:val="00383A2B"/>
    <w:rsid w:val="00397702"/>
    <w:rsid w:val="003C78BB"/>
    <w:rsid w:val="003D418D"/>
    <w:rsid w:val="003D69A0"/>
    <w:rsid w:val="003E63BD"/>
    <w:rsid w:val="00411065"/>
    <w:rsid w:val="00414FAA"/>
    <w:rsid w:val="00421870"/>
    <w:rsid w:val="004241BC"/>
    <w:rsid w:val="0043280D"/>
    <w:rsid w:val="004336E0"/>
    <w:rsid w:val="00437F07"/>
    <w:rsid w:val="00446ECE"/>
    <w:rsid w:val="00447352"/>
    <w:rsid w:val="004651F8"/>
    <w:rsid w:val="00487C0B"/>
    <w:rsid w:val="004A256E"/>
    <w:rsid w:val="004B78D5"/>
    <w:rsid w:val="004C35E1"/>
    <w:rsid w:val="004C6FB1"/>
    <w:rsid w:val="004F77F5"/>
    <w:rsid w:val="00507052"/>
    <w:rsid w:val="00511320"/>
    <w:rsid w:val="005119F3"/>
    <w:rsid w:val="005242E1"/>
    <w:rsid w:val="005636B0"/>
    <w:rsid w:val="005814F6"/>
    <w:rsid w:val="0059241F"/>
    <w:rsid w:val="005C382F"/>
    <w:rsid w:val="005D203A"/>
    <w:rsid w:val="005D58B6"/>
    <w:rsid w:val="005E25A2"/>
    <w:rsid w:val="005F2B1C"/>
    <w:rsid w:val="00602AD7"/>
    <w:rsid w:val="00604E73"/>
    <w:rsid w:val="00612995"/>
    <w:rsid w:val="0061448C"/>
    <w:rsid w:val="00624E0A"/>
    <w:rsid w:val="00627C50"/>
    <w:rsid w:val="00647AE8"/>
    <w:rsid w:val="00653253"/>
    <w:rsid w:val="00661325"/>
    <w:rsid w:val="00680C52"/>
    <w:rsid w:val="006C234E"/>
    <w:rsid w:val="006D57CB"/>
    <w:rsid w:val="006E447D"/>
    <w:rsid w:val="006E56FD"/>
    <w:rsid w:val="007044CD"/>
    <w:rsid w:val="00711702"/>
    <w:rsid w:val="007150CE"/>
    <w:rsid w:val="00716A0D"/>
    <w:rsid w:val="007264A3"/>
    <w:rsid w:val="00745D06"/>
    <w:rsid w:val="00774538"/>
    <w:rsid w:val="00787620"/>
    <w:rsid w:val="00796B45"/>
    <w:rsid w:val="007A3E55"/>
    <w:rsid w:val="007C558A"/>
    <w:rsid w:val="007E5798"/>
    <w:rsid w:val="007F59C9"/>
    <w:rsid w:val="00817038"/>
    <w:rsid w:val="00820719"/>
    <w:rsid w:val="00841A5E"/>
    <w:rsid w:val="008478D8"/>
    <w:rsid w:val="00857411"/>
    <w:rsid w:val="0087361D"/>
    <w:rsid w:val="00890276"/>
    <w:rsid w:val="00891903"/>
    <w:rsid w:val="00895B16"/>
    <w:rsid w:val="00896567"/>
    <w:rsid w:val="00910BD5"/>
    <w:rsid w:val="00936D34"/>
    <w:rsid w:val="00973F68"/>
    <w:rsid w:val="00984108"/>
    <w:rsid w:val="009849B2"/>
    <w:rsid w:val="00992323"/>
    <w:rsid w:val="00992819"/>
    <w:rsid w:val="00995827"/>
    <w:rsid w:val="009A48FF"/>
    <w:rsid w:val="009B3F72"/>
    <w:rsid w:val="009C3D97"/>
    <w:rsid w:val="009C3D9C"/>
    <w:rsid w:val="009D2928"/>
    <w:rsid w:val="009D51C3"/>
    <w:rsid w:val="009E6B42"/>
    <w:rsid w:val="009E779E"/>
    <w:rsid w:val="00A26E9B"/>
    <w:rsid w:val="00A33307"/>
    <w:rsid w:val="00A44BCD"/>
    <w:rsid w:val="00A47759"/>
    <w:rsid w:val="00A71247"/>
    <w:rsid w:val="00A73196"/>
    <w:rsid w:val="00A856A0"/>
    <w:rsid w:val="00A857D1"/>
    <w:rsid w:val="00A92828"/>
    <w:rsid w:val="00AB36AD"/>
    <w:rsid w:val="00AC67A3"/>
    <w:rsid w:val="00AD7123"/>
    <w:rsid w:val="00AE1200"/>
    <w:rsid w:val="00AE1831"/>
    <w:rsid w:val="00B05E31"/>
    <w:rsid w:val="00B114AB"/>
    <w:rsid w:val="00B120DC"/>
    <w:rsid w:val="00B20054"/>
    <w:rsid w:val="00B21185"/>
    <w:rsid w:val="00B22746"/>
    <w:rsid w:val="00B24655"/>
    <w:rsid w:val="00B27E3D"/>
    <w:rsid w:val="00B46B14"/>
    <w:rsid w:val="00B768C3"/>
    <w:rsid w:val="00B809DF"/>
    <w:rsid w:val="00B84D56"/>
    <w:rsid w:val="00B86D9B"/>
    <w:rsid w:val="00BA3A52"/>
    <w:rsid w:val="00BE2164"/>
    <w:rsid w:val="00BE234F"/>
    <w:rsid w:val="00BE2F86"/>
    <w:rsid w:val="00BE5069"/>
    <w:rsid w:val="00BE7492"/>
    <w:rsid w:val="00BE7DAD"/>
    <w:rsid w:val="00C01971"/>
    <w:rsid w:val="00C04A36"/>
    <w:rsid w:val="00C11BF4"/>
    <w:rsid w:val="00C12068"/>
    <w:rsid w:val="00C12FCA"/>
    <w:rsid w:val="00C13724"/>
    <w:rsid w:val="00C15DCD"/>
    <w:rsid w:val="00C16C35"/>
    <w:rsid w:val="00C34985"/>
    <w:rsid w:val="00C413BE"/>
    <w:rsid w:val="00C44F92"/>
    <w:rsid w:val="00C5219F"/>
    <w:rsid w:val="00C62722"/>
    <w:rsid w:val="00C72F91"/>
    <w:rsid w:val="00C95371"/>
    <w:rsid w:val="00CA2210"/>
    <w:rsid w:val="00CB2555"/>
    <w:rsid w:val="00CB5DD4"/>
    <w:rsid w:val="00CB6917"/>
    <w:rsid w:val="00CE35C6"/>
    <w:rsid w:val="00CF0BA2"/>
    <w:rsid w:val="00CF2E27"/>
    <w:rsid w:val="00D0676D"/>
    <w:rsid w:val="00D27854"/>
    <w:rsid w:val="00D33406"/>
    <w:rsid w:val="00D4234D"/>
    <w:rsid w:val="00D43CD2"/>
    <w:rsid w:val="00D472F9"/>
    <w:rsid w:val="00D54EF2"/>
    <w:rsid w:val="00D573CD"/>
    <w:rsid w:val="00D708C3"/>
    <w:rsid w:val="00D70AF7"/>
    <w:rsid w:val="00D715A0"/>
    <w:rsid w:val="00D73017"/>
    <w:rsid w:val="00D76C90"/>
    <w:rsid w:val="00D84336"/>
    <w:rsid w:val="00D92F25"/>
    <w:rsid w:val="00D9310B"/>
    <w:rsid w:val="00DB3158"/>
    <w:rsid w:val="00DE629C"/>
    <w:rsid w:val="00E20633"/>
    <w:rsid w:val="00E26023"/>
    <w:rsid w:val="00E4091B"/>
    <w:rsid w:val="00E47287"/>
    <w:rsid w:val="00E47CA6"/>
    <w:rsid w:val="00E53B36"/>
    <w:rsid w:val="00E574D5"/>
    <w:rsid w:val="00E630A6"/>
    <w:rsid w:val="00E67E84"/>
    <w:rsid w:val="00E75047"/>
    <w:rsid w:val="00EA514E"/>
    <w:rsid w:val="00EA6163"/>
    <w:rsid w:val="00EB174B"/>
    <w:rsid w:val="00EC269C"/>
    <w:rsid w:val="00ED4CC4"/>
    <w:rsid w:val="00F12552"/>
    <w:rsid w:val="00F27042"/>
    <w:rsid w:val="00F27BB5"/>
    <w:rsid w:val="00F37DCF"/>
    <w:rsid w:val="00F479EC"/>
    <w:rsid w:val="00F53B8A"/>
    <w:rsid w:val="00F549E9"/>
    <w:rsid w:val="00F565E2"/>
    <w:rsid w:val="00F713D8"/>
    <w:rsid w:val="00F87449"/>
    <w:rsid w:val="00F949E6"/>
    <w:rsid w:val="00FA31CD"/>
    <w:rsid w:val="00FC4AAA"/>
    <w:rsid w:val="00FC54D9"/>
    <w:rsid w:val="00FD6F41"/>
    <w:rsid w:val="00FE091F"/>
    <w:rsid w:val="00FE79A1"/>
    <w:rsid w:val="00FF38E0"/>
    <w:rsid w:val="00FF3BCC"/>
    <w:rsid w:val="00FF5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1B682"/>
  <w15:docId w15:val="{BD7C1191-4E59-4BD4-A500-2234565A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C54D9"/>
    <w:pPr>
      <w:spacing w:after="0" w:line="240" w:lineRule="auto"/>
    </w:pPr>
    <w:rPr>
      <w:rFonts w:ascii="Times New Roman" w:eastAsia="Calibri" w:hAnsi="Times New Roman" w:cs="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trip,list paragraph,strip"/>
    <w:basedOn w:val="Parasts"/>
    <w:link w:val="SarakstarindkopaRakstz"/>
    <w:uiPriority w:val="34"/>
    <w:qFormat/>
    <w:rsid w:val="00FC54D9"/>
    <w:pPr>
      <w:ind w:left="720"/>
      <w:contextualSpacing/>
    </w:pPr>
  </w:style>
  <w:style w:type="paragraph" w:customStyle="1" w:styleId="naisc">
    <w:name w:val="naisc"/>
    <w:basedOn w:val="Parasts"/>
    <w:rsid w:val="00FC54D9"/>
    <w:pPr>
      <w:spacing w:before="75" w:after="75"/>
      <w:jc w:val="center"/>
    </w:pPr>
    <w:rPr>
      <w:rFonts w:eastAsia="Times New Roman"/>
      <w:sz w:val="24"/>
      <w:szCs w:val="24"/>
      <w:lang w:eastAsia="lv-LV"/>
    </w:rPr>
  </w:style>
  <w:style w:type="paragraph" w:styleId="Paraststmeklis">
    <w:name w:val="Normal (Web)"/>
    <w:basedOn w:val="Parasts"/>
    <w:rsid w:val="00FC54D9"/>
    <w:pPr>
      <w:spacing w:before="100" w:beforeAutospacing="1" w:after="100" w:afterAutospacing="1"/>
    </w:pPr>
    <w:rPr>
      <w:rFonts w:eastAsia="Times New Roman"/>
      <w:sz w:val="24"/>
      <w:szCs w:val="24"/>
      <w:lang w:eastAsia="lv-LV"/>
    </w:rPr>
  </w:style>
  <w:style w:type="paragraph" w:customStyle="1" w:styleId="naisf">
    <w:name w:val="naisf"/>
    <w:basedOn w:val="Parasts"/>
    <w:rsid w:val="00FC54D9"/>
    <w:pPr>
      <w:spacing w:before="75" w:after="75"/>
      <w:ind w:firstLine="375"/>
      <w:jc w:val="both"/>
    </w:pPr>
    <w:rPr>
      <w:rFonts w:eastAsia="Times New Roman"/>
      <w:sz w:val="24"/>
      <w:szCs w:val="24"/>
      <w:lang w:eastAsia="lv-LV"/>
    </w:rPr>
  </w:style>
  <w:style w:type="paragraph" w:customStyle="1" w:styleId="naiskr">
    <w:name w:val="naiskr"/>
    <w:basedOn w:val="Parasts"/>
    <w:rsid w:val="00FC54D9"/>
    <w:pPr>
      <w:spacing w:before="75" w:after="75"/>
    </w:pPr>
    <w:rPr>
      <w:rFonts w:eastAsia="Times New Roman"/>
      <w:sz w:val="24"/>
      <w:szCs w:val="24"/>
      <w:lang w:eastAsia="lv-LV"/>
    </w:rPr>
  </w:style>
  <w:style w:type="paragraph" w:styleId="Pamatteksts">
    <w:name w:val="Body Text"/>
    <w:basedOn w:val="Parasts"/>
    <w:link w:val="PamattekstsRakstz"/>
    <w:rsid w:val="00FC54D9"/>
    <w:pPr>
      <w:spacing w:after="120"/>
    </w:pPr>
    <w:rPr>
      <w:rFonts w:eastAsia="Times New Roman"/>
      <w:sz w:val="24"/>
      <w:szCs w:val="24"/>
      <w:lang w:eastAsia="lv-LV"/>
    </w:rPr>
  </w:style>
  <w:style w:type="character" w:customStyle="1" w:styleId="PamattekstsRakstz">
    <w:name w:val="Pamatteksts Rakstz."/>
    <w:basedOn w:val="Noklusjumarindkopasfonts"/>
    <w:link w:val="Pamatteksts"/>
    <w:rsid w:val="00FC54D9"/>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54D9"/>
    <w:pPr>
      <w:tabs>
        <w:tab w:val="center" w:pos="4153"/>
        <w:tab w:val="right" w:pos="8306"/>
      </w:tabs>
    </w:pPr>
  </w:style>
  <w:style w:type="character" w:customStyle="1" w:styleId="GalveneRakstz">
    <w:name w:val="Galvene Rakstz."/>
    <w:basedOn w:val="Noklusjumarindkopasfonts"/>
    <w:link w:val="Galvene"/>
    <w:uiPriority w:val="99"/>
    <w:rsid w:val="00FC54D9"/>
    <w:rPr>
      <w:rFonts w:ascii="Times New Roman" w:eastAsia="Calibri" w:hAnsi="Times New Roman" w:cs="Times New Roman"/>
      <w:sz w:val="28"/>
    </w:rPr>
  </w:style>
  <w:style w:type="paragraph" w:styleId="Kjene">
    <w:name w:val="footer"/>
    <w:basedOn w:val="Parasts"/>
    <w:link w:val="KjeneRakstz"/>
    <w:uiPriority w:val="99"/>
    <w:unhideWhenUsed/>
    <w:rsid w:val="00FC54D9"/>
    <w:pPr>
      <w:tabs>
        <w:tab w:val="center" w:pos="4513"/>
        <w:tab w:val="right" w:pos="9026"/>
      </w:tabs>
    </w:pPr>
  </w:style>
  <w:style w:type="character" w:customStyle="1" w:styleId="KjeneRakstz">
    <w:name w:val="Kājene Rakstz."/>
    <w:basedOn w:val="Noklusjumarindkopasfonts"/>
    <w:link w:val="Kjene"/>
    <w:uiPriority w:val="99"/>
    <w:rsid w:val="00FC54D9"/>
    <w:rPr>
      <w:rFonts w:ascii="Times New Roman" w:eastAsia="Calibri" w:hAnsi="Times New Roman" w:cs="Times New Roman"/>
      <w:sz w:val="28"/>
    </w:rPr>
  </w:style>
  <w:style w:type="paragraph" w:styleId="Balonteksts">
    <w:name w:val="Balloon Text"/>
    <w:basedOn w:val="Parasts"/>
    <w:link w:val="BalontekstsRakstz"/>
    <w:uiPriority w:val="99"/>
    <w:semiHidden/>
    <w:unhideWhenUsed/>
    <w:rsid w:val="00FC54D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C54D9"/>
    <w:rPr>
      <w:rFonts w:ascii="Tahoma" w:eastAsia="Calibri" w:hAnsi="Tahoma" w:cs="Tahoma"/>
      <w:sz w:val="16"/>
      <w:szCs w:val="16"/>
    </w:rPr>
  </w:style>
  <w:style w:type="character" w:styleId="Komentraatsauce">
    <w:name w:val="annotation reference"/>
    <w:basedOn w:val="Noklusjumarindkopasfonts"/>
    <w:uiPriority w:val="99"/>
    <w:semiHidden/>
    <w:unhideWhenUsed/>
    <w:rsid w:val="007F59C9"/>
    <w:rPr>
      <w:sz w:val="16"/>
      <w:szCs w:val="16"/>
    </w:rPr>
  </w:style>
  <w:style w:type="paragraph" w:styleId="Komentrateksts">
    <w:name w:val="annotation text"/>
    <w:basedOn w:val="Parasts"/>
    <w:link w:val="KomentratekstsRakstz"/>
    <w:uiPriority w:val="99"/>
    <w:semiHidden/>
    <w:unhideWhenUsed/>
    <w:rsid w:val="007F59C9"/>
    <w:pPr>
      <w:jc w:val="both"/>
    </w:pPr>
    <w:rPr>
      <w:rFonts w:eastAsia="Times New Roman"/>
      <w:sz w:val="20"/>
      <w:szCs w:val="20"/>
    </w:rPr>
  </w:style>
  <w:style w:type="character" w:customStyle="1" w:styleId="KomentratekstsRakstz">
    <w:name w:val="Komentāra teksts Rakstz."/>
    <w:basedOn w:val="Noklusjumarindkopasfonts"/>
    <w:link w:val="Komentrateksts"/>
    <w:uiPriority w:val="99"/>
    <w:semiHidden/>
    <w:rsid w:val="007F59C9"/>
    <w:rPr>
      <w:rFonts w:ascii="Times New Roman" w:eastAsia="Times New Roman" w:hAnsi="Times New Roman" w:cs="Times New Roman"/>
      <w:sz w:val="20"/>
      <w:szCs w:val="20"/>
    </w:rPr>
  </w:style>
  <w:style w:type="paragraph" w:customStyle="1" w:styleId="tv2132">
    <w:name w:val="tv2132"/>
    <w:basedOn w:val="Parasts"/>
    <w:rsid w:val="00D84336"/>
    <w:pPr>
      <w:spacing w:line="360" w:lineRule="auto"/>
      <w:ind w:firstLine="300"/>
    </w:pPr>
    <w:rPr>
      <w:rFonts w:eastAsia="Times New Roman"/>
      <w:color w:val="414142"/>
      <w:sz w:val="20"/>
      <w:szCs w:val="20"/>
      <w:lang w:eastAsia="lv-LV"/>
    </w:rPr>
  </w:style>
  <w:style w:type="table" w:styleId="Reatabula">
    <w:name w:val="Table Grid"/>
    <w:basedOn w:val="Parastatabula"/>
    <w:uiPriority w:val="59"/>
    <w:rsid w:val="0089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081B1D"/>
    <w:pPr>
      <w:jc w:val="left"/>
    </w:pPr>
    <w:rPr>
      <w:rFonts w:eastAsia="Calibri"/>
      <w:b/>
      <w:bCs/>
    </w:rPr>
  </w:style>
  <w:style w:type="character" w:customStyle="1" w:styleId="KomentratmaRakstz">
    <w:name w:val="Komentāra tēma Rakstz."/>
    <w:basedOn w:val="KomentratekstsRakstz"/>
    <w:link w:val="Komentratma"/>
    <w:uiPriority w:val="99"/>
    <w:semiHidden/>
    <w:rsid w:val="00081B1D"/>
    <w:rPr>
      <w:rFonts w:ascii="Times New Roman" w:eastAsia="Calibri" w:hAnsi="Times New Roman" w:cs="Times New Roman"/>
      <w:b/>
      <w:bCs/>
      <w:sz w:val="20"/>
      <w:szCs w:val="20"/>
    </w:rPr>
  </w:style>
  <w:style w:type="character" w:customStyle="1" w:styleId="SarakstarindkopaRakstz">
    <w:name w:val="Saraksta rindkopa Rakstz."/>
    <w:aliases w:val="2 Rakstz.,Strip Rakstz.,list paragraph Rakstz.,strip Rakstz."/>
    <w:link w:val="Sarakstarindkopa"/>
    <w:uiPriority w:val="34"/>
    <w:locked/>
    <w:rsid w:val="00D472F9"/>
    <w:rPr>
      <w:rFonts w:ascii="Times New Roman" w:eastAsia="Calibri" w:hAnsi="Times New Roman" w:cs="Times New Roman"/>
      <w:sz w:val="28"/>
    </w:rPr>
  </w:style>
  <w:style w:type="character" w:styleId="Hipersaite">
    <w:name w:val="Hyperlink"/>
    <w:basedOn w:val="Noklusjumarindkopasfonts"/>
    <w:uiPriority w:val="99"/>
    <w:unhideWhenUsed/>
    <w:rsid w:val="00D33406"/>
    <w:rPr>
      <w:color w:val="0563C1"/>
      <w:u w:val="single"/>
    </w:rPr>
  </w:style>
  <w:style w:type="paragraph" w:customStyle="1" w:styleId="tv213">
    <w:name w:val="tv213"/>
    <w:basedOn w:val="Parasts"/>
    <w:rsid w:val="00D92F25"/>
    <w:pPr>
      <w:spacing w:before="100" w:beforeAutospacing="1" w:after="100" w:afterAutospacing="1"/>
    </w:pPr>
    <w:rPr>
      <w:rFonts w:eastAsia="Times New Roman"/>
      <w:sz w:val="24"/>
      <w:szCs w:val="24"/>
      <w:lang w:eastAsia="lv-LV"/>
    </w:rPr>
  </w:style>
  <w:style w:type="table" w:customStyle="1" w:styleId="Reatabula1">
    <w:name w:val="Režģa tabula1"/>
    <w:basedOn w:val="Parastatabula"/>
    <w:next w:val="Reatabula"/>
    <w:uiPriority w:val="59"/>
    <w:rsid w:val="00C1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Parasts"/>
    <w:rsid w:val="00330022"/>
    <w:pPr>
      <w:autoSpaceDE w:val="0"/>
      <w:autoSpaceDN w:val="0"/>
    </w:pPr>
    <w:rPr>
      <w:rFonts w:eastAsiaTheme="minorHAnsi"/>
      <w:color w:val="000000"/>
      <w:sz w:val="24"/>
      <w:szCs w:val="24"/>
      <w:lang w:eastAsia="lv-LV"/>
    </w:rPr>
  </w:style>
  <w:style w:type="paragraph" w:customStyle="1" w:styleId="listparagraph">
    <w:name w:val="listparagraph"/>
    <w:basedOn w:val="Parasts"/>
    <w:rsid w:val="00060609"/>
    <w:pPr>
      <w:ind w:left="720"/>
    </w:pPr>
    <w:rPr>
      <w:rFonts w:ascii="Calibri" w:eastAsiaTheme="minorHAnsi" w:hAnsi="Calibri" w:cs="Calibri"/>
      <w:sz w:val="24"/>
      <w:szCs w:val="24"/>
      <w:lang w:eastAsia="lv-LV"/>
    </w:rPr>
  </w:style>
  <w:style w:type="character" w:customStyle="1" w:styleId="listparagraphchar">
    <w:name w:val="list paragraph char"/>
    <w:aliases w:val="2 char,strip char"/>
    <w:basedOn w:val="Noklusjumarindkopasfonts"/>
    <w:uiPriority w:val="34"/>
    <w:locked/>
    <w:rsid w:val="00FF3BC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7249">
      <w:bodyDiv w:val="1"/>
      <w:marLeft w:val="0"/>
      <w:marRight w:val="0"/>
      <w:marTop w:val="0"/>
      <w:marBottom w:val="0"/>
      <w:divBdr>
        <w:top w:val="none" w:sz="0" w:space="0" w:color="auto"/>
        <w:left w:val="none" w:sz="0" w:space="0" w:color="auto"/>
        <w:bottom w:val="none" w:sz="0" w:space="0" w:color="auto"/>
        <w:right w:val="none" w:sz="0" w:space="0" w:color="auto"/>
      </w:divBdr>
    </w:div>
    <w:div w:id="358355105">
      <w:bodyDiv w:val="1"/>
      <w:marLeft w:val="0"/>
      <w:marRight w:val="0"/>
      <w:marTop w:val="0"/>
      <w:marBottom w:val="0"/>
      <w:divBdr>
        <w:top w:val="none" w:sz="0" w:space="0" w:color="auto"/>
        <w:left w:val="none" w:sz="0" w:space="0" w:color="auto"/>
        <w:bottom w:val="none" w:sz="0" w:space="0" w:color="auto"/>
        <w:right w:val="none" w:sz="0" w:space="0" w:color="auto"/>
      </w:divBdr>
    </w:div>
    <w:div w:id="392504001">
      <w:bodyDiv w:val="1"/>
      <w:marLeft w:val="0"/>
      <w:marRight w:val="0"/>
      <w:marTop w:val="0"/>
      <w:marBottom w:val="0"/>
      <w:divBdr>
        <w:top w:val="none" w:sz="0" w:space="0" w:color="auto"/>
        <w:left w:val="none" w:sz="0" w:space="0" w:color="auto"/>
        <w:bottom w:val="none" w:sz="0" w:space="0" w:color="auto"/>
        <w:right w:val="none" w:sz="0" w:space="0" w:color="auto"/>
      </w:divBdr>
    </w:div>
    <w:div w:id="427123474">
      <w:bodyDiv w:val="1"/>
      <w:marLeft w:val="0"/>
      <w:marRight w:val="0"/>
      <w:marTop w:val="0"/>
      <w:marBottom w:val="0"/>
      <w:divBdr>
        <w:top w:val="none" w:sz="0" w:space="0" w:color="auto"/>
        <w:left w:val="none" w:sz="0" w:space="0" w:color="auto"/>
        <w:bottom w:val="none" w:sz="0" w:space="0" w:color="auto"/>
        <w:right w:val="none" w:sz="0" w:space="0" w:color="auto"/>
      </w:divBdr>
    </w:div>
    <w:div w:id="545727184">
      <w:bodyDiv w:val="1"/>
      <w:marLeft w:val="0"/>
      <w:marRight w:val="0"/>
      <w:marTop w:val="0"/>
      <w:marBottom w:val="0"/>
      <w:divBdr>
        <w:top w:val="none" w:sz="0" w:space="0" w:color="auto"/>
        <w:left w:val="none" w:sz="0" w:space="0" w:color="auto"/>
        <w:bottom w:val="none" w:sz="0" w:space="0" w:color="auto"/>
        <w:right w:val="none" w:sz="0" w:space="0" w:color="auto"/>
      </w:divBdr>
    </w:div>
    <w:div w:id="656223469">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60414953">
      <w:bodyDiv w:val="1"/>
      <w:marLeft w:val="0"/>
      <w:marRight w:val="0"/>
      <w:marTop w:val="0"/>
      <w:marBottom w:val="0"/>
      <w:divBdr>
        <w:top w:val="none" w:sz="0" w:space="0" w:color="auto"/>
        <w:left w:val="none" w:sz="0" w:space="0" w:color="auto"/>
        <w:bottom w:val="none" w:sz="0" w:space="0" w:color="auto"/>
        <w:right w:val="none" w:sz="0" w:space="0" w:color="auto"/>
      </w:divBdr>
    </w:div>
    <w:div w:id="825971810">
      <w:bodyDiv w:val="1"/>
      <w:marLeft w:val="0"/>
      <w:marRight w:val="0"/>
      <w:marTop w:val="0"/>
      <w:marBottom w:val="0"/>
      <w:divBdr>
        <w:top w:val="none" w:sz="0" w:space="0" w:color="auto"/>
        <w:left w:val="none" w:sz="0" w:space="0" w:color="auto"/>
        <w:bottom w:val="none" w:sz="0" w:space="0" w:color="auto"/>
        <w:right w:val="none" w:sz="0" w:space="0" w:color="auto"/>
      </w:divBdr>
    </w:div>
    <w:div w:id="847645628">
      <w:bodyDiv w:val="1"/>
      <w:marLeft w:val="0"/>
      <w:marRight w:val="0"/>
      <w:marTop w:val="0"/>
      <w:marBottom w:val="0"/>
      <w:divBdr>
        <w:top w:val="none" w:sz="0" w:space="0" w:color="auto"/>
        <w:left w:val="none" w:sz="0" w:space="0" w:color="auto"/>
        <w:bottom w:val="none" w:sz="0" w:space="0" w:color="auto"/>
        <w:right w:val="none" w:sz="0" w:space="0" w:color="auto"/>
      </w:divBdr>
    </w:div>
    <w:div w:id="1054817836">
      <w:bodyDiv w:val="1"/>
      <w:marLeft w:val="0"/>
      <w:marRight w:val="0"/>
      <w:marTop w:val="0"/>
      <w:marBottom w:val="0"/>
      <w:divBdr>
        <w:top w:val="none" w:sz="0" w:space="0" w:color="auto"/>
        <w:left w:val="none" w:sz="0" w:space="0" w:color="auto"/>
        <w:bottom w:val="none" w:sz="0" w:space="0" w:color="auto"/>
        <w:right w:val="none" w:sz="0" w:space="0" w:color="auto"/>
      </w:divBdr>
    </w:div>
    <w:div w:id="1059792227">
      <w:bodyDiv w:val="1"/>
      <w:marLeft w:val="0"/>
      <w:marRight w:val="0"/>
      <w:marTop w:val="0"/>
      <w:marBottom w:val="0"/>
      <w:divBdr>
        <w:top w:val="none" w:sz="0" w:space="0" w:color="auto"/>
        <w:left w:val="none" w:sz="0" w:space="0" w:color="auto"/>
        <w:bottom w:val="none" w:sz="0" w:space="0" w:color="auto"/>
        <w:right w:val="none" w:sz="0" w:space="0" w:color="auto"/>
      </w:divBdr>
    </w:div>
    <w:div w:id="1092900360">
      <w:bodyDiv w:val="1"/>
      <w:marLeft w:val="0"/>
      <w:marRight w:val="0"/>
      <w:marTop w:val="0"/>
      <w:marBottom w:val="0"/>
      <w:divBdr>
        <w:top w:val="none" w:sz="0" w:space="0" w:color="auto"/>
        <w:left w:val="none" w:sz="0" w:space="0" w:color="auto"/>
        <w:bottom w:val="none" w:sz="0" w:space="0" w:color="auto"/>
        <w:right w:val="none" w:sz="0" w:space="0" w:color="auto"/>
      </w:divBdr>
    </w:div>
    <w:div w:id="1137644098">
      <w:bodyDiv w:val="1"/>
      <w:marLeft w:val="0"/>
      <w:marRight w:val="0"/>
      <w:marTop w:val="0"/>
      <w:marBottom w:val="0"/>
      <w:divBdr>
        <w:top w:val="none" w:sz="0" w:space="0" w:color="auto"/>
        <w:left w:val="none" w:sz="0" w:space="0" w:color="auto"/>
        <w:bottom w:val="none" w:sz="0" w:space="0" w:color="auto"/>
        <w:right w:val="none" w:sz="0" w:space="0" w:color="auto"/>
      </w:divBdr>
    </w:div>
    <w:div w:id="1162165466">
      <w:bodyDiv w:val="1"/>
      <w:marLeft w:val="0"/>
      <w:marRight w:val="0"/>
      <w:marTop w:val="0"/>
      <w:marBottom w:val="0"/>
      <w:divBdr>
        <w:top w:val="none" w:sz="0" w:space="0" w:color="auto"/>
        <w:left w:val="none" w:sz="0" w:space="0" w:color="auto"/>
        <w:bottom w:val="none" w:sz="0" w:space="0" w:color="auto"/>
        <w:right w:val="none" w:sz="0" w:space="0" w:color="auto"/>
      </w:divBdr>
    </w:div>
    <w:div w:id="1304388824">
      <w:bodyDiv w:val="1"/>
      <w:marLeft w:val="0"/>
      <w:marRight w:val="0"/>
      <w:marTop w:val="0"/>
      <w:marBottom w:val="0"/>
      <w:divBdr>
        <w:top w:val="none" w:sz="0" w:space="0" w:color="auto"/>
        <w:left w:val="none" w:sz="0" w:space="0" w:color="auto"/>
        <w:bottom w:val="none" w:sz="0" w:space="0" w:color="auto"/>
        <w:right w:val="none" w:sz="0" w:space="0" w:color="auto"/>
      </w:divBdr>
    </w:div>
    <w:div w:id="1364014943">
      <w:bodyDiv w:val="1"/>
      <w:marLeft w:val="0"/>
      <w:marRight w:val="0"/>
      <w:marTop w:val="0"/>
      <w:marBottom w:val="0"/>
      <w:divBdr>
        <w:top w:val="none" w:sz="0" w:space="0" w:color="auto"/>
        <w:left w:val="none" w:sz="0" w:space="0" w:color="auto"/>
        <w:bottom w:val="none" w:sz="0" w:space="0" w:color="auto"/>
        <w:right w:val="none" w:sz="0" w:space="0" w:color="auto"/>
      </w:divBdr>
    </w:div>
    <w:div w:id="1406490705">
      <w:bodyDiv w:val="1"/>
      <w:marLeft w:val="0"/>
      <w:marRight w:val="0"/>
      <w:marTop w:val="0"/>
      <w:marBottom w:val="0"/>
      <w:divBdr>
        <w:top w:val="none" w:sz="0" w:space="0" w:color="auto"/>
        <w:left w:val="none" w:sz="0" w:space="0" w:color="auto"/>
        <w:bottom w:val="none" w:sz="0" w:space="0" w:color="auto"/>
        <w:right w:val="none" w:sz="0" w:space="0" w:color="auto"/>
      </w:divBdr>
    </w:div>
    <w:div w:id="1502769601">
      <w:bodyDiv w:val="1"/>
      <w:marLeft w:val="0"/>
      <w:marRight w:val="0"/>
      <w:marTop w:val="0"/>
      <w:marBottom w:val="0"/>
      <w:divBdr>
        <w:top w:val="none" w:sz="0" w:space="0" w:color="auto"/>
        <w:left w:val="none" w:sz="0" w:space="0" w:color="auto"/>
        <w:bottom w:val="none" w:sz="0" w:space="0" w:color="auto"/>
        <w:right w:val="none" w:sz="0" w:space="0" w:color="auto"/>
      </w:divBdr>
    </w:div>
    <w:div w:id="1656645450">
      <w:bodyDiv w:val="1"/>
      <w:marLeft w:val="0"/>
      <w:marRight w:val="0"/>
      <w:marTop w:val="0"/>
      <w:marBottom w:val="0"/>
      <w:divBdr>
        <w:top w:val="none" w:sz="0" w:space="0" w:color="auto"/>
        <w:left w:val="none" w:sz="0" w:space="0" w:color="auto"/>
        <w:bottom w:val="none" w:sz="0" w:space="0" w:color="auto"/>
        <w:right w:val="none" w:sz="0" w:space="0" w:color="auto"/>
      </w:divBdr>
    </w:div>
    <w:div w:id="1708406347">
      <w:bodyDiv w:val="1"/>
      <w:marLeft w:val="0"/>
      <w:marRight w:val="0"/>
      <w:marTop w:val="0"/>
      <w:marBottom w:val="0"/>
      <w:divBdr>
        <w:top w:val="none" w:sz="0" w:space="0" w:color="auto"/>
        <w:left w:val="none" w:sz="0" w:space="0" w:color="auto"/>
        <w:bottom w:val="none" w:sz="0" w:space="0" w:color="auto"/>
        <w:right w:val="none" w:sz="0" w:space="0" w:color="auto"/>
      </w:divBdr>
    </w:div>
    <w:div w:id="1782260841">
      <w:bodyDiv w:val="1"/>
      <w:marLeft w:val="0"/>
      <w:marRight w:val="0"/>
      <w:marTop w:val="0"/>
      <w:marBottom w:val="0"/>
      <w:divBdr>
        <w:top w:val="none" w:sz="0" w:space="0" w:color="auto"/>
        <w:left w:val="none" w:sz="0" w:space="0" w:color="auto"/>
        <w:bottom w:val="none" w:sz="0" w:space="0" w:color="auto"/>
        <w:right w:val="none" w:sz="0" w:space="0" w:color="auto"/>
      </w:divBdr>
    </w:div>
    <w:div w:id="1844473523">
      <w:bodyDiv w:val="1"/>
      <w:marLeft w:val="0"/>
      <w:marRight w:val="0"/>
      <w:marTop w:val="0"/>
      <w:marBottom w:val="0"/>
      <w:divBdr>
        <w:top w:val="none" w:sz="0" w:space="0" w:color="auto"/>
        <w:left w:val="none" w:sz="0" w:space="0" w:color="auto"/>
        <w:bottom w:val="none" w:sz="0" w:space="0" w:color="auto"/>
        <w:right w:val="none" w:sz="0" w:space="0" w:color="auto"/>
      </w:divBdr>
    </w:div>
    <w:div w:id="1866165590">
      <w:bodyDiv w:val="1"/>
      <w:marLeft w:val="0"/>
      <w:marRight w:val="0"/>
      <w:marTop w:val="0"/>
      <w:marBottom w:val="0"/>
      <w:divBdr>
        <w:top w:val="none" w:sz="0" w:space="0" w:color="auto"/>
        <w:left w:val="none" w:sz="0" w:space="0" w:color="auto"/>
        <w:bottom w:val="none" w:sz="0" w:space="0" w:color="auto"/>
        <w:right w:val="none" w:sz="0" w:space="0" w:color="auto"/>
      </w:divBdr>
    </w:div>
    <w:div w:id="1964266041">
      <w:bodyDiv w:val="1"/>
      <w:marLeft w:val="0"/>
      <w:marRight w:val="0"/>
      <w:marTop w:val="0"/>
      <w:marBottom w:val="0"/>
      <w:divBdr>
        <w:top w:val="none" w:sz="0" w:space="0" w:color="auto"/>
        <w:left w:val="none" w:sz="0" w:space="0" w:color="auto"/>
        <w:bottom w:val="none" w:sz="0" w:space="0" w:color="auto"/>
        <w:right w:val="none" w:sz="0" w:space="0" w:color="auto"/>
      </w:divBdr>
    </w:div>
    <w:div w:id="2061709252">
      <w:bodyDiv w:val="1"/>
      <w:marLeft w:val="0"/>
      <w:marRight w:val="0"/>
      <w:marTop w:val="0"/>
      <w:marBottom w:val="0"/>
      <w:divBdr>
        <w:top w:val="none" w:sz="0" w:space="0" w:color="auto"/>
        <w:left w:val="none" w:sz="0" w:space="0" w:color="auto"/>
        <w:bottom w:val="none" w:sz="0" w:space="0" w:color="auto"/>
        <w:right w:val="none" w:sz="0" w:space="0" w:color="auto"/>
      </w:divBdr>
      <w:divsChild>
        <w:div w:id="2039156663">
          <w:marLeft w:val="0"/>
          <w:marRight w:val="0"/>
          <w:marTop w:val="0"/>
          <w:marBottom w:val="0"/>
          <w:divBdr>
            <w:top w:val="none" w:sz="0" w:space="0" w:color="auto"/>
            <w:left w:val="none" w:sz="0" w:space="0" w:color="auto"/>
            <w:bottom w:val="none" w:sz="0" w:space="0" w:color="auto"/>
            <w:right w:val="none" w:sz="0" w:space="0" w:color="auto"/>
          </w:divBdr>
          <w:divsChild>
            <w:div w:id="1493907303">
              <w:marLeft w:val="0"/>
              <w:marRight w:val="0"/>
              <w:marTop w:val="0"/>
              <w:marBottom w:val="0"/>
              <w:divBdr>
                <w:top w:val="none" w:sz="0" w:space="0" w:color="auto"/>
                <w:left w:val="none" w:sz="0" w:space="0" w:color="auto"/>
                <w:bottom w:val="none" w:sz="0" w:space="0" w:color="auto"/>
                <w:right w:val="none" w:sz="0" w:space="0" w:color="auto"/>
              </w:divBdr>
              <w:divsChild>
                <w:div w:id="124353327">
                  <w:marLeft w:val="0"/>
                  <w:marRight w:val="0"/>
                  <w:marTop w:val="0"/>
                  <w:marBottom w:val="0"/>
                  <w:divBdr>
                    <w:top w:val="none" w:sz="0" w:space="0" w:color="auto"/>
                    <w:left w:val="none" w:sz="0" w:space="0" w:color="auto"/>
                    <w:bottom w:val="none" w:sz="0" w:space="0" w:color="auto"/>
                    <w:right w:val="none" w:sz="0" w:space="0" w:color="auto"/>
                  </w:divBdr>
                  <w:divsChild>
                    <w:div w:id="1955670229">
                      <w:marLeft w:val="0"/>
                      <w:marRight w:val="0"/>
                      <w:marTop w:val="0"/>
                      <w:marBottom w:val="0"/>
                      <w:divBdr>
                        <w:top w:val="none" w:sz="0" w:space="0" w:color="auto"/>
                        <w:left w:val="none" w:sz="0" w:space="0" w:color="auto"/>
                        <w:bottom w:val="none" w:sz="0" w:space="0" w:color="auto"/>
                        <w:right w:val="none" w:sz="0" w:space="0" w:color="auto"/>
                      </w:divBdr>
                      <w:divsChild>
                        <w:div w:id="680471222">
                          <w:marLeft w:val="0"/>
                          <w:marRight w:val="0"/>
                          <w:marTop w:val="0"/>
                          <w:marBottom w:val="0"/>
                          <w:divBdr>
                            <w:top w:val="none" w:sz="0" w:space="0" w:color="auto"/>
                            <w:left w:val="none" w:sz="0" w:space="0" w:color="auto"/>
                            <w:bottom w:val="none" w:sz="0" w:space="0" w:color="auto"/>
                            <w:right w:val="none" w:sz="0" w:space="0" w:color="auto"/>
                          </w:divBdr>
                          <w:divsChild>
                            <w:div w:id="421880893">
                              <w:marLeft w:val="0"/>
                              <w:marRight w:val="0"/>
                              <w:marTop w:val="0"/>
                              <w:marBottom w:val="0"/>
                              <w:divBdr>
                                <w:top w:val="none" w:sz="0" w:space="0" w:color="auto"/>
                                <w:left w:val="none" w:sz="0" w:space="0" w:color="auto"/>
                                <w:bottom w:val="none" w:sz="0" w:space="0" w:color="auto"/>
                                <w:right w:val="none" w:sz="0" w:space="0" w:color="auto"/>
                              </w:divBdr>
                            </w:div>
                            <w:div w:id="603996082">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042-fizisko-personu-datu-aizsardzibas-likums" TargetMode="External"/><Relationship Id="rId13" Type="http://schemas.openxmlformats.org/officeDocument/2006/relationships/hyperlink" Target="https://likumi.lv/ta/id/4042-fizisko-personu-datu-aizsardzibas-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4042-fizisko-personu-datu-aizsardziba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042-fizisko-personu-datu-aizsardzib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4042-fizisko-personu-datu-aizsardziba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4042-fizisko-personu-datu-aizsardzibas-likums" TargetMode="External"/><Relationship Id="rId14" Type="http://schemas.openxmlformats.org/officeDocument/2006/relationships/hyperlink" Target="mailto:Inese.Stromberga@z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2C50-CFC5-4CF6-A5E4-61A267F4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4702</Words>
  <Characters>2681</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dc:title>
  <dc:subject>Izziņa</dc:subject>
  <dc:creator>Inese Štromberga</dc:creator>
  <cp:keywords/>
  <dc:description>Štromberga 67027156_x000d_
Inese.Stromberga@zm.gov.lv</dc:description>
  <cp:lastModifiedBy>Kristiāna Sebre</cp:lastModifiedBy>
  <cp:revision>3</cp:revision>
  <cp:lastPrinted>2018-10-31T15:52:00Z</cp:lastPrinted>
  <dcterms:created xsi:type="dcterms:W3CDTF">2019-09-03T10:57:00Z</dcterms:created>
  <dcterms:modified xsi:type="dcterms:W3CDTF">2019-09-04T08:58:00Z</dcterms:modified>
</cp:coreProperties>
</file>