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6D" w:rsidP="00D156FF" w:rsidRDefault="004934E1" w14:paraId="01C568A7" w14:textId="49770F50">
      <w:pPr>
        <w:jc w:val="right"/>
        <w:rPr>
          <w:rFonts w:cs="Times New Roman"/>
          <w:szCs w:val="24"/>
        </w:rPr>
      </w:pPr>
      <w:bookmarkStart w:name="_GoBack" w:id="0"/>
      <w:bookmarkEnd w:id="0"/>
      <w:r>
        <w:rPr>
          <w:rFonts w:cs="Times New Roman"/>
          <w:szCs w:val="24"/>
        </w:rPr>
        <w:t>P</w:t>
      </w:r>
      <w:r w:rsidRPr="00790C35" w:rsidR="004A02BE">
        <w:rPr>
          <w:rFonts w:cs="Times New Roman"/>
          <w:szCs w:val="24"/>
        </w:rPr>
        <w:t>ielikums</w:t>
      </w:r>
    </w:p>
    <w:p w:rsidR="004934E1" w:rsidP="004934E1" w:rsidRDefault="004934E1" w14:paraId="5BB8627E" w14:textId="77777777">
      <w:pPr>
        <w:jc w:val="right"/>
        <w:rPr>
          <w:rFonts w:cs="Times New Roman"/>
          <w:szCs w:val="24"/>
        </w:rPr>
      </w:pPr>
      <w:r w:rsidRPr="004934E1">
        <w:rPr>
          <w:rFonts w:cs="Times New Roman"/>
          <w:szCs w:val="24"/>
        </w:rPr>
        <w:t xml:space="preserve">Likumprojekta „Grozījumi Elektronisko sakaru likumā” </w:t>
      </w:r>
    </w:p>
    <w:p w:rsidRPr="00790C35" w:rsidR="004934E1" w:rsidP="004934E1" w:rsidRDefault="004934E1" w14:paraId="72D05442" w14:textId="1875011D">
      <w:pPr>
        <w:jc w:val="right"/>
        <w:rPr>
          <w:rFonts w:cs="Times New Roman"/>
          <w:szCs w:val="24"/>
        </w:rPr>
      </w:pPr>
      <w:r w:rsidRPr="004934E1">
        <w:rPr>
          <w:rFonts w:cs="Times New Roman"/>
          <w:szCs w:val="24"/>
        </w:rPr>
        <w:t>sākotnējās ietekmes novērtējuma ziņojuma</w:t>
      </w:r>
      <w:r>
        <w:rPr>
          <w:rFonts w:cs="Times New Roman"/>
          <w:szCs w:val="24"/>
        </w:rPr>
        <w:t>m</w:t>
      </w:r>
      <w:r w:rsidRPr="004934E1">
        <w:rPr>
          <w:rFonts w:cs="Times New Roman"/>
          <w:szCs w:val="24"/>
        </w:rPr>
        <w:t xml:space="preserve"> (anotācija</w:t>
      </w:r>
      <w:r>
        <w:rPr>
          <w:rFonts w:cs="Times New Roman"/>
          <w:szCs w:val="24"/>
        </w:rPr>
        <w:t>i</w:t>
      </w:r>
      <w:r w:rsidRPr="004934E1">
        <w:rPr>
          <w:rFonts w:cs="Times New Roman"/>
          <w:szCs w:val="24"/>
        </w:rPr>
        <w:t>)</w:t>
      </w:r>
    </w:p>
    <w:p w:rsidRPr="00790C35" w:rsidR="004A02BE" w:rsidP="00104578" w:rsidRDefault="004A02BE" w14:paraId="1B5957CB" w14:textId="4D89D99E">
      <w:pPr>
        <w:jc w:val="center"/>
        <w:rPr>
          <w:rFonts w:cs="Times New Roman"/>
          <w:bCs/>
          <w:iCs/>
          <w:color w:val="000000" w:themeColor="text1"/>
          <w:szCs w:val="24"/>
        </w:rPr>
      </w:pPr>
    </w:p>
    <w:p w:rsidRPr="00790C35" w:rsidR="004A02BE" w:rsidP="004A02BE" w:rsidRDefault="004A02BE" w14:paraId="703A28D0" w14:textId="023CABAD">
      <w:pPr>
        <w:ind w:firstLine="720"/>
        <w:jc w:val="center"/>
        <w:rPr>
          <w:rFonts w:cs="Times New Roman"/>
          <w:b/>
          <w:szCs w:val="24"/>
        </w:rPr>
      </w:pPr>
      <w:r w:rsidRPr="00790C35">
        <w:rPr>
          <w:rFonts w:cs="Times New Roman"/>
          <w:b/>
          <w:szCs w:val="24"/>
        </w:rPr>
        <w:t>Administratīvo  pārkāpumu sodi elektronisko sakaru jomā Eiropas Savienības dalībvalstīs</w:t>
      </w:r>
    </w:p>
    <w:p w:rsidRPr="00A20716" w:rsidR="004A02BE" w:rsidP="00104578" w:rsidRDefault="004A02BE" w14:paraId="3C6E5831" w14:textId="77777777">
      <w:pPr>
        <w:jc w:val="center"/>
        <w:rPr>
          <w:rFonts w:cs="Times New Roman"/>
          <w:bCs/>
          <w:iCs/>
          <w:color w:val="000000" w:themeColor="text1"/>
          <w:sz w:val="22"/>
        </w:rPr>
      </w:pP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1666"/>
        <w:gridCol w:w="510"/>
        <w:gridCol w:w="515"/>
        <w:gridCol w:w="866"/>
        <w:gridCol w:w="900"/>
        <w:gridCol w:w="1161"/>
        <w:gridCol w:w="860"/>
        <w:gridCol w:w="868"/>
        <w:gridCol w:w="611"/>
        <w:gridCol w:w="95"/>
        <w:gridCol w:w="665"/>
        <w:gridCol w:w="1216"/>
        <w:gridCol w:w="595"/>
        <w:gridCol w:w="825"/>
        <w:gridCol w:w="764"/>
        <w:gridCol w:w="1465"/>
        <w:gridCol w:w="179"/>
        <w:gridCol w:w="1265"/>
      </w:tblGrid>
      <w:tr w:rsidRPr="00A20716" w:rsidR="000A4508" w:rsidTr="000A4508" w14:paraId="7C61E992" w14:textId="77777777">
        <w:tc>
          <w:tcPr>
            <w:tcW w:w="1730" w:type="dxa"/>
            <w:vMerge w:val="restart"/>
          </w:tcPr>
          <w:p w:rsidRPr="00A20716" w:rsidR="000A4508" w:rsidP="00D36FBE" w:rsidRDefault="000A4508" w14:paraId="0028E2A3" w14:textId="7777777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BF8F00" w:themeColor="accent4" w:themeShade="BF"/>
                <w:sz w:val="20"/>
                <w:szCs w:val="20"/>
              </w:rPr>
              <w:br w:type="page"/>
            </w:r>
          </w:p>
          <w:p w:rsidRPr="00A20716" w:rsidR="000A4508" w:rsidP="00D36FBE" w:rsidRDefault="000A4508" w14:paraId="3B8B3AC4" w14:textId="7777777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  <w:p w:rsidRPr="00A20716" w:rsidR="000A4508" w:rsidP="00D36FBE" w:rsidRDefault="000A4508" w14:paraId="675A49D8" w14:textId="7777777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  <w:p w:rsidRPr="00A20716" w:rsidR="000A4508" w:rsidP="00D36FBE" w:rsidRDefault="000A4508" w14:paraId="0DCFC720" w14:textId="7777777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  <w:p w:rsidRPr="00A20716" w:rsidR="000A4508" w:rsidP="00D36FBE" w:rsidRDefault="000A4508" w14:paraId="7716E06D" w14:textId="7777777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  <w:p w:rsidRPr="00A20716" w:rsidR="000A4508" w:rsidP="00D36FBE" w:rsidRDefault="000A4508" w14:paraId="43ACB294" w14:textId="7777777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  <w:p w:rsidRPr="00A20716" w:rsidR="000A4508" w:rsidP="00D36FBE" w:rsidRDefault="000A4508" w14:paraId="534BB0B4" w14:textId="7777777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  <w:p w:rsidRPr="00A20716" w:rsidR="000A4508" w:rsidP="00D36FBE" w:rsidRDefault="000A4508" w14:paraId="19C6DA89" w14:textId="7777777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  <w:p w:rsidRPr="00A20716" w:rsidR="000A4508" w:rsidP="00D36FBE" w:rsidRDefault="000A4508" w14:paraId="7CBA77E2" w14:textId="7777777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  <w:p w:rsidRPr="00A20716" w:rsidR="000A4508" w:rsidP="00D36FBE" w:rsidRDefault="000A4508" w14:paraId="398D04E0" w14:textId="18960932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sz w:val="20"/>
                <w:szCs w:val="20"/>
              </w:rPr>
              <w:t xml:space="preserve">Valsts </w:t>
            </w:r>
          </w:p>
        </w:tc>
        <w:tc>
          <w:tcPr>
            <w:tcW w:w="13296" w:type="dxa"/>
            <w:gridSpan w:val="17"/>
          </w:tcPr>
          <w:p w:rsidRPr="00A20716" w:rsidR="000A4508" w:rsidP="00104578" w:rsidRDefault="000A4508" w14:paraId="4544D310" w14:textId="45F4E5B5">
            <w:pPr>
              <w:jc w:val="center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Soda apmēri</w:t>
            </w:r>
          </w:p>
        </w:tc>
      </w:tr>
      <w:tr w:rsidRPr="00A20716" w:rsidR="000A4508" w:rsidTr="000A4508" w14:paraId="37B5FB12" w14:textId="77777777">
        <w:trPr>
          <w:cantSplit/>
          <w:trHeight w:val="2950"/>
        </w:trPr>
        <w:tc>
          <w:tcPr>
            <w:tcW w:w="1730" w:type="dxa"/>
            <w:vMerge/>
          </w:tcPr>
          <w:p w:rsidRPr="00A20716" w:rsidR="000A4508" w:rsidP="00D36FBE" w:rsidRDefault="000A4508" w14:paraId="48D3F9A0" w14:textId="1EDC2FF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extDirection w:val="btLr"/>
          </w:tcPr>
          <w:p w:rsidRPr="00A20716" w:rsidR="000A4508" w:rsidP="0004269B" w:rsidRDefault="000A4508" w14:paraId="071C5B07" w14:textId="77777777">
            <w:pPr>
              <w:ind w:left="113" w:right="113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sz w:val="20"/>
                <w:szCs w:val="20"/>
              </w:rPr>
              <w:t xml:space="preserve">Sods par </w:t>
            </w:r>
            <w:proofErr w:type="spellStart"/>
            <w:r w:rsidRPr="00A20716">
              <w:rPr>
                <w:rFonts w:cs="Times New Roman"/>
                <w:bCs/>
                <w:iCs/>
                <w:sz w:val="20"/>
                <w:szCs w:val="20"/>
              </w:rPr>
              <w:t>viesabonēšanas</w:t>
            </w:r>
            <w:proofErr w:type="spellEnd"/>
            <w:r w:rsidRPr="00A20716">
              <w:rPr>
                <w:rFonts w:cs="Times New Roman"/>
                <w:bCs/>
                <w:iCs/>
                <w:sz w:val="20"/>
                <w:szCs w:val="20"/>
              </w:rPr>
              <w:t xml:space="preserve"> noteikumu pārkāpumiem (78.pants)</w:t>
            </w:r>
          </w:p>
        </w:tc>
        <w:tc>
          <w:tcPr>
            <w:tcW w:w="801" w:type="dxa"/>
            <w:textDirection w:val="btLr"/>
          </w:tcPr>
          <w:p w:rsidRPr="00A20716" w:rsidR="000A4508" w:rsidP="006279B8" w:rsidRDefault="000A4508" w14:paraId="65DCBE3C" w14:textId="77777777">
            <w:pPr>
              <w:ind w:left="113" w:right="113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sz w:val="20"/>
                <w:szCs w:val="20"/>
              </w:rPr>
              <w:t>Datu plūsmas ātrumu un datu apjomu regulējošo normatīvo aktu pārkāpšana (79.pants)</w:t>
            </w:r>
          </w:p>
        </w:tc>
        <w:tc>
          <w:tcPr>
            <w:tcW w:w="910" w:type="dxa"/>
            <w:textDirection w:val="btLr"/>
          </w:tcPr>
          <w:p w:rsidRPr="00A20716" w:rsidR="000A4508" w:rsidP="006279B8" w:rsidRDefault="000A4508" w14:paraId="607AE175" w14:textId="77777777">
            <w:pPr>
              <w:ind w:left="113" w:right="113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A20716">
              <w:rPr>
                <w:rFonts w:cs="Times New Roman"/>
                <w:bCs/>
                <w:sz w:val="20"/>
                <w:szCs w:val="20"/>
              </w:rPr>
              <w:t xml:space="preserve">Piekļuves, piekļuves datu plūsmai un </w:t>
            </w:r>
            <w:proofErr w:type="spellStart"/>
            <w:r w:rsidRPr="00A20716">
              <w:rPr>
                <w:rFonts w:cs="Times New Roman"/>
                <w:bCs/>
                <w:sz w:val="20"/>
                <w:szCs w:val="20"/>
              </w:rPr>
              <w:t>starpsavienojuma</w:t>
            </w:r>
            <w:proofErr w:type="spellEnd"/>
            <w:r w:rsidRPr="00A20716">
              <w:rPr>
                <w:rFonts w:cs="Times New Roman"/>
                <w:bCs/>
                <w:sz w:val="20"/>
                <w:szCs w:val="20"/>
              </w:rPr>
              <w:t xml:space="preserve"> prasību pārkāpšana (80.pants)</w:t>
            </w:r>
          </w:p>
        </w:tc>
        <w:tc>
          <w:tcPr>
            <w:tcW w:w="1067" w:type="dxa"/>
            <w:textDirection w:val="btLr"/>
          </w:tcPr>
          <w:p w:rsidRPr="00A20716" w:rsidR="000A4508" w:rsidP="006279B8" w:rsidRDefault="000A4508" w14:paraId="6528214A" w14:textId="77777777">
            <w:pPr>
              <w:ind w:left="113" w:right="113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A20716">
              <w:rPr>
                <w:rFonts w:cs="Times New Roman"/>
                <w:bCs/>
                <w:sz w:val="20"/>
                <w:szCs w:val="20"/>
              </w:rPr>
              <w:t xml:space="preserve">Galalietotāja tiesību pārkāpšana elektronisko sakaru pakalpojumu sniegšanā (81.pants) </w:t>
            </w:r>
          </w:p>
        </w:tc>
        <w:tc>
          <w:tcPr>
            <w:tcW w:w="887" w:type="dxa"/>
            <w:textDirection w:val="btLr"/>
          </w:tcPr>
          <w:p w:rsidRPr="00A20716" w:rsidR="000A4508" w:rsidP="006279B8" w:rsidRDefault="000A4508" w14:paraId="4F920147" w14:textId="77777777">
            <w:pPr>
              <w:ind w:left="113" w:right="113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A20716">
              <w:rPr>
                <w:rFonts w:cs="Times New Roman"/>
                <w:bCs/>
                <w:sz w:val="20"/>
                <w:szCs w:val="20"/>
              </w:rPr>
              <w:t>Ierobežoto resursu lietošanas nosacījumu pārkāpšana (82.pants)</w:t>
            </w:r>
          </w:p>
        </w:tc>
        <w:tc>
          <w:tcPr>
            <w:tcW w:w="879" w:type="dxa"/>
            <w:textDirection w:val="btLr"/>
          </w:tcPr>
          <w:p w:rsidRPr="00A20716" w:rsidR="000A4508" w:rsidP="006279B8" w:rsidRDefault="000A4508" w14:paraId="2F47E220" w14:textId="77777777">
            <w:pPr>
              <w:ind w:left="113" w:right="113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A20716">
              <w:rPr>
                <w:rFonts w:cs="Times New Roman"/>
                <w:bCs/>
                <w:sz w:val="20"/>
                <w:szCs w:val="20"/>
              </w:rPr>
              <w:t>Informācijas publiskošanas pienākuma nepildīšana (83.pants)</w:t>
            </w:r>
          </w:p>
        </w:tc>
        <w:tc>
          <w:tcPr>
            <w:tcW w:w="1348" w:type="dxa"/>
            <w:gridSpan w:val="3"/>
            <w:textDirection w:val="btLr"/>
          </w:tcPr>
          <w:p w:rsidRPr="00A20716" w:rsidR="000A4508" w:rsidP="006279B8" w:rsidRDefault="000A4508" w14:paraId="73BABD97" w14:textId="77777777">
            <w:pPr>
              <w:ind w:left="113" w:right="113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sz w:val="20"/>
                <w:szCs w:val="20"/>
              </w:rPr>
              <w:t xml:space="preserve">Universālā pakalpojuma saistību pārkāpšana (84.pants) </w:t>
            </w:r>
          </w:p>
        </w:tc>
        <w:tc>
          <w:tcPr>
            <w:tcW w:w="1127" w:type="dxa"/>
            <w:textDirection w:val="btLr"/>
          </w:tcPr>
          <w:p w:rsidRPr="00A20716" w:rsidR="000A4508" w:rsidP="006279B8" w:rsidRDefault="000A4508" w14:paraId="5E082D22" w14:textId="77777777">
            <w:pPr>
              <w:ind w:left="113" w:right="113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sz w:val="20"/>
                <w:szCs w:val="20"/>
              </w:rPr>
              <w:t>Tirgus analīzes rezultātā noteikto saistību un pienākumu pārkāpšana (85.pants)</w:t>
            </w:r>
          </w:p>
        </w:tc>
        <w:tc>
          <w:tcPr>
            <w:tcW w:w="610" w:type="dxa"/>
            <w:textDirection w:val="btLr"/>
          </w:tcPr>
          <w:p w:rsidRPr="00A20716" w:rsidR="000A4508" w:rsidP="006279B8" w:rsidRDefault="000A4508" w14:paraId="7AB8651D" w14:textId="77777777">
            <w:pPr>
              <w:ind w:left="113" w:right="113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A20716">
              <w:rPr>
                <w:rFonts w:cs="Times New Roman"/>
                <w:bCs/>
                <w:sz w:val="20"/>
                <w:szCs w:val="20"/>
              </w:rPr>
              <w:t>Par vispārējās atļaujas noteikumu pārkāpšana (86.pants)</w:t>
            </w:r>
          </w:p>
        </w:tc>
        <w:tc>
          <w:tcPr>
            <w:tcW w:w="866" w:type="dxa"/>
            <w:textDirection w:val="btLr"/>
          </w:tcPr>
          <w:p w:rsidRPr="00A20716" w:rsidR="000A4508" w:rsidP="00A87CED" w:rsidRDefault="000A4508" w14:paraId="0F0BFBBB" w14:textId="77777777">
            <w:pPr>
              <w:ind w:left="113" w:right="113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A20716">
              <w:rPr>
                <w:rFonts w:cs="Times New Roman"/>
                <w:bCs/>
                <w:sz w:val="20"/>
                <w:szCs w:val="20"/>
              </w:rPr>
              <w:t>Elektronisko sakaru tīklu aizsardzības prasību pārkāpšana (87.pants)</w:t>
            </w:r>
          </w:p>
        </w:tc>
        <w:tc>
          <w:tcPr>
            <w:tcW w:w="798" w:type="dxa"/>
            <w:textDirection w:val="btLr"/>
          </w:tcPr>
          <w:p w:rsidRPr="00A20716" w:rsidR="000A4508" w:rsidP="00A87CED" w:rsidRDefault="000A4508" w14:paraId="710C61B6" w14:textId="77777777">
            <w:pPr>
              <w:ind w:left="113" w:right="113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A20716">
              <w:rPr>
                <w:rFonts w:cs="Times New Roman"/>
                <w:bCs/>
                <w:sz w:val="20"/>
                <w:szCs w:val="20"/>
              </w:rPr>
              <w:t>Patvaļīga pieslēgšanās publiskam elektronisko sakaru tīkam (88.pants)</w:t>
            </w:r>
          </w:p>
        </w:tc>
        <w:tc>
          <w:tcPr>
            <w:tcW w:w="2965" w:type="dxa"/>
            <w:gridSpan w:val="3"/>
          </w:tcPr>
          <w:p w:rsidRPr="00A20716" w:rsidR="000A4508" w:rsidP="00D36FBE" w:rsidRDefault="000A4508" w14:paraId="030D7E61" w14:textId="7777777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sz w:val="20"/>
                <w:szCs w:val="20"/>
              </w:rPr>
              <w:t>Maksimālais sods (vispārīgi)</w:t>
            </w:r>
          </w:p>
        </w:tc>
      </w:tr>
      <w:tr w:rsidRPr="00A20716" w:rsidR="000A4508" w:rsidTr="00B877A2" w14:paraId="0C2ACA05" w14:textId="77777777">
        <w:trPr>
          <w:cantSplit/>
          <w:trHeight w:val="1252"/>
        </w:trPr>
        <w:tc>
          <w:tcPr>
            <w:tcW w:w="1730" w:type="dxa"/>
          </w:tcPr>
          <w:p w:rsidRPr="00A20716" w:rsidR="000A4508" w:rsidP="000A4508" w:rsidRDefault="000A4508" w14:paraId="5B6DC558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17" w:type="dxa"/>
            <w:textDirection w:val="btLr"/>
          </w:tcPr>
          <w:p w:rsidRPr="00A20716" w:rsidR="000A4508" w:rsidP="000A4508" w:rsidRDefault="000A4508" w14:paraId="1D38AFB7" w14:textId="77777777">
            <w:pPr>
              <w:ind w:left="113" w:right="113"/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Pirmreizējs</w:t>
            </w:r>
          </w:p>
        </w:tc>
        <w:tc>
          <w:tcPr>
            <w:tcW w:w="521" w:type="dxa"/>
            <w:textDirection w:val="btLr"/>
          </w:tcPr>
          <w:p w:rsidRPr="00A20716" w:rsidR="000A4508" w:rsidP="000A4508" w:rsidRDefault="000A4508" w14:paraId="22B9C4CB" w14:textId="77777777">
            <w:pPr>
              <w:ind w:left="113" w:right="113"/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Atkārtots</w:t>
            </w:r>
          </w:p>
        </w:tc>
        <w:tc>
          <w:tcPr>
            <w:tcW w:w="801" w:type="dxa"/>
          </w:tcPr>
          <w:p w:rsidRPr="00A20716" w:rsidR="000A4508" w:rsidP="000A4508" w:rsidRDefault="000A4508" w14:paraId="4BBF53E5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Pr="00A20716" w:rsidR="000A4508" w:rsidP="000A4508" w:rsidRDefault="000A4508" w14:paraId="06026238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</w:tcPr>
          <w:p w:rsidRPr="00A20716" w:rsidR="000A4508" w:rsidP="000A4508" w:rsidRDefault="000A4508" w14:paraId="247EB2A5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</w:tcPr>
          <w:p w:rsidRPr="00A20716" w:rsidR="000A4508" w:rsidP="000A4508" w:rsidRDefault="000A4508" w14:paraId="2B98358A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:rsidRPr="00A20716" w:rsidR="000A4508" w:rsidP="000A4508" w:rsidRDefault="000A4508" w14:paraId="094AC18F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extDirection w:val="btLr"/>
          </w:tcPr>
          <w:p w:rsidRPr="00A20716" w:rsidR="000A4508" w:rsidP="000A4508" w:rsidRDefault="000A4508" w14:paraId="3DA069A3" w14:textId="7CAB95C2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Pirmreizējs</w:t>
            </w:r>
          </w:p>
        </w:tc>
        <w:tc>
          <w:tcPr>
            <w:tcW w:w="674" w:type="dxa"/>
            <w:textDirection w:val="btLr"/>
          </w:tcPr>
          <w:p w:rsidRPr="00A20716" w:rsidR="000A4508" w:rsidP="000A4508" w:rsidRDefault="000A4508" w14:paraId="13F036EF" w14:textId="5D9D4104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Atkārtots</w:t>
            </w:r>
          </w:p>
        </w:tc>
        <w:tc>
          <w:tcPr>
            <w:tcW w:w="1127" w:type="dxa"/>
          </w:tcPr>
          <w:p w:rsidRPr="00A20716" w:rsidR="000A4508" w:rsidP="000A4508" w:rsidRDefault="000A4508" w14:paraId="01783A35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:rsidRPr="00A20716" w:rsidR="000A4508" w:rsidP="000A4508" w:rsidRDefault="000A4508" w14:paraId="7C5DAC63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</w:tcPr>
          <w:p w:rsidRPr="00A20716" w:rsidR="000A4508" w:rsidP="000A4508" w:rsidRDefault="000A4508" w14:paraId="30AB4774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Pr="00A20716" w:rsidR="000A4508" w:rsidP="000A4508" w:rsidRDefault="000A4508" w14:paraId="157C555C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extDirection w:val="btLr"/>
          </w:tcPr>
          <w:p w:rsidRPr="00A20716" w:rsidR="000A4508" w:rsidP="000A4508" w:rsidRDefault="000A4508" w14:paraId="5DE3549B" w14:textId="77777777">
            <w:pPr>
              <w:ind w:left="113" w:right="113"/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Pirmreizējs</w:t>
            </w:r>
          </w:p>
        </w:tc>
        <w:tc>
          <w:tcPr>
            <w:tcW w:w="1471" w:type="dxa"/>
            <w:gridSpan w:val="2"/>
            <w:textDirection w:val="btLr"/>
          </w:tcPr>
          <w:p w:rsidRPr="00A20716" w:rsidR="000A4508" w:rsidP="000A4508" w:rsidRDefault="000A4508" w14:paraId="7531A243" w14:textId="77777777">
            <w:pPr>
              <w:ind w:left="113" w:right="113"/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Atkārtots</w:t>
            </w:r>
          </w:p>
        </w:tc>
      </w:tr>
      <w:tr w:rsidRPr="00A20716" w:rsidR="000A4508" w:rsidTr="000A4508" w14:paraId="7641E7DF" w14:textId="77777777">
        <w:trPr>
          <w:cantSplit/>
          <w:trHeight w:val="644"/>
        </w:trPr>
        <w:tc>
          <w:tcPr>
            <w:tcW w:w="1730" w:type="dxa"/>
          </w:tcPr>
          <w:p w:rsidRPr="00A20716" w:rsidR="000A4508" w:rsidP="000A4508" w:rsidRDefault="000A4508" w14:paraId="6094E806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Lietuva</w:t>
            </w:r>
          </w:p>
        </w:tc>
        <w:tc>
          <w:tcPr>
            <w:tcW w:w="517" w:type="dxa"/>
          </w:tcPr>
          <w:p w:rsidRPr="00A20716" w:rsidR="000A4508" w:rsidP="000A4508" w:rsidRDefault="000A4508" w14:paraId="4B960F96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</w:tcPr>
          <w:p w:rsidRPr="00A20716" w:rsidR="000A4508" w:rsidP="000A4508" w:rsidRDefault="000A4508" w14:paraId="56E0CC6D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</w:tcPr>
          <w:p w:rsidRPr="00A20716" w:rsidR="000A4508" w:rsidP="000A4508" w:rsidRDefault="000A4508" w14:paraId="090F50C3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Pr="00A20716" w:rsidR="000A4508" w:rsidP="000A4508" w:rsidRDefault="000A4508" w14:paraId="2B99F02E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</w:tcPr>
          <w:p w:rsidRPr="00A20716" w:rsidR="000A4508" w:rsidP="000A4508" w:rsidRDefault="000A4508" w14:paraId="4B9FD60C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</w:tcPr>
          <w:p w:rsidRPr="00A20716" w:rsidR="000A4508" w:rsidP="000A4508" w:rsidRDefault="000A4508" w14:paraId="4DE3732F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:rsidRPr="00A20716" w:rsidR="000A4508" w:rsidP="000A4508" w:rsidRDefault="000A4508" w14:paraId="29C6B056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:rsidRPr="00A20716" w:rsidR="000A4508" w:rsidP="000A4508" w:rsidRDefault="000A4508" w14:paraId="46679A0D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:rsidRPr="00A20716" w:rsidR="000A4508" w:rsidP="000A4508" w:rsidRDefault="000A4508" w14:paraId="0F8DB127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:rsidRPr="00A20716" w:rsidR="000A4508" w:rsidP="000A4508" w:rsidRDefault="000A4508" w14:paraId="49D1E322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</w:tcPr>
          <w:p w:rsidRPr="00A20716" w:rsidR="000A4508" w:rsidP="000A4508" w:rsidRDefault="000A4508" w14:paraId="14037183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Pr="00A20716" w:rsidR="000A4508" w:rsidP="000A4508" w:rsidRDefault="000A4508" w14:paraId="52423B36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:rsidRPr="00A20716" w:rsidR="000A4508" w:rsidP="000A4508" w:rsidRDefault="000A4508" w14:paraId="51E65810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3% </w:t>
            </w:r>
          </w:p>
          <w:p w:rsidRPr="00A20716" w:rsidR="000A4508" w:rsidP="000A4508" w:rsidRDefault="000A4508" w14:paraId="0CCD48AA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Pr="00A20716" w:rsidR="000A4508" w:rsidP="000A4508" w:rsidRDefault="000A4508" w14:paraId="3A6955FC" w14:textId="1E7358CD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86 866 EUR  (ja </w:t>
            </w:r>
            <w:proofErr w:type="spellStart"/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apgr</w:t>
            </w:r>
            <w:r w:rsidRPr="00A20716" w:rsidR="00A1185E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oz</w:t>
            </w:r>
            <w:proofErr w:type="spellEnd"/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A20716" w:rsidR="00A1185E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nav aprēķināms)</w:t>
            </w:r>
          </w:p>
        </w:tc>
        <w:tc>
          <w:tcPr>
            <w:tcW w:w="1471" w:type="dxa"/>
            <w:gridSpan w:val="2"/>
          </w:tcPr>
          <w:p w:rsidRPr="00A20716" w:rsidR="000A4508" w:rsidP="000A4508" w:rsidRDefault="000A4508" w14:paraId="76146F2C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5%</w:t>
            </w:r>
          </w:p>
          <w:p w:rsidRPr="00A20716" w:rsidR="000A4508" w:rsidP="000A4508" w:rsidRDefault="000A4508" w14:paraId="0CE8B921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Pr="00A20716" w:rsidR="000A4508" w:rsidP="000A4508" w:rsidRDefault="000A4508" w14:paraId="7DE00D58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144 810 EUR</w:t>
            </w:r>
          </w:p>
          <w:p w:rsidRPr="00A20716" w:rsidR="000A4508" w:rsidP="000A4508" w:rsidRDefault="000A4508" w14:paraId="08F9E7E5" w14:textId="3814BFDA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(ja </w:t>
            </w:r>
            <w:proofErr w:type="spellStart"/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apgr</w:t>
            </w:r>
            <w:r w:rsidRPr="00A20716" w:rsidR="00A1185E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oz</w:t>
            </w:r>
            <w:proofErr w:type="spellEnd"/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A20716" w:rsidR="00A1185E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nav aprēķināms)</w:t>
            </w:r>
          </w:p>
        </w:tc>
      </w:tr>
      <w:tr w:rsidRPr="00A20716" w:rsidR="000A4508" w:rsidTr="000A4508" w14:paraId="0D709E64" w14:textId="77777777">
        <w:trPr>
          <w:cantSplit/>
          <w:trHeight w:val="700"/>
        </w:trPr>
        <w:tc>
          <w:tcPr>
            <w:tcW w:w="1730" w:type="dxa"/>
          </w:tcPr>
          <w:p w:rsidRPr="00A20716" w:rsidR="000A4508" w:rsidP="000A4508" w:rsidRDefault="000A4508" w14:paraId="5969523E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Horvātija </w:t>
            </w:r>
          </w:p>
        </w:tc>
        <w:tc>
          <w:tcPr>
            <w:tcW w:w="517" w:type="dxa"/>
          </w:tcPr>
          <w:p w:rsidRPr="00A20716" w:rsidR="000A4508" w:rsidP="000A4508" w:rsidRDefault="000A4508" w14:paraId="3884F4A8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</w:tcPr>
          <w:p w:rsidRPr="00A20716" w:rsidR="000A4508" w:rsidP="000A4508" w:rsidRDefault="000A4508" w14:paraId="5FAAAC98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</w:tcPr>
          <w:p w:rsidRPr="00A20716" w:rsidR="000A4508" w:rsidP="000A4508" w:rsidRDefault="000A4508" w14:paraId="31AC1BB6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Pr="00A20716" w:rsidR="000A4508" w:rsidP="000A4508" w:rsidRDefault="000A4508" w14:paraId="32AFDC73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Līdz 150000 EUR</w:t>
            </w:r>
          </w:p>
        </w:tc>
        <w:tc>
          <w:tcPr>
            <w:tcW w:w="1067" w:type="dxa"/>
          </w:tcPr>
          <w:p w:rsidRPr="00A20716" w:rsidR="000A4508" w:rsidP="000A4508" w:rsidRDefault="000A4508" w14:paraId="1FA8FE9F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</w:tcPr>
          <w:p w:rsidRPr="00A20716" w:rsidR="000A4508" w:rsidP="000A4508" w:rsidRDefault="000A4508" w14:paraId="313CE13F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:rsidRPr="00A20716" w:rsidR="000A4508" w:rsidP="000A4508" w:rsidRDefault="000A4508" w14:paraId="0799EC4E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:rsidRPr="00A20716" w:rsidR="000A4508" w:rsidP="000A4508" w:rsidRDefault="000A4508" w14:paraId="370B2B94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:rsidRPr="00A20716" w:rsidR="000A4508" w:rsidP="000A4508" w:rsidRDefault="000A4508" w14:paraId="42938BEE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  <w:highlight w:val="red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10% no apgrozījuma</w:t>
            </w:r>
          </w:p>
        </w:tc>
        <w:tc>
          <w:tcPr>
            <w:tcW w:w="610" w:type="dxa"/>
          </w:tcPr>
          <w:p w:rsidRPr="00A20716" w:rsidR="000A4508" w:rsidP="000A4508" w:rsidRDefault="000A4508" w14:paraId="316C0806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</w:tcPr>
          <w:p w:rsidRPr="00A20716" w:rsidR="000A4508" w:rsidP="000A4508" w:rsidRDefault="000A4508" w14:paraId="187C8A80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Pr="00A20716" w:rsidR="000A4508" w:rsidP="000A4508" w:rsidRDefault="000A4508" w14:paraId="541C30E1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:rsidRPr="00A20716" w:rsidR="000A4508" w:rsidP="000A4508" w:rsidRDefault="000A4508" w14:paraId="588BFBE2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:rsidRPr="00A20716" w:rsidR="000A4508" w:rsidP="000A4508" w:rsidRDefault="000A4508" w14:paraId="0D4AE645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Pr="00A20716" w:rsidR="000A4508" w:rsidTr="000A4508" w14:paraId="234844E1" w14:textId="77777777">
        <w:trPr>
          <w:cantSplit/>
          <w:trHeight w:val="1134"/>
        </w:trPr>
        <w:tc>
          <w:tcPr>
            <w:tcW w:w="1730" w:type="dxa"/>
          </w:tcPr>
          <w:p w:rsidRPr="00A20716" w:rsidR="000A4508" w:rsidP="000A4508" w:rsidRDefault="000A4508" w14:paraId="34791415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Francija </w:t>
            </w:r>
          </w:p>
        </w:tc>
        <w:tc>
          <w:tcPr>
            <w:tcW w:w="517" w:type="dxa"/>
            <w:tcBorders>
              <w:bottom w:val="single" w:color="auto" w:sz="4" w:space="0"/>
            </w:tcBorders>
          </w:tcPr>
          <w:p w:rsidRPr="00A20716" w:rsidR="000A4508" w:rsidP="000A4508" w:rsidRDefault="000A4508" w14:paraId="2404347C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color="auto" w:sz="4" w:space="0"/>
            </w:tcBorders>
          </w:tcPr>
          <w:p w:rsidRPr="00A20716" w:rsidR="000A4508" w:rsidP="000A4508" w:rsidRDefault="000A4508" w14:paraId="505E3E21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</w:tcPr>
          <w:p w:rsidRPr="00A20716" w:rsidR="000A4508" w:rsidP="000A4508" w:rsidRDefault="000A4508" w14:paraId="4A8263F6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Pr="00A20716" w:rsidR="000A4508" w:rsidP="000A4508" w:rsidRDefault="000A4508" w14:paraId="0741A465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</w:tcPr>
          <w:p w:rsidRPr="00A20716" w:rsidR="000A4508" w:rsidP="000A4508" w:rsidRDefault="000A4508" w14:paraId="7C4C69DD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</w:tcPr>
          <w:p w:rsidRPr="00A20716" w:rsidR="000A4508" w:rsidP="000A4508" w:rsidRDefault="000A4508" w14:paraId="1A8645D0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:rsidRPr="00A20716" w:rsidR="000A4508" w:rsidP="000A4508" w:rsidRDefault="000A4508" w14:paraId="2C310039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</w:tcPr>
          <w:p w:rsidRPr="00A20716" w:rsidR="000A4508" w:rsidP="000A4508" w:rsidRDefault="000A4508" w14:paraId="6EE2655E" w14:textId="31945636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līdz 5 % no neto. </w:t>
            </w:r>
            <w:proofErr w:type="spellStart"/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apgr</w:t>
            </w:r>
            <w:proofErr w:type="spellEnd"/>
          </w:p>
        </w:tc>
        <w:tc>
          <w:tcPr>
            <w:tcW w:w="777" w:type="dxa"/>
            <w:gridSpan w:val="2"/>
          </w:tcPr>
          <w:p w:rsidRPr="00A20716" w:rsidR="000A4508" w:rsidP="000A4508" w:rsidRDefault="000A4508" w14:paraId="7E57BF1B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līdz </w:t>
            </w:r>
          </w:p>
          <w:p w:rsidRPr="00A20716" w:rsidR="000A4508" w:rsidP="000A4508" w:rsidRDefault="000A4508" w14:paraId="074B67AC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127" w:type="dxa"/>
          </w:tcPr>
          <w:p w:rsidRPr="00A20716" w:rsidR="000A4508" w:rsidP="000A4508" w:rsidRDefault="000A4508" w14:paraId="72D4E482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:rsidRPr="00A20716" w:rsidR="000A4508" w:rsidP="000A4508" w:rsidRDefault="000A4508" w14:paraId="6C4F43D0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</w:tcPr>
          <w:p w:rsidRPr="00A20716" w:rsidR="000A4508" w:rsidP="000A4508" w:rsidRDefault="000A4508" w14:paraId="37E974AE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Pr="00A20716" w:rsidR="000A4508" w:rsidP="000A4508" w:rsidRDefault="000A4508" w14:paraId="0A400932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:rsidRPr="00A20716" w:rsidR="000A4508" w:rsidP="000A4508" w:rsidRDefault="000A4508" w14:paraId="55AD6D33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Ja ir apgr.</w:t>
            </w:r>
          </w:p>
          <w:p w:rsidRPr="00A20716" w:rsidR="000A4508" w:rsidP="000A4508" w:rsidRDefault="000A4508" w14:paraId="7943138B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3%</w:t>
            </w:r>
          </w:p>
          <w:p w:rsidRPr="00A20716" w:rsidR="000A4508" w:rsidP="000A4508" w:rsidRDefault="000A4508" w14:paraId="1D51A96B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Pr="00A20716" w:rsidR="000A4508" w:rsidP="000A4508" w:rsidRDefault="000A4508" w14:paraId="210705F8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Ja nav </w:t>
            </w:r>
            <w:proofErr w:type="spellStart"/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apgroz</w:t>
            </w:r>
            <w:proofErr w:type="spellEnd"/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Pr="00A20716" w:rsidR="000A4508" w:rsidP="000A4508" w:rsidRDefault="000A4508" w14:paraId="257CB684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Style w:val="tlid-translation"/>
                <w:rFonts w:cs="Times New Roman"/>
                <w:color w:val="000000" w:themeColor="text1"/>
                <w:sz w:val="20"/>
                <w:szCs w:val="20"/>
              </w:rPr>
              <w:t xml:space="preserve">150000 EUR </w:t>
            </w:r>
          </w:p>
        </w:tc>
        <w:tc>
          <w:tcPr>
            <w:tcW w:w="1471" w:type="dxa"/>
            <w:gridSpan w:val="2"/>
          </w:tcPr>
          <w:p w:rsidRPr="00A20716" w:rsidR="000A4508" w:rsidP="000A4508" w:rsidRDefault="000A4508" w14:paraId="3C729B01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Jau ir </w:t>
            </w:r>
            <w:proofErr w:type="spellStart"/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apgroz</w:t>
            </w:r>
            <w:proofErr w:type="spellEnd"/>
          </w:p>
          <w:p w:rsidRPr="00A20716" w:rsidR="000A4508" w:rsidP="000A4508" w:rsidRDefault="000A4508" w14:paraId="13B13FEC" w14:textId="77777777">
            <w:pPr>
              <w:jc w:val="both"/>
              <w:rPr>
                <w:rStyle w:val="tlid-translation"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5%</w:t>
            </w:r>
          </w:p>
          <w:p w:rsidRPr="00A20716" w:rsidR="000A4508" w:rsidP="000A4508" w:rsidRDefault="000A4508" w14:paraId="11EDE9F3" w14:textId="77777777">
            <w:pPr>
              <w:jc w:val="both"/>
              <w:rPr>
                <w:rStyle w:val="tlid-translation"/>
                <w:color w:val="000000" w:themeColor="text1"/>
                <w:sz w:val="20"/>
                <w:szCs w:val="20"/>
              </w:rPr>
            </w:pPr>
          </w:p>
          <w:p w:rsidRPr="00A20716" w:rsidR="000A4508" w:rsidP="000A4508" w:rsidRDefault="000A4508" w14:paraId="6F34BF01" w14:textId="77777777">
            <w:pPr>
              <w:jc w:val="both"/>
              <w:rPr>
                <w:rStyle w:val="tlid-translation"/>
                <w:rFonts w:cs="Times New Roman"/>
                <w:color w:val="000000" w:themeColor="text1"/>
                <w:sz w:val="20"/>
                <w:szCs w:val="20"/>
              </w:rPr>
            </w:pPr>
            <w:r w:rsidRPr="00A20716">
              <w:rPr>
                <w:rStyle w:val="tlid-translation"/>
                <w:rFonts w:cs="Times New Roman"/>
                <w:color w:val="000000" w:themeColor="text1"/>
                <w:sz w:val="20"/>
                <w:szCs w:val="20"/>
              </w:rPr>
              <w:t xml:space="preserve">Ja nav </w:t>
            </w:r>
            <w:proofErr w:type="spellStart"/>
            <w:r w:rsidRPr="00A20716">
              <w:rPr>
                <w:rStyle w:val="tlid-translation"/>
                <w:rFonts w:cs="Times New Roman"/>
                <w:color w:val="000000" w:themeColor="text1"/>
                <w:sz w:val="20"/>
                <w:szCs w:val="20"/>
              </w:rPr>
              <w:t>apgroz</w:t>
            </w:r>
            <w:proofErr w:type="spellEnd"/>
            <w:r w:rsidRPr="00A20716">
              <w:rPr>
                <w:rStyle w:val="tlid-translation"/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Pr="00A20716" w:rsidR="000A4508" w:rsidP="000A4508" w:rsidRDefault="000A4508" w14:paraId="55907E40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Style w:val="tlid-translation"/>
                <w:rFonts w:cs="Times New Roman"/>
                <w:color w:val="000000" w:themeColor="text1"/>
                <w:sz w:val="20"/>
                <w:szCs w:val="20"/>
              </w:rPr>
              <w:t>375000 EUR</w:t>
            </w:r>
          </w:p>
        </w:tc>
      </w:tr>
      <w:tr w:rsidRPr="00A20716" w:rsidR="000A4508" w:rsidTr="000A4508" w14:paraId="308E42D4" w14:textId="77777777">
        <w:trPr>
          <w:cantSplit/>
          <w:trHeight w:val="1134"/>
        </w:trPr>
        <w:tc>
          <w:tcPr>
            <w:tcW w:w="1730" w:type="dxa"/>
          </w:tcPr>
          <w:p w:rsidRPr="00A20716" w:rsidR="000A4508" w:rsidP="000A4508" w:rsidRDefault="000A4508" w14:paraId="2687273C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Beļģijā </w:t>
            </w:r>
          </w:p>
        </w:tc>
        <w:tc>
          <w:tcPr>
            <w:tcW w:w="1038" w:type="dxa"/>
            <w:gridSpan w:val="2"/>
            <w:tcBorders>
              <w:bottom w:val="single" w:color="auto" w:sz="4" w:space="0"/>
            </w:tcBorders>
          </w:tcPr>
          <w:p w:rsidRPr="00A20716" w:rsidR="000A4508" w:rsidP="000A4508" w:rsidRDefault="000A4508" w14:paraId="29F8E4D1" w14:textId="77777777">
            <w:pPr>
              <w:jc w:val="center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līdz 100 000</w:t>
            </w:r>
          </w:p>
          <w:p w:rsidRPr="00A20716" w:rsidR="000A4508" w:rsidP="000A4508" w:rsidRDefault="000A4508" w14:paraId="4C6EEC5C" w14:textId="77777777">
            <w:pPr>
              <w:jc w:val="center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801" w:type="dxa"/>
          </w:tcPr>
          <w:p w:rsidRPr="00A20716" w:rsidR="000A4508" w:rsidP="000A4508" w:rsidRDefault="000A4508" w14:paraId="566E555F" w14:textId="692463DA">
            <w:pPr>
              <w:jc w:val="center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līdz 100 000 EUR</w:t>
            </w:r>
          </w:p>
        </w:tc>
        <w:tc>
          <w:tcPr>
            <w:tcW w:w="910" w:type="dxa"/>
          </w:tcPr>
          <w:p w:rsidRPr="00A20716" w:rsidR="000A4508" w:rsidP="000A4508" w:rsidRDefault="000A4508" w14:paraId="61CDF015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No 1500 līdz 7500 EUR</w:t>
            </w:r>
          </w:p>
        </w:tc>
        <w:tc>
          <w:tcPr>
            <w:tcW w:w="1067" w:type="dxa"/>
            <w:shd w:val="clear" w:color="auto" w:fill="auto"/>
          </w:tcPr>
          <w:p w:rsidRPr="00A20716" w:rsidR="000A4508" w:rsidP="000A4508" w:rsidRDefault="000A4508" w14:paraId="3E498C8F" w14:textId="77777777">
            <w:pPr>
              <w:jc w:val="both"/>
              <w:rPr>
                <w:rStyle w:val="tlid-translation"/>
                <w:rFonts w:cs="Times New Roman"/>
                <w:color w:val="000000" w:themeColor="text1"/>
                <w:sz w:val="20"/>
                <w:szCs w:val="20"/>
              </w:rPr>
            </w:pPr>
            <w:r w:rsidRPr="00A20716">
              <w:rPr>
                <w:rStyle w:val="tlid-translation"/>
                <w:rFonts w:cs="Times New Roman"/>
                <w:color w:val="000000" w:themeColor="text1"/>
                <w:sz w:val="20"/>
                <w:szCs w:val="20"/>
              </w:rPr>
              <w:t xml:space="preserve">250 EUR līdz </w:t>
            </w:r>
          </w:p>
          <w:p w:rsidRPr="00A20716" w:rsidR="000A4508" w:rsidP="000A4508" w:rsidRDefault="000A4508" w14:paraId="348035EA" w14:textId="774C1EE1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Style w:val="tlid-translation"/>
                <w:rFonts w:cs="Times New Roman"/>
                <w:color w:val="000000" w:themeColor="text1"/>
                <w:sz w:val="20"/>
                <w:szCs w:val="20"/>
              </w:rPr>
              <w:t>2500 EUR</w:t>
            </w:r>
          </w:p>
        </w:tc>
        <w:tc>
          <w:tcPr>
            <w:tcW w:w="887" w:type="dxa"/>
          </w:tcPr>
          <w:p w:rsidRPr="00A20716" w:rsidR="000A4508" w:rsidP="000A4508" w:rsidRDefault="000A4508" w14:paraId="7B57EDD6" w14:textId="7777777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bCs/>
                <w:iCs/>
                <w:color w:val="000000" w:themeColor="text1"/>
                <w:sz w:val="20"/>
                <w:szCs w:val="20"/>
              </w:rPr>
              <w:t xml:space="preserve">150 00 EUR </w:t>
            </w:r>
          </w:p>
          <w:p w:rsidRPr="00A20716" w:rsidR="000A4508" w:rsidP="000A4508" w:rsidRDefault="000A4508" w14:paraId="35A11525" w14:textId="67993375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bCs/>
                <w:iCs/>
                <w:color w:val="000000" w:themeColor="text1"/>
                <w:sz w:val="20"/>
                <w:szCs w:val="20"/>
              </w:rPr>
              <w:t xml:space="preserve">līdz </w:t>
            </w:r>
          </w:p>
          <w:p w:rsidRPr="00A20716" w:rsidR="000A4508" w:rsidP="000A4508" w:rsidRDefault="000A4508" w14:paraId="7FB4FCB0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bCs/>
                <w:iCs/>
                <w:color w:val="000000" w:themeColor="text1"/>
                <w:sz w:val="20"/>
                <w:szCs w:val="20"/>
              </w:rPr>
              <w:t>150 000 eiro</w:t>
            </w:r>
          </w:p>
        </w:tc>
        <w:tc>
          <w:tcPr>
            <w:tcW w:w="879" w:type="dxa"/>
          </w:tcPr>
          <w:p w:rsidRPr="00A20716" w:rsidR="000A4508" w:rsidP="000A4508" w:rsidRDefault="000A4508" w14:paraId="5D4EDA61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:rsidRPr="00A20716" w:rsidR="000A4508" w:rsidP="000A4508" w:rsidRDefault="000A4508" w14:paraId="351CB18D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Style w:val="tlid-translation"/>
                <w:rFonts w:cs="Times New Roman"/>
                <w:color w:val="000000" w:themeColor="text1"/>
                <w:sz w:val="20"/>
                <w:szCs w:val="20"/>
              </w:rPr>
              <w:t>250-2500 EUR</w:t>
            </w:r>
          </w:p>
        </w:tc>
        <w:tc>
          <w:tcPr>
            <w:tcW w:w="1127" w:type="dxa"/>
          </w:tcPr>
          <w:p w:rsidRPr="00A20716" w:rsidR="000A4508" w:rsidP="000A4508" w:rsidRDefault="000A4508" w14:paraId="28D440CC" w14:textId="2306B4BB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0716">
              <w:rPr>
                <w:rStyle w:val="tlid-translation"/>
                <w:rFonts w:cs="Times New Roman"/>
                <w:color w:val="000000" w:themeColor="text1"/>
                <w:sz w:val="20"/>
                <w:szCs w:val="20"/>
              </w:rPr>
              <w:t>- 2500 - 100 000 eiro</w:t>
            </w:r>
          </w:p>
        </w:tc>
        <w:tc>
          <w:tcPr>
            <w:tcW w:w="610" w:type="dxa"/>
          </w:tcPr>
          <w:p w:rsidRPr="00A20716" w:rsidR="000A4508" w:rsidP="000A4508" w:rsidRDefault="000A4508" w14:paraId="71C68C07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</w:tcPr>
          <w:p w:rsidRPr="00A20716" w:rsidR="000A4508" w:rsidP="000A4508" w:rsidRDefault="000A4508" w14:paraId="68F6D20A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Pr="00A20716" w:rsidR="000A4508" w:rsidP="000A4508" w:rsidRDefault="000A4508" w14:paraId="65AFF8F7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Pr="00A20716" w:rsidR="000A4508" w:rsidP="000A4508" w:rsidRDefault="000A4508" w14:paraId="2AEF11E5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Pr="00A20716" w:rsidR="000A4508" w:rsidTr="000A4508" w14:paraId="6167D105" w14:textId="77777777">
        <w:trPr>
          <w:cantSplit/>
          <w:trHeight w:val="1134"/>
        </w:trPr>
        <w:tc>
          <w:tcPr>
            <w:tcW w:w="1730" w:type="dxa"/>
          </w:tcPr>
          <w:p w:rsidRPr="00A20716" w:rsidR="000A4508" w:rsidP="000A4508" w:rsidRDefault="000A4508" w14:paraId="5CA6812D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Austrijā</w:t>
            </w:r>
          </w:p>
        </w:tc>
        <w:tc>
          <w:tcPr>
            <w:tcW w:w="1038" w:type="dxa"/>
            <w:gridSpan w:val="2"/>
          </w:tcPr>
          <w:p w:rsidRPr="00A20716" w:rsidR="000A4508" w:rsidP="000A4508" w:rsidRDefault="000A4508" w14:paraId="7AB68418" w14:textId="77777777">
            <w:pPr>
              <w:jc w:val="center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līdz  8000</w:t>
            </w:r>
          </w:p>
          <w:p w:rsidRPr="00A20716" w:rsidR="000A4508" w:rsidP="000A4508" w:rsidRDefault="000A4508" w14:paraId="46F68A60" w14:textId="77777777">
            <w:pPr>
              <w:jc w:val="center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801" w:type="dxa"/>
          </w:tcPr>
          <w:p w:rsidRPr="00A20716" w:rsidR="000A4508" w:rsidP="000A4508" w:rsidRDefault="000A4508" w14:paraId="7B274FE0" w14:textId="77777777">
            <w:pPr>
              <w:jc w:val="center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Pr="00A20716" w:rsidR="000A4508" w:rsidP="000A4508" w:rsidRDefault="000A4508" w14:paraId="2E303DC3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līdz 37 000 EUR</w:t>
            </w:r>
          </w:p>
        </w:tc>
        <w:tc>
          <w:tcPr>
            <w:tcW w:w="1067" w:type="dxa"/>
          </w:tcPr>
          <w:p w:rsidRPr="00A20716" w:rsidR="000A4508" w:rsidP="000A4508" w:rsidRDefault="000A4508" w14:paraId="0BBE1F36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Cietumsods līdz 3 mēnešiem</w:t>
            </w:r>
          </w:p>
        </w:tc>
        <w:tc>
          <w:tcPr>
            <w:tcW w:w="887" w:type="dxa"/>
          </w:tcPr>
          <w:p w:rsidRPr="00A20716" w:rsidR="000A4508" w:rsidP="000A4508" w:rsidRDefault="000A4508" w14:paraId="17C00508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:rsidRPr="00A20716" w:rsidR="000A4508" w:rsidP="000A4508" w:rsidRDefault="000A4508" w14:paraId="3C8DB00A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iCs/>
                <w:color w:val="000000" w:themeColor="text1"/>
                <w:sz w:val="20"/>
                <w:szCs w:val="20"/>
              </w:rPr>
              <w:t>Līdz 37 000 EUR</w:t>
            </w:r>
          </w:p>
        </w:tc>
        <w:tc>
          <w:tcPr>
            <w:tcW w:w="1348" w:type="dxa"/>
            <w:gridSpan w:val="3"/>
          </w:tcPr>
          <w:p w:rsidRPr="00A20716" w:rsidR="000A4508" w:rsidP="000A4508" w:rsidRDefault="000A4508" w14:paraId="22A748F3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color w:val="000000" w:themeColor="text1"/>
                <w:sz w:val="20"/>
                <w:szCs w:val="20"/>
              </w:rPr>
              <w:t>Regulatīvā iestāde nekavējoties paziņo Federālajai transporta, inovāciju un tehnoloģiju ministrijai</w:t>
            </w:r>
          </w:p>
        </w:tc>
        <w:tc>
          <w:tcPr>
            <w:tcW w:w="1127" w:type="dxa"/>
          </w:tcPr>
          <w:p w:rsidRPr="00A20716" w:rsidR="000A4508" w:rsidP="000A4508" w:rsidRDefault="000A4508" w14:paraId="06A6598A" w14:textId="7CF76878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Līdz </w:t>
            </w:r>
            <w:r w:rsidRPr="00A20716">
              <w:rPr>
                <w:rFonts w:cs="Times New Roman"/>
                <w:i/>
                <w:color w:val="000000" w:themeColor="text1"/>
                <w:sz w:val="20"/>
                <w:szCs w:val="20"/>
              </w:rPr>
              <w:t>58,000 EUR</w:t>
            </w:r>
          </w:p>
        </w:tc>
        <w:tc>
          <w:tcPr>
            <w:tcW w:w="610" w:type="dxa"/>
          </w:tcPr>
          <w:p w:rsidRPr="00A20716" w:rsidR="000A4508" w:rsidP="000A4508" w:rsidRDefault="000A4508" w14:paraId="36C5ACA5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</w:tcPr>
          <w:p w:rsidRPr="00A20716" w:rsidR="000A4508" w:rsidP="000A4508" w:rsidRDefault="000A4508" w14:paraId="587D018B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Pr="00A20716" w:rsidR="000A4508" w:rsidP="000A4508" w:rsidRDefault="000A4508" w14:paraId="7AA201AD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Pr="00A20716" w:rsidR="000A4508" w:rsidP="000A4508" w:rsidRDefault="000A4508" w14:paraId="342743FB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Pr="00A20716" w:rsidR="000A4508" w:rsidTr="000A4508" w14:paraId="3A6FC640" w14:textId="77777777">
        <w:trPr>
          <w:cantSplit/>
          <w:trHeight w:val="1134"/>
        </w:trPr>
        <w:tc>
          <w:tcPr>
            <w:tcW w:w="1730" w:type="dxa"/>
          </w:tcPr>
          <w:p w:rsidRPr="00A20716" w:rsidR="000A4508" w:rsidP="000A4508" w:rsidRDefault="000A4508" w14:paraId="66CA88AD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Nīderlandē</w:t>
            </w:r>
          </w:p>
        </w:tc>
        <w:tc>
          <w:tcPr>
            <w:tcW w:w="1038" w:type="dxa"/>
            <w:gridSpan w:val="2"/>
          </w:tcPr>
          <w:p w:rsidRPr="00A20716" w:rsidR="000A4508" w:rsidP="000A4508" w:rsidRDefault="000A4508" w14:paraId="02EA4937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</w:tcPr>
          <w:p w:rsidRPr="00A20716" w:rsidR="000A4508" w:rsidP="000A4508" w:rsidRDefault="000A4508" w14:paraId="710779D3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Pr="00A20716" w:rsidR="000A4508" w:rsidP="000A4508" w:rsidRDefault="000A4508" w14:paraId="46D9925C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</w:tcPr>
          <w:p w:rsidRPr="00A20716" w:rsidR="000A4508" w:rsidP="000A4508" w:rsidRDefault="000A4508" w14:paraId="23D0A3D2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</w:tcPr>
          <w:p w:rsidRPr="00A20716" w:rsidR="000A4508" w:rsidP="000A4508" w:rsidRDefault="000A4508" w14:paraId="1629854F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:rsidRPr="00A20716" w:rsidR="000A4508" w:rsidP="000A4508" w:rsidRDefault="000A4508" w14:paraId="51EBEF41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:rsidRPr="00A20716" w:rsidR="000A4508" w:rsidP="000A4508" w:rsidRDefault="000A4508" w14:paraId="63467C5C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:rsidRPr="00A20716" w:rsidR="000A4508" w:rsidP="000A4508" w:rsidRDefault="000A4508" w14:paraId="221DB6E8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:rsidRPr="00A20716" w:rsidR="000A4508" w:rsidP="000A4508" w:rsidRDefault="000A4508" w14:paraId="68FEA1D1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</w:tcPr>
          <w:p w:rsidRPr="00A20716" w:rsidR="000A4508" w:rsidP="000A4508" w:rsidRDefault="000A4508" w14:paraId="0B92D055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Pr="00A20716" w:rsidR="000A4508" w:rsidP="000A4508" w:rsidRDefault="000A4508" w14:paraId="620A2908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89" w:type="dxa"/>
            <w:gridSpan w:val="2"/>
          </w:tcPr>
          <w:p w:rsidRPr="00A20716" w:rsidR="000A4508" w:rsidP="000A4508" w:rsidRDefault="000A4508" w14:paraId="3AD5127D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līdz </w:t>
            </w:r>
          </w:p>
          <w:p w:rsidRPr="00A20716" w:rsidR="000A4508" w:rsidP="000A4508" w:rsidRDefault="000A4508" w14:paraId="1B33258C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900 000 </w:t>
            </w:r>
          </w:p>
          <w:p w:rsidRPr="00A20716" w:rsidR="000A4508" w:rsidP="000A4508" w:rsidRDefault="000A4508" w14:paraId="14342110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EUR vai </w:t>
            </w:r>
          </w:p>
          <w:p w:rsidRPr="00A20716" w:rsidR="000A4508" w:rsidP="000A4508" w:rsidRDefault="000A4508" w14:paraId="2EE514F1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Pr="00A20716" w:rsidR="000A4508" w:rsidP="000A4508" w:rsidRDefault="000A4508" w14:paraId="256128E2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1% (no </w:t>
            </w:r>
          </w:p>
          <w:p w:rsidRPr="00A20716" w:rsidR="000A4508" w:rsidP="000A4508" w:rsidRDefault="000A4508" w14:paraId="1B6A3CF2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gada </w:t>
            </w:r>
            <w:proofErr w:type="spellStart"/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apgroz</w:t>
            </w:r>
            <w:proofErr w:type="spellEnd"/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Pr="00A20716" w:rsidR="000A4508" w:rsidP="000A4508" w:rsidRDefault="000A4508" w14:paraId="55B0D765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nozarē)</w:t>
            </w:r>
          </w:p>
        </w:tc>
        <w:tc>
          <w:tcPr>
            <w:tcW w:w="1276" w:type="dxa"/>
          </w:tcPr>
          <w:p w:rsidRPr="00A20716" w:rsidR="000A4508" w:rsidP="000A4508" w:rsidRDefault="000A4508" w14:paraId="7C442277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1800000 EUR</w:t>
            </w:r>
          </w:p>
          <w:p w:rsidRPr="00A20716" w:rsidR="000A4508" w:rsidP="000A4508" w:rsidRDefault="000A4508" w14:paraId="5CEB3B32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Pr="00A20716" w:rsidR="000A4508" w:rsidP="000A4508" w:rsidRDefault="000A4508" w14:paraId="474AD2B1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Pr="00A20716" w:rsidR="000A4508" w:rsidP="000A4508" w:rsidRDefault="000A4508" w14:paraId="1C81AEDD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2%</w:t>
            </w:r>
          </w:p>
          <w:p w:rsidRPr="00A20716" w:rsidR="000A4508" w:rsidP="000A4508" w:rsidRDefault="000A4508" w14:paraId="361E109A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Pr="00A20716" w:rsidR="000A4508" w:rsidTr="000A4508" w14:paraId="6D64D9A0" w14:textId="77777777">
        <w:trPr>
          <w:cantSplit/>
          <w:trHeight w:val="1134"/>
        </w:trPr>
        <w:tc>
          <w:tcPr>
            <w:tcW w:w="1730" w:type="dxa"/>
          </w:tcPr>
          <w:p w:rsidRPr="00A20716" w:rsidR="000A4508" w:rsidP="000A4508" w:rsidRDefault="000A4508" w14:paraId="6D156B13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Slovēnijā </w:t>
            </w:r>
          </w:p>
        </w:tc>
        <w:tc>
          <w:tcPr>
            <w:tcW w:w="1038" w:type="dxa"/>
            <w:gridSpan w:val="2"/>
          </w:tcPr>
          <w:p w:rsidRPr="00A20716" w:rsidR="000A4508" w:rsidP="000A4508" w:rsidRDefault="000A4508" w14:paraId="69B9B255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50 000 līdz 125 000 EUR.</w:t>
            </w:r>
          </w:p>
        </w:tc>
        <w:tc>
          <w:tcPr>
            <w:tcW w:w="801" w:type="dxa"/>
          </w:tcPr>
          <w:p w:rsidRPr="00A20716" w:rsidR="000A4508" w:rsidP="000A4508" w:rsidRDefault="000A4508" w14:paraId="13FB5F97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Pr="00A20716" w:rsidR="000A4508" w:rsidP="000A4508" w:rsidRDefault="000A4508" w14:paraId="2D8EEF3C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</w:tcPr>
          <w:p w:rsidRPr="00A20716" w:rsidR="000A4508" w:rsidP="000A4508" w:rsidRDefault="000A4508" w14:paraId="5F7CA04B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</w:tcPr>
          <w:p w:rsidRPr="00A20716" w:rsidR="000A4508" w:rsidP="000A4508" w:rsidRDefault="000A4508" w14:paraId="4B1E52BC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:rsidRPr="00A20716" w:rsidR="000A4508" w:rsidP="000A4508" w:rsidRDefault="000A4508" w14:paraId="6558C8F1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:rsidRPr="00A20716" w:rsidR="000A4508" w:rsidP="000A4508" w:rsidRDefault="000A4508" w14:paraId="1A21ACCE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:rsidRPr="00A20716" w:rsidR="000A4508" w:rsidP="000A4508" w:rsidRDefault="000A4508" w14:paraId="18EF19DA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:rsidRPr="00A20716" w:rsidR="000A4508" w:rsidP="000A4508" w:rsidRDefault="000A4508" w14:paraId="27BF90D2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</w:tcPr>
          <w:p w:rsidRPr="00A20716" w:rsidR="000A4508" w:rsidP="000A4508" w:rsidRDefault="000A4508" w14:paraId="7B238CD8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Pr="00A20716" w:rsidR="000A4508" w:rsidP="000A4508" w:rsidRDefault="000A4508" w14:paraId="1902BCFD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Pr="00A20716" w:rsidR="000A4508" w:rsidP="000A4508" w:rsidRDefault="000A4508" w14:paraId="1918F467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līdz 5% (par noziedzīgu nodarījumu)</w:t>
            </w:r>
          </w:p>
        </w:tc>
      </w:tr>
      <w:tr w:rsidRPr="00A20716" w:rsidR="000A4508" w:rsidTr="000A4508" w14:paraId="5C9CB606" w14:textId="77777777">
        <w:trPr>
          <w:cantSplit/>
          <w:trHeight w:val="700"/>
        </w:trPr>
        <w:tc>
          <w:tcPr>
            <w:tcW w:w="1730" w:type="dxa"/>
          </w:tcPr>
          <w:p w:rsidRPr="00A20716" w:rsidR="000A4508" w:rsidP="000A4508" w:rsidRDefault="000A4508" w14:paraId="50FDB088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Slovākija</w:t>
            </w:r>
          </w:p>
        </w:tc>
        <w:tc>
          <w:tcPr>
            <w:tcW w:w="1038" w:type="dxa"/>
            <w:gridSpan w:val="2"/>
          </w:tcPr>
          <w:p w:rsidRPr="00A20716" w:rsidR="000A4508" w:rsidP="000A4508" w:rsidRDefault="000A4508" w14:paraId="2F6A3057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</w:tcPr>
          <w:p w:rsidRPr="00A20716" w:rsidR="000A4508" w:rsidP="000A4508" w:rsidRDefault="000A4508" w14:paraId="17CD58C4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Pr="00A20716" w:rsidR="000A4508" w:rsidP="000A4508" w:rsidRDefault="000A4508" w14:paraId="3BD324E8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</w:tcPr>
          <w:p w:rsidRPr="00A20716" w:rsidR="000A4508" w:rsidP="000A4508" w:rsidRDefault="000A4508" w14:paraId="2E3B999F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</w:tcPr>
          <w:p w:rsidRPr="00A20716" w:rsidR="000A4508" w:rsidP="000A4508" w:rsidRDefault="000A4508" w14:paraId="3F812B39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:rsidRPr="00A20716" w:rsidR="000A4508" w:rsidP="000A4508" w:rsidRDefault="000A4508" w14:paraId="596407F7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:rsidRPr="00A20716" w:rsidR="000A4508" w:rsidP="000A4508" w:rsidRDefault="000A4508" w14:paraId="6D927BE6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:rsidRPr="00A20716" w:rsidR="000A4508" w:rsidP="000A4508" w:rsidRDefault="000A4508" w14:paraId="27A81959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:rsidRPr="00A20716" w:rsidR="000A4508" w:rsidP="000A4508" w:rsidRDefault="000A4508" w14:paraId="76E1294B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</w:tcPr>
          <w:p w:rsidRPr="00A20716" w:rsidR="000A4508" w:rsidP="000A4508" w:rsidRDefault="000A4508" w14:paraId="36FA2AC4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Pr="00A20716" w:rsidR="000A4508" w:rsidP="000A4508" w:rsidRDefault="000A4508" w14:paraId="6F0329C5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Pr="00A20716" w:rsidR="000A4508" w:rsidP="000A4508" w:rsidRDefault="000A4508" w14:paraId="2DE105D8" w14:textId="4A227854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līdz 5%</w:t>
            </w:r>
          </w:p>
          <w:p w:rsidRPr="00A20716" w:rsidR="000A4508" w:rsidP="000A4508" w:rsidRDefault="000A4508" w14:paraId="0DF27E64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Pr="00A20716" w:rsidR="000A4508" w:rsidP="000A4508" w:rsidRDefault="000A4508" w14:paraId="67665A22" w14:textId="77CA480D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300 000 EUR (uzņēmumam bez apgrozījuma)</w:t>
            </w:r>
          </w:p>
        </w:tc>
      </w:tr>
      <w:tr w:rsidRPr="00A20716" w:rsidR="000A4508" w:rsidTr="000A4508" w14:paraId="0D8EB626" w14:textId="77777777">
        <w:trPr>
          <w:cantSplit/>
          <w:trHeight w:val="696"/>
        </w:trPr>
        <w:tc>
          <w:tcPr>
            <w:tcW w:w="1730" w:type="dxa"/>
          </w:tcPr>
          <w:p w:rsidRPr="00A20716" w:rsidR="000A4508" w:rsidP="000A4508" w:rsidRDefault="000A4508" w14:paraId="02FFDEB2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Dānijā </w:t>
            </w:r>
          </w:p>
        </w:tc>
        <w:tc>
          <w:tcPr>
            <w:tcW w:w="1038" w:type="dxa"/>
            <w:gridSpan w:val="2"/>
          </w:tcPr>
          <w:p w:rsidRPr="00A20716" w:rsidR="000A4508" w:rsidP="000A4508" w:rsidRDefault="000A4508" w14:paraId="2D0F1653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</w:tcPr>
          <w:p w:rsidRPr="00A20716" w:rsidR="000A4508" w:rsidP="000A4508" w:rsidRDefault="000A4508" w14:paraId="36D848D2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Pr="00A20716" w:rsidR="000A4508" w:rsidP="000A4508" w:rsidRDefault="000A4508" w14:paraId="226E6287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</w:tcPr>
          <w:p w:rsidRPr="00A20716" w:rsidR="000A4508" w:rsidP="000A4508" w:rsidRDefault="000A4508" w14:paraId="7FC69E65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</w:tcPr>
          <w:p w:rsidRPr="00A20716" w:rsidR="000A4508" w:rsidP="000A4508" w:rsidRDefault="000A4508" w14:paraId="01B7823B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:rsidRPr="00A20716" w:rsidR="000A4508" w:rsidP="000A4508" w:rsidRDefault="000A4508" w14:paraId="780BB685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:rsidRPr="00A20716" w:rsidR="000A4508" w:rsidP="000A4508" w:rsidRDefault="000A4508" w14:paraId="74660925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:rsidRPr="00A20716" w:rsidR="000A4508" w:rsidP="000A4508" w:rsidRDefault="000A4508" w14:paraId="0979D8E4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:rsidRPr="00A20716" w:rsidR="000A4508" w:rsidP="000A4508" w:rsidRDefault="000A4508" w14:paraId="22824D77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</w:tcPr>
          <w:p w:rsidRPr="00A20716" w:rsidR="000A4508" w:rsidP="000A4508" w:rsidRDefault="000A4508" w14:paraId="7BE28F44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Pr="00A20716" w:rsidR="000A4508" w:rsidP="000A4508" w:rsidRDefault="000A4508" w14:paraId="1B42E346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Pr="00A20716" w:rsidR="000A4508" w:rsidP="000A4508" w:rsidRDefault="000A4508" w14:paraId="7015C0B4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Nav orientēta uz sodu noteikšanu elektronisko sakaru nozarē</w:t>
            </w:r>
          </w:p>
        </w:tc>
      </w:tr>
      <w:tr w:rsidRPr="00A20716" w:rsidR="000A4508" w:rsidTr="000A4508" w14:paraId="2E393E65" w14:textId="77777777">
        <w:trPr>
          <w:cantSplit/>
          <w:trHeight w:val="523"/>
        </w:trPr>
        <w:tc>
          <w:tcPr>
            <w:tcW w:w="1730" w:type="dxa"/>
          </w:tcPr>
          <w:p w:rsidRPr="00A20716" w:rsidR="000A4508" w:rsidP="000A4508" w:rsidRDefault="000A4508" w14:paraId="36EE93EA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Polija</w:t>
            </w:r>
          </w:p>
        </w:tc>
        <w:tc>
          <w:tcPr>
            <w:tcW w:w="1038" w:type="dxa"/>
            <w:gridSpan w:val="2"/>
          </w:tcPr>
          <w:p w:rsidRPr="00A20716" w:rsidR="000A4508" w:rsidP="000A4508" w:rsidRDefault="000A4508" w14:paraId="79AD561D" w14:textId="77777777">
            <w:pPr>
              <w:jc w:val="right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</w:tcPr>
          <w:p w:rsidRPr="00A20716" w:rsidR="000A4508" w:rsidP="000A4508" w:rsidRDefault="000A4508" w14:paraId="09CD9C23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Pr="00A20716" w:rsidR="000A4508" w:rsidP="000A4508" w:rsidRDefault="000A4508" w14:paraId="2FEB9919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</w:tcPr>
          <w:p w:rsidRPr="00A20716" w:rsidR="000A4508" w:rsidP="000A4508" w:rsidRDefault="000A4508" w14:paraId="7C5D1843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</w:tcPr>
          <w:p w:rsidRPr="00A20716" w:rsidR="000A4508" w:rsidP="000A4508" w:rsidRDefault="000A4508" w14:paraId="1A78CDC9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:rsidRPr="00A20716" w:rsidR="000A4508" w:rsidP="000A4508" w:rsidRDefault="000A4508" w14:paraId="277B4CD9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:rsidRPr="00A20716" w:rsidR="000A4508" w:rsidP="000A4508" w:rsidRDefault="000A4508" w14:paraId="403FD67B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:rsidRPr="00A20716" w:rsidR="000A4508" w:rsidP="000A4508" w:rsidRDefault="000A4508" w14:paraId="6C14089E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:rsidRPr="00A20716" w:rsidR="000A4508" w:rsidP="000A4508" w:rsidRDefault="000A4508" w14:paraId="579B90BB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</w:tcPr>
          <w:p w:rsidRPr="00A20716" w:rsidR="000A4508" w:rsidP="000A4508" w:rsidRDefault="000A4508" w14:paraId="060C2F2D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Pr="00A20716" w:rsidR="000A4508" w:rsidP="000A4508" w:rsidRDefault="000A4508" w14:paraId="2531EE36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Pr="00A20716" w:rsidR="000A4508" w:rsidP="000A4508" w:rsidRDefault="000A4508" w14:paraId="078C58D9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līdz 3%</w:t>
            </w:r>
          </w:p>
        </w:tc>
      </w:tr>
      <w:tr w:rsidRPr="00A20716" w:rsidR="000A4508" w:rsidTr="000A4508" w14:paraId="5C01561C" w14:textId="77777777">
        <w:trPr>
          <w:cantSplit/>
          <w:trHeight w:val="653"/>
        </w:trPr>
        <w:tc>
          <w:tcPr>
            <w:tcW w:w="1730" w:type="dxa"/>
          </w:tcPr>
          <w:p w:rsidRPr="00A20716" w:rsidR="000A4508" w:rsidP="000A4508" w:rsidRDefault="000A4508" w14:paraId="651B800E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 xml:space="preserve">Čehija </w:t>
            </w:r>
          </w:p>
        </w:tc>
        <w:tc>
          <w:tcPr>
            <w:tcW w:w="1038" w:type="dxa"/>
            <w:gridSpan w:val="2"/>
          </w:tcPr>
          <w:p w:rsidRPr="00A20716" w:rsidR="000A4508" w:rsidP="000A4508" w:rsidRDefault="000A4508" w14:paraId="6B0C9158" w14:textId="77777777">
            <w:pPr>
              <w:jc w:val="right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Līdz 10% no neto apgr.</w:t>
            </w:r>
          </w:p>
        </w:tc>
        <w:tc>
          <w:tcPr>
            <w:tcW w:w="801" w:type="dxa"/>
          </w:tcPr>
          <w:p w:rsidRPr="00A20716" w:rsidR="000A4508" w:rsidP="000A4508" w:rsidRDefault="000A4508" w14:paraId="5C30CB43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Pr="00A20716" w:rsidR="000A4508" w:rsidP="000A4508" w:rsidRDefault="000A4508" w14:paraId="56F2B190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</w:tcPr>
          <w:p w:rsidRPr="00A20716" w:rsidR="000A4508" w:rsidP="000A4508" w:rsidRDefault="000A4508" w14:paraId="3792D48E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</w:tcPr>
          <w:p w:rsidRPr="00A20716" w:rsidR="000A4508" w:rsidP="000A4508" w:rsidRDefault="000A4508" w14:paraId="16F10D00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:rsidRPr="00A20716" w:rsidR="000A4508" w:rsidP="000A4508" w:rsidRDefault="000A4508" w14:paraId="388C826E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</w:tcPr>
          <w:p w:rsidRPr="00A20716" w:rsidR="000A4508" w:rsidP="000A4508" w:rsidRDefault="000A4508" w14:paraId="0174901B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:rsidRPr="00A20716" w:rsidR="000A4508" w:rsidP="000A4508" w:rsidRDefault="000A4508" w14:paraId="6FC8FCA0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:rsidRPr="00A20716" w:rsidR="000A4508" w:rsidP="000A4508" w:rsidRDefault="000A4508" w14:paraId="0C907566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</w:tcPr>
          <w:p w:rsidRPr="00A20716" w:rsidR="000A4508" w:rsidP="000A4508" w:rsidRDefault="000A4508" w14:paraId="1CF47F08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Pr="00A20716" w:rsidR="000A4508" w:rsidP="000A4508" w:rsidRDefault="000A4508" w14:paraId="0070CA79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Pr="00A20716" w:rsidR="000A4508" w:rsidP="000A4508" w:rsidRDefault="000A4508" w14:paraId="02143351" w14:textId="77777777">
            <w:pPr>
              <w:jc w:val="both"/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20716">
              <w:rPr>
                <w:rFonts w:cs="Times New Roman"/>
                <w:bCs/>
                <w:iCs/>
                <w:color w:val="000000" w:themeColor="text1"/>
                <w:sz w:val="20"/>
                <w:szCs w:val="20"/>
              </w:rPr>
              <w:t>līdz 5%</w:t>
            </w:r>
          </w:p>
        </w:tc>
      </w:tr>
    </w:tbl>
    <w:p w:rsidR="00B91E24" w:rsidRDefault="00B91E24" w14:paraId="5FA8A92C" w14:textId="77777777">
      <w:pPr>
        <w:rPr>
          <w:rFonts w:cs="Times New Roman"/>
          <w:sz w:val="20"/>
          <w:szCs w:val="20"/>
        </w:rPr>
      </w:pPr>
    </w:p>
    <w:p w:rsidRPr="00C86AB9" w:rsidR="0004269B" w:rsidRDefault="00B91E24" w14:paraId="3A51518A" w14:textId="429E0850">
      <w:pPr>
        <w:rPr>
          <w:rFonts w:cs="Times New Roman"/>
          <w:szCs w:val="24"/>
        </w:rPr>
      </w:pPr>
      <w:r w:rsidRPr="00C86AB9">
        <w:rPr>
          <w:rFonts w:cs="Times New Roman"/>
          <w:szCs w:val="24"/>
        </w:rPr>
        <w:t>Satiksmes ministrs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T.Linkaits</w:t>
      </w:r>
      <w:proofErr w:type="spellEnd"/>
      <w:r w:rsidRPr="00C86AB9">
        <w:rPr>
          <w:rFonts w:cs="Times New Roman"/>
          <w:szCs w:val="24"/>
        </w:rPr>
        <w:t xml:space="preserve"> </w:t>
      </w:r>
    </w:p>
    <w:sectPr w:rsidRPr="00C86AB9" w:rsidR="0004269B" w:rsidSect="00C86AB9">
      <w:footerReference w:type="default" r:id="rId7"/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6609A" w14:textId="77777777" w:rsidR="00FD1A05" w:rsidRDefault="00FD1A05" w:rsidP="00FD1A05">
      <w:r>
        <w:separator/>
      </w:r>
    </w:p>
  </w:endnote>
  <w:endnote w:type="continuationSeparator" w:id="0">
    <w:p w14:paraId="30CD0D73" w14:textId="77777777" w:rsidR="00FD1A05" w:rsidRDefault="00FD1A05" w:rsidP="00FD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D0E0" w14:textId="00E7D9AE" w:rsidR="00FD1A05" w:rsidRPr="00FD1A05" w:rsidRDefault="000211A9" w:rsidP="00FD1A05">
    <w:pPr>
      <w:pStyle w:val="Footer"/>
      <w:rPr>
        <w:sz w:val="20"/>
        <w:szCs w:val="20"/>
      </w:rPr>
    </w:pPr>
    <w:r>
      <w:rPr>
        <w:sz w:val="20"/>
        <w:szCs w:val="20"/>
      </w:rPr>
      <w:t>SMAnot</w:t>
    </w:r>
    <w:r w:rsidR="00FD1A05" w:rsidRPr="00FD1A05">
      <w:rPr>
        <w:sz w:val="20"/>
        <w:szCs w:val="20"/>
      </w:rPr>
      <w:t>p_</w:t>
    </w:r>
    <w:r w:rsidR="00540062">
      <w:rPr>
        <w:sz w:val="20"/>
        <w:szCs w:val="20"/>
      </w:rPr>
      <w:t>27</w:t>
    </w:r>
    <w:r w:rsidR="00FD1A05" w:rsidRPr="00FD1A05">
      <w:rPr>
        <w:sz w:val="20"/>
        <w:szCs w:val="20"/>
      </w:rPr>
      <w:t>0</w:t>
    </w:r>
    <w:r w:rsidR="00FE2E0C">
      <w:rPr>
        <w:sz w:val="20"/>
        <w:szCs w:val="20"/>
      </w:rPr>
      <w:t>8</w:t>
    </w:r>
    <w:r w:rsidR="00FD1A05" w:rsidRPr="00FD1A05">
      <w:rPr>
        <w:sz w:val="20"/>
        <w:szCs w:val="20"/>
      </w:rPr>
      <w:t>19_GrozESL</w:t>
    </w:r>
  </w:p>
  <w:p w14:paraId="1CAAFF2A" w14:textId="77777777" w:rsidR="00FD1A05" w:rsidRDefault="00FD1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E2E" w14:textId="77777777" w:rsidR="00FD1A05" w:rsidRDefault="00FD1A05" w:rsidP="00FD1A05">
      <w:r>
        <w:separator/>
      </w:r>
    </w:p>
  </w:footnote>
  <w:footnote w:type="continuationSeparator" w:id="0">
    <w:p w14:paraId="12564FB9" w14:textId="77777777" w:rsidR="00FD1A05" w:rsidRDefault="00FD1A05" w:rsidP="00FD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9B"/>
    <w:rsid w:val="000211A9"/>
    <w:rsid w:val="0004269B"/>
    <w:rsid w:val="000A4508"/>
    <w:rsid w:val="00104578"/>
    <w:rsid w:val="00244A6D"/>
    <w:rsid w:val="00393CD5"/>
    <w:rsid w:val="00485F42"/>
    <w:rsid w:val="004934E1"/>
    <w:rsid w:val="004A02BE"/>
    <w:rsid w:val="004C4762"/>
    <w:rsid w:val="00540062"/>
    <w:rsid w:val="006279B8"/>
    <w:rsid w:val="00654E5B"/>
    <w:rsid w:val="00790C35"/>
    <w:rsid w:val="00960D17"/>
    <w:rsid w:val="00A1185E"/>
    <w:rsid w:val="00A20716"/>
    <w:rsid w:val="00A87CED"/>
    <w:rsid w:val="00B877A2"/>
    <w:rsid w:val="00B91E24"/>
    <w:rsid w:val="00C86AB9"/>
    <w:rsid w:val="00CA2F62"/>
    <w:rsid w:val="00D156FF"/>
    <w:rsid w:val="00D34C32"/>
    <w:rsid w:val="00E168DD"/>
    <w:rsid w:val="00E3577D"/>
    <w:rsid w:val="00E45E6F"/>
    <w:rsid w:val="00E81FD0"/>
    <w:rsid w:val="00F51547"/>
    <w:rsid w:val="00FD1A05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69E1"/>
  <w15:chartTrackingRefBased/>
  <w15:docId w15:val="{FC065BC2-0180-4A9F-A224-AE1B66CB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269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E168DD"/>
  </w:style>
  <w:style w:type="paragraph" w:styleId="Header">
    <w:name w:val="header"/>
    <w:basedOn w:val="Normal"/>
    <w:link w:val="HeaderChar"/>
    <w:uiPriority w:val="99"/>
    <w:unhideWhenUsed/>
    <w:rsid w:val="00FD1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A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D1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A0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CFE2-67F7-4DD8-B4D2-47B262FF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Elektronisko sakaru likumā"</vt:lpstr>
    </vt:vector>
  </TitlesOfParts>
  <Manager>Dace Bankoviča</Manager>
  <Company>Satiksmes ministrija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Elektronisko sakaru likumā"</dc:title>
  <dc:subject>anotācijas pielikums</dc:subject>
  <dc:creator>Diāna Kristapsone</dc:creator>
  <cp:keywords/>
  <dc:description>diana.kristapsone@sam.gov.lv, t.67028043</dc:description>
  <cp:lastModifiedBy>ineta.vula@sam.gov.lv</cp:lastModifiedBy>
  <cp:revision>26</cp:revision>
  <cp:lastPrinted>2019-07-15T05:57:00Z</cp:lastPrinted>
  <dcterms:created xsi:type="dcterms:W3CDTF">2019-07-12T11:30:00Z</dcterms:created>
  <dcterms:modified xsi:type="dcterms:W3CDTF">2019-09-09T13:30:00Z</dcterms:modified>
</cp:coreProperties>
</file>