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FE053" w14:textId="41351B52" w:rsidR="00F56BEE" w:rsidRPr="00F962B1" w:rsidRDefault="00F56BEE" w:rsidP="00636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F962B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Ministru kabineta noteikumu projekta</w:t>
      </w:r>
    </w:p>
    <w:p w14:paraId="414436B9" w14:textId="1480032A" w:rsidR="00636383" w:rsidRDefault="00636383" w:rsidP="00636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F962B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“Grozījumi Ministru kabineta 2016.</w:t>
      </w:r>
      <w:r w:rsidR="0088309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 </w:t>
      </w:r>
      <w:r w:rsidRPr="00F962B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gada 12.</w:t>
      </w:r>
      <w:r w:rsidR="0088309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 </w:t>
      </w:r>
      <w:r w:rsidRPr="00F962B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aprīļa noteikumos Nr. 208 “Iekārtu elektromagnētiskās saderības noteikumi”” projekta</w:t>
      </w:r>
      <w:r w:rsidRPr="00F962B1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br/>
        <w:t>sākotnējās ietekmes novērtējuma ziņojums (anotācija)</w:t>
      </w:r>
    </w:p>
    <w:p w14:paraId="0E0626F8" w14:textId="77777777" w:rsidR="00017257" w:rsidRPr="00F962B1" w:rsidRDefault="00017257" w:rsidP="00636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tbl>
      <w:tblPr>
        <w:tblW w:w="495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72"/>
      </w:tblGrid>
      <w:tr w:rsidR="00883098" w:rsidRPr="009B4DDE" w14:paraId="6C974925" w14:textId="77777777" w:rsidTr="00DA31C8">
        <w:trPr>
          <w:tblCellSpacing w:w="15" w:type="dxa"/>
        </w:trPr>
        <w:tc>
          <w:tcPr>
            <w:tcW w:w="4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A7D58" w14:textId="77777777" w:rsidR="00883098" w:rsidRPr="008B5A04" w:rsidRDefault="00883098" w:rsidP="00D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8B5A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883098" w:rsidRPr="009B4DDE" w14:paraId="1B038958" w14:textId="77777777" w:rsidTr="00DA31C8">
        <w:trPr>
          <w:tblCellSpacing w:w="15" w:type="dxa"/>
        </w:trPr>
        <w:tc>
          <w:tcPr>
            <w:tcW w:w="4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E08C8" w14:textId="4C244C57" w:rsidR="00883098" w:rsidRPr="008B5A04" w:rsidRDefault="00883098" w:rsidP="00D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8B5A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7316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3B2C852E" w14:textId="35FBB3B0" w:rsidR="00636383" w:rsidRPr="00636383" w:rsidRDefault="00636383" w:rsidP="00636383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63638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FA051F" w:rsidRPr="00636383" w14:paraId="6F3FBF0A" w14:textId="77777777" w:rsidTr="00DA31C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E1386" w14:textId="77777777" w:rsidR="00636383" w:rsidRPr="00636383" w:rsidRDefault="00636383" w:rsidP="006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FA051F" w:rsidRPr="00636383" w14:paraId="258D744F" w14:textId="77777777" w:rsidTr="00DA31C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0C7C8" w14:textId="77777777" w:rsidR="00636383" w:rsidRPr="00636383" w:rsidRDefault="00636383" w:rsidP="006363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D4C3F" w14:textId="77777777" w:rsidR="00636383" w:rsidRPr="00636383" w:rsidRDefault="00636383" w:rsidP="006363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3122F" w14:textId="2AC5F442" w:rsidR="00636383" w:rsidRPr="00636383" w:rsidRDefault="00636383" w:rsidP="00F9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Grozījumi 2016.</w:t>
            </w:r>
            <w:r w:rsidR="008830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gada 12.</w:t>
            </w:r>
            <w:r w:rsidR="008830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aprīļa Ministru kabineta noteikumos Nr. 208</w:t>
            </w:r>
            <w:r w:rsidR="00CB7BFC">
              <w:t xml:space="preserve"> “</w:t>
            </w:r>
            <w:r w:rsidR="00CB7BFC" w:rsidRPr="00CB7BF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Iekārtu elektromagnētiskās saderības noteikumi</w:t>
            </w:r>
            <w:r w:rsidR="00CB7BF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”</w:t>
            </w:r>
            <w:r w:rsidR="00E96EA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(turpmāk – MK noteikum</w:t>
            </w:r>
            <w:r w:rsidR="008830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</w:t>
            </w:r>
            <w:r w:rsidR="00E96EA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Nr.</w:t>
            </w:r>
            <w:r w:rsidR="0088309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E96EA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208)</w:t>
            </w: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CB7BFC" w:rsidRPr="00CB7BF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nepieciešami saistībā ar Eiropas Parlamenta un Padomes 2018. gada 4. jūlija Regulas (ES) 2018/1139 par kopīgiem noteikumiem civilās aviācijas jomā un ar ko izveido Eiropas Savienības Aviācijas drošības aģentūru, un ar ko groza Eiropas Parlamenta un Padomes Regulas (EK) Nr. 2111/2005, (EK) Nr. 1008/2008, (ES) Nr. 996/2010, (ES) Nr. 376/2014 un Direktīvas 2014/30/ES un 2014/53/ES un atceļ Eiropas Parlamenta un Padomes Regulas (EK) Nr. 552/2004 un (EK) Nr. 216/2008 un Padomes Regulu (EEK) Nr. 3922/91</w:t>
            </w:r>
            <w:r w:rsidR="004D52A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CB7BFC" w:rsidRPr="00CB7BF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(turpmāk - </w:t>
            </w:r>
            <w:r w:rsidR="004D52A0" w:rsidRPr="00A55E3D">
              <w:rPr>
                <w:rFonts w:ascii="Times New Roman" w:hAnsi="Times New Roman"/>
                <w:sz w:val="24"/>
                <w:szCs w:val="24"/>
              </w:rPr>
              <w:t xml:space="preserve">Regula </w:t>
            </w:r>
            <w:r w:rsidR="004D52A0">
              <w:rPr>
                <w:rFonts w:ascii="Times New Roman" w:hAnsi="Times New Roman"/>
                <w:sz w:val="24"/>
                <w:szCs w:val="24"/>
              </w:rPr>
              <w:t xml:space="preserve">(ES) </w:t>
            </w:r>
            <w:r w:rsidR="004D52A0" w:rsidRPr="00A55E3D">
              <w:rPr>
                <w:rFonts w:ascii="Times New Roman" w:hAnsi="Times New Roman"/>
                <w:sz w:val="24"/>
                <w:szCs w:val="24"/>
              </w:rPr>
              <w:t>2018/1139</w:t>
            </w:r>
            <w:r w:rsidR="00CB7BFC" w:rsidRPr="00CB7BF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) prasību stāšanos spēkā.</w:t>
            </w:r>
            <w:r w:rsidR="0046171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FA051F" w:rsidRPr="00636383" w14:paraId="4FE8944E" w14:textId="77777777" w:rsidTr="00DA31C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3CF5E" w14:textId="77777777" w:rsidR="00636383" w:rsidRPr="00636383" w:rsidRDefault="00636383" w:rsidP="006363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72CBB" w14:textId="77777777" w:rsidR="00636383" w:rsidRPr="00636383" w:rsidRDefault="00636383" w:rsidP="006363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122BA" w14:textId="7E0B38BA" w:rsidR="00B26CF1" w:rsidRPr="00B26CF1" w:rsidRDefault="00636383" w:rsidP="00B26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2018. </w:t>
            </w:r>
            <w:r w:rsidR="002E2F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gada 11. septemb</w:t>
            </w:r>
            <w:r w:rsidR="00F56BE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rī ir</w:t>
            </w:r>
            <w:r w:rsidR="002E2F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stājusies spēkā </w:t>
            </w:r>
            <w:r w:rsidR="004D52A0" w:rsidRPr="00A55E3D">
              <w:rPr>
                <w:rFonts w:ascii="Times New Roman" w:hAnsi="Times New Roman"/>
                <w:sz w:val="24"/>
                <w:szCs w:val="24"/>
              </w:rPr>
              <w:t xml:space="preserve">Regula </w:t>
            </w:r>
            <w:r w:rsidR="004D52A0">
              <w:rPr>
                <w:rFonts w:ascii="Times New Roman" w:hAnsi="Times New Roman"/>
                <w:sz w:val="24"/>
                <w:szCs w:val="24"/>
              </w:rPr>
              <w:t xml:space="preserve">(ES) </w:t>
            </w:r>
            <w:r w:rsidR="004D52A0" w:rsidRPr="00A55E3D">
              <w:rPr>
                <w:rFonts w:ascii="Times New Roman" w:hAnsi="Times New Roman"/>
                <w:sz w:val="24"/>
                <w:szCs w:val="24"/>
              </w:rPr>
              <w:t>2018/1139</w:t>
            </w: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kas nosaka vispārīgās prasības civilās aviācijas nozarē. Tā groz</w:t>
            </w:r>
            <w:r w:rsidR="00F56BE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</w:t>
            </w: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Eiropas Parlamenta un Padomes </w:t>
            </w:r>
            <w:r w:rsidR="002E2F62"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2014. gada 16. aprī</w:t>
            </w:r>
            <w:r w:rsidR="002E2F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ļa </w:t>
            </w: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Direktīv</w:t>
            </w:r>
            <w:r w:rsidR="002E2F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</w:t>
            </w: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2014/53/ES  par dalībvalstu tiesību aktu saskaņošanu attiecībā uz radioiekārtu pieejamību tirgū un ar ko atceļ Direktīvu 1999/5/EK</w:t>
            </w:r>
            <w:r w:rsidR="004D52A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un Eiropas Parlamenta un Padomes </w:t>
            </w:r>
            <w:r w:rsidR="002E2F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2014.gada 26.februāra </w:t>
            </w: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Direktīv</w:t>
            </w:r>
            <w:r w:rsidR="002E2F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</w:t>
            </w: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2014/30/ES par dalībvalstu tiesību aktu saskaņošanu attiecībā uz elektromagnētisko savietojamību.</w:t>
            </w:r>
            <w:r w:rsidRPr="0063638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F56BEE" w:rsidRPr="00F96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Grozījumi</w:t>
            </w:r>
            <w:r w:rsidR="00F56BE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skar bezpilota gaisa kuģus un to daļas, neuzstādītās ierīces un tālvadības ierīces. Tā kā tiek grozītas direktīvas</w:t>
            </w:r>
            <w:r w:rsidR="00B34DA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ir nepieciešams veikt grozījumus </w:t>
            </w:r>
            <w:r w:rsidR="00E96EA8" w:rsidRPr="00E96EA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MK noteikum</w:t>
            </w:r>
            <w:r w:rsidR="00E96EA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</w:t>
            </w:r>
            <w:r w:rsidR="00E96EA8" w:rsidRPr="00E96EA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Nr. 208</w:t>
            </w:r>
            <w:r w:rsidR="0078275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3.1.</w:t>
            </w:r>
            <w:r w:rsidR="000E35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apakš</w:t>
            </w: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punktā</w:t>
            </w:r>
            <w:r w:rsidR="006D15B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un papildināt </w:t>
            </w:r>
            <w:r w:rsidR="004D52A0" w:rsidRPr="00E96EA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MK noteikum</w:t>
            </w:r>
            <w:r w:rsidR="004D52A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us</w:t>
            </w:r>
            <w:r w:rsidR="004D52A0" w:rsidRPr="00E96EA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Nr. 208</w:t>
            </w:r>
            <w:r w:rsidR="004D52A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6D15B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ar </w:t>
            </w:r>
            <w:r w:rsidR="006D15B8" w:rsidRPr="005C2FB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  <w:r w:rsidR="000E35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6. apakšpunktu</w:t>
            </w:r>
            <w:r w:rsidRPr="0063638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C05F4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E96EA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Izmaiņas </w:t>
            </w:r>
            <w:r w:rsidR="004D52A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noteic</w:t>
            </w:r>
            <w:r w:rsidR="00E96EA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ka noteikumi </w:t>
            </w:r>
            <w:r w:rsidR="00AA7F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neattiecas</w:t>
            </w:r>
            <w:r w:rsidR="005E2F1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E96EA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uz </w:t>
            </w:r>
            <w:r w:rsidR="00E96EA8" w:rsidRPr="00E96EA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iekārtām, uz kurām attiecas normatīvie akti par radioiekārtām, elektronisko sakaru tīkl</w:t>
            </w:r>
            <w:r w:rsidR="004D52A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</w:t>
            </w:r>
            <w:r w:rsidR="00E96EA8" w:rsidRPr="00E96EA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galiekārtām</w:t>
            </w:r>
            <w:r w:rsidR="00E96EA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un</w:t>
            </w:r>
            <w:r w:rsidR="00E96EA8">
              <w:t xml:space="preserve"> </w:t>
            </w:r>
            <w:r w:rsidR="00E96EA8" w:rsidRPr="00E96EA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aviācijas iekārtām, uz kurām attiecas</w:t>
            </w:r>
            <w:r w:rsidR="00E96EA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4D52A0" w:rsidRPr="00A55E3D">
              <w:rPr>
                <w:rFonts w:ascii="Times New Roman" w:hAnsi="Times New Roman"/>
                <w:sz w:val="24"/>
                <w:szCs w:val="24"/>
              </w:rPr>
              <w:t xml:space="preserve">Regula </w:t>
            </w:r>
            <w:r w:rsidR="004D52A0">
              <w:rPr>
                <w:rFonts w:ascii="Times New Roman" w:hAnsi="Times New Roman"/>
                <w:sz w:val="24"/>
                <w:szCs w:val="24"/>
              </w:rPr>
              <w:t xml:space="preserve">(ES) </w:t>
            </w:r>
            <w:r w:rsidR="004D52A0" w:rsidRPr="00A55E3D">
              <w:rPr>
                <w:rFonts w:ascii="Times New Roman" w:hAnsi="Times New Roman"/>
                <w:sz w:val="24"/>
                <w:szCs w:val="24"/>
              </w:rPr>
              <w:t>2018/1139</w:t>
            </w:r>
            <w:r w:rsidR="00E96EA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. </w:t>
            </w:r>
            <w:r w:rsidR="00B26CF1">
              <w:t xml:space="preserve"> </w:t>
            </w:r>
            <w:r w:rsidR="00B26CF1" w:rsidRPr="00B26CF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Lai nodrošinātu saskaņotību starp dalībvalstīm, Eiropas Komisijas Telekomunikāciju atbilstības novērtēšanas un tirgus uzraudzības komiteja un Elektromagnētiskā saderība</w:t>
            </w:r>
            <w:r w:rsidR="005E2F1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  <w:r w:rsidR="00B26CF1" w:rsidRPr="00B26CF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komiteja</w:t>
            </w:r>
          </w:p>
          <w:p w14:paraId="60EBC4C5" w14:textId="4C6B7620" w:rsidR="00636383" w:rsidRPr="00636383" w:rsidRDefault="00B26CF1" w:rsidP="00B26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26CF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ir atbalstījušas priekšlikumu, ka dalībvalstīm jāievieš 2018/1139/EK Regulas grozījumi savos tiesību aktos līdz 2020.gada 1.janvārim.</w:t>
            </w:r>
          </w:p>
        </w:tc>
      </w:tr>
      <w:tr w:rsidR="00FA051F" w:rsidRPr="00636383" w14:paraId="210D9709" w14:textId="77777777" w:rsidTr="00DA31C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E4CE7" w14:textId="77777777" w:rsidR="00636383" w:rsidRPr="00636383" w:rsidRDefault="00636383" w:rsidP="006363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90837" w14:textId="77777777" w:rsidR="00636383" w:rsidRPr="00636383" w:rsidRDefault="00636383" w:rsidP="006363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D1F11" w14:textId="735255CF" w:rsidR="00636383" w:rsidRPr="00636383" w:rsidRDefault="001F4650" w:rsidP="004D52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Satiksmes ministrija</w:t>
            </w:r>
            <w:r w:rsidR="004D52A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v</w:t>
            </w:r>
            <w:r w:rsidR="00636383"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alsts akciju sabiedrība “Elektroniskie sakari”</w:t>
            </w:r>
          </w:p>
        </w:tc>
      </w:tr>
      <w:tr w:rsidR="00FA051F" w:rsidRPr="00636383" w14:paraId="6731FE67" w14:textId="77777777" w:rsidTr="00DA31C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7EF2A" w14:textId="77777777" w:rsidR="00636383" w:rsidRPr="00636383" w:rsidRDefault="00636383" w:rsidP="006363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EEF42" w14:textId="77777777" w:rsidR="00636383" w:rsidRPr="00636383" w:rsidRDefault="00636383" w:rsidP="006363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D7805" w14:textId="1D11C13A" w:rsidR="00636383" w:rsidRPr="00636383" w:rsidRDefault="00636383" w:rsidP="006363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01725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03F9A42A" w14:textId="77777777" w:rsidR="00636383" w:rsidRPr="00636383" w:rsidRDefault="00636383" w:rsidP="00CB086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63638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FA051F" w:rsidRPr="00636383" w14:paraId="2BED306A" w14:textId="77777777" w:rsidTr="00DA31C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DFE9A" w14:textId="70EFB793" w:rsidR="00636383" w:rsidRPr="00636383" w:rsidRDefault="00636383" w:rsidP="00F962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A051F" w:rsidRPr="00636383" w14:paraId="782B9930" w14:textId="77777777" w:rsidTr="00DA31C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71D83" w14:textId="77777777" w:rsidR="00636383" w:rsidRPr="00636383" w:rsidRDefault="00636383" w:rsidP="00F9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3FD9D" w14:textId="77777777" w:rsidR="00636383" w:rsidRPr="00636383" w:rsidRDefault="00636383" w:rsidP="00F9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mērķgrupas</w:t>
            </w:r>
            <w:proofErr w:type="spellEnd"/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52D68" w14:textId="7937FE6A" w:rsidR="00636383" w:rsidRPr="00636383" w:rsidRDefault="00636383" w:rsidP="00F9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Izmaiņas skar bezpilota gaisa kuģu un to daļu, neuzstādīto ierīču un tālvadības ierīču ražotājus un lietotājus.</w:t>
            </w:r>
          </w:p>
        </w:tc>
      </w:tr>
      <w:tr w:rsidR="00FA051F" w:rsidRPr="00636383" w14:paraId="2FBCF2D3" w14:textId="77777777" w:rsidTr="00DA31C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0BF4C" w14:textId="77777777" w:rsidR="00636383" w:rsidRPr="00636383" w:rsidRDefault="00636383" w:rsidP="00F9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7A000" w14:textId="77777777" w:rsidR="00636383" w:rsidRPr="00636383" w:rsidRDefault="00636383" w:rsidP="00F9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1EE3B" w14:textId="77777777" w:rsidR="00636383" w:rsidRPr="00636383" w:rsidRDefault="00636383" w:rsidP="00F9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FA051F" w:rsidRPr="00636383" w14:paraId="3084826C" w14:textId="77777777" w:rsidTr="00DA31C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C54A0" w14:textId="77777777" w:rsidR="00636383" w:rsidRPr="00636383" w:rsidRDefault="00636383" w:rsidP="00F9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78560" w14:textId="77777777" w:rsidR="00636383" w:rsidRPr="00636383" w:rsidRDefault="00636383" w:rsidP="00F9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4621B" w14:textId="77777777" w:rsidR="00636383" w:rsidRPr="00636383" w:rsidRDefault="00636383" w:rsidP="00F9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FA051F" w:rsidRPr="00636383" w14:paraId="58DB6FDF" w14:textId="77777777" w:rsidTr="00DA31C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C3030" w14:textId="77777777" w:rsidR="00636383" w:rsidRPr="00636383" w:rsidRDefault="00636383" w:rsidP="00F9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1A22A" w14:textId="77777777" w:rsidR="00636383" w:rsidRPr="00636383" w:rsidRDefault="00636383" w:rsidP="00F9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70158" w14:textId="77777777" w:rsidR="00636383" w:rsidRPr="00636383" w:rsidRDefault="00636383" w:rsidP="00F9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FA051F" w:rsidRPr="00636383" w14:paraId="3D3C1229" w14:textId="77777777" w:rsidTr="00DA31C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FB538" w14:textId="77777777" w:rsidR="00636383" w:rsidRPr="00636383" w:rsidRDefault="00636383" w:rsidP="00F9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8252B" w14:textId="77777777" w:rsidR="00636383" w:rsidRPr="00636383" w:rsidRDefault="00636383" w:rsidP="00F9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6DE53" w14:textId="182BF5E8" w:rsidR="00636383" w:rsidRPr="00636383" w:rsidRDefault="000E3578" w:rsidP="00F9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44917A0C" w14:textId="77777777" w:rsidR="00636383" w:rsidRPr="00636383" w:rsidRDefault="00636383" w:rsidP="00F962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63638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A051F" w:rsidRPr="00636383" w14:paraId="6066A1E9" w14:textId="77777777" w:rsidTr="00DA31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3FF52" w14:textId="77777777" w:rsidR="00636383" w:rsidRPr="00636383" w:rsidRDefault="00636383" w:rsidP="00CB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FA051F" w:rsidRPr="00636383" w14:paraId="2B83AFDC" w14:textId="77777777" w:rsidTr="00DA31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E5F87" w14:textId="4D2E8C56" w:rsidR="00636383" w:rsidRPr="00636383" w:rsidRDefault="00636383" w:rsidP="00CB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  <w:r w:rsidR="000172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75FE6163" w14:textId="77777777" w:rsidR="00636383" w:rsidRPr="00636383" w:rsidRDefault="00636383" w:rsidP="00F962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63638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A051F" w:rsidRPr="00636383" w14:paraId="651203F9" w14:textId="77777777" w:rsidTr="00DA31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B0455" w14:textId="77777777" w:rsidR="00636383" w:rsidRPr="00636383" w:rsidRDefault="00636383" w:rsidP="00CB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FA051F" w:rsidRPr="00636383" w14:paraId="556F952F" w14:textId="77777777" w:rsidTr="00DA31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F5227" w14:textId="0DCA96E9" w:rsidR="00636383" w:rsidRPr="00636383" w:rsidRDefault="00636383" w:rsidP="00CB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  <w:r w:rsidR="000172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34BAFF05" w14:textId="77777777" w:rsidR="00636383" w:rsidRPr="00636383" w:rsidRDefault="00636383" w:rsidP="00F962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63638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4"/>
      </w:tblGrid>
      <w:tr w:rsidR="00FA051F" w:rsidRPr="00636383" w14:paraId="2A51E5A9" w14:textId="77777777" w:rsidTr="00F962B1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63F95" w14:textId="77777777" w:rsidR="00636383" w:rsidRPr="00636383" w:rsidRDefault="00636383" w:rsidP="00CB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FA051F" w:rsidRPr="00636383" w14:paraId="2CD7E2CA" w14:textId="77777777" w:rsidTr="00F962B1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22FC2" w14:textId="39186EF4" w:rsidR="00636383" w:rsidRDefault="00636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Saistības pret Eiropas Savienību. Grozījumi jāpieņem saistībā ar Eiropas Parlamenta un Padomes 2018. gada 4. jūlija Regulas (ES) 2018/1139 </w:t>
            </w:r>
            <w:r w:rsidR="00267686" w:rsidRPr="002676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par kopīgiem noteikumiem civilās aviācijas jomā un ar ko izveido Eiropas Savienības Aviācijas drošības aģentūru, un ar ko groza Eiropas Parlamenta un Padomes Regulas (EK) Nr. 2111/2005, (EK) Nr. 1008/2008, (ES) Nr. 996/2010, (ES) Nr. 376/2014 un Direktīvas 2014/30/ES un 2014/53/ES un atceļ Eiropas Parlamenta un Padomes Regulas (EK) Nr. 552/2004 un (EK) Nr. 216/2008 un Padomes Regulu (EEK) Nr. 3922/91</w:t>
            </w:r>
            <w:r w:rsidR="0026768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63638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prasību stāšanos spēkā</w:t>
            </w:r>
            <w:r w:rsidR="006D7E5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27410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6D7E5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(</w:t>
            </w:r>
            <w:r w:rsidR="006D7E5C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</w:t>
            </w:r>
            <w:r w:rsidR="00274100" w:rsidRPr="005F64B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ublicēta </w:t>
            </w:r>
            <w:r w:rsidR="00274100" w:rsidRPr="00B125DC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Eiropas  Savienības Oficiālajā Vēstnesī </w:t>
            </w:r>
            <w:r w:rsidR="00274100" w:rsidRPr="00B3696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L </w:t>
            </w:r>
            <w:r w:rsidR="00267686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212</w:t>
            </w:r>
            <w:r w:rsidR="00274100" w:rsidRPr="00B3696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/</w:t>
            </w:r>
            <w:r w:rsidR="00267686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</w:t>
            </w:r>
            <w:r w:rsidR="00274100" w:rsidRPr="005F64B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r w:rsidR="00267686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</w:t>
            </w:r>
            <w:r w:rsidR="006C202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</w:t>
            </w:r>
            <w:r w:rsidR="00274100" w:rsidRPr="00B125DC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.0</w:t>
            </w:r>
            <w:r w:rsidR="00267686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8</w:t>
            </w:r>
            <w:r w:rsidR="00274100" w:rsidRPr="00B125DC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.20</w:t>
            </w:r>
            <w:r w:rsidR="00267686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18</w:t>
            </w:r>
            <w:r w:rsidR="006D7E5C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.).</w:t>
            </w:r>
          </w:p>
          <w:tbl>
            <w:tblPr>
              <w:tblW w:w="8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5"/>
              <w:gridCol w:w="2270"/>
              <w:gridCol w:w="2192"/>
              <w:gridCol w:w="1919"/>
            </w:tblGrid>
            <w:tr w:rsidR="00EF1203" w:rsidRPr="002D4F1B" w14:paraId="46CDA27D" w14:textId="77777777" w:rsidTr="00F962B1">
              <w:trPr>
                <w:trHeight w:val="165"/>
              </w:trPr>
              <w:tc>
                <w:tcPr>
                  <w:tcW w:w="2455" w:type="dxa"/>
                  <w:shd w:val="clear" w:color="auto" w:fill="auto"/>
                  <w:hideMark/>
                </w:tcPr>
                <w:p w14:paraId="482C2F5F" w14:textId="77777777" w:rsidR="00EF1203" w:rsidRPr="002D4F1B" w:rsidRDefault="00EF1203" w:rsidP="00F962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4F1B">
                    <w:rPr>
                      <w:rFonts w:ascii="Times New Roman" w:hAnsi="Times New Roman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2270" w:type="dxa"/>
                  <w:shd w:val="clear" w:color="auto" w:fill="auto"/>
                  <w:hideMark/>
                </w:tcPr>
                <w:p w14:paraId="62223244" w14:textId="77777777" w:rsidR="00EF1203" w:rsidRPr="002D4F1B" w:rsidRDefault="00EF1203" w:rsidP="00F962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4F1B">
                    <w:rPr>
                      <w:rFonts w:ascii="Times New Roman" w:hAnsi="Times New Roman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2192" w:type="dxa"/>
                  <w:shd w:val="clear" w:color="auto" w:fill="auto"/>
                  <w:hideMark/>
                </w:tcPr>
                <w:p w14:paraId="54EF43FA" w14:textId="77777777" w:rsidR="00EF1203" w:rsidRPr="002D4F1B" w:rsidRDefault="00EF1203" w:rsidP="00F962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4F1B">
                    <w:rPr>
                      <w:rFonts w:ascii="Times New Roman" w:hAnsi="Times New Roman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919" w:type="dxa"/>
                  <w:shd w:val="clear" w:color="auto" w:fill="auto"/>
                  <w:hideMark/>
                </w:tcPr>
                <w:p w14:paraId="7A0FAF86" w14:textId="77777777" w:rsidR="00EF1203" w:rsidRPr="002D4F1B" w:rsidRDefault="00EF1203" w:rsidP="00F962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D4F1B">
                    <w:rPr>
                      <w:rFonts w:ascii="Times New Roman" w:hAnsi="Times New Roman"/>
                      <w:sz w:val="28"/>
                      <w:szCs w:val="28"/>
                    </w:rPr>
                    <w:t>D</w:t>
                  </w:r>
                </w:p>
              </w:tc>
            </w:tr>
            <w:tr w:rsidR="00EF1203" w:rsidRPr="00FA44D0" w14:paraId="780E07BC" w14:textId="77777777" w:rsidTr="00F962B1">
              <w:trPr>
                <w:trHeight w:val="191"/>
              </w:trPr>
              <w:tc>
                <w:tcPr>
                  <w:tcW w:w="2455" w:type="dxa"/>
                  <w:shd w:val="clear" w:color="auto" w:fill="auto"/>
                  <w:hideMark/>
                </w:tcPr>
                <w:p w14:paraId="589F735B" w14:textId="77777777" w:rsidR="00EF1203" w:rsidRDefault="00EF1203" w:rsidP="00F962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44D0">
                    <w:rPr>
                      <w:rFonts w:ascii="Times New Roman" w:hAnsi="Times New Roman"/>
                      <w:sz w:val="24"/>
                      <w:szCs w:val="24"/>
                    </w:rPr>
                    <w:t>Attiecīgā ES tiesību akta panta numurs (uzskaitot katru tiesību akta</w:t>
                  </w:r>
                  <w:r w:rsidRPr="00FA44D0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FA44D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vienību - pantu, daļu, punktu, apakšpunktu).</w:t>
                  </w:r>
                </w:p>
                <w:p w14:paraId="00AFADCB" w14:textId="77777777" w:rsidR="0088667E" w:rsidRPr="0088667E" w:rsidRDefault="0088667E" w:rsidP="00D22B5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08B6E2C" w14:textId="77777777" w:rsidR="0088667E" w:rsidRPr="0088667E" w:rsidRDefault="0088667E" w:rsidP="00D22B5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4755287" w14:textId="77777777" w:rsidR="0088667E" w:rsidRPr="0088667E" w:rsidRDefault="0088667E" w:rsidP="00D22B5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EC62854" w14:textId="77777777" w:rsidR="0088667E" w:rsidRPr="0088667E" w:rsidRDefault="0088667E" w:rsidP="00D22B5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363D748" w14:textId="77777777" w:rsidR="0088667E" w:rsidRPr="0088667E" w:rsidRDefault="0088667E" w:rsidP="00D22B5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9401AAB" w14:textId="77777777" w:rsidR="0088667E" w:rsidRPr="0088667E" w:rsidRDefault="0088667E" w:rsidP="00D22B5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9B3B908" w14:textId="77777777" w:rsidR="0088667E" w:rsidRPr="0088667E" w:rsidRDefault="0088667E" w:rsidP="00D22B5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821ED02" w14:textId="77777777" w:rsidR="0088667E" w:rsidRDefault="0088667E" w:rsidP="008866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9DF6429" w14:textId="6B71644E" w:rsidR="0088667E" w:rsidRPr="0088667E" w:rsidRDefault="0088667E" w:rsidP="00D22B5D">
                  <w:pPr>
                    <w:ind w:firstLine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  <w:shd w:val="clear" w:color="auto" w:fill="auto"/>
                </w:tcPr>
                <w:p w14:paraId="6A124F0F" w14:textId="0DF5D169" w:rsidR="00EF1203" w:rsidRPr="00FA44D0" w:rsidRDefault="00EF1203" w:rsidP="00F962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44D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Projekta vienība, kas pārņem vai ievieš katru šīs tabulas A ailē minēto ES tiesību akta vienību, </w:t>
                  </w:r>
                  <w:r w:rsidRPr="00FA44D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vai tiesību akts, kur attiecīgā ES tiesību akta vienība pārņemta vai ieviesta</w:t>
                  </w:r>
                  <w:r w:rsidR="007D0FC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5B6FEE4E" w14:textId="77777777" w:rsidR="00EF1203" w:rsidRPr="00FA44D0" w:rsidRDefault="00EF1203" w:rsidP="00F962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01609D7" w14:textId="77777777" w:rsidR="00EF1203" w:rsidRPr="00FA44D0" w:rsidRDefault="00EF1203" w:rsidP="00F962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8845F57" w14:textId="77777777" w:rsidR="00EF1203" w:rsidRPr="00FA44D0" w:rsidRDefault="00EF1203" w:rsidP="00F962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94A452E" w14:textId="77777777" w:rsidR="00EF1203" w:rsidRPr="00FA44D0" w:rsidRDefault="00EF1203" w:rsidP="00F962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14CAE82" w14:textId="77777777" w:rsidR="00EF1203" w:rsidRPr="00FA44D0" w:rsidRDefault="00EF1203" w:rsidP="00F962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2" w:type="dxa"/>
                  <w:shd w:val="clear" w:color="auto" w:fill="auto"/>
                </w:tcPr>
                <w:p w14:paraId="15CF7EEE" w14:textId="77777777" w:rsidR="00EF1203" w:rsidRPr="00FA44D0" w:rsidRDefault="00EF1203" w:rsidP="00F962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44D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Informācija par to, vai šīs tabulas A ailē minētās ES tiesību akta vienības tiek pārņemtas vai </w:t>
                  </w:r>
                  <w:r w:rsidRPr="00FA44D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ieviestas pilnībā vai daļēji.</w:t>
                  </w:r>
                </w:p>
                <w:p w14:paraId="544531CC" w14:textId="77777777" w:rsidR="00EF1203" w:rsidRPr="00FA44D0" w:rsidRDefault="00EF1203" w:rsidP="00F962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44D0">
                    <w:rPr>
                      <w:rFonts w:ascii="Times New Roman" w:hAnsi="Times New Roman"/>
                      <w:sz w:val="24"/>
                      <w:szCs w:val="24"/>
                    </w:rPr>
                    <w:t>Ja attiecīgā ES tiesību akta vienība tiek pārņemta vai ieviesta daļēji,- sniedz attiecīgu skaidrojumu, kā arī precīzi norāda, kad un kādā veidā ES tiesību akta vienība tiks pārņemta vai ieviesta pilnībā.</w:t>
                  </w:r>
                </w:p>
                <w:p w14:paraId="7D9447EE" w14:textId="77777777" w:rsidR="00EF1203" w:rsidRPr="00FA44D0" w:rsidRDefault="00EF1203" w:rsidP="00F962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44D0">
                    <w:rPr>
                      <w:rFonts w:ascii="Times New Roman" w:hAnsi="Times New Roman"/>
                      <w:sz w:val="24"/>
                      <w:szCs w:val="24"/>
                    </w:rPr>
                    <w:t>Norāda institūciju, kas ir atbildīga par šo saistību izpildi pilnībā.</w:t>
                  </w:r>
                </w:p>
                <w:p w14:paraId="3C987A16" w14:textId="77777777" w:rsidR="00EF1203" w:rsidRPr="00FA44D0" w:rsidRDefault="00EF1203" w:rsidP="00F962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9" w:type="dxa"/>
                  <w:shd w:val="clear" w:color="auto" w:fill="auto"/>
                  <w:hideMark/>
                </w:tcPr>
                <w:p w14:paraId="409064F3" w14:textId="77777777" w:rsidR="00EF1203" w:rsidRPr="00FA44D0" w:rsidRDefault="00EF1203" w:rsidP="00F962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44D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Informācija par to, vai šīs tabulas B ailē minētās projekta vienības paredz stingrākas </w:t>
                  </w:r>
                  <w:r w:rsidRPr="00FA44D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prasības nekā šīs tabulas A ailē minētās ES tiesību akta vienības.</w:t>
                  </w:r>
                </w:p>
                <w:p w14:paraId="7E7D98A3" w14:textId="77777777" w:rsidR="00EF1203" w:rsidRPr="00FA44D0" w:rsidRDefault="00EF1203" w:rsidP="00F962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44D0">
                    <w:rPr>
                      <w:rFonts w:ascii="Times New Roman" w:hAnsi="Times New Roman"/>
                      <w:sz w:val="24"/>
                      <w:szCs w:val="24"/>
                    </w:rPr>
                    <w:t>Ja projekts satur stingrākas prasības nekā attiecīgais ES tiesību akts,- norāda pamatojumu un samērīgumu.</w:t>
                  </w:r>
                </w:p>
                <w:p w14:paraId="3355A7AB" w14:textId="77777777" w:rsidR="00EF1203" w:rsidRPr="00FA44D0" w:rsidRDefault="00EF1203" w:rsidP="00F962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44D0">
                    <w:rPr>
                      <w:rFonts w:ascii="Times New Roman" w:hAnsi="Times New Roman"/>
                      <w:sz w:val="24"/>
                      <w:szCs w:val="24"/>
                    </w:rPr>
                    <w:t>Norāda iespējamās alternatīvas (t.sk. alternatīvas, kas neparedz tiesiskā regulējuma izstrādi) - kādos gadījumos būtu iespējams izvairīties no stingrāku prasību noteikšanas, nekā paredzēts attiecīgajos ES tiesību aktos.</w:t>
                  </w:r>
                </w:p>
              </w:tc>
            </w:tr>
            <w:tr w:rsidR="00A55E3D" w:rsidRPr="00FA44D0" w14:paraId="68FB6E51" w14:textId="77777777" w:rsidTr="00F962B1">
              <w:trPr>
                <w:trHeight w:val="191"/>
              </w:trPr>
              <w:tc>
                <w:tcPr>
                  <w:tcW w:w="2455" w:type="dxa"/>
                  <w:shd w:val="clear" w:color="auto" w:fill="auto"/>
                </w:tcPr>
                <w:p w14:paraId="2DCD0A60" w14:textId="644934B6" w:rsidR="00A55E3D" w:rsidRPr="00FA44D0" w:rsidRDefault="00A55E3D" w:rsidP="000E3578">
                  <w:pPr>
                    <w:spacing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E3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Regulas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(ES) </w:t>
                  </w:r>
                  <w:r w:rsidRPr="00A55E3D">
                    <w:rPr>
                      <w:rFonts w:ascii="Times New Roman" w:hAnsi="Times New Roman"/>
                      <w:sz w:val="24"/>
                      <w:szCs w:val="24"/>
                    </w:rPr>
                    <w:t>2018/1139 137. pants</w:t>
                  </w:r>
                </w:p>
              </w:tc>
              <w:tc>
                <w:tcPr>
                  <w:tcW w:w="2270" w:type="dxa"/>
                  <w:shd w:val="clear" w:color="auto" w:fill="auto"/>
                </w:tcPr>
                <w:p w14:paraId="2E13C77D" w14:textId="65059085" w:rsidR="00A55E3D" w:rsidRPr="00FA44D0" w:rsidRDefault="005E6AF1" w:rsidP="00F962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Projekta </w:t>
                  </w:r>
                  <w:r w:rsidR="00A55E3D">
                    <w:rPr>
                      <w:rFonts w:ascii="Times New Roman" w:hAnsi="Times New Roman"/>
                      <w:sz w:val="24"/>
                      <w:szCs w:val="24"/>
                    </w:rPr>
                    <w:t>3.1</w:t>
                  </w:r>
                  <w:r w:rsidR="000E357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A55E3D">
                    <w:rPr>
                      <w:rFonts w:ascii="Times New Roman" w:hAnsi="Times New Roman"/>
                      <w:sz w:val="24"/>
                      <w:szCs w:val="24"/>
                    </w:rPr>
                    <w:t xml:space="preserve"> punkts</w:t>
                  </w:r>
                </w:p>
              </w:tc>
              <w:tc>
                <w:tcPr>
                  <w:tcW w:w="2192" w:type="dxa"/>
                  <w:shd w:val="clear" w:color="auto" w:fill="auto"/>
                </w:tcPr>
                <w:p w14:paraId="47D8CC3E" w14:textId="657C4CC7" w:rsidR="00A55E3D" w:rsidRPr="00FA44D0" w:rsidRDefault="00A55E3D" w:rsidP="00F962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E3D">
                    <w:rPr>
                      <w:rFonts w:ascii="Times New Roman" w:hAnsi="Times New Roman"/>
                      <w:sz w:val="24"/>
                      <w:szCs w:val="24"/>
                    </w:rPr>
                    <w:t>Tiesību norma pārņemta pilnībā</w:t>
                  </w:r>
                </w:p>
              </w:tc>
              <w:tc>
                <w:tcPr>
                  <w:tcW w:w="1919" w:type="dxa"/>
                  <w:shd w:val="clear" w:color="auto" w:fill="auto"/>
                </w:tcPr>
                <w:p w14:paraId="63204B73" w14:textId="6E00DBE3" w:rsidR="00A55E3D" w:rsidRPr="00FA44D0" w:rsidRDefault="00A55E3D" w:rsidP="00F962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E3D">
                    <w:rPr>
                      <w:rFonts w:ascii="Times New Roman" w:hAnsi="Times New Roman"/>
                      <w:sz w:val="24"/>
                      <w:szCs w:val="24"/>
                    </w:rPr>
                    <w:t>Projekts stingrākas prasības neparedz</w:t>
                  </w:r>
                </w:p>
              </w:tc>
            </w:tr>
            <w:tr w:rsidR="00A55E3D" w:rsidRPr="00FA44D0" w14:paraId="2FD971EC" w14:textId="77777777" w:rsidTr="00F962B1">
              <w:trPr>
                <w:trHeight w:val="191"/>
              </w:trPr>
              <w:tc>
                <w:tcPr>
                  <w:tcW w:w="2455" w:type="dxa"/>
                  <w:shd w:val="clear" w:color="auto" w:fill="auto"/>
                </w:tcPr>
                <w:p w14:paraId="3A9698C2" w14:textId="0F322E57" w:rsidR="00A55E3D" w:rsidRPr="00A55E3D" w:rsidRDefault="00A55E3D" w:rsidP="000E3578">
                  <w:pPr>
                    <w:spacing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E3D">
                    <w:rPr>
                      <w:rFonts w:ascii="Times New Roman" w:hAnsi="Times New Roman"/>
                      <w:sz w:val="24"/>
                      <w:szCs w:val="24"/>
                    </w:rPr>
                    <w:t xml:space="preserve">Regulas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(ES) </w:t>
                  </w:r>
                  <w:r w:rsidRPr="00A55E3D">
                    <w:rPr>
                      <w:rFonts w:ascii="Times New Roman" w:hAnsi="Times New Roman"/>
                      <w:sz w:val="24"/>
                      <w:szCs w:val="24"/>
                    </w:rPr>
                    <w:t>2018/1139 137. pants</w:t>
                  </w:r>
                </w:p>
              </w:tc>
              <w:tc>
                <w:tcPr>
                  <w:tcW w:w="2270" w:type="dxa"/>
                  <w:shd w:val="clear" w:color="auto" w:fill="auto"/>
                </w:tcPr>
                <w:p w14:paraId="3E6F2D75" w14:textId="2605F77A" w:rsidR="00A55E3D" w:rsidRDefault="005E6AF1" w:rsidP="00F962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Projekta </w:t>
                  </w:r>
                  <w:r w:rsidR="00A55E3D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  <w:r w:rsidR="000E3578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  <w:r w:rsidR="00A55E3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B3B91">
                    <w:rPr>
                      <w:rFonts w:ascii="Times New Roman" w:hAnsi="Times New Roman"/>
                      <w:sz w:val="24"/>
                      <w:szCs w:val="24"/>
                    </w:rPr>
                    <w:t>punkts</w:t>
                  </w:r>
                </w:p>
              </w:tc>
              <w:tc>
                <w:tcPr>
                  <w:tcW w:w="2192" w:type="dxa"/>
                  <w:shd w:val="clear" w:color="auto" w:fill="auto"/>
                </w:tcPr>
                <w:p w14:paraId="4A2FB952" w14:textId="4E6EC4EA" w:rsidR="00A55E3D" w:rsidRPr="00FA44D0" w:rsidRDefault="00A55E3D" w:rsidP="00F962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E3D">
                    <w:rPr>
                      <w:rFonts w:ascii="Times New Roman" w:hAnsi="Times New Roman"/>
                      <w:sz w:val="24"/>
                      <w:szCs w:val="24"/>
                    </w:rPr>
                    <w:t>Tiesību norma pārņemta pilnībā</w:t>
                  </w:r>
                </w:p>
              </w:tc>
              <w:tc>
                <w:tcPr>
                  <w:tcW w:w="1919" w:type="dxa"/>
                  <w:shd w:val="clear" w:color="auto" w:fill="auto"/>
                </w:tcPr>
                <w:p w14:paraId="23E55422" w14:textId="66CC9602" w:rsidR="00A55E3D" w:rsidRPr="00FA44D0" w:rsidRDefault="00A55E3D" w:rsidP="00F962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5E3D">
                    <w:rPr>
                      <w:rFonts w:ascii="Times New Roman" w:hAnsi="Times New Roman"/>
                      <w:sz w:val="24"/>
                      <w:szCs w:val="24"/>
                    </w:rPr>
                    <w:t>Projekts stingrākas prasības neparedz</w:t>
                  </w:r>
                </w:p>
              </w:tc>
            </w:tr>
          </w:tbl>
          <w:p w14:paraId="22E45685" w14:textId="6AE5EF17" w:rsidR="00EF1203" w:rsidRPr="00636383" w:rsidRDefault="00EF1203" w:rsidP="00F9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71243B3E" w14:textId="77777777" w:rsidR="00636383" w:rsidRPr="00636383" w:rsidRDefault="00636383" w:rsidP="00636383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63638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lastRenderedPageBreak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FA051F" w:rsidRPr="00636383" w14:paraId="5978BAC0" w14:textId="77777777" w:rsidTr="00DA31C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1ADE4" w14:textId="77777777" w:rsidR="00636383" w:rsidRPr="00636383" w:rsidRDefault="00636383" w:rsidP="006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A051F" w:rsidRPr="00636383" w14:paraId="4F490A5A" w14:textId="77777777" w:rsidTr="00DA31C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13710" w14:textId="77777777" w:rsidR="00636383" w:rsidRPr="00636383" w:rsidRDefault="00636383" w:rsidP="006363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A1616" w14:textId="77777777" w:rsidR="00636383" w:rsidRPr="00636383" w:rsidRDefault="00636383" w:rsidP="006363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E2974" w14:textId="60F72B6E" w:rsidR="00636383" w:rsidRPr="00636383" w:rsidRDefault="00B20405" w:rsidP="00F9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2040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Atbilstoši Ministru kabineta 2009.gada 25.augusta noteikumu Nr.970 „Sabiedrības līdzdalības kārtība attīstības plānošanas procesā” 7.4.</w:t>
            </w:r>
            <w:r w:rsidRPr="00B26CF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lv-LV"/>
              </w:rPr>
              <w:t>1</w:t>
            </w:r>
            <w:r w:rsidRPr="00B2040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apakšpunktam sabiedrībai tika dota iespēja rakstiski sniegt viedokli par noteikumu projektu tā izstrādes stadijā.</w:t>
            </w:r>
          </w:p>
        </w:tc>
      </w:tr>
      <w:tr w:rsidR="00FA051F" w:rsidRPr="00636383" w14:paraId="1A6F2755" w14:textId="77777777" w:rsidTr="00DA31C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EF5EA" w14:textId="77777777" w:rsidR="00636383" w:rsidRPr="00636383" w:rsidRDefault="00636383" w:rsidP="006363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CD5F7" w14:textId="77777777" w:rsidR="00636383" w:rsidRPr="00636383" w:rsidRDefault="00636383" w:rsidP="006363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95B45" w14:textId="299D8333" w:rsidR="00636383" w:rsidRPr="00636383" w:rsidRDefault="00B20405" w:rsidP="00B26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2040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Par noteikumu projekta izstrādi tika informēti sabiedrības pārstāvji, ievietojot paziņojumu par līdzdalības iespējām tiesību akta izstrādes procesā Satiksmes ministrijas tīmekļa vietnē 2019.gada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29.oktobrī</w:t>
            </w:r>
            <w:r w:rsidR="004A63C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h</w:t>
            </w:r>
            <w:r w:rsidRPr="00B2040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ttp://www.sam.gov.lv/sm/content/?cat=553 </w:t>
            </w:r>
          </w:p>
        </w:tc>
      </w:tr>
      <w:tr w:rsidR="00FA051F" w:rsidRPr="00636383" w14:paraId="2AC9E213" w14:textId="77777777" w:rsidTr="00DA31C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4A35F" w14:textId="77777777" w:rsidR="00636383" w:rsidRPr="00636383" w:rsidRDefault="00636383" w:rsidP="006363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C55E5" w14:textId="77777777" w:rsidR="00636383" w:rsidRPr="00636383" w:rsidRDefault="00636383" w:rsidP="006363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7F8A0" w14:textId="1ABF1478" w:rsidR="00636383" w:rsidRPr="00636383" w:rsidRDefault="001D3D07" w:rsidP="006363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Iebildumi </w:t>
            </w:r>
            <w:r w:rsidR="003F7F4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vai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500ED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priekšlikumi netika saņemti</w:t>
            </w:r>
            <w:r w:rsidR="003F7F4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FA051F" w:rsidRPr="00636383" w14:paraId="048F47A6" w14:textId="77777777" w:rsidTr="00DA31C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2C57A" w14:textId="77777777" w:rsidR="00636383" w:rsidRPr="00636383" w:rsidRDefault="00636383" w:rsidP="006363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E933E" w14:textId="77777777" w:rsidR="00636383" w:rsidRPr="00636383" w:rsidRDefault="00636383" w:rsidP="006363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374A9" w14:textId="47FBC424" w:rsidR="00636383" w:rsidRPr="00636383" w:rsidRDefault="00636383" w:rsidP="006363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CB08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07BC4D07" w14:textId="77777777" w:rsidR="00636383" w:rsidRPr="00636383" w:rsidRDefault="00636383" w:rsidP="00636383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63638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FA051F" w:rsidRPr="00636383" w14:paraId="02BC97D2" w14:textId="77777777" w:rsidTr="00DA31C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3AEFA" w14:textId="77777777" w:rsidR="00636383" w:rsidRPr="00636383" w:rsidRDefault="00636383" w:rsidP="0063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A051F" w:rsidRPr="00636383" w14:paraId="295F5D78" w14:textId="77777777" w:rsidTr="00DA31C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91574" w14:textId="77777777" w:rsidR="00636383" w:rsidRPr="00636383" w:rsidRDefault="00636383" w:rsidP="006363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8C588" w14:textId="77777777" w:rsidR="00636383" w:rsidRPr="00636383" w:rsidRDefault="00636383" w:rsidP="006363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EBA57" w14:textId="7E3054B4" w:rsidR="00636383" w:rsidRPr="00636383" w:rsidRDefault="000E3578" w:rsidP="006363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Valsts akciju sabiedrība “Elektroniskie </w:t>
            </w:r>
            <w:r w:rsidR="001750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akari”</w:t>
            </w:r>
          </w:p>
        </w:tc>
      </w:tr>
      <w:tr w:rsidR="00FA051F" w:rsidRPr="00636383" w14:paraId="1DB6D8B1" w14:textId="77777777" w:rsidTr="00DA31C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19178" w14:textId="77777777" w:rsidR="00636383" w:rsidRPr="00636383" w:rsidRDefault="00636383" w:rsidP="006363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6905E" w14:textId="77777777" w:rsidR="00636383" w:rsidRPr="00636383" w:rsidRDefault="00636383" w:rsidP="006363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8CEC2" w14:textId="45DE591F" w:rsidR="000E3578" w:rsidRPr="000E3578" w:rsidRDefault="000E3578" w:rsidP="00F9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E35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</w:t>
            </w:r>
            <w:bookmarkStart w:id="0" w:name="_GoBack"/>
            <w:bookmarkEnd w:id="0"/>
            <w:r w:rsidRPr="000E35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kumu projekta īstenošana tiks veikta esošo cilvēkresursu ietvaros. </w:t>
            </w:r>
            <w:r w:rsidR="00CB0862" w:rsidRPr="008B5A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Saistībā ar </w:t>
            </w:r>
            <w:r w:rsidR="00CB08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="00CB0862" w:rsidRPr="008B5A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izstrādi nebūs nepieciešams veidot jaunas institūcijas vai likvidēt vai reorganizēt esošās.</w:t>
            </w:r>
          </w:p>
          <w:p w14:paraId="3E5D55F1" w14:textId="62076106" w:rsidR="00636383" w:rsidRPr="00636383" w:rsidRDefault="00636383" w:rsidP="00F9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FA051F" w:rsidRPr="00636383" w14:paraId="2CAE91D1" w14:textId="77777777" w:rsidTr="00DA31C8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3C57C" w14:textId="77777777" w:rsidR="00636383" w:rsidRPr="00636383" w:rsidRDefault="00636383" w:rsidP="006363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BEEF4" w14:textId="77777777" w:rsidR="00636383" w:rsidRPr="00636383" w:rsidRDefault="00636383" w:rsidP="006363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AD65D" w14:textId="1103D98F" w:rsidR="00636383" w:rsidRPr="00636383" w:rsidRDefault="00636383" w:rsidP="006363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CB086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401CC535" w14:textId="77777777" w:rsidR="00636383" w:rsidRPr="00636383" w:rsidRDefault="00636383" w:rsidP="0063638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AC66AA1" w14:textId="77777777" w:rsidR="00636383" w:rsidRPr="00636383" w:rsidRDefault="00636383" w:rsidP="0063638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8F57D4E" w14:textId="2F810A60" w:rsidR="00636383" w:rsidRPr="00017257" w:rsidRDefault="00636383" w:rsidP="00636383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72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Satiksmes ministrs</w:t>
      </w:r>
      <w:r w:rsidRPr="000172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886391" w:rsidRPr="000172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</w:t>
      </w:r>
      <w:proofErr w:type="spellStart"/>
      <w:r w:rsidRPr="000172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r w:rsidR="004E0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0172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Linkaits</w:t>
      </w:r>
      <w:proofErr w:type="spellEnd"/>
    </w:p>
    <w:p w14:paraId="1CD4D282" w14:textId="77777777" w:rsidR="00636383" w:rsidRPr="00017257" w:rsidRDefault="00636383" w:rsidP="00636383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B9C8F68" w14:textId="77777777" w:rsidR="00636383" w:rsidRPr="00017257" w:rsidRDefault="00636383" w:rsidP="00636383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C672E27" w14:textId="77777777" w:rsidR="00886391" w:rsidRPr="00017257" w:rsidRDefault="00886391" w:rsidP="00F962B1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72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Vīza: </w:t>
      </w:r>
    </w:p>
    <w:p w14:paraId="30365BE1" w14:textId="01805402" w:rsidR="00636383" w:rsidRPr="00017257" w:rsidRDefault="00D228DF" w:rsidP="00F962B1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</w:t>
      </w:r>
      <w:r w:rsidR="00886391" w:rsidRPr="000172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alsts sekretāra </w:t>
      </w:r>
      <w:proofErr w:type="spellStart"/>
      <w:r w:rsidR="00886391" w:rsidRPr="000172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p.i</w:t>
      </w:r>
      <w:proofErr w:type="spellEnd"/>
      <w:r w:rsidR="00886391" w:rsidRPr="000172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886391" w:rsidRPr="000172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886391" w:rsidRPr="000172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886391" w:rsidRPr="000172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</w:t>
      </w:r>
      <w:proofErr w:type="spellStart"/>
      <w:r w:rsidR="00886391" w:rsidRPr="000172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Dž</w:t>
      </w:r>
      <w:r w:rsidR="004E0E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886391" w:rsidRPr="000172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Innusa</w:t>
      </w:r>
      <w:proofErr w:type="spellEnd"/>
    </w:p>
    <w:p w14:paraId="306F8B13" w14:textId="77777777" w:rsidR="00636383" w:rsidRPr="00636383" w:rsidRDefault="00636383" w:rsidP="00636383">
      <w:pPr>
        <w:tabs>
          <w:tab w:val="left" w:pos="6237"/>
        </w:tabs>
        <w:spacing w:after="0" w:line="240" w:lineRule="auto"/>
        <w:ind w:firstLine="7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340809F" w14:textId="77777777" w:rsidR="002E369F" w:rsidRPr="00FA051F" w:rsidRDefault="002E369F">
      <w:pPr>
        <w:rPr>
          <w:color w:val="000000" w:themeColor="text1"/>
        </w:rPr>
      </w:pPr>
    </w:p>
    <w:sectPr w:rsidR="002E369F" w:rsidRPr="00FA051F" w:rsidSect="00DA31C8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C60C8" w14:textId="77777777" w:rsidR="00DA31C8" w:rsidRDefault="00DA31C8">
      <w:pPr>
        <w:spacing w:after="0" w:line="240" w:lineRule="auto"/>
      </w:pPr>
      <w:r>
        <w:separator/>
      </w:r>
    </w:p>
  </w:endnote>
  <w:endnote w:type="continuationSeparator" w:id="0">
    <w:p w14:paraId="3B799CA4" w14:textId="77777777" w:rsidR="00DA31C8" w:rsidRDefault="00DA31C8">
      <w:pPr>
        <w:spacing w:after="0" w:line="240" w:lineRule="auto"/>
      </w:pPr>
      <w:r>
        <w:continuationSeparator/>
      </w:r>
    </w:p>
  </w:endnote>
  <w:endnote w:type="continuationNotice" w:id="1">
    <w:p w14:paraId="43793366" w14:textId="77777777" w:rsidR="007A6251" w:rsidRDefault="007A62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E4AB3" w14:textId="4A2FCB83" w:rsidR="00DA31C8" w:rsidRPr="00894C55" w:rsidRDefault="00DA31C8">
    <w:pPr>
      <w:pStyle w:val="Footer"/>
      <w:rPr>
        <w:rFonts w:ascii="Times New Roman" w:hAnsi="Times New Roman" w:cs="Times New Roman"/>
        <w:sz w:val="20"/>
        <w:szCs w:val="20"/>
      </w:rPr>
    </w:pPr>
    <w:r w:rsidRPr="00547D80">
      <w:rPr>
        <w:rFonts w:ascii="Times New Roman" w:hAnsi="Times New Roman" w:cs="Times New Roman"/>
        <w:sz w:val="20"/>
        <w:szCs w:val="20"/>
      </w:rPr>
      <w:t>SManot_</w:t>
    </w:r>
    <w:r>
      <w:rPr>
        <w:rFonts w:ascii="Times New Roman" w:hAnsi="Times New Roman" w:cs="Times New Roman"/>
        <w:sz w:val="20"/>
        <w:szCs w:val="20"/>
      </w:rPr>
      <w:t>29</w:t>
    </w:r>
    <w:r w:rsidRPr="00547D80">
      <w:rPr>
        <w:rFonts w:ascii="Times New Roman" w:hAnsi="Times New Roman" w:cs="Times New Roman"/>
        <w:sz w:val="20"/>
        <w:szCs w:val="20"/>
      </w:rPr>
      <w:t>1019_grozMK208</w:t>
    </w: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0BDDE" w14:textId="0B6EC633" w:rsidR="00DA31C8" w:rsidRPr="009A2654" w:rsidRDefault="00DA31C8">
    <w:pPr>
      <w:pStyle w:val="Footer"/>
      <w:rPr>
        <w:rFonts w:ascii="Times New Roman" w:hAnsi="Times New Roman" w:cs="Times New Roman"/>
        <w:sz w:val="20"/>
        <w:szCs w:val="20"/>
      </w:rPr>
    </w:pPr>
    <w:r w:rsidRPr="00547D80">
      <w:rPr>
        <w:rFonts w:ascii="Times New Roman" w:hAnsi="Times New Roman" w:cs="Times New Roman"/>
        <w:sz w:val="20"/>
        <w:szCs w:val="20"/>
      </w:rPr>
      <w:t>SManot_</w:t>
    </w:r>
    <w:r>
      <w:rPr>
        <w:rFonts w:ascii="Times New Roman" w:hAnsi="Times New Roman" w:cs="Times New Roman"/>
        <w:sz w:val="20"/>
        <w:szCs w:val="20"/>
      </w:rPr>
      <w:t>29</w:t>
    </w:r>
    <w:r w:rsidRPr="00547D80">
      <w:rPr>
        <w:rFonts w:ascii="Times New Roman" w:hAnsi="Times New Roman" w:cs="Times New Roman"/>
        <w:sz w:val="20"/>
        <w:szCs w:val="20"/>
      </w:rPr>
      <w:t>1019_grozMK208</w:t>
    </w: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21103" w14:textId="77777777" w:rsidR="00DA31C8" w:rsidRDefault="00DA31C8">
      <w:pPr>
        <w:spacing w:after="0" w:line="240" w:lineRule="auto"/>
      </w:pPr>
      <w:r>
        <w:separator/>
      </w:r>
    </w:p>
  </w:footnote>
  <w:footnote w:type="continuationSeparator" w:id="0">
    <w:p w14:paraId="58199691" w14:textId="77777777" w:rsidR="00DA31C8" w:rsidRDefault="00DA31C8">
      <w:pPr>
        <w:spacing w:after="0" w:line="240" w:lineRule="auto"/>
      </w:pPr>
      <w:r>
        <w:continuationSeparator/>
      </w:r>
    </w:p>
  </w:footnote>
  <w:footnote w:type="continuationNotice" w:id="1">
    <w:p w14:paraId="7AC83106" w14:textId="77777777" w:rsidR="007A6251" w:rsidRDefault="007A62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3D4B" w14:textId="77777777" w:rsidR="00DA31C8" w:rsidRPr="00C25B49" w:rsidRDefault="00DA31C8">
    <w:pPr>
      <w:pStyle w:val="Header"/>
      <w:jc w:val="center"/>
      <w:rPr>
        <w:rFonts w:ascii="Times New Roman" w:hAnsi="Times New Roman" w:cs="Times New Roman"/>
        <w:sz w:val="24"/>
        <w:szCs w:val="20"/>
      </w:rPr>
    </w:pPr>
    <w:r w:rsidRPr="00C25B49">
      <w:rPr>
        <w:rFonts w:ascii="Times New Roman" w:hAnsi="Times New Roman" w:cs="Times New Roman"/>
        <w:sz w:val="24"/>
        <w:szCs w:val="20"/>
      </w:rPr>
      <w:fldChar w:fldCharType="begin"/>
    </w:r>
    <w:r w:rsidRPr="00C25B49">
      <w:rPr>
        <w:rFonts w:ascii="Times New Roman" w:hAnsi="Times New Roman" w:cs="Times New Roman"/>
        <w:sz w:val="24"/>
        <w:szCs w:val="20"/>
      </w:rPr>
      <w:instrText xml:space="preserve"> PAGE   \* MERGEFORMAT </w:instrText>
    </w:r>
    <w:r w:rsidRPr="00C25B49">
      <w:rPr>
        <w:rFonts w:ascii="Times New Roman" w:hAnsi="Times New Roman" w:cs="Times New Roman"/>
        <w:sz w:val="24"/>
        <w:szCs w:val="20"/>
      </w:rPr>
      <w:fldChar w:fldCharType="separate"/>
    </w:r>
    <w:r>
      <w:rPr>
        <w:rFonts w:ascii="Times New Roman" w:hAnsi="Times New Roman" w:cs="Times New Roman"/>
        <w:noProof/>
        <w:sz w:val="24"/>
        <w:szCs w:val="20"/>
      </w:rPr>
      <w:t>2</w:t>
    </w:r>
    <w:r w:rsidRPr="00C25B49">
      <w:rPr>
        <w:rFonts w:ascii="Times New Roman" w:hAnsi="Times New Roman" w:cs="Times New Roman"/>
        <w:noProof/>
        <w:sz w:val="24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83"/>
    <w:rsid w:val="00017257"/>
    <w:rsid w:val="0002161B"/>
    <w:rsid w:val="000E3578"/>
    <w:rsid w:val="00175083"/>
    <w:rsid w:val="00185001"/>
    <w:rsid w:val="001B3B91"/>
    <w:rsid w:val="001D3D07"/>
    <w:rsid w:val="001F4650"/>
    <w:rsid w:val="00267686"/>
    <w:rsid w:val="00274100"/>
    <w:rsid w:val="002C1A60"/>
    <w:rsid w:val="002E2F62"/>
    <w:rsid w:val="002E369F"/>
    <w:rsid w:val="0030707B"/>
    <w:rsid w:val="003365C4"/>
    <w:rsid w:val="003474BF"/>
    <w:rsid w:val="00363254"/>
    <w:rsid w:val="00363764"/>
    <w:rsid w:val="003F7F4C"/>
    <w:rsid w:val="004321FF"/>
    <w:rsid w:val="00446C74"/>
    <w:rsid w:val="00461714"/>
    <w:rsid w:val="004872AE"/>
    <w:rsid w:val="004A496F"/>
    <w:rsid w:val="004A63C0"/>
    <w:rsid w:val="004D52A0"/>
    <w:rsid w:val="004D5A20"/>
    <w:rsid w:val="004E0E9B"/>
    <w:rsid w:val="00500ED3"/>
    <w:rsid w:val="00547D80"/>
    <w:rsid w:val="005835F7"/>
    <w:rsid w:val="00594EFF"/>
    <w:rsid w:val="005C2FBF"/>
    <w:rsid w:val="005E2F1D"/>
    <w:rsid w:val="005E6AF1"/>
    <w:rsid w:val="006105F6"/>
    <w:rsid w:val="006354E8"/>
    <w:rsid w:val="00636383"/>
    <w:rsid w:val="00640640"/>
    <w:rsid w:val="00644639"/>
    <w:rsid w:val="00655FF3"/>
    <w:rsid w:val="006C2023"/>
    <w:rsid w:val="006D1219"/>
    <w:rsid w:val="006D15B8"/>
    <w:rsid w:val="006D7E5C"/>
    <w:rsid w:val="006F3DA6"/>
    <w:rsid w:val="007316B8"/>
    <w:rsid w:val="0078275E"/>
    <w:rsid w:val="007A6251"/>
    <w:rsid w:val="007B5BC6"/>
    <w:rsid w:val="007D0FC1"/>
    <w:rsid w:val="008511E2"/>
    <w:rsid w:val="00863247"/>
    <w:rsid w:val="00883098"/>
    <w:rsid w:val="00886391"/>
    <w:rsid w:val="0088667E"/>
    <w:rsid w:val="008B2161"/>
    <w:rsid w:val="008F2606"/>
    <w:rsid w:val="009649EC"/>
    <w:rsid w:val="00A25B3C"/>
    <w:rsid w:val="00A55E3D"/>
    <w:rsid w:val="00AA7FEB"/>
    <w:rsid w:val="00AD651A"/>
    <w:rsid w:val="00B20405"/>
    <w:rsid w:val="00B26CF1"/>
    <w:rsid w:val="00B34DA7"/>
    <w:rsid w:val="00B43D31"/>
    <w:rsid w:val="00BA0520"/>
    <w:rsid w:val="00C037FA"/>
    <w:rsid w:val="00C05F49"/>
    <w:rsid w:val="00CB0862"/>
    <w:rsid w:val="00CB7BFC"/>
    <w:rsid w:val="00D14096"/>
    <w:rsid w:val="00D228DF"/>
    <w:rsid w:val="00D22B5D"/>
    <w:rsid w:val="00D260F5"/>
    <w:rsid w:val="00D91889"/>
    <w:rsid w:val="00DA31C8"/>
    <w:rsid w:val="00DB0DD7"/>
    <w:rsid w:val="00E23ED3"/>
    <w:rsid w:val="00E96EA8"/>
    <w:rsid w:val="00EF1203"/>
    <w:rsid w:val="00F32DC3"/>
    <w:rsid w:val="00F56BEE"/>
    <w:rsid w:val="00F60E2E"/>
    <w:rsid w:val="00F7236F"/>
    <w:rsid w:val="00F962B1"/>
    <w:rsid w:val="00FA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189F"/>
  <w15:chartTrackingRefBased/>
  <w15:docId w15:val="{CD27B4DB-A2EF-40F4-8B5D-BB8AFC32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83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636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83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36383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636383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636383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63638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36383"/>
    <w:rPr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83"/>
    <w:rPr>
      <w:rFonts w:ascii="Segoe UI" w:hAnsi="Segoe UI" w:cs="Segoe UI"/>
      <w:sz w:val="18"/>
      <w:szCs w:val="18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5F7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5835F7"/>
    <w:rPr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5835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5D6CF-5C4E-4AB4-9F7A-9730F54A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4524</Words>
  <Characters>2580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</vt:lpstr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Anotācija</dc:subject>
  <dc:creator>Emīls Dombrovskis</dc:creator>
  <cp:keywords/>
  <dc:description>emils.dombrovskis@sam.gov.lv
+371 67028398</dc:description>
  <cp:lastModifiedBy>Baiba Jirgena</cp:lastModifiedBy>
  <cp:revision>29</cp:revision>
  <cp:lastPrinted>2019-07-10T10:32:00Z</cp:lastPrinted>
  <dcterms:created xsi:type="dcterms:W3CDTF">2019-10-29T10:24:00Z</dcterms:created>
  <dcterms:modified xsi:type="dcterms:W3CDTF">2019-11-12T07:18:00Z</dcterms:modified>
</cp:coreProperties>
</file>