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D082" w14:textId="77777777" w:rsidR="00E06B7D" w:rsidRPr="00BD2C9B" w:rsidRDefault="00E06B7D" w:rsidP="00E06B7D">
      <w:pPr>
        <w:pStyle w:val="NormalWeb"/>
        <w:spacing w:before="0" w:beforeAutospacing="0" w:after="0" w:afterAutospacing="0"/>
        <w:jc w:val="center"/>
        <w:rPr>
          <w:rFonts w:ascii="Times New Roman" w:hAnsi="Times New Roman"/>
          <w:b/>
          <w:bCs/>
          <w:sz w:val="24"/>
          <w:szCs w:val="24"/>
          <w:lang w:val="lv-LV" w:eastAsia="lv-LV"/>
        </w:rPr>
      </w:pPr>
      <w:r w:rsidRPr="004C5DAC">
        <w:rPr>
          <w:rFonts w:ascii="Times New Roman" w:hAnsi="Times New Roman"/>
          <w:b/>
          <w:bCs/>
          <w:sz w:val="24"/>
          <w:szCs w:val="24"/>
          <w:lang w:val="lv-LV" w:eastAsia="lv-LV"/>
        </w:rPr>
        <w:t>Ministru kabineta noteikumu projekta “</w:t>
      </w:r>
      <w:r>
        <w:rPr>
          <w:rFonts w:ascii="Times New Roman" w:hAnsi="Times New Roman"/>
          <w:b/>
          <w:bCs/>
          <w:sz w:val="24"/>
          <w:szCs w:val="24"/>
          <w:lang w:val="lv-LV" w:eastAsia="lv-LV"/>
        </w:rPr>
        <w:t xml:space="preserve">Grozījumi Ministru kabineta 2018. gada 21. augusta noteikumos Nr. 531 “Noteikumi par neatkarīgu ekspertu kompetences novērtēšanu un profesionālās darbības uzraudzību ēku energoefektivitātes jomā”” </w:t>
      </w:r>
      <w:r w:rsidRPr="004C5DAC">
        <w:rPr>
          <w:rFonts w:ascii="Times New Roman" w:hAnsi="Times New Roman"/>
          <w:b/>
          <w:bCs/>
          <w:sz w:val="24"/>
          <w:szCs w:val="24"/>
          <w:lang w:val="lv-LV" w:eastAsia="lv-LV"/>
        </w:rPr>
        <w:t>sākotnējās ietekmes novērtējuma ziņojums (anotācija)</w:t>
      </w:r>
    </w:p>
    <w:p w14:paraId="5F1AEA29" w14:textId="77777777" w:rsidR="00E06B7D" w:rsidRPr="004C5DAC" w:rsidRDefault="00E06B7D" w:rsidP="00E06B7D">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1"/>
        <w:gridCol w:w="6198"/>
      </w:tblGrid>
      <w:tr w:rsidR="00E06B7D" w:rsidRPr="004C5DAC" w14:paraId="6630A0BD" w14:textId="77777777" w:rsidTr="00E06B7D">
        <w:trPr>
          <w:cantSplit/>
        </w:trPr>
        <w:tc>
          <w:tcPr>
            <w:tcW w:w="9242" w:type="dxa"/>
            <w:gridSpan w:val="2"/>
            <w:shd w:val="clear" w:color="auto" w:fill="FFFFFF"/>
            <w:vAlign w:val="center"/>
            <w:hideMark/>
          </w:tcPr>
          <w:p w14:paraId="269611AB" w14:textId="77777777" w:rsidR="00E06B7D" w:rsidRPr="004C5DAC" w:rsidRDefault="00E06B7D" w:rsidP="00E06B7D">
            <w:pPr>
              <w:jc w:val="center"/>
              <w:rPr>
                <w:b/>
                <w:iCs/>
                <w:lang w:eastAsia="en-US"/>
              </w:rPr>
            </w:pPr>
            <w:r w:rsidRPr="004C5DAC">
              <w:rPr>
                <w:b/>
                <w:iCs/>
                <w:lang w:eastAsia="en-US"/>
              </w:rPr>
              <w:t>Tiesību akta projekta anotācijas kopsavilkums</w:t>
            </w:r>
          </w:p>
        </w:tc>
      </w:tr>
      <w:tr w:rsidR="00E06B7D" w:rsidRPr="004C5DAC" w14:paraId="77FA1FA4" w14:textId="77777777" w:rsidTr="00E06B7D">
        <w:trPr>
          <w:cantSplit/>
        </w:trPr>
        <w:tc>
          <w:tcPr>
            <w:tcW w:w="2996" w:type="dxa"/>
            <w:shd w:val="clear" w:color="auto" w:fill="FFFFFF"/>
            <w:hideMark/>
          </w:tcPr>
          <w:p w14:paraId="729367C5" w14:textId="77777777" w:rsidR="00E06B7D" w:rsidRPr="004C5DAC" w:rsidRDefault="00E06B7D" w:rsidP="00E06B7D">
            <w:pPr>
              <w:rPr>
                <w:iCs/>
                <w:lang w:eastAsia="en-US"/>
              </w:rPr>
            </w:pPr>
            <w:r w:rsidRPr="004C5DAC">
              <w:rPr>
                <w:iCs/>
                <w:lang w:eastAsia="en-US"/>
              </w:rPr>
              <w:t>Mērķis, risinājums un projekta spēkā stāšanās laiks (500 zīmes bez atstarpēm)</w:t>
            </w:r>
          </w:p>
        </w:tc>
        <w:tc>
          <w:tcPr>
            <w:tcW w:w="6246" w:type="dxa"/>
            <w:shd w:val="clear" w:color="auto" w:fill="FFFFFF"/>
            <w:hideMark/>
          </w:tcPr>
          <w:p w14:paraId="1C00ED1A" w14:textId="77777777" w:rsidR="00E06B7D" w:rsidRDefault="00E06B7D" w:rsidP="00E06B7D">
            <w:pPr>
              <w:jc w:val="both"/>
            </w:pPr>
            <w:r w:rsidRPr="00AD537B">
              <w:t xml:space="preserve">Noteikumu projekta mērķis ir </w:t>
            </w:r>
            <w:r>
              <w:t xml:space="preserve">pilnveidot neatkarīgu ekspertu profesionālo kvalifikāciju un uzraudzības procesus. </w:t>
            </w:r>
          </w:p>
          <w:p w14:paraId="6A94ADB9" w14:textId="15819E36" w:rsidR="00E06B7D" w:rsidRDefault="00E06B7D" w:rsidP="00E06B7D">
            <w:pPr>
              <w:jc w:val="both"/>
            </w:pPr>
            <w:r>
              <w:t>Lai sasniegtu minēto mērķi</w:t>
            </w:r>
            <w:r w:rsidR="00AD3667">
              <w:t>,</w:t>
            </w:r>
            <w:r>
              <w:t xml:space="preserve"> noteikumu projekts paredz: </w:t>
            </w:r>
          </w:p>
          <w:p w14:paraId="64D983A6" w14:textId="77777777" w:rsidR="00E06B7D" w:rsidRDefault="00E06B7D" w:rsidP="00E06B7D">
            <w:pPr>
              <w:pStyle w:val="ListParagraph"/>
              <w:numPr>
                <w:ilvl w:val="0"/>
                <w:numId w:val="3"/>
              </w:numPr>
              <w:jc w:val="both"/>
            </w:pPr>
            <w:r>
              <w:t>īslaicīgu profesionālo pakalpojumu sniedzēju reģistrāciju</w:t>
            </w:r>
            <w:r w:rsidRPr="00AD537B">
              <w:t xml:space="preserve"> neatkarīgu </w:t>
            </w:r>
            <w:r>
              <w:t xml:space="preserve">ekspertu </w:t>
            </w:r>
            <w:r w:rsidRPr="00AD537B">
              <w:t>reģistrā ēku energoefektivitātes jomā</w:t>
            </w:r>
            <w:r>
              <w:t>;</w:t>
            </w:r>
          </w:p>
          <w:p w14:paraId="079C514C" w14:textId="77777777" w:rsidR="00E06B7D" w:rsidRDefault="00E06B7D" w:rsidP="00E06B7D">
            <w:pPr>
              <w:pStyle w:val="ListParagraph"/>
              <w:numPr>
                <w:ilvl w:val="0"/>
                <w:numId w:val="3"/>
              </w:numPr>
              <w:jc w:val="both"/>
            </w:pPr>
            <w:r>
              <w:t xml:space="preserve">standartu abonēšanas pazeminātu gada maksu 30 </w:t>
            </w:r>
            <w:proofErr w:type="spellStart"/>
            <w:r w:rsidRPr="00951E2E">
              <w:rPr>
                <w:i/>
                <w:iCs/>
              </w:rPr>
              <w:t>euro</w:t>
            </w:r>
            <w:proofErr w:type="spellEnd"/>
            <w:r>
              <w:t xml:space="preserve"> apmērā</w:t>
            </w:r>
            <w:r w:rsidRPr="00AD537B">
              <w:t xml:space="preserve"> sertificētajiem neatkarīgiem ekspertiem </w:t>
            </w:r>
            <w:r>
              <w:t>(</w:t>
            </w:r>
            <w:r w:rsidRPr="00AD537B">
              <w:t>pievienojot standartu abonēšanas maksu patstāvīgās prakses uzraudzības gada maksai par darbības jomu ar agrāko piešķiršanas datumu</w:t>
            </w:r>
            <w:r>
              <w:t>);</w:t>
            </w:r>
          </w:p>
          <w:p w14:paraId="12E789DC" w14:textId="53B8DC93" w:rsidR="00E06B7D" w:rsidRPr="00AD537B" w:rsidRDefault="00E06B7D" w:rsidP="00E06B7D">
            <w:pPr>
              <w:pStyle w:val="ListParagraph"/>
              <w:numPr>
                <w:ilvl w:val="0"/>
                <w:numId w:val="3"/>
              </w:numPr>
              <w:jc w:val="both"/>
            </w:pPr>
            <w:r>
              <w:t>gadījumus, kuros kompetences pārbaudes iestāde uzaicina neatkarīgo ekspertu uz komp</w:t>
            </w:r>
            <w:r w:rsidR="00951E2E">
              <w:t>e</w:t>
            </w:r>
            <w:r>
              <w:t xml:space="preserve">tences novērtēšanu. </w:t>
            </w:r>
          </w:p>
          <w:p w14:paraId="57A067B4" w14:textId="218FCC5B" w:rsidR="00E06B7D" w:rsidRPr="00AD537B" w:rsidRDefault="00E06B7D" w:rsidP="00E06B7D">
            <w:pPr>
              <w:jc w:val="both"/>
            </w:pPr>
            <w:r w:rsidRPr="00AD537B">
              <w:t>Noteikum</w:t>
            </w:r>
            <w:r w:rsidR="00AD3667">
              <w:t>i</w:t>
            </w:r>
            <w:r w:rsidRPr="00AD537B">
              <w:t xml:space="preserve"> stā</w:t>
            </w:r>
            <w:r w:rsidR="00AD3667">
              <w:t>sie</w:t>
            </w:r>
            <w:r w:rsidRPr="00AD537B">
              <w:t>s spēkā 2020.</w:t>
            </w:r>
            <w:r w:rsidR="00AD3667">
              <w:t> </w:t>
            </w:r>
            <w:r w:rsidRPr="00FE13B6">
              <w:t>gada 1.</w:t>
            </w:r>
            <w:r w:rsidR="00AD3667" w:rsidRPr="00FE13B6">
              <w:t> </w:t>
            </w:r>
            <w:r w:rsidRPr="00FE13B6">
              <w:t>j</w:t>
            </w:r>
            <w:r w:rsidR="00FE13B6" w:rsidRPr="00FE13B6">
              <w:t>ūlijā</w:t>
            </w:r>
            <w:r w:rsidRPr="00FE13B6">
              <w:t>.</w:t>
            </w:r>
          </w:p>
          <w:p w14:paraId="3FB759BB" w14:textId="77777777" w:rsidR="00E06B7D" w:rsidRPr="00430299" w:rsidRDefault="00E06B7D" w:rsidP="00E06B7D">
            <w:pPr>
              <w:ind w:firstLine="109"/>
              <w:jc w:val="both"/>
              <w:rPr>
                <w:sz w:val="28"/>
              </w:rPr>
            </w:pPr>
          </w:p>
        </w:tc>
      </w:tr>
    </w:tbl>
    <w:p w14:paraId="519CC612" w14:textId="77777777" w:rsidR="00E06B7D" w:rsidRPr="00161647" w:rsidRDefault="00E06B7D" w:rsidP="00E06B7D">
      <w:pPr>
        <w:pStyle w:val="Title"/>
        <w:spacing w:before="130" w:line="260" w:lineRule="exact"/>
        <w:jc w:val="both"/>
        <w:rPr>
          <w:sz w:val="32"/>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E06B7D" w:rsidRPr="004C5DAC" w14:paraId="4C6C9A49" w14:textId="77777777" w:rsidTr="00E06B7D">
        <w:tc>
          <w:tcPr>
            <w:tcW w:w="5000" w:type="pct"/>
            <w:gridSpan w:val="3"/>
            <w:vAlign w:val="center"/>
            <w:hideMark/>
          </w:tcPr>
          <w:p w14:paraId="0667852C" w14:textId="77777777" w:rsidR="00E06B7D" w:rsidRPr="004C5DAC" w:rsidRDefault="00E06B7D" w:rsidP="00E06B7D">
            <w:pPr>
              <w:widowControl w:val="0"/>
              <w:jc w:val="center"/>
              <w:rPr>
                <w:b/>
                <w:bCs/>
              </w:rPr>
            </w:pPr>
            <w:r w:rsidRPr="004C5DAC">
              <w:rPr>
                <w:b/>
                <w:bCs/>
              </w:rPr>
              <w:t>I. Tiesību akta projekta izstrādes nepieciešamība</w:t>
            </w:r>
          </w:p>
        </w:tc>
      </w:tr>
      <w:tr w:rsidR="00E06B7D" w:rsidRPr="004C5DAC" w14:paraId="517B1F55" w14:textId="77777777" w:rsidTr="00E06B7D">
        <w:tc>
          <w:tcPr>
            <w:tcW w:w="281" w:type="pct"/>
            <w:hideMark/>
          </w:tcPr>
          <w:p w14:paraId="7D67D049" w14:textId="77777777" w:rsidR="00E06B7D" w:rsidRPr="004C5DAC" w:rsidRDefault="00E06B7D" w:rsidP="00E06B7D">
            <w:pPr>
              <w:widowControl w:val="0"/>
              <w:jc w:val="center"/>
            </w:pPr>
            <w:r w:rsidRPr="004C5DAC">
              <w:t>1.</w:t>
            </w:r>
          </w:p>
        </w:tc>
        <w:tc>
          <w:tcPr>
            <w:tcW w:w="1339" w:type="pct"/>
            <w:hideMark/>
          </w:tcPr>
          <w:p w14:paraId="12AE84B2" w14:textId="77777777" w:rsidR="00E06B7D" w:rsidRPr="004C5DAC" w:rsidRDefault="00E06B7D" w:rsidP="00E06B7D">
            <w:pPr>
              <w:widowControl w:val="0"/>
            </w:pPr>
            <w:r w:rsidRPr="004C5DAC">
              <w:t>Pamatojums</w:t>
            </w:r>
          </w:p>
        </w:tc>
        <w:tc>
          <w:tcPr>
            <w:tcW w:w="3380" w:type="pct"/>
            <w:hideMark/>
          </w:tcPr>
          <w:p w14:paraId="4C256406" w14:textId="77777777" w:rsidR="00E06B7D" w:rsidRPr="00430299" w:rsidRDefault="00E06B7D" w:rsidP="00E06B7D">
            <w:pPr>
              <w:widowControl w:val="0"/>
              <w:jc w:val="both"/>
              <w:rPr>
                <w:sz w:val="14"/>
              </w:rPr>
            </w:pPr>
            <w:r w:rsidRPr="00EC57E0">
              <w:t>Ekonomikas ministrijas iniciatīva</w:t>
            </w:r>
          </w:p>
        </w:tc>
      </w:tr>
      <w:tr w:rsidR="00E06B7D" w:rsidRPr="004C5DAC" w14:paraId="066D32AF" w14:textId="77777777" w:rsidTr="00E06B7D">
        <w:tc>
          <w:tcPr>
            <w:tcW w:w="281" w:type="pct"/>
            <w:hideMark/>
          </w:tcPr>
          <w:p w14:paraId="7B6DE1F5" w14:textId="77777777" w:rsidR="00E06B7D" w:rsidRPr="004C5DAC" w:rsidRDefault="00E06B7D" w:rsidP="00E06B7D">
            <w:pPr>
              <w:widowControl w:val="0"/>
              <w:jc w:val="center"/>
            </w:pPr>
            <w:r w:rsidRPr="004C5DAC">
              <w:t>2.</w:t>
            </w:r>
          </w:p>
        </w:tc>
        <w:tc>
          <w:tcPr>
            <w:tcW w:w="1339" w:type="pct"/>
            <w:hideMark/>
          </w:tcPr>
          <w:p w14:paraId="0A1E4303" w14:textId="77777777" w:rsidR="00E06B7D" w:rsidRDefault="00E06B7D" w:rsidP="00E06B7D">
            <w:pPr>
              <w:widowControl w:val="0"/>
            </w:pPr>
            <w:r w:rsidRPr="004C5DAC">
              <w:t>Pašreizējā situācija un problēmas, kuru risināšanai tiesību akta projekts izstrādāts, tiesiskā regulējuma mērķis un būtība</w:t>
            </w:r>
          </w:p>
          <w:p w14:paraId="2950EF24" w14:textId="77777777" w:rsidR="00AD3667" w:rsidRPr="00AD3667" w:rsidRDefault="00AD3667" w:rsidP="00AD3667"/>
          <w:p w14:paraId="270C012B" w14:textId="77777777" w:rsidR="00AD3667" w:rsidRPr="00AD3667" w:rsidRDefault="00AD3667" w:rsidP="00AD3667"/>
          <w:p w14:paraId="0DFA3BC1" w14:textId="77777777" w:rsidR="00AD3667" w:rsidRPr="00AD3667" w:rsidRDefault="00AD3667" w:rsidP="00AD3667"/>
          <w:p w14:paraId="65EBA59B" w14:textId="77777777" w:rsidR="00AD3667" w:rsidRPr="00AD3667" w:rsidRDefault="00AD3667" w:rsidP="00AD3667"/>
          <w:p w14:paraId="71A4134B" w14:textId="77777777" w:rsidR="00AD3667" w:rsidRPr="00AD3667" w:rsidRDefault="00AD3667" w:rsidP="00AD3667"/>
          <w:p w14:paraId="13F3EB9D" w14:textId="77777777" w:rsidR="00AD3667" w:rsidRPr="00AD3667" w:rsidRDefault="00AD3667" w:rsidP="00AD3667"/>
          <w:p w14:paraId="6F0FC3EB" w14:textId="77777777" w:rsidR="00AD3667" w:rsidRPr="00AD3667" w:rsidRDefault="00AD3667" w:rsidP="00AD3667"/>
          <w:p w14:paraId="76059C48" w14:textId="77777777" w:rsidR="00AD3667" w:rsidRPr="00AD3667" w:rsidRDefault="00AD3667" w:rsidP="00AD3667"/>
          <w:p w14:paraId="2E768BED" w14:textId="77777777" w:rsidR="00AD3667" w:rsidRPr="00AD3667" w:rsidRDefault="00AD3667" w:rsidP="00AD3667"/>
          <w:p w14:paraId="5A298410" w14:textId="77777777" w:rsidR="00AD3667" w:rsidRPr="00AD3667" w:rsidRDefault="00AD3667" w:rsidP="00AD3667"/>
          <w:p w14:paraId="2138B248" w14:textId="77777777" w:rsidR="00AD3667" w:rsidRPr="00AD3667" w:rsidRDefault="00AD3667" w:rsidP="00AD3667"/>
          <w:p w14:paraId="2EF55A58" w14:textId="77777777" w:rsidR="00AD3667" w:rsidRPr="00AD3667" w:rsidRDefault="00AD3667" w:rsidP="00AD3667"/>
          <w:p w14:paraId="7560D028" w14:textId="77777777" w:rsidR="00AD3667" w:rsidRPr="00AD3667" w:rsidRDefault="00AD3667" w:rsidP="00AD3667"/>
          <w:p w14:paraId="16002C7E" w14:textId="77777777" w:rsidR="00AD3667" w:rsidRPr="00AD3667" w:rsidRDefault="00AD3667" w:rsidP="00AD3667"/>
          <w:p w14:paraId="60603504" w14:textId="77777777" w:rsidR="00AD3667" w:rsidRPr="00AD3667" w:rsidRDefault="00AD3667" w:rsidP="00AD3667"/>
          <w:p w14:paraId="2D134345" w14:textId="77777777" w:rsidR="00AD3667" w:rsidRPr="00AD3667" w:rsidRDefault="00AD3667" w:rsidP="00AD3667"/>
          <w:p w14:paraId="7D444199" w14:textId="0D70DD70" w:rsidR="00AD3667" w:rsidRDefault="00AD3667" w:rsidP="00AD3667"/>
          <w:p w14:paraId="3DEBC7F0" w14:textId="77777777" w:rsidR="00E43C5A" w:rsidRPr="00E43C5A" w:rsidRDefault="00E43C5A" w:rsidP="00E43C5A"/>
          <w:p w14:paraId="4F5510C3" w14:textId="77777777" w:rsidR="00E43C5A" w:rsidRPr="00E43C5A" w:rsidRDefault="00E43C5A" w:rsidP="00E43C5A"/>
          <w:p w14:paraId="5A6F928D" w14:textId="77777777" w:rsidR="00E43C5A" w:rsidRPr="00E43C5A" w:rsidRDefault="00E43C5A" w:rsidP="00E43C5A"/>
          <w:p w14:paraId="507673CC" w14:textId="77777777" w:rsidR="00E43C5A" w:rsidRPr="00E43C5A" w:rsidRDefault="00E43C5A" w:rsidP="00E43C5A"/>
          <w:p w14:paraId="726DC104" w14:textId="77777777" w:rsidR="00E43C5A" w:rsidRPr="00E43C5A" w:rsidRDefault="00E43C5A" w:rsidP="00E43C5A"/>
          <w:p w14:paraId="1E4C0BDE" w14:textId="77777777" w:rsidR="00E43C5A" w:rsidRPr="00E43C5A" w:rsidRDefault="00E43C5A" w:rsidP="00E43C5A"/>
          <w:p w14:paraId="7910C902" w14:textId="77777777" w:rsidR="00E43C5A" w:rsidRPr="00E43C5A" w:rsidRDefault="00E43C5A" w:rsidP="00E43C5A"/>
          <w:p w14:paraId="1A2EB3CB" w14:textId="77777777" w:rsidR="00E43C5A" w:rsidRPr="00E43C5A" w:rsidRDefault="00E43C5A" w:rsidP="00E43C5A"/>
          <w:p w14:paraId="1CDB545A" w14:textId="77777777" w:rsidR="00E43C5A" w:rsidRPr="00E43C5A" w:rsidRDefault="00E43C5A" w:rsidP="00E43C5A"/>
          <w:p w14:paraId="44A7E43A" w14:textId="77777777" w:rsidR="00E43C5A" w:rsidRPr="00E43C5A" w:rsidRDefault="00E43C5A" w:rsidP="00E43C5A"/>
          <w:p w14:paraId="19D59603" w14:textId="77777777" w:rsidR="00E43C5A" w:rsidRPr="00E43C5A" w:rsidRDefault="00E43C5A" w:rsidP="00E43C5A"/>
          <w:p w14:paraId="5CF8BBCD" w14:textId="77777777" w:rsidR="00E43C5A" w:rsidRPr="00E43C5A" w:rsidRDefault="00E43C5A" w:rsidP="00E43C5A"/>
          <w:p w14:paraId="4C4A594C" w14:textId="77777777" w:rsidR="00AD3667" w:rsidRPr="00AD3667" w:rsidRDefault="00AD3667" w:rsidP="00AD3667"/>
          <w:p w14:paraId="77A77294" w14:textId="77777777" w:rsidR="00AD3667" w:rsidRPr="00AD3667" w:rsidRDefault="00AD3667" w:rsidP="00AD3667"/>
          <w:p w14:paraId="44458AD2" w14:textId="77777777" w:rsidR="00AD3667" w:rsidRPr="00AD3667" w:rsidRDefault="00AD3667" w:rsidP="00AD3667"/>
          <w:p w14:paraId="11C0D842" w14:textId="77777777" w:rsidR="00AD3667" w:rsidRPr="00AD3667" w:rsidRDefault="00AD3667" w:rsidP="00AD3667"/>
          <w:p w14:paraId="073F921F" w14:textId="77777777" w:rsidR="00AD3667" w:rsidRDefault="00AD3667" w:rsidP="00AD3667"/>
          <w:p w14:paraId="08094D86" w14:textId="77777777" w:rsidR="00AD3667" w:rsidRDefault="00AD3667" w:rsidP="00AD3667"/>
          <w:p w14:paraId="74D7816E" w14:textId="77777777" w:rsidR="00951E2E" w:rsidRPr="00951E2E" w:rsidRDefault="00951E2E" w:rsidP="00951E2E"/>
          <w:p w14:paraId="6CDBC3D5" w14:textId="77777777" w:rsidR="00951E2E" w:rsidRPr="00951E2E" w:rsidRDefault="00951E2E" w:rsidP="00951E2E"/>
          <w:p w14:paraId="55B4EFAC" w14:textId="77777777" w:rsidR="00951E2E" w:rsidRPr="00951E2E" w:rsidRDefault="00951E2E" w:rsidP="00951E2E"/>
          <w:p w14:paraId="6455A978" w14:textId="77777777" w:rsidR="00951E2E" w:rsidRPr="00951E2E" w:rsidRDefault="00951E2E" w:rsidP="00951E2E"/>
          <w:p w14:paraId="27FAC336" w14:textId="77777777" w:rsidR="00951E2E" w:rsidRPr="00951E2E" w:rsidRDefault="00951E2E" w:rsidP="00951E2E"/>
          <w:p w14:paraId="0B215E51" w14:textId="77777777" w:rsidR="00951E2E" w:rsidRPr="00951E2E" w:rsidRDefault="00951E2E" w:rsidP="00951E2E"/>
          <w:p w14:paraId="2438DF9A" w14:textId="77777777" w:rsidR="00951E2E" w:rsidRPr="00951E2E" w:rsidRDefault="00951E2E" w:rsidP="00951E2E"/>
          <w:p w14:paraId="16C4EDD4" w14:textId="77777777" w:rsidR="00951E2E" w:rsidRPr="00951E2E" w:rsidRDefault="00951E2E" w:rsidP="00951E2E"/>
          <w:p w14:paraId="2D6EA0C3" w14:textId="77777777" w:rsidR="00951E2E" w:rsidRPr="00951E2E" w:rsidRDefault="00951E2E" w:rsidP="00951E2E"/>
          <w:p w14:paraId="6E3144BD" w14:textId="77777777" w:rsidR="00951E2E" w:rsidRPr="00951E2E" w:rsidRDefault="00951E2E" w:rsidP="00951E2E"/>
          <w:p w14:paraId="365136BB" w14:textId="77777777" w:rsidR="00951E2E" w:rsidRPr="00951E2E" w:rsidRDefault="00951E2E" w:rsidP="00951E2E"/>
          <w:p w14:paraId="6F995CC5" w14:textId="77777777" w:rsidR="00951E2E" w:rsidRPr="00951E2E" w:rsidRDefault="00951E2E" w:rsidP="00951E2E"/>
          <w:p w14:paraId="44AD2FF4" w14:textId="77777777" w:rsidR="00951E2E" w:rsidRPr="00951E2E" w:rsidRDefault="00951E2E" w:rsidP="00951E2E"/>
          <w:p w14:paraId="298D1417" w14:textId="77777777" w:rsidR="00951E2E" w:rsidRPr="00951E2E" w:rsidRDefault="00951E2E" w:rsidP="00951E2E"/>
          <w:p w14:paraId="0E43C62D" w14:textId="77777777" w:rsidR="00951E2E" w:rsidRPr="00951E2E" w:rsidRDefault="00951E2E" w:rsidP="00951E2E"/>
          <w:p w14:paraId="4BD9C2A4" w14:textId="77777777" w:rsidR="00951E2E" w:rsidRPr="00951E2E" w:rsidRDefault="00951E2E" w:rsidP="00951E2E"/>
          <w:p w14:paraId="16D75CE2" w14:textId="77777777" w:rsidR="00951E2E" w:rsidRPr="00951E2E" w:rsidRDefault="00951E2E" w:rsidP="00951E2E"/>
          <w:p w14:paraId="75663625" w14:textId="77777777" w:rsidR="00951E2E" w:rsidRPr="00951E2E" w:rsidRDefault="00951E2E" w:rsidP="00951E2E"/>
          <w:p w14:paraId="1B0A9A13" w14:textId="77777777" w:rsidR="00951E2E" w:rsidRPr="00951E2E" w:rsidRDefault="00951E2E" w:rsidP="00951E2E"/>
          <w:p w14:paraId="36B2FCB3" w14:textId="77777777" w:rsidR="00951E2E" w:rsidRPr="00951E2E" w:rsidRDefault="00951E2E" w:rsidP="00951E2E"/>
          <w:p w14:paraId="762F3FBB" w14:textId="77777777" w:rsidR="00951E2E" w:rsidRPr="00951E2E" w:rsidRDefault="00951E2E" w:rsidP="00951E2E"/>
          <w:p w14:paraId="3BDDA7E2" w14:textId="77777777" w:rsidR="00951E2E" w:rsidRPr="00951E2E" w:rsidRDefault="00951E2E" w:rsidP="00951E2E"/>
          <w:p w14:paraId="24E9544A" w14:textId="77777777" w:rsidR="00951E2E" w:rsidRPr="00951E2E" w:rsidRDefault="00951E2E" w:rsidP="00951E2E"/>
          <w:p w14:paraId="69501EC9" w14:textId="77777777" w:rsidR="00951E2E" w:rsidRPr="00951E2E" w:rsidRDefault="00951E2E" w:rsidP="00951E2E"/>
          <w:p w14:paraId="13CF8247" w14:textId="77777777" w:rsidR="00951E2E" w:rsidRPr="00951E2E" w:rsidRDefault="00951E2E" w:rsidP="00951E2E"/>
          <w:p w14:paraId="27F2BAC9" w14:textId="77777777" w:rsidR="00951E2E" w:rsidRPr="00951E2E" w:rsidRDefault="00951E2E" w:rsidP="00951E2E"/>
          <w:p w14:paraId="2CC5C20B" w14:textId="77777777" w:rsidR="00951E2E" w:rsidRPr="00951E2E" w:rsidRDefault="00951E2E" w:rsidP="00951E2E"/>
          <w:p w14:paraId="7743EC88" w14:textId="77777777" w:rsidR="00951E2E" w:rsidRPr="00951E2E" w:rsidRDefault="00951E2E" w:rsidP="00951E2E"/>
          <w:p w14:paraId="44160B37" w14:textId="77777777" w:rsidR="00951E2E" w:rsidRPr="00951E2E" w:rsidRDefault="00951E2E" w:rsidP="00951E2E"/>
          <w:p w14:paraId="039EE89D" w14:textId="77777777" w:rsidR="00951E2E" w:rsidRPr="00951E2E" w:rsidRDefault="00951E2E" w:rsidP="00951E2E"/>
          <w:p w14:paraId="16372CB1" w14:textId="77777777" w:rsidR="00951E2E" w:rsidRPr="00951E2E" w:rsidRDefault="00951E2E" w:rsidP="00951E2E"/>
          <w:p w14:paraId="4C3515E4" w14:textId="77777777" w:rsidR="00951E2E" w:rsidRPr="00951E2E" w:rsidRDefault="00951E2E" w:rsidP="00951E2E"/>
          <w:p w14:paraId="254C7674" w14:textId="77777777" w:rsidR="00951E2E" w:rsidRPr="00951E2E" w:rsidRDefault="00951E2E" w:rsidP="00951E2E"/>
          <w:p w14:paraId="3428711F" w14:textId="77777777" w:rsidR="00951E2E" w:rsidRPr="00951E2E" w:rsidRDefault="00951E2E" w:rsidP="00951E2E"/>
          <w:p w14:paraId="25123A0A" w14:textId="77777777" w:rsidR="00951E2E" w:rsidRPr="00951E2E" w:rsidRDefault="00951E2E" w:rsidP="00951E2E"/>
          <w:p w14:paraId="61C05B56" w14:textId="77777777" w:rsidR="00951E2E" w:rsidRPr="00951E2E" w:rsidRDefault="00951E2E" w:rsidP="00951E2E"/>
          <w:p w14:paraId="71150C1D" w14:textId="77777777" w:rsidR="00951E2E" w:rsidRPr="00951E2E" w:rsidRDefault="00951E2E" w:rsidP="00951E2E"/>
          <w:p w14:paraId="47AF8D73" w14:textId="77777777" w:rsidR="00951E2E" w:rsidRPr="00951E2E" w:rsidRDefault="00951E2E" w:rsidP="00951E2E"/>
          <w:p w14:paraId="0213811A" w14:textId="77777777" w:rsidR="00951E2E" w:rsidRPr="00951E2E" w:rsidRDefault="00951E2E" w:rsidP="00951E2E"/>
          <w:p w14:paraId="2D3511D5" w14:textId="77777777" w:rsidR="00951E2E" w:rsidRPr="00951E2E" w:rsidRDefault="00951E2E" w:rsidP="00951E2E"/>
          <w:p w14:paraId="797AEF46" w14:textId="77777777" w:rsidR="00951E2E" w:rsidRPr="00951E2E" w:rsidRDefault="00951E2E" w:rsidP="00951E2E"/>
          <w:p w14:paraId="6245BED7" w14:textId="77777777" w:rsidR="00951E2E" w:rsidRPr="00951E2E" w:rsidRDefault="00951E2E" w:rsidP="00951E2E"/>
          <w:p w14:paraId="16D8C5A7" w14:textId="77777777" w:rsidR="00951E2E" w:rsidRPr="00951E2E" w:rsidRDefault="00951E2E" w:rsidP="00951E2E"/>
          <w:p w14:paraId="07E3C6A6" w14:textId="1C5D2E5D" w:rsidR="00951E2E" w:rsidRDefault="00951E2E" w:rsidP="00951E2E"/>
          <w:p w14:paraId="3DC856A4" w14:textId="77777777" w:rsidR="00951E2E" w:rsidRPr="00951E2E" w:rsidRDefault="00951E2E" w:rsidP="00951E2E"/>
          <w:p w14:paraId="2CDC595E" w14:textId="77777777" w:rsidR="00951E2E" w:rsidRPr="00951E2E" w:rsidRDefault="00951E2E" w:rsidP="00951E2E"/>
          <w:p w14:paraId="08D594AA" w14:textId="77777777" w:rsidR="00951E2E" w:rsidRPr="00951E2E" w:rsidRDefault="00951E2E" w:rsidP="00951E2E"/>
          <w:p w14:paraId="25AFE3AE" w14:textId="77777777" w:rsidR="00951E2E" w:rsidRPr="00951E2E" w:rsidRDefault="00951E2E" w:rsidP="00951E2E"/>
          <w:p w14:paraId="44AD14BA" w14:textId="77777777" w:rsidR="00951E2E" w:rsidRPr="00951E2E" w:rsidRDefault="00951E2E" w:rsidP="00951E2E"/>
          <w:p w14:paraId="218D9CFC" w14:textId="77777777" w:rsidR="00951E2E" w:rsidRPr="00951E2E" w:rsidRDefault="00951E2E" w:rsidP="00951E2E"/>
          <w:p w14:paraId="41826B4A" w14:textId="484887C6" w:rsidR="00951E2E" w:rsidRPr="00951E2E" w:rsidRDefault="00951E2E" w:rsidP="00951E2E"/>
        </w:tc>
        <w:tc>
          <w:tcPr>
            <w:tcW w:w="3380" w:type="pct"/>
            <w:hideMark/>
          </w:tcPr>
          <w:p w14:paraId="435AD651" w14:textId="3E5C7FE7" w:rsidR="00E06B7D" w:rsidRDefault="00E06B7D" w:rsidP="00E06B7D">
            <w:pPr>
              <w:pStyle w:val="ListParagraph"/>
              <w:numPr>
                <w:ilvl w:val="0"/>
                <w:numId w:val="5"/>
              </w:numPr>
              <w:ind w:left="-18" w:firstLine="207"/>
              <w:jc w:val="both"/>
            </w:pPr>
            <w:r>
              <w:lastRenderedPageBreak/>
              <w:t>Attiecībā uz  īslaicīgu profesionālo pakalpojumu sniedzēju reģistrāciju</w:t>
            </w:r>
            <w:r w:rsidRPr="00AD537B">
              <w:t xml:space="preserve"> neatkarīgu </w:t>
            </w:r>
            <w:r>
              <w:t xml:space="preserve">ekspertu </w:t>
            </w:r>
            <w:r w:rsidRPr="00AD537B">
              <w:t>reģistrā ēku energoefektivitātes jomā</w:t>
            </w:r>
            <w:r>
              <w:t xml:space="preserve"> l</w:t>
            </w:r>
            <w:r w:rsidRPr="00AD537B">
              <w:t xml:space="preserve">ikuma “Par reglamentētajām profesijām un profesionālās kvalifikācijas atzīšanu” (turpmāk – likums) </w:t>
            </w:r>
            <w:r>
              <w:t>42.</w:t>
            </w:r>
            <w:r w:rsidR="00AD3667">
              <w:t> </w:t>
            </w:r>
            <w:r>
              <w:t>panta astot</w:t>
            </w:r>
            <w:r w:rsidRPr="00AD537B">
              <w:t>ā daļa nosaka, ka institūcija, kas izsniedz profesionālās kvalifikācijas atzīšanas apliecības, reģistrē īslaicīgu profesionālo pakalpojumu sniedzēju, ja darbībai reglamentētajā profesijā Latvijas Republikā saskaņā ar normatīvajiem aktiem ir nepieciešama reģistrācija profesionālajā organizācijā vai reģistrā, vai nosūta lēmuma izsniegt atļauju īslaicīgu profesionālo pakalpojumu sniegšanai, deklarācijas un tai pievienoto dokumentu kopijas institūcijai, kura veic pagaidu reģistrāciju.</w:t>
            </w:r>
          </w:p>
          <w:p w14:paraId="1CF2640F" w14:textId="76850107" w:rsidR="00E06B7D" w:rsidRPr="00AD3667" w:rsidRDefault="00E06B7D" w:rsidP="00AD3667">
            <w:pPr>
              <w:pStyle w:val="CommentText"/>
              <w:spacing w:after="0" w:line="240" w:lineRule="auto"/>
              <w:jc w:val="both"/>
              <w:rPr>
                <w:rFonts w:ascii="Times New Roman" w:hAnsi="Times New Roman"/>
                <w:sz w:val="24"/>
                <w:szCs w:val="24"/>
              </w:rPr>
            </w:pPr>
            <w:r w:rsidRPr="00E06B7D">
              <w:rPr>
                <w:rFonts w:ascii="Times New Roman" w:eastAsia="Times New Roman" w:hAnsi="Times New Roman"/>
                <w:sz w:val="24"/>
                <w:szCs w:val="24"/>
                <w:lang w:eastAsia="lv-LV"/>
              </w:rPr>
              <w:t>Līdz ar likuma 42.</w:t>
            </w:r>
            <w:r w:rsidR="00AD3667">
              <w:rPr>
                <w:rFonts w:ascii="Times New Roman" w:eastAsia="Times New Roman" w:hAnsi="Times New Roman"/>
                <w:sz w:val="24"/>
                <w:szCs w:val="24"/>
                <w:lang w:eastAsia="lv-LV"/>
              </w:rPr>
              <w:t> </w:t>
            </w:r>
            <w:r w:rsidRPr="00E06B7D">
              <w:rPr>
                <w:rFonts w:ascii="Times New Roman" w:eastAsia="Times New Roman" w:hAnsi="Times New Roman"/>
                <w:sz w:val="24"/>
                <w:szCs w:val="24"/>
                <w:lang w:eastAsia="lv-LV"/>
              </w:rPr>
              <w:t xml:space="preserve">panta astoto daļu </w:t>
            </w:r>
            <w:r w:rsidRPr="00E06B7D">
              <w:rPr>
                <w:rFonts w:ascii="Times New Roman" w:hAnsi="Times New Roman"/>
                <w:sz w:val="24"/>
                <w:szCs w:val="24"/>
              </w:rPr>
              <w:t>likumā “Par reglamentētajām profesijām un profesionālās kvalifikācijas atzīšanu”</w:t>
            </w:r>
            <w:r w:rsidR="00AD3667">
              <w:rPr>
                <w:rFonts w:ascii="Times New Roman" w:hAnsi="Times New Roman"/>
                <w:sz w:val="24"/>
                <w:szCs w:val="24"/>
              </w:rPr>
              <w:t xml:space="preserve"> </w:t>
            </w:r>
            <w:r w:rsidRPr="00E06B7D">
              <w:rPr>
                <w:rFonts w:ascii="Times New Roman" w:hAnsi="Times New Roman"/>
                <w:sz w:val="24"/>
                <w:szCs w:val="24"/>
              </w:rPr>
              <w:t>(ar 2008.</w:t>
            </w:r>
            <w:r w:rsidR="00AD3667">
              <w:rPr>
                <w:rFonts w:ascii="Times New Roman" w:hAnsi="Times New Roman"/>
                <w:sz w:val="24"/>
                <w:szCs w:val="24"/>
              </w:rPr>
              <w:t> </w:t>
            </w:r>
            <w:r w:rsidRPr="00E06B7D">
              <w:rPr>
                <w:rFonts w:ascii="Times New Roman" w:hAnsi="Times New Roman"/>
                <w:sz w:val="24"/>
                <w:szCs w:val="24"/>
              </w:rPr>
              <w:t>gada 17.</w:t>
            </w:r>
            <w:r w:rsidR="00AD3667">
              <w:rPr>
                <w:rFonts w:ascii="Times New Roman" w:hAnsi="Times New Roman"/>
                <w:sz w:val="24"/>
                <w:szCs w:val="24"/>
              </w:rPr>
              <w:t> </w:t>
            </w:r>
            <w:r w:rsidRPr="00E06B7D">
              <w:rPr>
                <w:rFonts w:ascii="Times New Roman" w:hAnsi="Times New Roman"/>
                <w:sz w:val="24"/>
                <w:szCs w:val="24"/>
              </w:rPr>
              <w:t>jūlija grozījumiem, kas stājās spēkā 2008.</w:t>
            </w:r>
            <w:r w:rsidR="00AD3667">
              <w:rPr>
                <w:rFonts w:ascii="Times New Roman" w:hAnsi="Times New Roman"/>
                <w:sz w:val="24"/>
                <w:szCs w:val="24"/>
              </w:rPr>
              <w:t> </w:t>
            </w:r>
            <w:r w:rsidRPr="00E06B7D">
              <w:rPr>
                <w:rFonts w:ascii="Times New Roman" w:hAnsi="Times New Roman"/>
                <w:sz w:val="24"/>
                <w:szCs w:val="24"/>
              </w:rPr>
              <w:t>gada 13.</w:t>
            </w:r>
            <w:r w:rsidR="00AD3667">
              <w:rPr>
                <w:rFonts w:ascii="Times New Roman" w:hAnsi="Times New Roman"/>
                <w:sz w:val="24"/>
                <w:szCs w:val="24"/>
              </w:rPr>
              <w:t> </w:t>
            </w:r>
            <w:r w:rsidRPr="00E06B7D">
              <w:rPr>
                <w:rFonts w:ascii="Times New Roman" w:hAnsi="Times New Roman"/>
                <w:sz w:val="24"/>
                <w:szCs w:val="24"/>
              </w:rPr>
              <w:t>augustā) i</w:t>
            </w:r>
            <w:r w:rsidRPr="00E06B7D">
              <w:rPr>
                <w:rFonts w:ascii="Times New Roman" w:eastAsia="Times New Roman" w:hAnsi="Times New Roman"/>
                <w:sz w:val="24"/>
                <w:szCs w:val="24"/>
                <w:lang w:eastAsia="lv-LV"/>
              </w:rPr>
              <w:t>r pārņemts Eiropas Parlamenta un Padomes 2005.</w:t>
            </w:r>
            <w:r w:rsidR="00AD3667">
              <w:rPr>
                <w:rFonts w:ascii="Times New Roman" w:eastAsia="Times New Roman" w:hAnsi="Times New Roman"/>
                <w:sz w:val="24"/>
                <w:szCs w:val="24"/>
                <w:lang w:eastAsia="lv-LV"/>
              </w:rPr>
              <w:t> </w:t>
            </w:r>
            <w:r w:rsidRPr="00E06B7D">
              <w:rPr>
                <w:rFonts w:ascii="Times New Roman" w:eastAsia="Times New Roman" w:hAnsi="Times New Roman"/>
                <w:sz w:val="24"/>
                <w:szCs w:val="24"/>
                <w:lang w:eastAsia="lv-LV"/>
              </w:rPr>
              <w:t>gada 7.</w:t>
            </w:r>
            <w:r w:rsidR="00AD3667">
              <w:rPr>
                <w:rFonts w:ascii="Times New Roman" w:eastAsia="Times New Roman" w:hAnsi="Times New Roman"/>
                <w:sz w:val="24"/>
                <w:szCs w:val="24"/>
                <w:lang w:eastAsia="lv-LV"/>
              </w:rPr>
              <w:t> </w:t>
            </w:r>
            <w:r w:rsidRPr="00E06B7D">
              <w:rPr>
                <w:rFonts w:ascii="Times New Roman" w:eastAsia="Times New Roman" w:hAnsi="Times New Roman"/>
                <w:sz w:val="24"/>
                <w:szCs w:val="24"/>
                <w:lang w:eastAsia="lv-LV"/>
              </w:rPr>
              <w:t>septembra Direktīvas 2005/36/EK par profesionālo kvalifikācijas atzīšanu (turpmāk – direktīva 2005/36/EK) 6.</w:t>
            </w:r>
            <w:r w:rsidR="00AD3667">
              <w:rPr>
                <w:rFonts w:ascii="Times New Roman" w:eastAsia="Times New Roman" w:hAnsi="Times New Roman"/>
                <w:sz w:val="24"/>
                <w:szCs w:val="24"/>
                <w:lang w:eastAsia="lv-LV"/>
              </w:rPr>
              <w:t> </w:t>
            </w:r>
            <w:r w:rsidRPr="00E06B7D">
              <w:rPr>
                <w:rFonts w:ascii="Times New Roman" w:eastAsia="Times New Roman" w:hAnsi="Times New Roman"/>
                <w:sz w:val="24"/>
                <w:szCs w:val="24"/>
                <w:lang w:eastAsia="lv-LV"/>
              </w:rPr>
              <w:t>panta a) punkts, kas nosaka, ka saskaņā ar 5.</w:t>
            </w:r>
            <w:r w:rsidR="00AD3667">
              <w:rPr>
                <w:rFonts w:ascii="Times New Roman" w:eastAsia="Times New Roman" w:hAnsi="Times New Roman"/>
                <w:sz w:val="24"/>
                <w:szCs w:val="24"/>
                <w:lang w:eastAsia="lv-LV"/>
              </w:rPr>
              <w:t> </w:t>
            </w:r>
            <w:r w:rsidRPr="00E06B7D">
              <w:rPr>
                <w:rFonts w:ascii="Times New Roman" w:eastAsia="Times New Roman" w:hAnsi="Times New Roman"/>
                <w:sz w:val="24"/>
                <w:szCs w:val="24"/>
                <w:lang w:eastAsia="lv-LV"/>
              </w:rPr>
              <w:t>panta 1.</w:t>
            </w:r>
            <w:r w:rsidR="00AD3667">
              <w:rPr>
                <w:rFonts w:ascii="Times New Roman" w:eastAsia="Times New Roman" w:hAnsi="Times New Roman"/>
                <w:sz w:val="24"/>
                <w:szCs w:val="24"/>
                <w:lang w:eastAsia="lv-LV"/>
              </w:rPr>
              <w:t> </w:t>
            </w:r>
            <w:r w:rsidRPr="00E06B7D">
              <w:rPr>
                <w:rFonts w:ascii="Times New Roman" w:eastAsia="Times New Roman" w:hAnsi="Times New Roman"/>
                <w:sz w:val="24"/>
                <w:szCs w:val="24"/>
                <w:lang w:eastAsia="lv-LV"/>
              </w:rPr>
              <w:t>punktu uzņēmēja dalībvalsts atbrīvo pakalpojumu sniedzējus, kuriem ir statuss citā dalībvalstī, no prasībām, ko tā profesionāļiem, kam ir statuss tās teritorijā, izvirza attiecībā uz</w:t>
            </w:r>
            <w:r w:rsidR="00AD3667" w:rsidRPr="00AD3667">
              <w:rPr>
                <w:rFonts w:ascii="Times New Roman" w:eastAsia="Times New Roman" w:hAnsi="Times New Roman"/>
                <w:sz w:val="24"/>
                <w:szCs w:val="24"/>
                <w:lang w:eastAsia="lv-LV"/>
              </w:rPr>
              <w:t xml:space="preserve"> </w:t>
            </w:r>
            <w:r w:rsidRPr="00AD3667">
              <w:rPr>
                <w:rFonts w:ascii="Times New Roman" w:hAnsi="Times New Roman"/>
                <w:sz w:val="24"/>
                <w:szCs w:val="24"/>
              </w:rPr>
              <w:lastRenderedPageBreak/>
              <w:t>profesionālas organizācijas vai struktūras atļauju, reģistrāciju vai dalību tajā. Lai veicinātu to teritorijā spēkā esošo disciplināro noteikumu piemērošanu saskaņā ar 5.</w:t>
            </w:r>
            <w:r w:rsidR="00AD3667">
              <w:rPr>
                <w:rFonts w:ascii="Times New Roman" w:hAnsi="Times New Roman"/>
                <w:sz w:val="24"/>
                <w:szCs w:val="24"/>
              </w:rPr>
              <w:t> </w:t>
            </w:r>
            <w:r w:rsidRPr="00AD3667">
              <w:rPr>
                <w:rFonts w:ascii="Times New Roman" w:hAnsi="Times New Roman"/>
                <w:sz w:val="24"/>
                <w:szCs w:val="24"/>
              </w:rPr>
              <w:t>panta 3.</w:t>
            </w:r>
            <w:r w:rsidR="00AD3667">
              <w:rPr>
                <w:rFonts w:ascii="Times New Roman" w:hAnsi="Times New Roman"/>
                <w:sz w:val="24"/>
                <w:szCs w:val="24"/>
              </w:rPr>
              <w:t> </w:t>
            </w:r>
            <w:r w:rsidRPr="00AD3667">
              <w:rPr>
                <w:rFonts w:ascii="Times New Roman" w:hAnsi="Times New Roman"/>
                <w:sz w:val="24"/>
                <w:szCs w:val="24"/>
              </w:rPr>
              <w:t xml:space="preserve">punktu, dalībvalstis var paredzēt vai nu automātisku pagaidu reģistrāciju vai </w:t>
            </w:r>
            <w:proofErr w:type="spellStart"/>
            <w:r w:rsidRPr="00AD3667">
              <w:rPr>
                <w:rFonts w:ascii="Times New Roman" w:hAnsi="Times New Roman"/>
                <w:sz w:val="24"/>
                <w:szCs w:val="24"/>
              </w:rPr>
              <w:t>pro</w:t>
            </w:r>
            <w:proofErr w:type="spellEnd"/>
            <w:r w:rsidRPr="00AD3667">
              <w:rPr>
                <w:rFonts w:ascii="Times New Roman" w:hAnsi="Times New Roman"/>
                <w:sz w:val="24"/>
                <w:szCs w:val="24"/>
              </w:rPr>
              <w:t xml:space="preserve"> forma dalību šādā profesionālā organizācijā vai struktūrā, ja šāda reģistrācija vai dalība nekādā veidā nekavē vai </w:t>
            </w:r>
            <w:proofErr w:type="spellStart"/>
            <w:r w:rsidRPr="00AD3667">
              <w:rPr>
                <w:rFonts w:ascii="Times New Roman" w:hAnsi="Times New Roman"/>
                <w:sz w:val="24"/>
                <w:szCs w:val="24"/>
              </w:rPr>
              <w:t>nesarežģī</w:t>
            </w:r>
            <w:proofErr w:type="spellEnd"/>
            <w:r w:rsidRPr="00AD3667">
              <w:rPr>
                <w:rFonts w:ascii="Times New Roman" w:hAnsi="Times New Roman"/>
                <w:sz w:val="24"/>
                <w:szCs w:val="24"/>
              </w:rPr>
              <w:t xml:space="preserve"> pakalpojumu sniegšanu un nerada papildus izmaksas pakalpojumu sniedzējam. Šīs direktīvas 7.</w:t>
            </w:r>
            <w:r w:rsidR="00AD3667">
              <w:t> </w:t>
            </w:r>
            <w:r w:rsidRPr="00AD3667">
              <w:rPr>
                <w:rFonts w:ascii="Times New Roman" w:hAnsi="Times New Roman"/>
                <w:sz w:val="24"/>
                <w:szCs w:val="24"/>
              </w:rPr>
              <w:t>panta 1.</w:t>
            </w:r>
            <w:r w:rsidR="00AD3667">
              <w:rPr>
                <w:rFonts w:ascii="Times New Roman" w:hAnsi="Times New Roman"/>
                <w:sz w:val="24"/>
                <w:szCs w:val="24"/>
              </w:rPr>
              <w:t> </w:t>
            </w:r>
            <w:r w:rsidRPr="00AD3667">
              <w:rPr>
                <w:rFonts w:ascii="Times New Roman" w:hAnsi="Times New Roman"/>
                <w:sz w:val="24"/>
                <w:szCs w:val="24"/>
              </w:rPr>
              <w:t>punktā minētās deklarācijas kopiju un, attiecīgā gadījumā, tās atjaunojuma kopiju, kam - attiecībā uz 7.</w:t>
            </w:r>
            <w:r w:rsidR="00AD3667">
              <w:rPr>
                <w:rFonts w:ascii="Times New Roman" w:hAnsi="Times New Roman"/>
                <w:sz w:val="24"/>
                <w:szCs w:val="24"/>
              </w:rPr>
              <w:t> </w:t>
            </w:r>
            <w:r w:rsidRPr="00AD3667">
              <w:rPr>
                <w:rFonts w:ascii="Times New Roman" w:hAnsi="Times New Roman"/>
                <w:sz w:val="24"/>
                <w:szCs w:val="24"/>
              </w:rPr>
              <w:t>panta 4.</w:t>
            </w:r>
            <w:r w:rsidR="00AD3667">
              <w:rPr>
                <w:rFonts w:ascii="Times New Roman" w:hAnsi="Times New Roman"/>
                <w:sz w:val="24"/>
                <w:szCs w:val="24"/>
              </w:rPr>
              <w:t> </w:t>
            </w:r>
            <w:r w:rsidRPr="00AD3667">
              <w:rPr>
                <w:rFonts w:ascii="Times New Roman" w:hAnsi="Times New Roman"/>
                <w:sz w:val="24"/>
                <w:szCs w:val="24"/>
              </w:rPr>
              <w:t>punktā minētajām profesijām, kurām ir ietekme uz sabiedrības veselību un drošību vai uz kurām saskaņā ar III sadaļas III nodaļu attiecas automātiska atzīšana - pievieno 7.</w:t>
            </w:r>
            <w:r w:rsidR="00AD3667">
              <w:rPr>
                <w:rFonts w:ascii="Times New Roman" w:hAnsi="Times New Roman"/>
                <w:sz w:val="24"/>
                <w:szCs w:val="24"/>
              </w:rPr>
              <w:t> </w:t>
            </w:r>
            <w:r w:rsidRPr="00AD3667">
              <w:rPr>
                <w:rFonts w:ascii="Times New Roman" w:hAnsi="Times New Roman"/>
                <w:sz w:val="24"/>
                <w:szCs w:val="24"/>
              </w:rPr>
              <w:t>panta 2.</w:t>
            </w:r>
            <w:r w:rsidR="00AD3667">
              <w:rPr>
                <w:rFonts w:ascii="Times New Roman" w:hAnsi="Times New Roman"/>
                <w:sz w:val="24"/>
                <w:szCs w:val="24"/>
              </w:rPr>
              <w:t> </w:t>
            </w:r>
            <w:r w:rsidRPr="00AD3667">
              <w:rPr>
                <w:rFonts w:ascii="Times New Roman" w:hAnsi="Times New Roman"/>
                <w:sz w:val="24"/>
                <w:szCs w:val="24"/>
              </w:rPr>
              <w:t xml:space="preserve">punktā minēto dokumentu kopijas, kompetentā iestāde nosūta atbilstīgajai profesionālajai organizācijai vai struktūrai; to šādā nolūkā uzskata par automātisku pagaidu reģistrāciju vai </w:t>
            </w:r>
            <w:proofErr w:type="spellStart"/>
            <w:r w:rsidRPr="00AD3667">
              <w:rPr>
                <w:rFonts w:ascii="Times New Roman" w:hAnsi="Times New Roman"/>
                <w:sz w:val="24"/>
                <w:szCs w:val="24"/>
              </w:rPr>
              <w:t>pro</w:t>
            </w:r>
            <w:proofErr w:type="spellEnd"/>
            <w:r w:rsidRPr="00AD3667">
              <w:rPr>
                <w:rFonts w:ascii="Times New Roman" w:hAnsi="Times New Roman"/>
                <w:sz w:val="24"/>
                <w:szCs w:val="24"/>
              </w:rPr>
              <w:t xml:space="preserve"> forma dalību.</w:t>
            </w:r>
          </w:p>
          <w:p w14:paraId="74DF1F0A" w14:textId="2FBDBDD6" w:rsidR="00E06B7D" w:rsidRPr="00AD537B" w:rsidRDefault="00E06B7D" w:rsidP="00E06B7D">
            <w:pPr>
              <w:jc w:val="both"/>
            </w:pPr>
            <w:r w:rsidRPr="00AD537B">
              <w:t>Ministru kabineta 2018.</w:t>
            </w:r>
            <w:r w:rsidR="00AD3667">
              <w:t> </w:t>
            </w:r>
            <w:r w:rsidRPr="00AD537B">
              <w:t>gada 21.</w:t>
            </w:r>
            <w:r w:rsidR="00AD3667">
              <w:t> </w:t>
            </w:r>
            <w:r w:rsidRPr="00AD537B">
              <w:t>augusta noteikumi Nr.</w:t>
            </w:r>
            <w:r w:rsidR="00AD3667">
              <w:t> </w:t>
            </w:r>
            <w:r w:rsidRPr="00AD537B">
              <w:t xml:space="preserve">531 “Noteikumi par neatkarīgu ekspertu kompetences novērtēšanu un profesionālās darbības uzraudzību ēku energoefektivitātes jomā” kuri, tostarp, nosaka neatkarīga eksperta reģistrācijas kārtību, reģistra datu saturu un izmantošanas kārtību, nenosaka atsevišķu kārtību kādā tiek veikta </w:t>
            </w:r>
            <w:r>
              <w:t xml:space="preserve">īslaicīgu profesionālo pakalpojumu sniedzēju </w:t>
            </w:r>
            <w:r w:rsidRPr="00AD537B">
              <w:t xml:space="preserve">reģistrācija neatkarīgu </w:t>
            </w:r>
            <w:r>
              <w:t xml:space="preserve">ekspertu </w:t>
            </w:r>
            <w:r w:rsidRPr="00AD537B">
              <w:t>reģistrā ēku energoefektivitātes jomā (turpmāk – neatkarīgu ekspertu reģistrs).</w:t>
            </w:r>
          </w:p>
          <w:p w14:paraId="3160BFE4" w14:textId="77777777" w:rsidR="00E06B7D" w:rsidRPr="00AD537B" w:rsidRDefault="00E06B7D" w:rsidP="00E06B7D">
            <w:pPr>
              <w:widowControl w:val="0"/>
              <w:jc w:val="both"/>
            </w:pPr>
            <w:r w:rsidRPr="00AD537B">
              <w:t xml:space="preserve">Ņemot vērā minēto, ar mērķi </w:t>
            </w:r>
            <w:r w:rsidRPr="00EB1FCC">
              <w:t>pilnveidot tiesību normas attiecībā uz īslaicīgu profesionālo pakalpojumu sniedzējiem</w:t>
            </w:r>
            <w:r w:rsidRPr="00AD537B">
              <w:t xml:space="preserve">, izstrādāts </w:t>
            </w:r>
            <w:r w:rsidRPr="00EB1FCC">
              <w:t>Ministru kabineta noteikumu projekts “Grozījumi Ministru kabineta 2018. gada 21. augusta noteikumos Nr. 531 “Noteikumi par neatkarīgu ekspertu kompetences novērtēšanu un profesionālās darbības uzraudzību ēku energoefektivitātes jomā”” (turpmāk – noteikumu projekts).</w:t>
            </w:r>
            <w:r>
              <w:t xml:space="preserve"> N</w:t>
            </w:r>
            <w:r w:rsidRPr="00AD537B">
              <w:t xml:space="preserve">oteikumu projekts paredz pienākumu kompetences pārbaudes iestādei Būvniecības informācijas sistēmas neatkarīgu ekspertu reģistrā </w:t>
            </w:r>
            <w:r>
              <w:t>reģistrēt personu</w:t>
            </w:r>
            <w:r w:rsidRPr="00AD537B">
              <w:t>, kas ārvalstīs ieguvusi profesionālo kvalifikāciju reglamentētajā profesijā, tiesīb</w:t>
            </w:r>
            <w:r>
              <w:t>as</w:t>
            </w:r>
            <w:r w:rsidRPr="00AD537B">
              <w:t xml:space="preserve"> sniegt īslaicīgus</w:t>
            </w:r>
            <w:r>
              <w:t xml:space="preserve"> profesionālos</w:t>
            </w:r>
            <w:r w:rsidRPr="00AD537B">
              <w:t xml:space="preserve"> pakalpojumus kādā no ēku energoefektivitātes jomām.</w:t>
            </w:r>
          </w:p>
          <w:p w14:paraId="27534DBD" w14:textId="4DBA740D" w:rsidR="00E06B7D" w:rsidRPr="00AD537B" w:rsidRDefault="00E06B7D" w:rsidP="00E06B7D">
            <w:pPr>
              <w:jc w:val="both"/>
            </w:pPr>
            <w:r>
              <w:t>2) Attiecībā uz standartu abonēšanu, n</w:t>
            </w:r>
            <w:r w:rsidRPr="00AD537B">
              <w:t>oteikumu projekts paredz arī instrumentu Latvijas nacionālo standartu un Eiropas standartu būvniecības un energoefektivitātes jomā neierobežotai pieejamībai neatkarīgiem ekspertiem</w:t>
            </w:r>
            <w:r w:rsidRPr="00951E2E">
              <w:t xml:space="preserve">. Noteikumu projekts paredz pienākumu kompetences pārbaudes iestādēm </w:t>
            </w:r>
            <w:r w:rsidR="00951E2E" w:rsidRPr="00951E2E">
              <w:t>noslēgt</w:t>
            </w:r>
            <w:r w:rsidRPr="00951E2E">
              <w:t xml:space="preserve"> līgumu ar </w:t>
            </w:r>
            <w:r w:rsidR="00951E2E" w:rsidRPr="00951E2E">
              <w:t>n</w:t>
            </w:r>
            <w:r w:rsidRPr="00951E2E">
              <w:t>acionālo standartizācijas institūciju</w:t>
            </w:r>
            <w:r w:rsidR="00D64D70">
              <w:t xml:space="preserve"> (saskaņā ar Standartizācijas likuma 7. panta </w:t>
            </w:r>
            <w:r w:rsidR="00D64D70" w:rsidRPr="00E062B9">
              <w:t xml:space="preserve">pirmās daļas 1. punktu </w:t>
            </w:r>
            <w:r w:rsidR="00E062B9" w:rsidRPr="00E062B9">
              <w:t>–</w:t>
            </w:r>
            <w:r w:rsidR="00D64D70" w:rsidRPr="00E062B9">
              <w:t xml:space="preserve"> </w:t>
            </w:r>
            <w:r w:rsidR="00D64D70" w:rsidRPr="00E062B9">
              <w:rPr>
                <w:shd w:val="clear" w:color="auto" w:fill="FFFFFF"/>
              </w:rPr>
              <w:t xml:space="preserve">sabiedrība ar ierobežotu atbildību </w:t>
            </w:r>
            <w:r w:rsidR="00E062B9">
              <w:rPr>
                <w:shd w:val="clear" w:color="auto" w:fill="FFFFFF"/>
              </w:rPr>
              <w:t>“</w:t>
            </w:r>
            <w:r w:rsidR="00D64D70" w:rsidRPr="00E062B9">
              <w:rPr>
                <w:shd w:val="clear" w:color="auto" w:fill="FFFFFF"/>
              </w:rPr>
              <w:t>Standartizācijas, akreditācijas un metroloģijas centrs</w:t>
            </w:r>
            <w:r w:rsidR="00E062B9">
              <w:rPr>
                <w:shd w:val="clear" w:color="auto" w:fill="FFFFFF"/>
              </w:rPr>
              <w:t>”</w:t>
            </w:r>
            <w:r w:rsidR="00D64D70" w:rsidRPr="00E062B9">
              <w:t>)</w:t>
            </w:r>
            <w:r w:rsidRPr="00E062B9">
              <w:t xml:space="preserve"> par standartu abonēšanu tās sertificētajiem neatkarīgiem ekspertiem </w:t>
            </w:r>
            <w:r w:rsidRPr="00951E2E">
              <w:t xml:space="preserve">par pazeminātu gada maksu, pievienojot standartu abonēšanas maksu 30 </w:t>
            </w:r>
            <w:proofErr w:type="spellStart"/>
            <w:r w:rsidRPr="00951E2E">
              <w:rPr>
                <w:i/>
                <w:iCs/>
              </w:rPr>
              <w:t>euro</w:t>
            </w:r>
            <w:proofErr w:type="spellEnd"/>
            <w:r w:rsidRPr="00951E2E">
              <w:t xml:space="preserve"> apmērā patstāvīgās prakses uzraudzības gada maksai par darbības jomu </w:t>
            </w:r>
            <w:r w:rsidRPr="00951E2E">
              <w:lastRenderedPageBreak/>
              <w:t>ar agrāko piešķiršanas datumu. Gadījumā</w:t>
            </w:r>
            <w:r w:rsidR="00AD3667" w:rsidRPr="00951E2E">
              <w:t>,</w:t>
            </w:r>
            <w:r w:rsidRPr="00951E2E">
              <w:t xml:space="preserve"> ja neatkarīgam ekspertam ir arī </w:t>
            </w:r>
            <w:proofErr w:type="spellStart"/>
            <w:r w:rsidRPr="00951E2E">
              <w:t>būvspeciālista</w:t>
            </w:r>
            <w:proofErr w:type="spellEnd"/>
            <w:r w:rsidRPr="00951E2E">
              <w:t xml:space="preserve"> sertifikāts, tad personai nebūs jāmaksā abonēšanas gada maksa 30 </w:t>
            </w:r>
            <w:proofErr w:type="spellStart"/>
            <w:r w:rsidRPr="00951E2E">
              <w:rPr>
                <w:i/>
                <w:iCs/>
              </w:rPr>
              <w:t>euro</w:t>
            </w:r>
            <w:proofErr w:type="spellEnd"/>
            <w:r w:rsidRPr="00951E2E">
              <w:t xml:space="preserve"> apmērā pa</w:t>
            </w:r>
            <w:r w:rsidR="00EC0143" w:rsidRPr="00951E2E">
              <w:t>r</w:t>
            </w:r>
            <w:r w:rsidRPr="00951E2E">
              <w:t xml:space="preserve"> abiem iegūtajiem sertifikātiem. Attiecīgajā gadījumā sertificētā persona maksās abonēšanas maksu 30 </w:t>
            </w:r>
            <w:proofErr w:type="spellStart"/>
            <w:r w:rsidRPr="00951E2E">
              <w:rPr>
                <w:i/>
                <w:iCs/>
              </w:rPr>
              <w:t>euro</w:t>
            </w:r>
            <w:proofErr w:type="spellEnd"/>
            <w:r w:rsidRPr="00951E2E">
              <w:t xml:space="preserve"> apmērā patstāvīgās prakses uzraudzības gada maksai par sertifikātu ar agrāko piešķiršanas datumu.</w:t>
            </w:r>
          </w:p>
          <w:p w14:paraId="6376CF60" w14:textId="2D6BE80D" w:rsidR="00E06B7D" w:rsidRPr="00AD537B" w:rsidRDefault="00E06B7D" w:rsidP="00E06B7D">
            <w:pPr>
              <w:jc w:val="both"/>
            </w:pPr>
            <w:r w:rsidRPr="00AD537B">
              <w:t>Atbilstoši Standartizācijas likuma 13.</w:t>
            </w:r>
            <w:r w:rsidR="00AD3667">
              <w:t> </w:t>
            </w:r>
            <w:r w:rsidRPr="00AD537B">
              <w:t>pantam standartu piemērošana ir brīvprātīga, savukārt Ministru kabinets var noteikt obligāti piemērojamus Latvijas nacionālos standartus. Kā piemēram, Ministru kabineta 2013.</w:t>
            </w:r>
            <w:r w:rsidR="00AD3667">
              <w:t> </w:t>
            </w:r>
            <w:r w:rsidRPr="00AD537B">
              <w:t>gada 25.</w:t>
            </w:r>
            <w:r w:rsidR="00AD3667">
              <w:t> </w:t>
            </w:r>
            <w:r w:rsidRPr="00AD537B">
              <w:t>jūnija noteikumi Nr.</w:t>
            </w:r>
            <w:r w:rsidR="00AD3667">
              <w:t> </w:t>
            </w:r>
            <w:r w:rsidRPr="00AD537B">
              <w:t>348 “Ēkas energoefektivitātes aprēķina metode”  nosaka ēkas energoefektivitātes aprēķina metodi. Metodi lieto, sastādot enerģijas bilanci ēkas līmenī. Ja sastāda enerģijas bilanci ēkas inženiertehnisko sistēmu līmenī vai ja ēkas aprēķinātā apkurei nepieciešama enerģija ir mazāka par 50 kilovatstundām uz aprēķina platības kvadrātmetru gadā, veic detalizētu aprēķinu saskaņā ar standartu LV E</w:t>
            </w:r>
            <w:r>
              <w:t>N</w:t>
            </w:r>
            <w:r w:rsidRPr="00AD537B">
              <w:t xml:space="preserve"> ISO 13790:2009 L “Ēku energoefektivitāte. Telpu apsildīšanas un dzesēšanas </w:t>
            </w:r>
            <w:proofErr w:type="spellStart"/>
            <w:r w:rsidRPr="00AD537B">
              <w:t>energopatēriņa</w:t>
            </w:r>
            <w:proofErr w:type="spellEnd"/>
            <w:r w:rsidRPr="00AD537B">
              <w:t xml:space="preserve"> aprēķināšana”.</w:t>
            </w:r>
          </w:p>
          <w:p w14:paraId="5FFE88F7" w14:textId="4CFBF232" w:rsidR="00E06B7D" w:rsidRPr="00AD537B" w:rsidRDefault="00E06B7D" w:rsidP="00E06B7D">
            <w:pPr>
              <w:jc w:val="both"/>
            </w:pPr>
            <w:r w:rsidRPr="00AD537B">
              <w:t>Metode izstrādāta saskaņā ar standartiem ēku energoefektivitātes jomā, kurus izstrādājusi Eiropas Standartizācijas Organizācija (</w:t>
            </w:r>
            <w:proofErr w:type="spellStart"/>
            <w:r w:rsidRPr="00EB1FCC">
              <w:t>the</w:t>
            </w:r>
            <w:proofErr w:type="spellEnd"/>
            <w:r w:rsidRPr="00EB1FCC">
              <w:t xml:space="preserve"> </w:t>
            </w:r>
            <w:proofErr w:type="spellStart"/>
            <w:r w:rsidRPr="00EB1FCC">
              <w:t>European</w:t>
            </w:r>
            <w:proofErr w:type="spellEnd"/>
            <w:r w:rsidRPr="00EB1FCC">
              <w:t xml:space="preserve"> </w:t>
            </w:r>
            <w:proofErr w:type="spellStart"/>
            <w:r w:rsidRPr="00EB1FCC">
              <w:t>Committee</w:t>
            </w:r>
            <w:proofErr w:type="spellEnd"/>
            <w:r w:rsidRPr="00EB1FCC">
              <w:t xml:space="preserve"> </w:t>
            </w:r>
            <w:proofErr w:type="spellStart"/>
            <w:r w:rsidRPr="00EB1FCC">
              <w:t>for</w:t>
            </w:r>
            <w:proofErr w:type="spellEnd"/>
            <w:r w:rsidRPr="00EB1FCC">
              <w:t xml:space="preserve"> </w:t>
            </w:r>
            <w:proofErr w:type="spellStart"/>
            <w:r w:rsidRPr="00EB1FCC">
              <w:t>Standardization</w:t>
            </w:r>
            <w:proofErr w:type="spellEnd"/>
            <w:r w:rsidRPr="00EB1FCC">
              <w:t xml:space="preserve"> – CEN</w:t>
            </w:r>
            <w:r w:rsidRPr="00AD537B">
              <w:t>)</w:t>
            </w:r>
            <w:r>
              <w:t xml:space="preserve"> un </w:t>
            </w:r>
            <w:r w:rsidRPr="00AD537B">
              <w:t>satur atsauces uz 16 citiem CEN standartiem</w:t>
            </w:r>
            <w:r w:rsidR="00196B41">
              <w:t>, kuri praksē tieši piemērojami</w:t>
            </w:r>
            <w:r w:rsidRPr="00AD537B">
              <w:t xml:space="preserve"> ēku energoefektivitātes jomā: </w:t>
            </w:r>
          </w:p>
          <w:p w14:paraId="42D94592" w14:textId="35A5804B" w:rsidR="00E06B7D" w:rsidRPr="00AD537B" w:rsidRDefault="00E06B7D" w:rsidP="00E06B7D">
            <w:pPr>
              <w:pStyle w:val="ListParagraph"/>
              <w:numPr>
                <w:ilvl w:val="0"/>
                <w:numId w:val="1"/>
              </w:numPr>
              <w:jc w:val="both"/>
            </w:pPr>
            <w:r w:rsidRPr="00AD537B">
              <w:t>LVS EN ISO 6946:200</w:t>
            </w:r>
            <w:r>
              <w:t>9 L</w:t>
            </w:r>
            <w:r w:rsidRPr="00AD537B">
              <w:t xml:space="preserve"> </w:t>
            </w:r>
            <w:r w:rsidR="00AD3667">
              <w:t>“</w:t>
            </w:r>
            <w:r w:rsidRPr="00AD537B">
              <w:t xml:space="preserve">Ēku </w:t>
            </w:r>
            <w:proofErr w:type="spellStart"/>
            <w:r w:rsidRPr="00AD537B">
              <w:t>būvkomponenti</w:t>
            </w:r>
            <w:proofErr w:type="spellEnd"/>
            <w:r w:rsidRPr="00AD537B">
              <w:t xml:space="preserve"> un būvelementi. </w:t>
            </w:r>
            <w:proofErr w:type="spellStart"/>
            <w:r w:rsidRPr="00AD537B">
              <w:t>Siltumpretestība</w:t>
            </w:r>
            <w:proofErr w:type="spellEnd"/>
            <w:r w:rsidRPr="00AD537B">
              <w:t xml:space="preserve"> un siltumapmaiņas koeficients. Aprēķināšanas metodika”;</w:t>
            </w:r>
          </w:p>
          <w:p w14:paraId="244EC3B7" w14:textId="2F765A92" w:rsidR="00E06B7D" w:rsidRPr="00AD537B" w:rsidRDefault="00E06B7D" w:rsidP="00E06B7D">
            <w:pPr>
              <w:pStyle w:val="ListParagraph"/>
              <w:numPr>
                <w:ilvl w:val="0"/>
                <w:numId w:val="1"/>
              </w:numPr>
              <w:jc w:val="both"/>
            </w:pPr>
            <w:r w:rsidRPr="00AD537B">
              <w:t>LVS EN ISO 10077-1:200</w:t>
            </w:r>
            <w:r>
              <w:t>9 L</w:t>
            </w:r>
            <w:r w:rsidRPr="00AD537B">
              <w:t xml:space="preserve"> </w:t>
            </w:r>
            <w:r w:rsidR="00AD3667">
              <w:t>“</w:t>
            </w:r>
            <w:r w:rsidRPr="00AD537B">
              <w:t xml:space="preserve">Logu, durvju un slēģu </w:t>
            </w:r>
            <w:proofErr w:type="spellStart"/>
            <w:r w:rsidRPr="00AD537B">
              <w:t>siltumtehniskās</w:t>
            </w:r>
            <w:proofErr w:type="spellEnd"/>
            <w:r w:rsidRPr="00AD537B">
              <w:t xml:space="preserve"> īpašības. </w:t>
            </w:r>
            <w:proofErr w:type="spellStart"/>
            <w:r w:rsidRPr="00AD537B">
              <w:t>Siltumcaurlaidības</w:t>
            </w:r>
            <w:proofErr w:type="spellEnd"/>
            <w:r w:rsidRPr="00AD537B">
              <w:t xml:space="preserve"> aprēķināšana. 1.daļa: Vispārīgi”;</w:t>
            </w:r>
          </w:p>
          <w:p w14:paraId="7CB6F681" w14:textId="5560724A" w:rsidR="00E06B7D" w:rsidRPr="00AD537B" w:rsidRDefault="00E06B7D" w:rsidP="00E06B7D">
            <w:pPr>
              <w:pStyle w:val="ListParagraph"/>
              <w:numPr>
                <w:ilvl w:val="0"/>
                <w:numId w:val="1"/>
              </w:numPr>
              <w:jc w:val="both"/>
            </w:pPr>
            <w:r w:rsidRPr="00AD537B">
              <w:t xml:space="preserve">LVS EN ISO 12569:2002 </w:t>
            </w:r>
            <w:r w:rsidR="00AD3667">
              <w:t>“</w:t>
            </w:r>
            <w:r w:rsidRPr="00AD537B">
              <w:t>Ēku siltumizolācija - Gaisa apmaiņas noteikšana ēkās - Iezīmētās gāzes izklīdināšanas metode”;</w:t>
            </w:r>
          </w:p>
          <w:p w14:paraId="121BA774" w14:textId="245ECF50" w:rsidR="00E06B7D" w:rsidRPr="00AD537B" w:rsidRDefault="00E06B7D" w:rsidP="00E06B7D">
            <w:pPr>
              <w:pStyle w:val="ListParagraph"/>
              <w:numPr>
                <w:ilvl w:val="0"/>
                <w:numId w:val="1"/>
              </w:numPr>
              <w:jc w:val="both"/>
            </w:pPr>
            <w:r w:rsidRPr="00AD537B">
              <w:t xml:space="preserve">LVS EN ISO 13786:2008 </w:t>
            </w:r>
            <w:r w:rsidR="00AD3667">
              <w:t>“</w:t>
            </w:r>
            <w:r w:rsidRPr="00AD537B">
              <w:t xml:space="preserve">Ēku </w:t>
            </w:r>
            <w:proofErr w:type="spellStart"/>
            <w:r w:rsidRPr="00AD537B">
              <w:t>būvkomponentu</w:t>
            </w:r>
            <w:proofErr w:type="spellEnd"/>
            <w:r w:rsidRPr="00AD537B">
              <w:t xml:space="preserve"> </w:t>
            </w:r>
            <w:proofErr w:type="spellStart"/>
            <w:r w:rsidRPr="00AD537B">
              <w:t>siltumtehniskās</w:t>
            </w:r>
            <w:proofErr w:type="spellEnd"/>
            <w:r w:rsidRPr="00AD537B">
              <w:t xml:space="preserve"> īpašības. Dinamiskie </w:t>
            </w:r>
            <w:proofErr w:type="spellStart"/>
            <w:r w:rsidRPr="00AD537B">
              <w:t>siltumtehniskie</w:t>
            </w:r>
            <w:proofErr w:type="spellEnd"/>
            <w:r w:rsidRPr="00AD537B">
              <w:t xml:space="preserve"> raksturlielumi. Aprēķināšanas metodika”;</w:t>
            </w:r>
          </w:p>
          <w:p w14:paraId="49F3D8E5" w14:textId="666B7209" w:rsidR="00E06B7D" w:rsidRPr="00AD537B" w:rsidRDefault="00E06B7D" w:rsidP="00E06B7D">
            <w:pPr>
              <w:pStyle w:val="ListParagraph"/>
              <w:numPr>
                <w:ilvl w:val="0"/>
                <w:numId w:val="1"/>
              </w:numPr>
              <w:jc w:val="both"/>
            </w:pPr>
            <w:r w:rsidRPr="00AD537B">
              <w:t xml:space="preserve">LVS EN ISO 13789:2008 </w:t>
            </w:r>
            <w:r w:rsidR="00AD3667">
              <w:t>“</w:t>
            </w:r>
            <w:r w:rsidRPr="00AD537B">
              <w:t xml:space="preserve">Ēku </w:t>
            </w:r>
            <w:proofErr w:type="spellStart"/>
            <w:r w:rsidRPr="00AD537B">
              <w:t>siltumtehniskās</w:t>
            </w:r>
            <w:proofErr w:type="spellEnd"/>
            <w:r w:rsidRPr="00AD537B">
              <w:t xml:space="preserve"> īpašības. Siltuma pārejas un telpu vēdināšanās radītās siltuma apmaiņas koeficients. Aprēķināšanas metodika”;</w:t>
            </w:r>
          </w:p>
          <w:p w14:paraId="2AD4952C" w14:textId="7FC0FA87" w:rsidR="00E06B7D" w:rsidRPr="00AD537B" w:rsidRDefault="00E06B7D" w:rsidP="00E06B7D">
            <w:pPr>
              <w:pStyle w:val="ListParagraph"/>
              <w:numPr>
                <w:ilvl w:val="0"/>
                <w:numId w:val="1"/>
              </w:numPr>
              <w:jc w:val="both"/>
            </w:pPr>
            <w:r w:rsidRPr="00AD537B">
              <w:t xml:space="preserve">LVS EN 15193:2008 </w:t>
            </w:r>
            <w:r w:rsidR="00AD3667">
              <w:t>“</w:t>
            </w:r>
            <w:r w:rsidRPr="00AD537B">
              <w:t>Ēku energoefektivitāte. Enerģētiskās prasības apgaismei”;</w:t>
            </w:r>
          </w:p>
          <w:p w14:paraId="386B7381" w14:textId="037BE8E3" w:rsidR="00E06B7D" w:rsidRPr="00AD537B" w:rsidRDefault="00E06B7D" w:rsidP="00E06B7D">
            <w:pPr>
              <w:pStyle w:val="ListParagraph"/>
              <w:numPr>
                <w:ilvl w:val="0"/>
                <w:numId w:val="1"/>
              </w:numPr>
              <w:jc w:val="both"/>
            </w:pPr>
            <w:r w:rsidRPr="00AD537B">
              <w:t xml:space="preserve">LVS EN 15232:2007 </w:t>
            </w:r>
            <w:r w:rsidR="00AD3667">
              <w:t>“</w:t>
            </w:r>
            <w:r w:rsidRPr="00AD537B">
              <w:t>Ēku energoefektivitāte. Ēku automātikas, regulācijas un pārvaldības ietekme”;</w:t>
            </w:r>
          </w:p>
          <w:p w14:paraId="0D3AF063" w14:textId="4EF98954" w:rsidR="00E06B7D" w:rsidRPr="00AD537B" w:rsidRDefault="00E06B7D" w:rsidP="00E06B7D">
            <w:pPr>
              <w:pStyle w:val="ListParagraph"/>
              <w:numPr>
                <w:ilvl w:val="0"/>
                <w:numId w:val="1"/>
              </w:numPr>
              <w:jc w:val="both"/>
            </w:pPr>
            <w:r w:rsidRPr="00AD537B">
              <w:t xml:space="preserve">LVS EN 15241:2007 </w:t>
            </w:r>
            <w:r w:rsidR="00AD3667">
              <w:t>“</w:t>
            </w:r>
            <w:r w:rsidRPr="00AD537B">
              <w:t xml:space="preserve">Ēku ventilācija. Metodes, kā aprēķināt ventilācijas un </w:t>
            </w:r>
            <w:proofErr w:type="spellStart"/>
            <w:r w:rsidRPr="00AD537B">
              <w:t>caursūces</w:t>
            </w:r>
            <w:proofErr w:type="spellEnd"/>
            <w:r w:rsidRPr="00AD537B">
              <w:t xml:space="preserve"> radītus enerģijas zudumus komerciālās ēkās”;</w:t>
            </w:r>
          </w:p>
          <w:p w14:paraId="2924B53F" w14:textId="6432572F" w:rsidR="00E06B7D" w:rsidRPr="00AD537B" w:rsidRDefault="00E06B7D" w:rsidP="00E06B7D">
            <w:pPr>
              <w:pStyle w:val="ListParagraph"/>
              <w:numPr>
                <w:ilvl w:val="0"/>
                <w:numId w:val="1"/>
              </w:numPr>
              <w:jc w:val="both"/>
            </w:pPr>
            <w:r w:rsidRPr="00AD537B">
              <w:lastRenderedPageBreak/>
              <w:t xml:space="preserve">LVS EN 15242:2007 </w:t>
            </w:r>
            <w:r w:rsidR="00AD3667">
              <w:t>“</w:t>
            </w:r>
            <w:r w:rsidRPr="00AD537B">
              <w:t xml:space="preserve">Ēku ventilācija. Aprēķinu metodes gaisa caurplūdes (ieskaitot </w:t>
            </w:r>
            <w:proofErr w:type="spellStart"/>
            <w:r w:rsidRPr="00AD537B">
              <w:t>caursūci</w:t>
            </w:r>
            <w:proofErr w:type="spellEnd"/>
            <w:r w:rsidRPr="00AD537B">
              <w:t>) noteikšanai ēkās”;</w:t>
            </w:r>
          </w:p>
          <w:p w14:paraId="0049FCF8" w14:textId="7FADA2AA" w:rsidR="00E06B7D" w:rsidRPr="00AD537B" w:rsidRDefault="00E06B7D" w:rsidP="00E06B7D">
            <w:pPr>
              <w:pStyle w:val="ListParagraph"/>
              <w:numPr>
                <w:ilvl w:val="0"/>
                <w:numId w:val="1"/>
              </w:numPr>
              <w:jc w:val="both"/>
            </w:pPr>
            <w:r w:rsidRPr="00AD537B">
              <w:t xml:space="preserve">LVS EN 15243:2007 </w:t>
            </w:r>
            <w:r w:rsidR="00AD3667">
              <w:t>“</w:t>
            </w:r>
            <w:r w:rsidRPr="00AD537B">
              <w:t xml:space="preserve">Ēku ventilācija. Telpu temperatūras, kā arī </w:t>
            </w:r>
            <w:proofErr w:type="spellStart"/>
            <w:r w:rsidRPr="00AD537B">
              <w:t>siltumslodzes</w:t>
            </w:r>
            <w:proofErr w:type="spellEnd"/>
            <w:r w:rsidRPr="00AD537B">
              <w:t xml:space="preserve"> un enerģijas rēķināšana ēkām ar telpu kondicionēšanas sistēmām”;</w:t>
            </w:r>
          </w:p>
          <w:p w14:paraId="317A69B8" w14:textId="23770218" w:rsidR="00E06B7D" w:rsidRPr="00AD537B" w:rsidRDefault="00E06B7D" w:rsidP="00E06B7D">
            <w:pPr>
              <w:pStyle w:val="ListParagraph"/>
              <w:numPr>
                <w:ilvl w:val="0"/>
                <w:numId w:val="1"/>
              </w:numPr>
              <w:jc w:val="both"/>
            </w:pPr>
            <w:r w:rsidRPr="00AD537B">
              <w:t>LVS EN 15316-2-1:200</w:t>
            </w:r>
            <w:r>
              <w:t xml:space="preserve">9 L </w:t>
            </w:r>
            <w:r w:rsidR="00AD3667">
              <w:t>“</w:t>
            </w:r>
            <w:r w:rsidRPr="00EB1FCC">
              <w:t xml:space="preserve">„Ēku apkures sistēmas. Sistēmas </w:t>
            </w:r>
            <w:proofErr w:type="spellStart"/>
            <w:r w:rsidRPr="00EB1FCC">
              <w:t>energoprasību</w:t>
            </w:r>
            <w:proofErr w:type="spellEnd"/>
            <w:r w:rsidRPr="00EB1FCC">
              <w:t xml:space="preserve"> un lietderības koeficientu aprēķināšanas metode. 2-1. daļa: </w:t>
            </w:r>
            <w:proofErr w:type="spellStart"/>
            <w:r w:rsidRPr="00EB1FCC">
              <w:t>Siltumatdeves</w:t>
            </w:r>
            <w:proofErr w:type="spellEnd"/>
            <w:r w:rsidRPr="00EB1FCC">
              <w:t xml:space="preserve"> sistēmas telpu apsildei”</w:t>
            </w:r>
          </w:p>
          <w:p w14:paraId="40369774" w14:textId="48C5EC4A" w:rsidR="00E06B7D" w:rsidRPr="00AD537B" w:rsidRDefault="00E06B7D" w:rsidP="00E06B7D">
            <w:pPr>
              <w:pStyle w:val="ListParagraph"/>
              <w:numPr>
                <w:ilvl w:val="0"/>
                <w:numId w:val="1"/>
              </w:numPr>
              <w:jc w:val="both"/>
            </w:pPr>
            <w:r w:rsidRPr="00AD537B">
              <w:t>LVS EN 15316-2-3:200</w:t>
            </w:r>
            <w:r>
              <w:t>9 L</w:t>
            </w:r>
            <w:r w:rsidRPr="00AD537B">
              <w:t xml:space="preserve"> </w:t>
            </w:r>
            <w:r w:rsidR="00AD3667">
              <w:t>“</w:t>
            </w:r>
            <w:r w:rsidRPr="00AD537B">
              <w:t xml:space="preserve">Ēku apkures sistēmas. Sistēmu </w:t>
            </w:r>
            <w:proofErr w:type="spellStart"/>
            <w:r w:rsidRPr="00AD537B">
              <w:t>energoprasību</w:t>
            </w:r>
            <w:proofErr w:type="spellEnd"/>
            <w:r w:rsidRPr="00AD537B">
              <w:t xml:space="preserve"> un</w:t>
            </w:r>
            <w:r>
              <w:t xml:space="preserve"> </w:t>
            </w:r>
            <w:r w:rsidRPr="00EB1FCC">
              <w:t xml:space="preserve">lietderības koeficientu aprēķināšanas metode. 2-3. daļa: </w:t>
            </w:r>
            <w:proofErr w:type="spellStart"/>
            <w:r w:rsidRPr="00EB1FCC">
              <w:t>Siltumsadales</w:t>
            </w:r>
            <w:proofErr w:type="spellEnd"/>
            <w:r w:rsidRPr="00EB1FCC">
              <w:t xml:space="preserve"> tīkli telpu apsildei</w:t>
            </w:r>
            <w:r>
              <w:t>”;</w:t>
            </w:r>
          </w:p>
          <w:p w14:paraId="095D1CAE" w14:textId="77777777" w:rsidR="00E06B7D" w:rsidRPr="00AD537B" w:rsidRDefault="00E06B7D" w:rsidP="00E06B7D">
            <w:pPr>
              <w:pStyle w:val="ListParagraph"/>
              <w:numPr>
                <w:ilvl w:val="0"/>
                <w:numId w:val="1"/>
              </w:numPr>
              <w:jc w:val="both"/>
            </w:pPr>
            <w:r w:rsidRPr="00AD537B">
              <w:t>LVS EN 15316-3-1:200</w:t>
            </w:r>
            <w:r>
              <w:t>9 L</w:t>
            </w:r>
            <w:r w:rsidRPr="00AD537B">
              <w:t xml:space="preserve"> </w:t>
            </w:r>
            <w:r>
              <w:t>“</w:t>
            </w:r>
            <w:r w:rsidRPr="00EB1FCC">
              <w:t>Ēku apkures sistēmas. Sistēmu enerģijas patēriņa un efektivitātes aprēķināšanas metodika. 3-1. daļa: Mājsaimniecību karstā ūdens sistēmas: prasību noteikšana (ūdens apgādes sistēmas prasības)”</w:t>
            </w:r>
          </w:p>
          <w:p w14:paraId="5421E307" w14:textId="68A12225" w:rsidR="00E06B7D" w:rsidRPr="00AD537B" w:rsidRDefault="00E06B7D" w:rsidP="00E06B7D">
            <w:pPr>
              <w:pStyle w:val="ListParagraph"/>
              <w:numPr>
                <w:ilvl w:val="0"/>
                <w:numId w:val="1"/>
              </w:numPr>
              <w:jc w:val="both"/>
            </w:pPr>
            <w:r w:rsidRPr="00AD537B">
              <w:t xml:space="preserve">LVS EN 15316-3-2:2008 </w:t>
            </w:r>
            <w:r w:rsidR="00AD3667">
              <w:t>“</w:t>
            </w:r>
            <w:r w:rsidRPr="00AD537B">
              <w:t xml:space="preserve">Ēku apsildes sistēmas. Sistēmu </w:t>
            </w:r>
            <w:proofErr w:type="spellStart"/>
            <w:r w:rsidRPr="00AD537B">
              <w:t>energoprasību</w:t>
            </w:r>
            <w:proofErr w:type="spellEnd"/>
            <w:r w:rsidRPr="00AD537B">
              <w:t xml:space="preserve"> un efektivitātes aprēķināšanas metodika. 3-2. daļa: Mājas karstā ūdens sistēmas: karstā ūdens sadale”;</w:t>
            </w:r>
          </w:p>
          <w:p w14:paraId="330F56A4" w14:textId="770E4A50" w:rsidR="00E06B7D" w:rsidRPr="00AD537B" w:rsidRDefault="00E06B7D" w:rsidP="00E06B7D">
            <w:pPr>
              <w:pStyle w:val="ListParagraph"/>
              <w:numPr>
                <w:ilvl w:val="0"/>
                <w:numId w:val="1"/>
              </w:numPr>
              <w:jc w:val="both"/>
            </w:pPr>
            <w:r w:rsidRPr="00AD537B">
              <w:t>LVS EN 15316-3-3:200</w:t>
            </w:r>
            <w:r>
              <w:t>9 L</w:t>
            </w:r>
            <w:r w:rsidRPr="00AD537B">
              <w:t xml:space="preserve"> </w:t>
            </w:r>
            <w:r w:rsidR="00AD3667">
              <w:t>“</w:t>
            </w:r>
            <w:r w:rsidRPr="00AD537B">
              <w:t xml:space="preserve">Ēku apsildes sistēmas. Sistēmu </w:t>
            </w:r>
            <w:proofErr w:type="spellStart"/>
            <w:r w:rsidRPr="00AD537B">
              <w:t>energoprasību</w:t>
            </w:r>
            <w:proofErr w:type="spellEnd"/>
            <w:r w:rsidRPr="00AD537B">
              <w:t xml:space="preserve"> un</w:t>
            </w:r>
            <w:r w:rsidRPr="00EB1FCC">
              <w:t xml:space="preserve"> lietderības aprēķināšanas metode. 3-3. daļa: Mājas karstā ūdens sistēmas: karstā ūdens sagatavošana”</w:t>
            </w:r>
          </w:p>
          <w:p w14:paraId="6E7B95E9" w14:textId="263B6BBA" w:rsidR="00E06B7D" w:rsidRDefault="00E06B7D" w:rsidP="00E06B7D">
            <w:pPr>
              <w:pStyle w:val="ListParagraph"/>
              <w:numPr>
                <w:ilvl w:val="0"/>
                <w:numId w:val="1"/>
              </w:numPr>
              <w:jc w:val="both"/>
            </w:pPr>
            <w:r w:rsidRPr="00AD537B">
              <w:t xml:space="preserve">LVS EN 15459:2008 </w:t>
            </w:r>
            <w:r w:rsidR="00AD3667">
              <w:t>“</w:t>
            </w:r>
            <w:r w:rsidRPr="00AD537B">
              <w:t>Ēku energoefektivitāte. Ēku energosistēmu ekonomiskā izvērtēšana”.</w:t>
            </w:r>
          </w:p>
          <w:p w14:paraId="7A039D38" w14:textId="4EE5581A" w:rsidR="007B7BDA" w:rsidRPr="00AD537B" w:rsidRDefault="007B7BDA" w:rsidP="007B7BDA">
            <w:pPr>
              <w:jc w:val="both"/>
            </w:pPr>
            <w:r>
              <w:t xml:space="preserve">Papildus </w:t>
            </w:r>
            <w:r w:rsidR="007A5ACC" w:rsidRPr="00AD537B">
              <w:t>ēku energoefektivitātes jomā</w:t>
            </w:r>
            <w:r w:rsidR="007A5ACC">
              <w:t xml:space="preserve"> piemērojamie standarti noteikti Ministru kabineta 2019.</w:t>
            </w:r>
            <w:r w:rsidR="00AD3667">
              <w:t> </w:t>
            </w:r>
            <w:r w:rsidR="007A5ACC">
              <w:t>gada 25.</w:t>
            </w:r>
            <w:r w:rsidR="00AD3667">
              <w:t> </w:t>
            </w:r>
            <w:r w:rsidR="007A5ACC">
              <w:t>jūnija noteikumos Nr.</w:t>
            </w:r>
            <w:r w:rsidR="00AD3667">
              <w:rPr>
                <w:sz w:val="22"/>
                <w:szCs w:val="22"/>
              </w:rPr>
              <w:t> </w:t>
            </w:r>
            <w:r w:rsidR="007A5ACC">
              <w:t>280 “Noteikumi par Latvijas būvnormatīvu LBN 002-19 “Ēku norobežojošo konstrukciju siltumtehnika”” un Ministru kabineta 2013.</w:t>
            </w:r>
            <w:r w:rsidR="00AD3667">
              <w:t> </w:t>
            </w:r>
            <w:r w:rsidR="007A5ACC">
              <w:t>gada 9.</w:t>
            </w:r>
            <w:r w:rsidR="00AD3667">
              <w:t> </w:t>
            </w:r>
            <w:r w:rsidR="007A5ACC">
              <w:t>jūlija noteikumos Nr.</w:t>
            </w:r>
            <w:r w:rsidR="00AD3667">
              <w:t> </w:t>
            </w:r>
            <w:r w:rsidR="007A5ACC">
              <w:t>383 “Noteikum</w:t>
            </w:r>
            <w:r w:rsidR="00F7077D">
              <w:t>i</w:t>
            </w:r>
            <w:r w:rsidR="007A5ACC">
              <w:t xml:space="preserve"> par ēku </w:t>
            </w:r>
            <w:proofErr w:type="spellStart"/>
            <w:r w:rsidR="007A5ACC">
              <w:t>energosertifikāciju</w:t>
            </w:r>
            <w:proofErr w:type="spellEnd"/>
            <w:r w:rsidR="007A5ACC">
              <w:t xml:space="preserve">”. </w:t>
            </w:r>
          </w:p>
          <w:p w14:paraId="1632FEAA" w14:textId="20295738" w:rsidR="00E06B7D" w:rsidRPr="00AD537B" w:rsidRDefault="00E06B7D" w:rsidP="00E06B7D">
            <w:pPr>
              <w:jc w:val="both"/>
            </w:pPr>
            <w:r>
              <w:t xml:space="preserve">Attiecīgi </w:t>
            </w:r>
            <w:r w:rsidRPr="00AD537B">
              <w:t xml:space="preserve">ir secināms, ka neatkarīgs eksperts nevar veikt savus pienākumus kvalitatīvi, kā arī nodrošināt nepieciešamos aprēķinus, ja tā rīcībā nav standarti. </w:t>
            </w:r>
            <w:r>
              <w:t xml:space="preserve"> </w:t>
            </w:r>
            <w:r w:rsidRPr="00AD537B">
              <w:t>Šobrīd neatkarīgu ekspertu reģistrā reģistrēti 9</w:t>
            </w:r>
            <w:r>
              <w:t xml:space="preserve">4 </w:t>
            </w:r>
            <w:r w:rsidRPr="00AD537B">
              <w:t xml:space="preserve">eksperti. Saskaņā ar LVS sniegto statistiku </w:t>
            </w:r>
            <w:r w:rsidRPr="00E56957">
              <w:t>periodā no 2013.</w:t>
            </w:r>
            <w:r w:rsidR="00AD3667">
              <w:t> </w:t>
            </w:r>
            <w:r w:rsidRPr="00E56957">
              <w:t>gada līdz 2018.</w:t>
            </w:r>
            <w:r w:rsidR="00AD3667">
              <w:t> </w:t>
            </w:r>
            <w:r w:rsidRPr="00E56957">
              <w:t xml:space="preserve">gadam energoefektivitātes jomā (ICS grupa 91.120.10 Siltumizolācija. Ēku energoefektivitāte) 49 dažādu nosaukumu standartus 140 reizes iegādājušies 64 komersanti lietošanai 67 personām. Ne visas personas ir ekspertu sarakstā. </w:t>
            </w:r>
            <w:r w:rsidRPr="00AD537B">
              <w:t xml:space="preserve"> </w:t>
            </w:r>
            <w:r w:rsidRPr="00E56957">
              <w:t>Ņemot vērā statistiku</w:t>
            </w:r>
            <w:r w:rsidR="00AD3667">
              <w:t>,</w:t>
            </w:r>
            <w:r w:rsidRPr="00E56957">
              <w:t xml:space="preserve"> ir secināms, ka esošā sistēma nav pietiekami efektīva un nenodrošina obligāti piemērojamā regulējuma aktīvu un jēgpilnu izmantošanu</w:t>
            </w:r>
            <w:r w:rsidR="00AD3667">
              <w:t>,</w:t>
            </w:r>
            <w:r w:rsidRPr="00E56957">
              <w:t xml:space="preserve"> veicot ēku energoefektivitātes aprēķinus.</w:t>
            </w:r>
          </w:p>
          <w:p w14:paraId="3729225E" w14:textId="6419D3DD" w:rsidR="00E06B7D" w:rsidRPr="00951E2E" w:rsidRDefault="00E06B7D" w:rsidP="00E06B7D">
            <w:pPr>
              <w:jc w:val="both"/>
            </w:pPr>
            <w:r w:rsidRPr="00AD537B">
              <w:t>Kā viens no iemesliem, kāpēc</w:t>
            </w:r>
            <w:r w:rsidR="00AD3667">
              <w:t>,</w:t>
            </w:r>
            <w:r w:rsidRPr="00AD537B">
              <w:t xml:space="preserve"> veicot savus profesionālos pienākumus, neatkarīgi eksperti nelieto obligāti piemērojamos standartus, ir standartu augstā cen</w:t>
            </w:r>
            <w:r>
              <w:t xml:space="preserve">a (vidējā energoefektivitātes </w:t>
            </w:r>
            <w:r>
              <w:lastRenderedPageBreak/>
              <w:t xml:space="preserve">jomas standarta cena ir 22,70 </w:t>
            </w:r>
            <w:proofErr w:type="spellStart"/>
            <w:r w:rsidRPr="00AD3667">
              <w:rPr>
                <w:i/>
                <w:iCs/>
              </w:rPr>
              <w:t>euro</w:t>
            </w:r>
            <w:proofErr w:type="spellEnd"/>
            <w:r>
              <w:t>)</w:t>
            </w:r>
            <w:r w:rsidRPr="00AD537B">
              <w:t>. Esošā standartu iegādes un apmaksas sistēma prasa finansiāli lielus ieguldījumus klientam, lai iegādātos visus tam nepieciešamos standartus</w:t>
            </w:r>
            <w:r>
              <w:t xml:space="preserve"> (kopējā šo standartu iegādes cena vienam speciālistam ir 2541,86 </w:t>
            </w:r>
            <w:proofErr w:type="spellStart"/>
            <w:r w:rsidRPr="00AD3667">
              <w:rPr>
                <w:i/>
                <w:iCs/>
              </w:rPr>
              <w:t>euro</w:t>
            </w:r>
            <w:proofErr w:type="spellEnd"/>
            <w:r>
              <w:t xml:space="preserve"> ar PVN)</w:t>
            </w:r>
            <w:r w:rsidRPr="00AD537B">
              <w:t xml:space="preserve">. </w:t>
            </w:r>
            <w:r w:rsidRPr="00E20208">
              <w:t xml:space="preserve">Latvijas standartu </w:t>
            </w:r>
            <w:r w:rsidR="00D64D70">
              <w:t>lasītav</w:t>
            </w:r>
            <w:r w:rsidRPr="00E20208">
              <w:t>ā</w:t>
            </w:r>
            <w:r w:rsidR="00D64D70">
              <w:t xml:space="preserve"> klātienē </w:t>
            </w:r>
            <w:proofErr w:type="spellStart"/>
            <w:r w:rsidR="00D64D70">
              <w:t>Kr</w:t>
            </w:r>
            <w:proofErr w:type="spellEnd"/>
            <w:r w:rsidR="00D64D70">
              <w:t>.</w:t>
            </w:r>
            <w:r w:rsidR="00E062B9">
              <w:t> </w:t>
            </w:r>
            <w:r w:rsidR="00D64D70">
              <w:t>Valdemāra ielā 157, Rīgā</w:t>
            </w:r>
            <w:r w:rsidRPr="00E20208">
              <w:t xml:space="preserve"> ir iespējams bez maksas iepazīties ar standartu saturu, </w:t>
            </w:r>
            <w:r w:rsidR="00E43C5A">
              <w:t>taču šāda kārtība</w:t>
            </w:r>
            <w:r w:rsidR="009D2717">
              <w:t xml:space="preserve"> neatkarīgam ekspertam</w:t>
            </w:r>
            <w:r w:rsidR="00E43C5A">
              <w:t xml:space="preserve"> </w:t>
            </w:r>
            <w:r w:rsidR="009D2717">
              <w:t>prasa papildu laika resursus</w:t>
            </w:r>
            <w:r w:rsidR="00D64D70">
              <w:t xml:space="preserve"> un laika plānošanu (pašreiz lasītavas darba laiks ir piecas stundas darba dienās un četras stundas pirmssvētku dienās), sevišķi, ja neatkarīga eksperta dzīvesvieta vai profesionālās darbības vieta ir ārpus Rīgas</w:t>
            </w:r>
            <w:r w:rsidR="009D2717">
              <w:t>. Turklāt d</w:t>
            </w:r>
            <w:r w:rsidR="009D2717" w:rsidRPr="00E20208">
              <w:t>arbs ar standartu lasītavā nav ērts,</w:t>
            </w:r>
            <w:r w:rsidR="009D2717">
              <w:t xml:space="preserve"> ņemot vērā nepieciešamību vienlaikus izmantot arī citu dokumentāciju. Rezultātā standartu izmantošana</w:t>
            </w:r>
            <w:r w:rsidR="009D2717" w:rsidRPr="00E20208">
              <w:t xml:space="preserve"> ir</w:t>
            </w:r>
            <w:r w:rsidR="009D2717">
              <w:t xml:space="preserve"> ļoti</w:t>
            </w:r>
            <w:r w:rsidR="009D2717" w:rsidRPr="00E20208">
              <w:t xml:space="preserve"> laikietilpīgs process</w:t>
            </w:r>
            <w:r w:rsidR="009D2717">
              <w:t xml:space="preserve">, kas rada risku, ka neatkarīgi eksperti neizmantos nepieciešamos </w:t>
            </w:r>
            <w:r w:rsidRPr="00E20208">
              <w:t xml:space="preserve">standartus savā ikdienas profesionālajā darbā. </w:t>
            </w:r>
            <w:r w:rsidR="009D2717">
              <w:t>Savukārt, neizmantojot aktuālos standartus, netiek nodrošināta būvniecības normatīvo aktu ievērošana, kas var radīt būtiskas negatīvas sekas turpmākajā konkrētās būves būvniecības un ekspluatācijas gaitā</w:t>
            </w:r>
            <w:r w:rsidRPr="00E20208">
              <w:t>.</w:t>
            </w:r>
          </w:p>
          <w:p w14:paraId="7E1D891D" w14:textId="76D853F5" w:rsidR="00E06B7D" w:rsidRPr="00AD537B" w:rsidRDefault="00E06B7D" w:rsidP="00E06B7D">
            <w:pPr>
              <w:jc w:val="both"/>
            </w:pPr>
            <w:bookmarkStart w:id="0" w:name="_Hlk22128609"/>
            <w:r w:rsidRPr="00951E2E">
              <w:t xml:space="preserve">Noteikumu projekts paredz, ka </w:t>
            </w:r>
            <w:r w:rsidR="00951E2E" w:rsidRPr="00951E2E">
              <w:t>kompetences pārbaudes iestādes sadarbībā ar n</w:t>
            </w:r>
            <w:r w:rsidRPr="00951E2E">
              <w:t>acionāl</w:t>
            </w:r>
            <w:r w:rsidR="00951E2E" w:rsidRPr="00951E2E">
              <w:t>o</w:t>
            </w:r>
            <w:r w:rsidRPr="00951E2E">
              <w:t xml:space="preserve"> standartizācijas institūcij</w:t>
            </w:r>
            <w:r w:rsidR="00951E2E" w:rsidRPr="00951E2E">
              <w:t>u</w:t>
            </w:r>
            <w:r w:rsidRPr="00951E2E">
              <w:t xml:space="preserve"> neatkarīgiem ekspertiem nodrošinās tiešsaistes piekļuvi Latvijas standartiem (vairāk nekā 190 dažādi standarti).</w:t>
            </w:r>
            <w:bookmarkEnd w:id="0"/>
            <w:r w:rsidRPr="00AD537B">
              <w:t xml:space="preserve"> Tas ļaus neatkarīgiem ekspertiem apskatīt un izmantot vēlamo standartu jebkurā laikā un vietā, kā arī sekot līdzi standartu aktuālajām redakcijām.</w:t>
            </w:r>
            <w:r>
              <w:t xml:space="preserve"> </w:t>
            </w:r>
            <w:r w:rsidRPr="00AD537B">
              <w:t>Individuāla tiešsai</w:t>
            </w:r>
            <w:r w:rsidR="00E062B9">
              <w:t>s</w:t>
            </w:r>
            <w:r w:rsidRPr="00AD537B">
              <w:t xml:space="preserve">tes piekļuve neatkarīgam ekspertam izmaksātu </w:t>
            </w:r>
            <w:r>
              <w:t>313,39</w:t>
            </w:r>
            <w:r w:rsidRPr="00AD537B">
              <w:t xml:space="preserve"> </w:t>
            </w:r>
            <w:proofErr w:type="spellStart"/>
            <w:r w:rsidRPr="00A5479E">
              <w:rPr>
                <w:i/>
                <w:iCs/>
              </w:rPr>
              <w:t>euro</w:t>
            </w:r>
            <w:proofErr w:type="spellEnd"/>
            <w:r w:rsidRPr="00AD537B">
              <w:t xml:space="preserve"> gadā. Savukārt noteikumu projekts paredz, ka neatkarīgam ekspertam gadā ir jāmaksā </w:t>
            </w:r>
            <w:r w:rsidRPr="00EB1FCC">
              <w:t xml:space="preserve">30 </w:t>
            </w:r>
            <w:proofErr w:type="spellStart"/>
            <w:r w:rsidRPr="00A5479E">
              <w:rPr>
                <w:i/>
                <w:iCs/>
              </w:rPr>
              <w:t>euro</w:t>
            </w:r>
            <w:proofErr w:type="spellEnd"/>
            <w:r w:rsidRPr="00EB1FCC">
              <w:t>.</w:t>
            </w:r>
          </w:p>
          <w:p w14:paraId="0E4EA83D" w14:textId="0729C641" w:rsidR="00E06B7D" w:rsidRDefault="00E06B7D" w:rsidP="00E06B7D">
            <w:pPr>
              <w:jc w:val="both"/>
            </w:pPr>
            <w:r w:rsidRPr="00EB1FCC">
              <w:t xml:space="preserve">Ekonomikas ministrija ir secinājusi, ka spēkā esošie alternatīvie risinājumi praksē ir pierādījuši savu neefektivitāti. Spēkā esošais regulējums ļauj neatkarīgiem ekspertiem brīvprātīgi iegādāties tiem nepieciešamos standartus (noslēdzot abonēšanas līgumu vai nopērkot atsevišķus standartus) vai iepazīties ar to saturu lasītavā bez maksas. Pirmais risinājums uzliek </w:t>
            </w:r>
            <w:r w:rsidR="00E062B9">
              <w:t xml:space="preserve">neatkarīgam ekspertam </w:t>
            </w:r>
            <w:r w:rsidRPr="00EB1FCC">
              <w:t>lielu</w:t>
            </w:r>
            <w:r w:rsidR="00E062B9">
              <w:t xml:space="preserve"> papildu</w:t>
            </w:r>
            <w:r w:rsidRPr="00EB1FCC">
              <w:t xml:space="preserve"> finansiālu slogu, savukārt darbs lasītavā ir laikietilpīgs un neērts</w:t>
            </w:r>
            <w:r w:rsidR="009D2717">
              <w:t xml:space="preserve"> un līdz ar to var veicināt standartu neizmantošanu vispār</w:t>
            </w:r>
            <w:r w:rsidRPr="00EB1FCC">
              <w:t>.</w:t>
            </w:r>
            <w:r w:rsidR="009D2717">
              <w:t xml:space="preserve"> Līdz ar to, lai veicinātu Latvijas standartu izmantošanu </w:t>
            </w:r>
            <w:r w:rsidR="00D64D70">
              <w:t xml:space="preserve">un novērstu standartu nepiemērošanas izraisītos riskus, </w:t>
            </w:r>
            <w:r w:rsidR="00E062B9">
              <w:t xml:space="preserve">neatkarīgiem ekspertiem </w:t>
            </w:r>
            <w:r w:rsidR="00D64D70">
              <w:t>tiek noteikta samazināta Latvijas standartu tiešsaistes lasītavas gada abonēšanas maksa.</w:t>
            </w:r>
          </w:p>
          <w:p w14:paraId="550D6A4B" w14:textId="68A75798" w:rsidR="00E06B7D" w:rsidRDefault="00E06B7D" w:rsidP="00E06B7D">
            <w:pPr>
              <w:jc w:val="both"/>
            </w:pPr>
            <w:r w:rsidRPr="00EB1FCC">
              <w:t xml:space="preserve"> </w:t>
            </w:r>
            <w:r w:rsidR="00EC0143">
              <w:t>3) Attiecībā uz gadījumiem, kuros kompetences pārbaudes iestāde uzaicina neatkarīgo ekspertu uz komp</w:t>
            </w:r>
            <w:r w:rsidR="00E062B9">
              <w:t>e</w:t>
            </w:r>
            <w:r w:rsidR="00EC0143">
              <w:t>tences novērtēšanu, noteikumu projekts paredz, l</w:t>
            </w:r>
            <w:r w:rsidRPr="00C6544D">
              <w:t xml:space="preserve">ai uzlabotu energosertifikātu kvalitāti un veicinātu nepārtrauktu neatkarīgo ekspertu profesionālo pilnveidošanu, neatkarīgam ekspertam būtu regulāri jāpaaugstina nepieciešamā kompetence un prasības, tādēļ projektā paredzēti nosacījumi par ekspertu regulāru kompetences paaugstināšanu. </w:t>
            </w:r>
            <w:r w:rsidR="007A5ACC">
              <w:t>S</w:t>
            </w:r>
            <w:r w:rsidRPr="00C6544D">
              <w:t xml:space="preserve">ertificēšanas institūcija, izvērtējot neatkarīgu ekspertu profesionālo darbību un tipiskās kļūdas, izvirza ekspertiem nepieciešamo apgūstamo tēmu, </w:t>
            </w:r>
            <w:r w:rsidRPr="00C6544D">
              <w:lastRenderedPageBreak/>
              <w:t xml:space="preserve">priekšmetu, jautājumu sarakstu. Attiecīgais saraksts saskaņojams ar Ekonomikas ministriju. </w:t>
            </w:r>
            <w:r w:rsidR="007A5ACC">
              <w:t>N</w:t>
            </w:r>
            <w:r w:rsidRPr="00C6544D">
              <w:t xml:space="preserve">eatkarīgam ekspertam ir pienākums attiecīgos jautājumus apgūt piecu gadu laikā. </w:t>
            </w:r>
            <w:r w:rsidR="00A5479E">
              <w:t>Noteikumu p</w:t>
            </w:r>
            <w:r w:rsidRPr="00C6544D">
              <w:t>r</w:t>
            </w:r>
            <w:r w:rsidR="00EC0143">
              <w:t>ojektā paredzēts nosacījums, ka</w:t>
            </w:r>
            <w:r w:rsidRPr="00C6544D">
              <w:t xml:space="preserve"> sertificēšanas iestāde ir tiesīga prasīt neatkarīga eksperta atkārtotu kvalifikācijas pārbaudi, ja noteiktajā laikā p</w:t>
            </w:r>
            <w:r w:rsidR="00EC0143">
              <w:t>ieprasītie jautājumi nav apgūti</w:t>
            </w:r>
            <w:r w:rsidRPr="00C6544D">
              <w:t xml:space="preserve"> vai noteiktajā periodā eksperts nav veicis pastāvīgu praksi</w:t>
            </w:r>
            <w:r>
              <w:t>, kā arī gadījumos, kad neatkarīga eksperta profesionālajā darbībā konstatēti pārkāpumi, kas pieprasa atkārtotas kompetences pārbaudes veikšanu</w:t>
            </w:r>
            <w:r w:rsidRPr="00C6544D">
              <w:t xml:space="preserve">. </w:t>
            </w:r>
            <w:r w:rsidR="00EC0143">
              <w:t>Noteikumu projektā iekļautie grozījumi izstrādāti pēc analoģijas</w:t>
            </w:r>
            <w:r w:rsidRPr="00C6544D">
              <w:t xml:space="preserve"> </w:t>
            </w:r>
            <w:r w:rsidR="00EC0143">
              <w:t xml:space="preserve">ar </w:t>
            </w:r>
            <w:proofErr w:type="spellStart"/>
            <w:r w:rsidRPr="00C6544D">
              <w:t>būvspeciālistu</w:t>
            </w:r>
            <w:proofErr w:type="spellEnd"/>
            <w:r w:rsidRPr="00C6544D">
              <w:t xml:space="preserve"> profesionālās pilnveides prasībām, kas noteiktas </w:t>
            </w:r>
            <w:r w:rsidR="00A5479E" w:rsidRPr="00C6544D">
              <w:t xml:space="preserve">Ministru kabineta </w:t>
            </w:r>
            <w:r w:rsidRPr="00C6544D">
              <w:t>2018.</w:t>
            </w:r>
            <w:r w:rsidR="00A5479E">
              <w:t> </w:t>
            </w:r>
            <w:r w:rsidRPr="00C6544D">
              <w:t>gada 20.</w:t>
            </w:r>
            <w:r w:rsidR="00A5479E">
              <w:t> </w:t>
            </w:r>
            <w:r w:rsidRPr="00C6544D">
              <w:t>marta noteikumos Nr.</w:t>
            </w:r>
            <w:r w:rsidR="00A5479E">
              <w:t> </w:t>
            </w:r>
            <w:r w:rsidRPr="00C6544D">
              <w:t>169 “</w:t>
            </w:r>
            <w:proofErr w:type="spellStart"/>
            <w:r w:rsidRPr="00C6544D">
              <w:t>Būvspeciālistu</w:t>
            </w:r>
            <w:proofErr w:type="spellEnd"/>
            <w:r w:rsidRPr="00C6544D">
              <w:t xml:space="preserve"> kompetences novērtēšanas un patstāvīgās prakses uzraudzības noteikumi”</w:t>
            </w:r>
            <w:r w:rsidR="00951E2E">
              <w:t xml:space="preserve">, lai nodrošinātu vienādas iespējas kā </w:t>
            </w:r>
            <w:proofErr w:type="spellStart"/>
            <w:r w:rsidR="00951E2E">
              <w:t>būvspeciālistiem</w:t>
            </w:r>
            <w:proofErr w:type="spellEnd"/>
            <w:r w:rsidR="00951E2E">
              <w:t>, tā arī sertificētiem neatkarīgiem ekspertiem ēku energoefektivitātes jomā izmantot profesionālajā darbībā nepieciešamos standartus</w:t>
            </w:r>
            <w:r w:rsidRPr="00C6544D">
              <w:t>.</w:t>
            </w:r>
          </w:p>
          <w:p w14:paraId="4ADC7479" w14:textId="37D926B7" w:rsidR="00E06B7D" w:rsidRPr="00AD537B" w:rsidRDefault="00A5479E" w:rsidP="00EC0143">
            <w:pPr>
              <w:jc w:val="both"/>
            </w:pPr>
            <w:r>
              <w:t>Saskaņā ar noteikumu projektu attiecīgi n</w:t>
            </w:r>
            <w:r w:rsidR="00E06B7D" w:rsidRPr="00AD537B">
              <w:t>oteikum</w:t>
            </w:r>
            <w:r>
              <w:t>i pēc to apstiprināšanas Ministru kabinetā</w:t>
            </w:r>
            <w:r w:rsidR="00E06B7D" w:rsidRPr="00AD537B">
              <w:t xml:space="preserve"> stā</w:t>
            </w:r>
            <w:r>
              <w:t>sie</w:t>
            </w:r>
            <w:r w:rsidR="00E06B7D" w:rsidRPr="00AD537B">
              <w:t>s spēkā 2020.</w:t>
            </w:r>
            <w:r>
              <w:t> </w:t>
            </w:r>
            <w:r w:rsidR="00E06B7D" w:rsidRPr="00AD537B">
              <w:t xml:space="preserve">gada </w:t>
            </w:r>
            <w:r w:rsidR="00E06B7D" w:rsidRPr="00FE13B6">
              <w:t>1.</w:t>
            </w:r>
            <w:r w:rsidRPr="00FE13B6">
              <w:t> </w:t>
            </w:r>
            <w:r w:rsidR="00E06B7D" w:rsidRPr="00FE13B6">
              <w:t>j</w:t>
            </w:r>
            <w:r w:rsidR="00FE13B6" w:rsidRPr="00FE13B6">
              <w:t>ūlijā</w:t>
            </w:r>
            <w:r w:rsidR="00E06B7D" w:rsidRPr="00FE13B6">
              <w:t>.</w:t>
            </w:r>
            <w:r w:rsidR="00E06B7D" w:rsidRPr="00AD537B">
              <w:t xml:space="preserve"> Pārejas periods nepieciešams, lai veiktu pielāgošanas darbus Būvniecības informācijas sistēmā.</w:t>
            </w:r>
          </w:p>
        </w:tc>
      </w:tr>
      <w:tr w:rsidR="00E06B7D" w:rsidRPr="004C5DAC" w14:paraId="4D0A593B" w14:textId="77777777" w:rsidTr="00E06B7D">
        <w:tc>
          <w:tcPr>
            <w:tcW w:w="281" w:type="pct"/>
            <w:hideMark/>
          </w:tcPr>
          <w:p w14:paraId="263E0631" w14:textId="77777777" w:rsidR="00E06B7D" w:rsidRPr="00891F90" w:rsidRDefault="00E06B7D" w:rsidP="00E06B7D">
            <w:pPr>
              <w:widowControl w:val="0"/>
              <w:jc w:val="center"/>
            </w:pPr>
            <w:r w:rsidRPr="00891F90">
              <w:lastRenderedPageBreak/>
              <w:t>3.</w:t>
            </w:r>
          </w:p>
        </w:tc>
        <w:tc>
          <w:tcPr>
            <w:tcW w:w="1339" w:type="pct"/>
            <w:hideMark/>
          </w:tcPr>
          <w:p w14:paraId="34805C7E" w14:textId="77777777" w:rsidR="00E06B7D" w:rsidRPr="00891F90" w:rsidRDefault="00E06B7D" w:rsidP="00E06B7D">
            <w:pPr>
              <w:widowControl w:val="0"/>
            </w:pPr>
            <w:r w:rsidRPr="00891F90">
              <w:t>Projekta izstrādē iesaistītās institūcijas un publiskas personas kapitālsabiedrības</w:t>
            </w:r>
          </w:p>
        </w:tc>
        <w:tc>
          <w:tcPr>
            <w:tcW w:w="3380" w:type="pct"/>
            <w:hideMark/>
          </w:tcPr>
          <w:p w14:paraId="3B692DAF" w14:textId="77777777" w:rsidR="00E06B7D" w:rsidRPr="00AD537B" w:rsidRDefault="00E06B7D" w:rsidP="00E06B7D">
            <w:pPr>
              <w:jc w:val="both"/>
              <w:rPr>
                <w:sz w:val="14"/>
                <w:highlight w:val="yellow"/>
              </w:rPr>
            </w:pPr>
            <w:r w:rsidRPr="005D1290">
              <w:t>Ekonomikas ministrija</w:t>
            </w:r>
            <w:r>
              <w:t xml:space="preserve">, </w:t>
            </w:r>
            <w:r w:rsidRPr="00625903">
              <w:t xml:space="preserve">Izglītības un zinātnes ministrija, </w:t>
            </w:r>
            <w:r>
              <w:t>sabiedrība ar ierobežotu atbildību</w:t>
            </w:r>
            <w:r w:rsidRPr="00625903">
              <w:t xml:space="preserve"> “Latvijas standarts”</w:t>
            </w:r>
            <w:r>
              <w:t xml:space="preserve">, Būvniecības valsts kontroles birojs, </w:t>
            </w:r>
            <w:r w:rsidRPr="00C6544D">
              <w:t>biedrība “Latvijas Siltuma, gāzes un ūdens tehnoloģijas inženieru savienība”</w:t>
            </w:r>
          </w:p>
        </w:tc>
      </w:tr>
      <w:tr w:rsidR="00E06B7D" w:rsidRPr="004C5DAC" w14:paraId="48DE18C6" w14:textId="77777777" w:rsidTr="00E06B7D">
        <w:tc>
          <w:tcPr>
            <w:tcW w:w="281" w:type="pct"/>
            <w:hideMark/>
          </w:tcPr>
          <w:p w14:paraId="210E114A" w14:textId="77777777" w:rsidR="00E06B7D" w:rsidRPr="004C5DAC" w:rsidRDefault="00E06B7D" w:rsidP="00E06B7D">
            <w:pPr>
              <w:widowControl w:val="0"/>
              <w:jc w:val="center"/>
            </w:pPr>
            <w:r w:rsidRPr="004C5DAC">
              <w:t>4.</w:t>
            </w:r>
          </w:p>
        </w:tc>
        <w:tc>
          <w:tcPr>
            <w:tcW w:w="1339" w:type="pct"/>
            <w:hideMark/>
          </w:tcPr>
          <w:p w14:paraId="33BA0A17" w14:textId="77777777" w:rsidR="00E06B7D" w:rsidRPr="004C5DAC" w:rsidRDefault="00E06B7D" w:rsidP="00E06B7D">
            <w:pPr>
              <w:widowControl w:val="0"/>
            </w:pPr>
            <w:r w:rsidRPr="004C5DAC">
              <w:t>Cita informācija</w:t>
            </w:r>
          </w:p>
        </w:tc>
        <w:tc>
          <w:tcPr>
            <w:tcW w:w="3380" w:type="pct"/>
            <w:hideMark/>
          </w:tcPr>
          <w:p w14:paraId="0321F5C4" w14:textId="77777777" w:rsidR="00E06B7D" w:rsidRPr="00AD537B" w:rsidRDefault="00E06B7D" w:rsidP="00E06B7D">
            <w:pPr>
              <w:widowControl w:val="0"/>
              <w:ind w:firstLine="108"/>
            </w:pPr>
            <w:r w:rsidRPr="00AD537B">
              <w:t>Nav</w:t>
            </w:r>
          </w:p>
        </w:tc>
      </w:tr>
    </w:tbl>
    <w:p w14:paraId="0B694318" w14:textId="77777777" w:rsidR="00E06B7D" w:rsidRPr="004C5DAC" w:rsidRDefault="00E06B7D" w:rsidP="00E06B7D">
      <w:pPr>
        <w:pStyle w:val="Title"/>
        <w:spacing w:before="130" w:line="260" w:lineRule="exact"/>
        <w:jc w:val="both"/>
        <w:rPr>
          <w:sz w:val="24"/>
          <w:szCs w:val="24"/>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39"/>
      </w:tblGrid>
      <w:tr w:rsidR="00E06B7D" w:rsidRPr="004C5DAC" w14:paraId="06055416" w14:textId="77777777" w:rsidTr="00A5479E">
        <w:tc>
          <w:tcPr>
            <w:tcW w:w="9209" w:type="dxa"/>
            <w:gridSpan w:val="3"/>
            <w:vAlign w:val="center"/>
            <w:hideMark/>
          </w:tcPr>
          <w:p w14:paraId="603FAE0F" w14:textId="77777777" w:rsidR="00E06B7D" w:rsidRPr="004C5DAC" w:rsidRDefault="00E06B7D" w:rsidP="00E06B7D">
            <w:pPr>
              <w:jc w:val="center"/>
              <w:rPr>
                <w:b/>
                <w:bCs/>
              </w:rPr>
            </w:pPr>
            <w:r w:rsidRPr="004C5DAC">
              <w:rPr>
                <w:b/>
                <w:bCs/>
              </w:rPr>
              <w:t>II. Tiesību akta projekta ietekme uz sabiedrību, tautsaimniecības attīstību un administratīvo slogu</w:t>
            </w:r>
          </w:p>
        </w:tc>
      </w:tr>
      <w:tr w:rsidR="00E06B7D" w:rsidRPr="004C5DAC" w14:paraId="3EC2BF8E" w14:textId="77777777" w:rsidTr="00A5479E">
        <w:tc>
          <w:tcPr>
            <w:tcW w:w="516" w:type="dxa"/>
            <w:hideMark/>
          </w:tcPr>
          <w:p w14:paraId="15779348" w14:textId="77777777" w:rsidR="00E06B7D" w:rsidRPr="004C5DAC" w:rsidRDefault="00E06B7D" w:rsidP="00E06B7D">
            <w:pPr>
              <w:jc w:val="center"/>
            </w:pPr>
            <w:r w:rsidRPr="004C5DAC">
              <w:t>1.</w:t>
            </w:r>
          </w:p>
        </w:tc>
        <w:tc>
          <w:tcPr>
            <w:tcW w:w="2454" w:type="dxa"/>
            <w:hideMark/>
          </w:tcPr>
          <w:p w14:paraId="2759E8FB" w14:textId="77777777" w:rsidR="00E06B7D" w:rsidRPr="004C5DAC" w:rsidRDefault="00E06B7D" w:rsidP="00E06B7D">
            <w:r w:rsidRPr="004C5DAC">
              <w:t>Sabiedrības mērķgrupas, kuras tiesiskais regulējums ietekmē vai varētu ietekmēt</w:t>
            </w:r>
          </w:p>
        </w:tc>
        <w:tc>
          <w:tcPr>
            <w:tcW w:w="6239" w:type="dxa"/>
            <w:hideMark/>
          </w:tcPr>
          <w:p w14:paraId="3F4BA506" w14:textId="5BF1B358" w:rsidR="00E06B7D" w:rsidRDefault="00E06B7D" w:rsidP="00E06B7D">
            <w:pPr>
              <w:pStyle w:val="naiskr"/>
              <w:spacing w:before="0" w:after="0"/>
              <w:jc w:val="both"/>
            </w:pPr>
            <w:r>
              <w:t>Neatkarīgu ēku energoefektivitātes ekspertu</w:t>
            </w:r>
            <w:r w:rsidRPr="004C5DAC">
              <w:t>, ku</w:t>
            </w:r>
            <w:r>
              <w:t>riem ir derīgs sertifikāts, skaits ir 94</w:t>
            </w:r>
            <w:r w:rsidRPr="004C5DAC">
              <w:t xml:space="preserve"> personas</w:t>
            </w:r>
            <w:r>
              <w:t>. Šo personu kompetences apliecināšanu profesionālo uzraudzību veic</w:t>
            </w:r>
            <w:r w:rsidRPr="004C5DAC">
              <w:t xml:space="preserve"> </w:t>
            </w:r>
            <w:r>
              <w:t>biedrība “</w:t>
            </w:r>
            <w:r w:rsidRPr="004C5DAC">
              <w:t>Latvijas Siltuma, gāzes un ūdens tehnoloģijas inženieru savienība</w:t>
            </w:r>
            <w:r>
              <w:t>”</w:t>
            </w:r>
            <w:r w:rsidR="00A5479E">
              <w:t>.</w:t>
            </w:r>
          </w:p>
          <w:p w14:paraId="1E5D6E87" w14:textId="77777777" w:rsidR="00E06B7D" w:rsidRDefault="00E06B7D" w:rsidP="00E06B7D">
            <w:pPr>
              <w:pStyle w:val="naiskr"/>
              <w:spacing w:before="0" w:after="0"/>
              <w:jc w:val="both"/>
            </w:pPr>
            <w:r>
              <w:t>SIA “Latvijas standarts”, kas atbilstoši noteikumu projektam nodrošinās piekļuvi standartiem.</w:t>
            </w:r>
          </w:p>
          <w:p w14:paraId="0165F05D" w14:textId="273BC835" w:rsidR="00E06B7D" w:rsidRPr="00DC20DD" w:rsidRDefault="00E06B7D" w:rsidP="00E06B7D">
            <w:pPr>
              <w:pStyle w:val="naiskr"/>
              <w:spacing w:before="0" w:after="0"/>
              <w:jc w:val="both"/>
            </w:pPr>
            <w:r>
              <w:t>Būvniecības valsts kontroles birojs, kas sadarbībā ar sistēmas izstrādātājiem nodrošinās</w:t>
            </w:r>
            <w:r w:rsidR="00A5479E">
              <w:t xml:space="preserve"> Būvniecības informācijas</w:t>
            </w:r>
            <w:r>
              <w:t xml:space="preserve"> sistēmas pielāgošanas darbus.</w:t>
            </w:r>
          </w:p>
        </w:tc>
      </w:tr>
      <w:tr w:rsidR="00E06B7D" w:rsidRPr="004C5DAC" w14:paraId="421E689F" w14:textId="77777777" w:rsidTr="00A5479E">
        <w:tc>
          <w:tcPr>
            <w:tcW w:w="516" w:type="dxa"/>
            <w:hideMark/>
          </w:tcPr>
          <w:p w14:paraId="503B8506" w14:textId="77777777" w:rsidR="00E06B7D" w:rsidRPr="004C5DAC" w:rsidRDefault="00E06B7D" w:rsidP="00E06B7D">
            <w:pPr>
              <w:jc w:val="center"/>
            </w:pPr>
            <w:r w:rsidRPr="004C5DAC">
              <w:t>2.</w:t>
            </w:r>
          </w:p>
        </w:tc>
        <w:tc>
          <w:tcPr>
            <w:tcW w:w="2454" w:type="dxa"/>
            <w:hideMark/>
          </w:tcPr>
          <w:p w14:paraId="166B25B4" w14:textId="77777777" w:rsidR="00E06B7D" w:rsidRPr="004C5DAC" w:rsidRDefault="00E06B7D" w:rsidP="00E06B7D">
            <w:pPr>
              <w:jc w:val="both"/>
            </w:pPr>
            <w:r w:rsidRPr="004C5DAC">
              <w:t>Tiesiskā regulējuma ietekme uz tautsaimniecību un administratīvo slogu</w:t>
            </w:r>
          </w:p>
        </w:tc>
        <w:tc>
          <w:tcPr>
            <w:tcW w:w="6239" w:type="dxa"/>
            <w:hideMark/>
          </w:tcPr>
          <w:p w14:paraId="27921ACC" w14:textId="627A2D94" w:rsidR="00E06B7D" w:rsidRDefault="00E06B7D" w:rsidP="00E06B7D">
            <w:pPr>
              <w:jc w:val="both"/>
            </w:pPr>
            <w:r>
              <w:t xml:space="preserve">Neatkarīgs eksperts maksu par Latvijas standartu tiešsaistes lasītavas abonēšanu veic līdz ar patstāvīgas prakses uzraudzības gada maksu. Paredzētā maksa – 30 </w:t>
            </w:r>
            <w:proofErr w:type="spellStart"/>
            <w:r w:rsidRPr="00A5479E">
              <w:rPr>
                <w:i/>
                <w:iCs/>
              </w:rPr>
              <w:t>euro</w:t>
            </w:r>
            <w:proofErr w:type="spellEnd"/>
            <w:r>
              <w:t xml:space="preserve"> gadā ir būtiski zemāka kā maksa par atsevišķiem standartiem, neatkarīgam ekspertam tiks atvieglota piekļuve Latvijas standartu tiešsaistes lasītavai un nebūs jāvelta laikietilpīgs darbs ar standartiem lasītavā.</w:t>
            </w:r>
          </w:p>
          <w:p w14:paraId="2B1AC4A0" w14:textId="4524686A" w:rsidR="00E06B7D" w:rsidRDefault="00E06B7D" w:rsidP="00A5479E">
            <w:pPr>
              <w:jc w:val="both"/>
            </w:pPr>
            <w:r>
              <w:t xml:space="preserve">Tautsaimniecība iegūs potenciāli kvalitatīvākus neatkarīga eksperta pakalpojumus, izstrādātos ēku </w:t>
            </w:r>
            <w:proofErr w:type="spellStart"/>
            <w:r>
              <w:t>energosertifikātus</w:t>
            </w:r>
            <w:proofErr w:type="spellEnd"/>
            <w:r>
              <w:t xml:space="preserve">, apkures un gaisa kondicionēšanas sistēmu pārbaudes aktus. </w:t>
            </w:r>
            <w:r>
              <w:lastRenderedPageBreak/>
              <w:t>Administratīvais slogs palielināsies neatkarīgajiem ekspertiem</w:t>
            </w:r>
            <w:r w:rsidR="00A5479E">
              <w:t>,</w:t>
            </w:r>
            <w:r>
              <w:t xml:space="preserve"> veicot profesionālās pilnveides pasākumus, kā arī B</w:t>
            </w:r>
            <w:r w:rsidR="00A5479E">
              <w:t>ūvniecības informācijas</w:t>
            </w:r>
            <w:r>
              <w:t xml:space="preserve"> sistēmā ievadot profesionālās pilnveides informāciju, tomēr slogs vērtējams kā nebūtisks pret sabiedrības ieguvumiem</w:t>
            </w:r>
            <w:r w:rsidR="00A5479E">
              <w:t>,</w:t>
            </w:r>
            <w:r>
              <w:t xml:space="preserve"> uzlabojot neatkarīgu ekspertu kvalifikāciju un uzraudzību.</w:t>
            </w:r>
          </w:p>
          <w:p w14:paraId="3CF5F0A9" w14:textId="77777777" w:rsidR="00E06B7D" w:rsidRPr="00EA03F8" w:rsidRDefault="00E06B7D" w:rsidP="00A5479E">
            <w:pPr>
              <w:keepNext/>
              <w:keepLines/>
              <w:jc w:val="both"/>
              <w:outlineLvl w:val="6"/>
            </w:pPr>
            <w:r>
              <w:t xml:space="preserve">Kompetences pārbaudes institūcijām radīsies papildus pienākumi, tomēr projekts paredz, ka ekspertu profesionālās  darbības pārkāpumu gadījumos var tikt pieprasīta atkārtota eksperta kompetences pārbaude, kas nosegs sertificēšanas institūcijas radītās papildu pienākumu izmaksas. </w:t>
            </w:r>
          </w:p>
        </w:tc>
      </w:tr>
      <w:tr w:rsidR="00E06B7D" w:rsidRPr="004C5DAC" w14:paraId="27A170C5" w14:textId="77777777" w:rsidTr="00A5479E">
        <w:tc>
          <w:tcPr>
            <w:tcW w:w="516" w:type="dxa"/>
            <w:hideMark/>
          </w:tcPr>
          <w:p w14:paraId="23A084D0" w14:textId="77777777" w:rsidR="00E06B7D" w:rsidRPr="004C5DAC" w:rsidRDefault="00E06B7D" w:rsidP="00E06B7D">
            <w:pPr>
              <w:jc w:val="center"/>
            </w:pPr>
            <w:r w:rsidRPr="004C5DAC">
              <w:lastRenderedPageBreak/>
              <w:t>3.</w:t>
            </w:r>
          </w:p>
        </w:tc>
        <w:tc>
          <w:tcPr>
            <w:tcW w:w="2454" w:type="dxa"/>
            <w:hideMark/>
          </w:tcPr>
          <w:p w14:paraId="6013EC5D" w14:textId="77777777" w:rsidR="00E06B7D" w:rsidRPr="004C5DAC" w:rsidRDefault="00E06B7D" w:rsidP="00E06B7D">
            <w:r w:rsidRPr="004C5DAC">
              <w:t>Administratīvo izmaksu monetārs novērtējums</w:t>
            </w:r>
          </w:p>
        </w:tc>
        <w:tc>
          <w:tcPr>
            <w:tcW w:w="6239" w:type="dxa"/>
            <w:hideMark/>
          </w:tcPr>
          <w:p w14:paraId="775F8C97" w14:textId="77777777" w:rsidR="00E06B7D" w:rsidRPr="004C5DAC" w:rsidRDefault="00E06B7D" w:rsidP="00E06B7D">
            <w:r w:rsidRPr="004C5DAC">
              <w:t>Projekts šo jomu neskar</w:t>
            </w:r>
          </w:p>
        </w:tc>
      </w:tr>
      <w:tr w:rsidR="00E06B7D" w:rsidRPr="004C5DAC" w14:paraId="4A24885F" w14:textId="77777777" w:rsidTr="00A5479E">
        <w:tc>
          <w:tcPr>
            <w:tcW w:w="516" w:type="dxa"/>
            <w:hideMark/>
          </w:tcPr>
          <w:p w14:paraId="77700F67" w14:textId="77777777" w:rsidR="00E06B7D" w:rsidRPr="004C5DAC" w:rsidRDefault="00E06B7D" w:rsidP="00E06B7D">
            <w:pPr>
              <w:jc w:val="center"/>
            </w:pPr>
            <w:r w:rsidRPr="004C5DAC">
              <w:t>4.</w:t>
            </w:r>
          </w:p>
        </w:tc>
        <w:tc>
          <w:tcPr>
            <w:tcW w:w="2454" w:type="dxa"/>
            <w:hideMark/>
          </w:tcPr>
          <w:p w14:paraId="210BDA75" w14:textId="77777777" w:rsidR="00E06B7D" w:rsidRPr="004C5DAC" w:rsidRDefault="00E06B7D" w:rsidP="00E06B7D">
            <w:r w:rsidRPr="004C5DAC">
              <w:t>Atbilstības izmaksu monetārs novērtējums</w:t>
            </w:r>
          </w:p>
        </w:tc>
        <w:tc>
          <w:tcPr>
            <w:tcW w:w="6239" w:type="dxa"/>
            <w:hideMark/>
          </w:tcPr>
          <w:p w14:paraId="5EC86DAE" w14:textId="77777777" w:rsidR="00E06B7D" w:rsidRPr="004C5DAC" w:rsidRDefault="00E06B7D" w:rsidP="00E06B7D">
            <w:r w:rsidRPr="004C5DAC">
              <w:t>Projekts šo jomu neskar</w:t>
            </w:r>
          </w:p>
        </w:tc>
      </w:tr>
      <w:tr w:rsidR="00E06B7D" w:rsidRPr="004C5DAC" w14:paraId="01D5B525" w14:textId="77777777" w:rsidTr="00A5479E">
        <w:tc>
          <w:tcPr>
            <w:tcW w:w="516" w:type="dxa"/>
            <w:hideMark/>
          </w:tcPr>
          <w:p w14:paraId="76908E62" w14:textId="77777777" w:rsidR="00E06B7D" w:rsidRPr="004C5DAC" w:rsidRDefault="00E06B7D" w:rsidP="00E06B7D">
            <w:pPr>
              <w:jc w:val="center"/>
              <w:rPr>
                <w:highlight w:val="yellow"/>
              </w:rPr>
            </w:pPr>
            <w:r w:rsidRPr="004C5DAC">
              <w:t>5.</w:t>
            </w:r>
          </w:p>
        </w:tc>
        <w:tc>
          <w:tcPr>
            <w:tcW w:w="2454" w:type="dxa"/>
            <w:hideMark/>
          </w:tcPr>
          <w:p w14:paraId="22B338B2" w14:textId="77777777" w:rsidR="00E06B7D" w:rsidRPr="004C5DAC" w:rsidRDefault="00E06B7D" w:rsidP="00E06B7D">
            <w:r w:rsidRPr="004C5DAC">
              <w:t>Cita informācija</w:t>
            </w:r>
          </w:p>
        </w:tc>
        <w:tc>
          <w:tcPr>
            <w:tcW w:w="6239" w:type="dxa"/>
            <w:hideMark/>
          </w:tcPr>
          <w:p w14:paraId="5092B824" w14:textId="77777777" w:rsidR="00E06B7D" w:rsidRDefault="00E06B7D" w:rsidP="00E06B7D">
            <w:r w:rsidRPr="004C5DAC">
              <w:t>Nav</w:t>
            </w:r>
          </w:p>
          <w:p w14:paraId="27AF0EC0" w14:textId="77777777" w:rsidR="00E06B7D" w:rsidRPr="00161647" w:rsidRDefault="00E06B7D" w:rsidP="00E06B7D">
            <w:pPr>
              <w:ind w:firstLine="108"/>
              <w:rPr>
                <w:sz w:val="12"/>
              </w:rPr>
            </w:pPr>
          </w:p>
        </w:tc>
      </w:tr>
    </w:tbl>
    <w:p w14:paraId="7E92F44D" w14:textId="77777777" w:rsidR="00E06B7D" w:rsidRDefault="00E06B7D" w:rsidP="00E06B7D">
      <w:pPr>
        <w:rPr>
          <w:highlight w:val="yellow"/>
        </w:rPr>
      </w:pPr>
    </w:p>
    <w:tbl>
      <w:tblPr>
        <w:tblStyle w:val="TableGridLight1"/>
        <w:tblW w:w="5553" w:type="pct"/>
        <w:tblInd w:w="-5" w:type="dxa"/>
        <w:shd w:val="clear" w:color="auto" w:fill="FFFFFF" w:themeFill="background1"/>
        <w:tblLook w:val="04A0" w:firstRow="1" w:lastRow="0" w:firstColumn="1" w:lastColumn="0" w:noHBand="0" w:noVBand="1"/>
      </w:tblPr>
      <w:tblGrid>
        <w:gridCol w:w="1804"/>
        <w:gridCol w:w="1040"/>
        <w:gridCol w:w="1134"/>
        <w:gridCol w:w="948"/>
        <w:gridCol w:w="1134"/>
        <w:gridCol w:w="948"/>
        <w:gridCol w:w="1134"/>
        <w:gridCol w:w="1072"/>
      </w:tblGrid>
      <w:tr w:rsidR="00E06B7D" w:rsidRPr="00E5323B" w14:paraId="00E2F557" w14:textId="77777777" w:rsidTr="00E06B7D">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32017" w14:textId="77777777" w:rsidR="00E06B7D" w:rsidRPr="00951E2E" w:rsidRDefault="00E06B7D" w:rsidP="00E06B7D">
            <w:pPr>
              <w:ind w:right="-34"/>
              <w:jc w:val="center"/>
              <w:rPr>
                <w:b/>
                <w:sz w:val="24"/>
                <w:szCs w:val="24"/>
              </w:rPr>
            </w:pPr>
            <w:bookmarkStart w:id="1" w:name="_Hlk22558765"/>
            <w:r w:rsidRPr="00951E2E">
              <w:rPr>
                <w:b/>
                <w:sz w:val="24"/>
                <w:szCs w:val="24"/>
              </w:rPr>
              <w:t>III. Tiesību akta projekta ietekme uz valsts budžetu un pašvaldību budžetiem</w:t>
            </w:r>
          </w:p>
        </w:tc>
      </w:tr>
      <w:tr w:rsidR="00E06B7D" w:rsidRPr="00E5323B" w14:paraId="203F20A6" w14:textId="77777777" w:rsidTr="00E06B7D">
        <w:tc>
          <w:tcPr>
            <w:tcW w:w="988" w:type="pct"/>
            <w:vMerge w:val="restart"/>
            <w:tcBorders>
              <w:top w:val="single" w:sz="4" w:space="0" w:color="auto"/>
              <w:left w:val="single" w:sz="4" w:space="0" w:color="auto"/>
              <w:right w:val="single" w:sz="4" w:space="0" w:color="auto"/>
            </w:tcBorders>
            <w:shd w:val="clear" w:color="auto" w:fill="FFFFFF" w:themeFill="background1"/>
            <w:hideMark/>
          </w:tcPr>
          <w:p w14:paraId="1DEABC10" w14:textId="77777777" w:rsidR="00E06B7D" w:rsidRPr="00F54498" w:rsidRDefault="00E06B7D" w:rsidP="00E06B7D">
            <w:r w:rsidRPr="00F54498">
              <w:t>Rādītāji</w:t>
            </w:r>
          </w:p>
        </w:tc>
        <w:tc>
          <w:tcPr>
            <w:tcW w:w="1197" w:type="pct"/>
            <w:gridSpan w:val="2"/>
            <w:vMerge w:val="restart"/>
            <w:tcBorders>
              <w:top w:val="single" w:sz="4" w:space="0" w:color="auto"/>
              <w:left w:val="single" w:sz="4" w:space="0" w:color="auto"/>
              <w:right w:val="single" w:sz="4" w:space="0" w:color="auto"/>
            </w:tcBorders>
            <w:shd w:val="clear" w:color="auto" w:fill="FFFFFF" w:themeFill="background1"/>
            <w:hideMark/>
          </w:tcPr>
          <w:p w14:paraId="513D60CB" w14:textId="77777777" w:rsidR="00E06B7D" w:rsidRPr="00F54498" w:rsidRDefault="00E06B7D" w:rsidP="00E06B7D">
            <w:pPr>
              <w:jc w:val="center"/>
            </w:pPr>
            <w:r>
              <w:t>2019</w:t>
            </w:r>
          </w:p>
        </w:tc>
        <w:tc>
          <w:tcPr>
            <w:tcW w:w="2815" w:type="pct"/>
            <w:gridSpan w:val="5"/>
            <w:tcBorders>
              <w:top w:val="single" w:sz="4" w:space="0" w:color="auto"/>
              <w:left w:val="single" w:sz="4" w:space="0" w:color="auto"/>
              <w:right w:val="single" w:sz="4" w:space="0" w:color="auto"/>
            </w:tcBorders>
            <w:shd w:val="clear" w:color="auto" w:fill="FFFFFF" w:themeFill="background1"/>
            <w:hideMark/>
          </w:tcPr>
          <w:p w14:paraId="3AB72CD1" w14:textId="77777777" w:rsidR="00E06B7D" w:rsidRPr="00F54498" w:rsidRDefault="00E06B7D" w:rsidP="00E06B7D">
            <w:pPr>
              <w:jc w:val="center"/>
            </w:pPr>
            <w:r w:rsidRPr="00F54498">
              <w:t>Turpmākie trīs gadi (</w:t>
            </w:r>
            <w:proofErr w:type="spellStart"/>
            <w:r w:rsidRPr="00F54498">
              <w:t>euro</w:t>
            </w:r>
            <w:proofErr w:type="spellEnd"/>
            <w:r w:rsidRPr="00F54498">
              <w:t>)</w:t>
            </w:r>
          </w:p>
        </w:tc>
      </w:tr>
      <w:tr w:rsidR="00E06B7D" w:rsidRPr="00E5323B" w14:paraId="4E6DDBB6" w14:textId="77777777" w:rsidTr="00E06B7D">
        <w:tc>
          <w:tcPr>
            <w:tcW w:w="988" w:type="pct"/>
            <w:vMerge/>
            <w:tcBorders>
              <w:left w:val="single" w:sz="4" w:space="0" w:color="auto"/>
              <w:right w:val="single" w:sz="4" w:space="0" w:color="auto"/>
            </w:tcBorders>
            <w:shd w:val="clear" w:color="auto" w:fill="FFFFFF" w:themeFill="background1"/>
            <w:hideMark/>
          </w:tcPr>
          <w:p w14:paraId="30D4482A" w14:textId="77777777" w:rsidR="00E06B7D" w:rsidRPr="00F54498" w:rsidRDefault="00E06B7D" w:rsidP="00E06B7D"/>
        </w:tc>
        <w:tc>
          <w:tcPr>
            <w:tcW w:w="0" w:type="auto"/>
            <w:gridSpan w:val="2"/>
            <w:vMerge/>
            <w:tcBorders>
              <w:left w:val="single" w:sz="4" w:space="0" w:color="auto"/>
              <w:right w:val="single" w:sz="4" w:space="0" w:color="auto"/>
            </w:tcBorders>
            <w:shd w:val="clear" w:color="auto" w:fill="FFFFFF" w:themeFill="background1"/>
            <w:hideMark/>
          </w:tcPr>
          <w:p w14:paraId="5AE12E26" w14:textId="77777777" w:rsidR="00E06B7D" w:rsidRPr="00F54498" w:rsidRDefault="00E06B7D" w:rsidP="00E06B7D"/>
        </w:tc>
        <w:tc>
          <w:tcPr>
            <w:tcW w:w="1147" w:type="pct"/>
            <w:gridSpan w:val="2"/>
            <w:tcBorders>
              <w:top w:val="single" w:sz="4" w:space="0" w:color="auto"/>
              <w:left w:val="single" w:sz="4" w:space="0" w:color="auto"/>
              <w:right w:val="single" w:sz="4" w:space="0" w:color="auto"/>
            </w:tcBorders>
            <w:shd w:val="clear" w:color="auto" w:fill="FFFFFF" w:themeFill="background1"/>
            <w:hideMark/>
          </w:tcPr>
          <w:p w14:paraId="0BB45F2B" w14:textId="77777777" w:rsidR="00E06B7D" w:rsidRPr="00F54498" w:rsidRDefault="00E06B7D" w:rsidP="00E06B7D">
            <w:pPr>
              <w:jc w:val="center"/>
            </w:pPr>
            <w:r>
              <w:t>2020</w:t>
            </w:r>
          </w:p>
        </w:tc>
        <w:tc>
          <w:tcPr>
            <w:tcW w:w="1147" w:type="pct"/>
            <w:gridSpan w:val="2"/>
            <w:tcBorders>
              <w:top w:val="single" w:sz="4" w:space="0" w:color="auto"/>
              <w:left w:val="single" w:sz="4" w:space="0" w:color="auto"/>
              <w:right w:val="single" w:sz="4" w:space="0" w:color="auto"/>
            </w:tcBorders>
            <w:shd w:val="clear" w:color="auto" w:fill="FFFFFF" w:themeFill="background1"/>
            <w:hideMark/>
          </w:tcPr>
          <w:p w14:paraId="21B3B5A9" w14:textId="77777777" w:rsidR="00E06B7D" w:rsidRPr="00F54498" w:rsidRDefault="00E06B7D" w:rsidP="00E06B7D">
            <w:pPr>
              <w:jc w:val="center"/>
            </w:pPr>
            <w:r>
              <w:t>2021</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CE15A" w14:textId="77777777" w:rsidR="00E06B7D" w:rsidRPr="00F54498" w:rsidRDefault="00E06B7D" w:rsidP="00E06B7D">
            <w:pPr>
              <w:jc w:val="center"/>
            </w:pPr>
            <w:r>
              <w:t>2022</w:t>
            </w:r>
          </w:p>
        </w:tc>
      </w:tr>
      <w:tr w:rsidR="00E06B7D" w:rsidRPr="00E5323B" w14:paraId="79742863" w14:textId="77777777" w:rsidTr="00E06B7D">
        <w:tc>
          <w:tcPr>
            <w:tcW w:w="988" w:type="pct"/>
            <w:vMerge/>
            <w:tcBorders>
              <w:left w:val="single" w:sz="4" w:space="0" w:color="auto"/>
              <w:bottom w:val="single" w:sz="4" w:space="0" w:color="auto"/>
              <w:right w:val="single" w:sz="4" w:space="0" w:color="auto"/>
            </w:tcBorders>
            <w:shd w:val="clear" w:color="auto" w:fill="FFFFFF" w:themeFill="background1"/>
            <w:hideMark/>
          </w:tcPr>
          <w:p w14:paraId="6792C0C9" w14:textId="77777777" w:rsidR="00E06B7D" w:rsidRPr="00F54498" w:rsidRDefault="00E06B7D" w:rsidP="00E06B7D"/>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ADFE6" w14:textId="77777777" w:rsidR="00E06B7D" w:rsidRPr="00F54498" w:rsidRDefault="00E06B7D" w:rsidP="00E06B7D">
            <w:r w:rsidRPr="00F54498">
              <w:t>saskaņā ar valsts budžetu kārtējam gadam</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C3E37" w14:textId="77777777" w:rsidR="00E06B7D" w:rsidRPr="00F54498" w:rsidRDefault="00E06B7D" w:rsidP="00E06B7D">
            <w:r w:rsidRPr="00F54498">
              <w:t>izmaiņas kārtējā gadā, salīdzinot ar valsts budžetu kārtējam gadam</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B9EA5" w14:textId="77777777" w:rsidR="00E06B7D" w:rsidRPr="00F54498" w:rsidRDefault="00E06B7D" w:rsidP="00E06B7D">
            <w:pPr>
              <w:jc w:val="both"/>
            </w:pPr>
            <w:r w:rsidRPr="00F54498">
              <w:t>saskaņā ar vidēja termiņa budžeta ietvaru</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1F18A" w14:textId="77777777" w:rsidR="00E06B7D" w:rsidRPr="00F54498" w:rsidRDefault="00E06B7D" w:rsidP="00E06B7D">
            <w:r w:rsidRPr="00F54498">
              <w:t xml:space="preserve">izmaiņas, salīdzinot ar vidēja termiņa budžeta ietvaru </w:t>
            </w:r>
            <w:r>
              <w:t>2020.</w:t>
            </w:r>
            <w:r w:rsidRPr="00F54498">
              <w:t xml:space="preserve"> gadam</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C0D8D" w14:textId="77777777" w:rsidR="00E06B7D" w:rsidRPr="00F54498" w:rsidRDefault="00E06B7D" w:rsidP="00E06B7D">
            <w:r w:rsidRPr="00F54498">
              <w:t>saskaņā ar vidēja termiņa budžeta ietvaru</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0D2F0" w14:textId="77777777" w:rsidR="00E06B7D" w:rsidRPr="00F54498" w:rsidRDefault="00E06B7D" w:rsidP="00E06B7D">
            <w:r w:rsidRPr="00F54498">
              <w:t xml:space="preserve">izmaiņas, salīdzinot ar vidēja termiņa budžeta ietvaru </w:t>
            </w:r>
            <w:r>
              <w:t>2021.</w:t>
            </w:r>
            <w:r w:rsidRPr="00F54498">
              <w:t xml:space="preserve"> gadam</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E634" w14:textId="77777777" w:rsidR="00E06B7D" w:rsidRPr="00F54498" w:rsidRDefault="00E06B7D" w:rsidP="00E06B7D">
            <w:r w:rsidRPr="00F54498">
              <w:t xml:space="preserve">izmaiņas, salīdzinot ar vidēja termiņa budžeta ietvaru </w:t>
            </w:r>
            <w:r>
              <w:t>2021.</w:t>
            </w:r>
            <w:r w:rsidRPr="00F54498">
              <w:t xml:space="preserve"> gadam</w:t>
            </w:r>
          </w:p>
        </w:tc>
      </w:tr>
      <w:tr w:rsidR="00E06B7D" w:rsidRPr="00E5323B" w14:paraId="7F99347C"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E5373" w14:textId="77777777" w:rsidR="00E06B7D" w:rsidRPr="00951E2E" w:rsidRDefault="00E06B7D" w:rsidP="00951E2E">
            <w:pPr>
              <w:jc w:val="center"/>
              <w:rPr>
                <w:sz w:val="24"/>
                <w:szCs w:val="24"/>
              </w:rPr>
            </w:pPr>
            <w:r w:rsidRPr="00951E2E">
              <w:rPr>
                <w:sz w:val="24"/>
                <w:szCs w:val="24"/>
              </w:rPr>
              <w:t>1</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45BCA" w14:textId="77777777" w:rsidR="00E06B7D" w:rsidRPr="00951E2E" w:rsidRDefault="00E06B7D" w:rsidP="00951E2E">
            <w:pPr>
              <w:jc w:val="center"/>
              <w:rPr>
                <w:sz w:val="24"/>
                <w:szCs w:val="24"/>
              </w:rPr>
            </w:pPr>
            <w:r w:rsidRPr="00951E2E">
              <w:rPr>
                <w:sz w:val="24"/>
                <w:szCs w:val="24"/>
              </w:rPr>
              <w:t>2</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21558" w14:textId="77777777" w:rsidR="00E06B7D" w:rsidRPr="00951E2E" w:rsidRDefault="00E06B7D" w:rsidP="00951E2E">
            <w:pPr>
              <w:jc w:val="center"/>
              <w:rPr>
                <w:sz w:val="24"/>
                <w:szCs w:val="24"/>
              </w:rPr>
            </w:pPr>
            <w:r w:rsidRPr="00951E2E">
              <w:rPr>
                <w:sz w:val="24"/>
                <w:szCs w:val="24"/>
              </w:rPr>
              <w:t>3</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9BD51" w14:textId="77777777" w:rsidR="00E06B7D" w:rsidRPr="00951E2E" w:rsidRDefault="00E06B7D" w:rsidP="00951E2E">
            <w:pPr>
              <w:jc w:val="center"/>
              <w:rPr>
                <w:sz w:val="24"/>
                <w:szCs w:val="24"/>
              </w:rPr>
            </w:pPr>
            <w:r w:rsidRPr="00951E2E">
              <w:rPr>
                <w:sz w:val="24"/>
                <w:szCs w:val="24"/>
              </w:rPr>
              <w:t>4</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098EF" w14:textId="77777777" w:rsidR="00E06B7D" w:rsidRPr="00951E2E" w:rsidRDefault="00E06B7D" w:rsidP="00951E2E">
            <w:pPr>
              <w:jc w:val="center"/>
              <w:rPr>
                <w:sz w:val="24"/>
                <w:szCs w:val="24"/>
              </w:rPr>
            </w:pPr>
            <w:r w:rsidRPr="00951E2E">
              <w:rPr>
                <w:sz w:val="24"/>
                <w:szCs w:val="24"/>
              </w:rPr>
              <w:t>5</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7A764" w14:textId="77777777" w:rsidR="00E06B7D" w:rsidRPr="00951E2E" w:rsidRDefault="00E06B7D" w:rsidP="00951E2E">
            <w:pPr>
              <w:jc w:val="center"/>
              <w:rPr>
                <w:sz w:val="24"/>
                <w:szCs w:val="24"/>
              </w:rPr>
            </w:pPr>
            <w:r w:rsidRPr="00951E2E">
              <w:rPr>
                <w:sz w:val="24"/>
                <w:szCs w:val="24"/>
              </w:rPr>
              <w:t>6</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DABBB" w14:textId="77777777" w:rsidR="00E06B7D" w:rsidRPr="00951E2E" w:rsidRDefault="00E06B7D" w:rsidP="00951E2E">
            <w:pPr>
              <w:jc w:val="center"/>
              <w:rPr>
                <w:sz w:val="24"/>
                <w:szCs w:val="24"/>
              </w:rPr>
            </w:pPr>
            <w:r w:rsidRPr="00951E2E">
              <w:rPr>
                <w:sz w:val="24"/>
                <w:szCs w:val="24"/>
              </w:rPr>
              <w:t>7</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1E273" w14:textId="77777777" w:rsidR="00E06B7D" w:rsidRPr="00951E2E" w:rsidRDefault="00E06B7D" w:rsidP="00951E2E">
            <w:pPr>
              <w:jc w:val="center"/>
              <w:rPr>
                <w:sz w:val="24"/>
                <w:szCs w:val="24"/>
              </w:rPr>
            </w:pPr>
            <w:r w:rsidRPr="00951E2E">
              <w:rPr>
                <w:sz w:val="24"/>
                <w:szCs w:val="24"/>
              </w:rPr>
              <w:t>8</w:t>
            </w:r>
          </w:p>
        </w:tc>
      </w:tr>
      <w:tr w:rsidR="00E06B7D" w:rsidRPr="00E5323B" w14:paraId="4CF9D42B"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F69AA" w14:textId="77777777" w:rsidR="00E06B7D" w:rsidRPr="00951E2E" w:rsidRDefault="00E06B7D" w:rsidP="00E06B7D">
            <w:pPr>
              <w:rPr>
                <w:sz w:val="24"/>
                <w:szCs w:val="24"/>
              </w:rPr>
            </w:pPr>
            <w:r w:rsidRPr="00951E2E">
              <w:rPr>
                <w:sz w:val="24"/>
                <w:szCs w:val="24"/>
              </w:rPr>
              <w:t>1. Budžeta ieņēmumi</w:t>
            </w:r>
          </w:p>
        </w:tc>
        <w:tc>
          <w:tcPr>
            <w:tcW w:w="573" w:type="pct"/>
            <w:tcBorders>
              <w:top w:val="single" w:sz="4" w:space="0" w:color="auto"/>
              <w:left w:val="single" w:sz="4" w:space="0" w:color="auto"/>
              <w:right w:val="single" w:sz="4" w:space="0" w:color="auto"/>
            </w:tcBorders>
            <w:shd w:val="clear" w:color="auto" w:fill="FFFFFF" w:themeFill="background1"/>
            <w:hideMark/>
          </w:tcPr>
          <w:p w14:paraId="3A0578E6" w14:textId="77777777" w:rsidR="00E06B7D" w:rsidRPr="00F54498" w:rsidRDefault="00E06B7D" w:rsidP="00E06B7D">
            <w:pPr>
              <w:jc w:val="center"/>
            </w:pPr>
            <w:r>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7EFBD6BC" w14:textId="77777777" w:rsidR="00E06B7D" w:rsidRPr="00F54498" w:rsidRDefault="00E06B7D" w:rsidP="00E06B7D">
            <w:pPr>
              <w:jc w:val="center"/>
            </w:pPr>
            <w:r>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1E69D991" w14:textId="77777777" w:rsidR="00E06B7D" w:rsidRPr="00F54498" w:rsidRDefault="00E06B7D" w:rsidP="00E06B7D">
            <w:pPr>
              <w:jc w:val="center"/>
            </w:pPr>
            <w:r>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5DCC5F79" w14:textId="77777777" w:rsidR="00E06B7D" w:rsidRPr="00F54498" w:rsidRDefault="00E06B7D" w:rsidP="00E06B7D">
            <w:pPr>
              <w:jc w:val="center"/>
            </w:pPr>
            <w:r>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04778FF5" w14:textId="77777777" w:rsidR="00E06B7D" w:rsidRPr="00F54498" w:rsidRDefault="00E06B7D" w:rsidP="00E06B7D">
            <w:pPr>
              <w:jc w:val="center"/>
            </w:pPr>
            <w:r>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79DA6C2A" w14:textId="77777777" w:rsidR="00E06B7D" w:rsidRPr="00F54498" w:rsidRDefault="00E06B7D" w:rsidP="00E06B7D">
            <w:pPr>
              <w:jc w:val="center"/>
            </w:pPr>
            <w:r>
              <w:t>0</w:t>
            </w:r>
          </w:p>
        </w:tc>
        <w:tc>
          <w:tcPr>
            <w:tcW w:w="521" w:type="pct"/>
            <w:tcBorders>
              <w:top w:val="single" w:sz="4" w:space="0" w:color="auto"/>
              <w:left w:val="single" w:sz="4" w:space="0" w:color="auto"/>
              <w:right w:val="single" w:sz="4" w:space="0" w:color="auto"/>
            </w:tcBorders>
            <w:shd w:val="clear" w:color="auto" w:fill="FFFFFF" w:themeFill="background1"/>
            <w:hideMark/>
          </w:tcPr>
          <w:p w14:paraId="4B747002" w14:textId="77777777" w:rsidR="00E06B7D" w:rsidRPr="00F54498" w:rsidRDefault="00E06B7D" w:rsidP="00E06B7D">
            <w:pPr>
              <w:jc w:val="center"/>
            </w:pPr>
            <w:r>
              <w:t>0</w:t>
            </w:r>
          </w:p>
        </w:tc>
      </w:tr>
      <w:tr w:rsidR="00E06B7D" w:rsidRPr="00E5323B" w14:paraId="0E03A244"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D4E7D" w14:textId="77777777" w:rsidR="00E06B7D" w:rsidRPr="00951E2E" w:rsidRDefault="00E06B7D" w:rsidP="00E06B7D">
            <w:pPr>
              <w:rPr>
                <w:sz w:val="24"/>
                <w:szCs w:val="24"/>
              </w:rPr>
            </w:pPr>
            <w:r w:rsidRPr="00951E2E">
              <w:rPr>
                <w:sz w:val="24"/>
                <w:szCs w:val="24"/>
              </w:rPr>
              <w:t>1.1. valsts pamatbudžets, tai skaitā ieņēmumi no maksas pakalpojumiem un citi pašu ieņēmumi</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8D538" w14:textId="77777777" w:rsidR="00E06B7D" w:rsidRPr="00F54498" w:rsidRDefault="00E06B7D"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8ADF2" w14:textId="77777777" w:rsidR="00E06B7D" w:rsidRPr="00F54498" w:rsidRDefault="00E06B7D" w:rsidP="00E06B7D">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5E644" w14:textId="77777777" w:rsidR="00E06B7D" w:rsidRPr="00F54498" w:rsidRDefault="00E06B7D"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FB83D" w14:textId="77777777" w:rsidR="00E06B7D" w:rsidRPr="00F54498" w:rsidRDefault="00E06B7D" w:rsidP="00E06B7D">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BC776" w14:textId="77777777" w:rsidR="00E06B7D" w:rsidRPr="00F54498" w:rsidRDefault="00E06B7D"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FE8C2" w14:textId="77777777" w:rsidR="00E06B7D" w:rsidRPr="00F54498" w:rsidRDefault="00E06B7D" w:rsidP="00E06B7D">
            <w:pPr>
              <w:jc w:val="center"/>
            </w:pPr>
            <w:r>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15416" w14:textId="77777777" w:rsidR="00E06B7D" w:rsidRPr="00F54498" w:rsidRDefault="00E06B7D" w:rsidP="00E06B7D">
            <w:pPr>
              <w:jc w:val="center"/>
            </w:pPr>
            <w:r>
              <w:t>0</w:t>
            </w:r>
          </w:p>
        </w:tc>
      </w:tr>
      <w:tr w:rsidR="00E06B7D" w:rsidRPr="00E5323B" w14:paraId="25F0ED89"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4CF1D" w14:textId="77777777" w:rsidR="00E06B7D" w:rsidRPr="00951E2E" w:rsidRDefault="00E06B7D" w:rsidP="00E06B7D">
            <w:pPr>
              <w:rPr>
                <w:sz w:val="24"/>
                <w:szCs w:val="24"/>
              </w:rPr>
            </w:pPr>
            <w:r w:rsidRPr="00951E2E">
              <w:rPr>
                <w:sz w:val="24"/>
                <w:szCs w:val="24"/>
              </w:rPr>
              <w:t>1.2. valsts speciālais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A5F27" w14:textId="77777777" w:rsidR="00E06B7D" w:rsidRPr="00F54498" w:rsidRDefault="00E06B7D"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15048" w14:textId="77777777" w:rsidR="00E06B7D" w:rsidRPr="00F54498" w:rsidRDefault="00E06B7D" w:rsidP="00E06B7D">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1B054" w14:textId="77777777" w:rsidR="00E06B7D" w:rsidRPr="00F54498" w:rsidRDefault="00E06B7D"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635A4" w14:textId="77777777" w:rsidR="00E06B7D" w:rsidRPr="00F54498" w:rsidRDefault="00E06B7D" w:rsidP="00E06B7D">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4DE72" w14:textId="77777777" w:rsidR="00E06B7D" w:rsidRPr="00F54498" w:rsidRDefault="00E06B7D"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69DA6" w14:textId="77777777" w:rsidR="00E06B7D" w:rsidRPr="00F54498" w:rsidRDefault="00E06B7D" w:rsidP="00E06B7D">
            <w:pPr>
              <w:jc w:val="center"/>
            </w:pPr>
            <w:r>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AA1E1" w14:textId="77777777" w:rsidR="00E06B7D" w:rsidRPr="00F54498" w:rsidRDefault="00E06B7D" w:rsidP="00E06B7D">
            <w:pPr>
              <w:jc w:val="center"/>
            </w:pPr>
            <w:r>
              <w:t>0</w:t>
            </w:r>
          </w:p>
        </w:tc>
      </w:tr>
      <w:tr w:rsidR="00E06B7D" w:rsidRPr="00E5323B" w14:paraId="1333154A"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56E79" w14:textId="77777777" w:rsidR="00E06B7D" w:rsidRPr="00951E2E" w:rsidRDefault="00E06B7D" w:rsidP="00E06B7D">
            <w:pPr>
              <w:rPr>
                <w:sz w:val="24"/>
                <w:szCs w:val="24"/>
              </w:rPr>
            </w:pPr>
            <w:r w:rsidRPr="00951E2E">
              <w:rPr>
                <w:sz w:val="24"/>
                <w:szCs w:val="24"/>
              </w:rPr>
              <w:t>1.3. pašvaldību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BD94B" w14:textId="77777777" w:rsidR="00E06B7D" w:rsidRPr="00F54498" w:rsidRDefault="00E06B7D"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BFB13" w14:textId="77777777" w:rsidR="00E06B7D" w:rsidRPr="00F54498" w:rsidRDefault="00E06B7D" w:rsidP="00E06B7D">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BBFCD" w14:textId="77777777" w:rsidR="00E06B7D" w:rsidRPr="00F54498" w:rsidRDefault="00E06B7D"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9E248" w14:textId="77777777" w:rsidR="00E06B7D" w:rsidRPr="00F54498" w:rsidRDefault="00E06B7D" w:rsidP="00E06B7D">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AB095" w14:textId="77777777" w:rsidR="00E06B7D" w:rsidRPr="00F54498" w:rsidRDefault="00E06B7D"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52876" w14:textId="77777777" w:rsidR="00E06B7D" w:rsidRPr="00F54498" w:rsidRDefault="00E06B7D" w:rsidP="00E06B7D">
            <w:pPr>
              <w:jc w:val="center"/>
            </w:pPr>
            <w:r>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DF2A9" w14:textId="77777777" w:rsidR="00E06B7D" w:rsidRPr="00F54498" w:rsidRDefault="00E06B7D" w:rsidP="00E06B7D">
            <w:pPr>
              <w:jc w:val="center"/>
            </w:pPr>
            <w:r>
              <w:t>0</w:t>
            </w:r>
          </w:p>
        </w:tc>
      </w:tr>
      <w:tr w:rsidR="00E06B7D" w:rsidRPr="00E56957" w14:paraId="18EA0E6D"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46DD5" w14:textId="77777777" w:rsidR="00E06B7D" w:rsidRPr="00951E2E" w:rsidRDefault="00E06B7D" w:rsidP="00E06B7D">
            <w:pPr>
              <w:rPr>
                <w:sz w:val="24"/>
                <w:szCs w:val="24"/>
              </w:rPr>
            </w:pPr>
            <w:r w:rsidRPr="00951E2E">
              <w:rPr>
                <w:sz w:val="24"/>
                <w:szCs w:val="24"/>
              </w:rPr>
              <w:t>2. Budžeta izdevumi</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655D3"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76A80" w14:textId="77777777" w:rsidR="00E06B7D" w:rsidRPr="00E56957" w:rsidRDefault="00E06B7D" w:rsidP="00E06B7D">
            <w:pPr>
              <w:jc w:val="center"/>
            </w:pPr>
            <w:r w:rsidRPr="00E56957">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D8B3D"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37BB9" w14:textId="0B33382C" w:rsidR="00E06B7D" w:rsidRPr="00E56957" w:rsidRDefault="00E06B7D" w:rsidP="00E06B7D">
            <w:pPr>
              <w:jc w:val="center"/>
            </w:pPr>
            <w:r w:rsidRPr="00E56957">
              <w:t>1</w:t>
            </w:r>
            <w:r w:rsidR="000B0304">
              <w:t>2</w:t>
            </w:r>
            <w:r w:rsidRPr="00E56957">
              <w:t xml:space="preserve"> </w:t>
            </w:r>
            <w:r w:rsidR="000B0304">
              <w:t>342</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E5CDF"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DA9BB"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55928" w14:textId="77777777" w:rsidR="00E06B7D" w:rsidRPr="00E56957" w:rsidRDefault="00E06B7D" w:rsidP="00E06B7D">
            <w:pPr>
              <w:jc w:val="center"/>
            </w:pPr>
            <w:r w:rsidRPr="00E56957">
              <w:t>0</w:t>
            </w:r>
          </w:p>
        </w:tc>
      </w:tr>
      <w:tr w:rsidR="00E06B7D" w:rsidRPr="00E56957" w14:paraId="2B2303DF"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83C98" w14:textId="77777777" w:rsidR="00E06B7D" w:rsidRPr="00951E2E" w:rsidRDefault="00E06B7D" w:rsidP="00E06B7D">
            <w:pPr>
              <w:rPr>
                <w:sz w:val="24"/>
                <w:szCs w:val="24"/>
              </w:rPr>
            </w:pPr>
            <w:r w:rsidRPr="00951E2E">
              <w:rPr>
                <w:sz w:val="24"/>
                <w:szCs w:val="24"/>
              </w:rPr>
              <w:t>2.1. valsts pamatbudžets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97A9F"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1F2B6" w14:textId="77777777" w:rsidR="00E06B7D" w:rsidRPr="00E56957" w:rsidRDefault="00E06B7D" w:rsidP="00E06B7D">
            <w:pPr>
              <w:jc w:val="center"/>
            </w:pPr>
            <w:r w:rsidRPr="00E56957">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91EDD"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1C999" w14:textId="27D1FB2A" w:rsidR="00E06B7D" w:rsidRPr="00E56957" w:rsidRDefault="00E06B7D" w:rsidP="00E06B7D">
            <w:pPr>
              <w:jc w:val="center"/>
            </w:pPr>
            <w:r w:rsidRPr="00E56957">
              <w:t>1</w:t>
            </w:r>
            <w:r w:rsidR="000B0304">
              <w:t>2</w:t>
            </w:r>
            <w:r w:rsidRPr="00E56957">
              <w:t xml:space="preserve"> </w:t>
            </w:r>
            <w:r w:rsidR="000B0304">
              <w:t>342</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FA6BC"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C3DF4"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1BAAB" w14:textId="77777777" w:rsidR="00E06B7D" w:rsidRPr="00E56957" w:rsidRDefault="00E06B7D" w:rsidP="00E06B7D">
            <w:pPr>
              <w:jc w:val="center"/>
            </w:pPr>
            <w:r w:rsidRPr="00E56957">
              <w:t>0</w:t>
            </w:r>
          </w:p>
        </w:tc>
      </w:tr>
      <w:tr w:rsidR="00E06B7D" w:rsidRPr="00E56957" w14:paraId="29C1B89B"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83C01" w14:textId="77777777" w:rsidR="00E06B7D" w:rsidRPr="00951E2E" w:rsidRDefault="00E06B7D" w:rsidP="00E06B7D">
            <w:pPr>
              <w:rPr>
                <w:sz w:val="24"/>
                <w:szCs w:val="24"/>
              </w:rPr>
            </w:pPr>
            <w:r w:rsidRPr="00951E2E">
              <w:rPr>
                <w:sz w:val="24"/>
                <w:szCs w:val="24"/>
              </w:rPr>
              <w:lastRenderedPageBreak/>
              <w:t>2.2. valsts speciālais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2E2D5"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4D196" w14:textId="77777777" w:rsidR="00E06B7D" w:rsidRPr="00E56957" w:rsidRDefault="00E06B7D" w:rsidP="00E06B7D">
            <w:pPr>
              <w:jc w:val="center"/>
            </w:pPr>
            <w:r w:rsidRPr="00E56957">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9108E"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CDFBF" w14:textId="77777777" w:rsidR="00E06B7D" w:rsidRPr="00E56957" w:rsidRDefault="00E06B7D" w:rsidP="00E06B7D">
            <w:pPr>
              <w:jc w:val="center"/>
            </w:pPr>
            <w:r w:rsidRPr="00E56957">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052CB"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4F642"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82AE1" w14:textId="77777777" w:rsidR="00E06B7D" w:rsidRPr="00E56957" w:rsidRDefault="00E06B7D" w:rsidP="00E06B7D">
            <w:pPr>
              <w:jc w:val="center"/>
            </w:pPr>
            <w:r w:rsidRPr="00E56957">
              <w:t>0</w:t>
            </w:r>
          </w:p>
        </w:tc>
      </w:tr>
      <w:tr w:rsidR="00E06B7D" w:rsidRPr="00E56957" w14:paraId="69861A15" w14:textId="77777777" w:rsidTr="00E06B7D">
        <w:tc>
          <w:tcPr>
            <w:tcW w:w="988" w:type="pct"/>
            <w:tcBorders>
              <w:top w:val="single" w:sz="4" w:space="0" w:color="auto"/>
              <w:left w:val="single" w:sz="4" w:space="0" w:color="auto"/>
              <w:right w:val="single" w:sz="4" w:space="0" w:color="auto"/>
            </w:tcBorders>
            <w:shd w:val="clear" w:color="auto" w:fill="FFFFFF" w:themeFill="background1"/>
            <w:hideMark/>
          </w:tcPr>
          <w:p w14:paraId="07D3D500" w14:textId="77777777" w:rsidR="00E06B7D" w:rsidRPr="00951E2E" w:rsidRDefault="00E06B7D" w:rsidP="00E06B7D">
            <w:pPr>
              <w:rPr>
                <w:sz w:val="24"/>
                <w:szCs w:val="24"/>
              </w:rPr>
            </w:pPr>
            <w:r w:rsidRPr="00951E2E">
              <w:rPr>
                <w:sz w:val="24"/>
                <w:szCs w:val="24"/>
              </w:rPr>
              <w:t>2.3. pašvaldību budžets</w:t>
            </w:r>
          </w:p>
        </w:tc>
        <w:tc>
          <w:tcPr>
            <w:tcW w:w="573" w:type="pct"/>
            <w:tcBorders>
              <w:top w:val="single" w:sz="4" w:space="0" w:color="auto"/>
              <w:left w:val="single" w:sz="4" w:space="0" w:color="auto"/>
              <w:right w:val="single" w:sz="4" w:space="0" w:color="auto"/>
            </w:tcBorders>
            <w:shd w:val="clear" w:color="auto" w:fill="FFFFFF" w:themeFill="background1"/>
            <w:hideMark/>
          </w:tcPr>
          <w:p w14:paraId="649F0770" w14:textId="77777777" w:rsidR="00E06B7D" w:rsidRPr="00E56957" w:rsidRDefault="00E06B7D" w:rsidP="00E06B7D">
            <w:pPr>
              <w:jc w:val="center"/>
            </w:pPr>
            <w:r w:rsidRPr="00E56957">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43ED347F" w14:textId="77777777" w:rsidR="00E06B7D" w:rsidRPr="00E56957" w:rsidRDefault="00E06B7D" w:rsidP="00E06B7D">
            <w:pPr>
              <w:jc w:val="center"/>
            </w:pPr>
            <w:r w:rsidRPr="00E56957">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7E03B9AF" w14:textId="77777777" w:rsidR="00E06B7D" w:rsidRPr="00E56957" w:rsidRDefault="00E06B7D" w:rsidP="00E06B7D">
            <w:pPr>
              <w:jc w:val="center"/>
            </w:pPr>
            <w:r w:rsidRPr="00E56957">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6FF76EB3" w14:textId="77777777" w:rsidR="00E06B7D" w:rsidRPr="00E56957" w:rsidRDefault="00E06B7D" w:rsidP="00E06B7D">
            <w:pPr>
              <w:jc w:val="center"/>
            </w:pPr>
            <w:r w:rsidRPr="00E56957">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025EBA40" w14:textId="77777777" w:rsidR="00E06B7D" w:rsidRPr="00E56957" w:rsidRDefault="00E06B7D" w:rsidP="00E06B7D">
            <w:pPr>
              <w:jc w:val="center"/>
            </w:pPr>
            <w:r w:rsidRPr="00E56957">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071BC80D" w14:textId="77777777" w:rsidR="00E06B7D" w:rsidRPr="00E56957" w:rsidRDefault="00E06B7D" w:rsidP="00E06B7D">
            <w:pPr>
              <w:jc w:val="center"/>
            </w:pPr>
            <w:r w:rsidRPr="00E56957">
              <w:t>0</w:t>
            </w:r>
          </w:p>
        </w:tc>
        <w:tc>
          <w:tcPr>
            <w:tcW w:w="521" w:type="pct"/>
            <w:tcBorders>
              <w:top w:val="single" w:sz="4" w:space="0" w:color="auto"/>
              <w:left w:val="single" w:sz="4" w:space="0" w:color="auto"/>
              <w:right w:val="single" w:sz="4" w:space="0" w:color="auto"/>
            </w:tcBorders>
            <w:shd w:val="clear" w:color="auto" w:fill="FFFFFF" w:themeFill="background1"/>
            <w:hideMark/>
          </w:tcPr>
          <w:p w14:paraId="4FD640F0" w14:textId="77777777" w:rsidR="00E06B7D" w:rsidRPr="00E56957" w:rsidRDefault="00E06B7D" w:rsidP="00E06B7D">
            <w:pPr>
              <w:jc w:val="center"/>
            </w:pPr>
            <w:r w:rsidRPr="00E56957">
              <w:t>0</w:t>
            </w:r>
          </w:p>
        </w:tc>
      </w:tr>
      <w:tr w:rsidR="00E06B7D" w:rsidRPr="00E56957" w14:paraId="738322E2"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37F8E" w14:textId="77777777" w:rsidR="00E06B7D" w:rsidRPr="00951E2E" w:rsidRDefault="00E06B7D" w:rsidP="00E06B7D">
            <w:pPr>
              <w:rPr>
                <w:sz w:val="24"/>
                <w:szCs w:val="24"/>
              </w:rPr>
            </w:pPr>
            <w:r w:rsidRPr="00951E2E">
              <w:rPr>
                <w:sz w:val="24"/>
                <w:szCs w:val="24"/>
              </w:rPr>
              <w:t>3. Finansiālā ietekme</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141F5"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BFF8A" w14:textId="77777777" w:rsidR="00E06B7D" w:rsidRPr="00E56957" w:rsidRDefault="00E06B7D" w:rsidP="00E06B7D">
            <w:pPr>
              <w:jc w:val="center"/>
            </w:pPr>
            <w:r w:rsidRPr="00E56957">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71910"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9630A" w14:textId="4CBE0586" w:rsidR="00E06B7D" w:rsidRPr="00E56957" w:rsidRDefault="00E06B7D" w:rsidP="00E06B7D">
            <w:pPr>
              <w:jc w:val="center"/>
            </w:pPr>
            <w:r w:rsidRPr="00E56957">
              <w:t>-1</w:t>
            </w:r>
            <w:r w:rsidR="000B0304">
              <w:t>2</w:t>
            </w:r>
            <w:r w:rsidRPr="00E56957">
              <w:t xml:space="preserve"> </w:t>
            </w:r>
            <w:r w:rsidR="000B0304">
              <w:t>342</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94383"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FBA01"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F81CC" w14:textId="77777777" w:rsidR="00E06B7D" w:rsidRPr="00E56957" w:rsidRDefault="00E06B7D" w:rsidP="00E06B7D">
            <w:pPr>
              <w:jc w:val="center"/>
            </w:pPr>
            <w:r w:rsidRPr="00E56957">
              <w:t>0</w:t>
            </w:r>
          </w:p>
        </w:tc>
      </w:tr>
      <w:tr w:rsidR="00E06B7D" w:rsidRPr="00E56957" w14:paraId="6A359368"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E25A7" w14:textId="77777777" w:rsidR="00E06B7D" w:rsidRPr="00951E2E" w:rsidRDefault="00E06B7D" w:rsidP="00E06B7D">
            <w:pPr>
              <w:rPr>
                <w:sz w:val="24"/>
                <w:szCs w:val="24"/>
              </w:rPr>
            </w:pPr>
            <w:r w:rsidRPr="00951E2E">
              <w:rPr>
                <w:sz w:val="24"/>
                <w:szCs w:val="24"/>
              </w:rPr>
              <w:t>3.1. valsts pamatbudžets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71A5C"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B1916" w14:textId="77777777" w:rsidR="00E06B7D" w:rsidRPr="00E56957" w:rsidRDefault="00E06B7D" w:rsidP="00E06B7D">
            <w:pPr>
              <w:jc w:val="center"/>
            </w:pPr>
            <w:r w:rsidRPr="00E56957">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E166A"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ECDE7" w14:textId="0E1C985D" w:rsidR="00E06B7D" w:rsidRPr="00E56957" w:rsidRDefault="00E06B7D" w:rsidP="00E06B7D">
            <w:pPr>
              <w:jc w:val="center"/>
            </w:pPr>
            <w:r w:rsidRPr="00E56957">
              <w:t>-1</w:t>
            </w:r>
            <w:r w:rsidR="000B0304">
              <w:t>2</w:t>
            </w:r>
            <w:r w:rsidRPr="00E56957">
              <w:t xml:space="preserve"> </w:t>
            </w:r>
            <w:r w:rsidR="000B0304">
              <w:t>342</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DF83F"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98737"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52C69" w14:textId="77777777" w:rsidR="00E06B7D" w:rsidRPr="00E56957" w:rsidRDefault="00E06B7D" w:rsidP="00E06B7D">
            <w:pPr>
              <w:jc w:val="center"/>
            </w:pPr>
            <w:r w:rsidRPr="00E56957">
              <w:t>0</w:t>
            </w:r>
          </w:p>
        </w:tc>
      </w:tr>
      <w:tr w:rsidR="00E06B7D" w:rsidRPr="00E56957" w14:paraId="611869C1" w14:textId="77777777" w:rsidTr="00E06B7D">
        <w:tc>
          <w:tcPr>
            <w:tcW w:w="988" w:type="pct"/>
            <w:tcBorders>
              <w:top w:val="single" w:sz="4" w:space="0" w:color="auto"/>
              <w:left w:val="single" w:sz="4" w:space="0" w:color="auto"/>
              <w:right w:val="single" w:sz="4" w:space="0" w:color="auto"/>
            </w:tcBorders>
            <w:shd w:val="clear" w:color="auto" w:fill="FFFFFF" w:themeFill="background1"/>
            <w:hideMark/>
          </w:tcPr>
          <w:p w14:paraId="2464DFC3" w14:textId="77777777" w:rsidR="00E06B7D" w:rsidRPr="00951E2E" w:rsidRDefault="00E06B7D" w:rsidP="00E06B7D">
            <w:pPr>
              <w:rPr>
                <w:sz w:val="24"/>
                <w:szCs w:val="24"/>
              </w:rPr>
            </w:pPr>
            <w:r w:rsidRPr="00951E2E">
              <w:rPr>
                <w:sz w:val="24"/>
                <w:szCs w:val="24"/>
              </w:rPr>
              <w:t>3.2. speciālais budžets</w:t>
            </w:r>
          </w:p>
        </w:tc>
        <w:tc>
          <w:tcPr>
            <w:tcW w:w="573" w:type="pct"/>
            <w:tcBorders>
              <w:top w:val="single" w:sz="4" w:space="0" w:color="auto"/>
              <w:left w:val="single" w:sz="4" w:space="0" w:color="auto"/>
              <w:right w:val="single" w:sz="4" w:space="0" w:color="auto"/>
            </w:tcBorders>
            <w:shd w:val="clear" w:color="auto" w:fill="FFFFFF" w:themeFill="background1"/>
            <w:hideMark/>
          </w:tcPr>
          <w:p w14:paraId="4CE913A8" w14:textId="77777777" w:rsidR="00E06B7D" w:rsidRPr="00E56957" w:rsidRDefault="00E06B7D" w:rsidP="00E06B7D">
            <w:pPr>
              <w:jc w:val="center"/>
            </w:pPr>
            <w:r w:rsidRPr="00E56957">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24A3E960" w14:textId="77777777" w:rsidR="00E06B7D" w:rsidRPr="00E56957" w:rsidRDefault="00E06B7D" w:rsidP="00E06B7D">
            <w:pPr>
              <w:jc w:val="center"/>
            </w:pPr>
            <w:r w:rsidRPr="00E56957">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3F3CDD72" w14:textId="77777777" w:rsidR="00E06B7D" w:rsidRPr="00E56957" w:rsidRDefault="00E06B7D" w:rsidP="00E06B7D">
            <w:pPr>
              <w:jc w:val="center"/>
            </w:pPr>
            <w:r w:rsidRPr="00E56957">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1D082287" w14:textId="77777777" w:rsidR="00E06B7D" w:rsidRPr="00E56957" w:rsidRDefault="00E06B7D" w:rsidP="00E06B7D">
            <w:pPr>
              <w:jc w:val="center"/>
            </w:pPr>
            <w:r w:rsidRPr="00E56957">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5C214CCA" w14:textId="77777777" w:rsidR="00E06B7D" w:rsidRPr="00E56957" w:rsidRDefault="00E06B7D" w:rsidP="00E06B7D">
            <w:pPr>
              <w:jc w:val="center"/>
            </w:pPr>
            <w:r w:rsidRPr="00E56957">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048BC09F" w14:textId="77777777" w:rsidR="00E06B7D" w:rsidRPr="00E56957" w:rsidRDefault="00E06B7D" w:rsidP="00E06B7D">
            <w:pPr>
              <w:jc w:val="center"/>
            </w:pPr>
            <w:r w:rsidRPr="00E56957">
              <w:t>0</w:t>
            </w:r>
          </w:p>
        </w:tc>
        <w:tc>
          <w:tcPr>
            <w:tcW w:w="521" w:type="pct"/>
            <w:tcBorders>
              <w:top w:val="single" w:sz="4" w:space="0" w:color="auto"/>
              <w:left w:val="single" w:sz="4" w:space="0" w:color="auto"/>
              <w:right w:val="single" w:sz="4" w:space="0" w:color="auto"/>
            </w:tcBorders>
            <w:shd w:val="clear" w:color="auto" w:fill="FFFFFF" w:themeFill="background1"/>
            <w:hideMark/>
          </w:tcPr>
          <w:p w14:paraId="00694212" w14:textId="77777777" w:rsidR="00E06B7D" w:rsidRPr="00E56957" w:rsidRDefault="00E06B7D" w:rsidP="00E06B7D">
            <w:pPr>
              <w:jc w:val="center"/>
            </w:pPr>
            <w:r w:rsidRPr="00E56957">
              <w:t>0</w:t>
            </w:r>
          </w:p>
        </w:tc>
      </w:tr>
      <w:tr w:rsidR="00E06B7D" w:rsidRPr="00E56957" w14:paraId="5DB11A5A"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DFA51" w14:textId="77777777" w:rsidR="00E06B7D" w:rsidRPr="00951E2E" w:rsidRDefault="00E06B7D" w:rsidP="00E06B7D">
            <w:pPr>
              <w:rPr>
                <w:sz w:val="24"/>
                <w:szCs w:val="24"/>
              </w:rPr>
            </w:pPr>
            <w:r w:rsidRPr="00951E2E">
              <w:rPr>
                <w:sz w:val="24"/>
                <w:szCs w:val="24"/>
              </w:rPr>
              <w:t>3.3. pašvaldību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8B830"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EDD35" w14:textId="77777777" w:rsidR="00E06B7D" w:rsidRPr="00E56957" w:rsidRDefault="00E06B7D" w:rsidP="00E06B7D">
            <w:pPr>
              <w:jc w:val="center"/>
            </w:pPr>
            <w:r w:rsidRPr="00E56957">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92268"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9B5B1" w14:textId="77777777" w:rsidR="00E06B7D" w:rsidRPr="00E56957" w:rsidRDefault="00E06B7D" w:rsidP="00E06B7D">
            <w:pPr>
              <w:jc w:val="center"/>
            </w:pPr>
            <w:r w:rsidRPr="00E56957">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C0CD5"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536CC"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40DC6" w14:textId="77777777" w:rsidR="00E06B7D" w:rsidRPr="00E56957" w:rsidRDefault="00E06B7D" w:rsidP="00E06B7D">
            <w:pPr>
              <w:jc w:val="center"/>
            </w:pPr>
            <w:r w:rsidRPr="00E56957">
              <w:t>0</w:t>
            </w:r>
          </w:p>
        </w:tc>
      </w:tr>
      <w:tr w:rsidR="00E06B7D" w:rsidRPr="00E56957" w14:paraId="35F483F9"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CDC17" w14:textId="77777777" w:rsidR="00E06B7D" w:rsidRPr="00951E2E" w:rsidRDefault="00E06B7D" w:rsidP="00E06B7D">
            <w:pPr>
              <w:rPr>
                <w:sz w:val="24"/>
                <w:szCs w:val="24"/>
              </w:rPr>
            </w:pPr>
            <w:r w:rsidRPr="00951E2E">
              <w:rPr>
                <w:sz w:val="24"/>
                <w:szCs w:val="24"/>
              </w:rPr>
              <w:t>4. Finanšu līdzekļi papildu izdevumu finansēšanai (kompensējošu izdevumu samazinājumu norāda ar "+" zīmi)</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43FB1" w14:textId="30321AB4" w:rsidR="00E06B7D" w:rsidRPr="00E56957" w:rsidRDefault="00AD6F99"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C1AFA" w14:textId="77777777" w:rsidR="00E06B7D" w:rsidRPr="00E56957" w:rsidRDefault="00E06B7D" w:rsidP="00E06B7D">
            <w:pPr>
              <w:jc w:val="center"/>
            </w:pPr>
            <w:r w:rsidRPr="00E56957">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3D312" w14:textId="77777777" w:rsidR="00E06B7D" w:rsidRPr="00E56957" w:rsidRDefault="00E06B7D" w:rsidP="00E06B7D">
            <w:pPr>
              <w:jc w:val="center"/>
            </w:pPr>
            <w:r w:rsidRPr="00E56957">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522BE" w14:textId="4880DD57" w:rsidR="00E06B7D" w:rsidRPr="00E56957" w:rsidRDefault="00E06B7D" w:rsidP="00E06B7D">
            <w:pPr>
              <w:jc w:val="center"/>
            </w:pPr>
            <w:r w:rsidRPr="00E56957">
              <w:t>+1</w:t>
            </w:r>
            <w:r w:rsidR="000B0304">
              <w:t>2</w:t>
            </w:r>
            <w:r w:rsidRPr="00E56957">
              <w:t xml:space="preserve"> </w:t>
            </w:r>
            <w:r w:rsidR="000B0304">
              <w:t>342</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2BE9F" w14:textId="0D373E0A" w:rsidR="00E06B7D" w:rsidRPr="00E56957" w:rsidRDefault="00AD6F99"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7AD4F"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0777C" w14:textId="77777777" w:rsidR="00E06B7D" w:rsidRPr="00E56957" w:rsidRDefault="00E06B7D" w:rsidP="00E06B7D">
            <w:pPr>
              <w:jc w:val="center"/>
            </w:pPr>
            <w:r w:rsidRPr="00E56957">
              <w:t>0</w:t>
            </w:r>
          </w:p>
        </w:tc>
      </w:tr>
      <w:tr w:rsidR="00E06B7D" w:rsidRPr="00E56957" w14:paraId="4545D6DF"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7BC94" w14:textId="77777777" w:rsidR="00E06B7D" w:rsidRPr="00951E2E" w:rsidRDefault="00E06B7D" w:rsidP="00E06B7D">
            <w:pPr>
              <w:rPr>
                <w:sz w:val="24"/>
                <w:szCs w:val="24"/>
              </w:rPr>
            </w:pPr>
            <w:r w:rsidRPr="00951E2E">
              <w:rPr>
                <w:sz w:val="24"/>
                <w:szCs w:val="24"/>
              </w:rPr>
              <w:t>5. Precizēta finansiālā ietekme</w:t>
            </w:r>
          </w:p>
        </w:tc>
        <w:tc>
          <w:tcPr>
            <w:tcW w:w="573" w:type="pct"/>
            <w:vMerge w:val="restart"/>
            <w:tcBorders>
              <w:top w:val="single" w:sz="4" w:space="0" w:color="auto"/>
              <w:left w:val="single" w:sz="4" w:space="0" w:color="auto"/>
              <w:right w:val="single" w:sz="4" w:space="0" w:color="auto"/>
            </w:tcBorders>
            <w:shd w:val="clear" w:color="auto" w:fill="FFFFFF" w:themeFill="background1"/>
            <w:hideMark/>
          </w:tcPr>
          <w:p w14:paraId="0C8A3A6F" w14:textId="77777777" w:rsidR="00E06B7D" w:rsidRPr="00E56957" w:rsidRDefault="00E06B7D" w:rsidP="00E06B7D">
            <w:pPr>
              <w:jc w:val="center"/>
            </w:pPr>
          </w:p>
          <w:p w14:paraId="2DF05E70" w14:textId="77777777" w:rsidR="00E06B7D" w:rsidRPr="00E56957" w:rsidRDefault="00E06B7D" w:rsidP="00E06B7D">
            <w:pPr>
              <w:jc w:val="center"/>
            </w:pPr>
          </w:p>
          <w:p w14:paraId="7963B0CF" w14:textId="77777777" w:rsidR="00E06B7D" w:rsidRPr="00E56957" w:rsidRDefault="00E06B7D" w:rsidP="00E06B7D">
            <w:pPr>
              <w:jc w:val="center"/>
            </w:pPr>
          </w:p>
          <w:p w14:paraId="0082EDA7" w14:textId="77777777" w:rsidR="00E06B7D" w:rsidRPr="00E56957" w:rsidRDefault="00E06B7D" w:rsidP="00E06B7D">
            <w:pPr>
              <w:jc w:val="center"/>
            </w:pPr>
          </w:p>
          <w:p w14:paraId="39E3BF83" w14:textId="77777777" w:rsidR="00E06B7D" w:rsidRPr="00E56957" w:rsidRDefault="00E06B7D" w:rsidP="00E06B7D">
            <w:pPr>
              <w:jc w:val="center"/>
            </w:pPr>
          </w:p>
          <w:p w14:paraId="7136E5FF" w14:textId="1B53C686" w:rsidR="00E06B7D" w:rsidRPr="00E56957" w:rsidRDefault="00AD6F99"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25208" w14:textId="77777777" w:rsidR="00E06B7D" w:rsidRPr="00E56957" w:rsidRDefault="00E06B7D" w:rsidP="00E06B7D">
            <w:pPr>
              <w:jc w:val="center"/>
            </w:pPr>
            <w:r w:rsidRPr="00E56957">
              <w:t>0</w:t>
            </w:r>
          </w:p>
        </w:tc>
        <w:tc>
          <w:tcPr>
            <w:tcW w:w="523" w:type="pct"/>
            <w:vMerge w:val="restart"/>
            <w:tcBorders>
              <w:top w:val="single" w:sz="4" w:space="0" w:color="auto"/>
              <w:left w:val="single" w:sz="4" w:space="0" w:color="auto"/>
              <w:right w:val="single" w:sz="4" w:space="0" w:color="auto"/>
            </w:tcBorders>
            <w:shd w:val="clear" w:color="auto" w:fill="FFFFFF" w:themeFill="background1"/>
            <w:hideMark/>
          </w:tcPr>
          <w:p w14:paraId="59B1FA69" w14:textId="77777777" w:rsidR="00E06B7D" w:rsidRPr="00E56957" w:rsidRDefault="00E06B7D" w:rsidP="00E06B7D">
            <w:pPr>
              <w:jc w:val="center"/>
            </w:pPr>
          </w:p>
          <w:p w14:paraId="1BE07181" w14:textId="77777777" w:rsidR="00E06B7D" w:rsidRPr="00E56957" w:rsidRDefault="00E06B7D" w:rsidP="00E06B7D">
            <w:pPr>
              <w:jc w:val="center"/>
            </w:pPr>
          </w:p>
          <w:p w14:paraId="0C6F0FCC" w14:textId="77777777" w:rsidR="00E06B7D" w:rsidRPr="00E56957" w:rsidRDefault="00E06B7D" w:rsidP="00E06B7D">
            <w:pPr>
              <w:jc w:val="center"/>
            </w:pPr>
          </w:p>
          <w:p w14:paraId="1BBDC5DA" w14:textId="77777777" w:rsidR="00E06B7D" w:rsidRPr="00E56957" w:rsidRDefault="00E06B7D" w:rsidP="00E06B7D">
            <w:pPr>
              <w:jc w:val="center"/>
            </w:pPr>
          </w:p>
          <w:p w14:paraId="5A5BED46" w14:textId="77777777" w:rsidR="00E06B7D" w:rsidRPr="00E56957" w:rsidRDefault="00E06B7D" w:rsidP="00E06B7D">
            <w:pPr>
              <w:jc w:val="center"/>
            </w:pPr>
          </w:p>
          <w:p w14:paraId="13AA6F4C" w14:textId="77F3C1B1" w:rsidR="00E06B7D" w:rsidRPr="00E56957" w:rsidRDefault="00AD6F99"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C7A6C" w14:textId="77777777" w:rsidR="00E06B7D" w:rsidRPr="00E56957" w:rsidRDefault="00E06B7D" w:rsidP="00E06B7D">
            <w:pPr>
              <w:jc w:val="center"/>
            </w:pPr>
            <w:r w:rsidRPr="00E56957">
              <w:t>0</w:t>
            </w:r>
          </w:p>
        </w:tc>
        <w:tc>
          <w:tcPr>
            <w:tcW w:w="523" w:type="pct"/>
            <w:vMerge w:val="restart"/>
            <w:tcBorders>
              <w:top w:val="single" w:sz="4" w:space="0" w:color="auto"/>
              <w:left w:val="single" w:sz="4" w:space="0" w:color="auto"/>
              <w:right w:val="single" w:sz="4" w:space="0" w:color="auto"/>
            </w:tcBorders>
            <w:shd w:val="clear" w:color="auto" w:fill="FFFFFF" w:themeFill="background1"/>
            <w:hideMark/>
          </w:tcPr>
          <w:p w14:paraId="1E714379" w14:textId="77777777" w:rsidR="00E06B7D" w:rsidRPr="00E56957" w:rsidRDefault="00E06B7D" w:rsidP="00E06B7D">
            <w:pPr>
              <w:jc w:val="center"/>
            </w:pPr>
          </w:p>
          <w:p w14:paraId="7A36424F" w14:textId="77777777" w:rsidR="00E06B7D" w:rsidRPr="00E56957" w:rsidRDefault="00E06B7D" w:rsidP="00E06B7D">
            <w:pPr>
              <w:jc w:val="center"/>
            </w:pPr>
          </w:p>
          <w:p w14:paraId="0E9ACA3C" w14:textId="77777777" w:rsidR="00E06B7D" w:rsidRPr="00E56957" w:rsidRDefault="00E06B7D" w:rsidP="00E06B7D">
            <w:pPr>
              <w:jc w:val="center"/>
            </w:pPr>
          </w:p>
          <w:p w14:paraId="634D2B3F" w14:textId="77777777" w:rsidR="00E06B7D" w:rsidRPr="00E56957" w:rsidRDefault="00E06B7D" w:rsidP="00E06B7D">
            <w:pPr>
              <w:jc w:val="center"/>
            </w:pPr>
          </w:p>
          <w:p w14:paraId="22810CB8" w14:textId="77777777" w:rsidR="00E06B7D" w:rsidRPr="00E56957" w:rsidRDefault="00E06B7D" w:rsidP="00E06B7D">
            <w:pPr>
              <w:jc w:val="center"/>
            </w:pPr>
          </w:p>
          <w:p w14:paraId="4BD1B9D9" w14:textId="5D5A9A49" w:rsidR="00E06B7D" w:rsidRPr="00E56957" w:rsidRDefault="00AD6F99" w:rsidP="00E06B7D">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38CDA"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F6AED" w14:textId="77777777" w:rsidR="00E06B7D" w:rsidRPr="00E56957" w:rsidRDefault="00E06B7D" w:rsidP="00E06B7D">
            <w:pPr>
              <w:jc w:val="center"/>
            </w:pPr>
            <w:r w:rsidRPr="00E56957">
              <w:t>0</w:t>
            </w:r>
          </w:p>
        </w:tc>
      </w:tr>
      <w:tr w:rsidR="00E06B7D" w:rsidRPr="00E56957" w14:paraId="5705CA3E"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0FB83" w14:textId="77777777" w:rsidR="00E06B7D" w:rsidRPr="00951E2E" w:rsidRDefault="00E06B7D" w:rsidP="00E06B7D">
            <w:pPr>
              <w:rPr>
                <w:sz w:val="24"/>
                <w:szCs w:val="24"/>
              </w:rPr>
            </w:pPr>
            <w:r w:rsidRPr="00951E2E">
              <w:rPr>
                <w:sz w:val="24"/>
                <w:szCs w:val="24"/>
              </w:rPr>
              <w:t>5.1. valsts pamatbudžets</w:t>
            </w:r>
          </w:p>
        </w:tc>
        <w:tc>
          <w:tcPr>
            <w:tcW w:w="0" w:type="auto"/>
            <w:vMerge/>
            <w:tcBorders>
              <w:left w:val="single" w:sz="4" w:space="0" w:color="auto"/>
              <w:right w:val="single" w:sz="4" w:space="0" w:color="auto"/>
            </w:tcBorders>
            <w:shd w:val="clear" w:color="auto" w:fill="FFFFFF" w:themeFill="background1"/>
            <w:hideMark/>
          </w:tcPr>
          <w:p w14:paraId="74CD838A" w14:textId="77777777" w:rsidR="00E06B7D" w:rsidRPr="00E56957" w:rsidRDefault="00E06B7D" w:rsidP="00E06B7D">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C32C2" w14:textId="77777777" w:rsidR="00E06B7D" w:rsidRPr="00E56957" w:rsidRDefault="00E06B7D" w:rsidP="00E06B7D">
            <w:pPr>
              <w:jc w:val="center"/>
            </w:pPr>
            <w:r w:rsidRPr="00E56957">
              <w:t>0</w:t>
            </w:r>
          </w:p>
        </w:tc>
        <w:tc>
          <w:tcPr>
            <w:tcW w:w="0" w:type="auto"/>
            <w:vMerge/>
            <w:tcBorders>
              <w:left w:val="single" w:sz="4" w:space="0" w:color="auto"/>
              <w:right w:val="single" w:sz="4" w:space="0" w:color="auto"/>
            </w:tcBorders>
            <w:shd w:val="clear" w:color="auto" w:fill="FFFFFF" w:themeFill="background1"/>
            <w:hideMark/>
          </w:tcPr>
          <w:p w14:paraId="1F73E610" w14:textId="77777777" w:rsidR="00E06B7D" w:rsidRPr="00E56957" w:rsidRDefault="00E06B7D" w:rsidP="00E06B7D">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DC662" w14:textId="77777777" w:rsidR="00E06B7D" w:rsidRPr="00E56957" w:rsidRDefault="00E06B7D" w:rsidP="00E06B7D">
            <w:pPr>
              <w:jc w:val="center"/>
            </w:pPr>
            <w:r w:rsidRPr="00E56957">
              <w:t>0</w:t>
            </w:r>
          </w:p>
        </w:tc>
        <w:tc>
          <w:tcPr>
            <w:tcW w:w="0" w:type="auto"/>
            <w:vMerge/>
            <w:tcBorders>
              <w:left w:val="single" w:sz="4" w:space="0" w:color="auto"/>
              <w:right w:val="single" w:sz="4" w:space="0" w:color="auto"/>
            </w:tcBorders>
            <w:shd w:val="clear" w:color="auto" w:fill="FFFFFF" w:themeFill="background1"/>
            <w:hideMark/>
          </w:tcPr>
          <w:p w14:paraId="0EC07DE3" w14:textId="77777777" w:rsidR="00E06B7D" w:rsidRPr="00E56957" w:rsidRDefault="00E06B7D" w:rsidP="00E06B7D">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A309B"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75431" w14:textId="77777777" w:rsidR="00E06B7D" w:rsidRPr="00E56957" w:rsidRDefault="00E06B7D" w:rsidP="00E06B7D">
            <w:pPr>
              <w:jc w:val="center"/>
            </w:pPr>
            <w:r w:rsidRPr="00E56957">
              <w:t>0</w:t>
            </w:r>
          </w:p>
        </w:tc>
      </w:tr>
      <w:tr w:rsidR="00E06B7D" w:rsidRPr="00E56957" w14:paraId="20BE7553"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CA2B0" w14:textId="77777777" w:rsidR="00E06B7D" w:rsidRPr="00951E2E" w:rsidRDefault="00E06B7D" w:rsidP="00E06B7D">
            <w:pPr>
              <w:rPr>
                <w:sz w:val="24"/>
                <w:szCs w:val="24"/>
              </w:rPr>
            </w:pPr>
            <w:r w:rsidRPr="00951E2E">
              <w:rPr>
                <w:sz w:val="24"/>
                <w:szCs w:val="24"/>
              </w:rPr>
              <w:t>5.2. speciālais budžets</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0F69FE93" w14:textId="77777777" w:rsidR="00E06B7D" w:rsidRPr="00E56957" w:rsidRDefault="00E06B7D" w:rsidP="00E06B7D">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80F90" w14:textId="77777777" w:rsidR="00E06B7D" w:rsidRPr="00E56957" w:rsidRDefault="00E06B7D" w:rsidP="00E06B7D">
            <w:pPr>
              <w:jc w:val="center"/>
            </w:pPr>
            <w:r w:rsidRPr="00E56957">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7D59F00F" w14:textId="77777777" w:rsidR="00E06B7D" w:rsidRPr="00E56957" w:rsidRDefault="00E06B7D" w:rsidP="00E06B7D">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B6D40" w14:textId="77777777" w:rsidR="00E06B7D" w:rsidRPr="00E56957" w:rsidRDefault="00E06B7D" w:rsidP="00E06B7D">
            <w:pPr>
              <w:jc w:val="center"/>
            </w:pPr>
            <w:r w:rsidRPr="00E56957">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147B2F8E" w14:textId="77777777" w:rsidR="00E06B7D" w:rsidRPr="00E56957" w:rsidRDefault="00E06B7D" w:rsidP="00E06B7D">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C2570" w14:textId="77777777" w:rsidR="00E06B7D" w:rsidRPr="00E56957" w:rsidRDefault="00E06B7D" w:rsidP="00E06B7D">
            <w:pPr>
              <w:jc w:val="center"/>
            </w:pPr>
            <w:r w:rsidRPr="00E56957">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52523" w14:textId="77777777" w:rsidR="00E06B7D" w:rsidRPr="00E56957" w:rsidRDefault="00E06B7D" w:rsidP="00E06B7D">
            <w:pPr>
              <w:jc w:val="center"/>
            </w:pPr>
            <w:r w:rsidRPr="00E56957">
              <w:t>0</w:t>
            </w:r>
          </w:p>
        </w:tc>
      </w:tr>
      <w:tr w:rsidR="00E06B7D" w:rsidRPr="00E56957" w14:paraId="2CA1E665"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7C12D" w14:textId="77777777" w:rsidR="00E06B7D" w:rsidRPr="00951E2E" w:rsidRDefault="00E06B7D" w:rsidP="00E06B7D">
            <w:pPr>
              <w:rPr>
                <w:sz w:val="24"/>
                <w:szCs w:val="24"/>
              </w:rPr>
            </w:pPr>
            <w:r w:rsidRPr="00951E2E">
              <w:rPr>
                <w:sz w:val="24"/>
                <w:szCs w:val="24"/>
              </w:rPr>
              <w:t>5.3. pašvaldību budžets</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4FAAB4E3" w14:textId="77777777" w:rsidR="00E06B7D" w:rsidRPr="00E56957" w:rsidRDefault="00E06B7D" w:rsidP="00E06B7D">
            <w:pPr>
              <w:jc w:val="center"/>
            </w:pPr>
          </w:p>
        </w:tc>
        <w:tc>
          <w:tcPr>
            <w:tcW w:w="624" w:type="pct"/>
            <w:tcBorders>
              <w:top w:val="single" w:sz="4" w:space="0" w:color="auto"/>
              <w:left w:val="single" w:sz="4" w:space="0" w:color="auto"/>
              <w:right w:val="single" w:sz="4" w:space="0" w:color="auto"/>
            </w:tcBorders>
            <w:shd w:val="clear" w:color="auto" w:fill="FFFFFF" w:themeFill="background1"/>
            <w:hideMark/>
          </w:tcPr>
          <w:p w14:paraId="62EA44A0" w14:textId="77777777" w:rsidR="00E06B7D" w:rsidRPr="00E56957" w:rsidRDefault="00E06B7D" w:rsidP="00E06B7D">
            <w:pPr>
              <w:jc w:val="center"/>
            </w:pPr>
            <w:r w:rsidRPr="00E56957">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505797FF" w14:textId="77777777" w:rsidR="00E06B7D" w:rsidRPr="00E56957" w:rsidRDefault="00E06B7D" w:rsidP="00E06B7D">
            <w:pPr>
              <w:jc w:val="center"/>
            </w:pPr>
          </w:p>
        </w:tc>
        <w:tc>
          <w:tcPr>
            <w:tcW w:w="624" w:type="pct"/>
            <w:tcBorders>
              <w:top w:val="single" w:sz="4" w:space="0" w:color="auto"/>
              <w:left w:val="single" w:sz="4" w:space="0" w:color="auto"/>
              <w:right w:val="single" w:sz="4" w:space="0" w:color="auto"/>
            </w:tcBorders>
            <w:shd w:val="clear" w:color="auto" w:fill="FFFFFF" w:themeFill="background1"/>
            <w:hideMark/>
          </w:tcPr>
          <w:p w14:paraId="4B6F04BA" w14:textId="77777777" w:rsidR="00E06B7D" w:rsidRPr="00E56957" w:rsidRDefault="00E06B7D" w:rsidP="00E06B7D">
            <w:pPr>
              <w:jc w:val="center"/>
            </w:pPr>
            <w:r w:rsidRPr="00E56957">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7D152D68" w14:textId="77777777" w:rsidR="00E06B7D" w:rsidRPr="00E56957" w:rsidRDefault="00E06B7D" w:rsidP="00E06B7D">
            <w:pPr>
              <w:jc w:val="center"/>
            </w:pPr>
          </w:p>
        </w:tc>
        <w:tc>
          <w:tcPr>
            <w:tcW w:w="624" w:type="pct"/>
            <w:tcBorders>
              <w:top w:val="single" w:sz="4" w:space="0" w:color="auto"/>
              <w:left w:val="single" w:sz="4" w:space="0" w:color="auto"/>
              <w:right w:val="single" w:sz="4" w:space="0" w:color="auto"/>
            </w:tcBorders>
            <w:shd w:val="clear" w:color="auto" w:fill="FFFFFF" w:themeFill="background1"/>
            <w:hideMark/>
          </w:tcPr>
          <w:p w14:paraId="307BE6D1" w14:textId="77777777" w:rsidR="00E06B7D" w:rsidRPr="00E56957" w:rsidRDefault="00E06B7D" w:rsidP="00E06B7D">
            <w:pPr>
              <w:jc w:val="center"/>
            </w:pPr>
            <w:r w:rsidRPr="00E56957">
              <w:t>0</w:t>
            </w:r>
          </w:p>
        </w:tc>
        <w:tc>
          <w:tcPr>
            <w:tcW w:w="521" w:type="pct"/>
            <w:tcBorders>
              <w:top w:val="single" w:sz="4" w:space="0" w:color="auto"/>
              <w:left w:val="single" w:sz="4" w:space="0" w:color="auto"/>
              <w:right w:val="single" w:sz="4" w:space="0" w:color="auto"/>
            </w:tcBorders>
            <w:shd w:val="clear" w:color="auto" w:fill="FFFFFF" w:themeFill="background1"/>
            <w:hideMark/>
          </w:tcPr>
          <w:p w14:paraId="1C52B978" w14:textId="77777777" w:rsidR="00E06B7D" w:rsidRPr="00E56957" w:rsidRDefault="00E06B7D" w:rsidP="00E06B7D">
            <w:pPr>
              <w:jc w:val="center"/>
            </w:pPr>
            <w:r w:rsidRPr="00E56957">
              <w:t>0</w:t>
            </w:r>
          </w:p>
        </w:tc>
      </w:tr>
      <w:tr w:rsidR="00E06B7D" w:rsidRPr="00E56957" w14:paraId="6898763C"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07433" w14:textId="77777777" w:rsidR="00E06B7D" w:rsidRPr="00951E2E" w:rsidRDefault="00E06B7D" w:rsidP="00E06B7D">
            <w:pPr>
              <w:rPr>
                <w:sz w:val="24"/>
                <w:szCs w:val="24"/>
              </w:rPr>
            </w:pPr>
            <w:r w:rsidRPr="00951E2E">
              <w:rPr>
                <w:sz w:val="24"/>
                <w:szCs w:val="24"/>
              </w:rPr>
              <w:t>6. Detalizēts ieņēmumu un izdevumu aprēķins (ja nepieciešams, detalizētu ieņēmumu un izdevumu aprēķinu var pievienot anotācijas pielikumā)</w:t>
            </w:r>
          </w:p>
        </w:tc>
        <w:tc>
          <w:tcPr>
            <w:tcW w:w="4012" w:type="pct"/>
            <w:gridSpan w:val="7"/>
            <w:vMerge w:val="restart"/>
            <w:tcBorders>
              <w:top w:val="single" w:sz="4" w:space="0" w:color="auto"/>
              <w:left w:val="single" w:sz="4" w:space="0" w:color="auto"/>
              <w:right w:val="single" w:sz="4" w:space="0" w:color="auto"/>
            </w:tcBorders>
            <w:shd w:val="clear" w:color="auto" w:fill="FFFFFF" w:themeFill="background1"/>
            <w:hideMark/>
          </w:tcPr>
          <w:p w14:paraId="4446BB9E" w14:textId="1FE4DD36" w:rsidR="00E06B7D" w:rsidRPr="00951E2E" w:rsidRDefault="00E06B7D" w:rsidP="00E06B7D">
            <w:pPr>
              <w:jc w:val="both"/>
              <w:rPr>
                <w:sz w:val="24"/>
                <w:szCs w:val="24"/>
              </w:rPr>
            </w:pPr>
            <w:r w:rsidRPr="00951E2E">
              <w:rPr>
                <w:sz w:val="24"/>
                <w:szCs w:val="24"/>
              </w:rPr>
              <w:t xml:space="preserve">Lai nodrošinātu noteikumu projekta īstenošanu, nepieciešams veikt pielāgošanas darbus Būvniecības informācijas sistēmā. Ņemot vērā līdz šim esošās Būvniecības informācijas sistēmas izstrādes un pielāgošanas izmaksas, aprēķināts, ka noteikumu projektā paredzēto grozījumu ieviešanai nepieciešamas </w:t>
            </w:r>
            <w:r w:rsidR="000B0304">
              <w:rPr>
                <w:sz w:val="24"/>
                <w:szCs w:val="24"/>
              </w:rPr>
              <w:t>3</w:t>
            </w:r>
            <w:r w:rsidRPr="00951E2E">
              <w:rPr>
                <w:sz w:val="24"/>
                <w:szCs w:val="24"/>
              </w:rPr>
              <w:t xml:space="preserve">0 cilvēkdienas. Vienas cilvēkdienas izmaksas ir </w:t>
            </w:r>
            <w:r w:rsidR="000B0304">
              <w:rPr>
                <w:sz w:val="24"/>
                <w:szCs w:val="24"/>
              </w:rPr>
              <w:t>411,40</w:t>
            </w:r>
            <w:r w:rsidRPr="00951E2E">
              <w:rPr>
                <w:sz w:val="24"/>
                <w:szCs w:val="24"/>
              </w:rPr>
              <w:t xml:space="preserve"> </w:t>
            </w:r>
            <w:proofErr w:type="spellStart"/>
            <w:r w:rsidRPr="00951E2E">
              <w:rPr>
                <w:i/>
                <w:iCs/>
                <w:sz w:val="24"/>
                <w:szCs w:val="24"/>
              </w:rPr>
              <w:t>euro</w:t>
            </w:r>
            <w:proofErr w:type="spellEnd"/>
            <w:r w:rsidRPr="00951E2E">
              <w:rPr>
                <w:sz w:val="24"/>
                <w:szCs w:val="24"/>
              </w:rPr>
              <w:t xml:space="preserve"> (ieskaitot PVN), līdz ar to pielāgošanas izmaksas varētu sasniegt 1</w:t>
            </w:r>
            <w:r w:rsidR="000B0304">
              <w:rPr>
                <w:sz w:val="24"/>
                <w:szCs w:val="24"/>
              </w:rPr>
              <w:t>2</w:t>
            </w:r>
            <w:r w:rsidRPr="00951E2E">
              <w:rPr>
                <w:sz w:val="24"/>
                <w:szCs w:val="24"/>
              </w:rPr>
              <w:t> </w:t>
            </w:r>
            <w:r w:rsidR="000B0304">
              <w:rPr>
                <w:sz w:val="24"/>
                <w:szCs w:val="24"/>
              </w:rPr>
              <w:t>342</w:t>
            </w:r>
            <w:r w:rsidRPr="00951E2E">
              <w:rPr>
                <w:sz w:val="24"/>
                <w:szCs w:val="24"/>
              </w:rPr>
              <w:t xml:space="preserve"> </w:t>
            </w:r>
            <w:proofErr w:type="spellStart"/>
            <w:r w:rsidRPr="00951E2E">
              <w:rPr>
                <w:i/>
                <w:iCs/>
                <w:sz w:val="24"/>
                <w:szCs w:val="24"/>
              </w:rPr>
              <w:t>euro</w:t>
            </w:r>
            <w:proofErr w:type="spellEnd"/>
            <w:r w:rsidRPr="00951E2E">
              <w:rPr>
                <w:sz w:val="24"/>
                <w:szCs w:val="24"/>
              </w:rPr>
              <w:t xml:space="preserve"> (</w:t>
            </w:r>
            <w:r w:rsidR="000B0304">
              <w:rPr>
                <w:sz w:val="24"/>
                <w:szCs w:val="24"/>
              </w:rPr>
              <w:t>3</w:t>
            </w:r>
            <w:r w:rsidRPr="00951E2E">
              <w:rPr>
                <w:sz w:val="24"/>
                <w:szCs w:val="24"/>
              </w:rPr>
              <w:t xml:space="preserve">0 x </w:t>
            </w:r>
            <w:r w:rsidR="000B0304">
              <w:rPr>
                <w:sz w:val="24"/>
                <w:szCs w:val="24"/>
              </w:rPr>
              <w:t>411,40</w:t>
            </w:r>
            <w:r w:rsidRPr="00951E2E">
              <w:rPr>
                <w:sz w:val="24"/>
                <w:szCs w:val="24"/>
              </w:rPr>
              <w:t>).</w:t>
            </w:r>
          </w:p>
        </w:tc>
      </w:tr>
      <w:tr w:rsidR="00E06B7D" w:rsidRPr="00E56957" w14:paraId="4DCE32CB"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CD3D5" w14:textId="77777777" w:rsidR="00E06B7D" w:rsidRPr="00951E2E" w:rsidRDefault="00E06B7D" w:rsidP="00E06B7D">
            <w:pPr>
              <w:rPr>
                <w:sz w:val="24"/>
                <w:szCs w:val="24"/>
              </w:rPr>
            </w:pPr>
            <w:r w:rsidRPr="00951E2E">
              <w:rPr>
                <w:sz w:val="24"/>
                <w:szCs w:val="24"/>
              </w:rPr>
              <w:t>6.1. detalizēts ieņēmumu aprēķins</w:t>
            </w:r>
          </w:p>
        </w:tc>
        <w:tc>
          <w:tcPr>
            <w:tcW w:w="4012" w:type="pct"/>
            <w:gridSpan w:val="7"/>
            <w:vMerge/>
            <w:tcBorders>
              <w:left w:val="single" w:sz="4" w:space="0" w:color="auto"/>
              <w:right w:val="single" w:sz="4" w:space="0" w:color="auto"/>
            </w:tcBorders>
            <w:shd w:val="clear" w:color="auto" w:fill="FFFFFF" w:themeFill="background1"/>
            <w:hideMark/>
          </w:tcPr>
          <w:p w14:paraId="6D576BC4" w14:textId="77777777" w:rsidR="00E06B7D" w:rsidRPr="00951E2E" w:rsidRDefault="00E06B7D" w:rsidP="00E06B7D">
            <w:pPr>
              <w:rPr>
                <w:sz w:val="24"/>
                <w:szCs w:val="24"/>
              </w:rPr>
            </w:pPr>
          </w:p>
        </w:tc>
      </w:tr>
      <w:tr w:rsidR="00E06B7D" w:rsidRPr="00E56957" w14:paraId="4C79245A"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E84D3" w14:textId="77777777" w:rsidR="00E06B7D" w:rsidRDefault="00E06B7D" w:rsidP="00E06B7D">
            <w:pPr>
              <w:rPr>
                <w:sz w:val="24"/>
                <w:szCs w:val="24"/>
              </w:rPr>
            </w:pPr>
            <w:r w:rsidRPr="00951E2E">
              <w:rPr>
                <w:sz w:val="24"/>
                <w:szCs w:val="24"/>
              </w:rPr>
              <w:t>6.2. detalizēts izdevumu aprēķins</w:t>
            </w:r>
          </w:p>
          <w:p w14:paraId="14367947" w14:textId="77777777" w:rsidR="000B0304" w:rsidRDefault="000B0304" w:rsidP="000B0304">
            <w:pPr>
              <w:rPr>
                <w:sz w:val="24"/>
                <w:szCs w:val="24"/>
              </w:rPr>
            </w:pPr>
          </w:p>
          <w:p w14:paraId="7A7F617F" w14:textId="30AA66CC" w:rsidR="000B0304" w:rsidRPr="000B0304" w:rsidRDefault="000B0304" w:rsidP="000B0304">
            <w:pPr>
              <w:jc w:val="center"/>
              <w:rPr>
                <w:sz w:val="24"/>
                <w:szCs w:val="24"/>
              </w:rPr>
            </w:pPr>
          </w:p>
        </w:tc>
        <w:tc>
          <w:tcPr>
            <w:tcW w:w="4012" w:type="pct"/>
            <w:gridSpan w:val="7"/>
            <w:vMerge/>
            <w:tcBorders>
              <w:left w:val="single" w:sz="4" w:space="0" w:color="auto"/>
              <w:bottom w:val="single" w:sz="4" w:space="0" w:color="auto"/>
              <w:right w:val="single" w:sz="4" w:space="0" w:color="auto"/>
            </w:tcBorders>
            <w:shd w:val="clear" w:color="auto" w:fill="FFFFFF" w:themeFill="background1"/>
            <w:hideMark/>
          </w:tcPr>
          <w:p w14:paraId="03CC377B" w14:textId="77777777" w:rsidR="00E06B7D" w:rsidRPr="00951E2E" w:rsidRDefault="00E06B7D" w:rsidP="00E06B7D">
            <w:pPr>
              <w:rPr>
                <w:sz w:val="24"/>
                <w:szCs w:val="24"/>
              </w:rPr>
            </w:pPr>
          </w:p>
        </w:tc>
      </w:tr>
      <w:tr w:rsidR="00E06B7D" w:rsidRPr="00E56957" w14:paraId="24BBE8DE"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47326" w14:textId="77777777" w:rsidR="00E06B7D" w:rsidRPr="00951E2E" w:rsidRDefault="00E06B7D" w:rsidP="00E06B7D">
            <w:pPr>
              <w:rPr>
                <w:sz w:val="24"/>
                <w:szCs w:val="24"/>
              </w:rPr>
            </w:pPr>
            <w:r w:rsidRPr="00951E2E">
              <w:rPr>
                <w:sz w:val="24"/>
                <w:szCs w:val="24"/>
              </w:rPr>
              <w:lastRenderedPageBreak/>
              <w:t>7. Amata vietu skaita izmaiņas</w:t>
            </w:r>
          </w:p>
        </w:tc>
        <w:tc>
          <w:tcPr>
            <w:tcW w:w="4012"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26C92" w14:textId="77777777" w:rsidR="00E06B7D" w:rsidRPr="00951E2E" w:rsidRDefault="00E06B7D" w:rsidP="00E06B7D">
            <w:pPr>
              <w:rPr>
                <w:sz w:val="24"/>
                <w:szCs w:val="24"/>
              </w:rPr>
            </w:pPr>
            <w:r w:rsidRPr="00951E2E">
              <w:rPr>
                <w:sz w:val="24"/>
                <w:szCs w:val="24"/>
              </w:rPr>
              <w:t>Amata vietu skaita izmaiņas nav paredzētas.</w:t>
            </w:r>
          </w:p>
        </w:tc>
      </w:tr>
      <w:tr w:rsidR="00E06B7D" w:rsidRPr="00E56957" w14:paraId="4B401176" w14:textId="77777777" w:rsidTr="00E06B7D">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15F98" w14:textId="77777777" w:rsidR="00E06B7D" w:rsidRPr="00951E2E" w:rsidRDefault="00E06B7D" w:rsidP="00E06B7D">
            <w:pPr>
              <w:rPr>
                <w:sz w:val="24"/>
                <w:szCs w:val="24"/>
              </w:rPr>
            </w:pPr>
            <w:r w:rsidRPr="00951E2E">
              <w:rPr>
                <w:sz w:val="24"/>
                <w:szCs w:val="24"/>
              </w:rPr>
              <w:t>8. Cita informācija</w:t>
            </w:r>
          </w:p>
        </w:tc>
        <w:tc>
          <w:tcPr>
            <w:tcW w:w="4012"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D26FA" w14:textId="56753850" w:rsidR="00E06B7D" w:rsidRPr="00951E2E" w:rsidRDefault="00E06B7D" w:rsidP="00E06B7D">
            <w:pPr>
              <w:jc w:val="both"/>
              <w:rPr>
                <w:sz w:val="24"/>
                <w:szCs w:val="24"/>
              </w:rPr>
            </w:pPr>
            <w:r w:rsidRPr="00951E2E">
              <w:rPr>
                <w:sz w:val="24"/>
                <w:szCs w:val="24"/>
              </w:rPr>
              <w:t>Būvniecības informācijas sistēmas pielāgošanai nepieciešamais finansējums 1</w:t>
            </w:r>
            <w:r w:rsidR="00E00888">
              <w:rPr>
                <w:sz w:val="24"/>
                <w:szCs w:val="24"/>
              </w:rPr>
              <w:t>2</w:t>
            </w:r>
            <w:r w:rsidRPr="00951E2E">
              <w:rPr>
                <w:sz w:val="24"/>
                <w:szCs w:val="24"/>
              </w:rPr>
              <w:t> </w:t>
            </w:r>
            <w:r w:rsidR="00E00888">
              <w:rPr>
                <w:sz w:val="24"/>
                <w:szCs w:val="24"/>
              </w:rPr>
              <w:t>342</w:t>
            </w:r>
            <w:r w:rsidRPr="00951E2E">
              <w:rPr>
                <w:sz w:val="24"/>
                <w:szCs w:val="24"/>
              </w:rPr>
              <w:t> </w:t>
            </w:r>
            <w:proofErr w:type="spellStart"/>
            <w:r w:rsidR="00A5479E" w:rsidRPr="00951E2E">
              <w:rPr>
                <w:i/>
                <w:iCs/>
                <w:sz w:val="24"/>
                <w:szCs w:val="24"/>
              </w:rPr>
              <w:t>euro</w:t>
            </w:r>
            <w:proofErr w:type="spellEnd"/>
            <w:r w:rsidRPr="00951E2E">
              <w:rPr>
                <w:sz w:val="24"/>
                <w:szCs w:val="24"/>
              </w:rPr>
              <w:t xml:space="preserve"> apmērā tiks nodrošināts Ekonomikas ministrijas budžeta programmā 20.00.00 “Būvniecība” 2019.gadā piešķirto līdzekļu ietvaros.</w:t>
            </w:r>
          </w:p>
          <w:p w14:paraId="056D4015" w14:textId="77777777" w:rsidR="00E06B7D" w:rsidRPr="00951E2E" w:rsidRDefault="00E06B7D" w:rsidP="00E06B7D">
            <w:pPr>
              <w:jc w:val="both"/>
              <w:rPr>
                <w:sz w:val="24"/>
                <w:szCs w:val="24"/>
              </w:rPr>
            </w:pPr>
          </w:p>
        </w:tc>
      </w:tr>
      <w:bookmarkEnd w:id="1"/>
    </w:tbl>
    <w:p w14:paraId="73EABFAB" w14:textId="77777777" w:rsidR="00E06B7D" w:rsidRDefault="00E06B7D" w:rsidP="00E06B7D">
      <w:pPr>
        <w:pStyle w:val="Title"/>
        <w:spacing w:before="130" w:line="260" w:lineRule="exact"/>
        <w:jc w:val="both"/>
        <w:rPr>
          <w:sz w:val="24"/>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E06B7D" w:rsidRPr="002D7166" w14:paraId="06E3DC86" w14:textId="77777777" w:rsidTr="00E06B7D">
        <w:trPr>
          <w:cantSplit/>
        </w:trPr>
        <w:tc>
          <w:tcPr>
            <w:tcW w:w="9353" w:type="dxa"/>
            <w:vAlign w:val="center"/>
            <w:hideMark/>
          </w:tcPr>
          <w:p w14:paraId="0FC8013B" w14:textId="77777777" w:rsidR="00E06B7D" w:rsidRPr="00E328B5" w:rsidRDefault="00E06B7D" w:rsidP="00E06B7D">
            <w:pPr>
              <w:jc w:val="center"/>
              <w:rPr>
                <w:b/>
                <w:bCs/>
              </w:rPr>
            </w:pPr>
            <w:r w:rsidRPr="00E328B5">
              <w:rPr>
                <w:b/>
                <w:bCs/>
              </w:rPr>
              <w:t>IV. Tiesību akta projekta ietekme uz spēkā esošo tiesību normu sistēmu</w:t>
            </w:r>
          </w:p>
        </w:tc>
      </w:tr>
      <w:tr w:rsidR="00E06B7D" w:rsidRPr="002D7166" w14:paraId="1B04C870" w14:textId="77777777" w:rsidTr="00E06B7D">
        <w:trPr>
          <w:cantSplit/>
        </w:trPr>
        <w:tc>
          <w:tcPr>
            <w:tcW w:w="9353" w:type="dxa"/>
            <w:vAlign w:val="center"/>
          </w:tcPr>
          <w:p w14:paraId="6E8FBAF9" w14:textId="77777777" w:rsidR="00E06B7D" w:rsidRPr="00F42062" w:rsidRDefault="00E06B7D" w:rsidP="00E06B7D">
            <w:pPr>
              <w:jc w:val="center"/>
              <w:rPr>
                <w:bCs/>
              </w:rPr>
            </w:pPr>
            <w:r w:rsidRPr="00F42062">
              <w:rPr>
                <w:bCs/>
              </w:rPr>
              <w:t>Projekts šo jomu neskar</w:t>
            </w:r>
          </w:p>
        </w:tc>
      </w:tr>
    </w:tbl>
    <w:p w14:paraId="218A2C68" w14:textId="77777777" w:rsidR="00E06B7D" w:rsidRDefault="00E06B7D" w:rsidP="00E06B7D">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67"/>
      </w:tblGrid>
      <w:tr w:rsidR="00E06B7D" w:rsidRPr="00A86CA4" w14:paraId="579573D2" w14:textId="77777777" w:rsidTr="00E06B7D">
        <w:tc>
          <w:tcPr>
            <w:tcW w:w="5000" w:type="pct"/>
            <w:vAlign w:val="center"/>
            <w:hideMark/>
          </w:tcPr>
          <w:p w14:paraId="4CD662B4" w14:textId="77777777" w:rsidR="00E06B7D" w:rsidRPr="00A86CA4" w:rsidRDefault="00E06B7D" w:rsidP="00E06B7D">
            <w:pPr>
              <w:jc w:val="center"/>
              <w:rPr>
                <w:b/>
                <w:bCs/>
              </w:rPr>
            </w:pPr>
            <w:r w:rsidRPr="00A86CA4">
              <w:rPr>
                <w:b/>
                <w:bCs/>
              </w:rPr>
              <w:t>V. Tiesību akta projekta atbilstība Latvijas Republikas starptautiskajām saistībām</w:t>
            </w:r>
          </w:p>
        </w:tc>
      </w:tr>
      <w:tr w:rsidR="00E06B7D" w:rsidRPr="00A86CA4" w14:paraId="7A054593" w14:textId="77777777" w:rsidTr="00E06B7D">
        <w:tc>
          <w:tcPr>
            <w:tcW w:w="5000" w:type="pct"/>
            <w:vAlign w:val="center"/>
          </w:tcPr>
          <w:p w14:paraId="1B8936BA" w14:textId="77777777" w:rsidR="00E06B7D" w:rsidRPr="00F42062" w:rsidRDefault="00E06B7D" w:rsidP="00E06B7D">
            <w:pPr>
              <w:jc w:val="center"/>
              <w:rPr>
                <w:bCs/>
              </w:rPr>
            </w:pPr>
            <w:r w:rsidRPr="00F42062">
              <w:rPr>
                <w:bCs/>
              </w:rPr>
              <w:t>Projekts šo jomu neskar</w:t>
            </w:r>
          </w:p>
        </w:tc>
      </w:tr>
    </w:tbl>
    <w:p w14:paraId="374B0799" w14:textId="77777777" w:rsidR="00E06B7D" w:rsidRPr="00161647" w:rsidRDefault="00E06B7D" w:rsidP="00E06B7D">
      <w:pPr>
        <w:pStyle w:val="Title"/>
        <w:spacing w:before="130" w:line="260" w:lineRule="exact"/>
        <w:jc w:val="both"/>
        <w:rPr>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E06B7D" w:rsidRPr="004C5DAC" w14:paraId="4B2A6864" w14:textId="77777777" w:rsidTr="00E06B7D">
        <w:trPr>
          <w:cantSplit/>
        </w:trPr>
        <w:tc>
          <w:tcPr>
            <w:tcW w:w="5000" w:type="pct"/>
            <w:gridSpan w:val="3"/>
            <w:vAlign w:val="center"/>
            <w:hideMark/>
          </w:tcPr>
          <w:p w14:paraId="546F4156" w14:textId="77777777" w:rsidR="00E06B7D" w:rsidRPr="00502F05" w:rsidRDefault="00E06B7D" w:rsidP="00E06B7D">
            <w:pPr>
              <w:jc w:val="center"/>
              <w:rPr>
                <w:b/>
                <w:bCs/>
              </w:rPr>
            </w:pPr>
            <w:r w:rsidRPr="00502F05">
              <w:rPr>
                <w:b/>
                <w:bCs/>
              </w:rPr>
              <w:t>VI. Sabiedrības līdzdalība un komunikācijas aktivitātes</w:t>
            </w:r>
          </w:p>
        </w:tc>
      </w:tr>
      <w:tr w:rsidR="00E06B7D" w:rsidRPr="004C5DAC" w14:paraId="214AB194" w14:textId="77777777" w:rsidTr="00E06B7D">
        <w:tc>
          <w:tcPr>
            <w:tcW w:w="281" w:type="pct"/>
            <w:hideMark/>
          </w:tcPr>
          <w:p w14:paraId="34F3B09A" w14:textId="77777777" w:rsidR="00E06B7D" w:rsidRPr="00502F05" w:rsidRDefault="00E06B7D" w:rsidP="00E06B7D">
            <w:pPr>
              <w:jc w:val="center"/>
            </w:pPr>
            <w:r w:rsidRPr="00502F05">
              <w:t>1.</w:t>
            </w:r>
          </w:p>
        </w:tc>
        <w:tc>
          <w:tcPr>
            <w:tcW w:w="1339" w:type="pct"/>
            <w:hideMark/>
          </w:tcPr>
          <w:p w14:paraId="03CAC97C" w14:textId="77777777" w:rsidR="00E06B7D" w:rsidRPr="00AD537B" w:rsidRDefault="00E06B7D" w:rsidP="00E06B7D">
            <w:r w:rsidRPr="00AD537B">
              <w:t>Plānotās sabiedrības līdzdalības un komunikācijas aktivitātes saistībā ar projektu</w:t>
            </w:r>
          </w:p>
        </w:tc>
        <w:tc>
          <w:tcPr>
            <w:tcW w:w="3380" w:type="pct"/>
            <w:hideMark/>
          </w:tcPr>
          <w:p w14:paraId="15A03CBE" w14:textId="29BE1FA6" w:rsidR="00E06B7D" w:rsidRPr="00AD537B" w:rsidRDefault="00E06B7D" w:rsidP="00E06B7D">
            <w:pPr>
              <w:jc w:val="both"/>
            </w:pPr>
            <w:r w:rsidRPr="00AD537B">
              <w:t>Atbilstoši Ministru kabineta 2009.</w:t>
            </w:r>
            <w:r w:rsidR="00A5479E">
              <w:t> </w:t>
            </w:r>
            <w:r w:rsidRPr="00AD537B">
              <w:t>gada 25.</w:t>
            </w:r>
            <w:r w:rsidR="00A5479E">
              <w:t> </w:t>
            </w:r>
            <w:r w:rsidRPr="00AD537B">
              <w:t>augusta noteikumu Nr.</w:t>
            </w:r>
            <w:r w:rsidR="00A5479E">
              <w:t> </w:t>
            </w:r>
            <w:r w:rsidRPr="00AD537B">
              <w:t>970 “Sabiedrības līdzdalības kārtība attīstības plānošanas procesā” 7.4.</w:t>
            </w:r>
            <w:r w:rsidRPr="00AD537B">
              <w:rPr>
                <w:vertAlign w:val="superscript"/>
              </w:rPr>
              <w:t>1</w:t>
            </w:r>
            <w:r w:rsidR="00A5479E">
              <w:rPr>
                <w:vertAlign w:val="superscript"/>
              </w:rPr>
              <w:t> </w:t>
            </w:r>
            <w:r w:rsidRPr="00AD537B">
              <w:t>apakšpunktam sabiedrībai tik</w:t>
            </w:r>
            <w:r w:rsidR="00E00888">
              <w:t>a</w:t>
            </w:r>
            <w:r w:rsidRPr="00AD537B">
              <w:t xml:space="preserve"> dota iespēja </w:t>
            </w:r>
            <w:r w:rsidR="00E00888">
              <w:t xml:space="preserve">līdz 2019. gada 4. novembrim </w:t>
            </w:r>
            <w:r w:rsidRPr="00AD537B">
              <w:t>rakstiski sniegt viedokli par noteikumu projektu.</w:t>
            </w:r>
            <w:bookmarkStart w:id="2" w:name="_GoBack"/>
            <w:bookmarkEnd w:id="2"/>
          </w:p>
          <w:p w14:paraId="3F46FC52" w14:textId="77777777" w:rsidR="00E06B7D" w:rsidRPr="00AD537B" w:rsidRDefault="00E06B7D" w:rsidP="00E06B7D">
            <w:pPr>
              <w:jc w:val="both"/>
            </w:pPr>
          </w:p>
        </w:tc>
      </w:tr>
      <w:tr w:rsidR="00E06B7D" w:rsidRPr="004C5DAC" w14:paraId="04CC6CB3" w14:textId="77777777" w:rsidTr="00E06B7D">
        <w:trPr>
          <w:cantSplit/>
        </w:trPr>
        <w:tc>
          <w:tcPr>
            <w:tcW w:w="281" w:type="pct"/>
            <w:hideMark/>
          </w:tcPr>
          <w:p w14:paraId="498B41CC" w14:textId="77777777" w:rsidR="00E06B7D" w:rsidRPr="00502F05" w:rsidRDefault="00E06B7D" w:rsidP="00E06B7D">
            <w:pPr>
              <w:jc w:val="center"/>
            </w:pPr>
            <w:r w:rsidRPr="00502F05">
              <w:t>2.</w:t>
            </w:r>
          </w:p>
        </w:tc>
        <w:tc>
          <w:tcPr>
            <w:tcW w:w="1339" w:type="pct"/>
            <w:hideMark/>
          </w:tcPr>
          <w:p w14:paraId="7E681070" w14:textId="77777777" w:rsidR="00E06B7D" w:rsidRPr="00502F05" w:rsidRDefault="00E06B7D" w:rsidP="00E06B7D">
            <w:r w:rsidRPr="00502F05">
              <w:t>Sabiedrības līdzdalība projekta izstrādē</w:t>
            </w:r>
          </w:p>
        </w:tc>
        <w:tc>
          <w:tcPr>
            <w:tcW w:w="3380" w:type="pct"/>
            <w:hideMark/>
          </w:tcPr>
          <w:p w14:paraId="794B9703" w14:textId="0AAA1983" w:rsidR="00E06B7D" w:rsidRDefault="00E00888" w:rsidP="00E06B7D">
            <w:pPr>
              <w:pStyle w:val="naisnod"/>
              <w:spacing w:before="0" w:after="0"/>
              <w:ind w:right="57"/>
              <w:jc w:val="both"/>
              <w:rPr>
                <w:b w:val="0"/>
                <w:bCs w:val="0"/>
              </w:rPr>
            </w:pPr>
            <w:r>
              <w:rPr>
                <w:b w:val="0"/>
                <w:bCs w:val="0"/>
              </w:rPr>
              <w:t>Noteikumu p</w:t>
            </w:r>
            <w:r w:rsidR="00E06B7D">
              <w:rPr>
                <w:b w:val="0"/>
                <w:bCs w:val="0"/>
              </w:rPr>
              <w:t xml:space="preserve">rojekts izstrādāts </w:t>
            </w:r>
            <w:r w:rsidR="00A5479E">
              <w:rPr>
                <w:b w:val="0"/>
                <w:bCs w:val="0"/>
              </w:rPr>
              <w:t xml:space="preserve">sadarbībā </w:t>
            </w:r>
            <w:r w:rsidR="00E06B7D">
              <w:rPr>
                <w:b w:val="0"/>
                <w:bCs w:val="0"/>
              </w:rPr>
              <w:t xml:space="preserve">un saskaņots ar </w:t>
            </w:r>
            <w:r w:rsidR="00E06B7D" w:rsidRPr="0027083B">
              <w:rPr>
                <w:b w:val="0"/>
                <w:bCs w:val="0"/>
              </w:rPr>
              <w:t>biedrīb</w:t>
            </w:r>
            <w:r w:rsidR="00E06B7D">
              <w:rPr>
                <w:b w:val="0"/>
                <w:bCs w:val="0"/>
              </w:rPr>
              <w:t>u</w:t>
            </w:r>
            <w:r w:rsidR="00E06B7D" w:rsidRPr="0027083B">
              <w:rPr>
                <w:b w:val="0"/>
                <w:bCs w:val="0"/>
              </w:rPr>
              <w:t xml:space="preserve"> “Latvijas Siltuma, gāzes un ūdens tehnoloģijas inženieru savienība”</w:t>
            </w:r>
            <w:r w:rsidR="00A5479E">
              <w:rPr>
                <w:b w:val="0"/>
                <w:bCs w:val="0"/>
              </w:rPr>
              <w:t>.</w:t>
            </w:r>
          </w:p>
          <w:p w14:paraId="55468E4A" w14:textId="10D74035" w:rsidR="00276F6F" w:rsidRPr="00100612" w:rsidRDefault="00E06B7D" w:rsidP="00276F6F">
            <w:pPr>
              <w:jc w:val="both"/>
            </w:pPr>
            <w:r w:rsidRPr="00AD7B2D">
              <w:t>Paziņojums par līdzdalības iespējām tiesību akta saskaņošanas procesā</w:t>
            </w:r>
            <w:r w:rsidR="00E00888">
              <w:t xml:space="preserve"> 2019. gada 21. oktobrī tika</w:t>
            </w:r>
            <w:r w:rsidRPr="00AD7B2D">
              <w:t xml:space="preserve"> ievietots Ekonomikas ministrijas tīmekļa vietnē</w:t>
            </w:r>
            <w:r w:rsidR="00276F6F">
              <w:rPr>
                <w:b/>
                <w:bCs/>
              </w:rPr>
              <w:t xml:space="preserve"> </w:t>
            </w:r>
            <w:r w:rsidR="00276F6F" w:rsidRPr="00100612">
              <w:t>sadaļā “Sabiedrības līdzdalība” – “Diskusiju dokumenti”, saite:</w:t>
            </w:r>
          </w:p>
          <w:p w14:paraId="44465F51" w14:textId="233AB7EE" w:rsidR="003C7285" w:rsidRPr="00276F6F" w:rsidRDefault="003151F8" w:rsidP="00276F6F">
            <w:pPr>
              <w:pStyle w:val="naisnod"/>
              <w:spacing w:before="0" w:after="0"/>
              <w:ind w:right="57"/>
              <w:jc w:val="both"/>
              <w:rPr>
                <w:b w:val="0"/>
                <w:bCs w:val="0"/>
              </w:rPr>
            </w:pPr>
            <w:hyperlink r:id="rId11" w:history="1">
              <w:r w:rsidR="00276F6F" w:rsidRPr="00276F6F">
                <w:rPr>
                  <w:rStyle w:val="Hyperlink"/>
                  <w:b w:val="0"/>
                  <w:bCs w:val="0"/>
                </w:rPr>
                <w:t>https://em.gov.lv/lv/Ministrija/sabiedribas_lidzdaliba/</w:t>
              </w:r>
              <w:r w:rsidR="00276F6F" w:rsidRPr="00276F6F">
                <w:rPr>
                  <w:rStyle w:val="Hyperlink"/>
                  <w:b w:val="0"/>
                  <w:bCs w:val="0"/>
                </w:rPr>
                <w:br/>
              </w:r>
              <w:proofErr w:type="spellStart"/>
              <w:r w:rsidR="00276F6F" w:rsidRPr="00276F6F">
                <w:rPr>
                  <w:rStyle w:val="Hyperlink"/>
                  <w:b w:val="0"/>
                  <w:bCs w:val="0"/>
                </w:rPr>
                <w:t>diskusiju_dokumenti</w:t>
              </w:r>
              <w:proofErr w:type="spellEnd"/>
              <w:r w:rsidR="00276F6F" w:rsidRPr="00276F6F">
                <w:rPr>
                  <w:rStyle w:val="Hyperlink"/>
                  <w:b w:val="0"/>
                  <w:bCs w:val="0"/>
                </w:rPr>
                <w:t>/</w:t>
              </w:r>
            </w:hyperlink>
            <w:hyperlink r:id="rId12" w:history="1"/>
            <w:r w:rsidR="003C7285" w:rsidRPr="00276F6F">
              <w:rPr>
                <w:b w:val="0"/>
                <w:bCs w:val="0"/>
                <w:color w:val="4F81BD" w:themeColor="accent1"/>
              </w:rPr>
              <w:t xml:space="preserve"> </w:t>
            </w:r>
            <w:r w:rsidR="003C7285" w:rsidRPr="00276F6F">
              <w:rPr>
                <w:b w:val="0"/>
                <w:bCs w:val="0"/>
              </w:rPr>
              <w:t>un</w:t>
            </w:r>
          </w:p>
          <w:p w14:paraId="5AC37240" w14:textId="77777777" w:rsidR="003C7285" w:rsidRPr="00100612" w:rsidRDefault="003C7285" w:rsidP="003C7285">
            <w:pPr>
              <w:jc w:val="both"/>
            </w:pPr>
            <w:r w:rsidRPr="00100612">
              <w:t>Ministru kabineta tīmekļvietnē:</w:t>
            </w:r>
          </w:p>
          <w:p w14:paraId="2148E6D6" w14:textId="1702FA90" w:rsidR="00E06B7D" w:rsidRPr="004E4DD9" w:rsidRDefault="003151F8" w:rsidP="003C7285">
            <w:pPr>
              <w:rPr>
                <w:b/>
                <w:sz w:val="14"/>
              </w:rPr>
            </w:pPr>
            <w:hyperlink r:id="rId13" w:history="1">
              <w:r w:rsidR="003C7285" w:rsidRPr="00126AED">
                <w:rPr>
                  <w:rStyle w:val="Hyperlink"/>
                  <w:iCs/>
                </w:rPr>
                <w:t>https://www.mk.gov.lv/content/ministru-kabineta-diskusiju-dokumenti</w:t>
              </w:r>
            </w:hyperlink>
          </w:p>
        </w:tc>
      </w:tr>
      <w:tr w:rsidR="003C7285" w:rsidRPr="004C5DAC" w14:paraId="513DD0E0" w14:textId="77777777" w:rsidTr="003C7285">
        <w:trPr>
          <w:cantSplit/>
        </w:trPr>
        <w:tc>
          <w:tcPr>
            <w:tcW w:w="281" w:type="pct"/>
            <w:hideMark/>
          </w:tcPr>
          <w:p w14:paraId="3172B10C" w14:textId="77777777" w:rsidR="003C7285" w:rsidRPr="00933EC4" w:rsidRDefault="003C7285" w:rsidP="003C7285">
            <w:pPr>
              <w:jc w:val="center"/>
            </w:pPr>
            <w:r w:rsidRPr="00933EC4">
              <w:t>3.</w:t>
            </w:r>
          </w:p>
        </w:tc>
        <w:tc>
          <w:tcPr>
            <w:tcW w:w="1339" w:type="pct"/>
            <w:hideMark/>
          </w:tcPr>
          <w:p w14:paraId="17FEDEAC" w14:textId="77777777" w:rsidR="003C7285" w:rsidRPr="00933EC4" w:rsidRDefault="003C7285" w:rsidP="003C7285">
            <w:r w:rsidRPr="00933EC4">
              <w:t>Sabiedrības līdzdalības rezultāti</w:t>
            </w:r>
          </w:p>
        </w:tc>
        <w:tc>
          <w:tcPr>
            <w:tcW w:w="3380" w:type="pct"/>
          </w:tcPr>
          <w:p w14:paraId="27B120A3" w14:textId="51DAF6E2" w:rsidR="003C7285" w:rsidRPr="00161647" w:rsidRDefault="00E00888" w:rsidP="00E60F15">
            <w:pPr>
              <w:ind w:hanging="22"/>
              <w:jc w:val="both"/>
              <w:rPr>
                <w:sz w:val="16"/>
              </w:rPr>
            </w:pPr>
            <w:r>
              <w:t>Iebildumi par noteikumu projektu nav saņemti</w:t>
            </w:r>
            <w:r w:rsidR="003C7285" w:rsidRPr="00100612">
              <w:t>.</w:t>
            </w:r>
          </w:p>
        </w:tc>
      </w:tr>
      <w:tr w:rsidR="003C7285" w:rsidRPr="004C5DAC" w14:paraId="6C9FC8A8" w14:textId="77777777" w:rsidTr="00E06B7D">
        <w:trPr>
          <w:cantSplit/>
        </w:trPr>
        <w:tc>
          <w:tcPr>
            <w:tcW w:w="281" w:type="pct"/>
            <w:hideMark/>
          </w:tcPr>
          <w:p w14:paraId="4B82FC0A" w14:textId="77777777" w:rsidR="003C7285" w:rsidRPr="00933EC4" w:rsidRDefault="003C7285" w:rsidP="003C7285">
            <w:pPr>
              <w:jc w:val="center"/>
            </w:pPr>
            <w:r w:rsidRPr="00933EC4">
              <w:t>4.</w:t>
            </w:r>
          </w:p>
        </w:tc>
        <w:tc>
          <w:tcPr>
            <w:tcW w:w="1339" w:type="pct"/>
            <w:hideMark/>
          </w:tcPr>
          <w:p w14:paraId="7B0BDD3A" w14:textId="77777777" w:rsidR="003C7285" w:rsidRPr="00933EC4" w:rsidRDefault="003C7285" w:rsidP="003C7285">
            <w:r w:rsidRPr="00933EC4">
              <w:t>Cita informācija</w:t>
            </w:r>
          </w:p>
        </w:tc>
        <w:tc>
          <w:tcPr>
            <w:tcW w:w="3380" w:type="pct"/>
            <w:hideMark/>
          </w:tcPr>
          <w:p w14:paraId="1132F2DC" w14:textId="77777777" w:rsidR="003C7285" w:rsidRDefault="003C7285" w:rsidP="00E60F15">
            <w:pPr>
              <w:ind w:hanging="22"/>
            </w:pPr>
            <w:r w:rsidRPr="00933EC4">
              <w:t>Nav</w:t>
            </w:r>
          </w:p>
          <w:p w14:paraId="6A9B8DE7" w14:textId="77777777" w:rsidR="003C7285" w:rsidRPr="00161647" w:rsidRDefault="003C7285" w:rsidP="00E60F15">
            <w:pPr>
              <w:ind w:hanging="22"/>
              <w:rPr>
                <w:sz w:val="12"/>
              </w:rPr>
            </w:pPr>
          </w:p>
        </w:tc>
      </w:tr>
    </w:tbl>
    <w:p w14:paraId="48E1CAE5" w14:textId="77777777" w:rsidR="00E06B7D" w:rsidRPr="00161647" w:rsidRDefault="00E06B7D" w:rsidP="00E06B7D">
      <w:pPr>
        <w:pStyle w:val="Title"/>
        <w:spacing w:before="130" w:line="260" w:lineRule="exact"/>
        <w:jc w:val="both"/>
        <w:rPr>
          <w:sz w:val="14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E06B7D" w:rsidRPr="004C5DAC" w14:paraId="68C473AE" w14:textId="77777777" w:rsidTr="00E06B7D">
        <w:trPr>
          <w:cantSplit/>
          <w:trHeight w:val="669"/>
        </w:trPr>
        <w:tc>
          <w:tcPr>
            <w:tcW w:w="5000" w:type="pct"/>
            <w:gridSpan w:val="3"/>
            <w:vAlign w:val="center"/>
            <w:hideMark/>
          </w:tcPr>
          <w:p w14:paraId="19318265" w14:textId="77777777" w:rsidR="00E06B7D" w:rsidRPr="004C5DAC" w:rsidRDefault="00E06B7D" w:rsidP="00E06B7D">
            <w:pPr>
              <w:jc w:val="center"/>
              <w:rPr>
                <w:b/>
                <w:bCs/>
              </w:rPr>
            </w:pPr>
            <w:r w:rsidRPr="004C5DAC">
              <w:rPr>
                <w:b/>
                <w:bCs/>
              </w:rPr>
              <w:t>VII. Tiesību akta projekta izpildes nodrošināšana un tās ietekme uz institūcijām</w:t>
            </w:r>
          </w:p>
          <w:p w14:paraId="1B640FF2" w14:textId="77777777" w:rsidR="00E06B7D" w:rsidRPr="004C5DAC" w:rsidRDefault="00E06B7D" w:rsidP="00E06B7D"/>
        </w:tc>
      </w:tr>
      <w:tr w:rsidR="00E06B7D" w:rsidRPr="004C5DAC" w14:paraId="5ED44BFB" w14:textId="77777777" w:rsidTr="00E06B7D">
        <w:trPr>
          <w:cantSplit/>
        </w:trPr>
        <w:tc>
          <w:tcPr>
            <w:tcW w:w="281" w:type="pct"/>
            <w:hideMark/>
          </w:tcPr>
          <w:p w14:paraId="5396BFF6" w14:textId="77777777" w:rsidR="00E06B7D" w:rsidRPr="004C5DAC" w:rsidRDefault="00E06B7D" w:rsidP="00E06B7D">
            <w:pPr>
              <w:jc w:val="center"/>
            </w:pPr>
            <w:r w:rsidRPr="004C5DAC">
              <w:t>1.</w:t>
            </w:r>
          </w:p>
        </w:tc>
        <w:tc>
          <w:tcPr>
            <w:tcW w:w="1339" w:type="pct"/>
            <w:hideMark/>
          </w:tcPr>
          <w:p w14:paraId="594F33D5" w14:textId="77777777" w:rsidR="00E06B7D" w:rsidRPr="004B3FEB" w:rsidRDefault="00E06B7D" w:rsidP="00E06B7D">
            <w:r w:rsidRPr="004B3FEB">
              <w:t>Projekta izpildē iesaistītās institūcijas</w:t>
            </w:r>
          </w:p>
        </w:tc>
        <w:tc>
          <w:tcPr>
            <w:tcW w:w="3380" w:type="pct"/>
            <w:hideMark/>
          </w:tcPr>
          <w:p w14:paraId="4E8448B2" w14:textId="77777777" w:rsidR="00E06B7D" w:rsidRPr="004B3FEB" w:rsidRDefault="00E06B7D" w:rsidP="00E06B7D">
            <w:pPr>
              <w:jc w:val="both"/>
            </w:pPr>
            <w:r w:rsidRPr="004B3FEB">
              <w:t xml:space="preserve">Būvniecības valsts kontroles birojs,  </w:t>
            </w:r>
            <w:r>
              <w:t>sabiedrība ar ierobežotu atbildību</w:t>
            </w:r>
            <w:r w:rsidRPr="004B3FEB">
              <w:t xml:space="preserve"> “Latvijas standarts”, </w:t>
            </w:r>
            <w:r w:rsidRPr="0027083B">
              <w:t>biedrīb</w:t>
            </w:r>
            <w:r>
              <w:t>a</w:t>
            </w:r>
            <w:r w:rsidRPr="0027083B">
              <w:t xml:space="preserve"> “Latvijas Siltuma, gāzes un ūdens tehnoloģijas inženieru savienība”</w:t>
            </w:r>
            <w:r w:rsidRPr="004B3FEB">
              <w:t>.</w:t>
            </w:r>
          </w:p>
          <w:p w14:paraId="43E5B818" w14:textId="77777777" w:rsidR="00E06B7D" w:rsidRPr="005A5C82" w:rsidRDefault="00E06B7D" w:rsidP="00E06B7D">
            <w:pPr>
              <w:ind w:firstLine="108"/>
              <w:jc w:val="both"/>
              <w:rPr>
                <w:sz w:val="18"/>
              </w:rPr>
            </w:pPr>
          </w:p>
        </w:tc>
      </w:tr>
      <w:tr w:rsidR="00E06B7D" w:rsidRPr="004C5DAC" w14:paraId="4195F554" w14:textId="77777777" w:rsidTr="00E06B7D">
        <w:tc>
          <w:tcPr>
            <w:tcW w:w="281" w:type="pct"/>
            <w:hideMark/>
          </w:tcPr>
          <w:p w14:paraId="1173BF2B" w14:textId="77777777" w:rsidR="00E06B7D" w:rsidRPr="004C5DAC" w:rsidRDefault="00E06B7D" w:rsidP="00E06B7D">
            <w:pPr>
              <w:jc w:val="center"/>
            </w:pPr>
            <w:r w:rsidRPr="004C5DAC">
              <w:t>2.</w:t>
            </w:r>
          </w:p>
        </w:tc>
        <w:tc>
          <w:tcPr>
            <w:tcW w:w="1339" w:type="pct"/>
            <w:hideMark/>
          </w:tcPr>
          <w:p w14:paraId="20798613" w14:textId="77777777" w:rsidR="00E06B7D" w:rsidRPr="004C5DAC" w:rsidRDefault="00E06B7D" w:rsidP="00E06B7D">
            <w:r w:rsidRPr="004C5DAC">
              <w:t>Projekta izpildes ietekme uz pārvaldes funkcijām un institucionālo struktūru.</w:t>
            </w:r>
            <w:r w:rsidRPr="004C5DAC">
              <w:br/>
              <w:t xml:space="preserve">Jaunu institūciju izveide, </w:t>
            </w:r>
            <w:r w:rsidRPr="004C5DAC">
              <w:lastRenderedPageBreak/>
              <w:t>esošu institūciju likvidācija vai reorganizācija, to ietekme uz institūcijas cilvēkresursiem</w:t>
            </w:r>
          </w:p>
        </w:tc>
        <w:tc>
          <w:tcPr>
            <w:tcW w:w="3380" w:type="pct"/>
            <w:hideMark/>
          </w:tcPr>
          <w:p w14:paraId="71195C3E" w14:textId="52CE7B44" w:rsidR="00E06B7D" w:rsidRDefault="00527000" w:rsidP="003C7285">
            <w:pPr>
              <w:jc w:val="both"/>
            </w:pPr>
            <w:r>
              <w:lastRenderedPageBreak/>
              <w:t>Noteikumu p</w:t>
            </w:r>
            <w:r w:rsidR="00E06B7D" w:rsidRPr="00AD537B">
              <w:t>rojekts neparedz jaunu institūciju izveidi, esošo institūciju likvidāciju vai reorganizāciju.</w:t>
            </w:r>
          </w:p>
          <w:p w14:paraId="74F4B274" w14:textId="77777777" w:rsidR="00E06B7D" w:rsidRDefault="00E06B7D" w:rsidP="003C7285">
            <w:pPr>
              <w:ind w:firstLine="1"/>
              <w:jc w:val="both"/>
              <w:rPr>
                <w:szCs w:val="28"/>
              </w:rPr>
            </w:pPr>
            <w:r>
              <w:rPr>
                <w:szCs w:val="28"/>
              </w:rPr>
              <w:t xml:space="preserve">Neatkarīgu ekspertu reģistru uztur </w:t>
            </w:r>
            <w:r w:rsidR="00EC0143">
              <w:rPr>
                <w:szCs w:val="28"/>
              </w:rPr>
              <w:t xml:space="preserve">Būvniecības valsts kontroles biroja </w:t>
            </w:r>
            <w:r>
              <w:rPr>
                <w:szCs w:val="28"/>
              </w:rPr>
              <w:t>esošo cilvēkresursu ietvaros. Amata vietas papildus netiks izveidotas.</w:t>
            </w:r>
          </w:p>
          <w:p w14:paraId="3DFD82F6" w14:textId="51745824" w:rsidR="00E06B7D" w:rsidRPr="004C5DAC" w:rsidRDefault="00E06B7D" w:rsidP="003C7285">
            <w:pPr>
              <w:ind w:firstLine="1"/>
              <w:jc w:val="both"/>
            </w:pPr>
            <w:r>
              <w:rPr>
                <w:szCs w:val="28"/>
              </w:rPr>
              <w:lastRenderedPageBreak/>
              <w:t>Standartu abonēšanas maksa tiek veikta vienlaikus ar patstāvīgās prakses uzraudzības gada maksu, līdz ar to kompetences pārbaudes iestādēm būtiski nemainās ietekme uz institūcijas cilvēkresursiem.</w:t>
            </w:r>
          </w:p>
        </w:tc>
      </w:tr>
      <w:tr w:rsidR="00E06B7D" w:rsidRPr="004C5DAC" w14:paraId="274D8EED" w14:textId="77777777" w:rsidTr="00E06B7D">
        <w:trPr>
          <w:cantSplit/>
        </w:trPr>
        <w:tc>
          <w:tcPr>
            <w:tcW w:w="281" w:type="pct"/>
            <w:hideMark/>
          </w:tcPr>
          <w:p w14:paraId="30F168D0" w14:textId="77777777" w:rsidR="00E06B7D" w:rsidRPr="004C5DAC" w:rsidRDefault="00E06B7D" w:rsidP="00E06B7D">
            <w:pPr>
              <w:jc w:val="center"/>
              <w:rPr>
                <w:highlight w:val="yellow"/>
              </w:rPr>
            </w:pPr>
            <w:r w:rsidRPr="004C5DAC">
              <w:lastRenderedPageBreak/>
              <w:t>3.</w:t>
            </w:r>
          </w:p>
        </w:tc>
        <w:tc>
          <w:tcPr>
            <w:tcW w:w="1339" w:type="pct"/>
            <w:hideMark/>
          </w:tcPr>
          <w:p w14:paraId="384ED079" w14:textId="77777777" w:rsidR="00E06B7D" w:rsidRPr="004C5DAC" w:rsidRDefault="00E06B7D" w:rsidP="00E06B7D">
            <w:r w:rsidRPr="004C5DAC">
              <w:t>Cita informācija</w:t>
            </w:r>
          </w:p>
        </w:tc>
        <w:tc>
          <w:tcPr>
            <w:tcW w:w="3380" w:type="pct"/>
            <w:hideMark/>
          </w:tcPr>
          <w:p w14:paraId="42A094CA" w14:textId="77777777" w:rsidR="00E06B7D" w:rsidRPr="00AD537B" w:rsidRDefault="00E06B7D" w:rsidP="00E06B7D">
            <w:r w:rsidRPr="00AD537B">
              <w:t>Nav</w:t>
            </w:r>
          </w:p>
          <w:p w14:paraId="2578D344" w14:textId="77777777" w:rsidR="00E06B7D" w:rsidRPr="00430299" w:rsidRDefault="00E06B7D" w:rsidP="00E06B7D">
            <w:pPr>
              <w:ind w:firstLine="108"/>
              <w:rPr>
                <w:sz w:val="16"/>
              </w:rPr>
            </w:pPr>
          </w:p>
        </w:tc>
      </w:tr>
    </w:tbl>
    <w:p w14:paraId="6570EEEA" w14:textId="77777777" w:rsidR="00E06B7D" w:rsidRDefault="00E06B7D" w:rsidP="00E06B7D">
      <w:pPr>
        <w:tabs>
          <w:tab w:val="left" w:pos="6804"/>
        </w:tabs>
        <w:rPr>
          <w:lang w:eastAsia="ru-RU"/>
        </w:rPr>
      </w:pPr>
    </w:p>
    <w:p w14:paraId="388A7886" w14:textId="77777777" w:rsidR="00E06B7D" w:rsidRDefault="00E06B7D" w:rsidP="00E06B7D">
      <w:pPr>
        <w:tabs>
          <w:tab w:val="left" w:pos="6804"/>
        </w:tabs>
        <w:rPr>
          <w:lang w:eastAsia="ru-RU"/>
        </w:rPr>
      </w:pPr>
    </w:p>
    <w:p w14:paraId="333E8DA3" w14:textId="77777777" w:rsidR="00E06B7D" w:rsidRPr="00156750" w:rsidRDefault="00E06B7D" w:rsidP="00E06B7D">
      <w:pPr>
        <w:tabs>
          <w:tab w:val="left" w:pos="6946"/>
        </w:tabs>
        <w:rPr>
          <w:lang w:eastAsia="ru-RU"/>
        </w:rPr>
      </w:pPr>
      <w:r>
        <w:rPr>
          <w:lang w:eastAsia="ru-RU"/>
        </w:rPr>
        <w:t>Ekonomikas ministrs</w:t>
      </w:r>
      <w:r>
        <w:rPr>
          <w:lang w:eastAsia="ru-RU"/>
        </w:rPr>
        <w:tab/>
        <w:t xml:space="preserve">     R. Nemiro</w:t>
      </w:r>
    </w:p>
    <w:p w14:paraId="01CC81B5" w14:textId="77777777" w:rsidR="00E06B7D" w:rsidRPr="00156750" w:rsidRDefault="00E06B7D" w:rsidP="00E06B7D">
      <w:pPr>
        <w:rPr>
          <w:lang w:eastAsia="ru-RU"/>
        </w:rPr>
      </w:pPr>
    </w:p>
    <w:p w14:paraId="1D98A7EA" w14:textId="77777777" w:rsidR="00E06B7D" w:rsidRPr="00156750" w:rsidRDefault="00E06B7D" w:rsidP="00E06B7D">
      <w:pPr>
        <w:rPr>
          <w:lang w:eastAsia="ru-RU"/>
        </w:rPr>
      </w:pPr>
      <w:r w:rsidRPr="00156750">
        <w:rPr>
          <w:lang w:eastAsia="ru-RU"/>
        </w:rPr>
        <w:t xml:space="preserve">Vīza: </w:t>
      </w:r>
    </w:p>
    <w:p w14:paraId="046E8778" w14:textId="77777777" w:rsidR="00E06B7D" w:rsidRPr="00156750" w:rsidRDefault="00E06B7D" w:rsidP="00E06B7D">
      <w:pPr>
        <w:tabs>
          <w:tab w:val="left" w:pos="7371"/>
        </w:tabs>
        <w:rPr>
          <w:lang w:eastAsia="ru-RU"/>
        </w:rPr>
      </w:pPr>
      <w:r w:rsidRPr="00156750">
        <w:rPr>
          <w:lang w:eastAsia="ru-RU"/>
        </w:rPr>
        <w:t>Valsts sekretār</w:t>
      </w:r>
      <w:r>
        <w:rPr>
          <w:lang w:eastAsia="ru-RU"/>
        </w:rPr>
        <w:t>s</w:t>
      </w:r>
      <w:r>
        <w:rPr>
          <w:lang w:eastAsia="ru-RU"/>
        </w:rPr>
        <w:tab/>
        <w:t>Ē. Eglītis</w:t>
      </w:r>
    </w:p>
    <w:p w14:paraId="1F4FA757" w14:textId="77777777" w:rsidR="00E06B7D" w:rsidRDefault="00E06B7D" w:rsidP="00E06B7D">
      <w:pPr>
        <w:suppressAutoHyphens/>
        <w:rPr>
          <w:sz w:val="18"/>
          <w:szCs w:val="18"/>
          <w:lang w:eastAsia="ru-RU"/>
        </w:rPr>
      </w:pPr>
    </w:p>
    <w:p w14:paraId="4DD3768B" w14:textId="77777777" w:rsidR="00E06B7D" w:rsidRDefault="00E06B7D" w:rsidP="00E06B7D">
      <w:pPr>
        <w:tabs>
          <w:tab w:val="left" w:pos="0"/>
        </w:tabs>
        <w:jc w:val="both"/>
        <w:rPr>
          <w:sz w:val="16"/>
          <w:szCs w:val="16"/>
          <w:lang w:eastAsia="ru-RU"/>
        </w:rPr>
      </w:pPr>
    </w:p>
    <w:p w14:paraId="7ABDE30B" w14:textId="77777777" w:rsidR="005D136E" w:rsidRPr="005042CA" w:rsidRDefault="005D136E" w:rsidP="005D136E">
      <w:pPr>
        <w:tabs>
          <w:tab w:val="left" w:pos="6237"/>
        </w:tabs>
        <w:rPr>
          <w:sz w:val="20"/>
          <w:szCs w:val="20"/>
        </w:rPr>
      </w:pPr>
      <w:r w:rsidRPr="005042CA">
        <w:rPr>
          <w:sz w:val="20"/>
          <w:szCs w:val="20"/>
        </w:rPr>
        <w:t>Truhanova, 67013006</w:t>
      </w:r>
    </w:p>
    <w:p w14:paraId="61BC104F" w14:textId="77777777" w:rsidR="005D136E" w:rsidRPr="005042CA" w:rsidRDefault="005D136E" w:rsidP="005D136E">
      <w:pPr>
        <w:tabs>
          <w:tab w:val="left" w:pos="6237"/>
        </w:tabs>
        <w:rPr>
          <w:sz w:val="20"/>
          <w:szCs w:val="20"/>
        </w:rPr>
      </w:pPr>
      <w:r>
        <w:rPr>
          <w:sz w:val="20"/>
          <w:szCs w:val="20"/>
        </w:rPr>
        <w:t>K</w:t>
      </w:r>
      <w:r w:rsidRPr="005042CA">
        <w:rPr>
          <w:sz w:val="20"/>
          <w:szCs w:val="20"/>
        </w:rPr>
        <w:t>arina.</w:t>
      </w:r>
      <w:r>
        <w:rPr>
          <w:sz w:val="20"/>
          <w:szCs w:val="20"/>
        </w:rPr>
        <w:t>T</w:t>
      </w:r>
      <w:r w:rsidRPr="005042CA">
        <w:rPr>
          <w:sz w:val="20"/>
          <w:szCs w:val="20"/>
        </w:rPr>
        <w:t>ruhanova@em.gov.lv</w:t>
      </w:r>
    </w:p>
    <w:p w14:paraId="06CA9586" w14:textId="77777777" w:rsidR="005D136E" w:rsidRPr="005042CA" w:rsidRDefault="005D136E" w:rsidP="005D136E">
      <w:pPr>
        <w:rPr>
          <w:sz w:val="20"/>
          <w:szCs w:val="20"/>
        </w:rPr>
      </w:pPr>
      <w:r w:rsidRPr="005042CA">
        <w:rPr>
          <w:sz w:val="20"/>
          <w:szCs w:val="20"/>
        </w:rPr>
        <w:t>Bergmane, 67013041</w:t>
      </w:r>
    </w:p>
    <w:p w14:paraId="24D6DB98" w14:textId="77777777" w:rsidR="005D136E" w:rsidRPr="005042CA" w:rsidRDefault="005D136E" w:rsidP="005D136E">
      <w:r w:rsidRPr="005042CA">
        <w:rPr>
          <w:sz w:val="20"/>
          <w:szCs w:val="20"/>
        </w:rPr>
        <w:t>Marta.Bergmane@em.gov.lv</w:t>
      </w:r>
    </w:p>
    <w:p w14:paraId="46762325" w14:textId="77777777" w:rsidR="00E06B7D" w:rsidRPr="00221188" w:rsidRDefault="00E06B7D" w:rsidP="00E06B7D">
      <w:pPr>
        <w:tabs>
          <w:tab w:val="left" w:pos="0"/>
        </w:tabs>
        <w:jc w:val="both"/>
        <w:rPr>
          <w:sz w:val="16"/>
          <w:szCs w:val="16"/>
          <w:lang w:eastAsia="ru-RU"/>
        </w:rPr>
      </w:pPr>
      <w:r w:rsidRPr="00CB018C">
        <w:rPr>
          <w:sz w:val="16"/>
          <w:szCs w:val="16"/>
          <w:lang w:eastAsia="ru-RU"/>
        </w:rPr>
        <w:t xml:space="preserve"> </w:t>
      </w:r>
    </w:p>
    <w:p w14:paraId="3D2F190F" w14:textId="77777777" w:rsidR="009F1EA7" w:rsidRDefault="009F1EA7"/>
    <w:sectPr w:rsidR="009F1EA7" w:rsidSect="00E06B7D">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F85A" w14:textId="77777777" w:rsidR="003151F8" w:rsidRDefault="003151F8" w:rsidP="00EC0143">
      <w:r>
        <w:separator/>
      </w:r>
    </w:p>
  </w:endnote>
  <w:endnote w:type="continuationSeparator" w:id="0">
    <w:p w14:paraId="74C21AC0" w14:textId="77777777" w:rsidR="003151F8" w:rsidRDefault="003151F8" w:rsidP="00EC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35817"/>
      <w:docPartObj>
        <w:docPartGallery w:val="Page Numbers (Bottom of Page)"/>
        <w:docPartUnique/>
      </w:docPartObj>
    </w:sdtPr>
    <w:sdtEndPr/>
    <w:sdtContent>
      <w:p w14:paraId="0607B876" w14:textId="58FEAC1B" w:rsidR="00E06B7D" w:rsidRDefault="00E06B7D" w:rsidP="00E06B7D">
        <w:pPr>
          <w:pStyle w:val="Footer"/>
        </w:pPr>
        <w:r w:rsidRPr="004E4DD9">
          <w:rPr>
            <w:sz w:val="20"/>
            <w:szCs w:val="20"/>
          </w:rPr>
          <w:fldChar w:fldCharType="begin"/>
        </w:r>
        <w:r w:rsidRPr="004E4DD9">
          <w:rPr>
            <w:sz w:val="20"/>
            <w:szCs w:val="20"/>
          </w:rPr>
          <w:instrText xml:space="preserve"> FILENAME   \* MERGEFORMAT </w:instrText>
        </w:r>
        <w:r w:rsidRPr="004E4DD9">
          <w:rPr>
            <w:sz w:val="20"/>
            <w:szCs w:val="20"/>
          </w:rPr>
          <w:fldChar w:fldCharType="separate"/>
        </w:r>
        <w:r w:rsidR="00916672">
          <w:rPr>
            <w:noProof/>
            <w:sz w:val="20"/>
            <w:szCs w:val="20"/>
          </w:rPr>
          <w:t>EMAnot_</w:t>
        </w:r>
        <w:r w:rsidR="000B0304">
          <w:rPr>
            <w:noProof/>
            <w:sz w:val="20"/>
            <w:szCs w:val="20"/>
          </w:rPr>
          <w:t>0611</w:t>
        </w:r>
        <w:r w:rsidR="00916672">
          <w:rPr>
            <w:noProof/>
            <w:sz w:val="20"/>
            <w:szCs w:val="20"/>
          </w:rPr>
          <w:t>19_Groz531</w:t>
        </w:r>
        <w:r w:rsidRPr="004E4DD9">
          <w:rPr>
            <w:noProof/>
            <w:sz w:val="20"/>
            <w:szCs w:val="20"/>
          </w:rPr>
          <w:fldChar w:fldCharType="end"/>
        </w:r>
      </w:p>
    </w:sdtContent>
  </w:sdt>
  <w:p w14:paraId="713C3BD7" w14:textId="77777777" w:rsidR="00E06B7D" w:rsidRDefault="00E0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A42F" w14:textId="77777777" w:rsidR="003151F8" w:rsidRDefault="003151F8" w:rsidP="00EC0143">
      <w:r>
        <w:separator/>
      </w:r>
    </w:p>
  </w:footnote>
  <w:footnote w:type="continuationSeparator" w:id="0">
    <w:p w14:paraId="3DBC44C4" w14:textId="77777777" w:rsidR="003151F8" w:rsidRDefault="003151F8" w:rsidP="00EC0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3A3"/>
    <w:multiLevelType w:val="hybridMultilevel"/>
    <w:tmpl w:val="A49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15A5"/>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9337C"/>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8270C"/>
    <w:multiLevelType w:val="hybridMultilevel"/>
    <w:tmpl w:val="724C54D2"/>
    <w:lvl w:ilvl="0" w:tplc="25BC2A76">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7AE2F4A"/>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00142"/>
    <w:multiLevelType w:val="hybridMultilevel"/>
    <w:tmpl w:val="AC9A41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971314"/>
    <w:multiLevelType w:val="hybridMultilevel"/>
    <w:tmpl w:val="9068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7D"/>
    <w:rsid w:val="000413A4"/>
    <w:rsid w:val="000A1E69"/>
    <w:rsid w:val="000B0304"/>
    <w:rsid w:val="00105048"/>
    <w:rsid w:val="001803B4"/>
    <w:rsid w:val="00196B41"/>
    <w:rsid w:val="00276F6F"/>
    <w:rsid w:val="002B5213"/>
    <w:rsid w:val="003151F8"/>
    <w:rsid w:val="003C6E71"/>
    <w:rsid w:val="003C7285"/>
    <w:rsid w:val="003E2575"/>
    <w:rsid w:val="00527000"/>
    <w:rsid w:val="005D136E"/>
    <w:rsid w:val="00636745"/>
    <w:rsid w:val="00685EFA"/>
    <w:rsid w:val="00696D9D"/>
    <w:rsid w:val="007A5ACC"/>
    <w:rsid w:val="007B7BDA"/>
    <w:rsid w:val="00843C4C"/>
    <w:rsid w:val="008561B1"/>
    <w:rsid w:val="008F5FF4"/>
    <w:rsid w:val="00916672"/>
    <w:rsid w:val="00951E2E"/>
    <w:rsid w:val="009628AE"/>
    <w:rsid w:val="009D2717"/>
    <w:rsid w:val="009F1EA7"/>
    <w:rsid w:val="00A11774"/>
    <w:rsid w:val="00A5479E"/>
    <w:rsid w:val="00A91F8E"/>
    <w:rsid w:val="00AC2F89"/>
    <w:rsid w:val="00AD3667"/>
    <w:rsid w:val="00AD6F99"/>
    <w:rsid w:val="00B96F5D"/>
    <w:rsid w:val="00BE380C"/>
    <w:rsid w:val="00BF4C01"/>
    <w:rsid w:val="00D64D70"/>
    <w:rsid w:val="00D80CAF"/>
    <w:rsid w:val="00E00888"/>
    <w:rsid w:val="00E062B9"/>
    <w:rsid w:val="00E06B7D"/>
    <w:rsid w:val="00E20208"/>
    <w:rsid w:val="00E43C5A"/>
    <w:rsid w:val="00E60F15"/>
    <w:rsid w:val="00EC0143"/>
    <w:rsid w:val="00F7077D"/>
    <w:rsid w:val="00FE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6FFB3"/>
  <w14:defaultImageDpi w14:val="300"/>
  <w15:docId w15:val="{A7A136D9-E1DA-4569-AA76-810F0B7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7D"/>
    <w:rPr>
      <w:rFonts w:ascii="Times New Roman" w:eastAsia="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6B7D"/>
    <w:pPr>
      <w:jc w:val="center"/>
    </w:pPr>
    <w:rPr>
      <w:sz w:val="28"/>
      <w:szCs w:val="20"/>
      <w:lang w:eastAsia="en-US"/>
    </w:rPr>
  </w:style>
  <w:style w:type="character" w:customStyle="1" w:styleId="TitleChar">
    <w:name w:val="Title Char"/>
    <w:basedOn w:val="DefaultParagraphFont"/>
    <w:link w:val="Title"/>
    <w:rsid w:val="00E06B7D"/>
    <w:rPr>
      <w:rFonts w:ascii="Times New Roman" w:eastAsia="Times New Roman" w:hAnsi="Times New Roman" w:cs="Times New Roman"/>
      <w:sz w:val="28"/>
      <w:szCs w:val="20"/>
      <w:lang w:val="lv-LV"/>
    </w:rPr>
  </w:style>
  <w:style w:type="character" w:styleId="Hyperlink">
    <w:name w:val="Hyperlink"/>
    <w:basedOn w:val="DefaultParagraphFont"/>
    <w:uiPriority w:val="99"/>
    <w:unhideWhenUsed/>
    <w:rsid w:val="00E06B7D"/>
    <w:rPr>
      <w:color w:val="0000FF"/>
      <w:u w:val="single"/>
    </w:rPr>
  </w:style>
  <w:style w:type="paragraph" w:styleId="NormalWeb">
    <w:name w:val="Normal (Web)"/>
    <w:basedOn w:val="Normal"/>
    <w:unhideWhenUsed/>
    <w:rsid w:val="00E06B7D"/>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06B7D"/>
    <w:rPr>
      <w:sz w:val="16"/>
      <w:szCs w:val="16"/>
    </w:rPr>
  </w:style>
  <w:style w:type="paragraph" w:styleId="CommentText">
    <w:name w:val="annotation text"/>
    <w:basedOn w:val="Normal"/>
    <w:link w:val="CommentTextChar"/>
    <w:unhideWhenUsed/>
    <w:rsid w:val="00E06B7D"/>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E06B7D"/>
    <w:rPr>
      <w:rFonts w:ascii="Calibri" w:eastAsia="Calibri" w:hAnsi="Calibri" w:cs="Times New Roman"/>
      <w:sz w:val="20"/>
      <w:szCs w:val="20"/>
      <w:lang w:val="lv-LV"/>
    </w:rPr>
  </w:style>
  <w:style w:type="paragraph" w:styleId="ListParagraph">
    <w:name w:val="List Paragraph"/>
    <w:basedOn w:val="Normal"/>
    <w:uiPriority w:val="34"/>
    <w:qFormat/>
    <w:rsid w:val="00E06B7D"/>
    <w:pPr>
      <w:ind w:left="720"/>
      <w:contextualSpacing/>
    </w:pPr>
  </w:style>
  <w:style w:type="paragraph" w:customStyle="1" w:styleId="naiskr">
    <w:name w:val="naiskr"/>
    <w:basedOn w:val="Normal"/>
    <w:rsid w:val="00E06B7D"/>
    <w:pPr>
      <w:spacing w:before="75" w:after="75"/>
    </w:pPr>
  </w:style>
  <w:style w:type="paragraph" w:styleId="Footer">
    <w:name w:val="footer"/>
    <w:basedOn w:val="Normal"/>
    <w:link w:val="FooterChar"/>
    <w:uiPriority w:val="99"/>
    <w:unhideWhenUsed/>
    <w:rsid w:val="00E06B7D"/>
    <w:pPr>
      <w:tabs>
        <w:tab w:val="center" w:pos="4153"/>
        <w:tab w:val="right" w:pos="8306"/>
      </w:tabs>
    </w:pPr>
  </w:style>
  <w:style w:type="character" w:customStyle="1" w:styleId="FooterChar">
    <w:name w:val="Footer Char"/>
    <w:basedOn w:val="DefaultParagraphFont"/>
    <w:link w:val="Footer"/>
    <w:uiPriority w:val="99"/>
    <w:rsid w:val="00E06B7D"/>
    <w:rPr>
      <w:rFonts w:ascii="Times New Roman" w:eastAsia="Times New Roman" w:hAnsi="Times New Roman" w:cs="Times New Roman"/>
      <w:lang w:val="lv-LV" w:eastAsia="lv-LV"/>
    </w:rPr>
  </w:style>
  <w:style w:type="paragraph" w:customStyle="1" w:styleId="naisnod">
    <w:name w:val="naisnod"/>
    <w:basedOn w:val="Normal"/>
    <w:rsid w:val="00E06B7D"/>
    <w:pPr>
      <w:spacing w:before="131" w:after="131"/>
      <w:jc w:val="center"/>
    </w:pPr>
    <w:rPr>
      <w:b/>
      <w:bCs/>
    </w:rPr>
  </w:style>
  <w:style w:type="paragraph" w:customStyle="1" w:styleId="tv213">
    <w:name w:val="tv213"/>
    <w:basedOn w:val="Normal"/>
    <w:rsid w:val="00E06B7D"/>
    <w:pPr>
      <w:spacing w:before="100" w:beforeAutospacing="1" w:after="100" w:afterAutospacing="1"/>
    </w:pPr>
    <w:rPr>
      <w:lang w:val="en-US" w:eastAsia="en-US"/>
    </w:rPr>
  </w:style>
  <w:style w:type="table" w:customStyle="1" w:styleId="TableGridLight1">
    <w:name w:val="Table Grid Light1"/>
    <w:basedOn w:val="TableNormal"/>
    <w:uiPriority w:val="40"/>
    <w:rsid w:val="00E06B7D"/>
    <w:rPr>
      <w:rFonts w:eastAsiaTheme="minorHAnsi"/>
      <w:sz w:val="22"/>
      <w:szCs w:val="22"/>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4">
    <w:name w:val="CM4"/>
    <w:basedOn w:val="Normal"/>
    <w:uiPriority w:val="99"/>
    <w:rsid w:val="00E06B7D"/>
    <w:pPr>
      <w:autoSpaceDE w:val="0"/>
      <w:autoSpaceDN w:val="0"/>
    </w:pPr>
    <w:rPr>
      <w:rFonts w:eastAsiaTheme="minorHAnsi"/>
      <w:lang w:eastAsia="en-US"/>
    </w:rPr>
  </w:style>
  <w:style w:type="paragraph" w:styleId="BalloonText">
    <w:name w:val="Balloon Text"/>
    <w:basedOn w:val="Normal"/>
    <w:link w:val="BalloonTextChar"/>
    <w:uiPriority w:val="99"/>
    <w:semiHidden/>
    <w:unhideWhenUsed/>
    <w:rsid w:val="00E06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B7D"/>
    <w:rPr>
      <w:rFonts w:ascii="Lucida Grande" w:eastAsia="Times New Roman" w:hAnsi="Lucida Grande" w:cs="Lucida Grande"/>
      <w:sz w:val="18"/>
      <w:szCs w:val="18"/>
      <w:lang w:val="lv-LV" w:eastAsia="lv-LV"/>
    </w:rPr>
  </w:style>
  <w:style w:type="paragraph" w:styleId="CommentSubject">
    <w:name w:val="annotation subject"/>
    <w:basedOn w:val="CommentText"/>
    <w:next w:val="CommentText"/>
    <w:link w:val="CommentSubjectChar"/>
    <w:uiPriority w:val="99"/>
    <w:semiHidden/>
    <w:unhideWhenUsed/>
    <w:rsid w:val="00EC0143"/>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EC0143"/>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EC0143"/>
    <w:pPr>
      <w:tabs>
        <w:tab w:val="center" w:pos="4320"/>
        <w:tab w:val="right" w:pos="8640"/>
      </w:tabs>
    </w:pPr>
  </w:style>
  <w:style w:type="character" w:customStyle="1" w:styleId="HeaderChar">
    <w:name w:val="Header Char"/>
    <w:basedOn w:val="DefaultParagraphFont"/>
    <w:link w:val="Header"/>
    <w:uiPriority w:val="99"/>
    <w:rsid w:val="00EC0143"/>
    <w:rPr>
      <w:rFonts w:ascii="Times New Roman" w:eastAsia="Times New Roman" w:hAnsi="Times New Roman" w:cs="Times New Roman"/>
      <w:lang w:val="lv-LV" w:eastAsia="lv-LV"/>
    </w:rPr>
  </w:style>
  <w:style w:type="character" w:styleId="UnresolvedMention">
    <w:name w:val="Unresolved Mention"/>
    <w:basedOn w:val="DefaultParagraphFont"/>
    <w:uiPriority w:val="99"/>
    <w:semiHidden/>
    <w:unhideWhenUsed/>
    <w:rsid w:val="00276F6F"/>
    <w:rPr>
      <w:color w:val="605E5C"/>
      <w:shd w:val="clear" w:color="auto" w:fill="E1DFDD"/>
    </w:rPr>
  </w:style>
  <w:style w:type="paragraph" w:customStyle="1" w:styleId="StyleRight">
    <w:name w:val="Style Right"/>
    <w:basedOn w:val="Normal"/>
    <w:rsid w:val="00D80CAF"/>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gov.lv/lv/par_ministriju/sabiedribas_lidzdaliba/diskusijai_nodotie_dokumen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D739-3074-42D2-829B-314DF297BE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E68E0-3B5C-4003-8C4B-B32803222588}">
  <ds:schemaRefs>
    <ds:schemaRef ds:uri="http://schemas.microsoft.com/sharepoint/v3/contenttype/forms"/>
  </ds:schemaRefs>
</ds:datastoreItem>
</file>

<file path=customXml/itemProps3.xml><?xml version="1.0" encoding="utf-8"?>
<ds:datastoreItem xmlns:ds="http://schemas.openxmlformats.org/officeDocument/2006/customXml" ds:itemID="{80C2ACF6-4412-4D04-9EE1-CD00F8189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4674B-3346-4279-AC67-0C7F7DB4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14185</Words>
  <Characters>8087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2018.gada 21.augusta noteikumi Nr.531 "Noteikumi par neatkarīgu ekspertu kompetences novērtēšanu un profesionālās darbības uzraudzību ēku energoefektivitātes jomā"</vt:lpstr>
    </vt:vector>
  </TitlesOfParts>
  <Manager/>
  <Company>Ekonomikas ministrija</Company>
  <LinksUpToDate>false</LinksUpToDate>
  <CharactersWithSpaces>22228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2018.gada 21.augusta noteikumi Nr.531 "Noteikumi par neatkarīgu ekspertu kompetences novērtēšanu un profesionālās darbības uzraudzību ēku energoefektivitātes jomā"</dc:title>
  <dc:subject>Anotācija</dc:subject>
  <dc:creator>Karina Truhanova</dc:creator>
  <cp:keywords/>
  <dc:description>67013006, karina.truhanova@em.gov.lv</dc:description>
  <cp:lastModifiedBy>Marta Bergmane</cp:lastModifiedBy>
  <cp:revision>10</cp:revision>
  <cp:lastPrinted>2019-10-17T11:30:00Z</cp:lastPrinted>
  <dcterms:created xsi:type="dcterms:W3CDTF">2019-11-06T13:00:00Z</dcterms:created>
  <dcterms:modified xsi:type="dcterms:W3CDTF">2019-11-06T13:25:00Z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