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5948591B" w:rsidR="009A312E" w:rsidRPr="00A92EC7" w:rsidRDefault="009A312E" w:rsidP="00871FC0">
      <w:pPr>
        <w:spacing w:after="0" w:line="240" w:lineRule="auto"/>
        <w:ind w:right="-1"/>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A92EC7">
        <w:rPr>
          <w:rFonts w:ascii="Times New Roman" w:eastAsia="Times New Roman" w:hAnsi="Times New Roman"/>
          <w:b/>
          <w:sz w:val="24"/>
          <w:szCs w:val="24"/>
          <w:lang w:eastAsia="lv-LV"/>
        </w:rPr>
        <w:t>“</w:t>
      </w:r>
      <w:bookmarkEnd w:id="0"/>
      <w:bookmarkEnd w:id="1"/>
      <w:bookmarkEnd w:id="2"/>
      <w:bookmarkEnd w:id="3"/>
      <w:r w:rsidR="00C6192F" w:rsidRPr="00A92EC7">
        <w:rPr>
          <w:rFonts w:ascii="Times New Roman" w:eastAsia="Times New Roman" w:hAnsi="Times New Roman"/>
          <w:b/>
          <w:sz w:val="24"/>
          <w:szCs w:val="24"/>
          <w:lang w:eastAsia="lv-LV"/>
        </w:rPr>
        <w:t>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455AC2" w:rsidRPr="00A92EC7">
        <w:rPr>
          <w:rFonts w:ascii="Times New Roman" w:eastAsia="Times New Roman" w:hAnsi="Times New Roman"/>
          <w:b/>
          <w:sz w:val="24"/>
          <w:szCs w:val="24"/>
          <w:lang w:eastAsia="lv-LV"/>
        </w:rPr>
        <w:t>”</w:t>
      </w:r>
      <w:r w:rsidR="005D421D" w:rsidRPr="00A92EC7">
        <w:rPr>
          <w:rFonts w:ascii="Times New Roman" w:eastAsia="Times New Roman" w:hAnsi="Times New Roman"/>
          <w:b/>
          <w:sz w:val="24"/>
          <w:szCs w:val="24"/>
          <w:lang w:eastAsia="lv-LV"/>
        </w:rPr>
        <w:t xml:space="preserve"> </w:t>
      </w:r>
      <w:r w:rsidRPr="00A92EC7">
        <w:rPr>
          <w:rFonts w:ascii="Times New Roman" w:eastAsia="Times New Roman" w:hAnsi="Times New Roman"/>
          <w:b/>
          <w:sz w:val="24"/>
          <w:szCs w:val="24"/>
          <w:lang w:eastAsia="lv-LV"/>
        </w:rPr>
        <w:t>sākotnējās ietekmes novērtējuma ziņojums (anotācija)</w:t>
      </w:r>
    </w:p>
    <w:p w14:paraId="3981DC74" w14:textId="3346D93F" w:rsidR="009A312E" w:rsidRPr="00A92EC7" w:rsidRDefault="009A312E" w:rsidP="00871FC0">
      <w:pPr>
        <w:spacing w:after="0" w:line="240" w:lineRule="auto"/>
        <w:contextualSpacing/>
        <w:rPr>
          <w:rFonts w:ascii="Times New Roman" w:eastAsia="Times New Roman" w:hAnsi="Times New Roman"/>
          <w:b/>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804"/>
      </w:tblGrid>
      <w:tr w:rsidR="00B6430E" w:rsidRPr="00A92EC7" w14:paraId="05BD48CA" w14:textId="77777777" w:rsidTr="00C17973">
        <w:tc>
          <w:tcPr>
            <w:tcW w:w="9639" w:type="dxa"/>
            <w:gridSpan w:val="2"/>
            <w:vAlign w:val="center"/>
            <w:hideMark/>
          </w:tcPr>
          <w:p w14:paraId="7977D898" w14:textId="4CCD9420" w:rsidR="00B6430E" w:rsidRPr="00A92EC7" w:rsidRDefault="00B6430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Tiesību akta projekta anotācijas kopsavilkums</w:t>
            </w:r>
          </w:p>
        </w:tc>
      </w:tr>
      <w:tr w:rsidR="00B6430E" w:rsidRPr="00A92EC7" w14:paraId="3EB3020E" w14:textId="77777777" w:rsidTr="00BA5424">
        <w:tc>
          <w:tcPr>
            <w:tcW w:w="2835" w:type="dxa"/>
            <w:hideMark/>
          </w:tcPr>
          <w:p w14:paraId="499E33BD" w14:textId="72A937C9" w:rsidR="00B6430E" w:rsidRPr="00A92EC7" w:rsidRDefault="00B6430E" w:rsidP="00871FC0">
            <w:pPr>
              <w:spacing w:after="0" w:line="240" w:lineRule="auto"/>
              <w:ind w:left="142" w:right="128"/>
              <w:contextualSpacing/>
              <w:jc w:val="both"/>
              <w:rPr>
                <w:rFonts w:ascii="Times New Roman" w:eastAsia="Times New Roman" w:hAnsi="Times New Roman"/>
                <w:sz w:val="24"/>
                <w:szCs w:val="24"/>
                <w:lang w:eastAsia="lv-LV"/>
              </w:rPr>
            </w:pPr>
            <w:bookmarkStart w:id="4" w:name="_Hlk7689151"/>
            <w:r w:rsidRPr="00A92EC7">
              <w:rPr>
                <w:rFonts w:ascii="Times New Roman" w:eastAsia="Times New Roman" w:hAnsi="Times New Roman"/>
                <w:sz w:val="24"/>
                <w:szCs w:val="24"/>
                <w:lang w:eastAsia="lv-LV"/>
              </w:rPr>
              <w:t xml:space="preserve">Mērķis, risinājums un projekta </w:t>
            </w:r>
            <w:r w:rsidRPr="00A92EC7">
              <w:rPr>
                <w:rFonts w:ascii="Times New Roman" w:hAnsi="Times New Roman"/>
                <w:sz w:val="24"/>
                <w:szCs w:val="24"/>
              </w:rPr>
              <w:t>spēkā</w:t>
            </w:r>
            <w:r w:rsidRPr="00A92EC7">
              <w:rPr>
                <w:rFonts w:ascii="Times New Roman" w:eastAsia="Times New Roman" w:hAnsi="Times New Roman"/>
                <w:sz w:val="24"/>
                <w:szCs w:val="24"/>
                <w:lang w:eastAsia="lv-LV"/>
              </w:rPr>
              <w:t xml:space="preserve"> stāšanās laiks (500 zīmes bez atstarpēm)</w:t>
            </w:r>
          </w:p>
        </w:tc>
        <w:tc>
          <w:tcPr>
            <w:tcW w:w="6804" w:type="dxa"/>
            <w:tcMar>
              <w:left w:w="28" w:type="dxa"/>
            </w:tcMar>
            <w:hideMark/>
          </w:tcPr>
          <w:p w14:paraId="0455B765" w14:textId="31553032" w:rsidR="00871FC0" w:rsidRPr="00A92EC7" w:rsidRDefault="003C263F" w:rsidP="004021C2">
            <w:pPr>
              <w:spacing w:after="0" w:line="240" w:lineRule="auto"/>
              <w:ind w:right="130" w:firstLine="170"/>
              <w:contextualSpacing/>
              <w:jc w:val="both"/>
              <w:rPr>
                <w:rFonts w:ascii="Times New Roman" w:hAnsi="Times New Roman"/>
                <w:sz w:val="24"/>
                <w:szCs w:val="24"/>
              </w:rPr>
            </w:pPr>
            <w:r>
              <w:rPr>
                <w:rFonts w:ascii="Times New Roman" w:hAnsi="Times New Roman"/>
                <w:sz w:val="24"/>
                <w:szCs w:val="24"/>
              </w:rPr>
              <w:t>Noteikumu projekta</w:t>
            </w:r>
            <w:r w:rsidR="00FC14C5" w:rsidRPr="00A92EC7">
              <w:rPr>
                <w:rFonts w:ascii="Times New Roman" w:hAnsi="Times New Roman"/>
                <w:sz w:val="24"/>
                <w:szCs w:val="24"/>
              </w:rPr>
              <w:t xml:space="preserve"> </w:t>
            </w:r>
            <w:r w:rsidR="00B6430E" w:rsidRPr="00A92EC7">
              <w:rPr>
                <w:rFonts w:ascii="Times New Roman" w:hAnsi="Times New Roman"/>
                <w:sz w:val="24"/>
                <w:szCs w:val="24"/>
              </w:rPr>
              <w:t>mērķis ir</w:t>
            </w:r>
            <w:r w:rsidR="00EC3285" w:rsidRPr="00A92EC7">
              <w:rPr>
                <w:rFonts w:ascii="Times New Roman" w:hAnsi="Times New Roman"/>
                <w:sz w:val="24"/>
                <w:szCs w:val="24"/>
              </w:rPr>
              <w:t xml:space="preserve"> </w:t>
            </w:r>
            <w:r>
              <w:rPr>
                <w:rFonts w:ascii="Times New Roman" w:hAnsi="Times New Roman"/>
                <w:sz w:val="24"/>
                <w:szCs w:val="24"/>
              </w:rPr>
              <w:t>d</w:t>
            </w:r>
            <w:r w:rsidR="00EC3285" w:rsidRPr="00A92EC7">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Pr>
                <w:rFonts w:ascii="Times New Roman" w:hAnsi="Times New Roman"/>
                <w:sz w:val="24"/>
                <w:szCs w:val="24"/>
              </w:rPr>
              <w:t xml:space="preserve"> (turpmāk – SAM 4.1.1)</w:t>
            </w:r>
            <w:r w:rsidR="00EC3285" w:rsidRPr="00A92EC7">
              <w:rPr>
                <w:rFonts w:ascii="Times New Roman" w:hAnsi="Times New Roman"/>
                <w:sz w:val="24"/>
                <w:szCs w:val="24"/>
              </w:rPr>
              <w:t xml:space="preserve"> otrās </w:t>
            </w:r>
            <w:r w:rsidR="00EC3285" w:rsidRPr="004021C2">
              <w:rPr>
                <w:rFonts w:ascii="Times New Roman" w:hAnsi="Times New Roman"/>
                <w:sz w:val="24"/>
                <w:szCs w:val="24"/>
                <w:shd w:val="clear" w:color="auto" w:fill="FFFFFF"/>
              </w:rPr>
              <w:t>projektu</w:t>
            </w:r>
            <w:r w:rsidR="00EC3285" w:rsidRPr="00A92EC7">
              <w:rPr>
                <w:rFonts w:ascii="Times New Roman" w:hAnsi="Times New Roman"/>
                <w:sz w:val="24"/>
                <w:szCs w:val="24"/>
              </w:rPr>
              <w:t xml:space="preserve"> iesniegumu atlases kārtas </w:t>
            </w:r>
            <w:r>
              <w:rPr>
                <w:rFonts w:ascii="Times New Roman" w:hAnsi="Times New Roman"/>
                <w:sz w:val="24"/>
                <w:szCs w:val="24"/>
              </w:rPr>
              <w:t>ietvaros</w:t>
            </w:r>
            <w:r w:rsidR="00042D84" w:rsidRPr="00A92EC7">
              <w:rPr>
                <w:rFonts w:ascii="Times New Roman" w:hAnsi="Times New Roman"/>
                <w:sz w:val="24"/>
                <w:szCs w:val="24"/>
              </w:rPr>
              <w:t xml:space="preserve"> </w:t>
            </w:r>
            <w:r w:rsidR="008E5E6A" w:rsidRPr="00A92EC7">
              <w:rPr>
                <w:rFonts w:ascii="Times New Roman" w:hAnsi="Times New Roman"/>
                <w:sz w:val="24"/>
                <w:szCs w:val="24"/>
              </w:rPr>
              <w:t xml:space="preserve">precizēt </w:t>
            </w:r>
            <w:r w:rsidR="00C45293" w:rsidRPr="00A92EC7">
              <w:rPr>
                <w:rFonts w:ascii="Times New Roman" w:hAnsi="Times New Roman"/>
                <w:sz w:val="24"/>
                <w:szCs w:val="24"/>
              </w:rPr>
              <w:t xml:space="preserve">pieejamo Kohēzijas fonda (turpmāk – KF) finansējuma apmēru atbilstoši faktiski pieprasītajam KF finansējumam, </w:t>
            </w:r>
            <w:r w:rsidR="008D6DC5" w:rsidRPr="00A92EC7">
              <w:rPr>
                <w:rFonts w:ascii="Times New Roman" w:hAnsi="Times New Roman"/>
                <w:sz w:val="24"/>
                <w:szCs w:val="24"/>
              </w:rPr>
              <w:t xml:space="preserve">precizēt nosacījumu </w:t>
            </w:r>
            <w:r>
              <w:rPr>
                <w:rFonts w:ascii="Times New Roman" w:hAnsi="Times New Roman"/>
                <w:sz w:val="24"/>
                <w:szCs w:val="24"/>
              </w:rPr>
              <w:t>par</w:t>
            </w:r>
            <w:r w:rsidR="008D6DC5" w:rsidRPr="00A92EC7">
              <w:rPr>
                <w:rFonts w:ascii="Times New Roman" w:hAnsi="Times New Roman"/>
                <w:sz w:val="24"/>
                <w:szCs w:val="24"/>
              </w:rPr>
              <w:t xml:space="preserve"> maksimāli pieejamā KF finansējuma apmēru,</w:t>
            </w:r>
            <w:r w:rsidR="00F976B7" w:rsidRPr="00A92EC7">
              <w:rPr>
                <w:rFonts w:ascii="Times New Roman" w:hAnsi="Times New Roman"/>
                <w:sz w:val="24"/>
                <w:szCs w:val="24"/>
              </w:rPr>
              <w:t xml:space="preserve"> definēt atbalsta saņemšanas brīdi</w:t>
            </w:r>
            <w:r>
              <w:rPr>
                <w:rFonts w:ascii="Times New Roman" w:hAnsi="Times New Roman"/>
                <w:sz w:val="24"/>
                <w:szCs w:val="24"/>
              </w:rPr>
              <w:t>.</w:t>
            </w:r>
          </w:p>
          <w:p w14:paraId="5533C901" w14:textId="1A7A192D" w:rsidR="00FE3A9B" w:rsidRPr="00A92EC7" w:rsidRDefault="00EF1B1C" w:rsidP="00372710">
            <w:pPr>
              <w:spacing w:after="0" w:line="240" w:lineRule="auto"/>
              <w:ind w:left="1" w:right="130" w:firstLine="143"/>
              <w:contextualSpacing/>
              <w:jc w:val="both"/>
              <w:rPr>
                <w:rFonts w:ascii="Times New Roman" w:hAnsi="Times New Roman"/>
                <w:sz w:val="24"/>
                <w:szCs w:val="24"/>
              </w:rPr>
            </w:pPr>
            <w:r>
              <w:rPr>
                <w:rFonts w:ascii="Times New Roman" w:hAnsi="Times New Roman"/>
                <w:sz w:val="24"/>
                <w:szCs w:val="24"/>
              </w:rPr>
              <w:t>Tiesību akts stāsies spēkā pēc tā publicēšanas Latvijas Vēstnesī.</w:t>
            </w:r>
          </w:p>
        </w:tc>
      </w:tr>
      <w:bookmarkEnd w:id="4"/>
    </w:tbl>
    <w:p w14:paraId="1BE12317" w14:textId="77777777" w:rsidR="0065076F" w:rsidRPr="00A92EC7" w:rsidRDefault="0065076F" w:rsidP="00871FC0">
      <w:pPr>
        <w:spacing w:after="0" w:line="240" w:lineRule="auto"/>
        <w:contextualSpacing/>
        <w:rPr>
          <w:rFonts w:ascii="Times New Roman" w:eastAsia="Times New Roman" w:hAnsi="Times New Roman"/>
          <w:b/>
          <w:sz w:val="24"/>
          <w:szCs w:val="24"/>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6"/>
        <w:gridCol w:w="2372"/>
        <w:gridCol w:w="6761"/>
      </w:tblGrid>
      <w:tr w:rsidR="0065076F" w:rsidRPr="00A92EC7" w14:paraId="1D03D1D7" w14:textId="77777777" w:rsidTr="005B4F67">
        <w:tc>
          <w:tcPr>
            <w:tcW w:w="9639" w:type="dxa"/>
            <w:gridSpan w:val="3"/>
          </w:tcPr>
          <w:p w14:paraId="45F32CA0" w14:textId="6569B640" w:rsidR="0065076F" w:rsidRPr="00A92EC7" w:rsidRDefault="0065076F"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I. Tiesību akta projekta izstrādes nepieciešamība</w:t>
            </w:r>
          </w:p>
        </w:tc>
      </w:tr>
      <w:tr w:rsidR="0065076F" w:rsidRPr="00A92EC7" w14:paraId="30C2187F" w14:textId="77777777" w:rsidTr="005B4F67">
        <w:tc>
          <w:tcPr>
            <w:tcW w:w="506" w:type="dxa"/>
          </w:tcPr>
          <w:p w14:paraId="0005B94B" w14:textId="0B8B81F8" w:rsidR="0065076F" w:rsidRPr="00A92EC7" w:rsidRDefault="0065076F" w:rsidP="00871FC0">
            <w:pPr>
              <w:spacing w:after="0" w:line="240" w:lineRule="auto"/>
              <w:ind w:left="142"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2372" w:type="dxa"/>
            <w:hideMark/>
          </w:tcPr>
          <w:p w14:paraId="3695E52C" w14:textId="03AAC30F"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Pamatojums</w:t>
            </w:r>
          </w:p>
        </w:tc>
        <w:tc>
          <w:tcPr>
            <w:tcW w:w="6761" w:type="dxa"/>
            <w:hideMark/>
          </w:tcPr>
          <w:p w14:paraId="2F858813" w14:textId="72883AD6" w:rsidR="0065076F" w:rsidRPr="00A92EC7" w:rsidRDefault="0065076F" w:rsidP="004021C2">
            <w:pPr>
              <w:spacing w:after="0" w:line="240" w:lineRule="auto"/>
              <w:ind w:right="130" w:firstLine="170"/>
              <w:contextualSpacing/>
              <w:jc w:val="both"/>
              <w:rPr>
                <w:rFonts w:ascii="Times New Roman" w:eastAsia="Times New Roman" w:hAnsi="Times New Roman"/>
                <w:sz w:val="24"/>
                <w:szCs w:val="24"/>
                <w:lang w:eastAsia="lv-LV"/>
              </w:rPr>
            </w:pPr>
            <w:r w:rsidRPr="00A92EC7">
              <w:rPr>
                <w:rFonts w:ascii="Times New Roman" w:hAnsi="Times New Roman"/>
                <w:sz w:val="24"/>
                <w:szCs w:val="24"/>
              </w:rPr>
              <w:t>Izdoti</w:t>
            </w:r>
            <w:r w:rsidRPr="00A92EC7">
              <w:rPr>
                <w:rFonts w:ascii="Times New Roman" w:hAnsi="Times New Roman"/>
                <w:iCs/>
                <w:sz w:val="24"/>
                <w:szCs w:val="24"/>
                <w:shd w:val="clear" w:color="auto" w:fill="FFFFFF"/>
              </w:rPr>
              <w:t xml:space="preserve"> </w:t>
            </w:r>
            <w:r w:rsidR="00672658" w:rsidRPr="004021C2">
              <w:rPr>
                <w:rFonts w:ascii="Times New Roman" w:hAnsi="Times New Roman"/>
                <w:sz w:val="24"/>
                <w:szCs w:val="24"/>
                <w:shd w:val="clear" w:color="auto" w:fill="FFFFFF"/>
              </w:rPr>
              <w:t>pēc</w:t>
            </w:r>
            <w:r w:rsidR="00672658">
              <w:rPr>
                <w:rFonts w:ascii="Times New Roman" w:hAnsi="Times New Roman"/>
                <w:iCs/>
                <w:sz w:val="24"/>
                <w:szCs w:val="24"/>
                <w:shd w:val="clear" w:color="auto" w:fill="FFFFFF"/>
              </w:rPr>
              <w:t xml:space="preserve"> Ekonomikas ministrijas iniciatīvas </w:t>
            </w:r>
            <w:r w:rsidRPr="00A92EC7">
              <w:rPr>
                <w:rFonts w:ascii="Times New Roman" w:hAnsi="Times New Roman"/>
                <w:iCs/>
                <w:sz w:val="24"/>
                <w:szCs w:val="24"/>
                <w:shd w:val="clear" w:color="auto" w:fill="FFFFFF"/>
              </w:rPr>
              <w:t>saskaņā ar</w:t>
            </w:r>
            <w:r w:rsidR="00BA5424">
              <w:rPr>
                <w:rFonts w:ascii="Times New Roman" w:hAnsi="Times New Roman"/>
                <w:iCs/>
                <w:sz w:val="24"/>
                <w:szCs w:val="24"/>
                <w:shd w:val="clear" w:color="auto" w:fill="FFFFFF"/>
              </w:rPr>
              <w:t xml:space="preserve"> </w:t>
            </w:r>
            <w:r w:rsidRPr="00A92EC7">
              <w:rPr>
                <w:rFonts w:ascii="Times New Roman" w:hAnsi="Times New Roman"/>
                <w:iCs/>
                <w:sz w:val="24"/>
                <w:szCs w:val="24"/>
                <w:shd w:val="clear" w:color="auto" w:fill="FFFFFF"/>
              </w:rPr>
              <w:t xml:space="preserve">Eiropas Savienības struktūrfondu un Kohēzijas </w:t>
            </w:r>
            <w:r w:rsidRPr="00A92EC7">
              <w:rPr>
                <w:rFonts w:ascii="Times New Roman" w:hAnsi="Times New Roman"/>
                <w:sz w:val="24"/>
                <w:szCs w:val="24"/>
              </w:rPr>
              <w:t>fonda</w:t>
            </w:r>
            <w:r w:rsidRPr="00A92EC7">
              <w:rPr>
                <w:rFonts w:ascii="Times New Roman" w:hAnsi="Times New Roman"/>
                <w:iCs/>
                <w:sz w:val="24"/>
                <w:szCs w:val="24"/>
                <w:shd w:val="clear" w:color="auto" w:fill="FFFFFF"/>
              </w:rPr>
              <w:t xml:space="preserve"> </w:t>
            </w:r>
            <w:r w:rsidRPr="00A92EC7">
              <w:rPr>
                <w:rFonts w:ascii="Times New Roman" w:hAnsi="Times New Roman"/>
                <w:sz w:val="24"/>
                <w:szCs w:val="24"/>
              </w:rPr>
              <w:t>2014</w:t>
            </w:r>
            <w:r w:rsidRPr="00A92EC7">
              <w:rPr>
                <w:rFonts w:ascii="Times New Roman" w:hAnsi="Times New Roman"/>
                <w:iCs/>
                <w:sz w:val="24"/>
                <w:szCs w:val="24"/>
                <w:shd w:val="clear" w:color="auto" w:fill="FFFFFF"/>
              </w:rPr>
              <w:t>.-</w:t>
            </w:r>
            <w:r w:rsidRPr="00A92EC7">
              <w:rPr>
                <w:rFonts w:ascii="Times New Roman" w:hAnsi="Times New Roman"/>
                <w:sz w:val="24"/>
                <w:szCs w:val="24"/>
              </w:rPr>
              <w:t>2020</w:t>
            </w:r>
            <w:r w:rsidRPr="00A92EC7">
              <w:rPr>
                <w:rFonts w:ascii="Times New Roman" w:hAnsi="Times New Roman"/>
                <w:iCs/>
                <w:sz w:val="24"/>
                <w:szCs w:val="24"/>
                <w:shd w:val="clear" w:color="auto" w:fill="FFFFFF"/>
              </w:rPr>
              <w:t>.gada plānošanas perioda vadības likuma 20.panta 13.punktu</w:t>
            </w:r>
            <w:r w:rsidRPr="00A92EC7">
              <w:rPr>
                <w:rFonts w:ascii="Times New Roman" w:hAnsi="Times New Roman"/>
                <w:sz w:val="24"/>
                <w:szCs w:val="24"/>
              </w:rPr>
              <w:t>.</w:t>
            </w:r>
          </w:p>
        </w:tc>
      </w:tr>
      <w:tr w:rsidR="0065076F" w:rsidRPr="00A92EC7" w14:paraId="4870D352" w14:textId="77777777" w:rsidTr="005B4F67">
        <w:trPr>
          <w:trHeight w:val="360"/>
        </w:trPr>
        <w:tc>
          <w:tcPr>
            <w:tcW w:w="506" w:type="dxa"/>
          </w:tcPr>
          <w:p w14:paraId="7DCC59A3" w14:textId="77777777" w:rsidR="0065076F" w:rsidRDefault="0065076F" w:rsidP="00871FC0">
            <w:pPr>
              <w:spacing w:after="0" w:line="240" w:lineRule="auto"/>
              <w:ind w:left="142"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p w14:paraId="0FA004DF" w14:textId="77777777" w:rsidR="00ED7E90" w:rsidRPr="00ED7E90" w:rsidRDefault="00ED7E90" w:rsidP="00D510DC">
            <w:pPr>
              <w:rPr>
                <w:rFonts w:ascii="Times New Roman" w:eastAsia="Times New Roman" w:hAnsi="Times New Roman"/>
                <w:sz w:val="24"/>
                <w:szCs w:val="24"/>
                <w:lang w:eastAsia="lv-LV"/>
              </w:rPr>
            </w:pPr>
          </w:p>
          <w:p w14:paraId="368CBB5A" w14:textId="77777777" w:rsidR="00ED7E90" w:rsidRPr="00ED7E90" w:rsidRDefault="00ED7E90" w:rsidP="00D510DC">
            <w:pPr>
              <w:rPr>
                <w:rFonts w:ascii="Times New Roman" w:eastAsia="Times New Roman" w:hAnsi="Times New Roman"/>
                <w:sz w:val="24"/>
                <w:szCs w:val="24"/>
                <w:lang w:eastAsia="lv-LV"/>
              </w:rPr>
            </w:pPr>
          </w:p>
          <w:p w14:paraId="1955695A" w14:textId="77777777" w:rsidR="00ED7E90" w:rsidRPr="00ED7E90" w:rsidRDefault="00ED7E90" w:rsidP="00D510DC">
            <w:pPr>
              <w:rPr>
                <w:rFonts w:ascii="Times New Roman" w:eastAsia="Times New Roman" w:hAnsi="Times New Roman"/>
                <w:sz w:val="24"/>
                <w:szCs w:val="24"/>
                <w:lang w:eastAsia="lv-LV"/>
              </w:rPr>
            </w:pPr>
          </w:p>
          <w:p w14:paraId="2419BED1" w14:textId="77777777" w:rsidR="00ED7E90" w:rsidRPr="00ED7E90" w:rsidRDefault="00ED7E90" w:rsidP="00D510DC">
            <w:pPr>
              <w:rPr>
                <w:rFonts w:ascii="Times New Roman" w:eastAsia="Times New Roman" w:hAnsi="Times New Roman"/>
                <w:sz w:val="24"/>
                <w:szCs w:val="24"/>
                <w:lang w:eastAsia="lv-LV"/>
              </w:rPr>
            </w:pPr>
          </w:p>
          <w:p w14:paraId="21A15A12" w14:textId="77777777" w:rsidR="00ED7E90" w:rsidRPr="00ED7E90" w:rsidRDefault="00ED7E90" w:rsidP="00D510DC">
            <w:pPr>
              <w:rPr>
                <w:rFonts w:ascii="Times New Roman" w:eastAsia="Times New Roman" w:hAnsi="Times New Roman"/>
                <w:sz w:val="24"/>
                <w:szCs w:val="24"/>
                <w:lang w:eastAsia="lv-LV"/>
              </w:rPr>
            </w:pPr>
          </w:p>
          <w:p w14:paraId="68410839" w14:textId="77777777" w:rsidR="00ED7E90" w:rsidRPr="00ED7E90" w:rsidRDefault="00ED7E90" w:rsidP="00D510DC">
            <w:pPr>
              <w:rPr>
                <w:rFonts w:ascii="Times New Roman" w:eastAsia="Times New Roman" w:hAnsi="Times New Roman"/>
                <w:sz w:val="24"/>
                <w:szCs w:val="24"/>
                <w:lang w:eastAsia="lv-LV"/>
              </w:rPr>
            </w:pPr>
          </w:p>
          <w:p w14:paraId="786AFDDA" w14:textId="77777777" w:rsidR="00ED7E90" w:rsidRPr="00ED7E90" w:rsidRDefault="00ED7E90" w:rsidP="00D510DC">
            <w:pPr>
              <w:rPr>
                <w:rFonts w:ascii="Times New Roman" w:eastAsia="Times New Roman" w:hAnsi="Times New Roman"/>
                <w:sz w:val="24"/>
                <w:szCs w:val="24"/>
                <w:lang w:eastAsia="lv-LV"/>
              </w:rPr>
            </w:pPr>
          </w:p>
          <w:p w14:paraId="0B387D53" w14:textId="77777777" w:rsidR="00ED7E90" w:rsidRPr="00ED7E90" w:rsidRDefault="00ED7E90" w:rsidP="00D510DC">
            <w:pPr>
              <w:rPr>
                <w:rFonts w:ascii="Times New Roman" w:eastAsia="Times New Roman" w:hAnsi="Times New Roman"/>
                <w:sz w:val="24"/>
                <w:szCs w:val="24"/>
                <w:lang w:eastAsia="lv-LV"/>
              </w:rPr>
            </w:pPr>
          </w:p>
          <w:p w14:paraId="781B4BA1" w14:textId="77777777" w:rsidR="00ED7E90" w:rsidRPr="00ED7E90" w:rsidRDefault="00ED7E90" w:rsidP="00D510DC">
            <w:pPr>
              <w:rPr>
                <w:rFonts w:ascii="Times New Roman" w:eastAsia="Times New Roman" w:hAnsi="Times New Roman"/>
                <w:sz w:val="24"/>
                <w:szCs w:val="24"/>
                <w:lang w:eastAsia="lv-LV"/>
              </w:rPr>
            </w:pPr>
          </w:p>
          <w:p w14:paraId="5F3468E2" w14:textId="77777777" w:rsidR="00ED7E90" w:rsidRPr="00ED7E90" w:rsidRDefault="00ED7E90" w:rsidP="00D510DC">
            <w:pPr>
              <w:rPr>
                <w:rFonts w:ascii="Times New Roman" w:eastAsia="Times New Roman" w:hAnsi="Times New Roman"/>
                <w:sz w:val="24"/>
                <w:szCs w:val="24"/>
                <w:lang w:eastAsia="lv-LV"/>
              </w:rPr>
            </w:pPr>
          </w:p>
          <w:p w14:paraId="73F62A12" w14:textId="77777777" w:rsidR="00ED7E90" w:rsidRPr="00ED7E90" w:rsidRDefault="00ED7E90" w:rsidP="00D510DC">
            <w:pPr>
              <w:rPr>
                <w:rFonts w:ascii="Times New Roman" w:eastAsia="Times New Roman" w:hAnsi="Times New Roman"/>
                <w:sz w:val="24"/>
                <w:szCs w:val="24"/>
                <w:lang w:eastAsia="lv-LV"/>
              </w:rPr>
            </w:pPr>
          </w:p>
          <w:p w14:paraId="64D9A006" w14:textId="77777777" w:rsidR="00ED7E90" w:rsidRPr="00ED7E90" w:rsidRDefault="00ED7E90" w:rsidP="00D510DC">
            <w:pPr>
              <w:rPr>
                <w:rFonts w:ascii="Times New Roman" w:eastAsia="Times New Roman" w:hAnsi="Times New Roman"/>
                <w:sz w:val="24"/>
                <w:szCs w:val="24"/>
                <w:lang w:eastAsia="lv-LV"/>
              </w:rPr>
            </w:pPr>
          </w:p>
          <w:p w14:paraId="38DA9451" w14:textId="77777777" w:rsidR="00ED7E90" w:rsidRPr="00ED7E90" w:rsidRDefault="00ED7E90" w:rsidP="00D510DC">
            <w:pPr>
              <w:rPr>
                <w:rFonts w:ascii="Times New Roman" w:eastAsia="Times New Roman" w:hAnsi="Times New Roman"/>
                <w:sz w:val="24"/>
                <w:szCs w:val="24"/>
                <w:lang w:eastAsia="lv-LV"/>
              </w:rPr>
            </w:pPr>
          </w:p>
          <w:p w14:paraId="18A0B39C" w14:textId="77777777" w:rsidR="00ED7E90" w:rsidRPr="00ED7E90" w:rsidRDefault="00ED7E90" w:rsidP="00D510DC">
            <w:pPr>
              <w:rPr>
                <w:rFonts w:ascii="Times New Roman" w:eastAsia="Times New Roman" w:hAnsi="Times New Roman"/>
                <w:sz w:val="24"/>
                <w:szCs w:val="24"/>
                <w:lang w:eastAsia="lv-LV"/>
              </w:rPr>
            </w:pPr>
          </w:p>
          <w:p w14:paraId="44DEA3C5" w14:textId="3478C816" w:rsidR="00ED7E90" w:rsidRPr="00ED7E90" w:rsidRDefault="00ED7E90" w:rsidP="00D510DC">
            <w:pPr>
              <w:rPr>
                <w:rFonts w:ascii="Times New Roman" w:eastAsia="Times New Roman" w:hAnsi="Times New Roman"/>
                <w:sz w:val="24"/>
                <w:szCs w:val="24"/>
                <w:lang w:eastAsia="lv-LV"/>
              </w:rPr>
            </w:pPr>
            <w:bookmarkStart w:id="5" w:name="_GoBack"/>
            <w:bookmarkEnd w:id="5"/>
          </w:p>
        </w:tc>
        <w:tc>
          <w:tcPr>
            <w:tcW w:w="2372" w:type="dxa"/>
            <w:hideMark/>
          </w:tcPr>
          <w:p w14:paraId="0BAAAF2A" w14:textId="77777777" w:rsidR="0065076F"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Pašreizējā situācija un problēmas, kuru risināšanai tiesību akta projekts </w:t>
            </w:r>
            <w:r w:rsidRPr="00A92EC7">
              <w:rPr>
                <w:rFonts w:ascii="Times New Roman" w:hAnsi="Times New Roman"/>
                <w:sz w:val="24"/>
                <w:szCs w:val="24"/>
              </w:rPr>
              <w:t>izstrādāts</w:t>
            </w:r>
            <w:r w:rsidRPr="00A92EC7">
              <w:rPr>
                <w:rFonts w:ascii="Times New Roman" w:eastAsia="Times New Roman" w:hAnsi="Times New Roman"/>
                <w:sz w:val="24"/>
                <w:szCs w:val="24"/>
                <w:lang w:eastAsia="lv-LV"/>
              </w:rPr>
              <w:t>, tiesiskā regulējuma mērķis un būtība</w:t>
            </w:r>
          </w:p>
          <w:p w14:paraId="01163E2B" w14:textId="77777777" w:rsidR="00344701" w:rsidRPr="00344701" w:rsidRDefault="00344701" w:rsidP="00344701">
            <w:pPr>
              <w:rPr>
                <w:rFonts w:ascii="Times New Roman" w:eastAsia="Times New Roman" w:hAnsi="Times New Roman"/>
                <w:sz w:val="24"/>
                <w:szCs w:val="24"/>
                <w:lang w:eastAsia="lv-LV"/>
              </w:rPr>
            </w:pPr>
          </w:p>
          <w:p w14:paraId="52C7F859" w14:textId="77777777" w:rsidR="00344701" w:rsidRPr="00344701" w:rsidRDefault="00344701" w:rsidP="00344701">
            <w:pPr>
              <w:rPr>
                <w:rFonts w:ascii="Times New Roman" w:eastAsia="Times New Roman" w:hAnsi="Times New Roman"/>
                <w:sz w:val="24"/>
                <w:szCs w:val="24"/>
                <w:lang w:eastAsia="lv-LV"/>
              </w:rPr>
            </w:pPr>
          </w:p>
          <w:p w14:paraId="7EEA9C00" w14:textId="77777777" w:rsidR="00344701" w:rsidRPr="00344701" w:rsidRDefault="00344701" w:rsidP="00344701">
            <w:pPr>
              <w:rPr>
                <w:rFonts w:ascii="Times New Roman" w:eastAsia="Times New Roman" w:hAnsi="Times New Roman"/>
                <w:sz w:val="24"/>
                <w:szCs w:val="24"/>
                <w:lang w:eastAsia="lv-LV"/>
              </w:rPr>
            </w:pPr>
          </w:p>
          <w:p w14:paraId="19C6F451" w14:textId="77777777" w:rsidR="00344701" w:rsidRPr="00344701" w:rsidRDefault="00344701" w:rsidP="00344701">
            <w:pPr>
              <w:rPr>
                <w:rFonts w:ascii="Times New Roman" w:eastAsia="Times New Roman" w:hAnsi="Times New Roman"/>
                <w:sz w:val="24"/>
                <w:szCs w:val="24"/>
                <w:lang w:eastAsia="lv-LV"/>
              </w:rPr>
            </w:pPr>
          </w:p>
          <w:p w14:paraId="4F3B971D" w14:textId="77777777" w:rsidR="00344701" w:rsidRPr="00344701" w:rsidRDefault="00344701" w:rsidP="00344701">
            <w:pPr>
              <w:rPr>
                <w:rFonts w:ascii="Times New Roman" w:eastAsia="Times New Roman" w:hAnsi="Times New Roman"/>
                <w:sz w:val="24"/>
                <w:szCs w:val="24"/>
                <w:lang w:eastAsia="lv-LV"/>
              </w:rPr>
            </w:pPr>
          </w:p>
          <w:p w14:paraId="5CB18600" w14:textId="77777777" w:rsidR="00344701" w:rsidRPr="00344701" w:rsidRDefault="00344701" w:rsidP="00344701">
            <w:pPr>
              <w:rPr>
                <w:rFonts w:ascii="Times New Roman" w:eastAsia="Times New Roman" w:hAnsi="Times New Roman"/>
                <w:sz w:val="24"/>
                <w:szCs w:val="24"/>
                <w:lang w:eastAsia="lv-LV"/>
              </w:rPr>
            </w:pPr>
          </w:p>
          <w:p w14:paraId="284CD58E" w14:textId="77777777" w:rsidR="00344701" w:rsidRPr="00344701" w:rsidRDefault="00344701" w:rsidP="00344701">
            <w:pPr>
              <w:rPr>
                <w:rFonts w:ascii="Times New Roman" w:eastAsia="Times New Roman" w:hAnsi="Times New Roman"/>
                <w:sz w:val="24"/>
                <w:szCs w:val="24"/>
                <w:lang w:eastAsia="lv-LV"/>
              </w:rPr>
            </w:pPr>
          </w:p>
          <w:p w14:paraId="4DE0F995" w14:textId="77777777" w:rsidR="00344701" w:rsidRPr="00344701" w:rsidRDefault="00344701" w:rsidP="00344701">
            <w:pPr>
              <w:rPr>
                <w:rFonts w:ascii="Times New Roman" w:eastAsia="Times New Roman" w:hAnsi="Times New Roman"/>
                <w:sz w:val="24"/>
                <w:szCs w:val="24"/>
                <w:lang w:eastAsia="lv-LV"/>
              </w:rPr>
            </w:pPr>
          </w:p>
          <w:p w14:paraId="352E099C" w14:textId="77777777" w:rsidR="00344701" w:rsidRPr="00344701" w:rsidRDefault="00344701" w:rsidP="00344701">
            <w:pPr>
              <w:rPr>
                <w:rFonts w:ascii="Times New Roman" w:eastAsia="Times New Roman" w:hAnsi="Times New Roman"/>
                <w:sz w:val="24"/>
                <w:szCs w:val="24"/>
                <w:lang w:eastAsia="lv-LV"/>
              </w:rPr>
            </w:pPr>
          </w:p>
          <w:p w14:paraId="4C0E9D81" w14:textId="77777777" w:rsidR="00344701" w:rsidRPr="00344701" w:rsidRDefault="00344701" w:rsidP="00344701">
            <w:pPr>
              <w:rPr>
                <w:rFonts w:ascii="Times New Roman" w:eastAsia="Times New Roman" w:hAnsi="Times New Roman"/>
                <w:sz w:val="24"/>
                <w:szCs w:val="24"/>
                <w:lang w:eastAsia="lv-LV"/>
              </w:rPr>
            </w:pPr>
          </w:p>
          <w:p w14:paraId="611485CD" w14:textId="77777777" w:rsidR="00344701" w:rsidRPr="00344701" w:rsidRDefault="00344701" w:rsidP="00344701">
            <w:pPr>
              <w:rPr>
                <w:rFonts w:ascii="Times New Roman" w:eastAsia="Times New Roman" w:hAnsi="Times New Roman"/>
                <w:sz w:val="24"/>
                <w:szCs w:val="24"/>
                <w:lang w:eastAsia="lv-LV"/>
              </w:rPr>
            </w:pPr>
          </w:p>
          <w:p w14:paraId="6B2C4B0D" w14:textId="67BD37DA" w:rsidR="00344701" w:rsidRPr="00344701" w:rsidRDefault="00344701" w:rsidP="00344701">
            <w:pPr>
              <w:rPr>
                <w:rFonts w:ascii="Times New Roman" w:eastAsia="Times New Roman" w:hAnsi="Times New Roman"/>
                <w:sz w:val="24"/>
                <w:szCs w:val="24"/>
                <w:lang w:eastAsia="lv-LV"/>
              </w:rPr>
            </w:pPr>
          </w:p>
        </w:tc>
        <w:tc>
          <w:tcPr>
            <w:tcW w:w="6761" w:type="dxa"/>
          </w:tcPr>
          <w:p w14:paraId="592E0B19" w14:textId="06C1D529" w:rsidR="0065076F" w:rsidRPr="00A92EC7" w:rsidRDefault="0065076F" w:rsidP="00633295">
            <w:pPr>
              <w:spacing w:after="0" w:line="240" w:lineRule="auto"/>
              <w:ind w:left="37" w:right="130"/>
              <w:contextualSpacing/>
              <w:jc w:val="both"/>
              <w:rPr>
                <w:rFonts w:ascii="Times New Roman" w:hAnsi="Times New Roman"/>
                <w:b/>
                <w:i/>
                <w:sz w:val="24"/>
                <w:szCs w:val="24"/>
                <w:u w:val="single"/>
              </w:rPr>
            </w:pPr>
            <w:r w:rsidRPr="00A92EC7">
              <w:rPr>
                <w:rFonts w:ascii="Times New Roman" w:hAnsi="Times New Roman"/>
                <w:b/>
                <w:i/>
                <w:sz w:val="24"/>
                <w:szCs w:val="24"/>
                <w:u w:val="single"/>
              </w:rPr>
              <w:t>Par pieejamo KF finansējuma apmēru</w:t>
            </w:r>
          </w:p>
          <w:p w14:paraId="551B4AFA" w14:textId="7D4BB440" w:rsidR="0065076F" w:rsidRDefault="0065076F" w:rsidP="004021C2">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M</w:t>
            </w:r>
            <w:r w:rsidR="00801D55">
              <w:rPr>
                <w:rFonts w:ascii="Times New Roman" w:hAnsi="Times New Roman"/>
                <w:sz w:val="24"/>
                <w:szCs w:val="24"/>
              </w:rPr>
              <w:t xml:space="preserve">inistru kabineta </w:t>
            </w:r>
            <w:r w:rsidR="00E459CD">
              <w:rPr>
                <w:rFonts w:ascii="Times New Roman" w:hAnsi="Times New Roman"/>
                <w:sz w:val="24"/>
                <w:szCs w:val="24"/>
              </w:rPr>
              <w:t>2018.gada 16.janvāra noteikumi Nr.38 “</w:t>
            </w:r>
            <w:r w:rsidR="00E459CD" w:rsidRPr="00E459CD">
              <w:rPr>
                <w:rFonts w:ascii="Times New Roman" w:hAnsi="Times New Roman"/>
                <w:sz w:val="24"/>
                <w:szCs w:val="24"/>
              </w:rPr>
              <w:t xml:space="preserve">Darbības programmas </w:t>
            </w:r>
            <w:r w:rsidR="00E459CD">
              <w:rPr>
                <w:rFonts w:ascii="Times New Roman" w:hAnsi="Times New Roman"/>
                <w:sz w:val="24"/>
                <w:szCs w:val="24"/>
              </w:rPr>
              <w:t>“</w:t>
            </w:r>
            <w:r w:rsidR="00E459CD" w:rsidRPr="00E459CD">
              <w:rPr>
                <w:rFonts w:ascii="Times New Roman" w:hAnsi="Times New Roman"/>
                <w:sz w:val="24"/>
                <w:szCs w:val="24"/>
              </w:rPr>
              <w:t>Izaugsme un nodarbinātība</w:t>
            </w:r>
            <w:r w:rsidR="00E459CD">
              <w:rPr>
                <w:rFonts w:ascii="Times New Roman" w:hAnsi="Times New Roman"/>
                <w:sz w:val="24"/>
                <w:szCs w:val="24"/>
              </w:rPr>
              <w:t>”</w:t>
            </w:r>
            <w:r w:rsidR="00E459CD" w:rsidRPr="00E459CD">
              <w:rPr>
                <w:rFonts w:ascii="Times New Roman" w:hAnsi="Times New Roman"/>
                <w:sz w:val="24"/>
                <w:szCs w:val="24"/>
              </w:rPr>
              <w:t xml:space="preserve"> 4.1.1. specifiskā atbalsta mērķa </w:t>
            </w:r>
            <w:r w:rsidR="00E459CD">
              <w:rPr>
                <w:rFonts w:ascii="Times New Roman" w:hAnsi="Times New Roman"/>
                <w:sz w:val="24"/>
                <w:szCs w:val="24"/>
              </w:rPr>
              <w:t>“</w:t>
            </w:r>
            <w:r w:rsidR="00E459CD" w:rsidRPr="00E459CD">
              <w:rPr>
                <w:rFonts w:ascii="Times New Roman" w:hAnsi="Times New Roman"/>
                <w:sz w:val="24"/>
                <w:szCs w:val="24"/>
              </w:rPr>
              <w:t>Veicināt efektīvu energoresursu izmantošanu, enerģijas patēriņa samazināšanu un pāreju uz AER apstrādes rūpniecības nozarē</w:t>
            </w:r>
            <w:r w:rsidR="00E459CD">
              <w:rPr>
                <w:rFonts w:ascii="Times New Roman" w:hAnsi="Times New Roman"/>
                <w:sz w:val="24"/>
                <w:szCs w:val="24"/>
              </w:rPr>
              <w:t>”</w:t>
            </w:r>
            <w:r w:rsidR="00E459CD" w:rsidRPr="00E459CD">
              <w:rPr>
                <w:rFonts w:ascii="Times New Roman" w:hAnsi="Times New Roman"/>
                <w:sz w:val="24"/>
                <w:szCs w:val="24"/>
              </w:rPr>
              <w:t xml:space="preserve"> otrās projektu iesniegumu atlases kārtas īstenošanas noteikumi</w:t>
            </w:r>
            <w:r w:rsidR="00E459CD">
              <w:rPr>
                <w:rFonts w:ascii="Times New Roman" w:hAnsi="Times New Roman"/>
                <w:sz w:val="24"/>
                <w:szCs w:val="24"/>
              </w:rPr>
              <w:t>” (turpmāk- MK</w:t>
            </w:r>
            <w:r w:rsidRPr="00A92EC7">
              <w:rPr>
                <w:rFonts w:ascii="Times New Roman" w:hAnsi="Times New Roman"/>
                <w:sz w:val="24"/>
                <w:szCs w:val="24"/>
              </w:rPr>
              <w:t xml:space="preserve"> noteikumi Nr.38</w:t>
            </w:r>
            <w:r w:rsidR="00E459CD">
              <w:rPr>
                <w:rFonts w:ascii="Times New Roman" w:hAnsi="Times New Roman"/>
                <w:sz w:val="24"/>
                <w:szCs w:val="24"/>
              </w:rPr>
              <w:t>)</w:t>
            </w:r>
            <w:r w:rsidRPr="00A92EC7">
              <w:rPr>
                <w:rFonts w:ascii="Times New Roman" w:hAnsi="Times New Roman"/>
                <w:sz w:val="24"/>
                <w:szCs w:val="24"/>
              </w:rPr>
              <w:t xml:space="preserve"> esošajā redakcijā paredz, ka otrās atlases kārtas pieejamais KF finansējums ir 15 373 430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Pēc faktiskās situācijas (dati fiksēti uz 2019</w:t>
            </w:r>
            <w:r w:rsidR="00136262">
              <w:rPr>
                <w:rFonts w:ascii="Times New Roman" w:hAnsi="Times New Roman"/>
                <w:sz w:val="24"/>
                <w:szCs w:val="24"/>
              </w:rPr>
              <w:t xml:space="preserve">.gada </w:t>
            </w:r>
            <w:r w:rsidR="005C1C75">
              <w:rPr>
                <w:rFonts w:ascii="Times New Roman" w:hAnsi="Times New Roman"/>
                <w:sz w:val="24"/>
                <w:szCs w:val="24"/>
              </w:rPr>
              <w:t>9.oktobri</w:t>
            </w:r>
            <w:r w:rsidRPr="00A92EC7">
              <w:rPr>
                <w:rFonts w:ascii="Times New Roman" w:hAnsi="Times New Roman"/>
                <w:sz w:val="24"/>
                <w:szCs w:val="24"/>
              </w:rPr>
              <w:t xml:space="preserve">) </w:t>
            </w:r>
            <w:r w:rsidRPr="004021C2">
              <w:rPr>
                <w:rFonts w:ascii="Times New Roman" w:hAnsi="Times New Roman"/>
                <w:sz w:val="24"/>
                <w:szCs w:val="24"/>
                <w:shd w:val="clear" w:color="auto" w:fill="FFFFFF"/>
              </w:rPr>
              <w:t>kopējais</w:t>
            </w:r>
            <w:r w:rsidRPr="00A92EC7">
              <w:rPr>
                <w:rFonts w:ascii="Times New Roman" w:hAnsi="Times New Roman"/>
                <w:sz w:val="24"/>
                <w:szCs w:val="24"/>
              </w:rPr>
              <w:t xml:space="preserve"> pieprasītais KF finansējums </w:t>
            </w:r>
            <w:r w:rsidR="00D1002B">
              <w:rPr>
                <w:rFonts w:ascii="Times New Roman" w:hAnsi="Times New Roman"/>
                <w:sz w:val="24"/>
                <w:szCs w:val="24"/>
              </w:rPr>
              <w:t xml:space="preserve">atbalstītajiem </w:t>
            </w:r>
            <w:r w:rsidRPr="00A92EC7">
              <w:rPr>
                <w:rFonts w:ascii="Times New Roman" w:hAnsi="Times New Roman"/>
                <w:sz w:val="24"/>
                <w:szCs w:val="24"/>
              </w:rPr>
              <w:t>projektiem</w:t>
            </w:r>
            <w:r w:rsidR="00D1002B">
              <w:rPr>
                <w:rFonts w:ascii="Times New Roman" w:hAnsi="Times New Roman"/>
                <w:sz w:val="24"/>
                <w:szCs w:val="24"/>
              </w:rPr>
              <w:t xml:space="preserve"> </w:t>
            </w:r>
            <w:r w:rsidRPr="00A92EC7">
              <w:rPr>
                <w:rFonts w:ascii="Times New Roman" w:hAnsi="Times New Roman"/>
                <w:sz w:val="24"/>
                <w:szCs w:val="24"/>
              </w:rPr>
              <w:t xml:space="preserve">ir </w:t>
            </w:r>
            <w:r w:rsidR="00D1002B">
              <w:rPr>
                <w:rFonts w:ascii="Times New Roman" w:hAnsi="Times New Roman"/>
                <w:sz w:val="24"/>
                <w:szCs w:val="24"/>
              </w:rPr>
              <w:t>6 </w:t>
            </w:r>
            <w:r w:rsidR="005C1C75">
              <w:rPr>
                <w:rFonts w:ascii="Times New Roman" w:hAnsi="Times New Roman"/>
                <w:sz w:val="24"/>
                <w:szCs w:val="24"/>
              </w:rPr>
              <w:t>168 725</w:t>
            </w:r>
            <w:r w:rsidRPr="00A92EC7">
              <w:rPr>
                <w:rFonts w:ascii="Times New Roman" w:hAnsi="Times New Roman"/>
                <w:sz w:val="24"/>
                <w:szCs w:val="24"/>
              </w:rPr>
              <w:t xml:space="preserve">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Līdz ar to izveidojies KF finansējuma pārpalikums </w:t>
            </w:r>
            <w:r w:rsidR="00D1002B">
              <w:rPr>
                <w:rFonts w:ascii="Times New Roman" w:hAnsi="Times New Roman"/>
                <w:sz w:val="24"/>
                <w:szCs w:val="24"/>
              </w:rPr>
              <w:t>9 </w:t>
            </w:r>
            <w:r w:rsidR="005C1C75">
              <w:rPr>
                <w:rFonts w:ascii="Times New Roman" w:hAnsi="Times New Roman"/>
                <w:sz w:val="24"/>
                <w:szCs w:val="24"/>
              </w:rPr>
              <w:t>204 705</w:t>
            </w:r>
            <w:r w:rsidR="005C1C75" w:rsidRPr="00A92EC7">
              <w:rPr>
                <w:rFonts w:ascii="Times New Roman" w:hAnsi="Times New Roman"/>
                <w:sz w:val="24"/>
                <w:szCs w:val="24"/>
              </w:rPr>
              <w:t xml:space="preserve">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Noteikumu projekts paredz precizēt atlases kārtā pieejamo KF finansējuma apmēru, neizmantoto KF finansējumu </w:t>
            </w:r>
            <w:r w:rsidR="00D1002B">
              <w:rPr>
                <w:rFonts w:ascii="Times New Roman" w:hAnsi="Times New Roman"/>
                <w:sz w:val="24"/>
                <w:szCs w:val="24"/>
              </w:rPr>
              <w:t>9 </w:t>
            </w:r>
            <w:r w:rsidR="005C1C75">
              <w:rPr>
                <w:rFonts w:ascii="Times New Roman" w:hAnsi="Times New Roman"/>
                <w:sz w:val="24"/>
                <w:szCs w:val="24"/>
              </w:rPr>
              <w:t xml:space="preserve">204 705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novirzot </w:t>
            </w:r>
            <w:r w:rsidR="00801D55">
              <w:rPr>
                <w:rFonts w:ascii="Times New Roman" w:hAnsi="Times New Roman"/>
                <w:sz w:val="24"/>
                <w:szCs w:val="24"/>
              </w:rPr>
              <w:t>SAM 4.1.1.</w:t>
            </w:r>
            <w:r w:rsidRPr="00A92EC7">
              <w:rPr>
                <w:rFonts w:ascii="Times New Roman" w:hAnsi="Times New Roman"/>
                <w:sz w:val="24"/>
                <w:szCs w:val="24"/>
              </w:rPr>
              <w:t xml:space="preserve"> trešās kārtas īstenošanai.</w:t>
            </w:r>
          </w:p>
          <w:p w14:paraId="484B34CC" w14:textId="77777777" w:rsidR="00F50557" w:rsidRDefault="00F50557" w:rsidP="00902FE8">
            <w:pPr>
              <w:spacing w:after="0" w:line="240" w:lineRule="auto"/>
              <w:ind w:right="130" w:firstLine="170"/>
              <w:contextualSpacing/>
              <w:jc w:val="both"/>
              <w:rPr>
                <w:rFonts w:ascii="Times New Roman" w:hAnsi="Times New Roman"/>
                <w:sz w:val="24"/>
                <w:szCs w:val="24"/>
              </w:rPr>
            </w:pPr>
            <w:r>
              <w:rPr>
                <w:rFonts w:ascii="Times New Roman" w:hAnsi="Times New Roman"/>
                <w:sz w:val="24"/>
                <w:szCs w:val="24"/>
              </w:rPr>
              <w:t xml:space="preserve">Atlases kārtas finansējuma samazinājums nerada ietekmi uz iznākuma rādītāju sasniegšanu, jo atlases kārta ir noslēgusies un finansējums tiek samazināts par apmēru, kas netika pieprasīts apstiprināto projektu ietvaros.  Papildus noteikumu projekts paredz precizēt atlases kārtas ietvaros plānotos iznākuma rādītājus, atbilstoši plānotajai situācijai atbalstīto projektu ietvaros. </w:t>
            </w:r>
          </w:p>
          <w:p w14:paraId="1FA74D48" w14:textId="77777777" w:rsidR="00A37C50" w:rsidRPr="00A92EC7" w:rsidRDefault="00A37C50" w:rsidP="00633295">
            <w:pPr>
              <w:spacing w:after="0" w:line="240" w:lineRule="auto"/>
              <w:ind w:left="37" w:right="130"/>
              <w:contextualSpacing/>
              <w:jc w:val="both"/>
              <w:rPr>
                <w:rFonts w:ascii="Times New Roman" w:hAnsi="Times New Roman"/>
                <w:sz w:val="24"/>
                <w:szCs w:val="24"/>
              </w:rPr>
            </w:pPr>
          </w:p>
          <w:p w14:paraId="2453586B" w14:textId="3EDA6A83" w:rsidR="0065076F" w:rsidRPr="00A92EC7" w:rsidRDefault="0065076F" w:rsidP="00633295">
            <w:pPr>
              <w:spacing w:after="0" w:line="240" w:lineRule="auto"/>
              <w:ind w:left="37"/>
              <w:contextualSpacing/>
              <w:jc w:val="both"/>
              <w:rPr>
                <w:rFonts w:ascii="Times New Roman" w:hAnsi="Times New Roman"/>
                <w:b/>
                <w:i/>
                <w:sz w:val="24"/>
                <w:szCs w:val="24"/>
                <w:u w:val="single"/>
                <w:shd w:val="clear" w:color="auto" w:fill="FFFFFF"/>
              </w:rPr>
            </w:pPr>
            <w:r w:rsidRPr="00A92EC7">
              <w:rPr>
                <w:rFonts w:ascii="Times New Roman" w:hAnsi="Times New Roman"/>
                <w:b/>
                <w:i/>
                <w:sz w:val="24"/>
                <w:szCs w:val="24"/>
                <w:u w:val="single"/>
                <w:shd w:val="clear" w:color="auto" w:fill="FFFFFF"/>
              </w:rPr>
              <w:t>Vienam finansējuma saņēmējam un tā saistītajiem uzņēmumiem maksimāli pieejamais KF finansējuma apmērs</w:t>
            </w:r>
          </w:p>
          <w:p w14:paraId="0386B2B8" w14:textId="4DC94E68" w:rsidR="00E426F5" w:rsidRDefault="0065076F" w:rsidP="00E426F5">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 xml:space="preserve">MK noteikumi Nr.38 esošajā redakcijā paredz, ka specifiskā atbalsta ietvaros vienam finansējuma saņēmējam un tā saistītajiem uzņēmumiem maksimāli pieejamais KF finansējuma apmērs ir 1 000 000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Minētais </w:t>
            </w:r>
            <w:r w:rsidR="000C409B">
              <w:rPr>
                <w:rFonts w:ascii="Times New Roman" w:hAnsi="Times New Roman"/>
                <w:sz w:val="24"/>
                <w:szCs w:val="24"/>
              </w:rPr>
              <w:t>nosacījums</w:t>
            </w:r>
            <w:r w:rsidR="000C409B" w:rsidRPr="00A92EC7">
              <w:rPr>
                <w:rFonts w:ascii="Times New Roman" w:hAnsi="Times New Roman"/>
                <w:sz w:val="24"/>
                <w:szCs w:val="24"/>
              </w:rPr>
              <w:t xml:space="preserve"> </w:t>
            </w:r>
            <w:r w:rsidRPr="00A92EC7">
              <w:rPr>
                <w:rFonts w:ascii="Times New Roman" w:hAnsi="Times New Roman"/>
                <w:sz w:val="24"/>
                <w:szCs w:val="24"/>
              </w:rPr>
              <w:t xml:space="preserve">ir radījis ierobežojumu ne tikai uz konkrēto atlases kārtu, bet uz visu specifisko atbalsta mērķi. Lai </w:t>
            </w:r>
            <w:r w:rsidRPr="00A92EC7">
              <w:rPr>
                <w:rFonts w:ascii="Times New Roman" w:hAnsi="Times New Roman"/>
                <w:sz w:val="24"/>
                <w:szCs w:val="24"/>
              </w:rPr>
              <w:lastRenderedPageBreak/>
              <w:t xml:space="preserve">veicinātu KF </w:t>
            </w:r>
            <w:r w:rsidRPr="004021C2">
              <w:rPr>
                <w:rFonts w:ascii="Times New Roman" w:hAnsi="Times New Roman"/>
                <w:sz w:val="24"/>
                <w:szCs w:val="24"/>
                <w:shd w:val="clear" w:color="auto" w:fill="FFFFFF"/>
              </w:rPr>
              <w:t>investēšanu</w:t>
            </w:r>
            <w:r w:rsidRPr="00A92EC7">
              <w:rPr>
                <w:rFonts w:ascii="Times New Roman" w:hAnsi="Times New Roman"/>
                <w:sz w:val="24"/>
                <w:szCs w:val="24"/>
              </w:rPr>
              <w:t xml:space="preserve">, noteikumu projekts paredz precizēt minēto ierobežojumu, nosakot to uz otro atlases kārtu, nevis uz visu specifisko atbalsta mērķi. Ņemot vērā, ka tiek plānota SAM 4.1.1. trešā projektu iesniegumu atlases kārta, minētā ierobežojuma precizēšana dos iespēju pretendēt uz atbalstu un saņemt to SAM 4.1.1. trešās atlases kārtas ietvaros arī tiem finansējuma saņēmējiem, kas veiksmīgi ieviesuši projektus pirmās un otrās atlases kārtas ietvaros. </w:t>
            </w:r>
          </w:p>
          <w:p w14:paraId="3ED1C073" w14:textId="0FD0DF5C" w:rsidR="00E426F5" w:rsidRDefault="00E426F5" w:rsidP="00E426F5">
            <w:pPr>
              <w:spacing w:after="0" w:line="240" w:lineRule="auto"/>
              <w:ind w:right="130" w:firstLine="170"/>
              <w:contextualSpacing/>
              <w:jc w:val="both"/>
              <w:rPr>
                <w:rFonts w:ascii="Times New Roman" w:hAnsi="Times New Roman"/>
                <w:sz w:val="24"/>
                <w:szCs w:val="24"/>
              </w:rPr>
            </w:pPr>
          </w:p>
          <w:p w14:paraId="33C51CEF" w14:textId="14A3EFFC" w:rsidR="00E426F5" w:rsidRDefault="00E426F5" w:rsidP="00E426F5">
            <w:pPr>
              <w:spacing w:after="0" w:line="240" w:lineRule="auto"/>
              <w:ind w:left="37"/>
              <w:contextualSpacing/>
              <w:jc w:val="both"/>
              <w:rPr>
                <w:rFonts w:ascii="Times New Roman" w:hAnsi="Times New Roman"/>
                <w:b/>
                <w:i/>
                <w:sz w:val="24"/>
                <w:szCs w:val="24"/>
                <w:u w:val="single"/>
                <w:shd w:val="clear" w:color="auto" w:fill="FFFFFF"/>
              </w:rPr>
            </w:pPr>
            <w:r w:rsidRPr="004E1208">
              <w:rPr>
                <w:rFonts w:ascii="Times New Roman" w:hAnsi="Times New Roman"/>
                <w:b/>
                <w:i/>
                <w:sz w:val="24"/>
                <w:szCs w:val="24"/>
                <w:u w:val="single"/>
                <w:shd w:val="clear" w:color="auto" w:fill="FFFFFF"/>
              </w:rPr>
              <w:t xml:space="preserve">Pārskata par enerģijas patēriņu rūpnieciskās ražošanas ēkā vai konkrētajā ražošanas procesā vai ražošanas tehnoloģisko procesu nodrošinošajā </w:t>
            </w:r>
            <w:proofErr w:type="spellStart"/>
            <w:r w:rsidRPr="004E1208">
              <w:rPr>
                <w:rFonts w:ascii="Times New Roman" w:hAnsi="Times New Roman"/>
                <w:b/>
                <w:i/>
                <w:sz w:val="24"/>
                <w:szCs w:val="24"/>
                <w:u w:val="single"/>
                <w:shd w:val="clear" w:color="auto" w:fill="FFFFFF"/>
              </w:rPr>
              <w:t>blakusprocesā</w:t>
            </w:r>
            <w:proofErr w:type="spellEnd"/>
            <w:r w:rsidRPr="004E1208">
              <w:rPr>
                <w:rFonts w:ascii="Times New Roman" w:hAnsi="Times New Roman"/>
                <w:b/>
                <w:i/>
                <w:sz w:val="24"/>
                <w:szCs w:val="24"/>
                <w:u w:val="single"/>
                <w:shd w:val="clear" w:color="auto" w:fill="FFFFFF"/>
              </w:rPr>
              <w:t xml:space="preserve"> iesniegšana</w:t>
            </w:r>
          </w:p>
          <w:p w14:paraId="44AFE73B" w14:textId="300F0CF4" w:rsidR="00E426F5" w:rsidRPr="004E1208" w:rsidRDefault="00E426F5">
            <w:pPr>
              <w:spacing w:after="0" w:line="240" w:lineRule="auto"/>
              <w:ind w:right="130" w:firstLine="170"/>
              <w:contextualSpacing/>
              <w:jc w:val="both"/>
              <w:rPr>
                <w:rFonts w:ascii="Times New Roman" w:hAnsi="Times New Roman"/>
                <w:bCs/>
                <w:iCs/>
                <w:sz w:val="24"/>
                <w:szCs w:val="24"/>
                <w:shd w:val="clear" w:color="auto" w:fill="FFFFFF"/>
              </w:rPr>
            </w:pPr>
            <w:r>
              <w:rPr>
                <w:rFonts w:ascii="Times New Roman" w:hAnsi="Times New Roman"/>
                <w:bCs/>
                <w:iCs/>
                <w:sz w:val="24"/>
                <w:szCs w:val="24"/>
                <w:shd w:val="clear" w:color="auto" w:fill="FFFFFF"/>
              </w:rPr>
              <w:t xml:space="preserve">MK </w:t>
            </w:r>
            <w:r w:rsidRPr="004E1208">
              <w:rPr>
                <w:rFonts w:ascii="Times New Roman" w:hAnsi="Times New Roman"/>
                <w:sz w:val="24"/>
                <w:szCs w:val="24"/>
                <w:shd w:val="clear" w:color="auto" w:fill="FFFFFF"/>
              </w:rPr>
              <w:t xml:space="preserve">noteikumi Nr.38 esošajā redakcijā </w:t>
            </w:r>
            <w:r w:rsidR="004F3851" w:rsidRPr="004E1208">
              <w:rPr>
                <w:rFonts w:ascii="Times New Roman" w:hAnsi="Times New Roman"/>
                <w:sz w:val="24"/>
                <w:szCs w:val="24"/>
                <w:shd w:val="clear" w:color="auto" w:fill="FFFFFF"/>
              </w:rPr>
              <w:t xml:space="preserve">nosaka, ka piecus gadus pēc noslēguma maksājuma veikšanas ik gadu līdz 31. janvārim sadarbības iestādē tiek iesniegts pārskats par enerģijas patēriņu rūpnieciskās ražošanas ēkā vai konkrētajā ražošanas procesā vai ražošanas tehnoloģisko procesu nodrošinošajā </w:t>
            </w:r>
            <w:proofErr w:type="spellStart"/>
            <w:r w:rsidR="004F3851" w:rsidRPr="004E1208">
              <w:rPr>
                <w:rFonts w:ascii="Times New Roman" w:hAnsi="Times New Roman"/>
                <w:sz w:val="24"/>
                <w:szCs w:val="24"/>
                <w:shd w:val="clear" w:color="auto" w:fill="FFFFFF"/>
              </w:rPr>
              <w:t>blakusprocesā</w:t>
            </w:r>
            <w:proofErr w:type="spellEnd"/>
            <w:r w:rsidR="004F3851" w:rsidRPr="004E1208">
              <w:rPr>
                <w:rFonts w:ascii="Times New Roman" w:hAnsi="Times New Roman"/>
                <w:sz w:val="24"/>
                <w:szCs w:val="24"/>
                <w:shd w:val="clear" w:color="auto" w:fill="FFFFFF"/>
              </w:rPr>
              <w:t xml:space="preserve"> par pārskata gadu.</w:t>
            </w:r>
            <w:r w:rsidR="004F3851">
              <w:rPr>
                <w:rFonts w:ascii="Times New Roman" w:hAnsi="Times New Roman"/>
                <w:sz w:val="24"/>
                <w:szCs w:val="24"/>
                <w:shd w:val="clear" w:color="auto" w:fill="FFFFFF"/>
              </w:rPr>
              <w:t xml:space="preserve"> </w:t>
            </w:r>
            <w:r w:rsidR="004F3851" w:rsidRPr="004F3851">
              <w:rPr>
                <w:rFonts w:ascii="Times New Roman" w:hAnsi="Times New Roman"/>
                <w:sz w:val="24"/>
                <w:szCs w:val="24"/>
                <w:shd w:val="clear" w:color="auto" w:fill="FFFFFF"/>
              </w:rPr>
              <w:t xml:space="preserve">Ņemot vērā, ka </w:t>
            </w:r>
            <w:r w:rsidR="004F3851">
              <w:rPr>
                <w:rFonts w:ascii="Times New Roman" w:hAnsi="Times New Roman"/>
                <w:sz w:val="24"/>
                <w:szCs w:val="24"/>
                <w:shd w:val="clear" w:color="auto" w:fill="FFFFFF"/>
              </w:rPr>
              <w:t>SAM 4.1.1.</w:t>
            </w:r>
            <w:r w:rsidR="004F3851" w:rsidRPr="004F3851">
              <w:rPr>
                <w:rFonts w:ascii="Times New Roman" w:hAnsi="Times New Roman"/>
                <w:sz w:val="24"/>
                <w:szCs w:val="24"/>
                <w:shd w:val="clear" w:color="auto" w:fill="FFFFFF"/>
              </w:rPr>
              <w:t xml:space="preserve"> ir ar tiešu energoefektivitātes ietekmi, tad atbilstoši normatīvajiem aktiem par energoefektivitātes monitoringu, šīs informācijas apkopošana jānodrošina atbildīgajām iestādēm. </w:t>
            </w:r>
            <w:r w:rsidR="004F3851">
              <w:rPr>
                <w:rFonts w:ascii="Times New Roman" w:hAnsi="Times New Roman"/>
                <w:sz w:val="24"/>
                <w:szCs w:val="24"/>
                <w:shd w:val="clear" w:color="auto" w:fill="FFFFFF"/>
              </w:rPr>
              <w:t xml:space="preserve">Ministru kabineta </w:t>
            </w:r>
            <w:r w:rsidR="004F3851" w:rsidRPr="004F3851">
              <w:rPr>
                <w:rFonts w:ascii="Times New Roman" w:hAnsi="Times New Roman"/>
                <w:sz w:val="24"/>
                <w:szCs w:val="24"/>
                <w:shd w:val="clear" w:color="auto" w:fill="FFFFFF"/>
              </w:rPr>
              <w:t xml:space="preserve">2016. gada 11. oktobra noteikumu Nr.668 “Energoefektivitātes monitoringa un piemērojamā </w:t>
            </w:r>
            <w:proofErr w:type="spellStart"/>
            <w:r w:rsidR="004F3851" w:rsidRPr="004F3851">
              <w:rPr>
                <w:rFonts w:ascii="Times New Roman" w:hAnsi="Times New Roman"/>
                <w:sz w:val="24"/>
                <w:szCs w:val="24"/>
                <w:shd w:val="clear" w:color="auto" w:fill="FFFFFF"/>
              </w:rPr>
              <w:t>energopārvaldības</w:t>
            </w:r>
            <w:proofErr w:type="spellEnd"/>
            <w:r w:rsidR="004F3851" w:rsidRPr="004F3851">
              <w:rPr>
                <w:rFonts w:ascii="Times New Roman" w:hAnsi="Times New Roman"/>
                <w:sz w:val="24"/>
                <w:szCs w:val="24"/>
                <w:shd w:val="clear" w:color="auto" w:fill="FFFFFF"/>
              </w:rPr>
              <w:t xml:space="preserve"> sistēmas standarta noteikumi” </w:t>
            </w:r>
            <w:r w:rsidR="004F3851">
              <w:rPr>
                <w:rFonts w:ascii="Times New Roman" w:hAnsi="Times New Roman"/>
                <w:sz w:val="24"/>
                <w:szCs w:val="24"/>
                <w:shd w:val="clear" w:color="auto" w:fill="FFFFFF"/>
              </w:rPr>
              <w:t>(turpmāk – MK noteikumi Nr.668)</w:t>
            </w:r>
            <w:r w:rsidR="004F3851" w:rsidRPr="004F3851">
              <w:rPr>
                <w:rFonts w:ascii="Times New Roman" w:hAnsi="Times New Roman"/>
                <w:sz w:val="24"/>
                <w:szCs w:val="24"/>
                <w:shd w:val="clear" w:color="auto" w:fill="FFFFFF"/>
              </w:rPr>
              <w:t xml:space="preserve"> 10. punkts  nosaka iestādes, kas iesniedz pārskatu</w:t>
            </w:r>
            <w:r w:rsidR="004F3851">
              <w:rPr>
                <w:rFonts w:ascii="Times New Roman" w:hAnsi="Times New Roman"/>
                <w:sz w:val="24"/>
                <w:szCs w:val="24"/>
                <w:shd w:val="clear" w:color="auto" w:fill="FFFFFF"/>
              </w:rPr>
              <w:t xml:space="preserve">. SAM 4.1.1. gadījumā, atbilstoši MK noteikumu Nr.668 </w:t>
            </w:r>
            <w:r w:rsidR="004F3851" w:rsidRPr="004F3851">
              <w:rPr>
                <w:rFonts w:ascii="Times New Roman" w:hAnsi="Times New Roman"/>
                <w:sz w:val="24"/>
                <w:szCs w:val="24"/>
                <w:shd w:val="clear" w:color="auto" w:fill="FFFFFF"/>
              </w:rPr>
              <w:t xml:space="preserve"> 10.3. apakšpunkt</w:t>
            </w:r>
            <w:r w:rsidR="004F3851">
              <w:rPr>
                <w:rFonts w:ascii="Times New Roman" w:hAnsi="Times New Roman"/>
                <w:sz w:val="24"/>
                <w:szCs w:val="24"/>
                <w:shd w:val="clear" w:color="auto" w:fill="FFFFFF"/>
              </w:rPr>
              <w:t xml:space="preserve">ā noteiktajam,  pienākums ir atbildīgajai iestādei. </w:t>
            </w:r>
          </w:p>
          <w:p w14:paraId="48E1115B" w14:textId="77777777" w:rsidR="00A37C50" w:rsidRPr="00A92EC7" w:rsidRDefault="00A37C50" w:rsidP="00633295">
            <w:pPr>
              <w:spacing w:after="0" w:line="240" w:lineRule="auto"/>
              <w:ind w:left="37" w:right="130"/>
              <w:contextualSpacing/>
              <w:jc w:val="both"/>
              <w:rPr>
                <w:rFonts w:ascii="Times New Roman" w:hAnsi="Times New Roman"/>
                <w:sz w:val="24"/>
                <w:szCs w:val="24"/>
              </w:rPr>
            </w:pPr>
          </w:p>
          <w:p w14:paraId="6A5712CF" w14:textId="1F97F9B5" w:rsidR="0065076F" w:rsidRPr="00A92EC7" w:rsidRDefault="0065076F" w:rsidP="00633295">
            <w:pPr>
              <w:spacing w:after="0" w:line="240" w:lineRule="auto"/>
              <w:ind w:left="37"/>
              <w:contextualSpacing/>
              <w:jc w:val="both"/>
              <w:rPr>
                <w:rFonts w:ascii="Times New Roman" w:hAnsi="Times New Roman"/>
                <w:b/>
                <w:i/>
                <w:sz w:val="24"/>
                <w:szCs w:val="24"/>
                <w:u w:val="single"/>
                <w:shd w:val="clear" w:color="auto" w:fill="FFFFFF"/>
              </w:rPr>
            </w:pPr>
            <w:r w:rsidRPr="00A92EC7">
              <w:rPr>
                <w:rFonts w:ascii="Times New Roman" w:hAnsi="Times New Roman"/>
                <w:b/>
                <w:i/>
                <w:sz w:val="24"/>
                <w:szCs w:val="24"/>
                <w:u w:val="single"/>
                <w:shd w:val="clear" w:color="auto" w:fill="FFFFFF"/>
              </w:rPr>
              <w:t>Par atbalsta piešķiršanas brīdi</w:t>
            </w:r>
          </w:p>
          <w:p w14:paraId="59EF72FF" w14:textId="752DD62F"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hAnsi="Times New Roman"/>
                <w:sz w:val="24"/>
                <w:szCs w:val="24"/>
                <w:shd w:val="clear" w:color="auto" w:fill="FFFFFF"/>
              </w:rPr>
              <w:t xml:space="preserve">MK noteikumi Nr.38 esošajā redakcijā nenosaka atbalsta piešķiršanas brīdi projektu iesniedzējiem, kam atbalsts tiek sniegts saskaņā ar Eiropas Komisijas 2014.gada 17.jūnija Regulu (ES) Nr.651/2014, ar ko noteiktas atbalsta kategorijas atzīst par saderīgām ar iekšējo tirgu, piemērojot Līguma 107. un 108.pantu (turpmāk – Komisijas regula Nr.651/2014) un ar Eiropas Komisijas 2013.gada 18.decembra Regulu (ES) Nr.1407/2013 par Līguma par Eiropas Savienības </w:t>
            </w:r>
            <w:r w:rsidRPr="004021C2">
              <w:rPr>
                <w:rFonts w:ascii="Times New Roman" w:eastAsia="Times New Roman" w:hAnsi="Times New Roman"/>
                <w:iCs/>
                <w:sz w:val="24"/>
                <w:szCs w:val="24"/>
                <w:lang w:eastAsia="lv-LV"/>
              </w:rPr>
              <w:t xml:space="preserve">darbību 107. un 108.panta piemērošanu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atbalstam (turpmāk – Komisijas regula Nr.1407/2013). Atbalsta piešķiršanas brīža identificēšana ir būtisks priekšnosacījums korektai interpretācijai par datumu, kurā komercdarbības atbalsts ir ticis piešķirts tā saņēmējam.</w:t>
            </w:r>
          </w:p>
          <w:p w14:paraId="55A2063D" w14:textId="6E21AD59"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 xml:space="preserve">Komisijas regulas Nr.651/2014 2.panta </w:t>
            </w:r>
            <w:r w:rsidR="00C006DD" w:rsidRPr="004021C2">
              <w:rPr>
                <w:rFonts w:ascii="Times New Roman" w:eastAsia="Times New Roman" w:hAnsi="Times New Roman"/>
                <w:iCs/>
                <w:sz w:val="24"/>
                <w:szCs w:val="24"/>
                <w:lang w:eastAsia="lv-LV"/>
              </w:rPr>
              <w:t>28.</w:t>
            </w:r>
            <w:r w:rsidRPr="004021C2">
              <w:rPr>
                <w:rFonts w:ascii="Times New Roman" w:eastAsia="Times New Roman" w:hAnsi="Times New Roman"/>
                <w:iCs/>
                <w:sz w:val="24"/>
                <w:szCs w:val="24"/>
                <w:lang w:eastAsia="lv-LV"/>
              </w:rPr>
              <w:t xml:space="preserve">punktā definēta atbalsta piešķiršanas diena, kas ir diena, kad saņēmējam saskaņā ar piemērojamo valsts tiesisko regulējumu ir nodotas likumīgās tiesības saņemt atbalstu. Savukārt Komisijas regulas Nr.1407/2013 3.panta </w:t>
            </w:r>
            <w:r w:rsidR="00484CA0" w:rsidRPr="004021C2">
              <w:rPr>
                <w:rFonts w:ascii="Times New Roman" w:eastAsia="Times New Roman" w:hAnsi="Times New Roman"/>
                <w:iCs/>
                <w:sz w:val="24"/>
                <w:szCs w:val="24"/>
                <w:lang w:eastAsia="lv-LV"/>
              </w:rPr>
              <w:t>4.</w:t>
            </w:r>
            <w:r w:rsidRPr="004021C2">
              <w:rPr>
                <w:rFonts w:ascii="Times New Roman" w:eastAsia="Times New Roman" w:hAnsi="Times New Roman"/>
                <w:iCs/>
                <w:sz w:val="24"/>
                <w:szCs w:val="24"/>
                <w:lang w:eastAsia="lv-LV"/>
              </w:rPr>
              <w:t xml:space="preserve">punktā norādīts, ka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atbalstu uzskata par piešķirtu brīdī, kad uzņēmumam saskaņā ar piemērojamo valsts tiesisko regulējumu ir piešķirtas likumīgās tiesības saņemt atbalstu, neatkarīgi no datuma, kurā </w:t>
            </w:r>
            <w:proofErr w:type="spellStart"/>
            <w:r w:rsidRPr="004021C2">
              <w:rPr>
                <w:rFonts w:ascii="Times New Roman" w:eastAsia="Times New Roman" w:hAnsi="Times New Roman"/>
                <w:iCs/>
                <w:sz w:val="24"/>
                <w:szCs w:val="24"/>
                <w:lang w:eastAsia="lv-LV"/>
              </w:rPr>
              <w:t>de</w:t>
            </w:r>
            <w:proofErr w:type="spellEnd"/>
            <w:r w:rsidRPr="004021C2">
              <w:rPr>
                <w:rFonts w:ascii="Times New Roman" w:eastAsia="Times New Roman" w:hAnsi="Times New Roman"/>
                <w:iCs/>
                <w:sz w:val="24"/>
                <w:szCs w:val="24"/>
                <w:lang w:eastAsia="lv-LV"/>
              </w:rPr>
              <w:t xml:space="preserve"> </w:t>
            </w:r>
            <w:proofErr w:type="spellStart"/>
            <w:r w:rsidRPr="004021C2">
              <w:rPr>
                <w:rFonts w:ascii="Times New Roman" w:eastAsia="Times New Roman" w:hAnsi="Times New Roman"/>
                <w:iCs/>
                <w:sz w:val="24"/>
                <w:szCs w:val="24"/>
                <w:lang w:eastAsia="lv-LV"/>
              </w:rPr>
              <w:t>minimis</w:t>
            </w:r>
            <w:proofErr w:type="spellEnd"/>
            <w:r w:rsidRPr="004021C2">
              <w:rPr>
                <w:rFonts w:ascii="Times New Roman" w:eastAsia="Times New Roman" w:hAnsi="Times New Roman"/>
                <w:iCs/>
                <w:sz w:val="24"/>
                <w:szCs w:val="24"/>
                <w:lang w:eastAsia="lv-LV"/>
              </w:rPr>
              <w:t xml:space="preserve"> atbalsts uzņēmumam izmaksāts.</w:t>
            </w:r>
          </w:p>
          <w:p w14:paraId="7ED804DB" w14:textId="6A4ABB75" w:rsidR="0065076F"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 xml:space="preserve">Ņemot vērā minēto, atbalsta piešķiršanas diena SAM 4.1.1 pirmās kārtas ietvaros ir diena, kad Centrālā finanšu un līgumu aģentūra ir pieņēmusi lēmumu par projekta iesnieguma apstiprināšanu vai, ja </w:t>
            </w:r>
            <w:r w:rsidRPr="004021C2">
              <w:rPr>
                <w:rFonts w:ascii="Times New Roman" w:eastAsia="Times New Roman" w:hAnsi="Times New Roman"/>
                <w:iCs/>
                <w:sz w:val="24"/>
                <w:szCs w:val="24"/>
                <w:lang w:eastAsia="lv-LV"/>
              </w:rPr>
              <w:lastRenderedPageBreak/>
              <w:t>sākotnēji pieņemts lēmums par projekta iesnieguma apstiprināšanu ar nosacījumu, tad atbalsta piešķiršanas diena ir diena, kad Centrālā finanšu un līgumu aģentūra izdevusi atzinumu par lēmumā noteikto nosacījumu izpildi, jeb tas ir brīdis, kad projekta iesniegums tiek apstiprināts un atbalsta saņēmējam ir piešķirtas tiesības saņemt atbalstu.</w:t>
            </w:r>
          </w:p>
          <w:p w14:paraId="50067469" w14:textId="22ACB21E" w:rsidR="00366AEA" w:rsidRDefault="00366AEA" w:rsidP="004021C2">
            <w:pPr>
              <w:spacing w:after="0" w:line="240" w:lineRule="auto"/>
              <w:ind w:right="130" w:firstLine="170"/>
              <w:contextualSpacing/>
              <w:jc w:val="both"/>
              <w:rPr>
                <w:rFonts w:ascii="Times New Roman" w:eastAsia="Times New Roman" w:hAnsi="Times New Roman"/>
                <w:iCs/>
                <w:sz w:val="24"/>
                <w:szCs w:val="24"/>
                <w:lang w:eastAsia="lv-LV"/>
              </w:rPr>
            </w:pPr>
          </w:p>
          <w:p w14:paraId="08E43138" w14:textId="77777777" w:rsidR="00366AEA" w:rsidRDefault="00366AEA" w:rsidP="00366AEA">
            <w:pPr>
              <w:spacing w:after="0" w:line="240" w:lineRule="auto"/>
              <w:ind w:left="142" w:right="130" w:firstLine="269"/>
              <w:contextualSpacing/>
              <w:jc w:val="both"/>
              <w:rPr>
                <w:rFonts w:ascii="Times New Roman" w:hAnsi="Times New Roman"/>
                <w:b/>
                <w:bCs/>
                <w:i/>
                <w:iCs/>
                <w:sz w:val="24"/>
                <w:szCs w:val="24"/>
                <w:u w:val="single"/>
                <w:shd w:val="clear" w:color="auto" w:fill="FFFFFF"/>
              </w:rPr>
            </w:pPr>
            <w:r w:rsidRPr="00D06598">
              <w:rPr>
                <w:rFonts w:ascii="Times New Roman" w:hAnsi="Times New Roman"/>
                <w:b/>
                <w:bCs/>
                <w:i/>
                <w:iCs/>
                <w:sz w:val="24"/>
                <w:szCs w:val="24"/>
                <w:u w:val="single"/>
                <w:shd w:val="clear" w:color="auto" w:fill="FFFFFF"/>
              </w:rPr>
              <w:t xml:space="preserve">Par atbalsta atmaksu, ja finansējuma saņēmējs ir pārkāpis Komisijas regulas Nr. 1407/2013 </w:t>
            </w:r>
            <w:r>
              <w:rPr>
                <w:rFonts w:ascii="Times New Roman" w:hAnsi="Times New Roman"/>
                <w:b/>
                <w:bCs/>
                <w:i/>
                <w:iCs/>
                <w:sz w:val="24"/>
                <w:szCs w:val="24"/>
                <w:u w:val="single"/>
                <w:shd w:val="clear" w:color="auto" w:fill="FFFFFF"/>
              </w:rPr>
              <w:t>un</w:t>
            </w:r>
            <w:r w:rsidRPr="00D06598">
              <w:rPr>
                <w:rFonts w:ascii="Times New Roman" w:hAnsi="Times New Roman"/>
                <w:b/>
                <w:bCs/>
                <w:i/>
                <w:iCs/>
                <w:sz w:val="24"/>
                <w:szCs w:val="24"/>
                <w:u w:val="single"/>
                <w:shd w:val="clear" w:color="auto" w:fill="FFFFFF"/>
              </w:rPr>
              <w:t xml:space="preserve"> (</w:t>
            </w:r>
            <w:r>
              <w:rPr>
                <w:rFonts w:ascii="Times New Roman" w:hAnsi="Times New Roman"/>
                <w:b/>
                <w:bCs/>
                <w:i/>
                <w:iCs/>
                <w:sz w:val="24"/>
                <w:szCs w:val="24"/>
                <w:u w:val="single"/>
                <w:shd w:val="clear" w:color="auto" w:fill="FFFFFF"/>
              </w:rPr>
              <w:t>vai</w:t>
            </w:r>
            <w:r w:rsidRPr="00D06598">
              <w:rPr>
                <w:rFonts w:ascii="Times New Roman" w:hAnsi="Times New Roman"/>
                <w:b/>
                <w:bCs/>
                <w:i/>
                <w:iCs/>
                <w:sz w:val="24"/>
                <w:szCs w:val="24"/>
                <w:u w:val="single"/>
                <w:shd w:val="clear" w:color="auto" w:fill="FFFFFF"/>
              </w:rPr>
              <w:t>) Komisijas regulas Nr.651/2014 prasības</w:t>
            </w:r>
          </w:p>
          <w:p w14:paraId="0E2BD899" w14:textId="77777777" w:rsidR="00525055" w:rsidRDefault="00525055" w:rsidP="00525055">
            <w:pPr>
              <w:spacing w:after="0" w:line="240" w:lineRule="auto"/>
              <w:ind w:left="142" w:right="130" w:firstLine="269"/>
              <w:contextualSpacing/>
              <w:jc w:val="both"/>
              <w:rPr>
                <w:rFonts w:ascii="Times New Roman" w:eastAsia="Times New Roman" w:hAnsi="Times New Roman"/>
                <w:sz w:val="24"/>
                <w:szCs w:val="24"/>
              </w:rPr>
            </w:pPr>
            <w:r w:rsidRPr="00D06598">
              <w:rPr>
                <w:rFonts w:ascii="Times New Roman" w:hAnsi="Times New Roman"/>
                <w:sz w:val="24"/>
                <w:szCs w:val="24"/>
                <w:shd w:val="clear" w:color="auto" w:fill="FFFFFF"/>
              </w:rPr>
              <w:t xml:space="preserve">Ievērojot to, ka komercdarbības atbalsts SAM 4.1.1. pirmās atlases kārts ietvaros tiek sniegts saskaņā ar Komisijas regulu Nr.651/2014 un  Komisijas regulu Nr.1407/2013, un ņemot vērā aktuālāko Eiropas Savienības tiesas judikatūru (sk. Eiropas Savienības Tiesas 2019.gada 5.marta spriedumu lietā Nr.C-349/17 (ECLI:EU:C:2019:172)), noteikumu projekts papildināts ar punktu, kas </w:t>
            </w:r>
            <w:r>
              <w:rPr>
                <w:rFonts w:ascii="Times New Roman" w:hAnsi="Times New Roman"/>
                <w:sz w:val="24"/>
                <w:szCs w:val="24"/>
                <w:shd w:val="clear" w:color="auto" w:fill="FFFFFF"/>
              </w:rPr>
              <w:t>nosaka, ka finansējuma saņēmējam</w:t>
            </w:r>
            <w:r w:rsidRPr="004067BE">
              <w:rPr>
                <w:rFonts w:ascii="Times New Roman" w:eastAsia="Times New Roman" w:hAnsi="Times New Roman"/>
                <w:sz w:val="24"/>
                <w:szCs w:val="24"/>
              </w:rPr>
              <w:t xml:space="preserve">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w:t>
            </w:r>
            <w:r>
              <w:rPr>
                <w:rFonts w:ascii="Times New Roman" w:eastAsia="Times New Roman" w:hAnsi="Times New Roman"/>
                <w:sz w:val="24"/>
                <w:szCs w:val="24"/>
              </w:rPr>
              <w:t xml:space="preserve"> (turpmāk – Komisijas regula Nr.794/2004)</w:t>
            </w:r>
            <w:r w:rsidRPr="004067BE">
              <w:rPr>
                <w:rFonts w:ascii="Times New Roman" w:eastAsia="Times New Roman" w:hAnsi="Times New Roman"/>
                <w:sz w:val="24"/>
                <w:szCs w:val="24"/>
              </w:rPr>
              <w:t xml:space="preserve">, 10. pantu, tiem pieskaitot 100 bāzes punktus, no dienas, kad valsts atbalsts tika izmaksāts finansējuma saņēmējam līdz tā atgūšanas dienai, ievērojot </w:t>
            </w:r>
            <w:r>
              <w:rPr>
                <w:rFonts w:ascii="Times New Roman" w:eastAsia="Times New Roman" w:hAnsi="Times New Roman"/>
                <w:sz w:val="24"/>
                <w:szCs w:val="24"/>
              </w:rPr>
              <w:t>Komisijas regulas Nr</w:t>
            </w:r>
            <w:r w:rsidRPr="004067BE">
              <w:rPr>
                <w:rFonts w:ascii="Times New Roman" w:eastAsia="Times New Roman" w:hAnsi="Times New Roman"/>
                <w:sz w:val="24"/>
                <w:szCs w:val="24"/>
              </w:rPr>
              <w:t>. 794/2004 11. pantā noteikto procentu likmes piemērošanas metodi.</w:t>
            </w:r>
          </w:p>
          <w:p w14:paraId="5639F7CC" w14:textId="77777777" w:rsidR="00366AEA" w:rsidRPr="004021C2" w:rsidRDefault="00366AEA" w:rsidP="004021C2">
            <w:pPr>
              <w:spacing w:after="0" w:line="240" w:lineRule="auto"/>
              <w:ind w:right="130" w:firstLine="170"/>
              <w:contextualSpacing/>
              <w:jc w:val="both"/>
              <w:rPr>
                <w:rFonts w:ascii="Times New Roman" w:eastAsia="Times New Roman" w:hAnsi="Times New Roman"/>
                <w:iCs/>
                <w:sz w:val="24"/>
                <w:szCs w:val="24"/>
                <w:lang w:eastAsia="lv-LV"/>
              </w:rPr>
            </w:pPr>
          </w:p>
          <w:p w14:paraId="22056B40" w14:textId="77777777" w:rsidR="00C10226" w:rsidRPr="004021C2" w:rsidRDefault="00C10226" w:rsidP="004021C2">
            <w:pPr>
              <w:spacing w:after="0" w:line="240" w:lineRule="auto"/>
              <w:ind w:right="130" w:firstLine="170"/>
              <w:contextualSpacing/>
              <w:jc w:val="both"/>
              <w:rPr>
                <w:rFonts w:ascii="Times New Roman" w:eastAsia="Times New Roman" w:hAnsi="Times New Roman"/>
                <w:iCs/>
                <w:sz w:val="24"/>
                <w:szCs w:val="24"/>
                <w:lang w:eastAsia="lv-LV"/>
              </w:rPr>
            </w:pPr>
          </w:p>
          <w:p w14:paraId="1DF29B03" w14:textId="77777777" w:rsidR="00CA407D" w:rsidRPr="008D6DF4" w:rsidRDefault="0065076F" w:rsidP="00CA407D">
            <w:pPr>
              <w:spacing w:after="0" w:line="240" w:lineRule="auto"/>
              <w:ind w:left="142" w:right="130" w:firstLine="269"/>
              <w:contextualSpacing/>
              <w:jc w:val="both"/>
              <w:rPr>
                <w:rFonts w:ascii="Times New Roman" w:hAnsi="Times New Roman"/>
                <w:sz w:val="24"/>
                <w:szCs w:val="24"/>
              </w:rPr>
            </w:pPr>
            <w:r w:rsidRPr="004021C2">
              <w:rPr>
                <w:rFonts w:ascii="Times New Roman" w:eastAsia="Times New Roman" w:hAnsi="Times New Roman"/>
                <w:iCs/>
                <w:sz w:val="24"/>
                <w:szCs w:val="24"/>
                <w:lang w:eastAsia="lv-LV"/>
              </w:rPr>
              <w:t xml:space="preserve">Papildus </w:t>
            </w:r>
            <w:r w:rsidR="002C7A6B" w:rsidRPr="004021C2">
              <w:rPr>
                <w:rFonts w:ascii="Times New Roman" w:eastAsia="Times New Roman" w:hAnsi="Times New Roman"/>
                <w:iCs/>
                <w:sz w:val="24"/>
                <w:szCs w:val="24"/>
                <w:lang w:eastAsia="lv-LV"/>
              </w:rPr>
              <w:t>N</w:t>
            </w:r>
            <w:r w:rsidRPr="004021C2">
              <w:rPr>
                <w:rFonts w:ascii="Times New Roman" w:eastAsia="Times New Roman" w:hAnsi="Times New Roman"/>
                <w:iCs/>
                <w:sz w:val="24"/>
                <w:szCs w:val="24"/>
                <w:lang w:eastAsia="lv-LV"/>
              </w:rPr>
              <w:t>oteikumu projekts paredz tehniski precizēt MK noteikumu 3.pielikumu “Pārskats par enerģijas patēriņu pēc energoefektivitātes pasākumu veikšanas ražošanas ēkā vai konkrētajā ražošanas</w:t>
            </w:r>
            <w:r w:rsidRPr="00A92EC7">
              <w:rPr>
                <w:rFonts w:ascii="Times New Roman" w:hAnsi="Times New Roman"/>
                <w:sz w:val="24"/>
                <w:szCs w:val="24"/>
              </w:rPr>
              <w:t xml:space="preserve"> procesā”, jo tika konstatēts, ka esošā pārskata forma ir pārāk komplicēta un prasa sniegt informāciju, kas nav nepieciešama, lai novērtētu projekta rādītāju sasniegšanu. </w:t>
            </w:r>
            <w:r w:rsidR="00CA407D">
              <w:rPr>
                <w:rFonts w:ascii="Times New Roman" w:hAnsi="Times New Roman"/>
                <w:sz w:val="24"/>
                <w:szCs w:val="24"/>
              </w:rPr>
              <w:t xml:space="preserve">Piemēram, 2.2.tabulā “Ražošanas tehnoloģiskās iekārtas” dzēstas kolonnas, kas prasa norādīt enerģijas patēriņu, jo nepieciešamā informācija ir identificējama citās tabulās. Dzēsta 3.1.tabula “Enerģijas patēriņa kopsavilkums”, jo nepieciešamā informācija identificējama citās tabulās. 3.2.- 3.5. sadaļās līdz šim tika prasīts norādīt arī vidējos rādītājus pirms projekta un starpību pēc projekta pa mēnešiem. Tomēr, ņemot vērā, ka projektā rādītāji ir jāsasniedz gadā, nav nepieciešams minēto informāciju norādīt pa mēnešiem, jo tas rada papildus slogu uz atbalsta saņēmējiem. </w:t>
            </w:r>
          </w:p>
          <w:p w14:paraId="4AAF6F4D" w14:textId="1D04116A" w:rsidR="0065076F" w:rsidRPr="00C10226" w:rsidRDefault="0065076F" w:rsidP="004021C2">
            <w:pPr>
              <w:spacing w:after="0" w:line="240" w:lineRule="auto"/>
              <w:ind w:right="130" w:firstLine="170"/>
              <w:contextualSpacing/>
              <w:jc w:val="both"/>
              <w:rPr>
                <w:rFonts w:ascii="Times New Roman" w:hAnsi="Times New Roman"/>
                <w:sz w:val="24"/>
                <w:szCs w:val="24"/>
                <w:shd w:val="clear" w:color="auto" w:fill="FFFFFF"/>
              </w:rPr>
            </w:pPr>
          </w:p>
          <w:p w14:paraId="2B35C26F" w14:textId="52112C71" w:rsidR="0065076F" w:rsidRPr="00A92EC7" w:rsidRDefault="0065076F" w:rsidP="00CA407D">
            <w:pPr>
              <w:spacing w:after="0" w:line="240" w:lineRule="auto"/>
              <w:ind w:left="142" w:right="130" w:firstLine="269"/>
              <w:contextualSpacing/>
              <w:jc w:val="both"/>
              <w:rPr>
                <w:rFonts w:ascii="Times New Roman" w:hAnsi="Times New Roman"/>
                <w:sz w:val="24"/>
                <w:szCs w:val="24"/>
              </w:rPr>
            </w:pPr>
            <w:r w:rsidRPr="00CA407D">
              <w:rPr>
                <w:rFonts w:ascii="Times New Roman" w:eastAsia="Times New Roman" w:hAnsi="Times New Roman"/>
                <w:iCs/>
                <w:sz w:val="24"/>
                <w:szCs w:val="24"/>
                <w:lang w:eastAsia="lv-LV"/>
              </w:rPr>
              <w:t>Noteikumu</w:t>
            </w:r>
            <w:r w:rsidRPr="00A92EC7">
              <w:rPr>
                <w:rFonts w:ascii="Times New Roman" w:hAnsi="Times New Roman"/>
                <w:sz w:val="24"/>
                <w:szCs w:val="24"/>
              </w:rPr>
              <w:t xml:space="preserve"> projektā iekļautās prasības uzskatāmas par finansējuma saņēmējiem labvēlīgākām. </w:t>
            </w:r>
          </w:p>
        </w:tc>
      </w:tr>
      <w:tr w:rsidR="0065076F" w:rsidRPr="00A92EC7" w14:paraId="5FB32C22" w14:textId="77777777" w:rsidTr="005B4F67">
        <w:trPr>
          <w:trHeight w:val="360"/>
        </w:trPr>
        <w:tc>
          <w:tcPr>
            <w:tcW w:w="506" w:type="dxa"/>
          </w:tcPr>
          <w:p w14:paraId="51302BEB" w14:textId="72AF78B2" w:rsidR="0065076F" w:rsidRPr="00A92EC7" w:rsidRDefault="00D604B1" w:rsidP="00871FC0">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372" w:type="dxa"/>
            <w:hideMark/>
          </w:tcPr>
          <w:p w14:paraId="2B67D711" w14:textId="06C0A9A9"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Projekta izstrādē iesaistītās institūcijas un publikas personas kapitālsabiedrības</w:t>
            </w:r>
          </w:p>
        </w:tc>
        <w:tc>
          <w:tcPr>
            <w:tcW w:w="6761" w:type="dxa"/>
            <w:hideMark/>
          </w:tcPr>
          <w:p w14:paraId="49B27EB1" w14:textId="5186F71F"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Ekonomikas ministrija</w:t>
            </w:r>
          </w:p>
        </w:tc>
      </w:tr>
      <w:tr w:rsidR="0065076F" w:rsidRPr="00A92EC7" w14:paraId="51FE2A99" w14:textId="77777777" w:rsidTr="005B4F67">
        <w:trPr>
          <w:trHeight w:val="20"/>
        </w:trPr>
        <w:tc>
          <w:tcPr>
            <w:tcW w:w="506" w:type="dxa"/>
          </w:tcPr>
          <w:p w14:paraId="03B2C17F" w14:textId="2E5077F9" w:rsidR="0065076F" w:rsidRPr="00A92EC7" w:rsidRDefault="008031F4" w:rsidP="00871FC0">
            <w:pPr>
              <w:spacing w:after="0" w:line="240" w:lineRule="auto"/>
              <w:ind w:left="142" w:right="128"/>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tc>
        <w:tc>
          <w:tcPr>
            <w:tcW w:w="2372" w:type="dxa"/>
            <w:hideMark/>
          </w:tcPr>
          <w:p w14:paraId="77B0FA67" w14:textId="28395A6A" w:rsidR="0065076F" w:rsidRPr="00A92EC7" w:rsidRDefault="0065076F" w:rsidP="00633295">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Cita informācija</w:t>
            </w:r>
          </w:p>
        </w:tc>
        <w:tc>
          <w:tcPr>
            <w:tcW w:w="6761" w:type="dxa"/>
            <w:hideMark/>
          </w:tcPr>
          <w:p w14:paraId="5B832A64" w14:textId="779FB927" w:rsidR="0065076F" w:rsidRPr="004021C2" w:rsidRDefault="0065076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Nav</w:t>
            </w:r>
          </w:p>
        </w:tc>
      </w:tr>
    </w:tbl>
    <w:p w14:paraId="73177AAE" w14:textId="12A52963" w:rsidR="00706014" w:rsidRDefault="00706014" w:rsidP="00871FC0">
      <w:pPr>
        <w:spacing w:after="0" w:line="240" w:lineRule="auto"/>
        <w:contextualSpacing/>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0"/>
        <w:gridCol w:w="3651"/>
        <w:gridCol w:w="5638"/>
      </w:tblGrid>
      <w:tr w:rsidR="0058693F" w:rsidRPr="00A92EC7" w14:paraId="60725965" w14:textId="77777777" w:rsidTr="00633295">
        <w:tc>
          <w:tcPr>
            <w:tcW w:w="9639" w:type="dxa"/>
            <w:gridSpan w:val="3"/>
            <w:vAlign w:val="center"/>
            <w:hideMark/>
          </w:tcPr>
          <w:p w14:paraId="12C31110" w14:textId="77777777" w:rsidR="0058693F" w:rsidRPr="00A92EC7" w:rsidRDefault="0058693F" w:rsidP="00B03E47">
            <w:pPr>
              <w:spacing w:after="0" w:line="240" w:lineRule="auto"/>
              <w:contextualSpacing/>
              <w:jc w:val="center"/>
              <w:rPr>
                <w:rFonts w:ascii="Times New Roman" w:eastAsia="Times New Roman" w:hAnsi="Times New Roman"/>
                <w:b/>
                <w:bCs/>
                <w:sz w:val="24"/>
                <w:szCs w:val="24"/>
                <w:lang w:eastAsia="lv-LV"/>
              </w:rPr>
            </w:pPr>
            <w:r w:rsidRPr="00A92EC7">
              <w:rPr>
                <w:rFonts w:ascii="Times New Roman" w:eastAsia="Times New Roman" w:hAnsi="Times New Roman"/>
                <w:b/>
                <w:bCs/>
                <w:sz w:val="24"/>
                <w:szCs w:val="24"/>
                <w:lang w:eastAsia="lv-LV"/>
              </w:rPr>
              <w:t>II. Tiesību akta projekta ietekme uz sabiedrību, tautsaimniecības attīstību un administratīvo slogu</w:t>
            </w:r>
          </w:p>
        </w:tc>
      </w:tr>
      <w:tr w:rsidR="0058693F" w:rsidRPr="00A92EC7" w14:paraId="505DFE35" w14:textId="77777777" w:rsidTr="00633295">
        <w:trPr>
          <w:trHeight w:val="467"/>
        </w:trPr>
        <w:tc>
          <w:tcPr>
            <w:tcW w:w="350" w:type="dxa"/>
            <w:hideMark/>
          </w:tcPr>
          <w:p w14:paraId="1DDC5594"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651" w:type="dxa"/>
            <w:hideMark/>
          </w:tcPr>
          <w:p w14:paraId="28CBD919" w14:textId="77777777" w:rsidR="0058693F" w:rsidRPr="00A92EC7" w:rsidRDefault="0058693F" w:rsidP="00780766">
            <w:pPr>
              <w:spacing w:after="0" w:line="240" w:lineRule="auto"/>
              <w:ind w:right="173"/>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Sabiedrības </w:t>
            </w:r>
            <w:proofErr w:type="spellStart"/>
            <w:r w:rsidRPr="00A92EC7">
              <w:rPr>
                <w:rFonts w:ascii="Times New Roman" w:eastAsia="Times New Roman" w:hAnsi="Times New Roman"/>
                <w:sz w:val="24"/>
                <w:szCs w:val="24"/>
                <w:lang w:eastAsia="lv-LV"/>
              </w:rPr>
              <w:t>mērķgrupas</w:t>
            </w:r>
            <w:proofErr w:type="spellEnd"/>
            <w:r w:rsidRPr="00A92EC7">
              <w:rPr>
                <w:rFonts w:ascii="Times New Roman" w:eastAsia="Times New Roman" w:hAnsi="Times New Roman"/>
                <w:sz w:val="24"/>
                <w:szCs w:val="24"/>
                <w:lang w:eastAsia="lv-LV"/>
              </w:rPr>
              <w:t xml:space="preserve">, kuras tiesiskais </w:t>
            </w:r>
            <w:r w:rsidRPr="00A92EC7">
              <w:rPr>
                <w:rFonts w:ascii="Times New Roman" w:hAnsi="Times New Roman"/>
                <w:sz w:val="24"/>
                <w:szCs w:val="24"/>
              </w:rPr>
              <w:t>regulējums</w:t>
            </w:r>
            <w:r w:rsidRPr="00A92EC7">
              <w:rPr>
                <w:rFonts w:ascii="Times New Roman" w:eastAsia="Times New Roman" w:hAnsi="Times New Roman"/>
                <w:sz w:val="24"/>
                <w:szCs w:val="24"/>
                <w:lang w:eastAsia="lv-LV"/>
              </w:rPr>
              <w:t xml:space="preserve"> ietekmē vai varētu ietekmēt</w:t>
            </w:r>
          </w:p>
        </w:tc>
        <w:tc>
          <w:tcPr>
            <w:tcW w:w="5638" w:type="dxa"/>
          </w:tcPr>
          <w:p w14:paraId="2F544EC1"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SAM 4.1.1. otrās atlases kārtas mērķa grupa ir sīkie (mikro), mazie, vidējie un lielie komersanti, kas veic saimniecisko darbību apstrādes rūpniecības nozarēs.</w:t>
            </w:r>
          </w:p>
        </w:tc>
      </w:tr>
      <w:tr w:rsidR="0058693F" w:rsidRPr="00A92EC7" w14:paraId="125005C2" w14:textId="77777777" w:rsidTr="00633295">
        <w:trPr>
          <w:trHeight w:val="523"/>
        </w:trPr>
        <w:tc>
          <w:tcPr>
            <w:tcW w:w="350" w:type="dxa"/>
            <w:hideMark/>
          </w:tcPr>
          <w:p w14:paraId="40EE04A8"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3651" w:type="dxa"/>
            <w:hideMark/>
          </w:tcPr>
          <w:p w14:paraId="06356CDD" w14:textId="77777777" w:rsidR="0058693F" w:rsidRPr="00A92EC7" w:rsidRDefault="0058693F" w:rsidP="00780766">
            <w:pPr>
              <w:spacing w:after="0" w:line="240" w:lineRule="auto"/>
              <w:ind w:right="173"/>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Tiesiskā regulējuma ietekme uz tautsaimniecību un administratīvo slogu</w:t>
            </w:r>
          </w:p>
        </w:tc>
        <w:tc>
          <w:tcPr>
            <w:tcW w:w="5638" w:type="dxa"/>
            <w:hideMark/>
          </w:tcPr>
          <w:p w14:paraId="4A9E06DE"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Vērtējot projektu īstenošanas ietekmi uz administratīvajām procedūrām un to izmaksām, nav identificēts administratīvā sloga palielinājums ne atbalsta saņēmējiem, ne Eiropas Savienības fondu vadībā iesaistītajām institūcijām.</w:t>
            </w:r>
          </w:p>
          <w:p w14:paraId="0E45440B" w14:textId="1675610F"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Noteikumu projekts paredz pozitīvu ietekmi uz tautsaimniecību, jo ar to tiek precizēts SAM 4.1.1. otrās atlases kārtā pieejamo KF finansējumu atbilstoši faktiski pieprasītajam finansējumam, neizmantoto KF finansējumu pārdalot SAM 4.1.1. trešās atlases kārtas īstenošanai, tādējādi veicinot KF finansējuma investēšanu.</w:t>
            </w:r>
          </w:p>
        </w:tc>
      </w:tr>
      <w:tr w:rsidR="0058693F" w:rsidRPr="00A92EC7" w14:paraId="6204567A" w14:textId="77777777" w:rsidTr="00633295">
        <w:trPr>
          <w:trHeight w:val="517"/>
        </w:trPr>
        <w:tc>
          <w:tcPr>
            <w:tcW w:w="350" w:type="dxa"/>
            <w:hideMark/>
          </w:tcPr>
          <w:p w14:paraId="22F999F4"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3.</w:t>
            </w:r>
          </w:p>
        </w:tc>
        <w:tc>
          <w:tcPr>
            <w:tcW w:w="3651" w:type="dxa"/>
            <w:hideMark/>
          </w:tcPr>
          <w:p w14:paraId="5C93DB23" w14:textId="77777777" w:rsidR="0058693F" w:rsidRPr="00A92EC7" w:rsidRDefault="0058693F" w:rsidP="00780766">
            <w:pPr>
              <w:spacing w:after="0" w:line="240" w:lineRule="auto"/>
              <w:ind w:right="128"/>
              <w:contextualSpacing/>
              <w:jc w:val="both"/>
              <w:rPr>
                <w:rFonts w:ascii="Times New Roman" w:eastAsia="Times New Roman" w:hAnsi="Times New Roman"/>
                <w:sz w:val="24"/>
                <w:szCs w:val="24"/>
                <w:lang w:eastAsia="lv-LV"/>
              </w:rPr>
            </w:pPr>
            <w:r w:rsidRPr="00A92EC7">
              <w:rPr>
                <w:rFonts w:ascii="Times New Roman" w:hAnsi="Times New Roman"/>
                <w:bCs/>
                <w:sz w:val="24"/>
                <w:szCs w:val="24"/>
              </w:rPr>
              <w:t>Administratīvo</w:t>
            </w:r>
            <w:r w:rsidRPr="00A92EC7">
              <w:rPr>
                <w:rFonts w:ascii="Times New Roman" w:eastAsia="Times New Roman" w:hAnsi="Times New Roman"/>
                <w:sz w:val="24"/>
                <w:szCs w:val="24"/>
                <w:lang w:eastAsia="lv-LV"/>
              </w:rPr>
              <w:t xml:space="preserve"> izmaksu monetārs novērtējums</w:t>
            </w:r>
          </w:p>
        </w:tc>
        <w:tc>
          <w:tcPr>
            <w:tcW w:w="5638" w:type="dxa"/>
          </w:tcPr>
          <w:p w14:paraId="2F4AC214"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ES fondu administrēšanas izmaksas sadarbības iestādei un atbildīgajai iestādei plānots segt no Eiropas Savienības struktūrfondu un Kohēzijas fonda 2014.-2020.gada plānošanas perioda tehniskās palīdzības projekta līdzekļiem.</w:t>
            </w:r>
          </w:p>
        </w:tc>
      </w:tr>
      <w:tr w:rsidR="0058693F" w:rsidRPr="00A92EC7" w14:paraId="0671E059" w14:textId="77777777" w:rsidTr="00633295">
        <w:trPr>
          <w:trHeight w:val="517"/>
        </w:trPr>
        <w:tc>
          <w:tcPr>
            <w:tcW w:w="350" w:type="dxa"/>
          </w:tcPr>
          <w:p w14:paraId="5B765EA9" w14:textId="77777777"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4. </w:t>
            </w:r>
          </w:p>
        </w:tc>
        <w:tc>
          <w:tcPr>
            <w:tcW w:w="3651" w:type="dxa"/>
          </w:tcPr>
          <w:p w14:paraId="671A5927" w14:textId="77777777" w:rsidR="0058693F" w:rsidRPr="00A92EC7" w:rsidRDefault="0058693F" w:rsidP="00780766">
            <w:pPr>
              <w:spacing w:after="0" w:line="240" w:lineRule="auto"/>
              <w:ind w:right="128"/>
              <w:contextualSpacing/>
              <w:jc w:val="both"/>
              <w:rPr>
                <w:rFonts w:ascii="Times New Roman" w:hAnsi="Times New Roman"/>
                <w:bCs/>
                <w:sz w:val="24"/>
                <w:szCs w:val="24"/>
              </w:rPr>
            </w:pPr>
            <w:r w:rsidRPr="00A92EC7">
              <w:rPr>
                <w:rFonts w:ascii="Times New Roman" w:hAnsi="Times New Roman"/>
                <w:bCs/>
                <w:sz w:val="24"/>
                <w:szCs w:val="24"/>
              </w:rPr>
              <w:t>Atbilstības izmaksu monetārs novērtējums</w:t>
            </w:r>
          </w:p>
        </w:tc>
        <w:tc>
          <w:tcPr>
            <w:tcW w:w="5638" w:type="dxa"/>
          </w:tcPr>
          <w:p w14:paraId="78DB0C40"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 xml:space="preserve">Projekts šo jomu neskar. </w:t>
            </w:r>
          </w:p>
        </w:tc>
      </w:tr>
      <w:tr w:rsidR="0058693F" w:rsidRPr="00A92EC7" w14:paraId="2A99354F" w14:textId="77777777" w:rsidTr="00633295">
        <w:trPr>
          <w:trHeight w:val="390"/>
        </w:trPr>
        <w:tc>
          <w:tcPr>
            <w:tcW w:w="350" w:type="dxa"/>
            <w:hideMark/>
          </w:tcPr>
          <w:p w14:paraId="59B87BCA" w14:textId="3B4E59D1" w:rsidR="0058693F" w:rsidRPr="00A92EC7" w:rsidRDefault="0058693F" w:rsidP="00B03E47">
            <w:pPr>
              <w:spacing w:after="0" w:line="240" w:lineRule="auto"/>
              <w:contextualSpacing/>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5.</w:t>
            </w:r>
          </w:p>
        </w:tc>
        <w:tc>
          <w:tcPr>
            <w:tcW w:w="3651" w:type="dxa"/>
            <w:hideMark/>
          </w:tcPr>
          <w:p w14:paraId="1571DCD6" w14:textId="77777777" w:rsidR="0058693F" w:rsidRPr="00A92EC7" w:rsidRDefault="0058693F" w:rsidP="00780766">
            <w:pPr>
              <w:spacing w:after="0" w:line="240" w:lineRule="auto"/>
              <w:ind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Cita </w:t>
            </w:r>
            <w:r w:rsidRPr="00A92EC7">
              <w:rPr>
                <w:rFonts w:ascii="Times New Roman" w:hAnsi="Times New Roman"/>
                <w:bCs/>
                <w:sz w:val="24"/>
                <w:szCs w:val="24"/>
              </w:rPr>
              <w:t>informācija</w:t>
            </w:r>
          </w:p>
        </w:tc>
        <w:tc>
          <w:tcPr>
            <w:tcW w:w="5638" w:type="dxa"/>
          </w:tcPr>
          <w:p w14:paraId="4C31B929" w14:textId="77777777" w:rsidR="0058693F" w:rsidRPr="004021C2" w:rsidRDefault="0058693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Nav</w:t>
            </w:r>
          </w:p>
        </w:tc>
      </w:tr>
    </w:tbl>
    <w:p w14:paraId="0EE8C465" w14:textId="77777777" w:rsidR="0058693F" w:rsidRPr="00A92EC7" w:rsidRDefault="0058693F" w:rsidP="00871FC0">
      <w:pPr>
        <w:spacing w:after="0" w:line="240" w:lineRule="auto"/>
        <w:contextualSpacing/>
        <w:rPr>
          <w:rFonts w:ascii="Times New Roman" w:hAnsi="Times New Roman"/>
          <w:sz w:val="24"/>
          <w:szCs w:val="24"/>
        </w:rPr>
      </w:pPr>
    </w:p>
    <w:tbl>
      <w:tblPr>
        <w:tblStyle w:val="TableGrid"/>
        <w:tblW w:w="5000" w:type="pct"/>
        <w:tblInd w:w="-5" w:type="dxa"/>
        <w:tblLayout w:type="fixed"/>
        <w:tblCellMar>
          <w:left w:w="28" w:type="dxa"/>
          <w:right w:w="28" w:type="dxa"/>
        </w:tblCellMar>
        <w:tblLook w:val="04A0" w:firstRow="1" w:lastRow="0" w:firstColumn="1" w:lastColumn="0" w:noHBand="0" w:noVBand="1"/>
      </w:tblPr>
      <w:tblGrid>
        <w:gridCol w:w="1418"/>
        <w:gridCol w:w="1083"/>
        <w:gridCol w:w="1084"/>
        <w:gridCol w:w="1255"/>
        <w:gridCol w:w="1255"/>
        <w:gridCol w:w="1134"/>
        <w:gridCol w:w="1134"/>
        <w:gridCol w:w="1265"/>
      </w:tblGrid>
      <w:tr w:rsidR="00AC3A06" w:rsidRPr="00A92EC7" w14:paraId="183648EB" w14:textId="77777777" w:rsidTr="00E459CD">
        <w:tc>
          <w:tcPr>
            <w:tcW w:w="5000" w:type="pct"/>
            <w:gridSpan w:val="8"/>
            <w:hideMark/>
          </w:tcPr>
          <w:p w14:paraId="32CDB219" w14:textId="77777777" w:rsidR="00AC3A06" w:rsidRPr="00A92EC7" w:rsidRDefault="00AC3A06" w:rsidP="00871FC0">
            <w:pPr>
              <w:spacing w:after="0" w:line="240" w:lineRule="auto"/>
              <w:contextualSpacing/>
              <w:rPr>
                <w:rFonts w:ascii="Times New Roman" w:eastAsia="Times New Roman" w:hAnsi="Times New Roman"/>
                <w:b/>
                <w:bCs/>
                <w:iCs/>
                <w:color w:val="414142"/>
                <w:sz w:val="24"/>
                <w:szCs w:val="24"/>
                <w:lang w:eastAsia="lv-LV"/>
              </w:rPr>
            </w:pPr>
            <w:r w:rsidRPr="00A92EC7">
              <w:rPr>
                <w:rFonts w:ascii="Times New Roman" w:eastAsia="Times New Roman" w:hAnsi="Times New Roman"/>
                <w:b/>
                <w:bCs/>
                <w:iCs/>
                <w:color w:val="414142"/>
                <w:sz w:val="24"/>
                <w:szCs w:val="24"/>
                <w:lang w:eastAsia="lv-LV"/>
              </w:rPr>
              <w:t>III. Tiesību akta projekta ietekme uz valsts budžetu un pašvaldību budžetiem</w:t>
            </w:r>
          </w:p>
        </w:tc>
      </w:tr>
      <w:tr w:rsidR="00A70B06" w:rsidRPr="00A92EC7" w14:paraId="4462C158" w14:textId="77777777" w:rsidTr="00B34983">
        <w:tc>
          <w:tcPr>
            <w:tcW w:w="736" w:type="pct"/>
            <w:vMerge w:val="restart"/>
            <w:hideMark/>
          </w:tcPr>
          <w:p w14:paraId="5319E2D7" w14:textId="2EACF02D"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Rādītāji</w:t>
            </w:r>
          </w:p>
        </w:tc>
        <w:tc>
          <w:tcPr>
            <w:tcW w:w="1125" w:type="pct"/>
            <w:gridSpan w:val="2"/>
            <w:vMerge w:val="restart"/>
          </w:tcPr>
          <w:p w14:paraId="279B4E0C" w14:textId="7F31485C"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2019.gads</w:t>
            </w:r>
          </w:p>
        </w:tc>
        <w:tc>
          <w:tcPr>
            <w:tcW w:w="3138" w:type="pct"/>
            <w:gridSpan w:val="5"/>
            <w:vAlign w:val="center"/>
          </w:tcPr>
          <w:p w14:paraId="308DA0E8" w14:textId="764018FD" w:rsidR="00A70B06" w:rsidRPr="00A92EC7" w:rsidRDefault="00A70B06" w:rsidP="00A70B06">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Turpmākie trīs gadi (</w:t>
            </w:r>
            <w:proofErr w:type="spellStart"/>
            <w:r w:rsidRPr="00A92EC7">
              <w:rPr>
                <w:rFonts w:ascii="Times New Roman" w:eastAsia="Times New Roman" w:hAnsi="Times New Roman"/>
                <w:i/>
                <w:iCs/>
                <w:sz w:val="24"/>
                <w:szCs w:val="24"/>
                <w:lang w:eastAsia="lv-LV"/>
              </w:rPr>
              <w:t>euro</w:t>
            </w:r>
            <w:proofErr w:type="spellEnd"/>
            <w:r w:rsidRPr="00A92EC7">
              <w:rPr>
                <w:rFonts w:ascii="Times New Roman" w:eastAsia="Times New Roman" w:hAnsi="Times New Roman"/>
                <w:iCs/>
                <w:sz w:val="24"/>
                <w:szCs w:val="24"/>
                <w:lang w:eastAsia="lv-LV"/>
              </w:rPr>
              <w:t>)</w:t>
            </w:r>
          </w:p>
        </w:tc>
      </w:tr>
      <w:tr w:rsidR="00A70B06" w:rsidRPr="00A92EC7" w14:paraId="23317355" w14:textId="77777777" w:rsidTr="00B34983">
        <w:tc>
          <w:tcPr>
            <w:tcW w:w="736" w:type="pct"/>
            <w:vMerge/>
          </w:tcPr>
          <w:p w14:paraId="1F48EE71" w14:textId="1A043689"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1125" w:type="pct"/>
            <w:gridSpan w:val="2"/>
            <w:vMerge/>
          </w:tcPr>
          <w:p w14:paraId="561A7701" w14:textId="01F3C09F"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1303" w:type="pct"/>
            <w:gridSpan w:val="2"/>
          </w:tcPr>
          <w:p w14:paraId="4DE563BB" w14:textId="0C3D6F5D"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2020</w:t>
            </w:r>
          </w:p>
        </w:tc>
        <w:tc>
          <w:tcPr>
            <w:tcW w:w="1178" w:type="pct"/>
            <w:gridSpan w:val="2"/>
          </w:tcPr>
          <w:p w14:paraId="69BF8211" w14:textId="2AC7F242"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2021</w:t>
            </w:r>
          </w:p>
        </w:tc>
        <w:tc>
          <w:tcPr>
            <w:tcW w:w="657" w:type="pct"/>
          </w:tcPr>
          <w:p w14:paraId="72EDADCC" w14:textId="008C5499"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2022</w:t>
            </w:r>
          </w:p>
        </w:tc>
      </w:tr>
      <w:tr w:rsidR="00A3139B" w:rsidRPr="00A92EC7" w14:paraId="566872A7" w14:textId="77777777" w:rsidTr="00B34983">
        <w:tc>
          <w:tcPr>
            <w:tcW w:w="736" w:type="pct"/>
            <w:vMerge/>
          </w:tcPr>
          <w:p w14:paraId="13930D89" w14:textId="77777777" w:rsidR="00A70B06" w:rsidRPr="00A92EC7" w:rsidRDefault="00A70B06" w:rsidP="00EC0EE0">
            <w:pPr>
              <w:spacing w:after="0" w:line="240" w:lineRule="auto"/>
              <w:contextualSpacing/>
              <w:rPr>
                <w:rFonts w:ascii="Times New Roman" w:eastAsia="Times New Roman" w:hAnsi="Times New Roman"/>
                <w:iCs/>
                <w:sz w:val="24"/>
                <w:szCs w:val="24"/>
                <w:lang w:eastAsia="lv-LV"/>
              </w:rPr>
            </w:pPr>
          </w:p>
        </w:tc>
        <w:tc>
          <w:tcPr>
            <w:tcW w:w="562" w:type="pct"/>
          </w:tcPr>
          <w:p w14:paraId="0B7AFAFE" w14:textId="3D8E67C5"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valsts budžetu kārtējam gadam</w:t>
            </w:r>
          </w:p>
        </w:tc>
        <w:tc>
          <w:tcPr>
            <w:tcW w:w="563" w:type="pct"/>
          </w:tcPr>
          <w:p w14:paraId="07FB9AEC" w14:textId="1B2FB56E"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kārtējā gadā, salīdzinot ar valsts budžetu kārtējam gadam</w:t>
            </w:r>
          </w:p>
        </w:tc>
        <w:tc>
          <w:tcPr>
            <w:tcW w:w="652" w:type="pct"/>
          </w:tcPr>
          <w:p w14:paraId="5A730F7F" w14:textId="104FEDA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vidēja termiņa budžeta ietvaru</w:t>
            </w:r>
          </w:p>
        </w:tc>
        <w:tc>
          <w:tcPr>
            <w:tcW w:w="652" w:type="pct"/>
          </w:tcPr>
          <w:p w14:paraId="0B266B15" w14:textId="655D6F24"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n+1 gadam</w:t>
            </w:r>
          </w:p>
        </w:tc>
        <w:tc>
          <w:tcPr>
            <w:tcW w:w="589" w:type="pct"/>
          </w:tcPr>
          <w:p w14:paraId="5BE6C657" w14:textId="4C7DB6D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saskaņā ar vidēja termiņa budžeta ietvaru</w:t>
            </w:r>
          </w:p>
        </w:tc>
        <w:tc>
          <w:tcPr>
            <w:tcW w:w="589" w:type="pct"/>
          </w:tcPr>
          <w:p w14:paraId="3F53DCE9" w14:textId="0DDCD64A"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n+2 gadam</w:t>
            </w:r>
          </w:p>
        </w:tc>
        <w:tc>
          <w:tcPr>
            <w:tcW w:w="657" w:type="pct"/>
          </w:tcPr>
          <w:p w14:paraId="0F4EA04D" w14:textId="6C15897B" w:rsidR="00A70B06" w:rsidRPr="00A92EC7" w:rsidRDefault="00A70B06"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izmaiņas, salīdzinot ar vidēja termiņa budžeta ietvaru n+2 gadam</w:t>
            </w:r>
          </w:p>
        </w:tc>
      </w:tr>
      <w:tr w:rsidR="00A3139B" w:rsidRPr="00A92EC7" w14:paraId="62B7EA41" w14:textId="77777777" w:rsidTr="00B34983">
        <w:tc>
          <w:tcPr>
            <w:tcW w:w="736" w:type="pct"/>
            <w:hideMark/>
          </w:tcPr>
          <w:p w14:paraId="1BA0176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w:t>
            </w:r>
          </w:p>
        </w:tc>
        <w:tc>
          <w:tcPr>
            <w:tcW w:w="562" w:type="pct"/>
            <w:hideMark/>
          </w:tcPr>
          <w:p w14:paraId="67AD7F83"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w:t>
            </w:r>
          </w:p>
        </w:tc>
        <w:tc>
          <w:tcPr>
            <w:tcW w:w="563" w:type="pct"/>
            <w:hideMark/>
          </w:tcPr>
          <w:p w14:paraId="0601A2E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w:t>
            </w:r>
          </w:p>
        </w:tc>
        <w:tc>
          <w:tcPr>
            <w:tcW w:w="652" w:type="pct"/>
            <w:hideMark/>
          </w:tcPr>
          <w:p w14:paraId="07D42BE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4</w:t>
            </w:r>
          </w:p>
        </w:tc>
        <w:tc>
          <w:tcPr>
            <w:tcW w:w="652" w:type="pct"/>
            <w:hideMark/>
          </w:tcPr>
          <w:p w14:paraId="71A3F8A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w:t>
            </w:r>
          </w:p>
        </w:tc>
        <w:tc>
          <w:tcPr>
            <w:tcW w:w="589" w:type="pct"/>
            <w:hideMark/>
          </w:tcPr>
          <w:p w14:paraId="3A880FE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6</w:t>
            </w:r>
          </w:p>
        </w:tc>
        <w:tc>
          <w:tcPr>
            <w:tcW w:w="589" w:type="pct"/>
            <w:hideMark/>
          </w:tcPr>
          <w:p w14:paraId="10D762A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7</w:t>
            </w:r>
          </w:p>
        </w:tc>
        <w:tc>
          <w:tcPr>
            <w:tcW w:w="657" w:type="pct"/>
            <w:hideMark/>
          </w:tcPr>
          <w:p w14:paraId="31F0173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8</w:t>
            </w:r>
          </w:p>
        </w:tc>
      </w:tr>
      <w:tr w:rsidR="00A3139B" w:rsidRPr="00A92EC7" w14:paraId="62FB4318" w14:textId="77777777" w:rsidTr="00B34983">
        <w:tc>
          <w:tcPr>
            <w:tcW w:w="736" w:type="pct"/>
            <w:hideMark/>
          </w:tcPr>
          <w:p w14:paraId="44A2A5D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 Budžeta ieņēmumi</w:t>
            </w:r>
          </w:p>
        </w:tc>
        <w:tc>
          <w:tcPr>
            <w:tcW w:w="562" w:type="pct"/>
          </w:tcPr>
          <w:p w14:paraId="2EC0137A" w14:textId="11073527"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6 511 006</w:t>
            </w:r>
          </w:p>
        </w:tc>
        <w:tc>
          <w:tcPr>
            <w:tcW w:w="563" w:type="pct"/>
          </w:tcPr>
          <w:p w14:paraId="19B7ECEA" w14:textId="5CB18BFC"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-3 000 000</w:t>
            </w:r>
          </w:p>
        </w:tc>
        <w:tc>
          <w:tcPr>
            <w:tcW w:w="652" w:type="pct"/>
          </w:tcPr>
          <w:p w14:paraId="40088C53" w14:textId="33DB4807"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5 606 921</w:t>
            </w:r>
          </w:p>
        </w:tc>
        <w:tc>
          <w:tcPr>
            <w:tcW w:w="652" w:type="pct"/>
          </w:tcPr>
          <w:p w14:paraId="22FC124A" w14:textId="711CD0F8"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-2 </w:t>
            </w:r>
            <w:r w:rsidR="005C1C75" w:rsidRPr="00D1002B">
              <w:rPr>
                <w:rFonts w:ascii="Times New Roman" w:eastAsia="Times New Roman" w:hAnsi="Times New Roman"/>
                <w:iCs/>
                <w:sz w:val="20"/>
                <w:szCs w:val="24"/>
                <w:lang w:eastAsia="lv-LV"/>
              </w:rPr>
              <w:t>94</w:t>
            </w:r>
            <w:r w:rsidR="005C1C75">
              <w:rPr>
                <w:rFonts w:ascii="Times New Roman" w:eastAsia="Times New Roman" w:hAnsi="Times New Roman"/>
                <w:iCs/>
                <w:sz w:val="20"/>
                <w:szCs w:val="24"/>
                <w:lang w:eastAsia="lv-LV"/>
              </w:rPr>
              <w:t>9</w:t>
            </w:r>
            <w:r w:rsidR="005C1C75" w:rsidRPr="00D1002B">
              <w:rPr>
                <w:rFonts w:ascii="Times New Roman" w:eastAsia="Times New Roman" w:hAnsi="Times New Roman"/>
                <w:iCs/>
                <w:sz w:val="20"/>
                <w:szCs w:val="24"/>
                <w:lang w:eastAsia="lv-LV"/>
              </w:rPr>
              <w:t xml:space="preserve"> </w:t>
            </w:r>
            <w:r w:rsidR="005C1C75">
              <w:rPr>
                <w:rFonts w:ascii="Times New Roman" w:eastAsia="Times New Roman" w:hAnsi="Times New Roman"/>
                <w:iCs/>
                <w:sz w:val="20"/>
                <w:szCs w:val="24"/>
                <w:lang w:eastAsia="lv-LV"/>
              </w:rPr>
              <w:t>202</w:t>
            </w:r>
          </w:p>
        </w:tc>
        <w:tc>
          <w:tcPr>
            <w:tcW w:w="589" w:type="pct"/>
          </w:tcPr>
          <w:p w14:paraId="3B5654F5" w14:textId="2E13C57F"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589" w:type="pct"/>
          </w:tcPr>
          <w:p w14:paraId="7A061E0E" w14:textId="6DADD45E"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657" w:type="pct"/>
          </w:tcPr>
          <w:p w14:paraId="57BC043B" w14:textId="6FFE30C4"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hAnsi="Times New Roman"/>
                <w:sz w:val="24"/>
                <w:szCs w:val="24"/>
              </w:rPr>
              <w:t>0</w:t>
            </w:r>
          </w:p>
        </w:tc>
      </w:tr>
      <w:tr w:rsidR="00A3139B" w:rsidRPr="00A92EC7" w14:paraId="051AFD13" w14:textId="77777777" w:rsidTr="00B34983">
        <w:tc>
          <w:tcPr>
            <w:tcW w:w="736" w:type="pct"/>
            <w:hideMark/>
          </w:tcPr>
          <w:p w14:paraId="5C49CCA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1.1. valsts pamatbudžets, tai skaitā ieņēmumi no maksas pakalpojumiem un citi pašu ieņēmumi</w:t>
            </w:r>
          </w:p>
        </w:tc>
        <w:tc>
          <w:tcPr>
            <w:tcW w:w="562" w:type="pct"/>
          </w:tcPr>
          <w:p w14:paraId="163C1F52" w14:textId="0E3A399C"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6 511 006</w:t>
            </w:r>
          </w:p>
        </w:tc>
        <w:tc>
          <w:tcPr>
            <w:tcW w:w="563" w:type="pct"/>
          </w:tcPr>
          <w:p w14:paraId="1B8A56AC" w14:textId="12CAD3B6"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-3 000 000</w:t>
            </w:r>
          </w:p>
        </w:tc>
        <w:tc>
          <w:tcPr>
            <w:tcW w:w="652" w:type="pct"/>
          </w:tcPr>
          <w:p w14:paraId="252BBBB5" w14:textId="1C738DD9" w:rsidR="00EC0EE0" w:rsidRPr="00B64E33" w:rsidRDefault="00EC0EE0"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5 606 921</w:t>
            </w:r>
          </w:p>
        </w:tc>
        <w:tc>
          <w:tcPr>
            <w:tcW w:w="652" w:type="pct"/>
          </w:tcPr>
          <w:p w14:paraId="19CCE393" w14:textId="5527E383" w:rsidR="00EC0EE0" w:rsidRPr="00B64E33" w:rsidRDefault="00D1002B" w:rsidP="00EC0EE0">
            <w:pPr>
              <w:spacing w:after="0" w:line="240" w:lineRule="auto"/>
              <w:contextualSpacing/>
              <w:rPr>
                <w:rFonts w:ascii="Times New Roman" w:eastAsia="Times New Roman" w:hAnsi="Times New Roman"/>
                <w:iCs/>
                <w:sz w:val="20"/>
                <w:szCs w:val="24"/>
                <w:lang w:eastAsia="lv-LV"/>
              </w:rPr>
            </w:pPr>
            <w:r w:rsidRPr="00B64E33">
              <w:rPr>
                <w:rFonts w:ascii="Times New Roman" w:eastAsia="Times New Roman" w:hAnsi="Times New Roman"/>
                <w:iCs/>
                <w:sz w:val="20"/>
                <w:szCs w:val="24"/>
                <w:lang w:eastAsia="lv-LV"/>
              </w:rPr>
              <w:t>-2 </w:t>
            </w:r>
            <w:r w:rsidR="005C1C75" w:rsidRPr="00D1002B">
              <w:rPr>
                <w:rFonts w:ascii="Times New Roman" w:eastAsia="Times New Roman" w:hAnsi="Times New Roman"/>
                <w:iCs/>
                <w:sz w:val="20"/>
                <w:szCs w:val="24"/>
                <w:lang w:eastAsia="lv-LV"/>
              </w:rPr>
              <w:t>94</w:t>
            </w:r>
            <w:r w:rsidR="005C1C75">
              <w:rPr>
                <w:rFonts w:ascii="Times New Roman" w:eastAsia="Times New Roman" w:hAnsi="Times New Roman"/>
                <w:iCs/>
                <w:sz w:val="20"/>
                <w:szCs w:val="24"/>
                <w:lang w:eastAsia="lv-LV"/>
              </w:rPr>
              <w:t>9</w:t>
            </w:r>
            <w:r w:rsidR="005C1C75" w:rsidRPr="00D1002B">
              <w:rPr>
                <w:rFonts w:ascii="Times New Roman" w:eastAsia="Times New Roman" w:hAnsi="Times New Roman"/>
                <w:iCs/>
                <w:sz w:val="20"/>
                <w:szCs w:val="24"/>
                <w:lang w:eastAsia="lv-LV"/>
              </w:rPr>
              <w:t xml:space="preserve"> </w:t>
            </w:r>
            <w:r w:rsidR="005C1C75">
              <w:rPr>
                <w:rFonts w:ascii="Times New Roman" w:eastAsia="Times New Roman" w:hAnsi="Times New Roman"/>
                <w:iCs/>
                <w:sz w:val="20"/>
                <w:szCs w:val="24"/>
                <w:lang w:eastAsia="lv-LV"/>
              </w:rPr>
              <w:t>202</w:t>
            </w:r>
          </w:p>
        </w:tc>
        <w:tc>
          <w:tcPr>
            <w:tcW w:w="589" w:type="pct"/>
          </w:tcPr>
          <w:p w14:paraId="6443498E" w14:textId="478C6171"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589" w:type="pct"/>
          </w:tcPr>
          <w:p w14:paraId="0469AD8C" w14:textId="79D41D60"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eastAsia="Times New Roman" w:hAnsi="Times New Roman"/>
                <w:iCs/>
                <w:sz w:val="24"/>
                <w:szCs w:val="24"/>
                <w:lang w:eastAsia="lv-LV"/>
              </w:rPr>
              <w:t>0</w:t>
            </w:r>
          </w:p>
        </w:tc>
        <w:tc>
          <w:tcPr>
            <w:tcW w:w="657" w:type="pct"/>
          </w:tcPr>
          <w:p w14:paraId="653388FB" w14:textId="28D5BA9A" w:rsidR="00EC0EE0" w:rsidRPr="004C31CA" w:rsidRDefault="00EC0EE0" w:rsidP="00EC0EE0">
            <w:pPr>
              <w:spacing w:after="0" w:line="240" w:lineRule="auto"/>
              <w:contextualSpacing/>
              <w:rPr>
                <w:rFonts w:ascii="Times New Roman" w:eastAsia="Times New Roman" w:hAnsi="Times New Roman"/>
                <w:iCs/>
                <w:sz w:val="24"/>
                <w:szCs w:val="24"/>
                <w:lang w:eastAsia="lv-LV"/>
              </w:rPr>
            </w:pPr>
            <w:r w:rsidRPr="004C31CA">
              <w:rPr>
                <w:rFonts w:ascii="Times New Roman" w:hAnsi="Times New Roman"/>
                <w:sz w:val="24"/>
                <w:szCs w:val="24"/>
              </w:rPr>
              <w:t>0</w:t>
            </w:r>
          </w:p>
        </w:tc>
      </w:tr>
      <w:tr w:rsidR="00A3139B" w:rsidRPr="00A92EC7" w14:paraId="40DE78DE" w14:textId="77777777" w:rsidTr="00B34983">
        <w:tc>
          <w:tcPr>
            <w:tcW w:w="736" w:type="pct"/>
            <w:hideMark/>
          </w:tcPr>
          <w:p w14:paraId="776B66FD"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lastRenderedPageBreak/>
              <w:t>1.2. valsts speciālais budžets</w:t>
            </w:r>
          </w:p>
        </w:tc>
        <w:tc>
          <w:tcPr>
            <w:tcW w:w="562" w:type="pct"/>
          </w:tcPr>
          <w:p w14:paraId="6E5AF4BD" w14:textId="20F0F32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26BE82D" w14:textId="56ADCA8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0B6E761" w14:textId="643EA9C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33D756B2" w14:textId="53050FB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725B836" w14:textId="04399F9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D18EFBF" w14:textId="31ABA30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30B23D17" w14:textId="209AB24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3A98352B" w14:textId="77777777" w:rsidTr="00B34983">
        <w:tc>
          <w:tcPr>
            <w:tcW w:w="736" w:type="pct"/>
            <w:hideMark/>
          </w:tcPr>
          <w:p w14:paraId="31CFAA8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1.3. pašvaldību budžets</w:t>
            </w:r>
          </w:p>
        </w:tc>
        <w:tc>
          <w:tcPr>
            <w:tcW w:w="562" w:type="pct"/>
          </w:tcPr>
          <w:p w14:paraId="06CCBFC7" w14:textId="69B5A94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77E5EF82" w14:textId="4DF3D683"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4B225399" w14:textId="6772A4F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7EEDFAB5" w14:textId="4136B06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0AB7E1B3" w14:textId="41378AE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4B5A51E4" w14:textId="59714BA0"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7" w:type="pct"/>
          </w:tcPr>
          <w:p w14:paraId="630464B4" w14:textId="6B70403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6944D510" w14:textId="77777777" w:rsidTr="00B34983">
        <w:tc>
          <w:tcPr>
            <w:tcW w:w="736" w:type="pct"/>
            <w:hideMark/>
          </w:tcPr>
          <w:p w14:paraId="7C3C7C0C"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 Budžeta izdevumi</w:t>
            </w:r>
          </w:p>
        </w:tc>
        <w:tc>
          <w:tcPr>
            <w:tcW w:w="562" w:type="pct"/>
          </w:tcPr>
          <w:p w14:paraId="376FD8DD" w14:textId="7DF2F234"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511</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006</w:t>
            </w:r>
          </w:p>
        </w:tc>
        <w:tc>
          <w:tcPr>
            <w:tcW w:w="563" w:type="pct"/>
          </w:tcPr>
          <w:p w14:paraId="58DF5D8A" w14:textId="4DB9BF5D"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-3</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p>
        </w:tc>
        <w:tc>
          <w:tcPr>
            <w:tcW w:w="652" w:type="pct"/>
          </w:tcPr>
          <w:p w14:paraId="0C146D60" w14:textId="358B80DE"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5</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606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921</w:t>
            </w:r>
          </w:p>
        </w:tc>
        <w:tc>
          <w:tcPr>
            <w:tcW w:w="652" w:type="pct"/>
          </w:tcPr>
          <w:p w14:paraId="06B4A11E" w14:textId="139F7745" w:rsidR="00EC0EE0" w:rsidRPr="00086E71" w:rsidRDefault="00D1002B" w:rsidP="00EC0EE0">
            <w:pPr>
              <w:spacing w:after="0" w:line="240" w:lineRule="auto"/>
              <w:contextualSpacing/>
              <w:rPr>
                <w:rFonts w:ascii="Times New Roman" w:eastAsia="Times New Roman" w:hAnsi="Times New Roman"/>
                <w:iCs/>
                <w:sz w:val="20"/>
                <w:szCs w:val="24"/>
                <w:highlight w:val="yellow"/>
                <w:lang w:eastAsia="lv-LV"/>
              </w:rPr>
            </w:pPr>
            <w:r w:rsidRPr="00B64E33">
              <w:rPr>
                <w:rFonts w:ascii="Times New Roman" w:eastAsia="Times New Roman" w:hAnsi="Times New Roman"/>
                <w:iCs/>
                <w:sz w:val="20"/>
                <w:szCs w:val="24"/>
                <w:lang w:eastAsia="lv-LV"/>
              </w:rPr>
              <w:t>-2 </w:t>
            </w:r>
            <w:r w:rsidR="005C1C75" w:rsidRPr="00D1002B">
              <w:rPr>
                <w:rFonts w:ascii="Times New Roman" w:eastAsia="Times New Roman" w:hAnsi="Times New Roman"/>
                <w:iCs/>
                <w:sz w:val="20"/>
                <w:szCs w:val="24"/>
                <w:lang w:eastAsia="lv-LV"/>
              </w:rPr>
              <w:t>94</w:t>
            </w:r>
            <w:r w:rsidR="005C1C75">
              <w:rPr>
                <w:rFonts w:ascii="Times New Roman" w:eastAsia="Times New Roman" w:hAnsi="Times New Roman"/>
                <w:iCs/>
                <w:sz w:val="20"/>
                <w:szCs w:val="24"/>
                <w:lang w:eastAsia="lv-LV"/>
              </w:rPr>
              <w:t>9</w:t>
            </w:r>
            <w:r w:rsidR="005C1C75" w:rsidRPr="00D1002B">
              <w:rPr>
                <w:rFonts w:ascii="Times New Roman" w:eastAsia="Times New Roman" w:hAnsi="Times New Roman"/>
                <w:iCs/>
                <w:sz w:val="20"/>
                <w:szCs w:val="24"/>
                <w:lang w:eastAsia="lv-LV"/>
              </w:rPr>
              <w:t xml:space="preserve"> </w:t>
            </w:r>
            <w:r w:rsidR="005C1C75">
              <w:rPr>
                <w:rFonts w:ascii="Times New Roman" w:eastAsia="Times New Roman" w:hAnsi="Times New Roman"/>
                <w:iCs/>
                <w:sz w:val="20"/>
                <w:szCs w:val="24"/>
                <w:lang w:eastAsia="lv-LV"/>
              </w:rPr>
              <w:t>202</w:t>
            </w:r>
          </w:p>
        </w:tc>
        <w:tc>
          <w:tcPr>
            <w:tcW w:w="589" w:type="pct"/>
          </w:tcPr>
          <w:p w14:paraId="5A95B9F0" w14:textId="5983B4C8"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589" w:type="pct"/>
          </w:tcPr>
          <w:p w14:paraId="3D0B1550" w14:textId="44DBAD61"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657" w:type="pct"/>
          </w:tcPr>
          <w:p w14:paraId="6D3D71D4" w14:textId="2CB95ED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143128A0" w14:textId="77777777" w:rsidTr="00B34983">
        <w:tc>
          <w:tcPr>
            <w:tcW w:w="736" w:type="pct"/>
            <w:hideMark/>
          </w:tcPr>
          <w:p w14:paraId="10AEBB2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2.1. valsts pamatbudžets</w:t>
            </w:r>
          </w:p>
        </w:tc>
        <w:tc>
          <w:tcPr>
            <w:tcW w:w="562" w:type="pct"/>
          </w:tcPr>
          <w:p w14:paraId="1A4F8A90" w14:textId="00B0B49D"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511</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006</w:t>
            </w:r>
          </w:p>
        </w:tc>
        <w:tc>
          <w:tcPr>
            <w:tcW w:w="563" w:type="pct"/>
          </w:tcPr>
          <w:p w14:paraId="78836849" w14:textId="22ECBBF6"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-3</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000</w:t>
            </w:r>
          </w:p>
        </w:tc>
        <w:tc>
          <w:tcPr>
            <w:tcW w:w="652" w:type="pct"/>
          </w:tcPr>
          <w:p w14:paraId="6444BEA4" w14:textId="2A805A2F" w:rsidR="00EC0EE0" w:rsidRPr="00086E71" w:rsidRDefault="00EC0EE0" w:rsidP="00EC0EE0">
            <w:pPr>
              <w:spacing w:after="0" w:line="240" w:lineRule="auto"/>
              <w:contextualSpacing/>
              <w:rPr>
                <w:rFonts w:ascii="Times New Roman" w:eastAsia="Times New Roman" w:hAnsi="Times New Roman"/>
                <w:iCs/>
                <w:sz w:val="20"/>
                <w:szCs w:val="24"/>
                <w:highlight w:val="yellow"/>
                <w:lang w:eastAsia="lv-LV"/>
              </w:rPr>
            </w:pPr>
            <w:r w:rsidRPr="00086E71">
              <w:rPr>
                <w:rFonts w:ascii="Times New Roman" w:eastAsia="Times New Roman" w:hAnsi="Times New Roman"/>
                <w:iCs/>
                <w:sz w:val="20"/>
                <w:szCs w:val="24"/>
                <w:lang w:eastAsia="lv-LV"/>
              </w:rPr>
              <w:t>5</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606</w:t>
            </w:r>
            <w:r>
              <w:rPr>
                <w:rFonts w:ascii="Times New Roman" w:eastAsia="Times New Roman" w:hAnsi="Times New Roman"/>
                <w:iCs/>
                <w:sz w:val="20"/>
                <w:szCs w:val="24"/>
                <w:lang w:eastAsia="lv-LV"/>
              </w:rPr>
              <w:t> </w:t>
            </w:r>
            <w:r w:rsidRPr="00086E71">
              <w:rPr>
                <w:rFonts w:ascii="Times New Roman" w:eastAsia="Times New Roman" w:hAnsi="Times New Roman"/>
                <w:iCs/>
                <w:sz w:val="20"/>
                <w:szCs w:val="24"/>
                <w:lang w:eastAsia="lv-LV"/>
              </w:rPr>
              <w:t>921</w:t>
            </w:r>
          </w:p>
        </w:tc>
        <w:tc>
          <w:tcPr>
            <w:tcW w:w="652" w:type="pct"/>
          </w:tcPr>
          <w:p w14:paraId="3C5278D0" w14:textId="05651E74" w:rsidR="00EC0EE0" w:rsidRPr="00086E71" w:rsidRDefault="00D1002B" w:rsidP="00EC0EE0">
            <w:pPr>
              <w:spacing w:after="0" w:line="240" w:lineRule="auto"/>
              <w:contextualSpacing/>
              <w:rPr>
                <w:rFonts w:ascii="Times New Roman" w:eastAsia="Times New Roman" w:hAnsi="Times New Roman"/>
                <w:iCs/>
                <w:sz w:val="20"/>
                <w:szCs w:val="24"/>
                <w:highlight w:val="yellow"/>
                <w:lang w:eastAsia="lv-LV"/>
              </w:rPr>
            </w:pPr>
            <w:r w:rsidRPr="00B64E33">
              <w:rPr>
                <w:rFonts w:ascii="Times New Roman" w:eastAsia="Times New Roman" w:hAnsi="Times New Roman"/>
                <w:iCs/>
                <w:sz w:val="20"/>
                <w:szCs w:val="24"/>
                <w:lang w:eastAsia="lv-LV"/>
              </w:rPr>
              <w:t>-2 </w:t>
            </w:r>
            <w:r w:rsidR="005C1C75" w:rsidRPr="00D1002B">
              <w:rPr>
                <w:rFonts w:ascii="Times New Roman" w:eastAsia="Times New Roman" w:hAnsi="Times New Roman"/>
                <w:iCs/>
                <w:sz w:val="20"/>
                <w:szCs w:val="24"/>
                <w:lang w:eastAsia="lv-LV"/>
              </w:rPr>
              <w:t>94</w:t>
            </w:r>
            <w:r w:rsidR="005C1C75">
              <w:rPr>
                <w:rFonts w:ascii="Times New Roman" w:eastAsia="Times New Roman" w:hAnsi="Times New Roman"/>
                <w:iCs/>
                <w:sz w:val="20"/>
                <w:szCs w:val="24"/>
                <w:lang w:eastAsia="lv-LV"/>
              </w:rPr>
              <w:t>9</w:t>
            </w:r>
            <w:r w:rsidR="005C1C75" w:rsidRPr="00D1002B">
              <w:rPr>
                <w:rFonts w:ascii="Times New Roman" w:eastAsia="Times New Roman" w:hAnsi="Times New Roman"/>
                <w:iCs/>
                <w:sz w:val="20"/>
                <w:szCs w:val="24"/>
                <w:lang w:eastAsia="lv-LV"/>
              </w:rPr>
              <w:t xml:space="preserve"> </w:t>
            </w:r>
            <w:r w:rsidR="005C1C75">
              <w:rPr>
                <w:rFonts w:ascii="Times New Roman" w:eastAsia="Times New Roman" w:hAnsi="Times New Roman"/>
                <w:iCs/>
                <w:sz w:val="20"/>
                <w:szCs w:val="24"/>
                <w:lang w:eastAsia="lv-LV"/>
              </w:rPr>
              <w:t>202</w:t>
            </w:r>
          </w:p>
        </w:tc>
        <w:tc>
          <w:tcPr>
            <w:tcW w:w="589" w:type="pct"/>
          </w:tcPr>
          <w:p w14:paraId="42F1983B" w14:textId="432A4969"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589" w:type="pct"/>
          </w:tcPr>
          <w:p w14:paraId="4969F303" w14:textId="548CF818"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r w:rsidRPr="00A92EC7">
              <w:rPr>
                <w:rFonts w:ascii="Times New Roman" w:eastAsia="Times New Roman" w:hAnsi="Times New Roman"/>
                <w:iCs/>
                <w:sz w:val="24"/>
                <w:szCs w:val="24"/>
                <w:lang w:eastAsia="lv-LV"/>
              </w:rPr>
              <w:t>0</w:t>
            </w:r>
          </w:p>
        </w:tc>
        <w:tc>
          <w:tcPr>
            <w:tcW w:w="657" w:type="pct"/>
          </w:tcPr>
          <w:p w14:paraId="009CA34B" w14:textId="5F1C842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0D04C1C9" w14:textId="77777777" w:rsidTr="00B34983">
        <w:tc>
          <w:tcPr>
            <w:tcW w:w="736" w:type="pct"/>
            <w:hideMark/>
          </w:tcPr>
          <w:p w14:paraId="3CF03454"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2.2. valsts speciālais budžets</w:t>
            </w:r>
          </w:p>
        </w:tc>
        <w:tc>
          <w:tcPr>
            <w:tcW w:w="562" w:type="pct"/>
          </w:tcPr>
          <w:p w14:paraId="66145451" w14:textId="0F14CDB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4F388D5" w14:textId="2C251DF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DD5324F" w14:textId="26FAFB20"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6F80638" w14:textId="0580BA2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413868F" w14:textId="3672B84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1C1DEB4D" w14:textId="6A1509A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42D8AA29" w14:textId="442162C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02FEFEF3" w14:textId="77777777" w:rsidTr="00B34983">
        <w:tc>
          <w:tcPr>
            <w:tcW w:w="736" w:type="pct"/>
            <w:hideMark/>
          </w:tcPr>
          <w:p w14:paraId="0A8AFC29"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2.3. pašvaldību budžets</w:t>
            </w:r>
          </w:p>
        </w:tc>
        <w:tc>
          <w:tcPr>
            <w:tcW w:w="562" w:type="pct"/>
          </w:tcPr>
          <w:p w14:paraId="10F876F5" w14:textId="4FD65A5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26F8421D" w14:textId="4C915F0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1D0D135A" w14:textId="5BCD507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2" w:type="pct"/>
          </w:tcPr>
          <w:p w14:paraId="19AC1BBF" w14:textId="50B1231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7AB11CC4" w14:textId="309CE4B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589" w:type="pct"/>
          </w:tcPr>
          <w:p w14:paraId="77A975C0" w14:textId="7AEFB04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c>
          <w:tcPr>
            <w:tcW w:w="657" w:type="pct"/>
          </w:tcPr>
          <w:p w14:paraId="3B172BFB" w14:textId="7C2D2A5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hAnsi="Times New Roman"/>
                <w:sz w:val="24"/>
                <w:szCs w:val="24"/>
              </w:rPr>
              <w:t>0</w:t>
            </w:r>
          </w:p>
        </w:tc>
      </w:tr>
      <w:tr w:rsidR="00A3139B" w:rsidRPr="00A92EC7" w14:paraId="1169217E" w14:textId="77777777" w:rsidTr="00B34983">
        <w:tc>
          <w:tcPr>
            <w:tcW w:w="736" w:type="pct"/>
            <w:hideMark/>
          </w:tcPr>
          <w:p w14:paraId="0B875DB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 Finansiālā ietekme</w:t>
            </w:r>
          </w:p>
        </w:tc>
        <w:tc>
          <w:tcPr>
            <w:tcW w:w="562" w:type="pct"/>
          </w:tcPr>
          <w:p w14:paraId="6321DF43" w14:textId="085C119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hideMark/>
          </w:tcPr>
          <w:p w14:paraId="257EF243" w14:textId="6C629D13"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1220B23C" w14:textId="1E16D39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0B625CA0" w14:textId="4FC3A40E"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57881BC6" w14:textId="1F799B0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1B9E56DF" w14:textId="2DE565A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2477579E" w14:textId="547A578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6F9147B4" w14:textId="77777777" w:rsidTr="00B34983">
        <w:tc>
          <w:tcPr>
            <w:tcW w:w="736" w:type="pct"/>
            <w:hideMark/>
          </w:tcPr>
          <w:p w14:paraId="0936912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3.1. valsts pamatbudžets</w:t>
            </w:r>
          </w:p>
        </w:tc>
        <w:tc>
          <w:tcPr>
            <w:tcW w:w="562" w:type="pct"/>
          </w:tcPr>
          <w:p w14:paraId="0D6A54DD" w14:textId="4F1B3A2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hideMark/>
          </w:tcPr>
          <w:p w14:paraId="43466CC4" w14:textId="50F7FEA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FC763CE" w14:textId="6CBFA6C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1F4CD66A" w14:textId="7471E0A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1CA6EA8" w14:textId="173C611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E040E2E" w14:textId="4E9E671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CA0CACF" w14:textId="747D441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7610C9CA" w14:textId="77777777" w:rsidTr="00B34983">
        <w:tc>
          <w:tcPr>
            <w:tcW w:w="736" w:type="pct"/>
            <w:hideMark/>
          </w:tcPr>
          <w:p w14:paraId="3378C2CC"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3.2. speciālais budžets</w:t>
            </w:r>
          </w:p>
        </w:tc>
        <w:tc>
          <w:tcPr>
            <w:tcW w:w="562" w:type="pct"/>
          </w:tcPr>
          <w:p w14:paraId="3AD5D012" w14:textId="6292A66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379C12B7" w14:textId="7B12DF8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7986B797" w14:textId="0F6F4F6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403E1624" w14:textId="5C278DA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8E42757" w14:textId="026650A8"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53C5FA4A" w14:textId="6D180C5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D1FBFDF" w14:textId="04AA02F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E433D77" w14:textId="77777777" w:rsidTr="00B34983">
        <w:tc>
          <w:tcPr>
            <w:tcW w:w="736" w:type="pct"/>
            <w:hideMark/>
          </w:tcPr>
          <w:p w14:paraId="7D1A4D47"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3.3. pašvaldību budžets</w:t>
            </w:r>
          </w:p>
        </w:tc>
        <w:tc>
          <w:tcPr>
            <w:tcW w:w="562" w:type="pct"/>
          </w:tcPr>
          <w:p w14:paraId="7513A995" w14:textId="2F06E57C"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63" w:type="pct"/>
          </w:tcPr>
          <w:p w14:paraId="0E5D9EA9" w14:textId="369E89A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389C71AB" w14:textId="3C470F18"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tcPr>
          <w:p w14:paraId="64C17068" w14:textId="0D1AE74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6C0223F7" w14:textId="2A30FC9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tcPr>
          <w:p w14:paraId="292AA0EF" w14:textId="3456481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636CC15F" w14:textId="0940AB0E"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3F45A8A" w14:textId="77777777" w:rsidTr="00B34983">
        <w:tc>
          <w:tcPr>
            <w:tcW w:w="736" w:type="pct"/>
            <w:hideMark/>
          </w:tcPr>
          <w:p w14:paraId="5499E3E8"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4. Finanšu līdzekļi papildu izdevumu finansēšanai (kompensējošu izdevumu samazinājumu norāda ar "+" zīmi)</w:t>
            </w:r>
          </w:p>
        </w:tc>
        <w:tc>
          <w:tcPr>
            <w:tcW w:w="562" w:type="pct"/>
            <w:hideMark/>
          </w:tcPr>
          <w:p w14:paraId="2EC927C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63" w:type="pct"/>
            <w:hideMark/>
          </w:tcPr>
          <w:p w14:paraId="7607D7BA" w14:textId="51A686D5"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hideMark/>
          </w:tcPr>
          <w:p w14:paraId="25EC03F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652" w:type="pct"/>
            <w:hideMark/>
          </w:tcPr>
          <w:p w14:paraId="6A61DFD8" w14:textId="19B1B62C"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hideMark/>
          </w:tcPr>
          <w:p w14:paraId="47D540A1"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89" w:type="pct"/>
          </w:tcPr>
          <w:p w14:paraId="5B1D2E30" w14:textId="38E3E414"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0981CF24" w14:textId="10EEEC1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750755A" w14:textId="77777777" w:rsidTr="00B34983">
        <w:tc>
          <w:tcPr>
            <w:tcW w:w="736" w:type="pct"/>
            <w:hideMark/>
          </w:tcPr>
          <w:p w14:paraId="60423E64"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 Precizēta finansiālā ietekme</w:t>
            </w:r>
          </w:p>
        </w:tc>
        <w:tc>
          <w:tcPr>
            <w:tcW w:w="562" w:type="pct"/>
            <w:vMerge w:val="restart"/>
            <w:hideMark/>
          </w:tcPr>
          <w:p w14:paraId="68606F7F"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56A24DED"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2B94616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766A74C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D0DE80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498A4AC0"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63" w:type="pct"/>
          </w:tcPr>
          <w:p w14:paraId="5962803D" w14:textId="7C8F72D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val="restart"/>
            <w:hideMark/>
          </w:tcPr>
          <w:p w14:paraId="32DE91DB"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1F8E556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326F17E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AF4B755"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492A1D7B"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FB9DD35"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652" w:type="pct"/>
          </w:tcPr>
          <w:p w14:paraId="48683F2D" w14:textId="18EF1C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val="restart"/>
            <w:hideMark/>
          </w:tcPr>
          <w:p w14:paraId="624C842D"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2C77A29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04A55872"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563EBBDE"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3FBA252A"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p>
          <w:p w14:paraId="63309D37" w14:textId="77777777" w:rsidR="00EC0EE0" w:rsidRPr="00A92EC7" w:rsidRDefault="00EC0EE0" w:rsidP="00EC0EE0">
            <w:pPr>
              <w:spacing w:after="0" w:line="240" w:lineRule="auto"/>
              <w:contextualSpacing/>
              <w:jc w:val="center"/>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X</w:t>
            </w:r>
          </w:p>
        </w:tc>
        <w:tc>
          <w:tcPr>
            <w:tcW w:w="589" w:type="pct"/>
          </w:tcPr>
          <w:p w14:paraId="5B0C2277" w14:textId="2535BDC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7B93271D" w14:textId="19BF8591"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5E096A7A" w14:textId="77777777" w:rsidTr="00B34983">
        <w:tc>
          <w:tcPr>
            <w:tcW w:w="736" w:type="pct"/>
            <w:hideMark/>
          </w:tcPr>
          <w:p w14:paraId="44B2D43D"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5.1. valsts pamatbudžets</w:t>
            </w:r>
          </w:p>
        </w:tc>
        <w:tc>
          <w:tcPr>
            <w:tcW w:w="562" w:type="pct"/>
            <w:vMerge/>
            <w:hideMark/>
          </w:tcPr>
          <w:p w14:paraId="1B84FA22"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577CB940" w14:textId="26359DAA"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66DBB05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5096050" w14:textId="2823C18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23C09AF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2F055DD4" w14:textId="6373DD9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7BED6A06" w14:textId="6F08185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19D7B9DC" w14:textId="77777777" w:rsidTr="00B34983">
        <w:tc>
          <w:tcPr>
            <w:tcW w:w="736" w:type="pct"/>
            <w:hideMark/>
          </w:tcPr>
          <w:p w14:paraId="2A46C5BB"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5.2. speciālais budžets</w:t>
            </w:r>
          </w:p>
        </w:tc>
        <w:tc>
          <w:tcPr>
            <w:tcW w:w="562" w:type="pct"/>
            <w:vMerge/>
            <w:hideMark/>
          </w:tcPr>
          <w:p w14:paraId="781C50A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714E0514" w14:textId="71EE4A76"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5925D350"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B28986E" w14:textId="7EC3DF4F"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7F6C6AC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7D4A5F89" w14:textId="249A5D1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294010F8" w14:textId="50F2A1C2"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A3139B" w:rsidRPr="00A92EC7" w14:paraId="7911C2EE" w14:textId="77777777" w:rsidTr="00B34983">
        <w:tc>
          <w:tcPr>
            <w:tcW w:w="736" w:type="pct"/>
            <w:hideMark/>
          </w:tcPr>
          <w:p w14:paraId="0401F681"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5.3. pašvaldību budžets</w:t>
            </w:r>
          </w:p>
        </w:tc>
        <w:tc>
          <w:tcPr>
            <w:tcW w:w="562" w:type="pct"/>
            <w:vMerge/>
            <w:hideMark/>
          </w:tcPr>
          <w:p w14:paraId="5A5A7493"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63" w:type="pct"/>
          </w:tcPr>
          <w:p w14:paraId="5B3710B4" w14:textId="5DAB8A8D"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2" w:type="pct"/>
            <w:vMerge/>
            <w:hideMark/>
          </w:tcPr>
          <w:p w14:paraId="6A88B968"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652" w:type="pct"/>
          </w:tcPr>
          <w:p w14:paraId="1A3DB9D4" w14:textId="3B5ACB4B"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589" w:type="pct"/>
            <w:vMerge/>
            <w:hideMark/>
          </w:tcPr>
          <w:p w14:paraId="4D0EB4D5"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p>
        </w:tc>
        <w:tc>
          <w:tcPr>
            <w:tcW w:w="589" w:type="pct"/>
          </w:tcPr>
          <w:p w14:paraId="483C3FC5" w14:textId="07347E39"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c>
          <w:tcPr>
            <w:tcW w:w="657" w:type="pct"/>
          </w:tcPr>
          <w:p w14:paraId="4A675417" w14:textId="03DB1605"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0</w:t>
            </w:r>
          </w:p>
        </w:tc>
      </w:tr>
      <w:tr w:rsidR="00EC0EE0" w:rsidRPr="00A92EC7" w14:paraId="47A2C88F" w14:textId="77777777" w:rsidTr="00E459CD">
        <w:tc>
          <w:tcPr>
            <w:tcW w:w="736" w:type="pct"/>
            <w:hideMark/>
          </w:tcPr>
          <w:p w14:paraId="397016B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6. Detalizēts ieņēmumu un izdevumu aprēķins (ja nepieciešams, detalizētu ieņēmumu un </w:t>
            </w:r>
            <w:r w:rsidRPr="00A92EC7">
              <w:rPr>
                <w:rFonts w:ascii="Times New Roman" w:eastAsia="Times New Roman" w:hAnsi="Times New Roman"/>
                <w:iCs/>
                <w:sz w:val="24"/>
                <w:szCs w:val="24"/>
                <w:lang w:eastAsia="lv-LV"/>
              </w:rPr>
              <w:lastRenderedPageBreak/>
              <w:t>izdevumu aprēķinu var pievienot anotācijas pielikumā)</w:t>
            </w:r>
          </w:p>
        </w:tc>
        <w:tc>
          <w:tcPr>
            <w:tcW w:w="4264" w:type="pct"/>
            <w:gridSpan w:val="7"/>
            <w:vMerge w:val="restart"/>
          </w:tcPr>
          <w:p w14:paraId="52C915E3" w14:textId="5090AE07"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lastRenderedPageBreak/>
              <w:t>MK noteikumos Nr.38 norādītais SAM 4.1.1 otrās atlases kārtas pieejamais KF finansējums ir 15</w:t>
            </w:r>
            <w:r w:rsidR="005322C0">
              <w:rPr>
                <w:rFonts w:ascii="Times New Roman" w:hAnsi="Times New Roman"/>
                <w:sz w:val="24"/>
                <w:szCs w:val="24"/>
              </w:rPr>
              <w:t> </w:t>
            </w:r>
            <w:r w:rsidRPr="00A92EC7">
              <w:rPr>
                <w:rFonts w:ascii="Times New Roman" w:hAnsi="Times New Roman"/>
                <w:sz w:val="24"/>
                <w:szCs w:val="24"/>
              </w:rPr>
              <w:t>373</w:t>
            </w:r>
            <w:r w:rsidR="005322C0">
              <w:rPr>
                <w:rFonts w:ascii="Times New Roman" w:hAnsi="Times New Roman"/>
                <w:sz w:val="24"/>
                <w:szCs w:val="24"/>
              </w:rPr>
              <w:t> </w:t>
            </w:r>
            <w:r w:rsidRPr="00A92EC7">
              <w:rPr>
                <w:rFonts w:ascii="Times New Roman" w:hAnsi="Times New Roman"/>
                <w:sz w:val="24"/>
                <w:szCs w:val="24"/>
              </w:rPr>
              <w:t xml:space="preserve">430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Pēc faktiskās situācijas (dati fiksēti uz 2019</w:t>
            </w:r>
            <w:r w:rsidR="009F40CD">
              <w:rPr>
                <w:rFonts w:ascii="Times New Roman" w:hAnsi="Times New Roman"/>
                <w:sz w:val="24"/>
                <w:szCs w:val="24"/>
              </w:rPr>
              <w:t xml:space="preserve">.gada </w:t>
            </w:r>
            <w:r w:rsidR="005C1C75">
              <w:rPr>
                <w:rFonts w:ascii="Times New Roman" w:hAnsi="Times New Roman"/>
                <w:sz w:val="24"/>
                <w:szCs w:val="24"/>
              </w:rPr>
              <w:t>9.oktobri</w:t>
            </w:r>
            <w:r w:rsidRPr="00A92EC7">
              <w:rPr>
                <w:rFonts w:ascii="Times New Roman" w:hAnsi="Times New Roman"/>
                <w:sz w:val="24"/>
                <w:szCs w:val="24"/>
              </w:rPr>
              <w:t>) kopējais pieprasītais KF finansējums</w:t>
            </w:r>
            <w:r w:rsidR="00D1002B">
              <w:rPr>
                <w:rFonts w:ascii="Times New Roman" w:hAnsi="Times New Roman"/>
                <w:sz w:val="24"/>
                <w:szCs w:val="24"/>
              </w:rPr>
              <w:t xml:space="preserve"> atbalstītajiem</w:t>
            </w:r>
            <w:r w:rsidRPr="00A92EC7">
              <w:rPr>
                <w:rFonts w:ascii="Times New Roman" w:hAnsi="Times New Roman"/>
                <w:sz w:val="24"/>
                <w:szCs w:val="24"/>
              </w:rPr>
              <w:t xml:space="preserve"> projektiem</w:t>
            </w:r>
            <w:r w:rsidR="00D1002B">
              <w:rPr>
                <w:rFonts w:ascii="Times New Roman" w:hAnsi="Times New Roman"/>
                <w:sz w:val="24"/>
                <w:szCs w:val="24"/>
              </w:rPr>
              <w:t xml:space="preserve"> </w:t>
            </w:r>
            <w:r w:rsidRPr="00A92EC7">
              <w:rPr>
                <w:rFonts w:ascii="Times New Roman" w:hAnsi="Times New Roman"/>
                <w:sz w:val="24"/>
                <w:szCs w:val="24"/>
              </w:rPr>
              <w:t xml:space="preserve">ir </w:t>
            </w:r>
            <w:r w:rsidR="00D1002B">
              <w:rPr>
                <w:rFonts w:ascii="Times New Roman" w:hAnsi="Times New Roman"/>
                <w:sz w:val="24"/>
                <w:szCs w:val="24"/>
              </w:rPr>
              <w:t>6 </w:t>
            </w:r>
            <w:r w:rsidR="005C1C75">
              <w:rPr>
                <w:rFonts w:ascii="Times New Roman" w:hAnsi="Times New Roman"/>
                <w:sz w:val="24"/>
                <w:szCs w:val="24"/>
              </w:rPr>
              <w:t>168 725</w:t>
            </w:r>
            <w:r w:rsidR="005C1C75" w:rsidRPr="00A92EC7">
              <w:rPr>
                <w:rFonts w:ascii="Times New Roman" w:hAnsi="Times New Roman"/>
                <w:sz w:val="24"/>
                <w:szCs w:val="24"/>
              </w:rPr>
              <w:t xml:space="preserve">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Līdz ar to izveidojies KF finansējuma pārpalikums </w:t>
            </w:r>
            <w:r w:rsidR="00D1002B">
              <w:rPr>
                <w:rFonts w:ascii="Times New Roman" w:hAnsi="Times New Roman"/>
                <w:sz w:val="24"/>
                <w:szCs w:val="24"/>
              </w:rPr>
              <w:t>9 </w:t>
            </w:r>
            <w:r w:rsidR="005C1C75">
              <w:rPr>
                <w:rFonts w:ascii="Times New Roman" w:hAnsi="Times New Roman"/>
                <w:sz w:val="24"/>
                <w:szCs w:val="24"/>
              </w:rPr>
              <w:t xml:space="preserve">204 705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Noteikumu projekts paredz precizēt atlases kārtā pieejamo KF finansējuma apmēru, neizmantoto KF finansējumu </w:t>
            </w:r>
            <w:r w:rsidR="00D1002B">
              <w:rPr>
                <w:rFonts w:ascii="Times New Roman" w:hAnsi="Times New Roman"/>
                <w:sz w:val="24"/>
                <w:szCs w:val="24"/>
              </w:rPr>
              <w:t>9 </w:t>
            </w:r>
            <w:r w:rsidR="005C1C75">
              <w:rPr>
                <w:rFonts w:ascii="Times New Roman" w:hAnsi="Times New Roman"/>
                <w:sz w:val="24"/>
                <w:szCs w:val="24"/>
              </w:rPr>
              <w:t xml:space="preserve">204 705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novirzot SAM 4.1.1. trešās kārtas īstenošanai. </w:t>
            </w:r>
          </w:p>
          <w:p w14:paraId="2269FF44" w14:textId="64567105"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lastRenderedPageBreak/>
              <w:t>Attiecībā uz ietekmi uz budžetu un prognozēm, norādāms, ka līdz šim tika prognozēts, ka SAM 4.1.1. otrās atlases kārtas ietvaros 2018.gadā tiks izmaksāts KF finansējums 3</w:t>
            </w:r>
            <w:r w:rsidR="005322C0">
              <w:rPr>
                <w:rFonts w:ascii="Times New Roman" w:hAnsi="Times New Roman"/>
                <w:sz w:val="24"/>
                <w:szCs w:val="24"/>
              </w:rPr>
              <w:t> </w:t>
            </w:r>
            <w:r w:rsidRPr="00A92EC7">
              <w:rPr>
                <w:rFonts w:ascii="Times New Roman" w:hAnsi="Times New Roman"/>
                <w:sz w:val="24"/>
                <w:szCs w:val="24"/>
              </w:rPr>
              <w:t>255</w:t>
            </w:r>
            <w:r w:rsidR="005322C0">
              <w:rPr>
                <w:rFonts w:ascii="Times New Roman" w:hAnsi="Times New Roman"/>
                <w:sz w:val="24"/>
                <w:szCs w:val="24"/>
              </w:rPr>
              <w:t> </w:t>
            </w:r>
            <w:r w:rsidRPr="00A92EC7">
              <w:rPr>
                <w:rFonts w:ascii="Times New Roman" w:hAnsi="Times New Roman"/>
                <w:sz w:val="24"/>
                <w:szCs w:val="24"/>
              </w:rPr>
              <w:t xml:space="preserve">503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apmērā, 2019.gadā – 6</w:t>
            </w:r>
            <w:r w:rsidR="00281A8E">
              <w:rPr>
                <w:rFonts w:ascii="Times New Roman" w:hAnsi="Times New Roman"/>
                <w:sz w:val="24"/>
                <w:szCs w:val="24"/>
              </w:rPr>
              <w:t> </w:t>
            </w:r>
            <w:r w:rsidR="00281A8E" w:rsidRPr="00A92EC7">
              <w:rPr>
                <w:rFonts w:ascii="Times New Roman" w:hAnsi="Times New Roman"/>
                <w:sz w:val="24"/>
                <w:szCs w:val="24"/>
              </w:rPr>
              <w:t>511</w:t>
            </w:r>
            <w:r w:rsidR="00281A8E">
              <w:rPr>
                <w:rFonts w:ascii="Times New Roman" w:hAnsi="Times New Roman"/>
                <w:sz w:val="24"/>
                <w:szCs w:val="24"/>
              </w:rPr>
              <w:t> </w:t>
            </w:r>
            <w:r w:rsidRPr="00A92EC7">
              <w:rPr>
                <w:rFonts w:ascii="Times New Roman" w:hAnsi="Times New Roman"/>
                <w:sz w:val="24"/>
                <w:szCs w:val="24"/>
              </w:rPr>
              <w:t xml:space="preserve">006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bet 2020.gadā – 5</w:t>
            </w:r>
            <w:r w:rsidR="005322C0">
              <w:rPr>
                <w:rFonts w:ascii="Times New Roman" w:hAnsi="Times New Roman"/>
                <w:sz w:val="24"/>
                <w:szCs w:val="24"/>
              </w:rPr>
              <w:t> </w:t>
            </w:r>
            <w:r w:rsidRPr="00A92EC7">
              <w:rPr>
                <w:rFonts w:ascii="Times New Roman" w:hAnsi="Times New Roman"/>
                <w:sz w:val="24"/>
                <w:szCs w:val="24"/>
              </w:rPr>
              <w:t>606</w:t>
            </w:r>
            <w:r w:rsidR="005322C0">
              <w:rPr>
                <w:rFonts w:ascii="Times New Roman" w:hAnsi="Times New Roman"/>
                <w:sz w:val="24"/>
                <w:szCs w:val="24"/>
              </w:rPr>
              <w:t> </w:t>
            </w:r>
            <w:r w:rsidRPr="00A92EC7">
              <w:rPr>
                <w:rFonts w:ascii="Times New Roman" w:hAnsi="Times New Roman"/>
                <w:sz w:val="24"/>
                <w:szCs w:val="24"/>
              </w:rPr>
              <w:t xml:space="preserve">921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Ar iepriekš veiktajām prognozēm ir iespējams iepazīties MK noteikumu Nr.38 anotācijā. </w:t>
            </w:r>
          </w:p>
          <w:p w14:paraId="1C24B790" w14:textId="09645CDA" w:rsidR="00EC0EE0" w:rsidRPr="00A92EC7" w:rsidRDefault="00EC0EE0" w:rsidP="00A70B06">
            <w:pPr>
              <w:spacing w:after="0" w:line="240" w:lineRule="auto"/>
              <w:ind w:left="8" w:right="130" w:firstLine="305"/>
              <w:contextualSpacing/>
              <w:jc w:val="both"/>
              <w:rPr>
                <w:rFonts w:ascii="Times New Roman" w:hAnsi="Times New Roman"/>
                <w:sz w:val="24"/>
                <w:szCs w:val="24"/>
              </w:rPr>
            </w:pPr>
            <w:r w:rsidRPr="00A92EC7">
              <w:rPr>
                <w:rFonts w:ascii="Times New Roman" w:hAnsi="Times New Roman"/>
                <w:sz w:val="24"/>
                <w:szCs w:val="24"/>
              </w:rPr>
              <w:t>Pēc faktiskās situācijas 2018.gadā tika noslēgti līgumi tikai par 4 projektu īstenošanu, kuru ietvaros 2018.gadā netika pieprasīts KF finansējums. Līdz ar to netika izpildīta arī 2018.gada prognoze. Ņemot vērā minēto, attiecībā uz prognozēm 2019. un 2020.gada prognozes tiks samazinātas par 5 </w:t>
            </w:r>
            <w:r w:rsidR="005C1C75">
              <w:rPr>
                <w:rFonts w:ascii="Times New Roman" w:hAnsi="Times New Roman"/>
                <w:sz w:val="24"/>
                <w:szCs w:val="24"/>
              </w:rPr>
              <w:t>949</w:t>
            </w:r>
            <w:r w:rsidR="005C1C75" w:rsidRPr="00A92EC7">
              <w:rPr>
                <w:rFonts w:ascii="Times New Roman" w:hAnsi="Times New Roman"/>
                <w:sz w:val="24"/>
                <w:szCs w:val="24"/>
              </w:rPr>
              <w:t> </w:t>
            </w:r>
            <w:r w:rsidR="005C1C75">
              <w:rPr>
                <w:rFonts w:ascii="Times New Roman" w:hAnsi="Times New Roman"/>
                <w:sz w:val="24"/>
                <w:szCs w:val="24"/>
              </w:rPr>
              <w:t>202</w:t>
            </w:r>
            <w:r w:rsidR="005C1C75" w:rsidRPr="00A92EC7">
              <w:rPr>
                <w:rFonts w:ascii="Times New Roman" w:hAnsi="Times New Roman"/>
                <w:sz w:val="24"/>
                <w:szCs w:val="24"/>
              </w:rPr>
              <w:t xml:space="preserve">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w:t>
            </w:r>
            <w:r w:rsidR="00D1002B">
              <w:rPr>
                <w:rFonts w:ascii="Times New Roman" w:hAnsi="Times New Roman"/>
                <w:sz w:val="24"/>
                <w:szCs w:val="24"/>
              </w:rPr>
              <w:t>9 </w:t>
            </w:r>
            <w:r w:rsidR="005C1C75">
              <w:rPr>
                <w:rFonts w:ascii="Times New Roman" w:hAnsi="Times New Roman"/>
                <w:sz w:val="24"/>
                <w:szCs w:val="24"/>
              </w:rPr>
              <w:t xml:space="preserve">204 705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(pārpalikums) – 3 255 503 </w:t>
            </w:r>
            <w:proofErr w:type="spellStart"/>
            <w:r w:rsidRPr="00A92EC7">
              <w:rPr>
                <w:rFonts w:ascii="Times New Roman" w:hAnsi="Times New Roman"/>
                <w:i/>
                <w:sz w:val="24"/>
                <w:szCs w:val="24"/>
              </w:rPr>
              <w:t>euro</w:t>
            </w:r>
            <w:proofErr w:type="spellEnd"/>
            <w:r w:rsidRPr="00A92EC7">
              <w:rPr>
                <w:rFonts w:ascii="Times New Roman" w:hAnsi="Times New Roman"/>
                <w:sz w:val="24"/>
                <w:szCs w:val="24"/>
              </w:rPr>
              <w:t xml:space="preserve"> (2018.gada neizpildītā prognoze)). </w:t>
            </w:r>
          </w:p>
        </w:tc>
      </w:tr>
      <w:tr w:rsidR="00EC0EE0" w:rsidRPr="00A92EC7" w14:paraId="66FAF928" w14:textId="77777777" w:rsidTr="00E459CD">
        <w:tc>
          <w:tcPr>
            <w:tcW w:w="736" w:type="pct"/>
            <w:hideMark/>
          </w:tcPr>
          <w:p w14:paraId="4AF4E719"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lastRenderedPageBreak/>
              <w:t>6.1. detalizēts ieņēmumu aprēķins</w:t>
            </w:r>
          </w:p>
        </w:tc>
        <w:tc>
          <w:tcPr>
            <w:tcW w:w="4264" w:type="pct"/>
            <w:gridSpan w:val="7"/>
            <w:vMerge/>
          </w:tcPr>
          <w:p w14:paraId="3052790F" w14:textId="77777777"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p>
        </w:tc>
      </w:tr>
      <w:tr w:rsidR="00EC0EE0" w:rsidRPr="00A92EC7" w14:paraId="192BF9DE" w14:textId="77777777" w:rsidTr="00E459CD">
        <w:tc>
          <w:tcPr>
            <w:tcW w:w="736" w:type="pct"/>
            <w:hideMark/>
          </w:tcPr>
          <w:p w14:paraId="45356306"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6.2. detalizēts izdevumu aprēķins</w:t>
            </w:r>
          </w:p>
        </w:tc>
        <w:tc>
          <w:tcPr>
            <w:tcW w:w="4264" w:type="pct"/>
            <w:gridSpan w:val="7"/>
            <w:vMerge/>
          </w:tcPr>
          <w:p w14:paraId="2C24C1CF" w14:textId="77777777" w:rsidR="00EC0EE0" w:rsidRPr="00A92EC7" w:rsidRDefault="00EC0EE0" w:rsidP="00EC0EE0">
            <w:pPr>
              <w:spacing w:after="0" w:line="240" w:lineRule="auto"/>
              <w:contextualSpacing/>
              <w:rPr>
                <w:rFonts w:ascii="Times New Roman" w:eastAsia="Times New Roman" w:hAnsi="Times New Roman"/>
                <w:iCs/>
                <w:sz w:val="24"/>
                <w:szCs w:val="24"/>
                <w:highlight w:val="yellow"/>
                <w:lang w:eastAsia="lv-LV"/>
              </w:rPr>
            </w:pPr>
          </w:p>
        </w:tc>
      </w:tr>
      <w:tr w:rsidR="00EC0EE0" w:rsidRPr="00A92EC7" w14:paraId="0589E1EB" w14:textId="77777777" w:rsidTr="00E459CD">
        <w:tc>
          <w:tcPr>
            <w:tcW w:w="736" w:type="pct"/>
            <w:hideMark/>
          </w:tcPr>
          <w:p w14:paraId="471D810E"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7. Amata vietu skaita izmaiņas</w:t>
            </w:r>
          </w:p>
        </w:tc>
        <w:tc>
          <w:tcPr>
            <w:tcW w:w="4264" w:type="pct"/>
            <w:gridSpan w:val="7"/>
          </w:tcPr>
          <w:p w14:paraId="51ECD3E5" w14:textId="57EA8FB6" w:rsidR="00EC0EE0" w:rsidRPr="004021C2" w:rsidRDefault="00EC0EE0"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eastAsia="Times New Roman" w:hAnsi="Times New Roman"/>
                <w:iCs/>
                <w:sz w:val="24"/>
                <w:szCs w:val="24"/>
                <w:lang w:eastAsia="lv-LV"/>
              </w:rPr>
              <w:t>Projekts</w:t>
            </w:r>
            <w:r w:rsidRPr="00A92EC7">
              <w:rPr>
                <w:rFonts w:ascii="Times New Roman" w:eastAsia="Times New Roman" w:hAnsi="Times New Roman"/>
                <w:iCs/>
                <w:sz w:val="24"/>
                <w:szCs w:val="24"/>
                <w:lang w:eastAsia="lv-LV"/>
              </w:rPr>
              <w:t xml:space="preserve"> šo jomu neskar</w:t>
            </w:r>
          </w:p>
        </w:tc>
      </w:tr>
      <w:tr w:rsidR="00EC0EE0" w:rsidRPr="00A92EC7" w14:paraId="55BF00BE" w14:textId="77777777" w:rsidTr="00E459CD">
        <w:tc>
          <w:tcPr>
            <w:tcW w:w="736" w:type="pct"/>
            <w:hideMark/>
          </w:tcPr>
          <w:p w14:paraId="15ACB32A" w14:textId="77777777" w:rsidR="00EC0EE0" w:rsidRPr="00A92EC7" w:rsidRDefault="00EC0EE0" w:rsidP="00EC0EE0">
            <w:pPr>
              <w:spacing w:after="0" w:line="240" w:lineRule="auto"/>
              <w:contextualSpacing/>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8. Cita informācija</w:t>
            </w:r>
          </w:p>
        </w:tc>
        <w:tc>
          <w:tcPr>
            <w:tcW w:w="4264" w:type="pct"/>
            <w:gridSpan w:val="7"/>
            <w:hideMark/>
          </w:tcPr>
          <w:p w14:paraId="1D620DFA" w14:textId="5C9813C7" w:rsidR="00EC0EE0" w:rsidRPr="004021C2" w:rsidRDefault="00EC0EE0" w:rsidP="004021C2">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Nav</w:t>
            </w:r>
          </w:p>
        </w:tc>
      </w:tr>
    </w:tbl>
    <w:p w14:paraId="002FF637" w14:textId="77777777" w:rsidR="00B33EFB" w:rsidRPr="00A92EC7" w:rsidRDefault="00B33EFB" w:rsidP="00871FC0">
      <w:pPr>
        <w:spacing w:after="0" w:line="240" w:lineRule="auto"/>
        <w:contextualSpacing/>
        <w:rPr>
          <w:rFonts w:ascii="Times New Roman" w:hAnsi="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371"/>
      </w:tblGrid>
      <w:tr w:rsidR="00DB51F9" w:rsidRPr="007F5AE9" w14:paraId="615415EE" w14:textId="77777777" w:rsidTr="00DB51F9">
        <w:tc>
          <w:tcPr>
            <w:tcW w:w="9639" w:type="dxa"/>
            <w:gridSpan w:val="3"/>
            <w:hideMark/>
          </w:tcPr>
          <w:p w14:paraId="26713D94" w14:textId="77777777" w:rsidR="00DB51F9" w:rsidRPr="007F5AE9" w:rsidRDefault="00DB51F9"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DB51F9" w:rsidRPr="00F513D9" w14:paraId="3381D099"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71DA2A05"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598AE47F"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371" w:type="dxa"/>
            <w:tcBorders>
              <w:top w:val="single" w:sz="4" w:space="0" w:color="auto"/>
              <w:left w:val="single" w:sz="4" w:space="0" w:color="auto"/>
              <w:bottom w:val="single" w:sz="4" w:space="0" w:color="auto"/>
              <w:right w:val="single" w:sz="4" w:space="0" w:color="auto"/>
            </w:tcBorders>
            <w:hideMark/>
          </w:tcPr>
          <w:p w14:paraId="716D5A53" w14:textId="6957C665" w:rsidR="00DB51F9" w:rsidRDefault="00DB51F9" w:rsidP="00AB3DFD">
            <w:pPr>
              <w:spacing w:after="0" w:line="240" w:lineRule="auto"/>
              <w:ind w:firstLine="253"/>
              <w:contextualSpacing/>
              <w:jc w:val="both"/>
              <w:rPr>
                <w:rFonts w:ascii="Times New Roman" w:hAnsi="Times New Roman"/>
                <w:sz w:val="24"/>
                <w:szCs w:val="24"/>
              </w:rPr>
            </w:pPr>
            <w:r>
              <w:rPr>
                <w:rFonts w:ascii="Times New Roman" w:hAnsi="Times New Roman"/>
                <w:sz w:val="24"/>
                <w:szCs w:val="24"/>
              </w:rPr>
              <w:t xml:space="preserve">Ņemot vērā, ka noteikumu projekts paredz samazināt KF finansējumu atbilstoši faktiski pieprasītajam KF finansējumam un pārdalīt finansējuma pārpalikumu SAM 4.1.1. trešās kārtas īstenošanai, vienlaikus ar Noteikumu projektu izsludināšanai Valsts sekretāru sanāksmē </w:t>
            </w:r>
            <w:r w:rsidR="00AB3DFD">
              <w:rPr>
                <w:rFonts w:ascii="Times New Roman" w:hAnsi="Times New Roman"/>
                <w:sz w:val="24"/>
                <w:szCs w:val="24"/>
              </w:rPr>
              <w:t xml:space="preserve">tika virzīts </w:t>
            </w:r>
            <w:r>
              <w:rPr>
                <w:rFonts w:ascii="Times New Roman" w:hAnsi="Times New Roman"/>
                <w:sz w:val="24"/>
                <w:szCs w:val="24"/>
              </w:rPr>
              <w:t>sekojoši Ministru kabineta noteikumu projekt</w:t>
            </w:r>
            <w:r w:rsidR="00AB3DFD">
              <w:rPr>
                <w:rFonts w:ascii="Times New Roman" w:hAnsi="Times New Roman"/>
                <w:sz w:val="24"/>
                <w:szCs w:val="24"/>
              </w:rPr>
              <w:t>s “</w:t>
            </w:r>
            <w:r w:rsidRPr="00D510DC">
              <w:rPr>
                <w:rFonts w:ascii="Times New Roman" w:hAnsi="Times New Roman"/>
                <w:sz w:val="24"/>
                <w:szCs w:val="24"/>
              </w:rPr>
              <w:t>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p>
          <w:p w14:paraId="0B2F18FE" w14:textId="77777777" w:rsidR="00AB3DFD" w:rsidRPr="003141A2" w:rsidRDefault="00AB3DFD" w:rsidP="00D510DC">
            <w:pPr>
              <w:spacing w:after="0" w:line="240" w:lineRule="auto"/>
              <w:ind w:right="130"/>
              <w:contextualSpacing/>
              <w:jc w:val="both"/>
              <w:rPr>
                <w:rFonts w:ascii="Times New Roman" w:hAnsi="Times New Roman"/>
                <w:sz w:val="24"/>
                <w:szCs w:val="24"/>
              </w:rPr>
            </w:pPr>
            <w:r>
              <w:rPr>
                <w:rFonts w:ascii="Times New Roman" w:hAnsi="Times New Roman"/>
                <w:sz w:val="24"/>
                <w:szCs w:val="24"/>
              </w:rPr>
              <w:t>Minētie noteikumu projekti Ministru kabinetā tiks virzīti vienlaicīgi.</w:t>
            </w:r>
          </w:p>
          <w:p w14:paraId="706A27B2" w14:textId="3B84D1B1" w:rsidR="00AB3DFD" w:rsidRPr="00615F7B" w:rsidRDefault="00AB3DFD" w:rsidP="00D510DC">
            <w:pPr>
              <w:spacing w:after="0" w:line="240" w:lineRule="auto"/>
              <w:ind w:firstLine="253"/>
              <w:contextualSpacing/>
              <w:jc w:val="both"/>
            </w:pPr>
          </w:p>
        </w:tc>
      </w:tr>
      <w:tr w:rsidR="00DB51F9" w:rsidRPr="00F513D9" w14:paraId="2996E28E"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62C5E05"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3F1F9087"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371" w:type="dxa"/>
            <w:tcBorders>
              <w:top w:val="single" w:sz="4" w:space="0" w:color="auto"/>
              <w:left w:val="single" w:sz="4" w:space="0" w:color="auto"/>
              <w:bottom w:val="single" w:sz="4" w:space="0" w:color="auto"/>
              <w:right w:val="single" w:sz="4" w:space="0" w:color="auto"/>
            </w:tcBorders>
            <w:hideMark/>
          </w:tcPr>
          <w:p w14:paraId="38F8530D" w14:textId="77777777" w:rsidR="00DB51F9" w:rsidRPr="00F513D9" w:rsidRDefault="00DB51F9" w:rsidP="00C7475F">
            <w:pPr>
              <w:spacing w:after="0" w:line="240" w:lineRule="auto"/>
              <w:ind w:right="130" w:firstLine="170"/>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DB51F9" w:rsidRPr="00F513D9" w14:paraId="29F11E80" w14:textId="77777777" w:rsidTr="00DB51F9">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C7E2A58"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2F2B33C2" w14:textId="77777777" w:rsidR="00DB51F9" w:rsidRPr="00F513D9" w:rsidRDefault="00DB51F9"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371" w:type="dxa"/>
            <w:tcBorders>
              <w:top w:val="single" w:sz="4" w:space="0" w:color="auto"/>
              <w:left w:val="single" w:sz="4" w:space="0" w:color="auto"/>
              <w:bottom w:val="single" w:sz="4" w:space="0" w:color="auto"/>
              <w:right w:val="single" w:sz="4" w:space="0" w:color="auto"/>
            </w:tcBorders>
            <w:hideMark/>
          </w:tcPr>
          <w:p w14:paraId="276D5F63" w14:textId="77777777" w:rsidR="00DB51F9" w:rsidRPr="00F513D9" w:rsidRDefault="00DB51F9" w:rsidP="00C7475F">
            <w:pPr>
              <w:spacing w:after="0" w:line="240" w:lineRule="auto"/>
              <w:ind w:right="130" w:firstLine="170"/>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77777777" w:rsidR="00E26CFB" w:rsidRPr="00A92EC7" w:rsidRDefault="00E26CFB" w:rsidP="00871FC0">
      <w:pPr>
        <w:spacing w:after="0" w:line="240" w:lineRule="auto"/>
        <w:contextualSpacing/>
        <w:rPr>
          <w:rFonts w:ascii="Times New Roman" w:hAnsi="Times New Roman"/>
          <w:sz w:val="24"/>
          <w:szCs w:val="24"/>
        </w:rPr>
      </w:pPr>
    </w:p>
    <w:tbl>
      <w:tblPr>
        <w:tblW w:w="96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15"/>
        <w:gridCol w:w="1825"/>
        <w:gridCol w:w="991"/>
        <w:gridCol w:w="1305"/>
        <w:gridCol w:w="2329"/>
        <w:gridCol w:w="2881"/>
        <w:gridCol w:w="308"/>
      </w:tblGrid>
      <w:tr w:rsidR="00413491" w14:paraId="25FE329A" w14:textId="77777777" w:rsidTr="00413491">
        <w:trPr>
          <w:gridBefore w:val="2"/>
          <w:wBefore w:w="45" w:type="dxa"/>
          <w:trHeight w:val="229"/>
        </w:trPr>
        <w:tc>
          <w:tcPr>
            <w:tcW w:w="9639" w:type="dxa"/>
            <w:gridSpan w:val="6"/>
            <w:tcBorders>
              <w:top w:val="single" w:sz="4" w:space="0" w:color="auto"/>
              <w:left w:val="single" w:sz="4" w:space="0" w:color="auto"/>
              <w:bottom w:val="single" w:sz="4" w:space="0" w:color="auto"/>
              <w:right w:val="single" w:sz="4" w:space="0" w:color="auto"/>
            </w:tcBorders>
          </w:tcPr>
          <w:p w14:paraId="394BA4CE" w14:textId="77777777" w:rsidR="00413491" w:rsidRPr="00413491" w:rsidRDefault="00413491" w:rsidP="00F62525">
            <w:pPr>
              <w:spacing w:before="120" w:after="120" w:line="240" w:lineRule="auto"/>
              <w:jc w:val="center"/>
              <w:rPr>
                <w:rFonts w:ascii="Times New Roman" w:hAnsi="Times New Roman"/>
                <w:sz w:val="24"/>
                <w:szCs w:val="24"/>
              </w:rPr>
            </w:pPr>
            <w:r w:rsidRPr="00413491">
              <w:rPr>
                <w:rFonts w:ascii="Times New Roman" w:hAnsi="Times New Roman"/>
                <w:sz w:val="24"/>
                <w:szCs w:val="24"/>
              </w:rPr>
              <w:t>V. Tiesību akta projekta atbilstība Latvijas Republikas starptautiskajām saistībām</w:t>
            </w:r>
          </w:p>
        </w:tc>
      </w:tr>
      <w:tr w:rsidR="00413491" w14:paraId="61A0DF63" w14:textId="77777777" w:rsidTr="00413491">
        <w:trPr>
          <w:gridAfter w:val="1"/>
          <w:wAfter w:w="308" w:type="dxa"/>
        </w:trPr>
        <w:tc>
          <w:tcPr>
            <w:tcW w:w="30" w:type="dxa"/>
          </w:tcPr>
          <w:p w14:paraId="23E80787" w14:textId="77777777" w:rsidR="00413491" w:rsidRPr="00B719FC" w:rsidRDefault="00413491" w:rsidP="00F62525">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1" w:type="dxa"/>
            <w:gridSpan w:val="3"/>
          </w:tcPr>
          <w:p w14:paraId="177587C2" w14:textId="77777777" w:rsidR="00413491" w:rsidRPr="00B719FC" w:rsidRDefault="00413491"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6515" w:type="dxa"/>
            <w:gridSpan w:val="3"/>
          </w:tcPr>
          <w:p w14:paraId="12E5DC6B" w14:textId="77777777" w:rsidR="00413491" w:rsidRPr="00B719FC" w:rsidRDefault="00413491"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tiks ieviestas prasības no šādiem Eiropas Savienības tiesību aktiem:</w:t>
            </w:r>
          </w:p>
          <w:p w14:paraId="1745BE87" w14:textId="77777777" w:rsidR="00413491" w:rsidRDefault="00413491"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sidRPr="00B719FC">
              <w:rPr>
                <w:rFonts w:ascii="Times New Roman" w:hAnsi="Times New Roman"/>
                <w:bCs/>
                <w:sz w:val="24"/>
                <w:szCs w:val="24"/>
              </w:rPr>
              <w:t>Komisijas regula Nr. 651/2014</w:t>
            </w:r>
            <w:r>
              <w:rPr>
                <w:rFonts w:ascii="Times New Roman" w:hAnsi="Times New Roman"/>
                <w:bCs/>
                <w:sz w:val="24"/>
                <w:szCs w:val="24"/>
              </w:rPr>
              <w:t>;</w:t>
            </w:r>
          </w:p>
          <w:p w14:paraId="0E4C8F5F" w14:textId="77777777" w:rsidR="00413491" w:rsidRDefault="00413491"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Pr>
                <w:rFonts w:ascii="Times New Roman" w:hAnsi="Times New Roman"/>
                <w:bCs/>
                <w:sz w:val="24"/>
                <w:szCs w:val="24"/>
              </w:rPr>
              <w:t>Komisijas regula Nr.1407/2013</w:t>
            </w:r>
            <w:r w:rsidR="00525055">
              <w:rPr>
                <w:rFonts w:ascii="Times New Roman" w:hAnsi="Times New Roman"/>
                <w:bCs/>
                <w:sz w:val="24"/>
                <w:szCs w:val="24"/>
              </w:rPr>
              <w:t>;</w:t>
            </w:r>
          </w:p>
          <w:p w14:paraId="69AB09B9" w14:textId="2A669BEA" w:rsidR="00525055" w:rsidRPr="00B719FC" w:rsidRDefault="00525055" w:rsidP="00F62525">
            <w:pPr>
              <w:pStyle w:val="ListParagraph"/>
              <w:numPr>
                <w:ilvl w:val="1"/>
                <w:numId w:val="14"/>
              </w:numPr>
              <w:spacing w:before="120" w:after="120" w:line="240" w:lineRule="auto"/>
              <w:ind w:left="537" w:right="128"/>
              <w:contextualSpacing w:val="0"/>
              <w:jc w:val="both"/>
              <w:rPr>
                <w:rFonts w:ascii="Times New Roman" w:hAnsi="Times New Roman"/>
                <w:bCs/>
                <w:sz w:val="24"/>
                <w:szCs w:val="24"/>
              </w:rPr>
            </w:pPr>
            <w:r>
              <w:rPr>
                <w:rFonts w:ascii="Times New Roman" w:eastAsia="Times New Roman" w:hAnsi="Times New Roman"/>
                <w:sz w:val="24"/>
                <w:szCs w:val="24"/>
              </w:rPr>
              <w:t>Komisijas regula Nr.794/2004</w:t>
            </w:r>
            <w:r>
              <w:rPr>
                <w:rFonts w:ascii="Times New Roman" w:eastAsia="Times New Roman" w:hAnsi="Times New Roman"/>
                <w:sz w:val="24"/>
                <w:szCs w:val="24"/>
              </w:rPr>
              <w:t>.</w:t>
            </w:r>
          </w:p>
        </w:tc>
      </w:tr>
      <w:tr w:rsidR="00413491" w14:paraId="3CA6D687" w14:textId="77777777" w:rsidTr="00413491">
        <w:trPr>
          <w:gridAfter w:val="1"/>
          <w:wAfter w:w="308" w:type="dxa"/>
        </w:trPr>
        <w:tc>
          <w:tcPr>
            <w:tcW w:w="30" w:type="dxa"/>
          </w:tcPr>
          <w:p w14:paraId="73A6C95B" w14:textId="77777777" w:rsidR="00413491" w:rsidRPr="00B719FC"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1" w:type="dxa"/>
            <w:gridSpan w:val="3"/>
          </w:tcPr>
          <w:p w14:paraId="60879394" w14:textId="77777777" w:rsidR="00413491" w:rsidRPr="00B719FC" w:rsidRDefault="00413491"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6515" w:type="dxa"/>
            <w:gridSpan w:val="3"/>
          </w:tcPr>
          <w:p w14:paraId="4C3587C8" w14:textId="77777777" w:rsidR="00413491" w:rsidRPr="00B719FC" w:rsidRDefault="00413491" w:rsidP="00F62525">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413491" w14:paraId="369EFF11" w14:textId="77777777" w:rsidTr="00413491">
        <w:trPr>
          <w:gridAfter w:val="1"/>
          <w:wAfter w:w="308" w:type="dxa"/>
        </w:trPr>
        <w:tc>
          <w:tcPr>
            <w:tcW w:w="30" w:type="dxa"/>
          </w:tcPr>
          <w:p w14:paraId="6780CED5" w14:textId="77777777" w:rsidR="00413491" w:rsidRPr="00B719FC"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1" w:type="dxa"/>
            <w:gridSpan w:val="3"/>
          </w:tcPr>
          <w:p w14:paraId="538BC0C2" w14:textId="77777777" w:rsidR="00413491" w:rsidRPr="00B719FC" w:rsidRDefault="00413491" w:rsidP="00F62525">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6515" w:type="dxa"/>
            <w:gridSpan w:val="3"/>
          </w:tcPr>
          <w:p w14:paraId="336EA439" w14:textId="77777777" w:rsidR="00413491" w:rsidRPr="00B719FC" w:rsidRDefault="00413491" w:rsidP="00F62525">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r w:rsidR="00413491" w14:paraId="3C870B49" w14:textId="77777777" w:rsidTr="00413491">
        <w:trPr>
          <w:gridAfter w:val="1"/>
          <w:wAfter w:w="308" w:type="dxa"/>
        </w:trPr>
        <w:tc>
          <w:tcPr>
            <w:tcW w:w="9376" w:type="dxa"/>
            <w:gridSpan w:val="7"/>
            <w:hideMark/>
          </w:tcPr>
          <w:p w14:paraId="0CABF949" w14:textId="77777777" w:rsidR="00413491" w:rsidRPr="00E5753A" w:rsidRDefault="00413491" w:rsidP="00F62525">
            <w:pPr>
              <w:spacing w:before="120" w:after="120" w:line="240" w:lineRule="auto"/>
              <w:jc w:val="center"/>
              <w:rPr>
                <w:rFonts w:ascii="Times New Roman" w:hAnsi="Times New Roman"/>
                <w:b/>
                <w:bCs/>
                <w:sz w:val="24"/>
                <w:szCs w:val="24"/>
              </w:rPr>
            </w:pPr>
            <w:bookmarkStart w:id="6" w:name="_Hlk518477393"/>
            <w:r w:rsidRPr="003F5F93">
              <w:rPr>
                <w:rFonts w:ascii="Times New Roman" w:hAnsi="Times New Roman"/>
                <w:b/>
                <w:bCs/>
                <w:sz w:val="24"/>
                <w:szCs w:val="24"/>
              </w:rPr>
              <w:t>1.tabula. Tiesību akta projekta atbilstība ES tiesību aktiem</w:t>
            </w:r>
          </w:p>
        </w:tc>
      </w:tr>
      <w:tr w:rsidR="00413491" w14:paraId="18018934" w14:textId="77777777" w:rsidTr="00413491">
        <w:trPr>
          <w:gridAfter w:val="1"/>
          <w:wAfter w:w="308" w:type="dxa"/>
        </w:trPr>
        <w:tc>
          <w:tcPr>
            <w:tcW w:w="1870" w:type="dxa"/>
            <w:gridSpan w:val="3"/>
          </w:tcPr>
          <w:p w14:paraId="23C8B7FA"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7506" w:type="dxa"/>
            <w:gridSpan w:val="4"/>
          </w:tcPr>
          <w:p w14:paraId="6646BE18" w14:textId="77777777" w:rsidR="00413491" w:rsidRPr="00526878" w:rsidRDefault="00413491" w:rsidP="00F62525">
            <w:pPr>
              <w:pStyle w:val="naiskr"/>
              <w:spacing w:before="0" w:beforeAutospacing="0" w:after="0" w:afterAutospacing="0" w:line="276" w:lineRule="auto"/>
              <w:jc w:val="both"/>
            </w:pPr>
            <w:r w:rsidRPr="00526878">
              <w:t xml:space="preserve">Ar normatīvo aktu tiek ieviestas šāda Eiropas Savienības tiesību akta prasības: </w:t>
            </w:r>
          </w:p>
          <w:p w14:paraId="42F79B79" w14:textId="77777777" w:rsidR="00413491" w:rsidRDefault="00413491" w:rsidP="00F62525">
            <w:pPr>
              <w:pStyle w:val="naiskr"/>
              <w:numPr>
                <w:ilvl w:val="0"/>
                <w:numId w:val="16"/>
              </w:numPr>
              <w:spacing w:before="0" w:beforeAutospacing="0" w:after="0" w:afterAutospacing="0" w:line="276" w:lineRule="auto"/>
              <w:ind w:left="377"/>
              <w:jc w:val="both"/>
              <w:rPr>
                <w:lang w:eastAsia="en-US"/>
              </w:rPr>
            </w:pPr>
            <w:r w:rsidRPr="00526878">
              <w:rPr>
                <w:lang w:eastAsia="en-US"/>
              </w:rPr>
              <w:t>Komisijas regula Nr.</w:t>
            </w:r>
            <w:r w:rsidRPr="00526878">
              <w:rPr>
                <w:bCs/>
              </w:rPr>
              <w:t>651/2014</w:t>
            </w:r>
            <w:r>
              <w:rPr>
                <w:lang w:eastAsia="en-US"/>
              </w:rPr>
              <w:t>;</w:t>
            </w:r>
          </w:p>
          <w:p w14:paraId="158BB285" w14:textId="77777777" w:rsidR="00413491" w:rsidRDefault="00413491" w:rsidP="00F62525">
            <w:pPr>
              <w:pStyle w:val="naiskr"/>
              <w:numPr>
                <w:ilvl w:val="0"/>
                <w:numId w:val="16"/>
              </w:numPr>
              <w:spacing w:before="0" w:beforeAutospacing="0" w:after="0" w:afterAutospacing="0" w:line="276" w:lineRule="auto"/>
              <w:ind w:left="377"/>
              <w:jc w:val="both"/>
              <w:rPr>
                <w:lang w:eastAsia="en-US"/>
              </w:rPr>
            </w:pPr>
            <w:r>
              <w:rPr>
                <w:lang w:eastAsia="en-US"/>
              </w:rPr>
              <w:t>Komisijas regula Nr.1407/2013</w:t>
            </w:r>
            <w:r w:rsidR="00525055">
              <w:rPr>
                <w:lang w:eastAsia="en-US"/>
              </w:rPr>
              <w:t>;</w:t>
            </w:r>
          </w:p>
          <w:p w14:paraId="30145B5B" w14:textId="22653FBB" w:rsidR="00525055" w:rsidRPr="003F5F93" w:rsidRDefault="00525055" w:rsidP="00F62525">
            <w:pPr>
              <w:pStyle w:val="naiskr"/>
              <w:numPr>
                <w:ilvl w:val="0"/>
                <w:numId w:val="16"/>
              </w:numPr>
              <w:spacing w:before="0" w:beforeAutospacing="0" w:after="0" w:afterAutospacing="0" w:line="276" w:lineRule="auto"/>
              <w:ind w:left="377"/>
              <w:jc w:val="both"/>
              <w:rPr>
                <w:lang w:eastAsia="en-US"/>
              </w:rPr>
            </w:pPr>
            <w:r>
              <w:lastRenderedPageBreak/>
              <w:t>Komisijas regula Nr.794/2004</w:t>
            </w:r>
            <w:r>
              <w:t>.</w:t>
            </w:r>
          </w:p>
        </w:tc>
      </w:tr>
      <w:tr w:rsidR="00413491" w14:paraId="0779F84E" w14:textId="77777777" w:rsidTr="00413491">
        <w:trPr>
          <w:gridAfter w:val="1"/>
          <w:wAfter w:w="308" w:type="dxa"/>
        </w:trPr>
        <w:tc>
          <w:tcPr>
            <w:tcW w:w="1870" w:type="dxa"/>
            <w:gridSpan w:val="3"/>
          </w:tcPr>
          <w:p w14:paraId="0DF94CE3" w14:textId="77777777" w:rsidR="00413491" w:rsidRPr="003F5F93"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lastRenderedPageBreak/>
              <w:t>A</w:t>
            </w:r>
          </w:p>
        </w:tc>
        <w:tc>
          <w:tcPr>
            <w:tcW w:w="2296" w:type="dxa"/>
            <w:gridSpan w:val="2"/>
          </w:tcPr>
          <w:p w14:paraId="30074E66" w14:textId="77777777" w:rsidR="00413491" w:rsidRPr="003F5F93"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29" w:type="dxa"/>
          </w:tcPr>
          <w:p w14:paraId="23575FCB" w14:textId="77777777" w:rsidR="00413491" w:rsidRPr="003F5F93"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881" w:type="dxa"/>
          </w:tcPr>
          <w:p w14:paraId="6A02C62F" w14:textId="77777777" w:rsidR="00413491" w:rsidRPr="003F5F93" w:rsidRDefault="00413491" w:rsidP="00F62525">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413491" w14:paraId="01764041" w14:textId="77777777" w:rsidTr="00413491">
        <w:trPr>
          <w:gridAfter w:val="1"/>
          <w:wAfter w:w="308" w:type="dxa"/>
        </w:trPr>
        <w:tc>
          <w:tcPr>
            <w:tcW w:w="1870" w:type="dxa"/>
            <w:gridSpan w:val="3"/>
          </w:tcPr>
          <w:p w14:paraId="6D378C25"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(uzskaitot katru tiesību akta </w:t>
            </w:r>
          </w:p>
          <w:p w14:paraId="0708500C" w14:textId="77777777" w:rsidR="00413491" w:rsidRPr="003F5F93" w:rsidRDefault="00413491" w:rsidP="00F62525">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6" w:type="dxa"/>
            <w:gridSpan w:val="2"/>
          </w:tcPr>
          <w:p w14:paraId="64F37F59" w14:textId="77777777" w:rsidR="00413491" w:rsidRPr="003F5F93" w:rsidRDefault="00413491" w:rsidP="00F62525">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t>Projekta vienība, kas pārņem vai ievieš katru šīs tabulas A ailē minēto ES tiesību akta vienību, vai tiesību akts, kur attiecīgā ES tiesību akta vienība pārņemta vai ieviesta</w:t>
            </w:r>
          </w:p>
        </w:tc>
        <w:tc>
          <w:tcPr>
            <w:tcW w:w="2329" w:type="dxa"/>
          </w:tcPr>
          <w:p w14:paraId="6C6972DD"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A ailē minētās ES tiesību akta vienības tiek pārņemtas vai ieviestas pilnībā vai daļēji.</w:t>
            </w:r>
          </w:p>
          <w:p w14:paraId="246879F4"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571B4E3F"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881" w:type="dxa"/>
          </w:tcPr>
          <w:p w14:paraId="4D95A11A"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Informācija par to, vai šīs tabulas B ailē minētās projekta vienības paredz stingrākas prasības nekā šīs tabulas A ailē minētās ES tiesību akta vienības.</w:t>
            </w:r>
          </w:p>
          <w:p w14:paraId="0052309A"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6C1F225D" w14:textId="77777777" w:rsidR="00413491" w:rsidRPr="003F5F93" w:rsidRDefault="00413491" w:rsidP="00F62525">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13491" w14:paraId="77BB72A0" w14:textId="77777777" w:rsidTr="00413491">
        <w:trPr>
          <w:gridAfter w:val="1"/>
          <w:wAfter w:w="308" w:type="dxa"/>
          <w:trHeight w:val="1233"/>
        </w:trPr>
        <w:tc>
          <w:tcPr>
            <w:tcW w:w="1870" w:type="dxa"/>
            <w:gridSpan w:val="3"/>
          </w:tcPr>
          <w:p w14:paraId="308B9FDB" w14:textId="6F07A8BB" w:rsidR="00413491" w:rsidRDefault="00413491" w:rsidP="00F62525">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regulas Nr. 651/2014 2.panta 28.punkts</w:t>
            </w:r>
          </w:p>
        </w:tc>
        <w:tc>
          <w:tcPr>
            <w:tcW w:w="2296" w:type="dxa"/>
            <w:gridSpan w:val="2"/>
          </w:tcPr>
          <w:p w14:paraId="77806EC5" w14:textId="393486E1" w:rsidR="00413491" w:rsidRDefault="00413491" w:rsidP="00F62525">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Noteikumu projekta </w:t>
            </w:r>
            <w:r w:rsidR="00525055">
              <w:rPr>
                <w:rFonts w:ascii="Times New Roman" w:hAnsi="Times New Roman"/>
                <w:bCs/>
                <w:sz w:val="24"/>
                <w:szCs w:val="24"/>
              </w:rPr>
              <w:t>5</w:t>
            </w:r>
            <w:r>
              <w:rPr>
                <w:rFonts w:ascii="Times New Roman" w:hAnsi="Times New Roman"/>
                <w:bCs/>
                <w:sz w:val="24"/>
                <w:szCs w:val="24"/>
              </w:rPr>
              <w:t>.punkts</w:t>
            </w:r>
          </w:p>
        </w:tc>
        <w:tc>
          <w:tcPr>
            <w:tcW w:w="2329" w:type="dxa"/>
          </w:tcPr>
          <w:p w14:paraId="15267B96" w14:textId="77777777" w:rsidR="00413491" w:rsidRDefault="00413491"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005FD6AE" w14:textId="77777777" w:rsidR="00413491" w:rsidRDefault="00413491"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413491" w14:paraId="0D90F085" w14:textId="77777777" w:rsidTr="00413491">
        <w:trPr>
          <w:gridAfter w:val="1"/>
          <w:wAfter w:w="308" w:type="dxa"/>
          <w:trHeight w:val="1233"/>
        </w:trPr>
        <w:tc>
          <w:tcPr>
            <w:tcW w:w="1870" w:type="dxa"/>
            <w:gridSpan w:val="3"/>
          </w:tcPr>
          <w:p w14:paraId="6D2964C7" w14:textId="092F0649" w:rsidR="00413491" w:rsidRDefault="00413491" w:rsidP="00F62525">
            <w:pPr>
              <w:spacing w:after="0" w:line="240" w:lineRule="auto"/>
              <w:ind w:left="142" w:right="130"/>
              <w:jc w:val="both"/>
              <w:rPr>
                <w:rFonts w:ascii="Times New Roman" w:hAnsi="Times New Roman"/>
                <w:bCs/>
                <w:sz w:val="24"/>
                <w:szCs w:val="24"/>
              </w:rPr>
            </w:pPr>
            <w:r>
              <w:rPr>
                <w:rFonts w:ascii="Times New Roman" w:hAnsi="Times New Roman"/>
                <w:bCs/>
                <w:sz w:val="24"/>
                <w:szCs w:val="24"/>
              </w:rPr>
              <w:t>Komisijas regula</w:t>
            </w:r>
            <w:r w:rsidR="000571F8">
              <w:rPr>
                <w:rFonts w:ascii="Times New Roman" w:hAnsi="Times New Roman"/>
                <w:bCs/>
                <w:sz w:val="24"/>
                <w:szCs w:val="24"/>
              </w:rPr>
              <w:t>s</w:t>
            </w:r>
            <w:r>
              <w:rPr>
                <w:rFonts w:ascii="Times New Roman" w:hAnsi="Times New Roman"/>
                <w:bCs/>
                <w:sz w:val="24"/>
                <w:szCs w:val="24"/>
              </w:rPr>
              <w:t xml:space="preserve"> Nr. 1407/2013  3.panta 4.punkts        </w:t>
            </w:r>
          </w:p>
        </w:tc>
        <w:tc>
          <w:tcPr>
            <w:tcW w:w="2296" w:type="dxa"/>
            <w:gridSpan w:val="2"/>
          </w:tcPr>
          <w:p w14:paraId="680C09DF" w14:textId="36334940" w:rsidR="00413491" w:rsidRDefault="00413491" w:rsidP="00F62525">
            <w:pPr>
              <w:spacing w:after="0" w:line="240" w:lineRule="auto"/>
              <w:ind w:left="142" w:right="130"/>
              <w:jc w:val="center"/>
              <w:rPr>
                <w:rFonts w:ascii="Times New Roman" w:hAnsi="Times New Roman"/>
                <w:bCs/>
                <w:sz w:val="24"/>
                <w:szCs w:val="24"/>
              </w:rPr>
            </w:pPr>
            <w:r>
              <w:rPr>
                <w:rFonts w:ascii="Times New Roman" w:hAnsi="Times New Roman"/>
                <w:bCs/>
                <w:sz w:val="24"/>
                <w:szCs w:val="24"/>
              </w:rPr>
              <w:t xml:space="preserve">Noteikumu projekta </w:t>
            </w:r>
            <w:r w:rsidR="00525055">
              <w:rPr>
                <w:rFonts w:ascii="Times New Roman" w:hAnsi="Times New Roman"/>
                <w:bCs/>
                <w:sz w:val="24"/>
                <w:szCs w:val="24"/>
              </w:rPr>
              <w:t>5</w:t>
            </w:r>
            <w:r>
              <w:rPr>
                <w:rFonts w:ascii="Times New Roman" w:hAnsi="Times New Roman"/>
                <w:bCs/>
                <w:sz w:val="24"/>
                <w:szCs w:val="24"/>
              </w:rPr>
              <w:t>.punkts</w:t>
            </w:r>
          </w:p>
        </w:tc>
        <w:tc>
          <w:tcPr>
            <w:tcW w:w="2329" w:type="dxa"/>
          </w:tcPr>
          <w:p w14:paraId="30E3994A" w14:textId="77777777" w:rsidR="00413491" w:rsidRDefault="00413491"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267C673A" w14:textId="77777777" w:rsidR="00413491" w:rsidRDefault="00413491" w:rsidP="00F6252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r w:rsidR="00525055" w14:paraId="71A35B56" w14:textId="77777777" w:rsidTr="00413491">
        <w:trPr>
          <w:gridAfter w:val="1"/>
          <w:wAfter w:w="308" w:type="dxa"/>
          <w:trHeight w:val="1233"/>
        </w:trPr>
        <w:tc>
          <w:tcPr>
            <w:tcW w:w="1870" w:type="dxa"/>
            <w:gridSpan w:val="3"/>
          </w:tcPr>
          <w:p w14:paraId="52F2F925" w14:textId="5BD19A62" w:rsidR="00525055" w:rsidRDefault="00525055" w:rsidP="00525055">
            <w:pPr>
              <w:spacing w:after="0" w:line="240" w:lineRule="auto"/>
              <w:ind w:left="142" w:right="130"/>
              <w:jc w:val="both"/>
              <w:rPr>
                <w:rFonts w:ascii="Times New Roman" w:hAnsi="Times New Roman"/>
                <w:bCs/>
                <w:sz w:val="24"/>
                <w:szCs w:val="24"/>
              </w:rPr>
            </w:pPr>
            <w:r>
              <w:rPr>
                <w:rFonts w:ascii="Times New Roman" w:eastAsia="Times New Roman" w:hAnsi="Times New Roman"/>
                <w:sz w:val="24"/>
                <w:szCs w:val="24"/>
              </w:rPr>
              <w:t>Komisijas regula</w:t>
            </w:r>
            <w:r>
              <w:rPr>
                <w:rFonts w:ascii="Times New Roman" w:eastAsia="Times New Roman" w:hAnsi="Times New Roman"/>
                <w:sz w:val="24"/>
                <w:szCs w:val="24"/>
              </w:rPr>
              <w:t>s</w:t>
            </w:r>
            <w:r>
              <w:rPr>
                <w:rFonts w:ascii="Times New Roman" w:eastAsia="Times New Roman" w:hAnsi="Times New Roman"/>
                <w:sz w:val="24"/>
                <w:szCs w:val="24"/>
              </w:rPr>
              <w:t xml:space="preserve"> Nr.794/2004</w:t>
            </w:r>
            <w:r>
              <w:rPr>
                <w:rFonts w:ascii="Times New Roman" w:eastAsia="Times New Roman" w:hAnsi="Times New Roman"/>
                <w:sz w:val="24"/>
                <w:szCs w:val="24"/>
              </w:rPr>
              <w:t xml:space="preserve"> 10. un 11.pants</w:t>
            </w:r>
          </w:p>
        </w:tc>
        <w:tc>
          <w:tcPr>
            <w:tcW w:w="2296" w:type="dxa"/>
            <w:gridSpan w:val="2"/>
          </w:tcPr>
          <w:p w14:paraId="4E4CD303" w14:textId="436E9EDF" w:rsidR="00525055" w:rsidRDefault="00525055" w:rsidP="00525055">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projekta 6.punkts</w:t>
            </w:r>
          </w:p>
        </w:tc>
        <w:tc>
          <w:tcPr>
            <w:tcW w:w="2329" w:type="dxa"/>
          </w:tcPr>
          <w:p w14:paraId="7447FA5F" w14:textId="4AE01B38" w:rsidR="00525055" w:rsidRDefault="00525055" w:rsidP="0052505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881" w:type="dxa"/>
          </w:tcPr>
          <w:p w14:paraId="085CF804" w14:textId="128112BB" w:rsidR="00525055" w:rsidRDefault="00525055" w:rsidP="00525055">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bookmarkEnd w:id="6"/>
    </w:tbl>
    <w:p w14:paraId="336ADFA4" w14:textId="07B4828E" w:rsidR="009A312E" w:rsidRDefault="009A312E" w:rsidP="00871FC0">
      <w:pPr>
        <w:spacing w:after="0" w:line="240" w:lineRule="auto"/>
        <w:contextualSpacing/>
        <w:rPr>
          <w:rFonts w:ascii="Times New Roman" w:hAnsi="Times New Roman"/>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413491" w14:paraId="5BDF5B29" w14:textId="77777777" w:rsidTr="00F62525">
        <w:tc>
          <w:tcPr>
            <w:tcW w:w="9356" w:type="dxa"/>
            <w:hideMark/>
          </w:tcPr>
          <w:p w14:paraId="3621F26B" w14:textId="77777777" w:rsidR="00413491" w:rsidRPr="00837B43" w:rsidRDefault="00413491" w:rsidP="00F62525">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4F5DC870" w14:textId="77777777" w:rsidR="00413491" w:rsidRPr="00E5753A" w:rsidRDefault="00413491" w:rsidP="00F62525">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413491" w14:paraId="30F48F99" w14:textId="77777777" w:rsidTr="00F62525">
        <w:tc>
          <w:tcPr>
            <w:tcW w:w="9356" w:type="dxa"/>
          </w:tcPr>
          <w:p w14:paraId="22B91202" w14:textId="77777777" w:rsidR="00413491" w:rsidRPr="003F5F93" w:rsidRDefault="00413491" w:rsidP="00F62525">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w:t>
            </w:r>
            <w:r>
              <w:rPr>
                <w:rFonts w:ascii="Times New Roman" w:hAnsi="Times New Roman"/>
                <w:b/>
                <w:bCs/>
                <w:sz w:val="24"/>
                <w:szCs w:val="24"/>
              </w:rPr>
              <w:t>i</w:t>
            </w:r>
            <w:r w:rsidRPr="00E5753A">
              <w:rPr>
                <w:rFonts w:ascii="Times New Roman" w:hAnsi="Times New Roman"/>
                <w:b/>
                <w:bCs/>
                <w:sz w:val="24"/>
                <w:szCs w:val="24"/>
              </w:rPr>
              <w:t xml:space="preserve"> šo jomu neskar</w:t>
            </w:r>
          </w:p>
        </w:tc>
      </w:tr>
    </w:tbl>
    <w:p w14:paraId="33013E5B" w14:textId="77777777" w:rsidR="00413491" w:rsidRPr="00A92EC7" w:rsidRDefault="00413491" w:rsidP="00871FC0">
      <w:pPr>
        <w:spacing w:after="0" w:line="240" w:lineRule="auto"/>
        <w:contextualSpacing/>
        <w:rPr>
          <w:rFonts w:ascii="Times New Roman" w:hAnsi="Times New Roman"/>
          <w:vanish/>
          <w:sz w:val="24"/>
          <w:szCs w:val="24"/>
        </w:rPr>
      </w:pPr>
    </w:p>
    <w:p w14:paraId="13D3264E" w14:textId="77777777" w:rsidR="00DB51F9" w:rsidRDefault="00DB51F9"/>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2"/>
        <w:gridCol w:w="3559"/>
        <w:gridCol w:w="5558"/>
      </w:tblGrid>
      <w:tr w:rsidR="009A312E" w:rsidRPr="00A92EC7" w14:paraId="051EE9BB" w14:textId="77777777" w:rsidTr="00B34983">
        <w:tc>
          <w:tcPr>
            <w:tcW w:w="9639" w:type="dxa"/>
            <w:gridSpan w:val="3"/>
            <w:hideMark/>
          </w:tcPr>
          <w:p w14:paraId="372AEEFB" w14:textId="77777777" w:rsidR="009A312E" w:rsidRPr="00A92EC7" w:rsidRDefault="009A312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hAnsi="Times New Roman"/>
                <w:b/>
                <w:bCs/>
                <w:sz w:val="24"/>
                <w:szCs w:val="24"/>
              </w:rPr>
              <w:t>VI. Sabiedrības līdzdalība un komunikācijas aktivitātes</w:t>
            </w:r>
          </w:p>
        </w:tc>
      </w:tr>
      <w:tr w:rsidR="009A312E" w:rsidRPr="00A92EC7" w14:paraId="500C365C" w14:textId="77777777" w:rsidTr="00B34983">
        <w:tc>
          <w:tcPr>
            <w:tcW w:w="522" w:type="dxa"/>
            <w:hideMark/>
          </w:tcPr>
          <w:p w14:paraId="0DF9568C"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559" w:type="dxa"/>
            <w:hideMark/>
          </w:tcPr>
          <w:p w14:paraId="3179E166"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Plānotās sabiedrības līdzdalības un komunikācijas aktivitātes saistībā ar projektu</w:t>
            </w:r>
          </w:p>
        </w:tc>
        <w:tc>
          <w:tcPr>
            <w:tcW w:w="5558" w:type="dxa"/>
          </w:tcPr>
          <w:p w14:paraId="2BC8C3CC" w14:textId="26E279DE" w:rsidR="009A312E" w:rsidRPr="00A92EC7" w:rsidRDefault="006E0049" w:rsidP="004021C2">
            <w:pPr>
              <w:spacing w:after="0" w:line="240" w:lineRule="auto"/>
              <w:ind w:right="130" w:firstLine="170"/>
              <w:contextualSpacing/>
              <w:jc w:val="both"/>
              <w:rPr>
                <w:rFonts w:ascii="Times New Roman" w:hAnsi="Times New Roman"/>
                <w:sz w:val="24"/>
                <w:szCs w:val="24"/>
              </w:rPr>
            </w:pPr>
            <w:r w:rsidRPr="00A92EC7">
              <w:rPr>
                <w:rFonts w:ascii="Times New Roman" w:hAnsi="Times New Roman"/>
                <w:sz w:val="24"/>
                <w:szCs w:val="24"/>
              </w:rPr>
              <w:t>Atbilstoši normatīvo aktu prasībām Ekonomikas ministrija tās tīmekļa vietnē publicē informāciju par noteikumu projektu un par tā virzību.</w:t>
            </w:r>
          </w:p>
        </w:tc>
      </w:tr>
      <w:tr w:rsidR="009A312E" w:rsidRPr="00A92EC7" w14:paraId="2F9C45F7" w14:textId="77777777" w:rsidTr="00B34983">
        <w:tc>
          <w:tcPr>
            <w:tcW w:w="522" w:type="dxa"/>
            <w:hideMark/>
          </w:tcPr>
          <w:p w14:paraId="7F8E4BAC"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lastRenderedPageBreak/>
              <w:t>2.</w:t>
            </w:r>
          </w:p>
        </w:tc>
        <w:tc>
          <w:tcPr>
            <w:tcW w:w="3559" w:type="dxa"/>
            <w:hideMark/>
          </w:tcPr>
          <w:p w14:paraId="10FA070A"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Sabiedrības līdzdalība projekta izstrādē</w:t>
            </w:r>
          </w:p>
        </w:tc>
        <w:tc>
          <w:tcPr>
            <w:tcW w:w="5558" w:type="dxa"/>
          </w:tcPr>
          <w:p w14:paraId="4B709843" w14:textId="600344A7" w:rsidR="00E007AF" w:rsidRDefault="006E0049" w:rsidP="00780766">
            <w:pPr>
              <w:spacing w:after="0" w:line="240" w:lineRule="auto"/>
              <w:ind w:right="130" w:firstLine="170"/>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Noteikumu projekts ir publicēts Ekonomikas ministrijas </w:t>
            </w:r>
            <w:r w:rsidRPr="00A92EC7">
              <w:rPr>
                <w:rFonts w:ascii="Times New Roman" w:hAnsi="Times New Roman"/>
                <w:sz w:val="24"/>
                <w:szCs w:val="24"/>
              </w:rPr>
              <w:t>tīmekļa</w:t>
            </w:r>
            <w:r w:rsidRPr="00A92EC7">
              <w:rPr>
                <w:rFonts w:ascii="Times New Roman" w:eastAsia="Times New Roman" w:hAnsi="Times New Roman"/>
                <w:iCs/>
                <w:sz w:val="24"/>
                <w:szCs w:val="24"/>
                <w:lang w:eastAsia="lv-LV"/>
              </w:rPr>
              <w:t xml:space="preserve"> vietnē</w:t>
            </w:r>
            <w:r w:rsidR="004021C2">
              <w:rPr>
                <w:rFonts w:ascii="Times New Roman" w:eastAsia="Times New Roman" w:hAnsi="Times New Roman"/>
                <w:iCs/>
                <w:sz w:val="24"/>
                <w:szCs w:val="24"/>
                <w:lang w:eastAsia="lv-LV"/>
              </w:rPr>
              <w:t>:</w:t>
            </w:r>
            <w:r w:rsidRPr="00A92EC7">
              <w:rPr>
                <w:rFonts w:ascii="Times New Roman" w:eastAsia="Times New Roman" w:hAnsi="Times New Roman"/>
                <w:iCs/>
                <w:sz w:val="24"/>
                <w:szCs w:val="24"/>
                <w:lang w:eastAsia="lv-LV"/>
              </w:rPr>
              <w:t xml:space="preserve"> </w:t>
            </w:r>
          </w:p>
          <w:p w14:paraId="5628B9FC" w14:textId="77777777" w:rsidR="00E007AF" w:rsidRDefault="00525055" w:rsidP="00B34983">
            <w:pPr>
              <w:spacing w:after="0" w:line="240" w:lineRule="auto"/>
              <w:ind w:right="130" w:firstLine="170"/>
              <w:contextualSpacing/>
              <w:jc w:val="both"/>
              <w:rPr>
                <w:rFonts w:ascii="Times New Roman" w:eastAsia="Times New Roman" w:hAnsi="Times New Roman"/>
                <w:iCs/>
                <w:sz w:val="24"/>
                <w:szCs w:val="24"/>
                <w:lang w:eastAsia="lv-LV"/>
              </w:rPr>
            </w:pPr>
            <w:hyperlink r:id="rId8" w:history="1">
              <w:r w:rsidR="00E007AF" w:rsidRPr="000E36D8">
                <w:rPr>
                  <w:rStyle w:val="Hyperlink"/>
                  <w:rFonts w:ascii="Times New Roman" w:eastAsia="Times New Roman" w:hAnsi="Times New Roman"/>
                  <w:iCs/>
                  <w:sz w:val="24"/>
                  <w:szCs w:val="24"/>
                  <w:lang w:eastAsia="lv-LV"/>
                </w:rPr>
                <w:t>https://em.gov.lv/lv/par_ministriju/sabiedribas_lidzdaliba/diskusiju_dokumenti/</w:t>
              </w:r>
            </w:hyperlink>
          </w:p>
          <w:p w14:paraId="7373EB8F" w14:textId="77777777" w:rsidR="00E007AF" w:rsidRDefault="00E007AF" w:rsidP="00B34983">
            <w:pPr>
              <w:spacing w:after="0" w:line="240" w:lineRule="auto"/>
              <w:ind w:right="130" w:firstLine="170"/>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Tāpat </w:t>
            </w:r>
            <w:r w:rsidRPr="008D6DF4">
              <w:rPr>
                <w:rFonts w:ascii="Times New Roman" w:eastAsia="Times New Roman" w:hAnsi="Times New Roman"/>
                <w:iCs/>
                <w:sz w:val="24"/>
                <w:szCs w:val="24"/>
                <w:lang w:eastAsia="lv-LV"/>
              </w:rPr>
              <w:t xml:space="preserve">Noteikumu projekts ir publicēts </w:t>
            </w:r>
            <w:r>
              <w:rPr>
                <w:rFonts w:ascii="Times New Roman" w:eastAsia="Times New Roman" w:hAnsi="Times New Roman"/>
                <w:iCs/>
                <w:sz w:val="24"/>
                <w:szCs w:val="24"/>
                <w:lang w:eastAsia="lv-LV"/>
              </w:rPr>
              <w:t xml:space="preserve">Ministru kabineta </w:t>
            </w:r>
            <w:r w:rsidRPr="008D6DF4">
              <w:rPr>
                <w:rFonts w:ascii="Times New Roman" w:hAnsi="Times New Roman"/>
                <w:sz w:val="24"/>
                <w:szCs w:val="24"/>
              </w:rPr>
              <w:t>tīmekļa</w:t>
            </w:r>
            <w:r w:rsidRPr="008D6DF4">
              <w:rPr>
                <w:rFonts w:ascii="Times New Roman" w:eastAsia="Times New Roman" w:hAnsi="Times New Roman"/>
                <w:iCs/>
                <w:sz w:val="24"/>
                <w:szCs w:val="24"/>
                <w:lang w:eastAsia="lv-LV"/>
              </w:rPr>
              <w:t xml:space="preserve"> vietnē</w:t>
            </w:r>
            <w:r>
              <w:rPr>
                <w:rFonts w:ascii="Times New Roman" w:eastAsia="Times New Roman" w:hAnsi="Times New Roman"/>
                <w:iCs/>
                <w:sz w:val="24"/>
                <w:szCs w:val="24"/>
                <w:lang w:eastAsia="lv-LV"/>
              </w:rPr>
              <w:t>:</w:t>
            </w:r>
          </w:p>
          <w:p w14:paraId="4120C62F" w14:textId="77777777" w:rsidR="00E007AF" w:rsidRDefault="00525055" w:rsidP="00B34983">
            <w:pPr>
              <w:spacing w:after="0" w:line="240" w:lineRule="auto"/>
              <w:ind w:right="130" w:firstLine="170"/>
              <w:contextualSpacing/>
              <w:jc w:val="both"/>
              <w:rPr>
                <w:rFonts w:ascii="Times New Roman" w:eastAsia="Times New Roman" w:hAnsi="Times New Roman"/>
                <w:iCs/>
                <w:sz w:val="24"/>
                <w:szCs w:val="24"/>
                <w:lang w:eastAsia="lv-LV"/>
              </w:rPr>
            </w:pPr>
            <w:hyperlink r:id="rId9" w:history="1">
              <w:r w:rsidR="00E007AF" w:rsidRPr="000E36D8">
                <w:rPr>
                  <w:rStyle w:val="Hyperlink"/>
                  <w:rFonts w:ascii="Times New Roman" w:eastAsia="Times New Roman" w:hAnsi="Times New Roman"/>
                  <w:iCs/>
                  <w:sz w:val="24"/>
                  <w:szCs w:val="24"/>
                  <w:lang w:eastAsia="lv-LV"/>
                </w:rPr>
                <w:t>https://www.mk.gov.lv/content/ministru-kabineta-diskusiju-dokumenti</w:t>
              </w:r>
            </w:hyperlink>
          </w:p>
          <w:p w14:paraId="62ECC05B" w14:textId="726169E9" w:rsidR="009A312E" w:rsidRPr="00A92EC7" w:rsidRDefault="00E007AF" w:rsidP="00780766">
            <w:pPr>
              <w:spacing w:after="0" w:line="240" w:lineRule="auto"/>
              <w:ind w:right="130" w:firstLine="170"/>
              <w:contextualSpacing/>
              <w:jc w:val="both"/>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 xml:space="preserve">Līdz ar to </w:t>
            </w:r>
            <w:r w:rsidR="006E0049" w:rsidRPr="00A92EC7">
              <w:rPr>
                <w:rFonts w:ascii="Times New Roman" w:eastAsia="Times New Roman" w:hAnsi="Times New Roman"/>
                <w:iCs/>
                <w:sz w:val="24"/>
                <w:szCs w:val="24"/>
                <w:lang w:eastAsia="lv-LV"/>
              </w:rPr>
              <w:t>sabiedrībai ir dota iespēja informēt par iebildumiem un priekšlikumiem, ja tādi rodas.</w:t>
            </w:r>
          </w:p>
        </w:tc>
      </w:tr>
      <w:tr w:rsidR="009A312E" w:rsidRPr="00A92EC7" w14:paraId="1D285C1F" w14:textId="77777777" w:rsidTr="00B34983">
        <w:trPr>
          <w:trHeight w:val="726"/>
        </w:trPr>
        <w:tc>
          <w:tcPr>
            <w:tcW w:w="522" w:type="dxa"/>
            <w:hideMark/>
          </w:tcPr>
          <w:p w14:paraId="1934E595"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3.</w:t>
            </w:r>
          </w:p>
        </w:tc>
        <w:tc>
          <w:tcPr>
            <w:tcW w:w="3559" w:type="dxa"/>
            <w:hideMark/>
          </w:tcPr>
          <w:p w14:paraId="1D58383C" w14:textId="77777777" w:rsidR="009A312E" w:rsidRPr="00A92EC7" w:rsidRDefault="009A312E" w:rsidP="00B34983">
            <w:pPr>
              <w:spacing w:after="0" w:line="240" w:lineRule="auto"/>
              <w:ind w:left="13" w:right="128"/>
              <w:contextualSpacing/>
              <w:jc w:val="both"/>
              <w:rPr>
                <w:rFonts w:ascii="Times New Roman" w:eastAsia="Times New Roman" w:hAnsi="Times New Roman"/>
                <w:sz w:val="24"/>
                <w:szCs w:val="24"/>
                <w:lang w:eastAsia="lv-LV"/>
              </w:rPr>
            </w:pPr>
            <w:r w:rsidRPr="00A92EC7">
              <w:rPr>
                <w:rFonts w:ascii="Times New Roman" w:hAnsi="Times New Roman"/>
                <w:sz w:val="24"/>
                <w:szCs w:val="24"/>
              </w:rPr>
              <w:t xml:space="preserve">Sabiedrības </w:t>
            </w:r>
            <w:r w:rsidRPr="00A92EC7">
              <w:rPr>
                <w:rFonts w:ascii="Times New Roman" w:eastAsia="Times New Roman" w:hAnsi="Times New Roman"/>
                <w:sz w:val="24"/>
                <w:szCs w:val="24"/>
                <w:lang w:eastAsia="lv-LV"/>
              </w:rPr>
              <w:t>līdzdalības</w:t>
            </w:r>
            <w:r w:rsidRPr="00A92EC7">
              <w:rPr>
                <w:rFonts w:ascii="Times New Roman" w:hAnsi="Times New Roman"/>
                <w:sz w:val="24"/>
                <w:szCs w:val="24"/>
              </w:rPr>
              <w:t xml:space="preserve"> rezultāti</w:t>
            </w:r>
          </w:p>
        </w:tc>
        <w:tc>
          <w:tcPr>
            <w:tcW w:w="5558" w:type="dxa"/>
            <w:hideMark/>
          </w:tcPr>
          <w:p w14:paraId="5C7204A0" w14:textId="339638D8" w:rsidR="00220849" w:rsidRPr="00A92EC7" w:rsidRDefault="00F649D1" w:rsidP="004021C2">
            <w:pPr>
              <w:spacing w:after="0" w:line="240" w:lineRule="auto"/>
              <w:ind w:right="130" w:firstLine="170"/>
              <w:contextualSpacing/>
              <w:jc w:val="both"/>
              <w:rPr>
                <w:rFonts w:ascii="Times New Roman" w:eastAsia="Times New Roman" w:hAnsi="Times New Roman"/>
                <w:b/>
                <w:sz w:val="24"/>
                <w:szCs w:val="24"/>
                <w:highlight w:val="yellow"/>
                <w:lang w:eastAsia="lv-LV"/>
              </w:rPr>
            </w:pPr>
            <w:r w:rsidRPr="00A92EC7">
              <w:rPr>
                <w:rFonts w:ascii="Times New Roman" w:eastAsia="Times New Roman" w:hAnsi="Times New Roman"/>
                <w:iCs/>
                <w:sz w:val="24"/>
                <w:szCs w:val="24"/>
                <w:lang w:eastAsia="lv-LV"/>
              </w:rPr>
              <w:t xml:space="preserve">Līdz </w:t>
            </w:r>
            <w:r w:rsidRPr="004021C2">
              <w:rPr>
                <w:rFonts w:ascii="Times New Roman" w:hAnsi="Times New Roman"/>
                <w:sz w:val="24"/>
                <w:szCs w:val="24"/>
              </w:rPr>
              <w:t>šim</w:t>
            </w:r>
            <w:r w:rsidRPr="00A92EC7">
              <w:rPr>
                <w:rFonts w:ascii="Times New Roman" w:eastAsia="Times New Roman" w:hAnsi="Times New Roman"/>
                <w:iCs/>
                <w:sz w:val="24"/>
                <w:szCs w:val="24"/>
                <w:lang w:eastAsia="lv-LV"/>
              </w:rPr>
              <w:t xml:space="preserve"> nav saņemti iebildumi un priekšlikumi.</w:t>
            </w:r>
          </w:p>
        </w:tc>
      </w:tr>
      <w:tr w:rsidR="009A312E" w:rsidRPr="00A92EC7" w14:paraId="3C8DBE9C" w14:textId="77777777" w:rsidTr="00B34983">
        <w:trPr>
          <w:trHeight w:val="366"/>
        </w:trPr>
        <w:tc>
          <w:tcPr>
            <w:tcW w:w="522" w:type="dxa"/>
            <w:hideMark/>
          </w:tcPr>
          <w:p w14:paraId="3062DD9D"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4.</w:t>
            </w:r>
          </w:p>
        </w:tc>
        <w:tc>
          <w:tcPr>
            <w:tcW w:w="3559" w:type="dxa"/>
            <w:hideMark/>
          </w:tcPr>
          <w:p w14:paraId="5BDCAD65" w14:textId="77777777" w:rsidR="009A312E" w:rsidRPr="00A92EC7" w:rsidRDefault="009A312E" w:rsidP="00B34983">
            <w:pPr>
              <w:spacing w:after="0" w:line="240" w:lineRule="auto"/>
              <w:ind w:left="13" w:right="128"/>
              <w:contextualSpacing/>
              <w:jc w:val="both"/>
              <w:rPr>
                <w:rFonts w:ascii="Times New Roman" w:eastAsia="Times New Roman" w:hAnsi="Times New Roman"/>
                <w:iCs/>
                <w:sz w:val="24"/>
                <w:szCs w:val="24"/>
                <w:lang w:eastAsia="lv-LV"/>
              </w:rPr>
            </w:pPr>
            <w:r w:rsidRPr="00A92EC7">
              <w:rPr>
                <w:rFonts w:ascii="Times New Roman" w:eastAsia="Times New Roman" w:hAnsi="Times New Roman"/>
                <w:iCs/>
                <w:sz w:val="24"/>
                <w:szCs w:val="24"/>
                <w:lang w:eastAsia="lv-LV"/>
              </w:rPr>
              <w:t xml:space="preserve">Cita </w:t>
            </w:r>
            <w:r w:rsidRPr="00A92EC7">
              <w:rPr>
                <w:rFonts w:ascii="Times New Roman" w:hAnsi="Times New Roman"/>
                <w:sz w:val="24"/>
                <w:szCs w:val="24"/>
              </w:rPr>
              <w:t>informācija</w:t>
            </w:r>
          </w:p>
        </w:tc>
        <w:tc>
          <w:tcPr>
            <w:tcW w:w="5558" w:type="dxa"/>
            <w:hideMark/>
          </w:tcPr>
          <w:p w14:paraId="3BF4E1F8" w14:textId="513BB141" w:rsidR="009A312E" w:rsidRPr="00A92EC7" w:rsidRDefault="00F649D1"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hAnsi="Times New Roman"/>
                <w:sz w:val="24"/>
                <w:szCs w:val="24"/>
              </w:rPr>
              <w:t>Nav</w:t>
            </w:r>
          </w:p>
        </w:tc>
      </w:tr>
    </w:tbl>
    <w:p w14:paraId="0F66E793" w14:textId="77777777" w:rsidR="00E26CFB" w:rsidRPr="00A92EC7" w:rsidRDefault="00E26CFB" w:rsidP="00871FC0">
      <w:pPr>
        <w:tabs>
          <w:tab w:val="left" w:pos="7655"/>
        </w:tabs>
        <w:spacing w:after="0" w:line="240" w:lineRule="auto"/>
        <w:contextualSpacing/>
        <w:jc w:val="both"/>
        <w:rPr>
          <w:rFonts w:ascii="Times New Roman" w:hAnsi="Times New Roman"/>
          <w:bC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7"/>
        <w:gridCol w:w="3604"/>
        <w:gridCol w:w="5528"/>
      </w:tblGrid>
      <w:tr w:rsidR="009A312E" w:rsidRPr="00A92EC7" w14:paraId="166C01FC" w14:textId="77777777" w:rsidTr="00017252">
        <w:tc>
          <w:tcPr>
            <w:tcW w:w="9639" w:type="dxa"/>
            <w:gridSpan w:val="3"/>
            <w:hideMark/>
          </w:tcPr>
          <w:p w14:paraId="4B5BA8EA" w14:textId="77777777" w:rsidR="009A312E" w:rsidRPr="00A92EC7" w:rsidRDefault="009A312E" w:rsidP="00871FC0">
            <w:pPr>
              <w:spacing w:after="0" w:line="240" w:lineRule="auto"/>
              <w:contextualSpacing/>
              <w:jc w:val="center"/>
              <w:rPr>
                <w:rFonts w:ascii="Times New Roman" w:eastAsia="Times New Roman" w:hAnsi="Times New Roman"/>
                <w:b/>
                <w:sz w:val="24"/>
                <w:szCs w:val="24"/>
                <w:lang w:eastAsia="lv-LV"/>
              </w:rPr>
            </w:pPr>
            <w:r w:rsidRPr="00A92EC7">
              <w:rPr>
                <w:rFonts w:ascii="Times New Roman" w:eastAsia="Times New Roman" w:hAnsi="Times New Roman"/>
                <w:b/>
                <w:sz w:val="24"/>
                <w:szCs w:val="24"/>
                <w:lang w:eastAsia="lv-LV"/>
              </w:rPr>
              <w:t>VII. Tiesību akta projekta izpildes nodrošināšana un tās ietekme uz institūcijām</w:t>
            </w:r>
          </w:p>
        </w:tc>
      </w:tr>
      <w:tr w:rsidR="009A312E" w:rsidRPr="00A92EC7" w14:paraId="37B4D165" w14:textId="77777777" w:rsidTr="00017252">
        <w:trPr>
          <w:trHeight w:val="558"/>
        </w:trPr>
        <w:tc>
          <w:tcPr>
            <w:tcW w:w="507" w:type="dxa"/>
            <w:hideMark/>
          </w:tcPr>
          <w:p w14:paraId="4894E661"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1.</w:t>
            </w:r>
          </w:p>
        </w:tc>
        <w:tc>
          <w:tcPr>
            <w:tcW w:w="3604" w:type="dxa"/>
            <w:hideMark/>
          </w:tcPr>
          <w:p w14:paraId="1356FC2B"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hAnsi="Times New Roman"/>
                <w:bCs/>
                <w:sz w:val="24"/>
                <w:szCs w:val="24"/>
              </w:rPr>
              <w:t>Projekta</w:t>
            </w:r>
            <w:r w:rsidRPr="00A92EC7">
              <w:rPr>
                <w:rFonts w:ascii="Times New Roman" w:eastAsia="Times New Roman" w:hAnsi="Times New Roman"/>
                <w:sz w:val="24"/>
                <w:szCs w:val="24"/>
                <w:lang w:eastAsia="lv-LV"/>
              </w:rPr>
              <w:t xml:space="preserve"> izpildē iesaistītās institūcijas</w:t>
            </w:r>
          </w:p>
        </w:tc>
        <w:tc>
          <w:tcPr>
            <w:tcW w:w="5528" w:type="dxa"/>
          </w:tcPr>
          <w:p w14:paraId="0B14CACD" w14:textId="4F76513B" w:rsidR="009A312E" w:rsidRPr="00A92EC7" w:rsidRDefault="00B95A86" w:rsidP="004021C2">
            <w:pPr>
              <w:spacing w:after="0" w:line="240" w:lineRule="auto"/>
              <w:ind w:right="130" w:firstLine="170"/>
              <w:contextualSpacing/>
              <w:jc w:val="both"/>
              <w:rPr>
                <w:rFonts w:ascii="Times New Roman" w:hAnsi="Times New Roman"/>
                <w:sz w:val="24"/>
                <w:szCs w:val="24"/>
                <w:highlight w:val="yellow"/>
                <w:lang w:eastAsia="lv-LV"/>
              </w:rPr>
            </w:pPr>
            <w:r w:rsidRPr="00A92EC7">
              <w:rPr>
                <w:rFonts w:ascii="Times New Roman" w:eastAsia="Times New Roman" w:hAnsi="Times New Roman"/>
                <w:iCs/>
                <w:sz w:val="24"/>
                <w:szCs w:val="24"/>
                <w:lang w:eastAsia="lv-LV"/>
              </w:rPr>
              <w:t xml:space="preserve">Ekonomikas ministrija kā atbildīgā iestāde, Centrālā finanšu un </w:t>
            </w:r>
            <w:r w:rsidRPr="004021C2">
              <w:rPr>
                <w:rFonts w:ascii="Times New Roman" w:hAnsi="Times New Roman"/>
                <w:sz w:val="24"/>
                <w:szCs w:val="24"/>
              </w:rPr>
              <w:t>līgumu</w:t>
            </w:r>
            <w:r w:rsidRPr="00A92EC7">
              <w:rPr>
                <w:rFonts w:ascii="Times New Roman" w:eastAsia="Times New Roman" w:hAnsi="Times New Roman"/>
                <w:iCs/>
                <w:sz w:val="24"/>
                <w:szCs w:val="24"/>
                <w:lang w:eastAsia="lv-LV"/>
              </w:rPr>
              <w:t xml:space="preserve"> aģentūra kā sadarbības iestāde.</w:t>
            </w:r>
          </w:p>
        </w:tc>
      </w:tr>
      <w:tr w:rsidR="009A312E" w:rsidRPr="00A92EC7" w14:paraId="678718AA" w14:textId="77777777" w:rsidTr="00017252">
        <w:tc>
          <w:tcPr>
            <w:tcW w:w="507" w:type="dxa"/>
            <w:hideMark/>
          </w:tcPr>
          <w:p w14:paraId="2ED1EF00"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2.</w:t>
            </w:r>
          </w:p>
        </w:tc>
        <w:tc>
          <w:tcPr>
            <w:tcW w:w="3604" w:type="dxa"/>
            <w:hideMark/>
          </w:tcPr>
          <w:p w14:paraId="46CAAEA3"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Projekta izpildes ietekme uz pārvaldes </w:t>
            </w:r>
            <w:r w:rsidRPr="00A92EC7">
              <w:rPr>
                <w:rFonts w:ascii="Times New Roman" w:hAnsi="Times New Roman"/>
                <w:bCs/>
                <w:sz w:val="24"/>
                <w:szCs w:val="24"/>
              </w:rPr>
              <w:t>funkcijām</w:t>
            </w:r>
            <w:r w:rsidRPr="00A92EC7">
              <w:rPr>
                <w:rFonts w:ascii="Times New Roman" w:eastAsia="Times New Roman" w:hAnsi="Times New Roman"/>
                <w:sz w:val="24"/>
                <w:szCs w:val="24"/>
                <w:lang w:eastAsia="lv-LV"/>
              </w:rPr>
              <w:t xml:space="preserve"> un institucionālo struktūru.</w:t>
            </w:r>
          </w:p>
          <w:p w14:paraId="689A82AC"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 xml:space="preserve">Jaunu </w:t>
            </w:r>
            <w:r w:rsidRPr="00A92EC7">
              <w:rPr>
                <w:rFonts w:ascii="Times New Roman" w:hAnsi="Times New Roman"/>
                <w:bCs/>
                <w:sz w:val="24"/>
                <w:szCs w:val="24"/>
              </w:rPr>
              <w:t>institūciju</w:t>
            </w:r>
            <w:r w:rsidRPr="00A92EC7">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528" w:type="dxa"/>
          </w:tcPr>
          <w:p w14:paraId="441AB9FB" w14:textId="77777777" w:rsidR="009A312E" w:rsidRPr="004021C2" w:rsidRDefault="00B95A86" w:rsidP="004021C2">
            <w:pPr>
              <w:spacing w:after="0" w:line="240" w:lineRule="auto"/>
              <w:ind w:right="130" w:firstLine="170"/>
              <w:contextualSpacing/>
              <w:jc w:val="both"/>
              <w:rPr>
                <w:rFonts w:ascii="Times New Roman" w:hAnsi="Times New Roman"/>
                <w:sz w:val="24"/>
                <w:szCs w:val="24"/>
              </w:rPr>
            </w:pPr>
            <w:r w:rsidRPr="00A92EC7">
              <w:rPr>
                <w:rFonts w:ascii="Times New Roman" w:eastAsia="Times New Roman" w:hAnsi="Times New Roman"/>
                <w:iCs/>
                <w:sz w:val="24"/>
                <w:szCs w:val="24"/>
                <w:lang w:eastAsia="lv-LV"/>
              </w:rPr>
              <w:t xml:space="preserve">Nav plānota jaunu institūciju izveide, esošu institūciju likvidācija vai </w:t>
            </w:r>
            <w:r w:rsidRPr="004021C2">
              <w:rPr>
                <w:rFonts w:ascii="Times New Roman" w:hAnsi="Times New Roman"/>
                <w:sz w:val="24"/>
                <w:szCs w:val="24"/>
              </w:rPr>
              <w:t>reorganizācija.</w:t>
            </w:r>
          </w:p>
          <w:p w14:paraId="0A93EA10" w14:textId="505DBE3B" w:rsidR="00E007AF" w:rsidRPr="00A92EC7" w:rsidRDefault="00E007AF" w:rsidP="004021C2">
            <w:pPr>
              <w:spacing w:after="0" w:line="240" w:lineRule="auto"/>
              <w:ind w:right="130" w:firstLine="170"/>
              <w:contextualSpacing/>
              <w:jc w:val="both"/>
              <w:rPr>
                <w:rFonts w:ascii="Times New Roman" w:eastAsia="Times New Roman" w:hAnsi="Times New Roman"/>
                <w:iCs/>
                <w:sz w:val="24"/>
                <w:szCs w:val="24"/>
                <w:lang w:eastAsia="lv-LV"/>
              </w:rPr>
            </w:pPr>
            <w:r w:rsidRPr="004021C2">
              <w:rPr>
                <w:rFonts w:ascii="Times New Roman" w:hAnsi="Times New Roman"/>
                <w:sz w:val="24"/>
                <w:szCs w:val="24"/>
              </w:rPr>
              <w:t>Noteikumu projekta izpilde tiks organizēta esošo cilvēkresursu ietva</w:t>
            </w:r>
            <w:r w:rsidRPr="00AB5823">
              <w:rPr>
                <w:rFonts w:ascii="Times New Roman" w:eastAsia="Times New Roman" w:hAnsi="Times New Roman"/>
                <w:sz w:val="24"/>
                <w:szCs w:val="24"/>
                <w:lang w:eastAsia="lv-LV"/>
              </w:rPr>
              <w:t>ros.</w:t>
            </w:r>
          </w:p>
        </w:tc>
      </w:tr>
      <w:tr w:rsidR="009A312E" w:rsidRPr="00A92EC7" w14:paraId="17DEEA33" w14:textId="77777777" w:rsidTr="00017252">
        <w:tc>
          <w:tcPr>
            <w:tcW w:w="507" w:type="dxa"/>
            <w:hideMark/>
          </w:tcPr>
          <w:p w14:paraId="44CA1C15" w14:textId="77777777" w:rsidR="009A312E" w:rsidRPr="00A92EC7" w:rsidRDefault="009A312E" w:rsidP="00871FC0">
            <w:pPr>
              <w:spacing w:after="0" w:line="240" w:lineRule="auto"/>
              <w:contextualSpacing/>
              <w:jc w:val="center"/>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3.</w:t>
            </w:r>
          </w:p>
        </w:tc>
        <w:tc>
          <w:tcPr>
            <w:tcW w:w="3604" w:type="dxa"/>
            <w:hideMark/>
          </w:tcPr>
          <w:p w14:paraId="18A421CE" w14:textId="77777777" w:rsidR="009A312E" w:rsidRPr="00A92EC7" w:rsidRDefault="009A312E" w:rsidP="00017252">
            <w:pPr>
              <w:spacing w:after="0" w:line="240" w:lineRule="auto"/>
              <w:ind w:left="37" w:right="128"/>
              <w:contextualSpacing/>
              <w:jc w:val="both"/>
              <w:rPr>
                <w:rFonts w:ascii="Times New Roman" w:eastAsia="Times New Roman" w:hAnsi="Times New Roman"/>
                <w:sz w:val="24"/>
                <w:szCs w:val="24"/>
                <w:lang w:eastAsia="lv-LV"/>
              </w:rPr>
            </w:pPr>
            <w:r w:rsidRPr="00A92EC7">
              <w:rPr>
                <w:rFonts w:ascii="Times New Roman" w:eastAsia="Times New Roman" w:hAnsi="Times New Roman"/>
                <w:sz w:val="24"/>
                <w:szCs w:val="24"/>
                <w:lang w:eastAsia="lv-LV"/>
              </w:rPr>
              <w:t>Cita informācija</w:t>
            </w:r>
          </w:p>
        </w:tc>
        <w:tc>
          <w:tcPr>
            <w:tcW w:w="5528" w:type="dxa"/>
          </w:tcPr>
          <w:p w14:paraId="6BB19CF2" w14:textId="6B4A1359" w:rsidR="009A312E" w:rsidRPr="00A92EC7" w:rsidRDefault="00B95A86" w:rsidP="001D0666">
            <w:pPr>
              <w:spacing w:after="0" w:line="240" w:lineRule="auto"/>
              <w:ind w:right="130" w:firstLine="170"/>
              <w:contextualSpacing/>
              <w:jc w:val="both"/>
              <w:rPr>
                <w:rFonts w:ascii="Times New Roman" w:eastAsia="Times New Roman" w:hAnsi="Times New Roman"/>
                <w:sz w:val="24"/>
                <w:szCs w:val="24"/>
                <w:lang w:eastAsia="lv-LV"/>
              </w:rPr>
            </w:pPr>
            <w:r w:rsidRPr="00A92EC7">
              <w:rPr>
                <w:rFonts w:ascii="Times New Roman" w:eastAsia="Times New Roman" w:hAnsi="Times New Roman"/>
                <w:iCs/>
                <w:sz w:val="24"/>
                <w:szCs w:val="24"/>
                <w:lang w:eastAsia="lv-LV"/>
              </w:rPr>
              <w:t>Nav</w:t>
            </w:r>
            <w:r w:rsidR="00E26CFB" w:rsidRPr="00A92EC7">
              <w:rPr>
                <w:rFonts w:ascii="Times New Roman" w:eastAsia="Times New Roman" w:hAnsi="Times New Roman"/>
                <w:iCs/>
                <w:sz w:val="24"/>
                <w:szCs w:val="24"/>
                <w:lang w:eastAsia="lv-LV"/>
              </w:rPr>
              <w:t>.</w:t>
            </w:r>
          </w:p>
        </w:tc>
      </w:tr>
    </w:tbl>
    <w:p w14:paraId="5FCC8D11" w14:textId="77777777" w:rsidR="009A312E" w:rsidRPr="00A92EC7" w:rsidRDefault="009A312E"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1592FFC4" w14:textId="39D14701" w:rsidR="00BA3C6C" w:rsidRPr="00A92EC7" w:rsidRDefault="00BA3C6C"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2D604021" w14:textId="77777777" w:rsidR="005630E5" w:rsidRPr="00A92EC7" w:rsidRDefault="005630E5" w:rsidP="00871FC0">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743AEF49" w:rsidR="009A312E" w:rsidRPr="00036AF9" w:rsidRDefault="004B3904" w:rsidP="00871FC0">
      <w:pPr>
        <w:tabs>
          <w:tab w:val="right" w:pos="9071"/>
        </w:tabs>
        <w:spacing w:after="0" w:line="240" w:lineRule="auto"/>
        <w:contextualSpacing/>
        <w:jc w:val="both"/>
        <w:rPr>
          <w:rFonts w:ascii="Times New Roman" w:hAnsi="Times New Roman"/>
          <w:color w:val="000000"/>
          <w:sz w:val="24"/>
          <w:szCs w:val="24"/>
        </w:rPr>
      </w:pPr>
      <w:r w:rsidRPr="00E459CD">
        <w:rPr>
          <w:rFonts w:ascii="Times New Roman" w:hAnsi="Times New Roman"/>
          <w:color w:val="000000"/>
          <w:sz w:val="24"/>
          <w:szCs w:val="24"/>
        </w:rPr>
        <w:t>Ekonomikas ministrs</w:t>
      </w:r>
      <w:r w:rsidR="009A312E" w:rsidRPr="00036AF9">
        <w:rPr>
          <w:rFonts w:ascii="Times New Roman" w:hAnsi="Times New Roman"/>
          <w:sz w:val="24"/>
          <w:szCs w:val="24"/>
        </w:rPr>
        <w:t xml:space="preserve"> </w:t>
      </w:r>
      <w:r w:rsidR="009A312E" w:rsidRPr="00036AF9">
        <w:rPr>
          <w:rFonts w:ascii="Times New Roman" w:hAnsi="Times New Roman"/>
          <w:sz w:val="24"/>
          <w:szCs w:val="24"/>
        </w:rPr>
        <w:tab/>
      </w:r>
      <w:r w:rsidRPr="00036AF9">
        <w:rPr>
          <w:rFonts w:ascii="Times New Roman" w:hAnsi="Times New Roman"/>
          <w:color w:val="000000"/>
          <w:sz w:val="24"/>
          <w:szCs w:val="24"/>
        </w:rPr>
        <w:t xml:space="preserve">R. </w:t>
      </w:r>
      <w:proofErr w:type="spellStart"/>
      <w:r w:rsidRPr="00036AF9">
        <w:rPr>
          <w:rFonts w:ascii="Times New Roman" w:hAnsi="Times New Roman"/>
          <w:color w:val="000000"/>
          <w:sz w:val="24"/>
          <w:szCs w:val="24"/>
        </w:rPr>
        <w:t>Nemiro</w:t>
      </w:r>
      <w:proofErr w:type="spellEnd"/>
    </w:p>
    <w:p w14:paraId="2EBECC9D" w14:textId="77777777" w:rsidR="003A21F2" w:rsidRPr="00036AF9" w:rsidRDefault="003A21F2" w:rsidP="00871FC0">
      <w:pPr>
        <w:tabs>
          <w:tab w:val="right" w:pos="9071"/>
        </w:tabs>
        <w:spacing w:after="0" w:line="240" w:lineRule="auto"/>
        <w:contextualSpacing/>
        <w:jc w:val="both"/>
        <w:rPr>
          <w:rFonts w:ascii="Times New Roman" w:hAnsi="Times New Roman"/>
          <w:color w:val="000000"/>
          <w:sz w:val="24"/>
          <w:szCs w:val="24"/>
        </w:rPr>
      </w:pPr>
    </w:p>
    <w:p w14:paraId="29EBA32C" w14:textId="77777777" w:rsidR="009A312E" w:rsidRPr="00036AF9" w:rsidRDefault="009A312E" w:rsidP="00871FC0">
      <w:pPr>
        <w:tabs>
          <w:tab w:val="right" w:pos="9071"/>
        </w:tabs>
        <w:spacing w:after="0" w:line="240" w:lineRule="auto"/>
        <w:contextualSpacing/>
        <w:jc w:val="both"/>
        <w:rPr>
          <w:rFonts w:ascii="Times New Roman" w:hAnsi="Times New Roman"/>
          <w:color w:val="000000"/>
          <w:sz w:val="24"/>
          <w:szCs w:val="24"/>
        </w:rPr>
      </w:pPr>
    </w:p>
    <w:p w14:paraId="174A785F" w14:textId="77777777" w:rsidR="00486636" w:rsidRPr="00036AF9" w:rsidRDefault="009A312E" w:rsidP="00871FC0">
      <w:pPr>
        <w:tabs>
          <w:tab w:val="right" w:pos="9071"/>
        </w:tabs>
        <w:spacing w:after="0" w:line="240" w:lineRule="auto"/>
        <w:contextualSpacing/>
        <w:jc w:val="both"/>
        <w:rPr>
          <w:rFonts w:ascii="Times New Roman" w:hAnsi="Times New Roman"/>
          <w:color w:val="000000"/>
          <w:sz w:val="24"/>
          <w:szCs w:val="24"/>
        </w:rPr>
      </w:pPr>
      <w:r w:rsidRPr="00036AF9">
        <w:rPr>
          <w:rFonts w:ascii="Times New Roman" w:hAnsi="Times New Roman"/>
          <w:color w:val="000000"/>
          <w:sz w:val="24"/>
          <w:szCs w:val="24"/>
        </w:rPr>
        <w:t>Vīza:</w:t>
      </w:r>
    </w:p>
    <w:p w14:paraId="4FDF8EF9" w14:textId="036C76EF" w:rsidR="009A312E" w:rsidRPr="00036AF9" w:rsidRDefault="009A312E" w:rsidP="00871FC0">
      <w:pPr>
        <w:tabs>
          <w:tab w:val="right" w:pos="9071"/>
        </w:tabs>
        <w:spacing w:after="0" w:line="240" w:lineRule="auto"/>
        <w:contextualSpacing/>
        <w:jc w:val="both"/>
        <w:rPr>
          <w:rFonts w:ascii="Times New Roman" w:hAnsi="Times New Roman"/>
          <w:color w:val="000000"/>
          <w:sz w:val="24"/>
          <w:szCs w:val="24"/>
        </w:rPr>
      </w:pPr>
      <w:r w:rsidRPr="00036AF9">
        <w:rPr>
          <w:rFonts w:ascii="Times New Roman" w:hAnsi="Times New Roman"/>
          <w:color w:val="000000"/>
          <w:sz w:val="24"/>
          <w:szCs w:val="24"/>
        </w:rPr>
        <w:t>Valsts sekretār</w:t>
      </w:r>
      <w:r w:rsidR="00E2719F" w:rsidRPr="00036AF9">
        <w:rPr>
          <w:rFonts w:ascii="Times New Roman" w:hAnsi="Times New Roman"/>
          <w:color w:val="000000"/>
          <w:sz w:val="24"/>
          <w:szCs w:val="24"/>
        </w:rPr>
        <w:t>s</w:t>
      </w:r>
      <w:r w:rsidR="00E2719F" w:rsidRPr="00036AF9">
        <w:rPr>
          <w:rFonts w:ascii="Times New Roman" w:hAnsi="Times New Roman"/>
          <w:color w:val="000000"/>
          <w:sz w:val="24"/>
          <w:szCs w:val="24"/>
        </w:rPr>
        <w:tab/>
        <w:t>Ē.</w:t>
      </w:r>
      <w:r w:rsidR="007B736E">
        <w:rPr>
          <w:rFonts w:ascii="Times New Roman" w:hAnsi="Times New Roman"/>
          <w:color w:val="000000"/>
          <w:sz w:val="24"/>
          <w:szCs w:val="24"/>
        </w:rPr>
        <w:t xml:space="preserve"> </w:t>
      </w:r>
      <w:r w:rsidR="00E2719F" w:rsidRPr="00036AF9">
        <w:rPr>
          <w:rFonts w:ascii="Times New Roman" w:hAnsi="Times New Roman"/>
          <w:color w:val="000000"/>
          <w:sz w:val="24"/>
          <w:szCs w:val="24"/>
        </w:rPr>
        <w:t>Eglītis</w:t>
      </w:r>
    </w:p>
    <w:p w14:paraId="4E7CC4F1" w14:textId="4F1A6AB6" w:rsidR="00CC6E1B" w:rsidRPr="00A92EC7" w:rsidRDefault="00CC6E1B" w:rsidP="00871FC0">
      <w:pPr>
        <w:tabs>
          <w:tab w:val="right" w:pos="9071"/>
        </w:tabs>
        <w:spacing w:after="0" w:line="240" w:lineRule="auto"/>
        <w:contextualSpacing/>
        <w:jc w:val="both"/>
        <w:rPr>
          <w:rFonts w:ascii="Times New Roman" w:hAnsi="Times New Roman"/>
          <w:color w:val="000000"/>
          <w:sz w:val="20"/>
          <w:szCs w:val="24"/>
        </w:rPr>
      </w:pPr>
    </w:p>
    <w:p w14:paraId="437CA3D4" w14:textId="4AF3C25B" w:rsidR="009A2938" w:rsidRPr="00A92EC7" w:rsidRDefault="009A2938" w:rsidP="00871FC0">
      <w:pPr>
        <w:tabs>
          <w:tab w:val="right" w:pos="9071"/>
        </w:tabs>
        <w:spacing w:after="0" w:line="240" w:lineRule="auto"/>
        <w:contextualSpacing/>
        <w:jc w:val="both"/>
        <w:rPr>
          <w:rFonts w:ascii="Times New Roman" w:hAnsi="Times New Roman"/>
          <w:color w:val="000000"/>
          <w:sz w:val="20"/>
          <w:szCs w:val="24"/>
        </w:rPr>
      </w:pPr>
    </w:p>
    <w:p w14:paraId="04740656" w14:textId="2C7A4BA3" w:rsidR="00D85523" w:rsidRPr="00A92EC7" w:rsidRDefault="00D85523" w:rsidP="00871FC0">
      <w:pPr>
        <w:tabs>
          <w:tab w:val="right" w:pos="9071"/>
        </w:tabs>
        <w:spacing w:after="0" w:line="240" w:lineRule="auto"/>
        <w:contextualSpacing/>
        <w:jc w:val="both"/>
        <w:rPr>
          <w:rFonts w:ascii="Times New Roman" w:hAnsi="Times New Roman"/>
          <w:color w:val="000000"/>
          <w:sz w:val="20"/>
          <w:szCs w:val="24"/>
        </w:rPr>
      </w:pPr>
    </w:p>
    <w:p w14:paraId="51F280F2" w14:textId="518E679A" w:rsidR="008F36E1" w:rsidRPr="00A92EC7" w:rsidRDefault="008F36E1" w:rsidP="00871FC0">
      <w:pPr>
        <w:widowControl w:val="0"/>
        <w:spacing w:after="0" w:line="240" w:lineRule="auto"/>
        <w:contextualSpacing/>
        <w:jc w:val="both"/>
        <w:rPr>
          <w:rFonts w:ascii="Times New Roman" w:eastAsia="Times New Roman" w:hAnsi="Times New Roman"/>
          <w:sz w:val="20"/>
          <w:szCs w:val="24"/>
          <w:lang w:eastAsia="lv-LV"/>
        </w:rPr>
      </w:pPr>
      <w:r w:rsidRPr="00A92EC7">
        <w:rPr>
          <w:rFonts w:ascii="Times New Roman" w:eastAsia="Times New Roman" w:hAnsi="Times New Roman"/>
          <w:sz w:val="20"/>
          <w:szCs w:val="24"/>
          <w:lang w:eastAsia="lv-LV"/>
        </w:rPr>
        <w:t xml:space="preserve">Evelīna </w:t>
      </w:r>
      <w:r w:rsidR="004B3904" w:rsidRPr="00A92EC7">
        <w:rPr>
          <w:rFonts w:ascii="Times New Roman" w:eastAsia="Times New Roman" w:hAnsi="Times New Roman"/>
          <w:sz w:val="20"/>
          <w:szCs w:val="24"/>
          <w:lang w:eastAsia="lv-LV"/>
        </w:rPr>
        <w:t>Matisone</w:t>
      </w:r>
      <w:r w:rsidRPr="00A92EC7">
        <w:rPr>
          <w:rFonts w:ascii="Times New Roman" w:eastAsia="Times New Roman" w:hAnsi="Times New Roman"/>
          <w:sz w:val="20"/>
          <w:szCs w:val="24"/>
          <w:lang w:eastAsia="lv-LV"/>
        </w:rPr>
        <w:t>; 67013241</w:t>
      </w:r>
    </w:p>
    <w:p w14:paraId="4388254F" w14:textId="19FEBE62" w:rsidR="008F36E1" w:rsidRPr="00A92EC7" w:rsidRDefault="008F36E1" w:rsidP="00486636">
      <w:pPr>
        <w:widowControl w:val="0"/>
        <w:spacing w:after="0" w:line="240" w:lineRule="auto"/>
        <w:contextualSpacing/>
        <w:jc w:val="both"/>
        <w:rPr>
          <w:rFonts w:ascii="Times New Roman" w:hAnsi="Times New Roman"/>
          <w:color w:val="000000"/>
          <w:sz w:val="20"/>
          <w:szCs w:val="24"/>
        </w:rPr>
      </w:pPr>
      <w:r w:rsidRPr="00A92EC7">
        <w:rPr>
          <w:rFonts w:ascii="Times New Roman" w:eastAsia="Times New Roman" w:hAnsi="Times New Roman"/>
          <w:sz w:val="20"/>
          <w:szCs w:val="24"/>
          <w:lang w:eastAsia="lv-LV"/>
        </w:rPr>
        <w:t>Evelina.</w:t>
      </w:r>
      <w:r w:rsidR="004B3904" w:rsidRPr="00A92EC7">
        <w:rPr>
          <w:rFonts w:ascii="Times New Roman" w:eastAsia="Times New Roman" w:hAnsi="Times New Roman"/>
          <w:sz w:val="20"/>
          <w:szCs w:val="24"/>
          <w:lang w:eastAsia="lv-LV"/>
        </w:rPr>
        <w:t>Matison</w:t>
      </w:r>
      <w:r w:rsidRPr="00A92EC7">
        <w:rPr>
          <w:rFonts w:ascii="Times New Roman" w:eastAsia="Times New Roman" w:hAnsi="Times New Roman"/>
          <w:sz w:val="20"/>
          <w:szCs w:val="24"/>
          <w:lang w:eastAsia="lv-LV"/>
        </w:rPr>
        <w:t>e@em.gov.lv</w:t>
      </w:r>
    </w:p>
    <w:sectPr w:rsidR="008F36E1" w:rsidRPr="00A92EC7" w:rsidSect="002A044D">
      <w:headerReference w:type="default" r:id="rId10"/>
      <w:footerReference w:type="default" r:id="rId11"/>
      <w:footerReference w:type="first" r:id="rId12"/>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4D09" w14:textId="77777777" w:rsidR="0001773A" w:rsidRDefault="0001773A">
      <w:pPr>
        <w:spacing w:after="0" w:line="240" w:lineRule="auto"/>
      </w:pPr>
      <w:r>
        <w:separator/>
      </w:r>
    </w:p>
  </w:endnote>
  <w:endnote w:type="continuationSeparator" w:id="0">
    <w:p w14:paraId="25D335F2" w14:textId="77777777" w:rsidR="0001773A" w:rsidRDefault="0001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05903EB8" w:rsidR="00976644" w:rsidRPr="00B61820" w:rsidRDefault="00317BF1" w:rsidP="00525055">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525055">
      <w:rPr>
        <w:rFonts w:ascii="Times New Roman" w:eastAsia="Times New Roman" w:hAnsi="Times New Roman"/>
        <w:sz w:val="20"/>
        <w:szCs w:val="20"/>
        <w:lang w:eastAsia="lv-LV"/>
      </w:rPr>
      <w:t>1110</w:t>
    </w:r>
    <w:r w:rsidR="003D07E7">
      <w:rPr>
        <w:rFonts w:ascii="Times New Roman" w:eastAsia="Times New Roman" w:hAnsi="Times New Roman"/>
        <w:sz w:val="20"/>
        <w:szCs w:val="20"/>
        <w:lang w:eastAsia="lv-LV"/>
      </w:rPr>
      <w:t>19</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w:t>
    </w:r>
    <w:r w:rsidR="0067605D">
      <w:rPr>
        <w:rFonts w:ascii="Times New Roman" w:eastAsia="Times New Roman" w:hAnsi="Times New Roman"/>
        <w:sz w:val="20"/>
        <w:szCs w:val="20"/>
        <w:lang w:eastAsia="lv-LV"/>
      </w:rP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28F0F030"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525055">
      <w:rPr>
        <w:rFonts w:ascii="Times New Roman" w:eastAsia="Times New Roman" w:hAnsi="Times New Roman"/>
        <w:sz w:val="20"/>
        <w:szCs w:val="20"/>
        <w:lang w:eastAsia="lv-LV"/>
      </w:rPr>
      <w:t>1110</w:t>
    </w:r>
    <w:r w:rsidR="00B23027">
      <w:rPr>
        <w:rFonts w:ascii="Times New Roman" w:eastAsia="Times New Roman" w:hAnsi="Times New Roman"/>
        <w:sz w:val="20"/>
        <w:szCs w:val="20"/>
        <w:lang w:eastAsia="lv-LV"/>
      </w:rPr>
      <w:t>19_Groz</w:t>
    </w:r>
    <w:r w:rsidR="0067605D">
      <w:rPr>
        <w:rFonts w:ascii="Times New Roman" w:eastAsia="Times New Roman" w:hAnsi="Times New Roman"/>
        <w:sz w:val="20"/>
        <w:szCs w:val="20"/>
        <w:lang w:eastAsia="lv-LV"/>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E144" w14:textId="77777777" w:rsidR="0001773A" w:rsidRDefault="0001773A">
      <w:pPr>
        <w:spacing w:after="0" w:line="240" w:lineRule="auto"/>
      </w:pPr>
      <w:r>
        <w:separator/>
      </w:r>
    </w:p>
  </w:footnote>
  <w:footnote w:type="continuationSeparator" w:id="0">
    <w:p w14:paraId="6E91EBFE" w14:textId="77777777" w:rsidR="0001773A" w:rsidRDefault="0001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2A044D" w:rsidRDefault="00CE7A28">
    <w:pPr>
      <w:pStyle w:val="Header"/>
      <w:jc w:val="center"/>
      <w:rPr>
        <w:rFonts w:ascii="Times New Roman" w:hAnsi="Times New Roman"/>
        <w:sz w:val="20"/>
        <w:szCs w:val="20"/>
      </w:rPr>
    </w:pPr>
    <w:r w:rsidRPr="002A044D">
      <w:rPr>
        <w:rFonts w:ascii="Times New Roman" w:hAnsi="Times New Roman"/>
        <w:sz w:val="20"/>
        <w:szCs w:val="20"/>
      </w:rPr>
      <w:fldChar w:fldCharType="begin"/>
    </w:r>
    <w:r w:rsidRPr="002A044D">
      <w:rPr>
        <w:rFonts w:ascii="Times New Roman" w:hAnsi="Times New Roman"/>
        <w:sz w:val="20"/>
        <w:szCs w:val="20"/>
      </w:rPr>
      <w:instrText xml:space="preserve"> PAGE   \* MERGEFORMAT </w:instrText>
    </w:r>
    <w:r w:rsidRPr="002A044D">
      <w:rPr>
        <w:rFonts w:ascii="Times New Roman" w:hAnsi="Times New Roman"/>
        <w:sz w:val="20"/>
        <w:szCs w:val="20"/>
      </w:rPr>
      <w:fldChar w:fldCharType="separate"/>
    </w:r>
    <w:r w:rsidRPr="002A044D">
      <w:rPr>
        <w:rFonts w:ascii="Times New Roman" w:hAnsi="Times New Roman"/>
        <w:noProof/>
        <w:sz w:val="20"/>
        <w:szCs w:val="20"/>
      </w:rPr>
      <w:t>8</w:t>
    </w:r>
    <w:r w:rsidRPr="002A044D">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4"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9"/>
  </w:num>
  <w:num w:numId="2">
    <w:abstractNumId w:val="18"/>
  </w:num>
  <w:num w:numId="3">
    <w:abstractNumId w:val="13"/>
  </w:num>
  <w:num w:numId="4">
    <w:abstractNumId w:val="16"/>
  </w:num>
  <w:num w:numId="5">
    <w:abstractNumId w:val="1"/>
  </w:num>
  <w:num w:numId="6">
    <w:abstractNumId w:val="3"/>
  </w:num>
  <w:num w:numId="7">
    <w:abstractNumId w:val="15"/>
  </w:num>
  <w:num w:numId="8">
    <w:abstractNumId w:val="2"/>
  </w:num>
  <w:num w:numId="9">
    <w:abstractNumId w:val="20"/>
  </w:num>
  <w:num w:numId="10">
    <w:abstractNumId w:val="6"/>
  </w:num>
  <w:num w:numId="11">
    <w:abstractNumId w:val="21"/>
  </w:num>
  <w:num w:numId="12">
    <w:abstractNumId w:val="17"/>
  </w:num>
  <w:num w:numId="13">
    <w:abstractNumId w:val="14"/>
  </w:num>
  <w:num w:numId="14">
    <w:abstractNumId w:val="9"/>
  </w:num>
  <w:num w:numId="15">
    <w:abstractNumId w:val="10"/>
  </w:num>
  <w:num w:numId="16">
    <w:abstractNumId w:val="8"/>
  </w:num>
  <w:num w:numId="17">
    <w:abstractNumId w:val="11"/>
  </w:num>
  <w:num w:numId="18">
    <w:abstractNumId w:val="12"/>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452A"/>
    <w:rsid w:val="000053C9"/>
    <w:rsid w:val="00006DC5"/>
    <w:rsid w:val="000133EB"/>
    <w:rsid w:val="00017252"/>
    <w:rsid w:val="0001773A"/>
    <w:rsid w:val="00024CCD"/>
    <w:rsid w:val="00024D1B"/>
    <w:rsid w:val="00031648"/>
    <w:rsid w:val="000318AE"/>
    <w:rsid w:val="00032E43"/>
    <w:rsid w:val="000357F1"/>
    <w:rsid w:val="00036AF9"/>
    <w:rsid w:val="0004161D"/>
    <w:rsid w:val="00042D84"/>
    <w:rsid w:val="0004420B"/>
    <w:rsid w:val="0004745F"/>
    <w:rsid w:val="000571F8"/>
    <w:rsid w:val="000617F8"/>
    <w:rsid w:val="00064A63"/>
    <w:rsid w:val="00072F1D"/>
    <w:rsid w:val="00074096"/>
    <w:rsid w:val="00075FD5"/>
    <w:rsid w:val="00077241"/>
    <w:rsid w:val="00077E7D"/>
    <w:rsid w:val="00082788"/>
    <w:rsid w:val="00086E71"/>
    <w:rsid w:val="000A12B9"/>
    <w:rsid w:val="000A5B3A"/>
    <w:rsid w:val="000B4E36"/>
    <w:rsid w:val="000B4FA8"/>
    <w:rsid w:val="000B5DE9"/>
    <w:rsid w:val="000C409B"/>
    <w:rsid w:val="000D1516"/>
    <w:rsid w:val="000E1202"/>
    <w:rsid w:val="000E5AA6"/>
    <w:rsid w:val="000F72AE"/>
    <w:rsid w:val="00101DB2"/>
    <w:rsid w:val="00101FC4"/>
    <w:rsid w:val="0010496B"/>
    <w:rsid w:val="00105417"/>
    <w:rsid w:val="00115470"/>
    <w:rsid w:val="00115BD6"/>
    <w:rsid w:val="001243B9"/>
    <w:rsid w:val="0012675A"/>
    <w:rsid w:val="001305B9"/>
    <w:rsid w:val="001312A1"/>
    <w:rsid w:val="00136262"/>
    <w:rsid w:val="00147EC5"/>
    <w:rsid w:val="001518B5"/>
    <w:rsid w:val="0015517D"/>
    <w:rsid w:val="00156578"/>
    <w:rsid w:val="00160574"/>
    <w:rsid w:val="00164527"/>
    <w:rsid w:val="00164E69"/>
    <w:rsid w:val="00176C49"/>
    <w:rsid w:val="00182C25"/>
    <w:rsid w:val="00196785"/>
    <w:rsid w:val="001A67CD"/>
    <w:rsid w:val="001A6DE0"/>
    <w:rsid w:val="001B0ADF"/>
    <w:rsid w:val="001B6126"/>
    <w:rsid w:val="001B78C5"/>
    <w:rsid w:val="001C1EF8"/>
    <w:rsid w:val="001C3799"/>
    <w:rsid w:val="001C4BBF"/>
    <w:rsid w:val="001C5253"/>
    <w:rsid w:val="001C6666"/>
    <w:rsid w:val="001D0666"/>
    <w:rsid w:val="001D209B"/>
    <w:rsid w:val="001D77A4"/>
    <w:rsid w:val="001F0098"/>
    <w:rsid w:val="001F0F74"/>
    <w:rsid w:val="001F1876"/>
    <w:rsid w:val="001F1B7D"/>
    <w:rsid w:val="001F44B8"/>
    <w:rsid w:val="00210CCC"/>
    <w:rsid w:val="00214D3D"/>
    <w:rsid w:val="002171C9"/>
    <w:rsid w:val="00220849"/>
    <w:rsid w:val="00220DF0"/>
    <w:rsid w:val="00222673"/>
    <w:rsid w:val="002247CD"/>
    <w:rsid w:val="002319EF"/>
    <w:rsid w:val="00235779"/>
    <w:rsid w:val="00242068"/>
    <w:rsid w:val="00244FFB"/>
    <w:rsid w:val="00260ACA"/>
    <w:rsid w:val="002620B3"/>
    <w:rsid w:val="002635BA"/>
    <w:rsid w:val="002668BD"/>
    <w:rsid w:val="00271CD9"/>
    <w:rsid w:val="00271E94"/>
    <w:rsid w:val="00273253"/>
    <w:rsid w:val="002733DE"/>
    <w:rsid w:val="0027659A"/>
    <w:rsid w:val="00276DA9"/>
    <w:rsid w:val="002809A6"/>
    <w:rsid w:val="00281A8E"/>
    <w:rsid w:val="00282DEF"/>
    <w:rsid w:val="00282F81"/>
    <w:rsid w:val="00287382"/>
    <w:rsid w:val="00290DFD"/>
    <w:rsid w:val="002919BA"/>
    <w:rsid w:val="00294EC8"/>
    <w:rsid w:val="00297054"/>
    <w:rsid w:val="002A044D"/>
    <w:rsid w:val="002A1C23"/>
    <w:rsid w:val="002A240F"/>
    <w:rsid w:val="002A4CFD"/>
    <w:rsid w:val="002B28B8"/>
    <w:rsid w:val="002B4E1B"/>
    <w:rsid w:val="002C0301"/>
    <w:rsid w:val="002C25DA"/>
    <w:rsid w:val="002C6FC1"/>
    <w:rsid w:val="002C7A6B"/>
    <w:rsid w:val="002D030B"/>
    <w:rsid w:val="002D456C"/>
    <w:rsid w:val="002D65AE"/>
    <w:rsid w:val="002D681C"/>
    <w:rsid w:val="002D73C4"/>
    <w:rsid w:val="002E1F44"/>
    <w:rsid w:val="002F0034"/>
    <w:rsid w:val="002F10D3"/>
    <w:rsid w:val="002F469D"/>
    <w:rsid w:val="002F542C"/>
    <w:rsid w:val="002F72B3"/>
    <w:rsid w:val="003053D5"/>
    <w:rsid w:val="00311B8E"/>
    <w:rsid w:val="003123AC"/>
    <w:rsid w:val="00314236"/>
    <w:rsid w:val="00317BF1"/>
    <w:rsid w:val="00322D1B"/>
    <w:rsid w:val="0033091B"/>
    <w:rsid w:val="00336724"/>
    <w:rsid w:val="00336B4E"/>
    <w:rsid w:val="00343578"/>
    <w:rsid w:val="00344701"/>
    <w:rsid w:val="00352025"/>
    <w:rsid w:val="003571E7"/>
    <w:rsid w:val="003623D6"/>
    <w:rsid w:val="00362873"/>
    <w:rsid w:val="00362EDA"/>
    <w:rsid w:val="00366AEA"/>
    <w:rsid w:val="003673E5"/>
    <w:rsid w:val="00372710"/>
    <w:rsid w:val="003739DF"/>
    <w:rsid w:val="00374FD3"/>
    <w:rsid w:val="003806D2"/>
    <w:rsid w:val="00383016"/>
    <w:rsid w:val="003839FF"/>
    <w:rsid w:val="0038436C"/>
    <w:rsid w:val="00385BDB"/>
    <w:rsid w:val="0038723A"/>
    <w:rsid w:val="00390E8D"/>
    <w:rsid w:val="003937F2"/>
    <w:rsid w:val="00396735"/>
    <w:rsid w:val="00397AC2"/>
    <w:rsid w:val="003A21F2"/>
    <w:rsid w:val="003A330D"/>
    <w:rsid w:val="003A3570"/>
    <w:rsid w:val="003B3ECC"/>
    <w:rsid w:val="003B5FC4"/>
    <w:rsid w:val="003C1F82"/>
    <w:rsid w:val="003C263F"/>
    <w:rsid w:val="003C7775"/>
    <w:rsid w:val="003D07E7"/>
    <w:rsid w:val="003D0D9E"/>
    <w:rsid w:val="003D205C"/>
    <w:rsid w:val="003D3BB6"/>
    <w:rsid w:val="003D451F"/>
    <w:rsid w:val="003E1F77"/>
    <w:rsid w:val="003E5A7B"/>
    <w:rsid w:val="003E786A"/>
    <w:rsid w:val="003F4760"/>
    <w:rsid w:val="003F5F93"/>
    <w:rsid w:val="003F7660"/>
    <w:rsid w:val="004021C2"/>
    <w:rsid w:val="00405E29"/>
    <w:rsid w:val="0041103E"/>
    <w:rsid w:val="004111C9"/>
    <w:rsid w:val="00413491"/>
    <w:rsid w:val="00413694"/>
    <w:rsid w:val="0042491D"/>
    <w:rsid w:val="00425011"/>
    <w:rsid w:val="004278AE"/>
    <w:rsid w:val="00430F31"/>
    <w:rsid w:val="00446511"/>
    <w:rsid w:val="00452E2F"/>
    <w:rsid w:val="00453E63"/>
    <w:rsid w:val="00455AC2"/>
    <w:rsid w:val="00460FE5"/>
    <w:rsid w:val="004620FF"/>
    <w:rsid w:val="00462353"/>
    <w:rsid w:val="00462C50"/>
    <w:rsid w:val="00462FE7"/>
    <w:rsid w:val="00464059"/>
    <w:rsid w:val="00473A9B"/>
    <w:rsid w:val="00475884"/>
    <w:rsid w:val="004763A8"/>
    <w:rsid w:val="00482EA1"/>
    <w:rsid w:val="00483A21"/>
    <w:rsid w:val="00484CA0"/>
    <w:rsid w:val="00486636"/>
    <w:rsid w:val="00486698"/>
    <w:rsid w:val="004876BE"/>
    <w:rsid w:val="0049163F"/>
    <w:rsid w:val="00495F6E"/>
    <w:rsid w:val="004A0076"/>
    <w:rsid w:val="004A0213"/>
    <w:rsid w:val="004A2782"/>
    <w:rsid w:val="004B0E09"/>
    <w:rsid w:val="004B11BD"/>
    <w:rsid w:val="004B3904"/>
    <w:rsid w:val="004B3956"/>
    <w:rsid w:val="004C2262"/>
    <w:rsid w:val="004C31CA"/>
    <w:rsid w:val="004C33FB"/>
    <w:rsid w:val="004C44CD"/>
    <w:rsid w:val="004C47F2"/>
    <w:rsid w:val="004D0101"/>
    <w:rsid w:val="004D1D4A"/>
    <w:rsid w:val="004D32A9"/>
    <w:rsid w:val="004D393D"/>
    <w:rsid w:val="004D5E36"/>
    <w:rsid w:val="004E0872"/>
    <w:rsid w:val="004E0FE2"/>
    <w:rsid w:val="004E1208"/>
    <w:rsid w:val="004E4D09"/>
    <w:rsid w:val="004E560E"/>
    <w:rsid w:val="004E6D2A"/>
    <w:rsid w:val="004F3851"/>
    <w:rsid w:val="004F4131"/>
    <w:rsid w:val="005004A6"/>
    <w:rsid w:val="0050427E"/>
    <w:rsid w:val="00505230"/>
    <w:rsid w:val="00505345"/>
    <w:rsid w:val="0050621F"/>
    <w:rsid w:val="00510012"/>
    <w:rsid w:val="00525055"/>
    <w:rsid w:val="005315F9"/>
    <w:rsid w:val="005322C0"/>
    <w:rsid w:val="0053354D"/>
    <w:rsid w:val="00536D5A"/>
    <w:rsid w:val="0053787A"/>
    <w:rsid w:val="005439AB"/>
    <w:rsid w:val="00545F6C"/>
    <w:rsid w:val="00546B61"/>
    <w:rsid w:val="005503D4"/>
    <w:rsid w:val="00550B8B"/>
    <w:rsid w:val="00550C02"/>
    <w:rsid w:val="00551783"/>
    <w:rsid w:val="00553EF2"/>
    <w:rsid w:val="005545D7"/>
    <w:rsid w:val="00557E84"/>
    <w:rsid w:val="00560866"/>
    <w:rsid w:val="005630E5"/>
    <w:rsid w:val="0056492C"/>
    <w:rsid w:val="0056559A"/>
    <w:rsid w:val="00574833"/>
    <w:rsid w:val="00577A22"/>
    <w:rsid w:val="0058693F"/>
    <w:rsid w:val="00587678"/>
    <w:rsid w:val="005909DD"/>
    <w:rsid w:val="0059104A"/>
    <w:rsid w:val="00592403"/>
    <w:rsid w:val="00594127"/>
    <w:rsid w:val="00597404"/>
    <w:rsid w:val="00597D13"/>
    <w:rsid w:val="005A0A82"/>
    <w:rsid w:val="005A150F"/>
    <w:rsid w:val="005A1673"/>
    <w:rsid w:val="005A1B80"/>
    <w:rsid w:val="005A2487"/>
    <w:rsid w:val="005B4F67"/>
    <w:rsid w:val="005B5BEB"/>
    <w:rsid w:val="005C19E0"/>
    <w:rsid w:val="005C1C05"/>
    <w:rsid w:val="005C1C75"/>
    <w:rsid w:val="005C6DF5"/>
    <w:rsid w:val="005D421D"/>
    <w:rsid w:val="005D7CA4"/>
    <w:rsid w:val="005E1B08"/>
    <w:rsid w:val="005E272D"/>
    <w:rsid w:val="005E704C"/>
    <w:rsid w:val="00600F61"/>
    <w:rsid w:val="00605F9E"/>
    <w:rsid w:val="00606264"/>
    <w:rsid w:val="00607E8B"/>
    <w:rsid w:val="00611285"/>
    <w:rsid w:val="0062499A"/>
    <w:rsid w:val="00624B3B"/>
    <w:rsid w:val="00626664"/>
    <w:rsid w:val="00626791"/>
    <w:rsid w:val="006272F2"/>
    <w:rsid w:val="00633295"/>
    <w:rsid w:val="00641928"/>
    <w:rsid w:val="006460D7"/>
    <w:rsid w:val="006471A0"/>
    <w:rsid w:val="0065076F"/>
    <w:rsid w:val="00651976"/>
    <w:rsid w:val="006624BC"/>
    <w:rsid w:val="00666251"/>
    <w:rsid w:val="00667785"/>
    <w:rsid w:val="00670B63"/>
    <w:rsid w:val="00672658"/>
    <w:rsid w:val="0067605D"/>
    <w:rsid w:val="00676665"/>
    <w:rsid w:val="006778EB"/>
    <w:rsid w:val="006810E0"/>
    <w:rsid w:val="006858B3"/>
    <w:rsid w:val="00686EE1"/>
    <w:rsid w:val="006876EB"/>
    <w:rsid w:val="00687C74"/>
    <w:rsid w:val="006949C3"/>
    <w:rsid w:val="006A092F"/>
    <w:rsid w:val="006A0B03"/>
    <w:rsid w:val="006A2B13"/>
    <w:rsid w:val="006A30B4"/>
    <w:rsid w:val="006B1AF7"/>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4C4C"/>
    <w:rsid w:val="00706014"/>
    <w:rsid w:val="00707967"/>
    <w:rsid w:val="00710358"/>
    <w:rsid w:val="00714546"/>
    <w:rsid w:val="00717EC1"/>
    <w:rsid w:val="007200F3"/>
    <w:rsid w:val="00723B5A"/>
    <w:rsid w:val="00730C09"/>
    <w:rsid w:val="00741D2B"/>
    <w:rsid w:val="0074288D"/>
    <w:rsid w:val="0074295E"/>
    <w:rsid w:val="00744E9C"/>
    <w:rsid w:val="007452D2"/>
    <w:rsid w:val="00745B8C"/>
    <w:rsid w:val="007538D9"/>
    <w:rsid w:val="00755571"/>
    <w:rsid w:val="00763912"/>
    <w:rsid w:val="00777603"/>
    <w:rsid w:val="00780766"/>
    <w:rsid w:val="00780CA8"/>
    <w:rsid w:val="007819F2"/>
    <w:rsid w:val="00786D03"/>
    <w:rsid w:val="00792A2C"/>
    <w:rsid w:val="007970D0"/>
    <w:rsid w:val="007A0278"/>
    <w:rsid w:val="007A108E"/>
    <w:rsid w:val="007A10AB"/>
    <w:rsid w:val="007A6F3A"/>
    <w:rsid w:val="007B3495"/>
    <w:rsid w:val="007B736E"/>
    <w:rsid w:val="007C12BC"/>
    <w:rsid w:val="007C3465"/>
    <w:rsid w:val="007C37DC"/>
    <w:rsid w:val="007C576D"/>
    <w:rsid w:val="007E286C"/>
    <w:rsid w:val="007E400F"/>
    <w:rsid w:val="00801D55"/>
    <w:rsid w:val="00802730"/>
    <w:rsid w:val="008031F4"/>
    <w:rsid w:val="00807582"/>
    <w:rsid w:val="00812190"/>
    <w:rsid w:val="008165FF"/>
    <w:rsid w:val="008175E3"/>
    <w:rsid w:val="00817E08"/>
    <w:rsid w:val="00820B02"/>
    <w:rsid w:val="008256A2"/>
    <w:rsid w:val="00826F1D"/>
    <w:rsid w:val="00831971"/>
    <w:rsid w:val="00835AB0"/>
    <w:rsid w:val="00837B43"/>
    <w:rsid w:val="00840AFC"/>
    <w:rsid w:val="00841680"/>
    <w:rsid w:val="00842B0D"/>
    <w:rsid w:val="008430BF"/>
    <w:rsid w:val="00843D51"/>
    <w:rsid w:val="0084473A"/>
    <w:rsid w:val="00850193"/>
    <w:rsid w:val="008505B3"/>
    <w:rsid w:val="00850703"/>
    <w:rsid w:val="0085251D"/>
    <w:rsid w:val="00853512"/>
    <w:rsid w:val="0085378E"/>
    <w:rsid w:val="00861701"/>
    <w:rsid w:val="00870CEC"/>
    <w:rsid w:val="00871FC0"/>
    <w:rsid w:val="00882119"/>
    <w:rsid w:val="00886371"/>
    <w:rsid w:val="00886B9D"/>
    <w:rsid w:val="00886D94"/>
    <w:rsid w:val="0089276D"/>
    <w:rsid w:val="00894D2B"/>
    <w:rsid w:val="0089783D"/>
    <w:rsid w:val="008A02EE"/>
    <w:rsid w:val="008A1F76"/>
    <w:rsid w:val="008A3AC7"/>
    <w:rsid w:val="008B0AA7"/>
    <w:rsid w:val="008B23A8"/>
    <w:rsid w:val="008B5ED6"/>
    <w:rsid w:val="008C32FE"/>
    <w:rsid w:val="008C4C6D"/>
    <w:rsid w:val="008C7456"/>
    <w:rsid w:val="008D032B"/>
    <w:rsid w:val="008D6DC5"/>
    <w:rsid w:val="008E5906"/>
    <w:rsid w:val="008E5E6A"/>
    <w:rsid w:val="008E7F13"/>
    <w:rsid w:val="008F1587"/>
    <w:rsid w:val="008F257A"/>
    <w:rsid w:val="008F36E1"/>
    <w:rsid w:val="008F7393"/>
    <w:rsid w:val="00900E61"/>
    <w:rsid w:val="00902FE8"/>
    <w:rsid w:val="0090361D"/>
    <w:rsid w:val="009076DC"/>
    <w:rsid w:val="00912D79"/>
    <w:rsid w:val="00915852"/>
    <w:rsid w:val="00927594"/>
    <w:rsid w:val="00927E8B"/>
    <w:rsid w:val="00930B7A"/>
    <w:rsid w:val="0093655D"/>
    <w:rsid w:val="009440D7"/>
    <w:rsid w:val="00954101"/>
    <w:rsid w:val="009569DF"/>
    <w:rsid w:val="0096066B"/>
    <w:rsid w:val="00966B6C"/>
    <w:rsid w:val="0097254E"/>
    <w:rsid w:val="009747F5"/>
    <w:rsid w:val="00975DD2"/>
    <w:rsid w:val="00976644"/>
    <w:rsid w:val="00983599"/>
    <w:rsid w:val="00985ED7"/>
    <w:rsid w:val="009867E1"/>
    <w:rsid w:val="009A2573"/>
    <w:rsid w:val="009A2938"/>
    <w:rsid w:val="009A312E"/>
    <w:rsid w:val="009A5AA3"/>
    <w:rsid w:val="009B0586"/>
    <w:rsid w:val="009B2F49"/>
    <w:rsid w:val="009B68F6"/>
    <w:rsid w:val="009C18E8"/>
    <w:rsid w:val="009C1FFE"/>
    <w:rsid w:val="009C28F8"/>
    <w:rsid w:val="009C3C6F"/>
    <w:rsid w:val="009C799C"/>
    <w:rsid w:val="009D706F"/>
    <w:rsid w:val="009E0967"/>
    <w:rsid w:val="009E19E8"/>
    <w:rsid w:val="009E3163"/>
    <w:rsid w:val="009E658B"/>
    <w:rsid w:val="009E6AFD"/>
    <w:rsid w:val="009F13DA"/>
    <w:rsid w:val="009F2FA5"/>
    <w:rsid w:val="009F40CD"/>
    <w:rsid w:val="009F4186"/>
    <w:rsid w:val="009F5B84"/>
    <w:rsid w:val="00A01391"/>
    <w:rsid w:val="00A01E47"/>
    <w:rsid w:val="00A0485D"/>
    <w:rsid w:val="00A10F6E"/>
    <w:rsid w:val="00A133DF"/>
    <w:rsid w:val="00A1429A"/>
    <w:rsid w:val="00A2098D"/>
    <w:rsid w:val="00A2193A"/>
    <w:rsid w:val="00A2526D"/>
    <w:rsid w:val="00A3139B"/>
    <w:rsid w:val="00A330A2"/>
    <w:rsid w:val="00A37C50"/>
    <w:rsid w:val="00A44DBD"/>
    <w:rsid w:val="00A47456"/>
    <w:rsid w:val="00A526D8"/>
    <w:rsid w:val="00A57869"/>
    <w:rsid w:val="00A57A20"/>
    <w:rsid w:val="00A61FB4"/>
    <w:rsid w:val="00A6259F"/>
    <w:rsid w:val="00A67EE3"/>
    <w:rsid w:val="00A70B06"/>
    <w:rsid w:val="00A70E4F"/>
    <w:rsid w:val="00A76336"/>
    <w:rsid w:val="00A80856"/>
    <w:rsid w:val="00A92EC7"/>
    <w:rsid w:val="00A94A64"/>
    <w:rsid w:val="00A9644F"/>
    <w:rsid w:val="00AA7956"/>
    <w:rsid w:val="00AA7AA2"/>
    <w:rsid w:val="00AB0B37"/>
    <w:rsid w:val="00AB2C1B"/>
    <w:rsid w:val="00AB3CAE"/>
    <w:rsid w:val="00AB3DFD"/>
    <w:rsid w:val="00AB40C4"/>
    <w:rsid w:val="00AC0047"/>
    <w:rsid w:val="00AC3A06"/>
    <w:rsid w:val="00AC3BF5"/>
    <w:rsid w:val="00AE10A7"/>
    <w:rsid w:val="00AE2582"/>
    <w:rsid w:val="00AE4716"/>
    <w:rsid w:val="00AE6E05"/>
    <w:rsid w:val="00AF263C"/>
    <w:rsid w:val="00AF5D97"/>
    <w:rsid w:val="00B00A5E"/>
    <w:rsid w:val="00B01402"/>
    <w:rsid w:val="00B07BB3"/>
    <w:rsid w:val="00B23027"/>
    <w:rsid w:val="00B2343F"/>
    <w:rsid w:val="00B27579"/>
    <w:rsid w:val="00B32CA1"/>
    <w:rsid w:val="00B33EFB"/>
    <w:rsid w:val="00B33F0A"/>
    <w:rsid w:val="00B34983"/>
    <w:rsid w:val="00B4109B"/>
    <w:rsid w:val="00B43025"/>
    <w:rsid w:val="00B51003"/>
    <w:rsid w:val="00B518C7"/>
    <w:rsid w:val="00B56462"/>
    <w:rsid w:val="00B56593"/>
    <w:rsid w:val="00B57DDB"/>
    <w:rsid w:val="00B61820"/>
    <w:rsid w:val="00B63C8C"/>
    <w:rsid w:val="00B6430E"/>
    <w:rsid w:val="00B64E33"/>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5424"/>
    <w:rsid w:val="00BA6136"/>
    <w:rsid w:val="00BB3056"/>
    <w:rsid w:val="00BB4E2D"/>
    <w:rsid w:val="00BB71D6"/>
    <w:rsid w:val="00BC1915"/>
    <w:rsid w:val="00BC23EC"/>
    <w:rsid w:val="00BC3239"/>
    <w:rsid w:val="00BD43EF"/>
    <w:rsid w:val="00BE068D"/>
    <w:rsid w:val="00BE1FEE"/>
    <w:rsid w:val="00BE28E7"/>
    <w:rsid w:val="00BE4388"/>
    <w:rsid w:val="00BE6343"/>
    <w:rsid w:val="00BE68EB"/>
    <w:rsid w:val="00BE7B48"/>
    <w:rsid w:val="00BF0D38"/>
    <w:rsid w:val="00BF332A"/>
    <w:rsid w:val="00BF4EF6"/>
    <w:rsid w:val="00BF5FFB"/>
    <w:rsid w:val="00BF6FB6"/>
    <w:rsid w:val="00C006DD"/>
    <w:rsid w:val="00C013D2"/>
    <w:rsid w:val="00C03A89"/>
    <w:rsid w:val="00C074FB"/>
    <w:rsid w:val="00C1009E"/>
    <w:rsid w:val="00C10226"/>
    <w:rsid w:val="00C10D69"/>
    <w:rsid w:val="00C113C2"/>
    <w:rsid w:val="00C11532"/>
    <w:rsid w:val="00C13F47"/>
    <w:rsid w:val="00C17973"/>
    <w:rsid w:val="00C20237"/>
    <w:rsid w:val="00C265E2"/>
    <w:rsid w:val="00C34864"/>
    <w:rsid w:val="00C34FA2"/>
    <w:rsid w:val="00C37066"/>
    <w:rsid w:val="00C45293"/>
    <w:rsid w:val="00C4560B"/>
    <w:rsid w:val="00C53CDB"/>
    <w:rsid w:val="00C550E5"/>
    <w:rsid w:val="00C6181C"/>
    <w:rsid w:val="00C6192F"/>
    <w:rsid w:val="00C63D14"/>
    <w:rsid w:val="00C64BA0"/>
    <w:rsid w:val="00C677B6"/>
    <w:rsid w:val="00C67D1A"/>
    <w:rsid w:val="00C67E4B"/>
    <w:rsid w:val="00C7475F"/>
    <w:rsid w:val="00C74DCD"/>
    <w:rsid w:val="00C7522F"/>
    <w:rsid w:val="00C770D6"/>
    <w:rsid w:val="00C82EF0"/>
    <w:rsid w:val="00C865F5"/>
    <w:rsid w:val="00C92242"/>
    <w:rsid w:val="00C96EA1"/>
    <w:rsid w:val="00CA115C"/>
    <w:rsid w:val="00CA407D"/>
    <w:rsid w:val="00CA4565"/>
    <w:rsid w:val="00CA6220"/>
    <w:rsid w:val="00CA7A80"/>
    <w:rsid w:val="00CB166C"/>
    <w:rsid w:val="00CB2925"/>
    <w:rsid w:val="00CC104D"/>
    <w:rsid w:val="00CC46D3"/>
    <w:rsid w:val="00CC6E1B"/>
    <w:rsid w:val="00CD1AFC"/>
    <w:rsid w:val="00CD38CB"/>
    <w:rsid w:val="00CE1E1D"/>
    <w:rsid w:val="00CE3D70"/>
    <w:rsid w:val="00CE5898"/>
    <w:rsid w:val="00CE6582"/>
    <w:rsid w:val="00CE7A28"/>
    <w:rsid w:val="00CF14E5"/>
    <w:rsid w:val="00D03FE1"/>
    <w:rsid w:val="00D04D73"/>
    <w:rsid w:val="00D05DC4"/>
    <w:rsid w:val="00D1002B"/>
    <w:rsid w:val="00D11E01"/>
    <w:rsid w:val="00D13707"/>
    <w:rsid w:val="00D16330"/>
    <w:rsid w:val="00D23C78"/>
    <w:rsid w:val="00D270FC"/>
    <w:rsid w:val="00D34FD2"/>
    <w:rsid w:val="00D37993"/>
    <w:rsid w:val="00D4765A"/>
    <w:rsid w:val="00D510DC"/>
    <w:rsid w:val="00D53625"/>
    <w:rsid w:val="00D55941"/>
    <w:rsid w:val="00D6038F"/>
    <w:rsid w:val="00D604B1"/>
    <w:rsid w:val="00D61012"/>
    <w:rsid w:val="00D644C0"/>
    <w:rsid w:val="00D67976"/>
    <w:rsid w:val="00D71954"/>
    <w:rsid w:val="00D747D8"/>
    <w:rsid w:val="00D8313D"/>
    <w:rsid w:val="00D84F42"/>
    <w:rsid w:val="00D85523"/>
    <w:rsid w:val="00D878E9"/>
    <w:rsid w:val="00D904FD"/>
    <w:rsid w:val="00D91A91"/>
    <w:rsid w:val="00DA3723"/>
    <w:rsid w:val="00DB51F9"/>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4014"/>
    <w:rsid w:val="00DF62F1"/>
    <w:rsid w:val="00DF7F03"/>
    <w:rsid w:val="00E007AF"/>
    <w:rsid w:val="00E02C1E"/>
    <w:rsid w:val="00E04395"/>
    <w:rsid w:val="00E04404"/>
    <w:rsid w:val="00E05E02"/>
    <w:rsid w:val="00E16638"/>
    <w:rsid w:val="00E25DF0"/>
    <w:rsid w:val="00E26CFB"/>
    <w:rsid w:val="00E2719F"/>
    <w:rsid w:val="00E3131E"/>
    <w:rsid w:val="00E34816"/>
    <w:rsid w:val="00E352EF"/>
    <w:rsid w:val="00E3578E"/>
    <w:rsid w:val="00E359A2"/>
    <w:rsid w:val="00E35E5E"/>
    <w:rsid w:val="00E4106B"/>
    <w:rsid w:val="00E426F5"/>
    <w:rsid w:val="00E42C2F"/>
    <w:rsid w:val="00E42D3C"/>
    <w:rsid w:val="00E459CD"/>
    <w:rsid w:val="00E474CD"/>
    <w:rsid w:val="00E500C5"/>
    <w:rsid w:val="00E54D7E"/>
    <w:rsid w:val="00E56962"/>
    <w:rsid w:val="00E5753A"/>
    <w:rsid w:val="00E66395"/>
    <w:rsid w:val="00E6704D"/>
    <w:rsid w:val="00E67F25"/>
    <w:rsid w:val="00E70396"/>
    <w:rsid w:val="00E7275A"/>
    <w:rsid w:val="00E76B61"/>
    <w:rsid w:val="00E76E31"/>
    <w:rsid w:val="00E77FF3"/>
    <w:rsid w:val="00E86AA4"/>
    <w:rsid w:val="00E8770C"/>
    <w:rsid w:val="00E9197B"/>
    <w:rsid w:val="00E959F5"/>
    <w:rsid w:val="00E95B0E"/>
    <w:rsid w:val="00EB256D"/>
    <w:rsid w:val="00EB33F9"/>
    <w:rsid w:val="00EB67CA"/>
    <w:rsid w:val="00EB7215"/>
    <w:rsid w:val="00EB7FA7"/>
    <w:rsid w:val="00EC0EE0"/>
    <w:rsid w:val="00EC103F"/>
    <w:rsid w:val="00EC1C0C"/>
    <w:rsid w:val="00EC3285"/>
    <w:rsid w:val="00ED5177"/>
    <w:rsid w:val="00ED7E90"/>
    <w:rsid w:val="00EE7C8B"/>
    <w:rsid w:val="00EF1A55"/>
    <w:rsid w:val="00EF1B1C"/>
    <w:rsid w:val="00EF3540"/>
    <w:rsid w:val="00EF3C7C"/>
    <w:rsid w:val="00EF4DFF"/>
    <w:rsid w:val="00F05A7B"/>
    <w:rsid w:val="00F114EE"/>
    <w:rsid w:val="00F11E6B"/>
    <w:rsid w:val="00F214BB"/>
    <w:rsid w:val="00F21A78"/>
    <w:rsid w:val="00F24C8B"/>
    <w:rsid w:val="00F36F4E"/>
    <w:rsid w:val="00F4015C"/>
    <w:rsid w:val="00F40204"/>
    <w:rsid w:val="00F43919"/>
    <w:rsid w:val="00F44AEA"/>
    <w:rsid w:val="00F46C60"/>
    <w:rsid w:val="00F47004"/>
    <w:rsid w:val="00F50557"/>
    <w:rsid w:val="00F52368"/>
    <w:rsid w:val="00F528C9"/>
    <w:rsid w:val="00F55331"/>
    <w:rsid w:val="00F5679E"/>
    <w:rsid w:val="00F56F74"/>
    <w:rsid w:val="00F628CC"/>
    <w:rsid w:val="00F64226"/>
    <w:rsid w:val="00F648C4"/>
    <w:rsid w:val="00F649D1"/>
    <w:rsid w:val="00F705F9"/>
    <w:rsid w:val="00F76002"/>
    <w:rsid w:val="00F7740E"/>
    <w:rsid w:val="00F838D5"/>
    <w:rsid w:val="00F83E0C"/>
    <w:rsid w:val="00F845E2"/>
    <w:rsid w:val="00F8547F"/>
    <w:rsid w:val="00F86A4A"/>
    <w:rsid w:val="00F87243"/>
    <w:rsid w:val="00F976B7"/>
    <w:rsid w:val="00F97E65"/>
    <w:rsid w:val="00FA008C"/>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68CD"/>
    <w:rsid w:val="00FD798F"/>
    <w:rsid w:val="00FE0684"/>
    <w:rsid w:val="00FE3A9B"/>
    <w:rsid w:val="00FE41D3"/>
    <w:rsid w:val="00FE4A45"/>
    <w:rsid w:val="00FE5264"/>
    <w:rsid w:val="00FF5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8311-2CB3-474F-B5C2-D006624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Evelīna Matisone</cp:lastModifiedBy>
  <cp:revision>28</cp:revision>
  <cp:lastPrinted>2019-02-12T09:20:00Z</cp:lastPrinted>
  <dcterms:created xsi:type="dcterms:W3CDTF">2019-05-07T10:54:00Z</dcterms:created>
  <dcterms:modified xsi:type="dcterms:W3CDTF">2019-10-12T10:55:00Z</dcterms:modified>
</cp:coreProperties>
</file>