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1E99DC14" w:rsidR="00894C55" w:rsidRPr="001B6D0A" w:rsidRDefault="00195C26" w:rsidP="001B6D0A">
      <w:pPr>
        <w:spacing w:after="0" w:line="240" w:lineRule="auto"/>
        <w:contextualSpacing/>
        <w:jc w:val="center"/>
        <w:rPr>
          <w:rFonts w:ascii="Times New Roman" w:hAnsi="Times New Roman" w:cs="Times New Roman"/>
          <w:b/>
          <w:sz w:val="24"/>
          <w:szCs w:val="24"/>
        </w:rPr>
      </w:pPr>
      <w:r w:rsidRPr="001B6D0A">
        <w:rPr>
          <w:rFonts w:ascii="Times New Roman" w:eastAsia="Times New Roman" w:hAnsi="Times New Roman" w:cs="Times New Roman"/>
          <w:b/>
          <w:bCs/>
          <w:sz w:val="24"/>
          <w:szCs w:val="24"/>
          <w:lang w:eastAsia="lv-LV"/>
        </w:rPr>
        <w:t>Likumprojekta</w:t>
      </w:r>
      <w:r w:rsidR="00BE10FA" w:rsidRPr="001B6D0A">
        <w:rPr>
          <w:rFonts w:ascii="Times New Roman" w:eastAsia="Times New Roman" w:hAnsi="Times New Roman" w:cs="Times New Roman"/>
          <w:b/>
          <w:bCs/>
          <w:sz w:val="24"/>
          <w:szCs w:val="24"/>
          <w:lang w:eastAsia="lv-LV"/>
        </w:rPr>
        <w:t xml:space="preserve"> </w:t>
      </w:r>
      <w:r w:rsidR="004F6A34">
        <w:rPr>
          <w:rFonts w:ascii="Times New Roman" w:hAnsi="Times New Roman" w:cs="Times New Roman"/>
          <w:b/>
          <w:sz w:val="24"/>
          <w:szCs w:val="24"/>
        </w:rPr>
        <w:t>“</w:t>
      </w:r>
      <w:r w:rsidR="00BE10FA" w:rsidRPr="001B6D0A">
        <w:rPr>
          <w:rFonts w:ascii="Times New Roman" w:hAnsi="Times New Roman" w:cs="Times New Roman"/>
          <w:b/>
          <w:sz w:val="24"/>
          <w:szCs w:val="24"/>
        </w:rPr>
        <w:t>Grozījumi Energoefektivitātes likumā”</w:t>
      </w:r>
      <w:r w:rsidRPr="001B6D0A">
        <w:rPr>
          <w:rFonts w:ascii="Times New Roman" w:eastAsia="Times New Roman" w:hAnsi="Times New Roman" w:cs="Times New Roman"/>
          <w:b/>
          <w:bCs/>
          <w:sz w:val="24"/>
          <w:szCs w:val="24"/>
          <w:lang w:eastAsia="lv-LV"/>
        </w:rPr>
        <w:t xml:space="preserve"> </w:t>
      </w:r>
      <w:r w:rsidR="0099170A">
        <w:rPr>
          <w:rFonts w:ascii="Times New Roman" w:eastAsia="Times New Roman" w:hAnsi="Times New Roman" w:cs="Times New Roman"/>
          <w:b/>
          <w:bCs/>
          <w:sz w:val="24"/>
          <w:szCs w:val="24"/>
          <w:lang w:eastAsia="lv-LV"/>
        </w:rPr>
        <w:t xml:space="preserve">(VSS-45) </w:t>
      </w:r>
      <w:r w:rsidR="00894C55" w:rsidRPr="001B6D0A">
        <w:rPr>
          <w:rFonts w:ascii="Times New Roman" w:eastAsia="Times New Roman" w:hAnsi="Times New Roman" w:cs="Times New Roman"/>
          <w:b/>
          <w:bCs/>
          <w:sz w:val="24"/>
          <w:szCs w:val="24"/>
          <w:lang w:eastAsia="lv-LV"/>
        </w:rPr>
        <w:t>sākotnējās ietekmes novērtējuma ziņojums (anotācija)</w:t>
      </w:r>
    </w:p>
    <w:p w14:paraId="1AE66B60" w14:textId="77777777" w:rsidR="00894C55" w:rsidRPr="001B6D0A" w:rsidRDefault="00894C55" w:rsidP="001B6D0A">
      <w:pPr>
        <w:shd w:val="clear" w:color="auto" w:fill="FFFFFF"/>
        <w:spacing w:after="0" w:line="240" w:lineRule="auto"/>
        <w:contextualSpacing/>
        <w:rPr>
          <w:rFonts w:ascii="Times New Roman" w:eastAsia="Times New Roman" w:hAnsi="Times New Roman" w:cs="Times New Roman"/>
          <w:iCs/>
          <w:sz w:val="24"/>
          <w:szCs w:val="24"/>
          <w:lang w:eastAsia="lv-LV"/>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827"/>
        <w:gridCol w:w="6521"/>
      </w:tblGrid>
      <w:tr w:rsidR="00820311" w:rsidRPr="001B6D0A" w14:paraId="4BE3A4E1" w14:textId="77777777" w:rsidTr="004A4195">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097796DF" w14:textId="77777777" w:rsidR="00542211" w:rsidRPr="001B6D0A" w:rsidRDefault="00542211" w:rsidP="001B6D0A">
            <w:pPr>
              <w:spacing w:after="0" w:line="240" w:lineRule="auto"/>
              <w:contextualSpacing/>
              <w:jc w:val="center"/>
              <w:rPr>
                <w:rFonts w:ascii="Times New Roman" w:hAnsi="Times New Roman" w:cs="Times New Roman"/>
                <w:b/>
                <w:bCs/>
                <w:sz w:val="24"/>
                <w:szCs w:val="24"/>
                <w:lang w:eastAsia="lv-LV"/>
              </w:rPr>
            </w:pPr>
            <w:r w:rsidRPr="001B6D0A">
              <w:rPr>
                <w:rFonts w:ascii="Times New Roman" w:hAnsi="Times New Roman" w:cs="Times New Roman"/>
                <w:b/>
                <w:bCs/>
                <w:iCs/>
                <w:sz w:val="24"/>
                <w:szCs w:val="24"/>
                <w:lang w:eastAsia="lv-LV"/>
              </w:rPr>
              <w:t>Tiesību akta projekta anotācijas kopsavilkums</w:t>
            </w:r>
          </w:p>
        </w:tc>
      </w:tr>
      <w:tr w:rsidR="00542211" w:rsidRPr="001B6D0A" w14:paraId="159E74F3" w14:textId="77777777" w:rsidTr="004A4195">
        <w:trPr>
          <w:trHeight w:val="405"/>
        </w:trPr>
        <w:tc>
          <w:tcPr>
            <w:tcW w:w="1512" w:type="pct"/>
            <w:tcBorders>
              <w:top w:val="outset" w:sz="6" w:space="0" w:color="414142"/>
              <w:left w:val="outset" w:sz="6" w:space="0" w:color="414142"/>
              <w:bottom w:val="outset" w:sz="6" w:space="0" w:color="414142"/>
              <w:right w:val="outset" w:sz="6" w:space="0" w:color="414142"/>
            </w:tcBorders>
            <w:hideMark/>
          </w:tcPr>
          <w:p w14:paraId="77392A98" w14:textId="77777777" w:rsidR="00542211" w:rsidRPr="001B6D0A" w:rsidRDefault="00542211" w:rsidP="001B6D0A">
            <w:pPr>
              <w:spacing w:after="0" w:line="240" w:lineRule="auto"/>
              <w:contextualSpacing/>
              <w:rPr>
                <w:rFonts w:ascii="Times New Roman" w:hAnsi="Times New Roman" w:cs="Times New Roman"/>
                <w:sz w:val="24"/>
                <w:szCs w:val="24"/>
                <w:lang w:eastAsia="lv-LV"/>
              </w:rPr>
            </w:pPr>
            <w:r w:rsidRPr="001B6D0A">
              <w:rPr>
                <w:rFonts w:ascii="Times New Roman" w:eastAsia="Times New Roman" w:hAnsi="Times New Roman" w:cs="Times New Roman"/>
                <w:iCs/>
                <w:sz w:val="24"/>
                <w:szCs w:val="24"/>
                <w:lang w:eastAsia="lv-LV"/>
              </w:rPr>
              <w:t>Mērķis, risinājums un projekta spēkā stāšanās laiks (500 zīmes bez atstarpēm)</w:t>
            </w:r>
          </w:p>
        </w:tc>
        <w:tc>
          <w:tcPr>
            <w:tcW w:w="3488" w:type="pct"/>
            <w:tcBorders>
              <w:top w:val="outset" w:sz="6" w:space="0" w:color="414142"/>
              <w:left w:val="outset" w:sz="6" w:space="0" w:color="414142"/>
              <w:bottom w:val="outset" w:sz="6" w:space="0" w:color="414142"/>
              <w:right w:val="outset" w:sz="6" w:space="0" w:color="414142"/>
            </w:tcBorders>
            <w:hideMark/>
          </w:tcPr>
          <w:p w14:paraId="672407C5" w14:textId="26BE4524" w:rsidR="00AA7BCC" w:rsidRPr="001B6D0A" w:rsidRDefault="0082282C" w:rsidP="001B6D0A">
            <w:pPr>
              <w:pStyle w:val="naiskr"/>
              <w:spacing w:before="0" w:beforeAutospacing="0" w:after="0" w:afterAutospacing="0"/>
              <w:ind w:firstLine="217"/>
              <w:contextualSpacing/>
              <w:jc w:val="both"/>
            </w:pPr>
            <w:bookmarkStart w:id="0" w:name="_Hlk531355209"/>
            <w:r w:rsidRPr="001B6D0A">
              <w:t xml:space="preserve">Likumprojekta mērķis ir novērst </w:t>
            </w:r>
            <w:r w:rsidR="00F76E4B" w:rsidRPr="001B6D0A">
              <w:t xml:space="preserve">konstatētās </w:t>
            </w:r>
            <w:r w:rsidRPr="001B6D0A">
              <w:t xml:space="preserve">problēmas, piemērojot Energoefektivitātes likuma (turpmāk – Likums) normas attiecībā uz obligāto </w:t>
            </w:r>
            <w:proofErr w:type="spellStart"/>
            <w:r w:rsidRPr="001B6D0A">
              <w:t>energoauditu</w:t>
            </w:r>
            <w:proofErr w:type="spellEnd"/>
            <w:r w:rsidRPr="001B6D0A">
              <w:t xml:space="preserve"> veikšanu vai sertificētas </w:t>
            </w:r>
            <w:proofErr w:type="spellStart"/>
            <w:r w:rsidRPr="001B6D0A">
              <w:t>energopārvaldības</w:t>
            </w:r>
            <w:proofErr w:type="spellEnd"/>
            <w:r w:rsidRPr="001B6D0A">
              <w:t xml:space="preserve"> sistēmas ieviešanu lielajiem uzņēmumiem un lielajiem elektroenerģijas patērētājiem, kā arī nodrošināt Likumā</w:t>
            </w:r>
            <w:r w:rsidR="00F76E4B" w:rsidRPr="001B6D0A">
              <w:t xml:space="preserve"> ietverto</w:t>
            </w:r>
            <w:r w:rsidRPr="001B6D0A">
              <w:t xml:space="preserve"> prasību ievērošanu</w:t>
            </w:r>
            <w:r w:rsidR="00F77383" w:rsidRPr="001B6D0A">
              <w:t xml:space="preserve"> </w:t>
            </w:r>
            <w:r w:rsidR="00F36861" w:rsidRPr="001B6D0A">
              <w:t xml:space="preserve">energoefektivitātes pienākuma shēmas atbildīgajām pusēm un elektroenerģijas, gāzes un siltumenerģijas tirgotājiem. </w:t>
            </w:r>
          </w:p>
          <w:p w14:paraId="6C4B08D3" w14:textId="77777777" w:rsidR="00542211" w:rsidRPr="001B6D0A" w:rsidRDefault="00A50A21" w:rsidP="001B6D0A">
            <w:pPr>
              <w:pStyle w:val="naiskr"/>
              <w:spacing w:before="0" w:beforeAutospacing="0" w:after="0" w:afterAutospacing="0"/>
              <w:ind w:firstLine="217"/>
              <w:contextualSpacing/>
              <w:jc w:val="both"/>
            </w:pPr>
            <w:r w:rsidRPr="001B6D0A">
              <w:t>Likump</w:t>
            </w:r>
            <w:r w:rsidR="00AA7BCC" w:rsidRPr="001B6D0A">
              <w:t>rojekta spēkā stāšanās laiks plānots 2019.gada otrajā pusē.</w:t>
            </w:r>
            <w:bookmarkEnd w:id="0"/>
          </w:p>
        </w:tc>
      </w:tr>
    </w:tbl>
    <w:p w14:paraId="7AF95023" w14:textId="77777777" w:rsidR="00EE1DA9" w:rsidRPr="001B6D0A" w:rsidRDefault="00EE1DA9" w:rsidP="001B6D0A">
      <w:pPr>
        <w:shd w:val="clear" w:color="auto" w:fill="FFFFFF"/>
        <w:spacing w:after="0" w:line="240" w:lineRule="auto"/>
        <w:contextualSpacing/>
        <w:rPr>
          <w:rFonts w:ascii="Times New Roman" w:eastAsia="Times New Roman" w:hAnsi="Times New Roman" w:cs="Times New Roman"/>
          <w:iCs/>
          <w:sz w:val="24"/>
          <w:szCs w:val="24"/>
          <w:lang w:eastAsia="lv-LV"/>
        </w:rPr>
      </w:pPr>
    </w:p>
    <w:tbl>
      <w:tblPr>
        <w:tblW w:w="5151" w:type="pct"/>
        <w:tblBorders>
          <w:top w:val="outset" w:sz="6" w:space="0" w:color="414142"/>
          <w:left w:val="outset" w:sz="6" w:space="0" w:color="414142"/>
          <w:bottom w:val="outset" w:sz="6" w:space="0" w:color="414142"/>
          <w:right w:val="outset" w:sz="6" w:space="0" w:color="414142"/>
        </w:tblBorders>
        <w:tblCellMar>
          <w:top w:w="24" w:type="dxa"/>
          <w:left w:w="57" w:type="dxa"/>
          <w:bottom w:w="24" w:type="dxa"/>
          <w:right w:w="57" w:type="dxa"/>
        </w:tblCellMar>
        <w:tblLook w:val="04A0" w:firstRow="1" w:lastRow="0" w:firstColumn="1" w:lastColumn="0" w:noHBand="0" w:noVBand="1"/>
      </w:tblPr>
      <w:tblGrid>
        <w:gridCol w:w="469"/>
        <w:gridCol w:w="1847"/>
        <w:gridCol w:w="7006"/>
        <w:gridCol w:w="6"/>
      </w:tblGrid>
      <w:tr w:rsidR="00820311" w:rsidRPr="001B6D0A" w14:paraId="71E31590" w14:textId="77777777" w:rsidTr="004A4195">
        <w:trPr>
          <w:trHeight w:val="324"/>
        </w:trPr>
        <w:tc>
          <w:tcPr>
            <w:tcW w:w="9328" w:type="dxa"/>
            <w:gridSpan w:val="4"/>
            <w:tcBorders>
              <w:top w:val="outset" w:sz="6" w:space="0" w:color="414142"/>
              <w:left w:val="outset" w:sz="6" w:space="0" w:color="414142"/>
              <w:bottom w:val="outset" w:sz="6" w:space="0" w:color="414142"/>
              <w:right w:val="outset" w:sz="6" w:space="0" w:color="414142"/>
            </w:tcBorders>
            <w:vAlign w:val="center"/>
            <w:hideMark/>
          </w:tcPr>
          <w:p w14:paraId="498441F4" w14:textId="77777777" w:rsidR="00894C55" w:rsidRPr="001B6D0A" w:rsidRDefault="00894C55" w:rsidP="001B6D0A">
            <w:pPr>
              <w:spacing w:after="0" w:line="240" w:lineRule="auto"/>
              <w:contextualSpacing/>
              <w:jc w:val="center"/>
              <w:rPr>
                <w:rFonts w:ascii="Times New Roman" w:eastAsia="Times New Roman" w:hAnsi="Times New Roman" w:cs="Times New Roman"/>
                <w:b/>
                <w:bCs/>
                <w:sz w:val="24"/>
                <w:szCs w:val="24"/>
                <w:lang w:eastAsia="lv-LV"/>
              </w:rPr>
            </w:pPr>
            <w:r w:rsidRPr="001B6D0A">
              <w:rPr>
                <w:rFonts w:ascii="Times New Roman" w:eastAsia="Times New Roman" w:hAnsi="Times New Roman" w:cs="Times New Roman"/>
                <w:b/>
                <w:bCs/>
                <w:sz w:val="24"/>
                <w:szCs w:val="24"/>
                <w:lang w:eastAsia="lv-LV"/>
              </w:rPr>
              <w:t>I.</w:t>
            </w:r>
            <w:r w:rsidR="0050178F" w:rsidRPr="001B6D0A">
              <w:rPr>
                <w:rFonts w:ascii="Times New Roman" w:eastAsia="Times New Roman" w:hAnsi="Times New Roman" w:cs="Times New Roman"/>
                <w:b/>
                <w:bCs/>
                <w:sz w:val="24"/>
                <w:szCs w:val="24"/>
                <w:lang w:eastAsia="lv-LV"/>
              </w:rPr>
              <w:t> </w:t>
            </w:r>
            <w:r w:rsidRPr="001B6D0A">
              <w:rPr>
                <w:rFonts w:ascii="Times New Roman" w:eastAsia="Times New Roman" w:hAnsi="Times New Roman" w:cs="Times New Roman"/>
                <w:b/>
                <w:bCs/>
                <w:sz w:val="24"/>
                <w:szCs w:val="24"/>
                <w:lang w:eastAsia="lv-LV"/>
              </w:rPr>
              <w:t>Tiesību akta projekta izstrādes nepieciešamība</w:t>
            </w:r>
          </w:p>
        </w:tc>
      </w:tr>
      <w:tr w:rsidR="00820311" w:rsidRPr="001B6D0A" w14:paraId="623AE444" w14:textId="77777777" w:rsidTr="004A4195">
        <w:trPr>
          <w:gridAfter w:val="1"/>
          <w:wAfter w:w="6" w:type="dxa"/>
          <w:trHeight w:val="324"/>
        </w:trPr>
        <w:tc>
          <w:tcPr>
            <w:tcW w:w="559" w:type="dxa"/>
            <w:tcBorders>
              <w:top w:val="outset" w:sz="6" w:space="0" w:color="414142"/>
              <w:left w:val="outset" w:sz="6" w:space="0" w:color="414142"/>
              <w:bottom w:val="outset" w:sz="6" w:space="0" w:color="414142"/>
              <w:right w:val="outset" w:sz="6" w:space="0" w:color="414142"/>
            </w:tcBorders>
            <w:hideMark/>
          </w:tcPr>
          <w:p w14:paraId="2FBF330B" w14:textId="77777777" w:rsidR="00894C55" w:rsidRPr="001B6D0A" w:rsidRDefault="00894C55" w:rsidP="001B6D0A">
            <w:pPr>
              <w:spacing w:after="0" w:line="240" w:lineRule="auto"/>
              <w:contextualSpacing/>
              <w:jc w:val="center"/>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1.</w:t>
            </w:r>
          </w:p>
        </w:tc>
        <w:tc>
          <w:tcPr>
            <w:tcW w:w="1828" w:type="dxa"/>
            <w:tcBorders>
              <w:top w:val="outset" w:sz="6" w:space="0" w:color="414142"/>
              <w:left w:val="outset" w:sz="6" w:space="0" w:color="414142"/>
              <w:bottom w:val="outset" w:sz="6" w:space="0" w:color="414142"/>
              <w:right w:val="outset" w:sz="6" w:space="0" w:color="414142"/>
            </w:tcBorders>
            <w:hideMark/>
          </w:tcPr>
          <w:p w14:paraId="5515FF0B" w14:textId="77777777" w:rsidR="00894C55" w:rsidRPr="001B6D0A" w:rsidRDefault="00894C55" w:rsidP="001B6D0A">
            <w:pPr>
              <w:spacing w:after="0" w:line="240" w:lineRule="auto"/>
              <w:contextualSpacing/>
              <w:jc w:val="both"/>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Pamatojums</w:t>
            </w:r>
          </w:p>
        </w:tc>
        <w:tc>
          <w:tcPr>
            <w:tcW w:w="6935" w:type="dxa"/>
            <w:tcBorders>
              <w:top w:val="outset" w:sz="6" w:space="0" w:color="414142"/>
              <w:left w:val="outset" w:sz="6" w:space="0" w:color="414142"/>
              <w:bottom w:val="outset" w:sz="6" w:space="0" w:color="414142"/>
              <w:right w:val="outset" w:sz="6" w:space="0" w:color="414142"/>
            </w:tcBorders>
            <w:hideMark/>
          </w:tcPr>
          <w:p w14:paraId="47E61EDD" w14:textId="7A3DBEF4" w:rsidR="00A40FE8" w:rsidRPr="001B6D0A" w:rsidRDefault="00A40FE8" w:rsidP="001B6D0A">
            <w:pPr>
              <w:spacing w:after="0" w:line="240" w:lineRule="auto"/>
              <w:contextualSpacing/>
              <w:jc w:val="both"/>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 xml:space="preserve">Ministru kabineta 2018.gada 12.jūnija sēdes </w:t>
            </w:r>
            <w:proofErr w:type="spellStart"/>
            <w:r w:rsidR="00BD152E" w:rsidRPr="001B6D0A">
              <w:rPr>
                <w:rFonts w:ascii="Times New Roman" w:eastAsia="Times New Roman" w:hAnsi="Times New Roman" w:cs="Times New Roman"/>
                <w:sz w:val="24"/>
                <w:szCs w:val="24"/>
                <w:lang w:eastAsia="lv-LV"/>
              </w:rPr>
              <w:t>protokollēmum</w:t>
            </w:r>
            <w:r w:rsidR="00792ADE" w:rsidRPr="001B6D0A">
              <w:rPr>
                <w:rFonts w:ascii="Times New Roman" w:eastAsia="Times New Roman" w:hAnsi="Times New Roman" w:cs="Times New Roman"/>
                <w:sz w:val="24"/>
                <w:szCs w:val="24"/>
                <w:lang w:eastAsia="lv-LV"/>
              </w:rPr>
              <w:t>a</w:t>
            </w:r>
            <w:proofErr w:type="spellEnd"/>
            <w:r w:rsidR="00792ADE" w:rsidRPr="001B6D0A">
              <w:rPr>
                <w:rFonts w:ascii="Times New Roman" w:eastAsia="Times New Roman" w:hAnsi="Times New Roman" w:cs="Times New Roman"/>
                <w:sz w:val="24"/>
                <w:szCs w:val="24"/>
                <w:lang w:eastAsia="lv-LV"/>
              </w:rPr>
              <w:t xml:space="preserve"> </w:t>
            </w:r>
            <w:r w:rsidRPr="001B6D0A">
              <w:rPr>
                <w:rFonts w:ascii="Times New Roman" w:eastAsia="Times New Roman" w:hAnsi="Times New Roman" w:cs="Times New Roman"/>
                <w:sz w:val="24"/>
                <w:szCs w:val="24"/>
                <w:lang w:eastAsia="lv-LV"/>
              </w:rPr>
              <w:t>(prot.Nr.28, 1.§.</w:t>
            </w:r>
            <w:r w:rsidR="00BD152E" w:rsidRPr="001B6D0A">
              <w:rPr>
                <w:rFonts w:ascii="Times New Roman" w:eastAsia="Times New Roman" w:hAnsi="Times New Roman" w:cs="Times New Roman"/>
                <w:sz w:val="24"/>
                <w:szCs w:val="24"/>
                <w:lang w:eastAsia="lv-LV"/>
              </w:rPr>
              <w:t>)</w:t>
            </w:r>
            <w:r w:rsidR="00792ADE" w:rsidRPr="001B6D0A">
              <w:rPr>
                <w:rFonts w:ascii="Times New Roman" w:eastAsia="Times New Roman" w:hAnsi="Times New Roman" w:cs="Times New Roman"/>
                <w:sz w:val="24"/>
                <w:szCs w:val="24"/>
                <w:lang w:eastAsia="lv-LV"/>
              </w:rPr>
              <w:t xml:space="preserve"> 2.punkts, kas</w:t>
            </w:r>
            <w:r w:rsidR="00635CBA" w:rsidRPr="001B6D0A">
              <w:rPr>
                <w:rFonts w:ascii="Times New Roman" w:eastAsia="Times New Roman" w:hAnsi="Times New Roman" w:cs="Times New Roman"/>
                <w:sz w:val="24"/>
                <w:szCs w:val="24"/>
                <w:lang w:eastAsia="lv-LV"/>
              </w:rPr>
              <w:t xml:space="preserve"> paredz pienākumu</w:t>
            </w:r>
            <w:r w:rsidR="00792ADE" w:rsidRPr="001B6D0A">
              <w:rPr>
                <w:rFonts w:ascii="Times New Roman" w:eastAsia="Times New Roman" w:hAnsi="Times New Roman" w:cs="Times New Roman"/>
                <w:sz w:val="24"/>
                <w:szCs w:val="24"/>
                <w:lang w:eastAsia="lv-LV"/>
              </w:rPr>
              <w:t xml:space="preserve"> Ekonomikas ministrijai </w:t>
            </w:r>
            <w:r w:rsidR="001E69FB" w:rsidRPr="001B6D0A">
              <w:rPr>
                <w:rFonts w:ascii="Times New Roman" w:eastAsia="Times New Roman" w:hAnsi="Times New Roman" w:cs="Times New Roman"/>
                <w:sz w:val="24"/>
                <w:szCs w:val="24"/>
                <w:lang w:eastAsia="lv-LV"/>
              </w:rPr>
              <w:t xml:space="preserve">(turpmāk – EM) </w:t>
            </w:r>
            <w:r w:rsidR="00792ADE" w:rsidRPr="001B6D0A">
              <w:rPr>
                <w:rFonts w:ascii="Times New Roman" w:eastAsia="Times New Roman" w:hAnsi="Times New Roman" w:cs="Times New Roman"/>
                <w:sz w:val="24"/>
                <w:szCs w:val="24"/>
                <w:lang w:eastAsia="lv-LV"/>
              </w:rPr>
              <w:t>izvērtēt nepieciešamību savstarpēji saskaņot</w:t>
            </w:r>
            <w:r w:rsidR="00BD4986" w:rsidRPr="001B6D0A">
              <w:rPr>
                <w:rFonts w:ascii="Times New Roman" w:eastAsia="Times New Roman" w:hAnsi="Times New Roman" w:cs="Times New Roman"/>
                <w:sz w:val="24"/>
                <w:szCs w:val="24"/>
                <w:lang w:eastAsia="lv-LV"/>
              </w:rPr>
              <w:t xml:space="preserve"> Likum</w:t>
            </w:r>
            <w:r w:rsidR="00554F63" w:rsidRPr="001B6D0A">
              <w:rPr>
                <w:rFonts w:ascii="Times New Roman" w:eastAsia="Times New Roman" w:hAnsi="Times New Roman" w:cs="Times New Roman"/>
                <w:sz w:val="24"/>
                <w:szCs w:val="24"/>
                <w:lang w:eastAsia="lv-LV"/>
              </w:rPr>
              <w:t>a</w:t>
            </w:r>
            <w:r w:rsidR="00BD4986" w:rsidRPr="001B6D0A">
              <w:rPr>
                <w:rFonts w:ascii="Times New Roman" w:eastAsia="Times New Roman" w:hAnsi="Times New Roman" w:cs="Times New Roman"/>
                <w:sz w:val="24"/>
                <w:szCs w:val="24"/>
                <w:lang w:eastAsia="lv-LV"/>
              </w:rPr>
              <w:t xml:space="preserve"> </w:t>
            </w:r>
            <w:r w:rsidR="00792ADE" w:rsidRPr="001B6D0A">
              <w:rPr>
                <w:rFonts w:ascii="Times New Roman" w:eastAsia="Times New Roman" w:hAnsi="Times New Roman" w:cs="Times New Roman"/>
                <w:sz w:val="24"/>
                <w:szCs w:val="24"/>
                <w:lang w:eastAsia="lv-LV"/>
              </w:rPr>
              <w:t>un Ēku energoefektivitātes likuma tiesību normas, novēršot to iespējamās kolīzijas, un ekonomikas ministram līdz 2019.gada 1.septembrim iesniegt Ministru kabinetā attiecīgus tiesību aktu projektus.</w:t>
            </w:r>
          </w:p>
        </w:tc>
      </w:tr>
      <w:tr w:rsidR="00820311" w:rsidRPr="001B6D0A" w14:paraId="2FFC10C4" w14:textId="77777777" w:rsidTr="004A4195">
        <w:trPr>
          <w:gridAfter w:val="1"/>
          <w:wAfter w:w="6" w:type="dxa"/>
          <w:trHeight w:val="372"/>
        </w:trPr>
        <w:tc>
          <w:tcPr>
            <w:tcW w:w="559" w:type="dxa"/>
            <w:tcBorders>
              <w:top w:val="outset" w:sz="6" w:space="0" w:color="414142"/>
              <w:left w:val="outset" w:sz="6" w:space="0" w:color="414142"/>
              <w:bottom w:val="outset" w:sz="6" w:space="0" w:color="414142"/>
              <w:right w:val="outset" w:sz="6" w:space="0" w:color="414142"/>
            </w:tcBorders>
            <w:hideMark/>
          </w:tcPr>
          <w:p w14:paraId="0853F8B2" w14:textId="77777777" w:rsidR="00894C55" w:rsidRPr="001B6D0A" w:rsidRDefault="00894C55" w:rsidP="001B6D0A">
            <w:pPr>
              <w:spacing w:after="0" w:line="240" w:lineRule="auto"/>
              <w:contextualSpacing/>
              <w:jc w:val="center"/>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2.</w:t>
            </w:r>
          </w:p>
        </w:tc>
        <w:tc>
          <w:tcPr>
            <w:tcW w:w="1828" w:type="dxa"/>
            <w:tcBorders>
              <w:top w:val="outset" w:sz="6" w:space="0" w:color="414142"/>
              <w:left w:val="outset" w:sz="6" w:space="0" w:color="414142"/>
              <w:bottom w:val="outset" w:sz="6" w:space="0" w:color="414142"/>
              <w:right w:val="outset" w:sz="6" w:space="0" w:color="414142"/>
            </w:tcBorders>
            <w:hideMark/>
          </w:tcPr>
          <w:p w14:paraId="7679591B" w14:textId="77777777" w:rsidR="0057648D" w:rsidRPr="001B6D0A" w:rsidRDefault="00894C55" w:rsidP="001B6D0A">
            <w:pPr>
              <w:spacing w:after="0" w:line="240" w:lineRule="auto"/>
              <w:contextualSpacing/>
              <w:jc w:val="both"/>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94AB5B2" w14:textId="77777777" w:rsidR="001B6D0A" w:rsidRPr="001B6D0A" w:rsidRDefault="001B6D0A" w:rsidP="001B6D0A">
            <w:pPr>
              <w:spacing w:after="0" w:line="240" w:lineRule="auto"/>
              <w:rPr>
                <w:rFonts w:ascii="Times New Roman" w:eastAsia="Times New Roman" w:hAnsi="Times New Roman" w:cs="Times New Roman"/>
                <w:sz w:val="24"/>
                <w:szCs w:val="24"/>
                <w:lang w:eastAsia="lv-LV"/>
              </w:rPr>
            </w:pPr>
          </w:p>
          <w:p w14:paraId="492F5D91" w14:textId="77777777" w:rsidR="001B6D0A" w:rsidRPr="001B6D0A" w:rsidRDefault="001B6D0A" w:rsidP="001B6D0A">
            <w:pPr>
              <w:spacing w:after="0" w:line="240" w:lineRule="auto"/>
              <w:rPr>
                <w:rFonts w:ascii="Times New Roman" w:eastAsia="Times New Roman" w:hAnsi="Times New Roman" w:cs="Times New Roman"/>
                <w:sz w:val="24"/>
                <w:szCs w:val="24"/>
                <w:lang w:eastAsia="lv-LV"/>
              </w:rPr>
            </w:pPr>
          </w:p>
          <w:p w14:paraId="69DA7E9D" w14:textId="77777777" w:rsidR="001B6D0A" w:rsidRPr="001B6D0A" w:rsidRDefault="001B6D0A" w:rsidP="001B6D0A">
            <w:pPr>
              <w:spacing w:after="0" w:line="240" w:lineRule="auto"/>
              <w:rPr>
                <w:rFonts w:ascii="Times New Roman" w:eastAsia="Times New Roman" w:hAnsi="Times New Roman" w:cs="Times New Roman"/>
                <w:sz w:val="24"/>
                <w:szCs w:val="24"/>
                <w:lang w:eastAsia="lv-LV"/>
              </w:rPr>
            </w:pPr>
          </w:p>
          <w:p w14:paraId="4F00E577" w14:textId="77777777" w:rsidR="001B6D0A" w:rsidRPr="001B6D0A" w:rsidRDefault="001B6D0A" w:rsidP="001B6D0A">
            <w:pPr>
              <w:spacing w:after="0" w:line="240" w:lineRule="auto"/>
              <w:rPr>
                <w:rFonts w:ascii="Times New Roman" w:eastAsia="Times New Roman" w:hAnsi="Times New Roman" w:cs="Times New Roman"/>
                <w:sz w:val="24"/>
                <w:szCs w:val="24"/>
                <w:lang w:eastAsia="lv-LV"/>
              </w:rPr>
            </w:pPr>
          </w:p>
          <w:p w14:paraId="0DBD722E" w14:textId="77777777" w:rsidR="001B6D0A" w:rsidRPr="001B6D0A" w:rsidRDefault="001B6D0A" w:rsidP="001B6D0A">
            <w:pPr>
              <w:spacing w:after="0" w:line="240" w:lineRule="auto"/>
              <w:rPr>
                <w:rFonts w:ascii="Times New Roman" w:eastAsia="Times New Roman" w:hAnsi="Times New Roman" w:cs="Times New Roman"/>
                <w:sz w:val="24"/>
                <w:szCs w:val="24"/>
                <w:lang w:eastAsia="lv-LV"/>
              </w:rPr>
            </w:pPr>
          </w:p>
          <w:p w14:paraId="121495CC" w14:textId="77777777" w:rsidR="001B6D0A" w:rsidRPr="001B6D0A" w:rsidRDefault="001B6D0A" w:rsidP="001B6D0A">
            <w:pPr>
              <w:spacing w:after="0" w:line="240" w:lineRule="auto"/>
              <w:rPr>
                <w:rFonts w:ascii="Times New Roman" w:eastAsia="Times New Roman" w:hAnsi="Times New Roman" w:cs="Times New Roman"/>
                <w:sz w:val="24"/>
                <w:szCs w:val="24"/>
                <w:lang w:eastAsia="lv-LV"/>
              </w:rPr>
            </w:pPr>
          </w:p>
          <w:p w14:paraId="772C042D" w14:textId="77777777" w:rsidR="001B6D0A" w:rsidRPr="001B6D0A" w:rsidRDefault="001B6D0A" w:rsidP="001B6D0A">
            <w:pPr>
              <w:spacing w:after="0" w:line="240" w:lineRule="auto"/>
              <w:rPr>
                <w:rFonts w:ascii="Times New Roman" w:eastAsia="Times New Roman" w:hAnsi="Times New Roman" w:cs="Times New Roman"/>
                <w:sz w:val="24"/>
                <w:szCs w:val="24"/>
                <w:lang w:eastAsia="lv-LV"/>
              </w:rPr>
            </w:pPr>
          </w:p>
          <w:p w14:paraId="6A72AF13" w14:textId="77777777" w:rsidR="001B6D0A" w:rsidRPr="001B6D0A" w:rsidRDefault="001B6D0A" w:rsidP="001B6D0A">
            <w:pPr>
              <w:spacing w:after="0" w:line="240" w:lineRule="auto"/>
              <w:rPr>
                <w:rFonts w:ascii="Times New Roman" w:eastAsia="Times New Roman" w:hAnsi="Times New Roman" w:cs="Times New Roman"/>
                <w:sz w:val="24"/>
                <w:szCs w:val="24"/>
                <w:lang w:eastAsia="lv-LV"/>
              </w:rPr>
            </w:pPr>
          </w:p>
          <w:p w14:paraId="15BDCDBB" w14:textId="41DAAC60" w:rsidR="001B6D0A" w:rsidRPr="001B6D0A" w:rsidRDefault="001B6D0A" w:rsidP="001B6D0A">
            <w:pPr>
              <w:spacing w:after="0" w:line="240" w:lineRule="auto"/>
              <w:rPr>
                <w:rFonts w:ascii="Times New Roman" w:eastAsia="Times New Roman" w:hAnsi="Times New Roman" w:cs="Times New Roman"/>
                <w:sz w:val="24"/>
                <w:szCs w:val="24"/>
                <w:lang w:eastAsia="lv-LV"/>
              </w:rPr>
            </w:pPr>
          </w:p>
          <w:p w14:paraId="7D13B9D6" w14:textId="77777777" w:rsidR="001B6D0A" w:rsidRPr="001B6D0A" w:rsidRDefault="001B6D0A" w:rsidP="001B6D0A">
            <w:pPr>
              <w:spacing w:after="0" w:line="240" w:lineRule="auto"/>
              <w:rPr>
                <w:rFonts w:ascii="Times New Roman" w:eastAsia="Times New Roman" w:hAnsi="Times New Roman" w:cs="Times New Roman"/>
                <w:sz w:val="24"/>
                <w:szCs w:val="24"/>
                <w:lang w:eastAsia="lv-LV"/>
              </w:rPr>
            </w:pPr>
          </w:p>
          <w:p w14:paraId="4F7475DE" w14:textId="77777777" w:rsidR="001B6D0A" w:rsidRPr="001B6D0A" w:rsidRDefault="001B6D0A" w:rsidP="001B6D0A">
            <w:pPr>
              <w:spacing w:after="0" w:line="240" w:lineRule="auto"/>
              <w:rPr>
                <w:rFonts w:ascii="Times New Roman" w:eastAsia="Times New Roman" w:hAnsi="Times New Roman" w:cs="Times New Roman"/>
                <w:sz w:val="24"/>
                <w:szCs w:val="24"/>
                <w:lang w:eastAsia="lv-LV"/>
              </w:rPr>
            </w:pPr>
          </w:p>
          <w:p w14:paraId="6EC77BAF" w14:textId="77777777" w:rsidR="001B6D0A" w:rsidRPr="001B6D0A" w:rsidRDefault="001B6D0A" w:rsidP="001B6D0A">
            <w:pPr>
              <w:spacing w:after="0" w:line="240" w:lineRule="auto"/>
              <w:rPr>
                <w:rFonts w:ascii="Times New Roman" w:eastAsia="Times New Roman" w:hAnsi="Times New Roman" w:cs="Times New Roman"/>
                <w:sz w:val="24"/>
                <w:szCs w:val="24"/>
                <w:lang w:eastAsia="lv-LV"/>
              </w:rPr>
            </w:pPr>
          </w:p>
          <w:p w14:paraId="36D347CD" w14:textId="77777777" w:rsidR="001B6D0A" w:rsidRPr="001B6D0A" w:rsidRDefault="001B6D0A" w:rsidP="001B6D0A">
            <w:pPr>
              <w:spacing w:after="0" w:line="240" w:lineRule="auto"/>
              <w:rPr>
                <w:rFonts w:ascii="Times New Roman" w:eastAsia="Times New Roman" w:hAnsi="Times New Roman" w:cs="Times New Roman"/>
                <w:sz w:val="24"/>
                <w:szCs w:val="24"/>
                <w:lang w:eastAsia="lv-LV"/>
              </w:rPr>
            </w:pPr>
          </w:p>
          <w:p w14:paraId="2BF5DE36" w14:textId="77777777" w:rsidR="001B6D0A" w:rsidRPr="001B6D0A" w:rsidRDefault="001B6D0A" w:rsidP="001B6D0A">
            <w:pPr>
              <w:spacing w:after="0" w:line="240" w:lineRule="auto"/>
              <w:rPr>
                <w:rFonts w:ascii="Times New Roman" w:eastAsia="Times New Roman" w:hAnsi="Times New Roman" w:cs="Times New Roman"/>
                <w:sz w:val="24"/>
                <w:szCs w:val="24"/>
                <w:lang w:eastAsia="lv-LV"/>
              </w:rPr>
            </w:pPr>
          </w:p>
          <w:p w14:paraId="30570AC6" w14:textId="77777777" w:rsidR="001B6D0A" w:rsidRDefault="001B6D0A" w:rsidP="001B6D0A">
            <w:pPr>
              <w:spacing w:after="0" w:line="240" w:lineRule="auto"/>
              <w:rPr>
                <w:rFonts w:ascii="Times New Roman" w:eastAsia="Times New Roman" w:hAnsi="Times New Roman" w:cs="Times New Roman"/>
                <w:sz w:val="24"/>
                <w:szCs w:val="24"/>
                <w:lang w:eastAsia="lv-LV"/>
              </w:rPr>
            </w:pPr>
          </w:p>
          <w:p w14:paraId="751C4D5B" w14:textId="4B6F1C81" w:rsidR="0036218A" w:rsidRDefault="0036218A" w:rsidP="0036218A">
            <w:pPr>
              <w:rPr>
                <w:rFonts w:ascii="Times New Roman" w:eastAsia="Times New Roman" w:hAnsi="Times New Roman" w:cs="Times New Roman"/>
                <w:sz w:val="24"/>
                <w:szCs w:val="24"/>
                <w:lang w:eastAsia="lv-LV"/>
              </w:rPr>
            </w:pPr>
          </w:p>
          <w:p w14:paraId="00A563D9" w14:textId="77777777" w:rsidR="0036218A" w:rsidRPr="0036218A" w:rsidRDefault="0036218A" w:rsidP="0036218A">
            <w:pPr>
              <w:rPr>
                <w:rFonts w:ascii="Times New Roman" w:eastAsia="Times New Roman" w:hAnsi="Times New Roman" w:cs="Times New Roman"/>
                <w:sz w:val="24"/>
                <w:szCs w:val="24"/>
                <w:lang w:eastAsia="lv-LV"/>
              </w:rPr>
            </w:pPr>
          </w:p>
          <w:p w14:paraId="11D8F657" w14:textId="77777777" w:rsidR="0036218A" w:rsidRPr="0036218A" w:rsidRDefault="0036218A" w:rsidP="0036218A">
            <w:pPr>
              <w:rPr>
                <w:rFonts w:ascii="Times New Roman" w:eastAsia="Times New Roman" w:hAnsi="Times New Roman" w:cs="Times New Roman"/>
                <w:sz w:val="24"/>
                <w:szCs w:val="24"/>
                <w:lang w:eastAsia="lv-LV"/>
              </w:rPr>
            </w:pPr>
          </w:p>
          <w:p w14:paraId="72F4C722" w14:textId="77777777" w:rsidR="0036218A" w:rsidRPr="0036218A" w:rsidRDefault="0036218A" w:rsidP="0036218A">
            <w:pPr>
              <w:rPr>
                <w:rFonts w:ascii="Times New Roman" w:eastAsia="Times New Roman" w:hAnsi="Times New Roman" w:cs="Times New Roman"/>
                <w:sz w:val="24"/>
                <w:szCs w:val="24"/>
                <w:lang w:eastAsia="lv-LV"/>
              </w:rPr>
            </w:pPr>
          </w:p>
          <w:p w14:paraId="43BEFB8C" w14:textId="77777777" w:rsidR="0036218A" w:rsidRPr="0036218A" w:rsidRDefault="0036218A" w:rsidP="0036218A">
            <w:pPr>
              <w:rPr>
                <w:rFonts w:ascii="Times New Roman" w:eastAsia="Times New Roman" w:hAnsi="Times New Roman" w:cs="Times New Roman"/>
                <w:sz w:val="24"/>
                <w:szCs w:val="24"/>
                <w:lang w:eastAsia="lv-LV"/>
              </w:rPr>
            </w:pPr>
          </w:p>
          <w:p w14:paraId="6D686251" w14:textId="77777777" w:rsidR="0036218A" w:rsidRPr="0036218A" w:rsidRDefault="0036218A" w:rsidP="0036218A">
            <w:pPr>
              <w:rPr>
                <w:rFonts w:ascii="Times New Roman" w:eastAsia="Times New Roman" w:hAnsi="Times New Roman" w:cs="Times New Roman"/>
                <w:sz w:val="24"/>
                <w:szCs w:val="24"/>
                <w:lang w:eastAsia="lv-LV"/>
              </w:rPr>
            </w:pPr>
          </w:p>
          <w:p w14:paraId="3454F916" w14:textId="77777777" w:rsidR="0036218A" w:rsidRPr="0036218A" w:rsidRDefault="0036218A" w:rsidP="0036218A">
            <w:pPr>
              <w:rPr>
                <w:rFonts w:ascii="Times New Roman" w:eastAsia="Times New Roman" w:hAnsi="Times New Roman" w:cs="Times New Roman"/>
                <w:sz w:val="24"/>
                <w:szCs w:val="24"/>
                <w:lang w:eastAsia="lv-LV"/>
              </w:rPr>
            </w:pPr>
          </w:p>
          <w:p w14:paraId="43C15B8E" w14:textId="59D0A4F4" w:rsidR="0036218A" w:rsidRPr="0036218A" w:rsidRDefault="0036218A" w:rsidP="0036218A">
            <w:pPr>
              <w:rPr>
                <w:rFonts w:ascii="Times New Roman" w:eastAsia="Times New Roman" w:hAnsi="Times New Roman" w:cs="Times New Roman"/>
                <w:sz w:val="24"/>
                <w:szCs w:val="24"/>
                <w:lang w:eastAsia="lv-LV"/>
              </w:rPr>
            </w:pPr>
          </w:p>
        </w:tc>
        <w:tc>
          <w:tcPr>
            <w:tcW w:w="6935" w:type="dxa"/>
            <w:tcBorders>
              <w:top w:val="outset" w:sz="6" w:space="0" w:color="414142"/>
              <w:left w:val="outset" w:sz="6" w:space="0" w:color="414142"/>
              <w:bottom w:val="outset" w:sz="6" w:space="0" w:color="414142"/>
              <w:right w:val="outset" w:sz="6" w:space="0" w:color="414142"/>
            </w:tcBorders>
            <w:hideMark/>
          </w:tcPr>
          <w:p w14:paraId="6BE23751" w14:textId="77777777" w:rsidR="00C815AD" w:rsidRPr="001B6D0A" w:rsidRDefault="00C815AD" w:rsidP="001B6D0A">
            <w:pPr>
              <w:spacing w:after="0" w:line="240" w:lineRule="auto"/>
              <w:contextualSpacing/>
              <w:jc w:val="both"/>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lastRenderedPageBreak/>
              <w:t xml:space="preserve">Likums stājās spēkā 2016.gada 29.martā. Likuma normu piemērošanas laikā ir konstatēti vairāki </w:t>
            </w:r>
            <w:proofErr w:type="spellStart"/>
            <w:r w:rsidRPr="001B6D0A">
              <w:rPr>
                <w:rFonts w:ascii="Times New Roman" w:eastAsia="Times New Roman" w:hAnsi="Times New Roman" w:cs="Times New Roman"/>
                <w:sz w:val="24"/>
                <w:szCs w:val="24"/>
                <w:lang w:eastAsia="lv-LV"/>
              </w:rPr>
              <w:t>problēmjautājumi</w:t>
            </w:r>
            <w:proofErr w:type="spellEnd"/>
            <w:r w:rsidRPr="001B6D0A">
              <w:rPr>
                <w:rFonts w:ascii="Times New Roman" w:eastAsia="Times New Roman" w:hAnsi="Times New Roman" w:cs="Times New Roman"/>
                <w:sz w:val="24"/>
                <w:szCs w:val="24"/>
                <w:lang w:eastAsia="lv-LV"/>
              </w:rPr>
              <w:t xml:space="preserve"> un neprecizitātes, kuru atrisināšanai ir nepieciešami Likuma grozījumi. </w:t>
            </w:r>
          </w:p>
          <w:p w14:paraId="60710B5F" w14:textId="77777777" w:rsidR="00C815AD" w:rsidRPr="001B6D0A" w:rsidRDefault="00C815AD" w:rsidP="001B6D0A">
            <w:pPr>
              <w:spacing w:after="0" w:line="240" w:lineRule="auto"/>
              <w:contextualSpacing/>
              <w:jc w:val="both"/>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Likuma 17.pants, kas paredz Latvijas Administratīvo pārkāpumu kodeksā noteikt administratīvo atbildību, vairs neatbilst reālajai situācijai, jo 2020.gada 1.janvārī stāsies spēkā Administratīvās atbildības likums.</w:t>
            </w:r>
          </w:p>
          <w:p w14:paraId="6BCE198B" w14:textId="77777777" w:rsidR="00C815AD" w:rsidRPr="001B6D0A" w:rsidRDefault="00C815AD" w:rsidP="001B6D0A">
            <w:pPr>
              <w:spacing w:after="0" w:line="240" w:lineRule="auto"/>
              <w:contextualSpacing/>
              <w:jc w:val="both"/>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 xml:space="preserve">Likumprojekts “Grozījumi Energoefektivitātes likumā” (turpmāk – Likumprojekts) veicinās Likuma 6., 10. 12. un 16.pantā noteikto pasākumu ieviešanu, kas ir nepieciešami, lai izpildītu valsts saistības (obligāto energoefektivitātes mērķi) – līdz 2020.gadam nodrošināt kumulatīvu gala enerģijas ietaupījumu 9896 </w:t>
            </w:r>
            <w:proofErr w:type="spellStart"/>
            <w:r w:rsidRPr="001B6D0A">
              <w:rPr>
                <w:rFonts w:ascii="Times New Roman" w:eastAsia="Times New Roman" w:hAnsi="Times New Roman" w:cs="Times New Roman"/>
                <w:sz w:val="24"/>
                <w:szCs w:val="24"/>
                <w:lang w:eastAsia="lv-LV"/>
              </w:rPr>
              <w:t>GWh</w:t>
            </w:r>
            <w:proofErr w:type="spellEnd"/>
            <w:r w:rsidRPr="001B6D0A">
              <w:rPr>
                <w:rFonts w:ascii="Times New Roman" w:eastAsia="Times New Roman" w:hAnsi="Times New Roman" w:cs="Times New Roman"/>
                <w:sz w:val="24"/>
                <w:szCs w:val="24"/>
                <w:lang w:eastAsia="lv-LV"/>
              </w:rPr>
              <w:t xml:space="preserve"> apjomā.</w:t>
            </w:r>
          </w:p>
          <w:p w14:paraId="5CB6E820" w14:textId="77777777" w:rsidR="006C2B21" w:rsidRPr="001B6D0A" w:rsidRDefault="006C2B21" w:rsidP="001B6D0A">
            <w:pPr>
              <w:pStyle w:val="naiskr"/>
              <w:spacing w:before="0" w:beforeAutospacing="0" w:after="0" w:afterAutospacing="0"/>
              <w:contextualSpacing/>
              <w:jc w:val="both"/>
            </w:pPr>
          </w:p>
          <w:p w14:paraId="42FAC95D" w14:textId="77777777" w:rsidR="0095645F" w:rsidRPr="001B6D0A" w:rsidRDefault="00EB51BF" w:rsidP="001B6D0A">
            <w:pPr>
              <w:pStyle w:val="naiskr"/>
              <w:spacing w:before="0" w:beforeAutospacing="0" w:after="0" w:afterAutospacing="0"/>
              <w:contextualSpacing/>
              <w:jc w:val="both"/>
            </w:pPr>
            <w:r w:rsidRPr="001B6D0A">
              <w:t xml:space="preserve">Likumprojekta mērķis ir </w:t>
            </w:r>
            <w:r w:rsidR="00C348D9" w:rsidRPr="001B6D0A">
              <w:t>novērst Likuma normu piemērošanas procesā konstatētās problēmas</w:t>
            </w:r>
            <w:r w:rsidR="0095645F" w:rsidRPr="001B6D0A">
              <w:t>.</w:t>
            </w:r>
          </w:p>
          <w:p w14:paraId="0C64DD34" w14:textId="1486D2D5" w:rsidR="004F5975" w:rsidRPr="001B6D0A" w:rsidRDefault="004F5975" w:rsidP="001B6D0A">
            <w:pPr>
              <w:pStyle w:val="naiskr"/>
              <w:spacing w:before="0" w:beforeAutospacing="0" w:after="0" w:afterAutospacing="0"/>
              <w:contextualSpacing/>
              <w:jc w:val="both"/>
            </w:pPr>
          </w:p>
          <w:p w14:paraId="18BE111D" w14:textId="70B9A7D2" w:rsidR="00EC2443" w:rsidRPr="001B6D0A" w:rsidRDefault="00192DD9" w:rsidP="001B6D0A">
            <w:pPr>
              <w:pStyle w:val="naiskr"/>
              <w:spacing w:before="0" w:beforeAutospacing="0" w:after="0" w:afterAutospacing="0"/>
              <w:contextualSpacing/>
              <w:jc w:val="both"/>
            </w:pPr>
            <w:r w:rsidRPr="001B6D0A">
              <w:rPr>
                <w:b/>
              </w:rPr>
              <w:t>Kvalitātes vērtēšanas kritēriji pašvaldību projektiem</w:t>
            </w:r>
          </w:p>
          <w:p w14:paraId="49FDE5F4" w14:textId="1E1A5E26" w:rsidR="009A2051" w:rsidRPr="001B6D0A" w:rsidRDefault="00F64A6C" w:rsidP="001B6D0A">
            <w:pPr>
              <w:pStyle w:val="naiskr"/>
              <w:spacing w:before="0" w:beforeAutospacing="0" w:after="0" w:afterAutospacing="0"/>
              <w:ind w:firstLine="217"/>
              <w:contextualSpacing/>
              <w:jc w:val="both"/>
            </w:pPr>
            <w:r w:rsidRPr="001B6D0A">
              <w:t xml:space="preserve">Likuma 5.panta sestajā daļā šobrīd ir noteikts, ka pašvaldībām, kuru pienākums atbilstoši </w:t>
            </w:r>
            <w:r w:rsidR="00AA47CB" w:rsidRPr="001B6D0A">
              <w:t>L</w:t>
            </w:r>
            <w:r w:rsidRPr="001B6D0A">
              <w:t xml:space="preserve">ikuma noteikumiem ir ieviest </w:t>
            </w:r>
            <w:proofErr w:type="spellStart"/>
            <w:r w:rsidRPr="001B6D0A">
              <w:t>energopārvaldības</w:t>
            </w:r>
            <w:proofErr w:type="spellEnd"/>
            <w:r w:rsidRPr="001B6D0A">
              <w:t xml:space="preserve"> sistēmu un kuras šo pienākumu ir izpildījušas, palielina atbilstoši kvalitātes vērtēšanas kritērijiem maksim</w:t>
            </w:r>
            <w:r w:rsidR="009A2051" w:rsidRPr="001B6D0A">
              <w:t xml:space="preserve">āli iegūstamo punktu skaitu. Tā kā Latvijā ir vairākas pašvaldības, kas </w:t>
            </w:r>
            <w:proofErr w:type="spellStart"/>
            <w:r w:rsidR="009A2051" w:rsidRPr="001B6D0A">
              <w:t>energopārvaldības</w:t>
            </w:r>
            <w:proofErr w:type="spellEnd"/>
            <w:r w:rsidR="009A2051" w:rsidRPr="001B6D0A">
              <w:t xml:space="preserve"> sistēmu ir ieviesušas brīvprātīgi, tad, lai veicinātu </w:t>
            </w:r>
            <w:proofErr w:type="spellStart"/>
            <w:r w:rsidR="009A2051" w:rsidRPr="001B6D0A">
              <w:t>energopārvaldības</w:t>
            </w:r>
            <w:proofErr w:type="spellEnd"/>
            <w:r w:rsidR="009A2051" w:rsidRPr="001B6D0A">
              <w:t xml:space="preserve"> sistēmu brīvprātīgu ieviešanu, Likumprojekt</w:t>
            </w:r>
            <w:r w:rsidR="00EC2443" w:rsidRPr="001B6D0A">
              <w:t xml:space="preserve">a </w:t>
            </w:r>
            <w:r w:rsidR="00AA5971" w:rsidRPr="001B6D0A">
              <w:t>1</w:t>
            </w:r>
            <w:r w:rsidR="00EC2443" w:rsidRPr="001B6D0A">
              <w:t>.pantā</w:t>
            </w:r>
            <w:r w:rsidR="009A2051" w:rsidRPr="001B6D0A">
              <w:t xml:space="preserve"> ir iekļauta norma, ka visām pašvaldībām, kuras ir</w:t>
            </w:r>
            <w:r w:rsidR="0079359A" w:rsidRPr="001B6D0A">
              <w:t xml:space="preserve"> </w:t>
            </w:r>
            <w:r w:rsidR="009A2051" w:rsidRPr="001B6D0A">
              <w:t xml:space="preserve">ieviesušas </w:t>
            </w:r>
            <w:proofErr w:type="spellStart"/>
            <w:r w:rsidR="009A2051" w:rsidRPr="001B6D0A">
              <w:t>energopārvaldību</w:t>
            </w:r>
            <w:proofErr w:type="spellEnd"/>
            <w:r w:rsidR="009A2051" w:rsidRPr="001B6D0A">
              <w:t xml:space="preserve"> palielina atbilstoši kvalitātes vērtēšanas kritērijiem maksimāli iegūstamo punktu </w:t>
            </w:r>
            <w:r w:rsidR="009A2051" w:rsidRPr="001B6D0A">
              <w:lastRenderedPageBreak/>
              <w:t>skaitu, iev</w:t>
            </w:r>
            <w:r w:rsidR="00AA47CB" w:rsidRPr="001B6D0A">
              <w:t>ērojot</w:t>
            </w:r>
            <w:r w:rsidR="009A2051" w:rsidRPr="001B6D0A">
              <w:t xml:space="preserve"> kārtību, kādu nosaka normatīvais akts par attiecīgā finansējuma piešķiršanu.</w:t>
            </w:r>
          </w:p>
          <w:p w14:paraId="749A8CC7" w14:textId="0EC0F9DB" w:rsidR="004825E9" w:rsidRPr="001B6D0A" w:rsidRDefault="004825E9" w:rsidP="001B6D0A">
            <w:pPr>
              <w:pStyle w:val="naiskr"/>
              <w:spacing w:before="0" w:beforeAutospacing="0" w:after="0" w:afterAutospacing="0"/>
              <w:ind w:firstLine="217"/>
              <w:contextualSpacing/>
              <w:jc w:val="both"/>
              <w:rPr>
                <w:b/>
              </w:rPr>
            </w:pPr>
            <w:r w:rsidRPr="001B6D0A">
              <w:rPr>
                <w:b/>
              </w:rPr>
              <w:t>Energoefektivitātes pienākuma shēmas atbildīgās puses pienākuma pildīšana</w:t>
            </w:r>
          </w:p>
          <w:p w14:paraId="2F3A58D6" w14:textId="0D0B7CF2" w:rsidR="004825E9" w:rsidRPr="001B6D0A" w:rsidRDefault="004825E9" w:rsidP="001B6D0A">
            <w:pPr>
              <w:pStyle w:val="naiskr"/>
              <w:spacing w:before="0" w:beforeAutospacing="0" w:after="0" w:afterAutospacing="0"/>
              <w:ind w:firstLine="217"/>
              <w:contextualSpacing/>
              <w:jc w:val="both"/>
              <w:rPr>
                <w:shd w:val="clear" w:color="auto" w:fill="FFFFFF"/>
              </w:rPr>
            </w:pPr>
            <w:r w:rsidRPr="001B6D0A">
              <w:rPr>
                <w:rFonts w:eastAsiaTheme="minorHAnsi"/>
                <w:lang w:eastAsia="en-US"/>
              </w:rPr>
              <w:t xml:space="preserve">Prakse parāda, ka daļa no komersantiem, uz kuriem attiecas Likuma 6.panta otrās daļas un Ministru kabineta 2017.gada 25.aprīļa noteikumu Nr.226 “Energoefektivitātes pienākuma shēmas noteikumi” (turpmāk – MK noteikumi Nr.226) prasības, ignorē minēto prasību ievērošanu pat pēc vairākkārtējiem rakstiskiem atgādinājumiem par pienākumu iesaistīties energoefektivitātes pienākuma shēmā kā atbildīgajai pusei. Šādas rīcības rezultātā tiek apdraudēta Latvijai obligātā gala enerģijas ietaupījuma kumulatīvā mērķa 0,850 </w:t>
            </w:r>
            <w:proofErr w:type="spellStart"/>
            <w:r w:rsidRPr="001B6D0A">
              <w:rPr>
                <w:rFonts w:eastAsiaTheme="minorHAnsi"/>
                <w:lang w:eastAsia="en-US"/>
              </w:rPr>
              <w:t>Mtoe</w:t>
            </w:r>
            <w:proofErr w:type="spellEnd"/>
            <w:r w:rsidRPr="001B6D0A">
              <w:rPr>
                <w:rFonts w:eastAsiaTheme="minorHAnsi"/>
                <w:lang w:eastAsia="en-US"/>
              </w:rPr>
              <w:t xml:space="preserve"> (9896 </w:t>
            </w:r>
            <w:proofErr w:type="spellStart"/>
            <w:r w:rsidRPr="001B6D0A">
              <w:rPr>
                <w:rFonts w:eastAsiaTheme="minorHAnsi"/>
                <w:lang w:eastAsia="en-US"/>
              </w:rPr>
              <w:t>GWh</w:t>
            </w:r>
            <w:proofErr w:type="spellEnd"/>
            <w:r w:rsidRPr="001B6D0A">
              <w:rPr>
                <w:rFonts w:eastAsiaTheme="minorHAnsi"/>
                <w:lang w:eastAsia="en-US"/>
              </w:rPr>
              <w:t xml:space="preserve">) sasniegšana. Savukārt tie komersanti, kas ievēro MK noteikumu Nr.226 prasības, izpilda arī Likuma 6.panta otrās daļas prasībās. Ņemot vērā minēto, Likumprojektā nav iekļauta prasība noteikt atbildību par Likuma 6.panta otrās daļas prasību neizpildi. Līdz ar to Likumprojekta </w:t>
            </w:r>
            <w:r w:rsidR="00443B15" w:rsidRPr="001B6D0A">
              <w:rPr>
                <w:rFonts w:eastAsiaTheme="minorHAnsi"/>
                <w:lang w:eastAsia="en-US"/>
              </w:rPr>
              <w:t>2.</w:t>
            </w:r>
            <w:r w:rsidRPr="001B6D0A">
              <w:rPr>
                <w:rFonts w:eastAsiaTheme="minorHAnsi"/>
                <w:lang w:eastAsia="en-US"/>
              </w:rPr>
              <w:t>pantā ir</w:t>
            </w:r>
            <w:r w:rsidR="00443B15" w:rsidRPr="001B6D0A">
              <w:rPr>
                <w:rFonts w:eastAsiaTheme="minorHAnsi"/>
                <w:lang w:eastAsia="en-US"/>
              </w:rPr>
              <w:t xml:space="preserve"> noteikta prasība atbildīgajai ministrijai pieņemt </w:t>
            </w:r>
            <w:r w:rsidRPr="001B6D0A">
              <w:rPr>
                <w:rFonts w:eastAsiaTheme="minorHAnsi"/>
                <w:lang w:eastAsia="en-US"/>
              </w:rPr>
              <w:t xml:space="preserve"> </w:t>
            </w:r>
            <w:r w:rsidR="00443B15" w:rsidRPr="001B6D0A">
              <w:rPr>
                <w:rFonts w:eastAsiaTheme="minorHAnsi"/>
                <w:lang w:eastAsia="en-US"/>
              </w:rPr>
              <w:t xml:space="preserve">lēmumu par pienākumu tiem komersantiem, kas atbilstoši MK noteikumu Nr.226 prasībām ir EPS atbildīgā puse, bet kuri nav izstrādājuši energoefektivitātes uzlabošanas pasākumu plānu un noteiktajos termiņos nav to iesnieguši EM,  noteiktā termiņā nodrošināt prasību izpildi. </w:t>
            </w:r>
            <w:bookmarkStart w:id="1" w:name="_Hlk10106803"/>
            <w:r w:rsidR="00443B15" w:rsidRPr="001B6D0A">
              <w:rPr>
                <w:rFonts w:eastAsiaTheme="minorHAnsi"/>
                <w:shd w:val="clear" w:color="auto" w:fill="FFFFFF"/>
                <w:lang w:eastAsia="en-US"/>
              </w:rPr>
              <w:t xml:space="preserve">Ja atbildīgā puse nepilda minēto lēmumu, ministrija </w:t>
            </w:r>
            <w:r w:rsidR="00F77383" w:rsidRPr="001B6D0A">
              <w:rPr>
                <w:rFonts w:eastAsiaTheme="minorHAnsi"/>
                <w:shd w:val="clear" w:color="auto" w:fill="FFFFFF"/>
                <w:lang w:eastAsia="en-US"/>
              </w:rPr>
              <w:t xml:space="preserve">piemēro </w:t>
            </w:r>
            <w:r w:rsidR="00443B15" w:rsidRPr="001B6D0A">
              <w:rPr>
                <w:rFonts w:eastAsiaTheme="minorHAnsi"/>
                <w:shd w:val="clear" w:color="auto" w:fill="FFFFFF"/>
                <w:lang w:eastAsia="en-US"/>
              </w:rPr>
              <w:t xml:space="preserve">Administratīvā procesa likumā </w:t>
            </w:r>
            <w:r w:rsidR="00F77383" w:rsidRPr="001B6D0A">
              <w:rPr>
                <w:rFonts w:eastAsiaTheme="minorHAnsi"/>
                <w:shd w:val="clear" w:color="auto" w:fill="FFFFFF"/>
                <w:lang w:eastAsia="en-US"/>
              </w:rPr>
              <w:t>paredzētos piespiedu līdzekļus</w:t>
            </w:r>
            <w:r w:rsidR="00443B15" w:rsidRPr="001B6D0A">
              <w:rPr>
                <w:shd w:val="clear" w:color="auto" w:fill="FFFFFF"/>
              </w:rPr>
              <w:t>.</w:t>
            </w:r>
            <w:bookmarkEnd w:id="1"/>
          </w:p>
          <w:p w14:paraId="6AF3BDD0" w14:textId="622FE7EC" w:rsidR="002C23F8" w:rsidRPr="001B6D0A" w:rsidRDefault="002C23F8" w:rsidP="001B6D0A">
            <w:pPr>
              <w:pStyle w:val="tv213"/>
              <w:shd w:val="clear" w:color="auto" w:fill="FFFFFF"/>
              <w:spacing w:before="0" w:beforeAutospacing="0" w:after="0" w:afterAutospacing="0"/>
              <w:ind w:firstLine="300"/>
              <w:jc w:val="both"/>
            </w:pPr>
            <w:r w:rsidRPr="001B6D0A">
              <w:rPr>
                <w:shd w:val="clear" w:color="auto" w:fill="FFFFFF"/>
              </w:rPr>
              <w:t>Admini</w:t>
            </w:r>
            <w:r w:rsidR="00D37A3A" w:rsidRPr="001B6D0A">
              <w:rPr>
                <w:shd w:val="clear" w:color="auto" w:fill="FFFFFF"/>
              </w:rPr>
              <w:t>s</w:t>
            </w:r>
            <w:r w:rsidRPr="001B6D0A">
              <w:rPr>
                <w:shd w:val="clear" w:color="auto" w:fill="FFFFFF"/>
              </w:rPr>
              <w:t>tratīvā procesa likuma (turpmāk – APL) 370.pants “</w:t>
            </w:r>
            <w:r w:rsidRPr="001B6D0A">
              <w:t xml:space="preserve">Adresātam uzliktā piespiedu nauda” nosaka tiesības adresātam (fiziskai vai juridiskai personai vai šo personu apvienībai) uzlikt piespiedu naudu. Piespiedu naudu var uzlikt atkārtoti, līdz adresāts - atbildīgā puse izpilda Likumprojekta 2.pantā noteikto prasību </w:t>
            </w:r>
            <w:r w:rsidRPr="001B6D0A">
              <w:rPr>
                <w:rFonts w:eastAsiaTheme="minorHAnsi"/>
                <w:lang w:eastAsia="en-US"/>
              </w:rPr>
              <w:t>izstrādāt energoefektivitātes uzlabošanas pasākumu plānu un iesniegt EM.</w:t>
            </w:r>
            <w:r w:rsidRPr="001B6D0A">
              <w:t xml:space="preserve"> Atkārtoti piespiedu naudu var uzlikt ne agrāk kā septiņas dienas pēc iepriekšējās reizes, ja adresāts šo septiņu dienu laikā joprojām nav izpildījis vai nav pārtraucis attiecīgo darbību.</w:t>
            </w:r>
          </w:p>
          <w:p w14:paraId="6C6EDE55" w14:textId="08B0F0EF" w:rsidR="004825E9" w:rsidRPr="001B6D0A" w:rsidRDefault="002C23F8" w:rsidP="001B6D0A">
            <w:pPr>
              <w:pStyle w:val="naiskr"/>
              <w:spacing w:before="0" w:beforeAutospacing="0" w:after="0" w:afterAutospacing="0"/>
              <w:contextualSpacing/>
              <w:jc w:val="both"/>
              <w:rPr>
                <w:bCs/>
              </w:rPr>
            </w:pPr>
            <w:r w:rsidRPr="001B6D0A">
              <w:t>APL 370.panta trešajā daļā ir noteikts, ka minimālā piespiedu nauda ir 50 </w:t>
            </w:r>
            <w:proofErr w:type="spellStart"/>
            <w:r w:rsidRPr="001B6D0A">
              <w:rPr>
                <w:i/>
                <w:iCs/>
              </w:rPr>
              <w:t>euro</w:t>
            </w:r>
            <w:proofErr w:type="spellEnd"/>
            <w:r w:rsidRPr="001B6D0A">
              <w:t>, maksimālā piespiedu nauda fiziskajai personai ir 5000 </w:t>
            </w:r>
            <w:proofErr w:type="spellStart"/>
            <w:r w:rsidRPr="001B6D0A">
              <w:rPr>
                <w:i/>
                <w:iCs/>
              </w:rPr>
              <w:t>euro</w:t>
            </w:r>
            <w:proofErr w:type="spellEnd"/>
            <w:r w:rsidRPr="001B6D0A">
              <w:t>, bet juridiskajai personai — 10 000 </w:t>
            </w:r>
            <w:proofErr w:type="spellStart"/>
            <w:r w:rsidRPr="001B6D0A">
              <w:rPr>
                <w:i/>
                <w:iCs/>
              </w:rPr>
              <w:t>euro</w:t>
            </w:r>
            <w:proofErr w:type="spellEnd"/>
            <w:r w:rsidRPr="001B6D0A">
              <w:t xml:space="preserve">. Nosakot piespiedu naudas summu, </w:t>
            </w:r>
            <w:proofErr w:type="spellStart"/>
            <w:r w:rsidRPr="001B6D0A">
              <w:t>izpildiestāde</w:t>
            </w:r>
            <w:proofErr w:type="spellEnd"/>
            <w:r w:rsidRPr="001B6D0A">
              <w:t xml:space="preserve"> ievēro samērīguma principu (APL </w:t>
            </w:r>
            <w:hyperlink r:id="rId8" w:anchor="p13" w:history="1">
              <w:r w:rsidRPr="001B6D0A">
                <w:rPr>
                  <w:rStyle w:val="Hyperlink"/>
                  <w:color w:val="auto"/>
                  <w:u w:val="none"/>
                </w:rPr>
                <w:t>13. pants</w:t>
              </w:r>
            </w:hyperlink>
            <w:r w:rsidRPr="001B6D0A">
              <w:t>), kā arī adresāta mantisko stāvokli.</w:t>
            </w:r>
            <w:r w:rsidR="00F77383" w:rsidRPr="001B6D0A">
              <w:t xml:space="preserve"> </w:t>
            </w:r>
            <w:r w:rsidR="004825E9" w:rsidRPr="001B6D0A">
              <w:t>Lēmuma piespiedu izpildes gadījumā atbildīgajai ministrijai ir jāņem vērā ieguvum</w:t>
            </w:r>
            <w:r w:rsidR="00A96112" w:rsidRPr="001B6D0A">
              <w:t>s</w:t>
            </w:r>
            <w:r w:rsidR="004825E9" w:rsidRPr="001B6D0A">
              <w:t xml:space="preserve">, kādu komersants varētu gūt vai ir ieguvis, neievērojot Likuma prasības, kā arī </w:t>
            </w:r>
            <w:r w:rsidR="004825E9" w:rsidRPr="001B6D0A">
              <w:rPr>
                <w:bCs/>
              </w:rPr>
              <w:t>Ministru kabineta 2017.gada 25.aprīļa noteikumu Nr.221</w:t>
            </w:r>
            <w:r w:rsidR="004825E9" w:rsidRPr="001B6D0A">
              <w:t xml:space="preserve"> “</w:t>
            </w:r>
            <w:r w:rsidR="004825E9" w:rsidRPr="001B6D0A">
              <w:rPr>
                <w:bCs/>
              </w:rPr>
              <w:t xml:space="preserve">Noteikumi par kārtību, kādā tiek veiktas iemaksas energoefektivitātes fondos, un to apmēru, kā arī energoefektivitātes fonda līdzekļu izmantošanu” 2.punktu, kas nosaka, ka iemaksas valsts energoefektivitātes fondā ir 70 </w:t>
            </w:r>
            <w:proofErr w:type="spellStart"/>
            <w:r w:rsidR="004825E9" w:rsidRPr="001B6D0A">
              <w:rPr>
                <w:bCs/>
                <w:i/>
              </w:rPr>
              <w:t>euro</w:t>
            </w:r>
            <w:proofErr w:type="spellEnd"/>
            <w:r w:rsidR="004825E9" w:rsidRPr="001B6D0A">
              <w:rPr>
                <w:bCs/>
              </w:rPr>
              <w:t xml:space="preserve"> par vienu neiegūto enerģijas ietaupījumu megavatstundu.</w:t>
            </w:r>
          </w:p>
          <w:p w14:paraId="745465DA" w14:textId="77777777" w:rsidR="004825E9" w:rsidRPr="001B6D0A" w:rsidRDefault="004825E9" w:rsidP="001B6D0A">
            <w:pPr>
              <w:pStyle w:val="naiskr"/>
              <w:spacing w:before="0" w:beforeAutospacing="0" w:after="0" w:afterAutospacing="0"/>
              <w:ind w:firstLine="217"/>
              <w:contextualSpacing/>
              <w:jc w:val="both"/>
            </w:pPr>
            <w:r w:rsidRPr="001B6D0A">
              <w:t xml:space="preserve">Saskaņā ar MK noteikumiem Nr.226, EPS atbildīgās puses ir elektroenerģijas tirgotāji, kuru pārdotais elektroenerģijas apjoms ir lielāks par 10 </w:t>
            </w:r>
            <w:proofErr w:type="spellStart"/>
            <w:r w:rsidRPr="001B6D0A">
              <w:t>GWh</w:t>
            </w:r>
            <w:proofErr w:type="spellEnd"/>
            <w:r w:rsidRPr="001B6D0A">
              <w:t xml:space="preserve"> un atbilstoši pieejamai informācijai, EPS atbildīgās puses kritērijiem atbilst 13 elektroenerģijas tirgotāji, no kuriem MK noteikumu Nr.226 prasības ir izpildījuši 9 komersanti.</w:t>
            </w:r>
          </w:p>
          <w:p w14:paraId="19AFCBC8" w14:textId="77777777" w:rsidR="00B87012" w:rsidRPr="001B6D0A" w:rsidRDefault="00B87012" w:rsidP="001B6D0A">
            <w:pPr>
              <w:pStyle w:val="naiskr"/>
              <w:spacing w:before="0" w:beforeAutospacing="0" w:after="0" w:afterAutospacing="0"/>
              <w:contextualSpacing/>
              <w:jc w:val="both"/>
            </w:pPr>
          </w:p>
          <w:p w14:paraId="2C6BA346" w14:textId="45321FFE" w:rsidR="009A2051" w:rsidRPr="001B6D0A" w:rsidRDefault="00843DBA" w:rsidP="001B6D0A">
            <w:pPr>
              <w:pStyle w:val="naiskr"/>
              <w:spacing w:before="0" w:beforeAutospacing="0" w:after="0" w:afterAutospacing="0"/>
              <w:ind w:firstLine="217"/>
              <w:contextualSpacing/>
              <w:jc w:val="both"/>
              <w:rPr>
                <w:b/>
              </w:rPr>
            </w:pPr>
            <w:proofErr w:type="spellStart"/>
            <w:r w:rsidRPr="001B6D0A">
              <w:rPr>
                <w:b/>
              </w:rPr>
              <w:t>Energoaudits</w:t>
            </w:r>
            <w:proofErr w:type="spellEnd"/>
            <w:r w:rsidRPr="001B6D0A">
              <w:rPr>
                <w:b/>
              </w:rPr>
              <w:t xml:space="preserve"> lielajos uzņēmumos</w:t>
            </w:r>
          </w:p>
          <w:p w14:paraId="14634EFA" w14:textId="08B540D2" w:rsidR="00BA53DE" w:rsidRPr="001B6D0A" w:rsidRDefault="009A2051" w:rsidP="001B6D0A">
            <w:pPr>
              <w:pStyle w:val="naiskr"/>
              <w:spacing w:before="0" w:beforeAutospacing="0" w:after="0" w:afterAutospacing="0"/>
              <w:ind w:firstLine="217"/>
              <w:contextualSpacing/>
              <w:jc w:val="both"/>
            </w:pPr>
            <w:r w:rsidRPr="001B6D0A">
              <w:lastRenderedPageBreak/>
              <w:t>Likum</w:t>
            </w:r>
            <w:r w:rsidR="00051D8D" w:rsidRPr="001B6D0A">
              <w:t>projekt</w:t>
            </w:r>
            <w:r w:rsidR="00643BE5" w:rsidRPr="001B6D0A">
              <w:t>a 3.pantā</w:t>
            </w:r>
            <w:r w:rsidR="00051D8D" w:rsidRPr="001B6D0A">
              <w:t xml:space="preserve"> ir iekļauts priekšlikums</w:t>
            </w:r>
            <w:r w:rsidRPr="001B6D0A">
              <w:t xml:space="preserve"> 10.panta otr</w:t>
            </w:r>
            <w:r w:rsidR="003A05EC" w:rsidRPr="001B6D0A">
              <w:t>o</w:t>
            </w:r>
            <w:r w:rsidRPr="001B6D0A">
              <w:t xml:space="preserve"> daļ</w:t>
            </w:r>
            <w:r w:rsidR="00051D8D" w:rsidRPr="001B6D0A">
              <w:t>u papildināt</w:t>
            </w:r>
            <w:r w:rsidRPr="001B6D0A">
              <w:t xml:space="preserve"> ar</w:t>
            </w:r>
            <w:r w:rsidR="0079359A" w:rsidRPr="001B6D0A">
              <w:t xml:space="preserve"> </w:t>
            </w:r>
            <w:r w:rsidRPr="001B6D0A">
              <w:t>nosacījumu lielo uzņēmumu izslēgšanai no lielo uzņēmumu saraksta, kas līdz šim Likumā nebija iekļauts.</w:t>
            </w:r>
            <w:r w:rsidR="00051D8D" w:rsidRPr="001B6D0A">
              <w:t xml:space="preserve"> </w:t>
            </w:r>
            <w:r w:rsidR="001B67E8" w:rsidRPr="001B6D0A">
              <w:t>Uzņēmums tiek izslēgts no lielo uzņēmumu saraksta gadījumā, ja tas neatbilst lielā uzņēmuma kritērijiem divos pārskata periodos pēc kārtas.</w:t>
            </w:r>
            <w:r w:rsidR="00527291" w:rsidRPr="001B6D0A">
              <w:t xml:space="preserve"> </w:t>
            </w:r>
            <w:r w:rsidR="001B67E8" w:rsidRPr="001B6D0A">
              <w:t xml:space="preserve">Minētā norma ir saskaņota ar Likuma 10.panta otrajā daļā </w:t>
            </w:r>
            <w:r w:rsidR="003A05EC" w:rsidRPr="001B6D0A">
              <w:t>iekļauto nosacījumu</w:t>
            </w:r>
            <w:r w:rsidR="001B67E8" w:rsidRPr="001B6D0A">
              <w:t xml:space="preserve">, ka </w:t>
            </w:r>
            <w:r w:rsidR="000537AB" w:rsidRPr="001B6D0A">
              <w:t>u</w:t>
            </w:r>
            <w:r w:rsidR="001B67E8" w:rsidRPr="001B6D0A">
              <w:t>zņēmums tiek iekļauts lielo uzņēmumu sarakstā, ja tas divos pārskata periodos pēc kārtas atbilst lielā uzņēmuma kritērijiem.</w:t>
            </w:r>
            <w:r w:rsidR="00843DBA" w:rsidRPr="001B6D0A">
              <w:t xml:space="preserve"> </w:t>
            </w:r>
            <w:r w:rsidR="00BA53DE" w:rsidRPr="001B6D0A">
              <w:t xml:space="preserve">Likuma prasības attiecībā uz obligāta </w:t>
            </w:r>
            <w:proofErr w:type="spellStart"/>
            <w:r w:rsidR="00BA53DE" w:rsidRPr="001B6D0A">
              <w:t>energoaudita</w:t>
            </w:r>
            <w:proofErr w:type="spellEnd"/>
            <w:r w:rsidR="00BA53DE" w:rsidRPr="001B6D0A">
              <w:t xml:space="preserve"> veikšanu, attiecas tikai uz tiem lielajiem uzņēmumiem, kuri ir iekļauti EM tīmekļa vietnē publicētajā lielo uzņēmumu sarakstā. </w:t>
            </w:r>
            <w:r w:rsidR="00976E0E" w:rsidRPr="001B6D0A">
              <w:t xml:space="preserve">Pēc izslēgšanas no lielo uzņēmumu saraksta, uzņēmumam vairs nav jāpilda Likuma 10.panta piektajā un sestajā daļā noteiktās prasības par obligāta, regulāra </w:t>
            </w:r>
            <w:proofErr w:type="spellStart"/>
            <w:r w:rsidR="00976E0E" w:rsidRPr="001B6D0A">
              <w:t>energoaudita</w:t>
            </w:r>
            <w:proofErr w:type="spellEnd"/>
            <w:r w:rsidR="00976E0E" w:rsidRPr="001B6D0A">
              <w:t xml:space="preserve"> veikšanu vai sertificētas </w:t>
            </w:r>
            <w:proofErr w:type="spellStart"/>
            <w:r w:rsidR="00976E0E" w:rsidRPr="001B6D0A">
              <w:t>energopārvaldības</w:t>
            </w:r>
            <w:proofErr w:type="spellEnd"/>
            <w:r w:rsidR="00976E0E" w:rsidRPr="001B6D0A">
              <w:t xml:space="preserve"> sistēmas ieviešanu vai sertificētas vides sistēmas papildināšanu.</w:t>
            </w:r>
            <w:r w:rsidR="001B6D0A" w:rsidRPr="001B6D0A">
              <w:t xml:space="preserve"> </w:t>
            </w:r>
            <w:r w:rsidR="00BA53DE" w:rsidRPr="001B6D0A">
              <w:t>Tomēr arī pēc izslēgšanas no lielo uzņēmumu saraksta, uzņēmumam saglabājas pienākums noteiktu laika periodu ziņot par ieviestajiem energoefektivitātes pasākumiem un iegūto enerģijas ietaupījumu, kas iekļauts priekšlikumā Likumprojekta 3.pantā.</w:t>
            </w:r>
          </w:p>
          <w:p w14:paraId="0E65242B" w14:textId="60BAB221" w:rsidR="00643BE5" w:rsidRPr="001B6D0A" w:rsidRDefault="001940E4" w:rsidP="001B6D0A">
            <w:pPr>
              <w:pStyle w:val="NoSpacing"/>
              <w:ind w:firstLine="0"/>
              <w:contextualSpacing/>
              <w:rPr>
                <w:sz w:val="24"/>
                <w:szCs w:val="24"/>
                <w:lang w:eastAsia="lv-LV"/>
              </w:rPr>
            </w:pPr>
            <w:r w:rsidRPr="001B6D0A">
              <w:rPr>
                <w:sz w:val="24"/>
                <w:szCs w:val="24"/>
              </w:rPr>
              <w:t>Likumā nav noteikts pienākum</w:t>
            </w:r>
            <w:r w:rsidR="00291E03" w:rsidRPr="001B6D0A">
              <w:rPr>
                <w:sz w:val="24"/>
                <w:szCs w:val="24"/>
              </w:rPr>
              <w:t>a ziņot</w:t>
            </w:r>
            <w:r w:rsidRPr="001B6D0A">
              <w:rPr>
                <w:sz w:val="24"/>
                <w:szCs w:val="24"/>
              </w:rPr>
              <w:t xml:space="preserve"> par iegūtajiem enerģijas ietaupījumiem ilgums nedz lielajiem uzņēmumiem, nedz lielajiem elektroenerģijas patērētājiem. Tā kā no komersantiem tika saņemti jautājumi par to, cik ilgi saglabājas pienākums </w:t>
            </w:r>
            <w:r w:rsidR="00291E03" w:rsidRPr="001B6D0A">
              <w:rPr>
                <w:sz w:val="24"/>
                <w:szCs w:val="24"/>
              </w:rPr>
              <w:t>ziņot</w:t>
            </w:r>
            <w:r w:rsidR="00291E03" w:rsidRPr="001B6D0A">
              <w:rPr>
                <w:b/>
                <w:bCs/>
                <w:sz w:val="24"/>
                <w:szCs w:val="24"/>
              </w:rPr>
              <w:t xml:space="preserve"> </w:t>
            </w:r>
            <w:r w:rsidRPr="001B6D0A">
              <w:rPr>
                <w:sz w:val="24"/>
                <w:szCs w:val="24"/>
              </w:rPr>
              <w:t>par sasniegtajiem enerģijas ietaupījumiem, tad ar Likum</w:t>
            </w:r>
            <w:r w:rsidRPr="001B6D0A">
              <w:rPr>
                <w:rStyle w:val="normaltextrun"/>
                <w:sz w:val="24"/>
                <w:szCs w:val="24"/>
                <w:shd w:val="clear" w:color="auto" w:fill="FFFFFF"/>
              </w:rPr>
              <w:t>projekta 3. un 4.pantu paredzēts papildināt Likuma 10.pant</w:t>
            </w:r>
            <w:r w:rsidR="00291E03" w:rsidRPr="001B6D0A">
              <w:rPr>
                <w:rStyle w:val="normaltextrun"/>
                <w:sz w:val="24"/>
                <w:szCs w:val="24"/>
                <w:shd w:val="clear" w:color="auto" w:fill="FFFFFF"/>
              </w:rPr>
              <w:t>u ar devīto</w:t>
            </w:r>
            <w:r w:rsidRPr="001B6D0A">
              <w:rPr>
                <w:rStyle w:val="normaltextrun"/>
                <w:sz w:val="24"/>
                <w:szCs w:val="24"/>
                <w:shd w:val="clear" w:color="auto" w:fill="FFFFFF"/>
              </w:rPr>
              <w:t xml:space="preserve">  daļu un 12.pant</w:t>
            </w:r>
            <w:r w:rsidR="00291E03" w:rsidRPr="001B6D0A">
              <w:rPr>
                <w:rStyle w:val="normaltextrun"/>
                <w:sz w:val="24"/>
                <w:szCs w:val="24"/>
                <w:shd w:val="clear" w:color="auto" w:fill="FFFFFF"/>
              </w:rPr>
              <w:t>u ar vienpadsmito</w:t>
            </w:r>
            <w:r w:rsidRPr="001B6D0A">
              <w:rPr>
                <w:rStyle w:val="normaltextrun"/>
                <w:sz w:val="24"/>
                <w:szCs w:val="24"/>
                <w:shd w:val="clear" w:color="auto" w:fill="FFFFFF"/>
              </w:rPr>
              <w:t xml:space="preserve"> daļu</w:t>
            </w:r>
            <w:r w:rsidRPr="001B6D0A">
              <w:rPr>
                <w:sz w:val="24"/>
                <w:szCs w:val="24"/>
              </w:rPr>
              <w:t xml:space="preserve">, nosakot ziņošanas pienākuma ilgumu abos gadījumos – četru gadu garumā, kas atbilst intervālam starp diviem </w:t>
            </w:r>
            <w:proofErr w:type="spellStart"/>
            <w:r w:rsidRPr="001B6D0A">
              <w:rPr>
                <w:sz w:val="24"/>
                <w:szCs w:val="24"/>
              </w:rPr>
              <w:t>energoauditiem</w:t>
            </w:r>
            <w:proofErr w:type="spellEnd"/>
            <w:r w:rsidR="00291E03" w:rsidRPr="001B6D0A">
              <w:rPr>
                <w:b/>
                <w:bCs/>
                <w:sz w:val="24"/>
                <w:szCs w:val="24"/>
              </w:rPr>
              <w:t xml:space="preserve">; </w:t>
            </w:r>
            <w:r w:rsidRPr="001B6D0A">
              <w:rPr>
                <w:sz w:val="24"/>
                <w:szCs w:val="24"/>
              </w:rPr>
              <w:t xml:space="preserve"> visu sertificētas </w:t>
            </w:r>
            <w:proofErr w:type="spellStart"/>
            <w:r w:rsidRPr="001B6D0A">
              <w:rPr>
                <w:sz w:val="24"/>
                <w:szCs w:val="24"/>
              </w:rPr>
              <w:t>energopārvaldības</w:t>
            </w:r>
            <w:proofErr w:type="spellEnd"/>
            <w:r w:rsidRPr="001B6D0A">
              <w:rPr>
                <w:sz w:val="24"/>
                <w:szCs w:val="24"/>
              </w:rPr>
              <w:t xml:space="preserve"> sistēmas darbības laiku, ņemot vēra, ka sertificētas </w:t>
            </w:r>
            <w:proofErr w:type="spellStart"/>
            <w:r w:rsidRPr="001B6D0A">
              <w:rPr>
                <w:sz w:val="24"/>
                <w:szCs w:val="24"/>
              </w:rPr>
              <w:t>energopārvaldības</w:t>
            </w:r>
            <w:proofErr w:type="spellEnd"/>
            <w:r w:rsidRPr="001B6D0A">
              <w:rPr>
                <w:sz w:val="24"/>
                <w:szCs w:val="24"/>
              </w:rPr>
              <w:t xml:space="preserve"> sistēmas sertificēšanas prasībās ir noteikts katru gadu sagatavot enerģijas ietaupījumu pārskatu. Nosakot minēto normu, ir ņemta vērā Likuma 10.panta astotajā daļā noteiktā norma, ka lielais uzņēmums ievieš </w:t>
            </w:r>
            <w:r w:rsidRPr="001B6D0A">
              <w:rPr>
                <w:sz w:val="24"/>
                <w:szCs w:val="24"/>
                <w:shd w:val="clear" w:color="auto" w:fill="FFFFFF"/>
              </w:rPr>
              <w:t xml:space="preserve">vismaz trīs </w:t>
            </w:r>
            <w:proofErr w:type="spellStart"/>
            <w:r w:rsidRPr="001B6D0A">
              <w:rPr>
                <w:sz w:val="24"/>
                <w:szCs w:val="24"/>
                <w:shd w:val="clear" w:color="auto" w:fill="FFFFFF"/>
              </w:rPr>
              <w:t>energoauditā</w:t>
            </w:r>
            <w:proofErr w:type="spellEnd"/>
            <w:r w:rsidRPr="001B6D0A">
              <w:rPr>
                <w:sz w:val="24"/>
                <w:szCs w:val="24"/>
                <w:shd w:val="clear" w:color="auto" w:fill="FFFFFF"/>
              </w:rPr>
              <w:t xml:space="preserve"> vai 10.panta sestajā daļā minētās sertificētas </w:t>
            </w:r>
            <w:proofErr w:type="spellStart"/>
            <w:r w:rsidRPr="001B6D0A">
              <w:rPr>
                <w:sz w:val="24"/>
                <w:szCs w:val="24"/>
                <w:shd w:val="clear" w:color="auto" w:fill="FFFFFF"/>
              </w:rPr>
              <w:t>energopārvaldības</w:t>
            </w:r>
            <w:proofErr w:type="spellEnd"/>
            <w:r w:rsidRPr="001B6D0A">
              <w:rPr>
                <w:sz w:val="24"/>
                <w:szCs w:val="24"/>
                <w:shd w:val="clear" w:color="auto" w:fill="FFFFFF"/>
              </w:rPr>
              <w:t xml:space="preserve"> sistēmas vai sertificētas vides pārvaldības sistēmas ietvaros ierosinātos energoefektivitātes uzlabošanas pasākumus ar vislielāko novērtēto enerģijas ietaupījumu vai ekonomisko atdevi, kā arī Likuma 12.panta septītajā daļā noteiktā norma, ka lielais elektroenerģijas patērētājs </w:t>
            </w:r>
            <w:proofErr w:type="spellStart"/>
            <w:r w:rsidRPr="001B6D0A">
              <w:rPr>
                <w:sz w:val="24"/>
                <w:szCs w:val="24"/>
                <w:shd w:val="clear" w:color="auto" w:fill="FFFFFF"/>
              </w:rPr>
              <w:t>energopārvaldības</w:t>
            </w:r>
            <w:proofErr w:type="spellEnd"/>
            <w:r w:rsidRPr="001B6D0A">
              <w:rPr>
                <w:sz w:val="24"/>
                <w:szCs w:val="24"/>
                <w:shd w:val="clear" w:color="auto" w:fill="FFFFFF"/>
              </w:rPr>
              <w:t xml:space="preserve"> sistēmas vai papildinātās vides pārvaldības sistēmas ietvaros ievieš vismaz trīs tajā ieteiktos energoefektivitātes uzlabošanas pasākumus ar vislielāko novērtēto enerģijas ietaupījumu vai ekonomisko atdevi. </w:t>
            </w:r>
            <w:r w:rsidRPr="001B6D0A">
              <w:rPr>
                <w:sz w:val="24"/>
                <w:szCs w:val="24"/>
              </w:rPr>
              <w:t xml:space="preserve">Minētās normas parāda, ka ierosinātie energoefektivitātes uzlabošanas pasākumi ar vislielāko novērtēto enerģijas ietaupījumu vai ekonomisko atdevi ir tieši izrietoši no Likuma 10.panta piektajā daļā minētajiem </w:t>
            </w:r>
            <w:proofErr w:type="spellStart"/>
            <w:r w:rsidRPr="001B6D0A">
              <w:rPr>
                <w:sz w:val="24"/>
                <w:szCs w:val="24"/>
              </w:rPr>
              <w:t>energoauditiem</w:t>
            </w:r>
            <w:proofErr w:type="spellEnd"/>
            <w:r w:rsidRPr="001B6D0A">
              <w:rPr>
                <w:sz w:val="24"/>
                <w:szCs w:val="24"/>
              </w:rPr>
              <w:t xml:space="preserve"> vai šā panta sestajā daļā minētās sertificētas </w:t>
            </w:r>
            <w:proofErr w:type="spellStart"/>
            <w:r w:rsidRPr="001B6D0A">
              <w:rPr>
                <w:sz w:val="24"/>
                <w:szCs w:val="24"/>
              </w:rPr>
              <w:t>energopārvaldības</w:t>
            </w:r>
            <w:proofErr w:type="spellEnd"/>
            <w:r w:rsidRPr="001B6D0A">
              <w:rPr>
                <w:sz w:val="24"/>
                <w:szCs w:val="24"/>
              </w:rPr>
              <w:t xml:space="preserve"> sistēmas vai sertificētas vides pārvaldības sistēmas vai Likuma 12.panta otrās vai trešās daļas prasībām. Līdz ar to gadījumos, </w:t>
            </w:r>
            <w:r w:rsidR="004E6F61" w:rsidRPr="001B6D0A">
              <w:rPr>
                <w:sz w:val="24"/>
                <w:szCs w:val="24"/>
              </w:rPr>
              <w:t xml:space="preserve">ja </w:t>
            </w:r>
            <w:r w:rsidRPr="001B6D0A">
              <w:rPr>
                <w:sz w:val="24"/>
                <w:szCs w:val="24"/>
              </w:rPr>
              <w:t xml:space="preserve">komersants ir zaudējis lielā uzņēmuma vai lielā elektroenerģijas patērētāja statusu, ir nepieciešams ziņot par esošā </w:t>
            </w:r>
            <w:proofErr w:type="spellStart"/>
            <w:r w:rsidRPr="001B6D0A">
              <w:rPr>
                <w:sz w:val="24"/>
                <w:szCs w:val="24"/>
              </w:rPr>
              <w:t>energoaudita</w:t>
            </w:r>
            <w:proofErr w:type="spellEnd"/>
            <w:r w:rsidRPr="001B6D0A">
              <w:rPr>
                <w:sz w:val="24"/>
                <w:szCs w:val="24"/>
              </w:rPr>
              <w:t xml:space="preserve">, </w:t>
            </w:r>
            <w:proofErr w:type="spellStart"/>
            <w:r w:rsidRPr="001B6D0A">
              <w:rPr>
                <w:sz w:val="24"/>
                <w:szCs w:val="24"/>
              </w:rPr>
              <w:t>energopārvaldības</w:t>
            </w:r>
            <w:proofErr w:type="spellEnd"/>
            <w:r w:rsidRPr="001B6D0A">
              <w:rPr>
                <w:sz w:val="24"/>
                <w:szCs w:val="24"/>
              </w:rPr>
              <w:t xml:space="preserve"> sistēmas vai papildinātas vides pārvaldības sistēmas rezultātā  ieviestajiem energoefektivitātes pasākumiem un tajos iegūto enerģijas ietaupījumu.</w:t>
            </w:r>
            <w:r w:rsidRPr="001B6D0A">
              <w:rPr>
                <w:sz w:val="24"/>
                <w:szCs w:val="24"/>
                <w:shd w:val="clear" w:color="auto" w:fill="FFFFFF"/>
              </w:rPr>
              <w:t xml:space="preserve"> Jāņem vērā, ka ievesto prasību mērķis ir energoefektivitātes paaugstināšana un valsts obligātā energoefektivitātes </w:t>
            </w:r>
            <w:r w:rsidRPr="001B6D0A">
              <w:rPr>
                <w:sz w:val="24"/>
                <w:szCs w:val="24"/>
                <w:shd w:val="clear" w:color="auto" w:fill="FFFFFF"/>
              </w:rPr>
              <w:lastRenderedPageBreak/>
              <w:t>mērķa izpilde, kam nepieciešams uzskaitīt konkrētos pasākumos gūto ietaupījumu.   </w:t>
            </w:r>
            <w:r w:rsidRPr="001B6D0A">
              <w:rPr>
                <w:sz w:val="24"/>
                <w:szCs w:val="24"/>
              </w:rPr>
              <w:t>Minēto komersantu sasniegtie enerģijas ietaupījumi tiek ieskaitīti obligātā valsts energoefektivitātes mērķa izpildē. Likuma 10.panta septītajā daļā un 12.panta piektajā daļā minētā ziņošanas kārtība ir noteikta ar Ministru kabineta 2016.gada 11.oktobra noteikumiem Nr.668 “</w:t>
            </w:r>
            <w:proofErr w:type="spellStart"/>
            <w:r w:rsidRPr="001B6D0A">
              <w:rPr>
                <w:sz w:val="24"/>
                <w:szCs w:val="24"/>
              </w:rPr>
              <w:t>Energopārvaldības</w:t>
            </w:r>
            <w:proofErr w:type="spellEnd"/>
            <w:r w:rsidRPr="001B6D0A">
              <w:rPr>
                <w:sz w:val="24"/>
                <w:szCs w:val="24"/>
              </w:rPr>
              <w:t xml:space="preserve"> monitoringa un piemērojamā </w:t>
            </w:r>
            <w:proofErr w:type="spellStart"/>
            <w:r w:rsidRPr="001B6D0A">
              <w:rPr>
                <w:sz w:val="24"/>
                <w:szCs w:val="24"/>
              </w:rPr>
              <w:t>energopārvaldības</w:t>
            </w:r>
            <w:proofErr w:type="spellEnd"/>
            <w:r w:rsidRPr="001B6D0A">
              <w:rPr>
                <w:sz w:val="24"/>
                <w:szCs w:val="24"/>
              </w:rPr>
              <w:t xml:space="preserve"> sistēmas standarta noteikumi” (turpmāk – MK noteikumi Nr.668).</w:t>
            </w:r>
          </w:p>
          <w:p w14:paraId="5C7B7413" w14:textId="000640D4" w:rsidR="003552B6" w:rsidRPr="001B6D0A" w:rsidRDefault="003552B6" w:rsidP="001B6D0A">
            <w:pPr>
              <w:pStyle w:val="Heading3"/>
              <w:shd w:val="clear" w:color="auto" w:fill="FFFFFF"/>
              <w:spacing w:before="0" w:beforeAutospacing="0" w:after="0" w:afterAutospacing="0"/>
              <w:ind w:firstLine="217"/>
              <w:contextualSpacing/>
              <w:jc w:val="both"/>
              <w:rPr>
                <w:b w:val="0"/>
                <w:sz w:val="24"/>
                <w:szCs w:val="24"/>
              </w:rPr>
            </w:pPr>
            <w:r w:rsidRPr="001B6D0A">
              <w:rPr>
                <w:b w:val="0"/>
                <w:sz w:val="24"/>
                <w:szCs w:val="24"/>
              </w:rPr>
              <w:t>Saistībā ar grozījum</w:t>
            </w:r>
            <w:r w:rsidR="00BC378B" w:rsidRPr="001B6D0A">
              <w:rPr>
                <w:b w:val="0"/>
                <w:sz w:val="24"/>
                <w:szCs w:val="24"/>
              </w:rPr>
              <w:t>u pieņemšanu</w:t>
            </w:r>
            <w:r w:rsidRPr="001B6D0A">
              <w:rPr>
                <w:b w:val="0"/>
                <w:sz w:val="24"/>
                <w:szCs w:val="24"/>
              </w:rPr>
              <w:t xml:space="preserve"> Ministru kabineta noteikumos Nr.</w:t>
            </w:r>
            <w:r w:rsidR="00BC378B" w:rsidRPr="001B6D0A">
              <w:rPr>
                <w:b w:val="0"/>
                <w:sz w:val="24"/>
                <w:szCs w:val="24"/>
              </w:rPr>
              <w:t xml:space="preserve">487 ”Uzņēmumu </w:t>
            </w:r>
            <w:proofErr w:type="spellStart"/>
            <w:r w:rsidR="00BC378B" w:rsidRPr="001B6D0A">
              <w:rPr>
                <w:b w:val="0"/>
                <w:sz w:val="24"/>
                <w:szCs w:val="24"/>
              </w:rPr>
              <w:t>energoaudita</w:t>
            </w:r>
            <w:proofErr w:type="spellEnd"/>
            <w:r w:rsidR="00BC378B" w:rsidRPr="001B6D0A">
              <w:rPr>
                <w:b w:val="0"/>
                <w:sz w:val="24"/>
                <w:szCs w:val="24"/>
              </w:rPr>
              <w:t xml:space="preserve"> noteikumi”,</w:t>
            </w:r>
            <w:r w:rsidRPr="001B6D0A">
              <w:rPr>
                <w:b w:val="0"/>
                <w:sz w:val="24"/>
                <w:szCs w:val="24"/>
              </w:rPr>
              <w:t xml:space="preserve"> Ministru kabineta 2018.gada 12.jūnija sēdes </w:t>
            </w:r>
            <w:proofErr w:type="spellStart"/>
            <w:r w:rsidRPr="001B6D0A">
              <w:rPr>
                <w:b w:val="0"/>
                <w:sz w:val="24"/>
                <w:szCs w:val="24"/>
              </w:rPr>
              <w:t>protokol</w:t>
            </w:r>
            <w:r w:rsidR="004A5ACF" w:rsidRPr="001B6D0A">
              <w:rPr>
                <w:b w:val="0"/>
                <w:sz w:val="24"/>
                <w:szCs w:val="24"/>
              </w:rPr>
              <w:t>lēmuma</w:t>
            </w:r>
            <w:proofErr w:type="spellEnd"/>
            <w:r w:rsidRPr="001B6D0A">
              <w:rPr>
                <w:b w:val="0"/>
                <w:sz w:val="24"/>
                <w:szCs w:val="24"/>
              </w:rPr>
              <w:t xml:space="preserve"> </w:t>
            </w:r>
            <w:r w:rsidR="00F138E8" w:rsidRPr="001B6D0A">
              <w:rPr>
                <w:b w:val="0"/>
                <w:sz w:val="24"/>
                <w:szCs w:val="24"/>
              </w:rPr>
              <w:t xml:space="preserve">(prot.Nr.28, 1.§.) </w:t>
            </w:r>
            <w:r w:rsidR="004A5ACF" w:rsidRPr="001B6D0A">
              <w:rPr>
                <w:b w:val="0"/>
                <w:sz w:val="24"/>
                <w:szCs w:val="24"/>
              </w:rPr>
              <w:t xml:space="preserve">2.punktā </w:t>
            </w:r>
            <w:r w:rsidR="00BC378B" w:rsidRPr="001B6D0A">
              <w:rPr>
                <w:b w:val="0"/>
                <w:sz w:val="24"/>
                <w:szCs w:val="24"/>
              </w:rPr>
              <w:t xml:space="preserve">tika noteikts, </w:t>
            </w:r>
            <w:r w:rsidRPr="001B6D0A">
              <w:rPr>
                <w:b w:val="0"/>
                <w:sz w:val="24"/>
                <w:szCs w:val="24"/>
              </w:rPr>
              <w:t xml:space="preserve">ka </w:t>
            </w:r>
            <w:r w:rsidR="001B67E8" w:rsidRPr="001B6D0A">
              <w:rPr>
                <w:b w:val="0"/>
                <w:sz w:val="24"/>
                <w:szCs w:val="24"/>
              </w:rPr>
              <w:t>EM</w:t>
            </w:r>
            <w:r w:rsidR="00F332DF" w:rsidRPr="001B6D0A">
              <w:rPr>
                <w:b w:val="0"/>
                <w:sz w:val="24"/>
                <w:szCs w:val="24"/>
              </w:rPr>
              <w:t xml:space="preserve"> </w:t>
            </w:r>
            <w:r w:rsidR="00A13E56" w:rsidRPr="001B6D0A">
              <w:rPr>
                <w:b w:val="0"/>
                <w:sz w:val="24"/>
                <w:szCs w:val="24"/>
              </w:rPr>
              <w:t xml:space="preserve">ir </w:t>
            </w:r>
            <w:r w:rsidRPr="001B6D0A">
              <w:rPr>
                <w:b w:val="0"/>
                <w:sz w:val="24"/>
                <w:szCs w:val="24"/>
              </w:rPr>
              <w:t xml:space="preserve">jāizvērtē nepieciešamību savstarpēji saskaņot </w:t>
            </w:r>
            <w:r w:rsidR="00A13E56" w:rsidRPr="001B6D0A">
              <w:rPr>
                <w:b w:val="0"/>
                <w:sz w:val="24"/>
                <w:szCs w:val="24"/>
              </w:rPr>
              <w:t>L</w:t>
            </w:r>
            <w:r w:rsidRPr="001B6D0A">
              <w:rPr>
                <w:b w:val="0"/>
                <w:sz w:val="24"/>
                <w:szCs w:val="24"/>
              </w:rPr>
              <w:t xml:space="preserve">ikuma un Ēku energoefektivitātes likuma normas, novēršot to iespējamās kolīzijas, un ekonomikas ministram līdz 2019.gada 1.septembrim iesniegt Ministru kabinetā attiecīgus tiesību aktu projektus, </w:t>
            </w:r>
            <w:r w:rsidR="00643BE5" w:rsidRPr="001B6D0A">
              <w:rPr>
                <w:b w:val="0"/>
                <w:sz w:val="24"/>
                <w:szCs w:val="24"/>
              </w:rPr>
              <w:t xml:space="preserve">Likumprojekta 3.pantā ir iekļauta norma papildināt </w:t>
            </w:r>
            <w:r w:rsidR="002D75F4" w:rsidRPr="001B6D0A">
              <w:rPr>
                <w:b w:val="0"/>
                <w:sz w:val="24"/>
                <w:szCs w:val="24"/>
              </w:rPr>
              <w:t xml:space="preserve">Likuma </w:t>
            </w:r>
            <w:r w:rsidRPr="001B6D0A">
              <w:rPr>
                <w:b w:val="0"/>
                <w:sz w:val="24"/>
                <w:szCs w:val="24"/>
              </w:rPr>
              <w:t>10.pant</w:t>
            </w:r>
            <w:r w:rsidR="00643BE5" w:rsidRPr="001B6D0A">
              <w:rPr>
                <w:b w:val="0"/>
                <w:sz w:val="24"/>
                <w:szCs w:val="24"/>
              </w:rPr>
              <w:t>u ar jaunu 4.</w:t>
            </w:r>
            <w:r w:rsidR="00643BE5" w:rsidRPr="001B6D0A">
              <w:rPr>
                <w:b w:val="0"/>
                <w:sz w:val="24"/>
                <w:szCs w:val="24"/>
                <w:vertAlign w:val="superscript"/>
              </w:rPr>
              <w:t>1</w:t>
            </w:r>
            <w:r w:rsidR="00643BE5" w:rsidRPr="001B6D0A">
              <w:rPr>
                <w:b w:val="0"/>
                <w:sz w:val="24"/>
                <w:szCs w:val="24"/>
              </w:rPr>
              <w:t xml:space="preserve"> daļu</w:t>
            </w:r>
            <w:r w:rsidR="00BC378B" w:rsidRPr="001B6D0A">
              <w:rPr>
                <w:b w:val="0"/>
                <w:sz w:val="24"/>
                <w:szCs w:val="24"/>
              </w:rPr>
              <w:t xml:space="preserve">, kurā norādīts, kuros gadījumos </w:t>
            </w:r>
            <w:proofErr w:type="spellStart"/>
            <w:r w:rsidR="00BC378B" w:rsidRPr="001B6D0A">
              <w:rPr>
                <w:b w:val="0"/>
                <w:sz w:val="24"/>
                <w:szCs w:val="24"/>
              </w:rPr>
              <w:t>energoauditu</w:t>
            </w:r>
            <w:proofErr w:type="spellEnd"/>
            <w:r w:rsidR="00BC378B" w:rsidRPr="001B6D0A">
              <w:rPr>
                <w:b w:val="0"/>
                <w:sz w:val="24"/>
                <w:szCs w:val="24"/>
              </w:rPr>
              <w:t xml:space="preserve"> lielajos uzņēmumos ir tiesīgs veikt neatkarīgs eksperts ēku energoefektivitātes jomā.</w:t>
            </w:r>
          </w:p>
          <w:p w14:paraId="0720F218" w14:textId="4941D4A9" w:rsidR="00CC2DBB" w:rsidRPr="001B6D0A" w:rsidRDefault="002D75F4" w:rsidP="001B6D0A">
            <w:pPr>
              <w:pStyle w:val="Heading3"/>
              <w:shd w:val="clear" w:color="auto" w:fill="FFFFFF"/>
              <w:spacing w:before="0" w:beforeAutospacing="0" w:after="0" w:afterAutospacing="0"/>
              <w:ind w:firstLine="217"/>
              <w:contextualSpacing/>
              <w:jc w:val="both"/>
              <w:rPr>
                <w:b w:val="0"/>
                <w:sz w:val="24"/>
                <w:szCs w:val="24"/>
              </w:rPr>
            </w:pPr>
            <w:bookmarkStart w:id="2" w:name="_Hlk10104134"/>
            <w:r w:rsidRPr="001B6D0A">
              <w:rPr>
                <w:b w:val="0"/>
                <w:sz w:val="24"/>
                <w:szCs w:val="24"/>
              </w:rPr>
              <w:t xml:space="preserve">Praksē vairākkārtīgi no lielo uzņēmumu puses ir izskanējis jautājums par to, </w:t>
            </w:r>
            <w:r w:rsidR="004A2BD7" w:rsidRPr="001B6D0A">
              <w:rPr>
                <w:b w:val="0"/>
                <w:sz w:val="24"/>
                <w:szCs w:val="24"/>
              </w:rPr>
              <w:t xml:space="preserve">līdz kādam termiņam ir jāveic otrs obligātais </w:t>
            </w:r>
            <w:proofErr w:type="spellStart"/>
            <w:r w:rsidR="004A2BD7" w:rsidRPr="001B6D0A">
              <w:rPr>
                <w:b w:val="0"/>
                <w:sz w:val="24"/>
                <w:szCs w:val="24"/>
              </w:rPr>
              <w:t>energoaudits</w:t>
            </w:r>
            <w:proofErr w:type="spellEnd"/>
            <w:r w:rsidR="004A2BD7" w:rsidRPr="001B6D0A">
              <w:rPr>
                <w:b w:val="0"/>
                <w:sz w:val="24"/>
                <w:szCs w:val="24"/>
              </w:rPr>
              <w:t xml:space="preserve">, jo Likumā tāds </w:t>
            </w:r>
            <w:r w:rsidR="001B67E8" w:rsidRPr="001B6D0A">
              <w:rPr>
                <w:b w:val="0"/>
                <w:sz w:val="24"/>
                <w:szCs w:val="24"/>
              </w:rPr>
              <w:t>nav</w:t>
            </w:r>
            <w:r w:rsidR="004A2BD7" w:rsidRPr="001B6D0A">
              <w:rPr>
                <w:b w:val="0"/>
                <w:sz w:val="24"/>
                <w:szCs w:val="24"/>
              </w:rPr>
              <w:t xml:space="preserve"> noteikts.</w:t>
            </w:r>
          </w:p>
          <w:bookmarkEnd w:id="2"/>
          <w:p w14:paraId="15F4397F" w14:textId="618C760F" w:rsidR="00397F4C" w:rsidRPr="001B6D0A" w:rsidRDefault="00CC2DBB" w:rsidP="001B6D0A">
            <w:pPr>
              <w:pStyle w:val="Heading3"/>
              <w:shd w:val="clear" w:color="auto" w:fill="FFFFFF"/>
              <w:spacing w:before="0" w:beforeAutospacing="0" w:after="0" w:afterAutospacing="0"/>
              <w:ind w:firstLine="217"/>
              <w:contextualSpacing/>
              <w:jc w:val="both"/>
              <w:rPr>
                <w:b w:val="0"/>
                <w:sz w:val="24"/>
                <w:szCs w:val="24"/>
              </w:rPr>
            </w:pPr>
            <w:r w:rsidRPr="001B6D0A">
              <w:rPr>
                <w:b w:val="0"/>
                <w:sz w:val="24"/>
                <w:szCs w:val="24"/>
              </w:rPr>
              <w:t xml:space="preserve">Lai nodrošinātu, ka </w:t>
            </w:r>
            <w:r w:rsidR="00B6744D" w:rsidRPr="001B6D0A">
              <w:rPr>
                <w:b w:val="0"/>
                <w:sz w:val="24"/>
                <w:szCs w:val="24"/>
              </w:rPr>
              <w:t>L</w:t>
            </w:r>
            <w:r w:rsidRPr="001B6D0A">
              <w:rPr>
                <w:b w:val="0"/>
                <w:sz w:val="24"/>
                <w:szCs w:val="24"/>
              </w:rPr>
              <w:t>ikuma norma pilnībā atbilst</w:t>
            </w:r>
            <w:r w:rsidR="00DF60CD" w:rsidRPr="001B6D0A">
              <w:rPr>
                <w:rFonts w:eastAsiaTheme="minorHAnsi"/>
                <w:b w:val="0"/>
                <w:bCs w:val="0"/>
                <w:sz w:val="24"/>
                <w:szCs w:val="24"/>
                <w:shd w:val="clear" w:color="auto" w:fill="FFFFFF"/>
                <w:lang w:eastAsia="en-US"/>
              </w:rPr>
              <w:t xml:space="preserve"> </w:t>
            </w:r>
            <w:r w:rsidR="00DF60CD" w:rsidRPr="001B6D0A">
              <w:rPr>
                <w:b w:val="0"/>
                <w:sz w:val="24"/>
                <w:szCs w:val="24"/>
              </w:rPr>
              <w:t>Eiropas Parlamenta un Padomes 2012.gada 25.oktobra Direktīvas 2012/27/ES par energoefektivitāti, ar ko groza Direktīvas 2009/125/EK un 2010/30/ES un atceļ Direktīvas 2004/8/EK un 2006/32/EK</w:t>
            </w:r>
            <w:r w:rsidRPr="001B6D0A">
              <w:rPr>
                <w:b w:val="0"/>
                <w:sz w:val="24"/>
                <w:szCs w:val="24"/>
              </w:rPr>
              <w:t xml:space="preserve"> </w:t>
            </w:r>
            <w:r w:rsidR="00DF60CD" w:rsidRPr="001B6D0A">
              <w:rPr>
                <w:b w:val="0"/>
                <w:sz w:val="24"/>
                <w:szCs w:val="24"/>
              </w:rPr>
              <w:t xml:space="preserve">(turpmāk </w:t>
            </w:r>
            <w:r w:rsidR="00734A89" w:rsidRPr="001B6D0A">
              <w:rPr>
                <w:b w:val="0"/>
                <w:sz w:val="24"/>
                <w:szCs w:val="24"/>
              </w:rPr>
              <w:t>–</w:t>
            </w:r>
            <w:r w:rsidR="00DF60CD" w:rsidRPr="001B6D0A">
              <w:rPr>
                <w:b w:val="0"/>
                <w:sz w:val="24"/>
                <w:szCs w:val="24"/>
              </w:rPr>
              <w:t xml:space="preserve"> </w:t>
            </w:r>
            <w:r w:rsidRPr="001B6D0A">
              <w:rPr>
                <w:b w:val="0"/>
                <w:sz w:val="24"/>
                <w:szCs w:val="24"/>
              </w:rPr>
              <w:t>Direktīva</w:t>
            </w:r>
            <w:r w:rsidR="002B261D" w:rsidRPr="001B6D0A">
              <w:rPr>
                <w:b w:val="0"/>
                <w:sz w:val="24"/>
                <w:szCs w:val="24"/>
              </w:rPr>
              <w:t xml:space="preserve"> </w:t>
            </w:r>
            <w:r w:rsidRPr="001B6D0A">
              <w:rPr>
                <w:b w:val="0"/>
                <w:sz w:val="24"/>
                <w:szCs w:val="24"/>
              </w:rPr>
              <w:t>2012/27/ES</w:t>
            </w:r>
            <w:r w:rsidR="00E82377" w:rsidRPr="001B6D0A">
              <w:rPr>
                <w:b w:val="0"/>
                <w:sz w:val="24"/>
                <w:szCs w:val="24"/>
              </w:rPr>
              <w:t>)</w:t>
            </w:r>
            <w:r w:rsidRPr="001B6D0A">
              <w:rPr>
                <w:b w:val="0"/>
                <w:sz w:val="24"/>
                <w:szCs w:val="24"/>
              </w:rPr>
              <w:t xml:space="preserve"> 8.panta 4.punktā noteiktajam, </w:t>
            </w:r>
            <w:r w:rsidR="005B6174" w:rsidRPr="001B6D0A">
              <w:rPr>
                <w:b w:val="0"/>
                <w:sz w:val="24"/>
                <w:szCs w:val="24"/>
              </w:rPr>
              <w:t xml:space="preserve">Likumprojekta </w:t>
            </w:r>
            <w:r w:rsidR="00643BE5" w:rsidRPr="001B6D0A">
              <w:rPr>
                <w:b w:val="0"/>
                <w:sz w:val="24"/>
                <w:szCs w:val="24"/>
              </w:rPr>
              <w:t>3</w:t>
            </w:r>
            <w:r w:rsidR="005B6174" w:rsidRPr="001B6D0A">
              <w:rPr>
                <w:b w:val="0"/>
                <w:sz w:val="24"/>
                <w:szCs w:val="24"/>
              </w:rPr>
              <w:t>.pant</w:t>
            </w:r>
            <w:r w:rsidRPr="001B6D0A">
              <w:rPr>
                <w:b w:val="0"/>
                <w:sz w:val="24"/>
                <w:szCs w:val="24"/>
              </w:rPr>
              <w:t>ā</w:t>
            </w:r>
            <w:r w:rsidR="005B6174" w:rsidRPr="001B6D0A">
              <w:rPr>
                <w:b w:val="0"/>
                <w:sz w:val="24"/>
                <w:szCs w:val="24"/>
              </w:rPr>
              <w:t xml:space="preserve"> iekļauta norma aizstāt </w:t>
            </w:r>
            <w:r w:rsidR="00B6744D" w:rsidRPr="001B6D0A">
              <w:rPr>
                <w:b w:val="0"/>
                <w:sz w:val="24"/>
                <w:szCs w:val="24"/>
              </w:rPr>
              <w:t>L</w:t>
            </w:r>
            <w:r w:rsidRPr="001B6D0A">
              <w:rPr>
                <w:b w:val="0"/>
                <w:sz w:val="24"/>
                <w:szCs w:val="24"/>
              </w:rPr>
              <w:t xml:space="preserve">ikuma </w:t>
            </w:r>
            <w:r w:rsidR="005B6174" w:rsidRPr="001B6D0A">
              <w:rPr>
                <w:b w:val="0"/>
                <w:sz w:val="24"/>
                <w:szCs w:val="24"/>
              </w:rPr>
              <w:t>10.panta piektajā daļā vārdus “reizi četros gados” ar vārdiem</w:t>
            </w:r>
            <w:r w:rsidR="00734A89" w:rsidRPr="001B6D0A">
              <w:rPr>
                <w:b w:val="0"/>
                <w:sz w:val="24"/>
                <w:szCs w:val="24"/>
              </w:rPr>
              <w:t xml:space="preserve"> </w:t>
            </w:r>
            <w:r w:rsidR="005B6174" w:rsidRPr="001B6D0A">
              <w:rPr>
                <w:b w:val="0"/>
                <w:sz w:val="24"/>
                <w:szCs w:val="24"/>
              </w:rPr>
              <w:t xml:space="preserve">“četru gadu laikā pēc dienas, kad apstiprināts iepriekšējais uzņēmuma </w:t>
            </w:r>
            <w:proofErr w:type="spellStart"/>
            <w:r w:rsidR="005B6174" w:rsidRPr="001B6D0A">
              <w:rPr>
                <w:b w:val="0"/>
                <w:sz w:val="24"/>
                <w:szCs w:val="24"/>
              </w:rPr>
              <w:t>energoaudita</w:t>
            </w:r>
            <w:proofErr w:type="spellEnd"/>
            <w:r w:rsidR="005B6174" w:rsidRPr="001B6D0A">
              <w:rPr>
                <w:b w:val="0"/>
                <w:sz w:val="24"/>
                <w:szCs w:val="24"/>
              </w:rPr>
              <w:t xml:space="preserve"> pārskats.”</w:t>
            </w:r>
          </w:p>
          <w:p w14:paraId="1AED7F58" w14:textId="2338457E" w:rsidR="00014049" w:rsidRPr="001B6D0A" w:rsidRDefault="00014049" w:rsidP="001B6D0A">
            <w:pPr>
              <w:pStyle w:val="Heading3"/>
              <w:shd w:val="clear" w:color="auto" w:fill="FFFFFF"/>
              <w:spacing w:before="0" w:beforeAutospacing="0" w:after="0" w:afterAutospacing="0"/>
              <w:ind w:firstLine="217"/>
              <w:contextualSpacing/>
              <w:jc w:val="both"/>
              <w:rPr>
                <w:b w:val="0"/>
                <w:sz w:val="24"/>
                <w:szCs w:val="24"/>
              </w:rPr>
            </w:pPr>
            <w:bookmarkStart w:id="3" w:name="_Hlk12537301"/>
          </w:p>
          <w:bookmarkEnd w:id="3"/>
          <w:p w14:paraId="229D2380" w14:textId="6E27D6DF" w:rsidR="00FD667C" w:rsidRPr="001B6D0A" w:rsidRDefault="00C11912" w:rsidP="001B6D0A">
            <w:pPr>
              <w:widowControl w:val="0"/>
              <w:spacing w:after="0" w:line="240" w:lineRule="auto"/>
              <w:ind w:firstLine="217"/>
              <w:contextualSpacing/>
              <w:jc w:val="both"/>
              <w:rPr>
                <w:rFonts w:ascii="Times New Roman" w:hAnsi="Times New Roman" w:cs="Times New Roman"/>
                <w:sz w:val="24"/>
                <w:szCs w:val="24"/>
              </w:rPr>
            </w:pPr>
            <w:r w:rsidRPr="001B6D0A">
              <w:rPr>
                <w:rFonts w:ascii="Times New Roman" w:hAnsi="Times New Roman" w:cs="Times New Roman"/>
                <w:sz w:val="24"/>
                <w:szCs w:val="24"/>
              </w:rPr>
              <w:t>Kopumā 7</w:t>
            </w:r>
            <w:r w:rsidR="00B330CB" w:rsidRPr="001B6D0A">
              <w:rPr>
                <w:rFonts w:ascii="Times New Roman" w:hAnsi="Times New Roman" w:cs="Times New Roman"/>
                <w:sz w:val="24"/>
                <w:szCs w:val="24"/>
              </w:rPr>
              <w:t>91</w:t>
            </w:r>
            <w:r w:rsidRPr="001B6D0A">
              <w:rPr>
                <w:rFonts w:ascii="Times New Roman" w:hAnsi="Times New Roman" w:cs="Times New Roman"/>
                <w:sz w:val="24"/>
                <w:szCs w:val="24"/>
              </w:rPr>
              <w:t xml:space="preserve"> l</w:t>
            </w:r>
            <w:r w:rsidR="00E14938" w:rsidRPr="001B6D0A">
              <w:rPr>
                <w:rFonts w:ascii="Times New Roman" w:hAnsi="Times New Roman" w:cs="Times New Roman"/>
                <w:sz w:val="24"/>
                <w:szCs w:val="24"/>
              </w:rPr>
              <w:t>ielie uzņēmumi</w:t>
            </w:r>
            <w:r w:rsidRPr="001B6D0A">
              <w:rPr>
                <w:rFonts w:ascii="Times New Roman" w:hAnsi="Times New Roman" w:cs="Times New Roman"/>
                <w:sz w:val="24"/>
                <w:szCs w:val="24"/>
              </w:rPr>
              <w:t xml:space="preserve"> </w:t>
            </w:r>
            <w:r w:rsidR="00E14938" w:rsidRPr="001B6D0A">
              <w:rPr>
                <w:rFonts w:ascii="Times New Roman" w:hAnsi="Times New Roman" w:cs="Times New Roman"/>
                <w:sz w:val="24"/>
                <w:szCs w:val="24"/>
              </w:rPr>
              <w:t>un lielie elektroenerģijas patērētāji</w:t>
            </w:r>
            <w:r w:rsidRPr="001B6D0A">
              <w:rPr>
                <w:rFonts w:ascii="Times New Roman" w:hAnsi="Times New Roman" w:cs="Times New Roman"/>
                <w:sz w:val="24"/>
                <w:szCs w:val="24"/>
              </w:rPr>
              <w:t xml:space="preserve"> </w:t>
            </w:r>
            <w:r w:rsidR="00E14938" w:rsidRPr="001B6D0A">
              <w:rPr>
                <w:rFonts w:ascii="Times New Roman" w:hAnsi="Times New Roman" w:cs="Times New Roman"/>
                <w:sz w:val="24"/>
                <w:szCs w:val="24"/>
              </w:rPr>
              <w:t xml:space="preserve">ir iesnieguši </w:t>
            </w:r>
            <w:r w:rsidR="00AE02BC" w:rsidRPr="001B6D0A">
              <w:rPr>
                <w:rFonts w:ascii="Times New Roman" w:hAnsi="Times New Roman" w:cs="Times New Roman"/>
                <w:sz w:val="24"/>
                <w:szCs w:val="24"/>
              </w:rPr>
              <w:t>E</w:t>
            </w:r>
            <w:r w:rsidR="00F332DF" w:rsidRPr="001B6D0A">
              <w:rPr>
                <w:rFonts w:ascii="Times New Roman" w:hAnsi="Times New Roman" w:cs="Times New Roman"/>
                <w:sz w:val="24"/>
                <w:szCs w:val="24"/>
              </w:rPr>
              <w:t>M</w:t>
            </w:r>
            <w:r w:rsidR="00E14938" w:rsidRPr="001B6D0A">
              <w:rPr>
                <w:rFonts w:ascii="Times New Roman" w:hAnsi="Times New Roman" w:cs="Times New Roman"/>
                <w:sz w:val="24"/>
                <w:szCs w:val="24"/>
              </w:rPr>
              <w:t xml:space="preserve"> pirmos obligātos </w:t>
            </w:r>
            <w:proofErr w:type="spellStart"/>
            <w:r w:rsidR="00E14938" w:rsidRPr="001B6D0A">
              <w:rPr>
                <w:rFonts w:ascii="Times New Roman" w:hAnsi="Times New Roman" w:cs="Times New Roman"/>
                <w:sz w:val="24"/>
                <w:szCs w:val="24"/>
              </w:rPr>
              <w:t>energoauditus</w:t>
            </w:r>
            <w:proofErr w:type="spellEnd"/>
            <w:r w:rsidR="00E14938" w:rsidRPr="001B6D0A">
              <w:rPr>
                <w:rFonts w:ascii="Times New Roman" w:hAnsi="Times New Roman" w:cs="Times New Roman"/>
                <w:sz w:val="24"/>
                <w:szCs w:val="24"/>
              </w:rPr>
              <w:t xml:space="preserve"> vai ziņojuši par sertificētas </w:t>
            </w:r>
            <w:proofErr w:type="spellStart"/>
            <w:r w:rsidR="00FD667C" w:rsidRPr="001B6D0A">
              <w:rPr>
                <w:rFonts w:ascii="Times New Roman" w:hAnsi="Times New Roman" w:cs="Times New Roman"/>
                <w:sz w:val="24"/>
                <w:szCs w:val="24"/>
              </w:rPr>
              <w:t>energopārvaldības</w:t>
            </w:r>
            <w:proofErr w:type="spellEnd"/>
            <w:r w:rsidR="00FD667C" w:rsidRPr="001B6D0A">
              <w:rPr>
                <w:rFonts w:ascii="Times New Roman" w:hAnsi="Times New Roman" w:cs="Times New Roman"/>
                <w:sz w:val="24"/>
                <w:szCs w:val="24"/>
              </w:rPr>
              <w:t xml:space="preserve"> sistēmas ieviešanu. Vairākos gadījumos uzņēmumu </w:t>
            </w:r>
            <w:proofErr w:type="spellStart"/>
            <w:r w:rsidR="00FD667C" w:rsidRPr="001B6D0A">
              <w:rPr>
                <w:rFonts w:ascii="Times New Roman" w:hAnsi="Times New Roman" w:cs="Times New Roman"/>
                <w:sz w:val="24"/>
                <w:szCs w:val="24"/>
              </w:rPr>
              <w:t>energoauditori</w:t>
            </w:r>
            <w:proofErr w:type="spellEnd"/>
            <w:r w:rsidR="00FD667C" w:rsidRPr="001B6D0A">
              <w:rPr>
                <w:rFonts w:ascii="Times New Roman" w:hAnsi="Times New Roman" w:cs="Times New Roman"/>
                <w:sz w:val="24"/>
                <w:szCs w:val="24"/>
              </w:rPr>
              <w:t xml:space="preserve"> ir norādījuši, ka objektīvu apstākļu dēļ (piemēram, nesen veikta ražošanas ēkas renovācija vai nomainītas enerģiju patērējošas ražošanas iekārtas vai to daļas, nomainīts uzņēmuma autoparks) </w:t>
            </w:r>
            <w:proofErr w:type="spellStart"/>
            <w:r w:rsidR="00FD667C" w:rsidRPr="001B6D0A">
              <w:rPr>
                <w:rFonts w:ascii="Times New Roman" w:hAnsi="Times New Roman" w:cs="Times New Roman"/>
                <w:sz w:val="24"/>
                <w:szCs w:val="24"/>
              </w:rPr>
              <w:t>energoaudita</w:t>
            </w:r>
            <w:proofErr w:type="spellEnd"/>
            <w:r w:rsidR="00FD667C" w:rsidRPr="001B6D0A">
              <w:rPr>
                <w:rFonts w:ascii="Times New Roman" w:hAnsi="Times New Roman" w:cs="Times New Roman"/>
                <w:sz w:val="24"/>
                <w:szCs w:val="24"/>
              </w:rPr>
              <w:t xml:space="preserve"> pārskatos ir iespējams identificēt tikai vienu vai divus energoefektivitātes uzlabošanas pasākumus ar ekonomisko atdevi vai lielu novērtēto enerģijas ietaupījumu. Lai ņemtu vērā esošo situāciju</w:t>
            </w:r>
            <w:r w:rsidR="0035453D" w:rsidRPr="001B6D0A">
              <w:rPr>
                <w:rFonts w:ascii="Times New Roman" w:hAnsi="Times New Roman" w:cs="Times New Roman"/>
                <w:sz w:val="24"/>
                <w:szCs w:val="24"/>
              </w:rPr>
              <w:t>,</w:t>
            </w:r>
            <w:r w:rsidR="00FD667C" w:rsidRPr="001B6D0A">
              <w:rPr>
                <w:rFonts w:ascii="Times New Roman" w:hAnsi="Times New Roman" w:cs="Times New Roman"/>
                <w:sz w:val="24"/>
                <w:szCs w:val="24"/>
              </w:rPr>
              <w:t xml:space="preserve"> Likumprojekt</w:t>
            </w:r>
            <w:r w:rsidR="00192DD9" w:rsidRPr="001B6D0A">
              <w:rPr>
                <w:rFonts w:ascii="Times New Roman" w:hAnsi="Times New Roman" w:cs="Times New Roman"/>
                <w:sz w:val="24"/>
                <w:szCs w:val="24"/>
              </w:rPr>
              <w:t>a</w:t>
            </w:r>
            <w:r w:rsidR="00E4148D" w:rsidRPr="001B6D0A">
              <w:rPr>
                <w:rFonts w:ascii="Times New Roman" w:hAnsi="Times New Roman" w:cs="Times New Roman"/>
                <w:sz w:val="24"/>
                <w:szCs w:val="24"/>
              </w:rPr>
              <w:t xml:space="preserve"> 3. un 4.pantā</w:t>
            </w:r>
            <w:r w:rsidR="00F53CBF" w:rsidRPr="001B6D0A">
              <w:rPr>
                <w:rFonts w:ascii="Times New Roman" w:hAnsi="Times New Roman" w:cs="Times New Roman"/>
                <w:sz w:val="24"/>
                <w:szCs w:val="24"/>
              </w:rPr>
              <w:t xml:space="preserve"> </w:t>
            </w:r>
            <w:r w:rsidR="00FD667C" w:rsidRPr="001B6D0A">
              <w:rPr>
                <w:rFonts w:ascii="Times New Roman" w:hAnsi="Times New Roman" w:cs="Times New Roman"/>
                <w:sz w:val="24"/>
                <w:szCs w:val="24"/>
              </w:rPr>
              <w:t xml:space="preserve">ir iekļauta norma, kas nosaka, ka minētajā gadījumā </w:t>
            </w:r>
            <w:r w:rsidR="00E4148D" w:rsidRPr="001B6D0A">
              <w:rPr>
                <w:rFonts w:ascii="Times New Roman" w:hAnsi="Times New Roman" w:cs="Times New Roman"/>
                <w:sz w:val="24"/>
                <w:szCs w:val="24"/>
              </w:rPr>
              <w:t>lielajam uzņēmumam vai lielajam elektroenerģijas patērētājam</w:t>
            </w:r>
            <w:r w:rsidR="00FD667C" w:rsidRPr="001B6D0A">
              <w:rPr>
                <w:rFonts w:ascii="Times New Roman" w:hAnsi="Times New Roman" w:cs="Times New Roman"/>
                <w:sz w:val="24"/>
                <w:szCs w:val="24"/>
              </w:rPr>
              <w:t xml:space="preserve"> ir jāievieš visus</w:t>
            </w:r>
            <w:r w:rsidR="0035453D" w:rsidRPr="001B6D0A">
              <w:rPr>
                <w:rFonts w:ascii="Times New Roman" w:hAnsi="Times New Roman" w:cs="Times New Roman"/>
                <w:sz w:val="24"/>
                <w:szCs w:val="24"/>
              </w:rPr>
              <w:t xml:space="preserve"> uzņēmumu </w:t>
            </w:r>
            <w:proofErr w:type="spellStart"/>
            <w:r w:rsidR="0035453D" w:rsidRPr="001B6D0A">
              <w:rPr>
                <w:rFonts w:ascii="Times New Roman" w:hAnsi="Times New Roman" w:cs="Times New Roman"/>
                <w:sz w:val="24"/>
                <w:szCs w:val="24"/>
              </w:rPr>
              <w:t>energoauditora</w:t>
            </w:r>
            <w:proofErr w:type="spellEnd"/>
            <w:r w:rsidR="00FD667C" w:rsidRPr="001B6D0A">
              <w:rPr>
                <w:rFonts w:ascii="Times New Roman" w:hAnsi="Times New Roman" w:cs="Times New Roman"/>
                <w:sz w:val="24"/>
                <w:szCs w:val="24"/>
              </w:rPr>
              <w:t xml:space="preserve"> ieteiktos energoefektivitātes uzlabošanas pasākumus.</w:t>
            </w:r>
          </w:p>
          <w:p w14:paraId="0167AFC2" w14:textId="48DA81AF" w:rsidR="0035453D" w:rsidRPr="001B6D0A" w:rsidRDefault="0035453D" w:rsidP="001B6D0A">
            <w:pPr>
              <w:widowControl w:val="0"/>
              <w:spacing w:after="0" w:line="240" w:lineRule="auto"/>
              <w:ind w:firstLine="217"/>
              <w:contextualSpacing/>
              <w:jc w:val="both"/>
              <w:rPr>
                <w:rFonts w:ascii="Times New Roman" w:hAnsi="Times New Roman" w:cs="Times New Roman"/>
                <w:sz w:val="24"/>
                <w:szCs w:val="24"/>
              </w:rPr>
            </w:pPr>
            <w:r w:rsidRPr="001B6D0A">
              <w:rPr>
                <w:rFonts w:ascii="Times New Roman" w:hAnsi="Times New Roman" w:cs="Times New Roman"/>
                <w:sz w:val="24"/>
                <w:szCs w:val="24"/>
              </w:rPr>
              <w:t xml:space="preserve">Saistībā ar obligāto </w:t>
            </w:r>
            <w:proofErr w:type="spellStart"/>
            <w:r w:rsidRPr="001B6D0A">
              <w:rPr>
                <w:rFonts w:ascii="Times New Roman" w:hAnsi="Times New Roman" w:cs="Times New Roman"/>
                <w:sz w:val="24"/>
                <w:szCs w:val="24"/>
              </w:rPr>
              <w:t>energoauditu</w:t>
            </w:r>
            <w:proofErr w:type="spellEnd"/>
            <w:r w:rsidRPr="001B6D0A">
              <w:rPr>
                <w:rFonts w:ascii="Times New Roman" w:hAnsi="Times New Roman" w:cs="Times New Roman"/>
                <w:sz w:val="24"/>
                <w:szCs w:val="24"/>
              </w:rPr>
              <w:t xml:space="preserve"> veikšanas pienākumu, E</w:t>
            </w:r>
            <w:r w:rsidR="0087794D" w:rsidRPr="001B6D0A">
              <w:rPr>
                <w:rFonts w:ascii="Times New Roman" w:hAnsi="Times New Roman" w:cs="Times New Roman"/>
                <w:sz w:val="24"/>
                <w:szCs w:val="24"/>
              </w:rPr>
              <w:t>M</w:t>
            </w:r>
            <w:r w:rsidRPr="001B6D0A">
              <w:rPr>
                <w:rFonts w:ascii="Times New Roman" w:hAnsi="Times New Roman" w:cs="Times New Roman"/>
                <w:sz w:val="24"/>
                <w:szCs w:val="24"/>
              </w:rPr>
              <w:t xml:space="preserve"> ir saņēmusi jautājumus </w:t>
            </w:r>
            <w:r w:rsidR="00FB02E1" w:rsidRPr="001B6D0A">
              <w:rPr>
                <w:rFonts w:ascii="Times New Roman" w:hAnsi="Times New Roman" w:cs="Times New Roman"/>
                <w:sz w:val="24"/>
                <w:szCs w:val="24"/>
              </w:rPr>
              <w:t>gan no lielajiem uzņēmumiem, gan lielajiem elektroenerģijas patērētājiem</w:t>
            </w:r>
            <w:r w:rsidRPr="001B6D0A">
              <w:rPr>
                <w:rFonts w:ascii="Times New Roman" w:hAnsi="Times New Roman" w:cs="Times New Roman"/>
                <w:sz w:val="24"/>
                <w:szCs w:val="24"/>
              </w:rPr>
              <w:t xml:space="preserve">, kuri plāno vai jau ir uzsākuši ražošanas vai pakalpojumu sniegšanas ēku rekonstrukciju vai veco ēku nojaukšanu un jaunu būvēšanu. Šajos gadījumos veikt </w:t>
            </w:r>
            <w:proofErr w:type="spellStart"/>
            <w:r w:rsidRPr="001B6D0A">
              <w:rPr>
                <w:rFonts w:ascii="Times New Roman" w:hAnsi="Times New Roman" w:cs="Times New Roman"/>
                <w:sz w:val="24"/>
                <w:szCs w:val="24"/>
              </w:rPr>
              <w:t>energoauditu</w:t>
            </w:r>
            <w:proofErr w:type="spellEnd"/>
            <w:r w:rsidRPr="001B6D0A">
              <w:rPr>
                <w:rFonts w:ascii="Times New Roman" w:hAnsi="Times New Roman" w:cs="Times New Roman"/>
                <w:sz w:val="24"/>
                <w:szCs w:val="24"/>
              </w:rPr>
              <w:t xml:space="preserve"> rekonstruējamā vai nojaucamā ēkā ir nepamatoti. </w:t>
            </w:r>
            <w:r w:rsidR="000317A7" w:rsidRPr="001B6D0A">
              <w:rPr>
                <w:rFonts w:ascii="Times New Roman" w:hAnsi="Times New Roman" w:cs="Times New Roman"/>
                <w:sz w:val="24"/>
                <w:szCs w:val="24"/>
              </w:rPr>
              <w:t xml:space="preserve">Ar </w:t>
            </w:r>
            <w:r w:rsidRPr="001B6D0A">
              <w:rPr>
                <w:rFonts w:ascii="Times New Roman" w:hAnsi="Times New Roman" w:cs="Times New Roman"/>
                <w:sz w:val="24"/>
                <w:szCs w:val="24"/>
              </w:rPr>
              <w:t>Likumprojekt</w:t>
            </w:r>
            <w:r w:rsidR="00B52F99" w:rsidRPr="001B6D0A">
              <w:rPr>
                <w:rFonts w:ascii="Times New Roman" w:hAnsi="Times New Roman" w:cs="Times New Roman"/>
                <w:sz w:val="24"/>
                <w:szCs w:val="24"/>
              </w:rPr>
              <w:t>a</w:t>
            </w:r>
            <w:r w:rsidR="00192DD9" w:rsidRPr="001B6D0A">
              <w:rPr>
                <w:rFonts w:ascii="Times New Roman" w:hAnsi="Times New Roman" w:cs="Times New Roman"/>
                <w:sz w:val="24"/>
                <w:szCs w:val="24"/>
              </w:rPr>
              <w:t xml:space="preserve"> </w:t>
            </w:r>
            <w:r w:rsidR="00267D4C" w:rsidRPr="001B6D0A">
              <w:rPr>
                <w:rFonts w:ascii="Times New Roman" w:hAnsi="Times New Roman" w:cs="Times New Roman"/>
                <w:sz w:val="24"/>
                <w:szCs w:val="24"/>
              </w:rPr>
              <w:t>3</w:t>
            </w:r>
            <w:r w:rsidR="00192DD9" w:rsidRPr="001B6D0A">
              <w:rPr>
                <w:rFonts w:ascii="Times New Roman" w:hAnsi="Times New Roman" w:cs="Times New Roman"/>
                <w:sz w:val="24"/>
                <w:szCs w:val="24"/>
              </w:rPr>
              <w:t>. un</w:t>
            </w:r>
            <w:r w:rsidR="00B52F99" w:rsidRPr="001B6D0A">
              <w:rPr>
                <w:rFonts w:ascii="Times New Roman" w:hAnsi="Times New Roman" w:cs="Times New Roman"/>
                <w:sz w:val="24"/>
                <w:szCs w:val="24"/>
              </w:rPr>
              <w:t xml:space="preserve"> </w:t>
            </w:r>
            <w:r w:rsidR="00267D4C" w:rsidRPr="001B6D0A">
              <w:rPr>
                <w:rFonts w:ascii="Times New Roman" w:hAnsi="Times New Roman" w:cs="Times New Roman"/>
                <w:sz w:val="24"/>
                <w:szCs w:val="24"/>
              </w:rPr>
              <w:t>4</w:t>
            </w:r>
            <w:r w:rsidR="00B52F99" w:rsidRPr="001B6D0A">
              <w:rPr>
                <w:rFonts w:ascii="Times New Roman" w:hAnsi="Times New Roman" w:cs="Times New Roman"/>
                <w:sz w:val="24"/>
                <w:szCs w:val="24"/>
              </w:rPr>
              <w:t>.pan</w:t>
            </w:r>
            <w:r w:rsidR="00AB3EB4" w:rsidRPr="001B6D0A">
              <w:rPr>
                <w:rFonts w:ascii="Times New Roman" w:hAnsi="Times New Roman" w:cs="Times New Roman"/>
                <w:sz w:val="24"/>
                <w:szCs w:val="24"/>
              </w:rPr>
              <w:t>t</w:t>
            </w:r>
            <w:r w:rsidR="005877AC" w:rsidRPr="001B6D0A">
              <w:rPr>
                <w:rFonts w:ascii="Times New Roman" w:hAnsi="Times New Roman" w:cs="Times New Roman"/>
                <w:sz w:val="24"/>
                <w:szCs w:val="24"/>
              </w:rPr>
              <w:t>u</w:t>
            </w:r>
            <w:r w:rsidR="00F53CBF" w:rsidRPr="001B6D0A">
              <w:rPr>
                <w:rFonts w:ascii="Times New Roman" w:hAnsi="Times New Roman" w:cs="Times New Roman"/>
                <w:sz w:val="24"/>
                <w:szCs w:val="24"/>
              </w:rPr>
              <w:t xml:space="preserve"> </w:t>
            </w:r>
            <w:r w:rsidRPr="001B6D0A">
              <w:rPr>
                <w:rFonts w:ascii="Times New Roman" w:hAnsi="Times New Roman" w:cs="Times New Roman"/>
                <w:sz w:val="24"/>
                <w:szCs w:val="24"/>
              </w:rPr>
              <w:t xml:space="preserve">ir </w:t>
            </w:r>
            <w:r w:rsidR="000317A7" w:rsidRPr="001B6D0A">
              <w:rPr>
                <w:rFonts w:ascii="Times New Roman" w:hAnsi="Times New Roman" w:cs="Times New Roman"/>
                <w:sz w:val="24"/>
                <w:szCs w:val="24"/>
              </w:rPr>
              <w:t xml:space="preserve">paredzēts </w:t>
            </w:r>
            <w:r w:rsidR="00034F9A" w:rsidRPr="001B6D0A">
              <w:rPr>
                <w:rFonts w:ascii="Times New Roman" w:hAnsi="Times New Roman" w:cs="Times New Roman"/>
                <w:sz w:val="24"/>
                <w:szCs w:val="24"/>
              </w:rPr>
              <w:t xml:space="preserve">papildināt Likuma </w:t>
            </w:r>
            <w:r w:rsidR="00192DD9" w:rsidRPr="001B6D0A">
              <w:rPr>
                <w:rFonts w:ascii="Times New Roman" w:hAnsi="Times New Roman" w:cs="Times New Roman"/>
                <w:sz w:val="24"/>
                <w:szCs w:val="24"/>
              </w:rPr>
              <w:t>10.pant</w:t>
            </w:r>
            <w:r w:rsidR="00C749E3" w:rsidRPr="001B6D0A">
              <w:rPr>
                <w:rFonts w:ascii="Times New Roman" w:hAnsi="Times New Roman" w:cs="Times New Roman"/>
                <w:sz w:val="24"/>
                <w:szCs w:val="24"/>
              </w:rPr>
              <w:t xml:space="preserve">u </w:t>
            </w:r>
            <w:r w:rsidR="000317A7" w:rsidRPr="001B6D0A">
              <w:rPr>
                <w:rFonts w:ascii="Times New Roman" w:hAnsi="Times New Roman" w:cs="Times New Roman"/>
                <w:sz w:val="24"/>
                <w:szCs w:val="24"/>
              </w:rPr>
              <w:t xml:space="preserve">ar </w:t>
            </w:r>
            <w:r w:rsidR="00291E03" w:rsidRPr="001B6D0A">
              <w:rPr>
                <w:rFonts w:ascii="Times New Roman" w:hAnsi="Times New Roman" w:cs="Times New Roman"/>
                <w:sz w:val="24"/>
                <w:szCs w:val="24"/>
              </w:rPr>
              <w:t>desmito</w:t>
            </w:r>
            <w:r w:rsidR="000317A7" w:rsidRPr="001B6D0A">
              <w:rPr>
                <w:rFonts w:ascii="Times New Roman" w:hAnsi="Times New Roman" w:cs="Times New Roman"/>
                <w:sz w:val="24"/>
                <w:szCs w:val="24"/>
              </w:rPr>
              <w:t xml:space="preserve"> un </w:t>
            </w:r>
            <w:r w:rsidR="00291E03" w:rsidRPr="001B6D0A">
              <w:rPr>
                <w:rFonts w:ascii="Times New Roman" w:hAnsi="Times New Roman" w:cs="Times New Roman"/>
                <w:sz w:val="24"/>
                <w:szCs w:val="24"/>
              </w:rPr>
              <w:t>vienpadsmito</w:t>
            </w:r>
            <w:r w:rsidR="000317A7" w:rsidRPr="001B6D0A">
              <w:rPr>
                <w:rFonts w:ascii="Times New Roman" w:hAnsi="Times New Roman" w:cs="Times New Roman"/>
                <w:sz w:val="24"/>
                <w:szCs w:val="24"/>
              </w:rPr>
              <w:t xml:space="preserve"> daļu, </w:t>
            </w:r>
            <w:r w:rsidR="000317A7" w:rsidRPr="001B6D0A">
              <w:rPr>
                <w:rFonts w:ascii="Times New Roman" w:hAnsi="Times New Roman" w:cs="Times New Roman"/>
                <w:sz w:val="24"/>
                <w:szCs w:val="24"/>
              </w:rPr>
              <w:lastRenderedPageBreak/>
              <w:t xml:space="preserve">bet </w:t>
            </w:r>
            <w:r w:rsidR="00034F9A" w:rsidRPr="001B6D0A">
              <w:rPr>
                <w:rFonts w:ascii="Times New Roman" w:hAnsi="Times New Roman" w:cs="Times New Roman"/>
                <w:sz w:val="24"/>
                <w:szCs w:val="24"/>
              </w:rPr>
              <w:t>12.pantu</w:t>
            </w:r>
            <w:r w:rsidR="000317A7" w:rsidRPr="001B6D0A">
              <w:rPr>
                <w:rFonts w:ascii="Times New Roman" w:hAnsi="Times New Roman" w:cs="Times New Roman"/>
                <w:sz w:val="24"/>
                <w:szCs w:val="24"/>
              </w:rPr>
              <w:t xml:space="preserve"> – ar </w:t>
            </w:r>
            <w:r w:rsidR="00034F9A" w:rsidRPr="001B6D0A">
              <w:rPr>
                <w:rFonts w:ascii="Times New Roman" w:hAnsi="Times New Roman" w:cs="Times New Roman"/>
                <w:sz w:val="24"/>
                <w:szCs w:val="24"/>
              </w:rPr>
              <w:t>6.</w:t>
            </w:r>
            <w:r w:rsidR="00034F9A" w:rsidRPr="001B6D0A">
              <w:rPr>
                <w:rFonts w:ascii="Times New Roman" w:hAnsi="Times New Roman" w:cs="Times New Roman"/>
                <w:sz w:val="24"/>
                <w:szCs w:val="24"/>
                <w:vertAlign w:val="superscript"/>
              </w:rPr>
              <w:t>1</w:t>
            </w:r>
            <w:r w:rsidR="00034F9A" w:rsidRPr="001B6D0A">
              <w:rPr>
                <w:rFonts w:ascii="Times New Roman" w:hAnsi="Times New Roman" w:cs="Times New Roman"/>
                <w:sz w:val="24"/>
                <w:szCs w:val="24"/>
              </w:rPr>
              <w:t xml:space="preserve"> un 6.</w:t>
            </w:r>
            <w:r w:rsidR="00034F9A" w:rsidRPr="001B6D0A">
              <w:rPr>
                <w:rFonts w:ascii="Times New Roman" w:hAnsi="Times New Roman" w:cs="Times New Roman"/>
                <w:sz w:val="24"/>
                <w:szCs w:val="24"/>
                <w:vertAlign w:val="superscript"/>
              </w:rPr>
              <w:t>2</w:t>
            </w:r>
            <w:r w:rsidR="009553CD" w:rsidRPr="001B6D0A">
              <w:rPr>
                <w:rFonts w:ascii="Times New Roman" w:hAnsi="Times New Roman" w:cs="Times New Roman"/>
                <w:sz w:val="24"/>
                <w:szCs w:val="24"/>
                <w:vertAlign w:val="superscript"/>
              </w:rPr>
              <w:t xml:space="preserve"> </w:t>
            </w:r>
            <w:r w:rsidR="00034F9A" w:rsidRPr="001B6D0A">
              <w:rPr>
                <w:rFonts w:ascii="Times New Roman" w:hAnsi="Times New Roman" w:cs="Times New Roman"/>
                <w:sz w:val="24"/>
                <w:szCs w:val="24"/>
              </w:rPr>
              <w:t>daļu, kas</w:t>
            </w:r>
            <w:r w:rsidR="00F53CBF" w:rsidRPr="001B6D0A">
              <w:rPr>
                <w:rFonts w:ascii="Times New Roman" w:hAnsi="Times New Roman" w:cs="Times New Roman"/>
                <w:sz w:val="24"/>
                <w:szCs w:val="24"/>
              </w:rPr>
              <w:t xml:space="preserve"> </w:t>
            </w:r>
            <w:r w:rsidR="00034F9A" w:rsidRPr="001B6D0A">
              <w:rPr>
                <w:rFonts w:ascii="Times New Roman" w:hAnsi="Times New Roman" w:cs="Times New Roman"/>
                <w:sz w:val="24"/>
                <w:szCs w:val="24"/>
              </w:rPr>
              <w:t>nosaka,</w:t>
            </w:r>
            <w:r w:rsidRPr="001B6D0A">
              <w:rPr>
                <w:rFonts w:ascii="Times New Roman" w:hAnsi="Times New Roman" w:cs="Times New Roman"/>
                <w:sz w:val="24"/>
                <w:szCs w:val="24"/>
              </w:rPr>
              <w:t xml:space="preserve"> kā, ņemot vērā normatīvo aktu prasības ēku energoefektivitātes aprēķina metodes un ēku </w:t>
            </w:r>
            <w:proofErr w:type="spellStart"/>
            <w:r w:rsidRPr="001B6D0A">
              <w:rPr>
                <w:rFonts w:ascii="Times New Roman" w:hAnsi="Times New Roman" w:cs="Times New Roman"/>
                <w:sz w:val="24"/>
                <w:szCs w:val="24"/>
              </w:rPr>
              <w:t>energosertifikācijas</w:t>
            </w:r>
            <w:proofErr w:type="spellEnd"/>
            <w:r w:rsidRPr="001B6D0A">
              <w:rPr>
                <w:rFonts w:ascii="Times New Roman" w:hAnsi="Times New Roman" w:cs="Times New Roman"/>
                <w:sz w:val="24"/>
                <w:szCs w:val="24"/>
              </w:rPr>
              <w:t xml:space="preserve"> jomā, uzņēmumam rīkoties minētajos gadījumos.</w:t>
            </w:r>
          </w:p>
          <w:p w14:paraId="3C1309B2" w14:textId="59947F7A" w:rsidR="00D70352" w:rsidRPr="001B6D0A" w:rsidRDefault="005877AC" w:rsidP="001B6D0A">
            <w:pPr>
              <w:widowControl w:val="0"/>
              <w:spacing w:after="0" w:line="240" w:lineRule="auto"/>
              <w:ind w:firstLine="217"/>
              <w:contextualSpacing/>
              <w:jc w:val="both"/>
              <w:rPr>
                <w:rFonts w:ascii="Times New Roman" w:hAnsi="Times New Roman" w:cs="Times New Roman"/>
                <w:sz w:val="24"/>
                <w:szCs w:val="24"/>
                <w:shd w:val="clear" w:color="auto" w:fill="FFFFFF"/>
              </w:rPr>
            </w:pPr>
            <w:r w:rsidRPr="001B6D0A">
              <w:rPr>
                <w:rFonts w:ascii="Times New Roman" w:hAnsi="Times New Roman" w:cs="Times New Roman"/>
                <w:sz w:val="24"/>
                <w:szCs w:val="24"/>
              </w:rPr>
              <w:t xml:space="preserve">Likumā nav noteikta iespēja atbildīgajai ministrijai pieņemt lēmumu par pienākumu lielajam uzņēmumam nodrošināt Likuma 10.panta piektās daļas prasību izpildi noteiktā termiņā. Ar Likumprojekta 3.pantu ir paredzēts papildināt Likuma 10.pantu ar </w:t>
            </w:r>
            <w:r w:rsidR="00291E03" w:rsidRPr="001B6D0A">
              <w:rPr>
                <w:rFonts w:ascii="Times New Roman" w:hAnsi="Times New Roman" w:cs="Times New Roman"/>
                <w:sz w:val="24"/>
                <w:szCs w:val="24"/>
              </w:rPr>
              <w:t>divpadsmito</w:t>
            </w:r>
            <w:r w:rsidRPr="001B6D0A">
              <w:rPr>
                <w:rFonts w:ascii="Times New Roman" w:hAnsi="Times New Roman" w:cs="Times New Roman"/>
                <w:sz w:val="24"/>
                <w:szCs w:val="24"/>
              </w:rPr>
              <w:t xml:space="preserve"> daļu, kas nosaka</w:t>
            </w:r>
            <w:r w:rsidR="00C75197" w:rsidRPr="001B6D0A">
              <w:rPr>
                <w:rFonts w:ascii="Times New Roman" w:hAnsi="Times New Roman" w:cs="Times New Roman"/>
                <w:sz w:val="24"/>
                <w:szCs w:val="24"/>
              </w:rPr>
              <w:t xml:space="preserve"> –</w:t>
            </w:r>
            <w:r w:rsidRPr="001B6D0A">
              <w:rPr>
                <w:rFonts w:ascii="Times New Roman" w:hAnsi="Times New Roman" w:cs="Times New Roman"/>
                <w:sz w:val="24"/>
                <w:szCs w:val="24"/>
              </w:rPr>
              <w:t xml:space="preserve"> j</w:t>
            </w:r>
            <w:r w:rsidRPr="001B6D0A">
              <w:rPr>
                <w:rFonts w:ascii="Times New Roman" w:hAnsi="Times New Roman" w:cs="Times New Roman"/>
                <w:sz w:val="24"/>
                <w:szCs w:val="24"/>
                <w:shd w:val="clear" w:color="auto" w:fill="FFFFFF"/>
              </w:rPr>
              <w:t>a</w:t>
            </w:r>
            <w:r w:rsidR="00C75197" w:rsidRPr="001B6D0A">
              <w:rPr>
                <w:rFonts w:ascii="Times New Roman" w:hAnsi="Times New Roman" w:cs="Times New Roman"/>
                <w:sz w:val="24"/>
                <w:szCs w:val="24"/>
                <w:shd w:val="clear" w:color="auto" w:fill="FFFFFF"/>
              </w:rPr>
              <w:t xml:space="preserve"> </w:t>
            </w:r>
            <w:r w:rsidRPr="001B6D0A">
              <w:rPr>
                <w:rFonts w:ascii="Times New Roman" w:hAnsi="Times New Roman" w:cs="Times New Roman"/>
                <w:sz w:val="24"/>
                <w:szCs w:val="24"/>
                <w:shd w:val="clear" w:color="auto" w:fill="FFFFFF"/>
              </w:rPr>
              <w:t xml:space="preserve">atbildīgā ministrija konstatē, ka lielais uzņēmums nav izpildījis </w:t>
            </w:r>
            <w:r w:rsidRPr="001B6D0A">
              <w:rPr>
                <w:rFonts w:ascii="Times New Roman" w:hAnsi="Times New Roman" w:cs="Times New Roman"/>
                <w:sz w:val="24"/>
                <w:szCs w:val="24"/>
              </w:rPr>
              <w:t>šā likuma 10.panta piektās daļas prasības, ministrija pieņem lēmumu par pienākumu atbildīgajai pusei noteiktā termiņā nodrošināt minēto likuma prasību izpildi. Gadījumos, kad l</w:t>
            </w:r>
            <w:r w:rsidRPr="001B6D0A">
              <w:rPr>
                <w:rFonts w:ascii="Times New Roman" w:hAnsi="Times New Roman" w:cs="Times New Roman"/>
                <w:sz w:val="24"/>
                <w:szCs w:val="24"/>
                <w:shd w:val="clear" w:color="auto" w:fill="FFFFFF"/>
              </w:rPr>
              <w:t xml:space="preserve">ielais uzņēmums nepilda 10.panta </w:t>
            </w:r>
            <w:r w:rsidR="00291E03" w:rsidRPr="001B6D0A">
              <w:rPr>
                <w:rFonts w:ascii="Times New Roman" w:hAnsi="Times New Roman" w:cs="Times New Roman"/>
                <w:sz w:val="24"/>
                <w:szCs w:val="24"/>
                <w:shd w:val="clear" w:color="auto" w:fill="FFFFFF"/>
              </w:rPr>
              <w:t>divpadsmitajā</w:t>
            </w:r>
            <w:r w:rsidRPr="001B6D0A">
              <w:rPr>
                <w:rFonts w:ascii="Times New Roman" w:hAnsi="Times New Roman" w:cs="Times New Roman"/>
                <w:sz w:val="24"/>
                <w:szCs w:val="24"/>
                <w:shd w:val="clear" w:color="auto" w:fill="FFFFFF"/>
              </w:rPr>
              <w:t xml:space="preserve"> daļā minēto lēmumu, </w:t>
            </w:r>
            <w:r w:rsidR="00895E55" w:rsidRPr="001B6D0A">
              <w:rPr>
                <w:rFonts w:ascii="Times New Roman" w:hAnsi="Times New Roman" w:cs="Times New Roman"/>
                <w:sz w:val="24"/>
                <w:szCs w:val="24"/>
              </w:rPr>
              <w:t xml:space="preserve">atbildīgā </w:t>
            </w:r>
            <w:r w:rsidRPr="001B6D0A">
              <w:rPr>
                <w:rFonts w:ascii="Times New Roman" w:hAnsi="Times New Roman" w:cs="Times New Roman"/>
                <w:sz w:val="24"/>
                <w:szCs w:val="24"/>
                <w:shd w:val="clear" w:color="auto" w:fill="FFFFFF"/>
              </w:rPr>
              <w:t>ministrija veic lēmuma piespiedu izpild</w:t>
            </w:r>
            <w:r w:rsidR="00C925BD" w:rsidRPr="001B6D0A">
              <w:rPr>
                <w:rFonts w:ascii="Times New Roman" w:hAnsi="Times New Roman" w:cs="Times New Roman"/>
                <w:sz w:val="24"/>
                <w:szCs w:val="24"/>
                <w:shd w:val="clear" w:color="auto" w:fill="FFFFFF"/>
              </w:rPr>
              <w:t>i</w:t>
            </w:r>
            <w:r w:rsidRPr="001B6D0A">
              <w:rPr>
                <w:rFonts w:ascii="Times New Roman" w:hAnsi="Times New Roman" w:cs="Times New Roman"/>
                <w:sz w:val="24"/>
                <w:szCs w:val="24"/>
                <w:shd w:val="clear" w:color="auto" w:fill="FFFFFF"/>
              </w:rPr>
              <w:t xml:space="preserve"> A</w:t>
            </w:r>
            <w:r w:rsidR="00D70352" w:rsidRPr="001B6D0A">
              <w:rPr>
                <w:rFonts w:ascii="Times New Roman" w:hAnsi="Times New Roman" w:cs="Times New Roman"/>
                <w:sz w:val="24"/>
                <w:szCs w:val="24"/>
                <w:shd w:val="clear" w:color="auto" w:fill="FFFFFF"/>
              </w:rPr>
              <w:t>PL</w:t>
            </w:r>
            <w:r w:rsidRPr="001B6D0A">
              <w:rPr>
                <w:rFonts w:ascii="Times New Roman" w:hAnsi="Times New Roman" w:cs="Times New Roman"/>
                <w:sz w:val="24"/>
                <w:szCs w:val="24"/>
                <w:shd w:val="clear" w:color="auto" w:fill="FFFFFF"/>
              </w:rPr>
              <w:t xml:space="preserve"> noteiktajā kārtībā.</w:t>
            </w:r>
          </w:p>
          <w:p w14:paraId="55EAC7B1" w14:textId="5CA93562" w:rsidR="00D70352" w:rsidRPr="001B6D0A" w:rsidRDefault="00D70352" w:rsidP="001B6D0A">
            <w:pPr>
              <w:pStyle w:val="tv213"/>
              <w:shd w:val="clear" w:color="auto" w:fill="FFFFFF"/>
              <w:spacing w:before="0" w:beforeAutospacing="0" w:after="0" w:afterAutospacing="0"/>
              <w:ind w:firstLine="300"/>
              <w:jc w:val="both"/>
            </w:pPr>
            <w:r w:rsidRPr="001B6D0A">
              <w:rPr>
                <w:shd w:val="clear" w:color="auto" w:fill="FFFFFF"/>
              </w:rPr>
              <w:t>APL 370.pants “</w:t>
            </w:r>
            <w:r w:rsidRPr="001B6D0A">
              <w:t>Adresātam uzliktā piespiedu nauda” nosaka tiesības adresātam (fiziskai vai juridiskai personai vai šo personu apvienībai) uzlikt piespiedu naudu. Piespiedu naudu var uzlikt atkārtoti, līdz adresāts – lielais uzņēmums - izpilda Likuma 10.panta piektās daļas prasības (Likumprojekta 3.pants). A</w:t>
            </w:r>
            <w:r w:rsidR="000E25AF" w:rsidRPr="001B6D0A">
              <w:t>t</w:t>
            </w:r>
            <w:r w:rsidRPr="001B6D0A">
              <w:t>kārtoti piespiedu naudu var uzlikt ne agrāk kā septiņas dienas pēc iepriekšējās reizes, ja adresāts šo septiņu dienu laikā joprojām nav izpildījis vai nav pārtraucis attiecīgo darbību.</w:t>
            </w:r>
          </w:p>
          <w:p w14:paraId="45DD06B3" w14:textId="0FD4A801" w:rsidR="00D70352" w:rsidRPr="001B6D0A" w:rsidRDefault="00D70352" w:rsidP="001B6D0A">
            <w:pPr>
              <w:widowControl w:val="0"/>
              <w:spacing w:after="0" w:line="240" w:lineRule="auto"/>
              <w:ind w:firstLine="217"/>
              <w:contextualSpacing/>
              <w:jc w:val="both"/>
              <w:rPr>
                <w:rFonts w:ascii="Times New Roman" w:hAnsi="Times New Roman" w:cs="Times New Roman"/>
                <w:sz w:val="24"/>
                <w:szCs w:val="24"/>
                <w:shd w:val="clear" w:color="auto" w:fill="FFFFFF"/>
              </w:rPr>
            </w:pPr>
            <w:bookmarkStart w:id="4" w:name="_Hlk18937523"/>
            <w:r w:rsidRPr="001B6D0A">
              <w:rPr>
                <w:rFonts w:ascii="Times New Roman" w:hAnsi="Times New Roman" w:cs="Times New Roman"/>
                <w:sz w:val="24"/>
                <w:szCs w:val="24"/>
              </w:rPr>
              <w:t>APL 370.panta trešajā daļā ir noteikts, ka minimālā piespiedu nauda ir 50 </w:t>
            </w:r>
            <w:proofErr w:type="spellStart"/>
            <w:r w:rsidRPr="001B6D0A">
              <w:rPr>
                <w:rFonts w:ascii="Times New Roman" w:hAnsi="Times New Roman" w:cs="Times New Roman"/>
                <w:i/>
                <w:iCs/>
                <w:sz w:val="24"/>
                <w:szCs w:val="24"/>
              </w:rPr>
              <w:t>euro</w:t>
            </w:r>
            <w:proofErr w:type="spellEnd"/>
            <w:r w:rsidRPr="001B6D0A">
              <w:rPr>
                <w:rFonts w:ascii="Times New Roman" w:hAnsi="Times New Roman" w:cs="Times New Roman"/>
                <w:sz w:val="24"/>
                <w:szCs w:val="24"/>
              </w:rPr>
              <w:t>, maksimālā piespiedu nauda fiziskajai personai ir 5000 </w:t>
            </w:r>
            <w:proofErr w:type="spellStart"/>
            <w:r w:rsidRPr="001B6D0A">
              <w:rPr>
                <w:rFonts w:ascii="Times New Roman" w:hAnsi="Times New Roman" w:cs="Times New Roman"/>
                <w:i/>
                <w:iCs/>
                <w:sz w:val="24"/>
                <w:szCs w:val="24"/>
              </w:rPr>
              <w:t>euro</w:t>
            </w:r>
            <w:proofErr w:type="spellEnd"/>
            <w:r w:rsidRPr="001B6D0A">
              <w:rPr>
                <w:rFonts w:ascii="Times New Roman" w:hAnsi="Times New Roman" w:cs="Times New Roman"/>
                <w:sz w:val="24"/>
                <w:szCs w:val="24"/>
              </w:rPr>
              <w:t>, bet juridiskajai personai — 10 000 </w:t>
            </w:r>
            <w:proofErr w:type="spellStart"/>
            <w:r w:rsidRPr="001B6D0A">
              <w:rPr>
                <w:rFonts w:ascii="Times New Roman" w:hAnsi="Times New Roman" w:cs="Times New Roman"/>
                <w:i/>
                <w:iCs/>
                <w:sz w:val="24"/>
                <w:szCs w:val="24"/>
              </w:rPr>
              <w:t>euro</w:t>
            </w:r>
            <w:proofErr w:type="spellEnd"/>
            <w:r w:rsidRPr="001B6D0A">
              <w:rPr>
                <w:rFonts w:ascii="Times New Roman" w:hAnsi="Times New Roman" w:cs="Times New Roman"/>
                <w:sz w:val="24"/>
                <w:szCs w:val="24"/>
              </w:rPr>
              <w:t>. Nosakot piespiedu naudas summu</w:t>
            </w:r>
            <w:r w:rsidR="004A4195">
              <w:rPr>
                <w:rFonts w:ascii="Times New Roman" w:hAnsi="Times New Roman" w:cs="Times New Roman"/>
                <w:sz w:val="24"/>
                <w:szCs w:val="24"/>
              </w:rPr>
              <w:t xml:space="preserve"> un</w:t>
            </w:r>
            <w:r w:rsidRPr="001B6D0A">
              <w:rPr>
                <w:rFonts w:ascii="Times New Roman" w:hAnsi="Times New Roman" w:cs="Times New Roman"/>
                <w:sz w:val="24"/>
                <w:szCs w:val="24"/>
              </w:rPr>
              <w:t xml:space="preserve"> izpildi</w:t>
            </w:r>
            <w:r w:rsidR="004A4195">
              <w:rPr>
                <w:rFonts w:ascii="Times New Roman" w:hAnsi="Times New Roman" w:cs="Times New Roman"/>
                <w:sz w:val="24"/>
                <w:szCs w:val="24"/>
              </w:rPr>
              <w:t>, i</w:t>
            </w:r>
            <w:r w:rsidRPr="001B6D0A">
              <w:rPr>
                <w:rFonts w:ascii="Times New Roman" w:hAnsi="Times New Roman" w:cs="Times New Roman"/>
                <w:sz w:val="24"/>
                <w:szCs w:val="24"/>
              </w:rPr>
              <w:t xml:space="preserve">estāde ievēro samērīguma principu (APL </w:t>
            </w:r>
            <w:hyperlink r:id="rId9" w:anchor="p13" w:history="1">
              <w:r w:rsidRPr="001B6D0A">
                <w:rPr>
                  <w:rStyle w:val="Hyperlink"/>
                  <w:rFonts w:ascii="Times New Roman" w:hAnsi="Times New Roman" w:cs="Times New Roman"/>
                  <w:color w:val="auto"/>
                  <w:sz w:val="24"/>
                  <w:szCs w:val="24"/>
                  <w:u w:val="none"/>
                </w:rPr>
                <w:t>13. pants</w:t>
              </w:r>
            </w:hyperlink>
            <w:r w:rsidRPr="001B6D0A">
              <w:rPr>
                <w:rFonts w:ascii="Times New Roman" w:hAnsi="Times New Roman" w:cs="Times New Roman"/>
                <w:sz w:val="24"/>
                <w:szCs w:val="24"/>
              </w:rPr>
              <w:t>), kā arī adresāta mantisko stāvokli.</w:t>
            </w:r>
          </w:p>
          <w:bookmarkEnd w:id="4"/>
          <w:p w14:paraId="23607650" w14:textId="71B95242" w:rsidR="00443B15" w:rsidRPr="001B6D0A" w:rsidRDefault="00B32B96" w:rsidP="001B6D0A">
            <w:pPr>
              <w:widowControl w:val="0"/>
              <w:spacing w:after="0" w:line="240" w:lineRule="auto"/>
              <w:ind w:firstLine="217"/>
              <w:contextualSpacing/>
              <w:jc w:val="both"/>
              <w:rPr>
                <w:rFonts w:ascii="Times New Roman" w:hAnsi="Times New Roman" w:cs="Times New Roman"/>
                <w:sz w:val="24"/>
                <w:szCs w:val="24"/>
              </w:rPr>
            </w:pPr>
            <w:r w:rsidRPr="001B6D0A">
              <w:rPr>
                <w:rFonts w:ascii="Times New Roman" w:hAnsi="Times New Roman" w:cs="Times New Roman"/>
                <w:sz w:val="24"/>
                <w:szCs w:val="24"/>
                <w:shd w:val="clear" w:color="auto" w:fill="FFFFFF"/>
              </w:rPr>
              <w:t xml:space="preserve"> </w:t>
            </w:r>
            <w:r w:rsidR="00443B15" w:rsidRPr="001B6D0A">
              <w:rPr>
                <w:rFonts w:ascii="Times New Roman" w:hAnsi="Times New Roman" w:cs="Times New Roman"/>
                <w:sz w:val="24"/>
                <w:szCs w:val="24"/>
              </w:rPr>
              <w:t>Lēmuma piespiedu izpildes gadījumā atbildīgajai ministrijai</w:t>
            </w:r>
            <w:r w:rsidR="00443B15" w:rsidRPr="001B6D0A" w:rsidDel="001C5CDB">
              <w:rPr>
                <w:rFonts w:ascii="Times New Roman" w:hAnsi="Times New Roman" w:cs="Times New Roman"/>
                <w:sz w:val="24"/>
                <w:szCs w:val="24"/>
              </w:rPr>
              <w:t xml:space="preserve"> </w:t>
            </w:r>
            <w:r w:rsidR="00443B15" w:rsidRPr="001B6D0A">
              <w:rPr>
                <w:rFonts w:ascii="Times New Roman" w:hAnsi="Times New Roman" w:cs="Times New Roman"/>
                <w:sz w:val="24"/>
                <w:szCs w:val="24"/>
              </w:rPr>
              <w:t xml:space="preserve">ir jāņem vērā ieguvums, kādu komersants varētu gūt vai ir ieguvis, neievērojot Likuma prasības, kā arī MK noteikumu Nr.202 prasības attiecībā uz energoefektivitātes nodevas apmēru. </w:t>
            </w:r>
          </w:p>
          <w:p w14:paraId="46A79FD9" w14:textId="77777777" w:rsidR="00443B15" w:rsidRPr="001B6D0A" w:rsidRDefault="00443B15" w:rsidP="001B6D0A">
            <w:pPr>
              <w:spacing w:after="0" w:line="240" w:lineRule="auto"/>
              <w:ind w:firstLine="217"/>
              <w:contextualSpacing/>
              <w:jc w:val="both"/>
              <w:rPr>
                <w:rFonts w:ascii="Times New Roman" w:hAnsi="Times New Roman" w:cs="Times New Roman"/>
                <w:sz w:val="24"/>
                <w:szCs w:val="24"/>
              </w:rPr>
            </w:pPr>
            <w:bookmarkStart w:id="5" w:name="_Hlk18929110"/>
            <w:r w:rsidRPr="001B6D0A">
              <w:rPr>
                <w:rFonts w:ascii="Times New Roman" w:hAnsi="Times New Roman" w:cs="Times New Roman"/>
                <w:sz w:val="24"/>
                <w:szCs w:val="24"/>
                <w:lang w:eastAsia="lv-LV"/>
              </w:rPr>
              <w:t xml:space="preserve">2016.gadā lielo uzņēmumu sarakstā bija 231 komersants, un par obligātā </w:t>
            </w:r>
            <w:proofErr w:type="spellStart"/>
            <w:r w:rsidRPr="001B6D0A">
              <w:rPr>
                <w:rFonts w:ascii="Times New Roman" w:hAnsi="Times New Roman" w:cs="Times New Roman"/>
                <w:sz w:val="24"/>
                <w:szCs w:val="24"/>
                <w:lang w:eastAsia="lv-LV"/>
              </w:rPr>
              <w:t>energoaudita</w:t>
            </w:r>
            <w:proofErr w:type="spellEnd"/>
            <w:r w:rsidRPr="001B6D0A">
              <w:rPr>
                <w:rFonts w:ascii="Times New Roman" w:hAnsi="Times New Roman" w:cs="Times New Roman"/>
                <w:sz w:val="24"/>
                <w:szCs w:val="24"/>
                <w:lang w:eastAsia="lv-LV"/>
              </w:rPr>
              <w:t xml:space="preserve"> veikšanu līdz 2019.gada aprīlim ir ziņojuši 220 lielie uzņēmumi. </w:t>
            </w:r>
            <w:r w:rsidRPr="001B6D0A">
              <w:rPr>
                <w:rFonts w:ascii="Times New Roman" w:hAnsi="Times New Roman" w:cs="Times New Roman"/>
                <w:sz w:val="24"/>
                <w:szCs w:val="24"/>
              </w:rPr>
              <w:t xml:space="preserve">Atbilstoši EM pieņemtajiem lēmumiem, 5 lielie uzņēmumi, kas vienlaicīgi ir arī lielie elektroenerģijas patērētāji un nav izpildījuši Likumā noteiktās prasības, ir nomaksājuši energoefektivitātes nodevu. Vidējais nomaksātās nodevas apmērs vienam uzņēmumam ir 37,8 tūkst. </w:t>
            </w:r>
            <w:proofErr w:type="spellStart"/>
            <w:r w:rsidRPr="001B6D0A">
              <w:rPr>
                <w:rFonts w:ascii="Times New Roman" w:hAnsi="Times New Roman" w:cs="Times New Roman"/>
                <w:i/>
                <w:sz w:val="24"/>
                <w:szCs w:val="24"/>
              </w:rPr>
              <w:t>euro</w:t>
            </w:r>
            <w:proofErr w:type="spellEnd"/>
            <w:r w:rsidRPr="001B6D0A">
              <w:rPr>
                <w:rFonts w:ascii="Times New Roman" w:hAnsi="Times New Roman" w:cs="Times New Roman"/>
                <w:sz w:val="24"/>
                <w:szCs w:val="24"/>
              </w:rPr>
              <w:t>.</w:t>
            </w:r>
          </w:p>
          <w:p w14:paraId="0141778C" w14:textId="77777777" w:rsidR="005E2E9F" w:rsidRPr="001B6D0A" w:rsidRDefault="005E2E9F" w:rsidP="001B6D0A">
            <w:pPr>
              <w:widowControl w:val="0"/>
              <w:spacing w:after="0" w:line="240" w:lineRule="auto"/>
              <w:contextualSpacing/>
              <w:jc w:val="both"/>
              <w:rPr>
                <w:rFonts w:ascii="Times New Roman" w:hAnsi="Times New Roman" w:cs="Times New Roman"/>
                <w:sz w:val="24"/>
                <w:szCs w:val="24"/>
              </w:rPr>
            </w:pPr>
          </w:p>
          <w:bookmarkEnd w:id="5"/>
          <w:p w14:paraId="01CE592E" w14:textId="77777777" w:rsidR="0022481B" w:rsidRPr="001B6D0A" w:rsidRDefault="0022481B" w:rsidP="001B6D0A">
            <w:pPr>
              <w:widowControl w:val="0"/>
              <w:spacing w:after="0" w:line="240" w:lineRule="auto"/>
              <w:ind w:firstLine="217"/>
              <w:contextualSpacing/>
              <w:jc w:val="both"/>
              <w:rPr>
                <w:rFonts w:ascii="Times New Roman" w:hAnsi="Times New Roman" w:cs="Times New Roman"/>
                <w:b/>
                <w:sz w:val="24"/>
                <w:szCs w:val="24"/>
              </w:rPr>
            </w:pPr>
            <w:proofErr w:type="spellStart"/>
            <w:r w:rsidRPr="001B6D0A">
              <w:rPr>
                <w:rFonts w:ascii="Times New Roman" w:hAnsi="Times New Roman" w:cs="Times New Roman"/>
                <w:b/>
                <w:sz w:val="24"/>
                <w:szCs w:val="24"/>
              </w:rPr>
              <w:t>Energopārvaldības</w:t>
            </w:r>
            <w:proofErr w:type="spellEnd"/>
            <w:r w:rsidRPr="001B6D0A">
              <w:rPr>
                <w:rFonts w:ascii="Times New Roman" w:hAnsi="Times New Roman" w:cs="Times New Roman"/>
                <w:b/>
                <w:sz w:val="24"/>
                <w:szCs w:val="24"/>
              </w:rPr>
              <w:t xml:space="preserve"> sistēma lielajiem elektroenerģijas patērētājiem</w:t>
            </w:r>
          </w:p>
          <w:p w14:paraId="643FF9EC" w14:textId="061D98D5" w:rsidR="000C1AEA" w:rsidRPr="001B6D0A" w:rsidRDefault="00C57934" w:rsidP="001B6D0A">
            <w:pPr>
              <w:widowControl w:val="0"/>
              <w:spacing w:after="0" w:line="240" w:lineRule="auto"/>
              <w:ind w:firstLine="217"/>
              <w:contextualSpacing/>
              <w:jc w:val="both"/>
              <w:rPr>
                <w:rFonts w:ascii="Times New Roman" w:hAnsi="Times New Roman" w:cs="Times New Roman"/>
                <w:sz w:val="24"/>
                <w:szCs w:val="24"/>
              </w:rPr>
            </w:pPr>
            <w:r w:rsidRPr="001B6D0A">
              <w:rPr>
                <w:rFonts w:ascii="Times New Roman" w:hAnsi="Times New Roman" w:cs="Times New Roman"/>
                <w:sz w:val="24"/>
                <w:szCs w:val="24"/>
              </w:rPr>
              <w:t>Likuma</w:t>
            </w:r>
            <w:r w:rsidR="0079359A" w:rsidRPr="001B6D0A">
              <w:rPr>
                <w:rFonts w:ascii="Times New Roman" w:hAnsi="Times New Roman" w:cs="Times New Roman"/>
                <w:sz w:val="24"/>
                <w:szCs w:val="24"/>
              </w:rPr>
              <w:t xml:space="preserve"> </w:t>
            </w:r>
            <w:r w:rsidR="000062FE" w:rsidRPr="001B6D0A">
              <w:rPr>
                <w:rFonts w:ascii="Times New Roman" w:hAnsi="Times New Roman" w:cs="Times New Roman"/>
                <w:sz w:val="24"/>
                <w:szCs w:val="24"/>
              </w:rPr>
              <w:t>12.pantā ir noteikts, ka</w:t>
            </w:r>
            <w:r w:rsidRPr="001B6D0A">
              <w:rPr>
                <w:rFonts w:ascii="Times New Roman" w:hAnsi="Times New Roman" w:cs="Times New Roman"/>
                <w:sz w:val="24"/>
                <w:szCs w:val="24"/>
              </w:rPr>
              <w:t xml:space="preserve"> lielais elektroenerģijas patērētājs ir komersants, kura ikgadējais</w:t>
            </w:r>
            <w:r w:rsidR="005212D2" w:rsidRPr="001B6D0A">
              <w:rPr>
                <w:rFonts w:ascii="Times New Roman" w:hAnsi="Times New Roman" w:cs="Times New Roman"/>
                <w:sz w:val="24"/>
                <w:szCs w:val="24"/>
              </w:rPr>
              <w:t xml:space="preserve"> (kalendārā gada)</w:t>
            </w:r>
            <w:r w:rsidR="00F53CBF" w:rsidRPr="001B6D0A">
              <w:rPr>
                <w:rFonts w:ascii="Times New Roman" w:hAnsi="Times New Roman" w:cs="Times New Roman"/>
                <w:sz w:val="24"/>
                <w:szCs w:val="24"/>
              </w:rPr>
              <w:t xml:space="preserve"> </w:t>
            </w:r>
            <w:r w:rsidRPr="001B6D0A">
              <w:rPr>
                <w:rFonts w:ascii="Times New Roman" w:hAnsi="Times New Roman" w:cs="Times New Roman"/>
                <w:sz w:val="24"/>
                <w:szCs w:val="24"/>
              </w:rPr>
              <w:t xml:space="preserve">elektroenerģijas patēriņš pārsniedz 500 </w:t>
            </w:r>
            <w:proofErr w:type="spellStart"/>
            <w:r w:rsidRPr="001B6D0A">
              <w:rPr>
                <w:rFonts w:ascii="Times New Roman" w:hAnsi="Times New Roman" w:cs="Times New Roman"/>
                <w:sz w:val="24"/>
                <w:szCs w:val="24"/>
              </w:rPr>
              <w:t>MWh</w:t>
            </w:r>
            <w:proofErr w:type="spellEnd"/>
            <w:r w:rsidR="000062FE" w:rsidRPr="001B6D0A">
              <w:rPr>
                <w:rFonts w:ascii="Times New Roman" w:hAnsi="Times New Roman" w:cs="Times New Roman"/>
                <w:sz w:val="24"/>
                <w:szCs w:val="24"/>
              </w:rPr>
              <w:t xml:space="preserve"> un sistēmas operatoram ir pienākums katru gadu nodrošināt atbildīgo ministriju ar lielā elektroenerģijas patērētāja statusam atbilstošu komersantu ikgadējiem elektroenerģijas </w:t>
            </w:r>
            <w:proofErr w:type="spellStart"/>
            <w:r w:rsidR="000062FE" w:rsidRPr="001B6D0A">
              <w:rPr>
                <w:rFonts w:ascii="Times New Roman" w:hAnsi="Times New Roman" w:cs="Times New Roman"/>
                <w:sz w:val="24"/>
                <w:szCs w:val="24"/>
              </w:rPr>
              <w:t>galapatēriņa</w:t>
            </w:r>
            <w:proofErr w:type="spellEnd"/>
            <w:r w:rsidR="000062FE" w:rsidRPr="001B6D0A">
              <w:rPr>
                <w:rFonts w:ascii="Times New Roman" w:hAnsi="Times New Roman" w:cs="Times New Roman"/>
                <w:sz w:val="24"/>
                <w:szCs w:val="24"/>
              </w:rPr>
              <w:t xml:space="preserve"> datiem. E</w:t>
            </w:r>
            <w:r w:rsidR="0087794D" w:rsidRPr="001B6D0A">
              <w:rPr>
                <w:rFonts w:ascii="Times New Roman" w:hAnsi="Times New Roman" w:cs="Times New Roman"/>
                <w:sz w:val="24"/>
                <w:szCs w:val="24"/>
              </w:rPr>
              <w:t>M</w:t>
            </w:r>
            <w:r w:rsidR="000062FE" w:rsidRPr="001B6D0A">
              <w:rPr>
                <w:rFonts w:ascii="Times New Roman" w:hAnsi="Times New Roman" w:cs="Times New Roman"/>
                <w:sz w:val="24"/>
                <w:szCs w:val="24"/>
              </w:rPr>
              <w:t xml:space="preserve"> ir saņēmusi A/S “Sadales </w:t>
            </w:r>
            <w:r w:rsidR="003A4323" w:rsidRPr="001B6D0A">
              <w:rPr>
                <w:rFonts w:ascii="Times New Roman" w:hAnsi="Times New Roman" w:cs="Times New Roman"/>
                <w:sz w:val="24"/>
                <w:szCs w:val="24"/>
              </w:rPr>
              <w:t xml:space="preserve">tīkls” </w:t>
            </w:r>
            <w:r w:rsidR="00DD5B80" w:rsidRPr="001B6D0A">
              <w:rPr>
                <w:rFonts w:ascii="Times New Roman" w:hAnsi="Times New Roman" w:cs="Times New Roman"/>
                <w:sz w:val="24"/>
                <w:szCs w:val="24"/>
              </w:rPr>
              <w:t xml:space="preserve">informāciju par lielajiem elektroenerģijas patērētājiem par 2016. un 2017.gadu. Tomēr, </w:t>
            </w:r>
            <w:r w:rsidR="00FB02E1" w:rsidRPr="001B6D0A">
              <w:rPr>
                <w:rFonts w:ascii="Times New Roman" w:hAnsi="Times New Roman" w:cs="Times New Roman"/>
                <w:sz w:val="24"/>
                <w:szCs w:val="24"/>
              </w:rPr>
              <w:t>kā norādīts A/S “Sadales tīkls” 2017.gada 6.decembra vēstulē Nr.30VD00-11/5198</w:t>
            </w:r>
            <w:r w:rsidR="0079359A" w:rsidRPr="001B6D0A">
              <w:rPr>
                <w:rFonts w:ascii="Times New Roman" w:hAnsi="Times New Roman" w:cs="Times New Roman"/>
                <w:sz w:val="24"/>
                <w:szCs w:val="24"/>
              </w:rPr>
              <w:t xml:space="preserve"> </w:t>
            </w:r>
            <w:r w:rsidR="00DD5B80" w:rsidRPr="001B6D0A">
              <w:rPr>
                <w:rFonts w:ascii="Times New Roman" w:hAnsi="Times New Roman" w:cs="Times New Roman"/>
                <w:sz w:val="24"/>
                <w:szCs w:val="24"/>
              </w:rPr>
              <w:t>“Slēdzot sistēmas pakalpojumu līgumu ar lietotāju, AS</w:t>
            </w:r>
            <w:r w:rsidR="0067399B" w:rsidRPr="001B6D0A">
              <w:rPr>
                <w:rFonts w:ascii="Times New Roman" w:hAnsi="Times New Roman" w:cs="Times New Roman"/>
                <w:sz w:val="24"/>
                <w:szCs w:val="24"/>
              </w:rPr>
              <w:t> </w:t>
            </w:r>
            <w:r w:rsidR="00DD5B80" w:rsidRPr="001B6D0A">
              <w:rPr>
                <w:rFonts w:ascii="Times New Roman" w:hAnsi="Times New Roman" w:cs="Times New Roman"/>
                <w:sz w:val="24"/>
                <w:szCs w:val="24"/>
              </w:rPr>
              <w:t>“Sadales tīkls” darbojas normatīvo aktu noteiktajās robežās, tas nozīmē, ka par lietotāju tiek iegūta tikai tā informācija, kas nepieciešama sistēmas pakalpojumu līguma noslēgšanai un sistēmas pakalpojumu u</w:t>
            </w:r>
            <w:r w:rsidR="000C1AEA" w:rsidRPr="001B6D0A">
              <w:rPr>
                <w:rFonts w:ascii="Times New Roman" w:hAnsi="Times New Roman" w:cs="Times New Roman"/>
                <w:sz w:val="24"/>
                <w:szCs w:val="24"/>
              </w:rPr>
              <w:t xml:space="preserve">n </w:t>
            </w:r>
            <w:r w:rsidR="000C1AEA" w:rsidRPr="001B6D0A">
              <w:rPr>
                <w:rFonts w:ascii="Times New Roman" w:hAnsi="Times New Roman" w:cs="Times New Roman"/>
                <w:sz w:val="24"/>
                <w:szCs w:val="24"/>
              </w:rPr>
              <w:lastRenderedPageBreak/>
              <w:t>citu pakalpojumu sniegšanai</w:t>
            </w:r>
            <w:r w:rsidR="0067399B" w:rsidRPr="001B6D0A">
              <w:rPr>
                <w:rFonts w:ascii="Times New Roman" w:hAnsi="Times New Roman" w:cs="Times New Roman"/>
                <w:sz w:val="24"/>
                <w:szCs w:val="24"/>
              </w:rPr>
              <w:t xml:space="preserve"> [..]</w:t>
            </w:r>
            <w:r w:rsidR="000C1AEA" w:rsidRPr="001B6D0A">
              <w:rPr>
                <w:rFonts w:ascii="Times New Roman" w:hAnsi="Times New Roman" w:cs="Times New Roman"/>
                <w:sz w:val="24"/>
                <w:szCs w:val="24"/>
              </w:rPr>
              <w:t>.</w:t>
            </w:r>
            <w:r w:rsidR="0079359A" w:rsidRPr="001B6D0A">
              <w:rPr>
                <w:rFonts w:ascii="Times New Roman" w:hAnsi="Times New Roman" w:cs="Times New Roman"/>
                <w:sz w:val="24"/>
                <w:szCs w:val="24"/>
              </w:rPr>
              <w:t xml:space="preserve"> </w:t>
            </w:r>
            <w:r w:rsidR="00FB02E1" w:rsidRPr="001B6D0A">
              <w:rPr>
                <w:rFonts w:ascii="Times New Roman" w:hAnsi="Times New Roman" w:cs="Times New Roman"/>
                <w:sz w:val="24"/>
                <w:szCs w:val="24"/>
              </w:rPr>
              <w:t xml:space="preserve">A/S </w:t>
            </w:r>
            <w:r w:rsidR="000C1AEA" w:rsidRPr="001B6D0A">
              <w:rPr>
                <w:rFonts w:ascii="Times New Roman" w:hAnsi="Times New Roman" w:cs="Times New Roman"/>
                <w:sz w:val="24"/>
                <w:szCs w:val="24"/>
              </w:rPr>
              <w:t xml:space="preserve">“Sadales tīkls” kā sistēmas operators ir atbildīgs par elektroenerģijas piegādi lietotājam līdz elektroietaišu piederības robežai. Uz elektroietaišu piederības robežas ir uzstādīts sistēmas operatora reģistrēts elektroenerģijas </w:t>
            </w:r>
            <w:proofErr w:type="spellStart"/>
            <w:r w:rsidR="000C1AEA" w:rsidRPr="001B6D0A">
              <w:rPr>
                <w:rFonts w:ascii="Times New Roman" w:hAnsi="Times New Roman" w:cs="Times New Roman"/>
                <w:sz w:val="24"/>
                <w:szCs w:val="24"/>
              </w:rPr>
              <w:t>komercuzskaites</w:t>
            </w:r>
            <w:proofErr w:type="spellEnd"/>
            <w:r w:rsidR="000C1AEA" w:rsidRPr="001B6D0A">
              <w:rPr>
                <w:rFonts w:ascii="Times New Roman" w:hAnsi="Times New Roman" w:cs="Times New Roman"/>
                <w:sz w:val="24"/>
                <w:szCs w:val="24"/>
              </w:rPr>
              <w:t xml:space="preserve"> mēraparāts, k</w:t>
            </w:r>
            <w:r w:rsidR="00B05C56" w:rsidRPr="001B6D0A">
              <w:rPr>
                <w:rFonts w:ascii="Times New Roman" w:hAnsi="Times New Roman" w:cs="Times New Roman"/>
                <w:sz w:val="24"/>
                <w:szCs w:val="24"/>
              </w:rPr>
              <w:t>as</w:t>
            </w:r>
            <w:r w:rsidR="000C1AEA" w:rsidRPr="001B6D0A">
              <w:rPr>
                <w:rFonts w:ascii="Times New Roman" w:hAnsi="Times New Roman" w:cs="Times New Roman"/>
                <w:sz w:val="24"/>
                <w:szCs w:val="24"/>
              </w:rPr>
              <w:t xml:space="preserve"> ir mērīšanas līdzeklis vai mērīšanas līdzekļu sistēma elektroenerģijas daudzuma un sistēmas pakalpojumu uzskaitei norēķinu vajadzībām, kā arī elektriskās slodzes lieluma fiksēšanai tirdzniecības intervālā. Sistēmas operatoram ir pienākums uzskaitīt</w:t>
            </w:r>
            <w:r w:rsidR="0079359A" w:rsidRPr="001B6D0A">
              <w:rPr>
                <w:rFonts w:ascii="Times New Roman" w:hAnsi="Times New Roman" w:cs="Times New Roman"/>
                <w:sz w:val="24"/>
                <w:szCs w:val="24"/>
              </w:rPr>
              <w:t xml:space="preserve"> </w:t>
            </w:r>
            <w:r w:rsidR="000C1AEA" w:rsidRPr="001B6D0A">
              <w:rPr>
                <w:rFonts w:ascii="Times New Roman" w:hAnsi="Times New Roman" w:cs="Times New Roman"/>
                <w:sz w:val="24"/>
                <w:szCs w:val="24"/>
              </w:rPr>
              <w:t xml:space="preserve">lietotāju elektroenerģijas patēriņu un slodzes profilu atbilstoši tām tehniskajām iespējām, ko nodrošina lietotājam uzstādītais </w:t>
            </w:r>
            <w:proofErr w:type="spellStart"/>
            <w:r w:rsidR="000C1AEA" w:rsidRPr="001B6D0A">
              <w:rPr>
                <w:rFonts w:ascii="Times New Roman" w:hAnsi="Times New Roman" w:cs="Times New Roman"/>
                <w:sz w:val="24"/>
                <w:szCs w:val="24"/>
              </w:rPr>
              <w:t>komercuzskaite</w:t>
            </w:r>
            <w:r w:rsidR="00FB02E1" w:rsidRPr="001B6D0A">
              <w:rPr>
                <w:rFonts w:ascii="Times New Roman" w:hAnsi="Times New Roman" w:cs="Times New Roman"/>
                <w:sz w:val="24"/>
                <w:szCs w:val="24"/>
              </w:rPr>
              <w:t>s</w:t>
            </w:r>
            <w:proofErr w:type="spellEnd"/>
            <w:r w:rsidR="00FB02E1" w:rsidRPr="001B6D0A">
              <w:rPr>
                <w:rFonts w:ascii="Times New Roman" w:hAnsi="Times New Roman" w:cs="Times New Roman"/>
                <w:sz w:val="24"/>
                <w:szCs w:val="24"/>
              </w:rPr>
              <w:t xml:space="preserve"> mēraparāts. </w:t>
            </w:r>
            <w:r w:rsidR="000C1AEA" w:rsidRPr="001B6D0A">
              <w:rPr>
                <w:rFonts w:ascii="Times New Roman" w:hAnsi="Times New Roman" w:cs="Times New Roman"/>
                <w:sz w:val="24"/>
                <w:szCs w:val="24"/>
              </w:rPr>
              <w:t>Pamatojoties uz minēto</w:t>
            </w:r>
            <w:r w:rsidR="0087794D" w:rsidRPr="001B6D0A">
              <w:rPr>
                <w:rFonts w:ascii="Times New Roman" w:hAnsi="Times New Roman" w:cs="Times New Roman"/>
                <w:sz w:val="24"/>
                <w:szCs w:val="24"/>
              </w:rPr>
              <w:t>,</w:t>
            </w:r>
            <w:r w:rsidR="000C1AEA" w:rsidRPr="001B6D0A">
              <w:rPr>
                <w:rFonts w:ascii="Times New Roman" w:hAnsi="Times New Roman" w:cs="Times New Roman"/>
                <w:sz w:val="24"/>
                <w:szCs w:val="24"/>
              </w:rPr>
              <w:t xml:space="preserve"> </w:t>
            </w:r>
            <w:bookmarkStart w:id="6" w:name="_Hlk9588925"/>
            <w:r w:rsidR="000C1AEA" w:rsidRPr="001B6D0A">
              <w:rPr>
                <w:rFonts w:ascii="Times New Roman" w:hAnsi="Times New Roman" w:cs="Times New Roman"/>
                <w:sz w:val="24"/>
                <w:szCs w:val="24"/>
              </w:rPr>
              <w:t xml:space="preserve">AS “Sadales tīkls” </w:t>
            </w:r>
            <w:bookmarkEnd w:id="6"/>
            <w:r w:rsidR="000C1AEA" w:rsidRPr="001B6D0A">
              <w:rPr>
                <w:rFonts w:ascii="Times New Roman" w:hAnsi="Times New Roman" w:cs="Times New Roman"/>
                <w:sz w:val="24"/>
                <w:szCs w:val="24"/>
              </w:rPr>
              <w:t>var sniegt tikai minēto uzskaitīto</w:t>
            </w:r>
            <w:r w:rsidR="0079359A" w:rsidRPr="001B6D0A">
              <w:rPr>
                <w:rFonts w:ascii="Times New Roman" w:hAnsi="Times New Roman" w:cs="Times New Roman"/>
                <w:sz w:val="24"/>
                <w:szCs w:val="24"/>
              </w:rPr>
              <w:t xml:space="preserve"> </w:t>
            </w:r>
            <w:r w:rsidR="000C1AEA" w:rsidRPr="001B6D0A">
              <w:rPr>
                <w:rFonts w:ascii="Times New Roman" w:hAnsi="Times New Roman" w:cs="Times New Roman"/>
                <w:sz w:val="24"/>
                <w:szCs w:val="24"/>
              </w:rPr>
              <w:t>informāciju (par lietotāja elektroenerģijas patēriņu un slodzes profilu, k</w:t>
            </w:r>
            <w:r w:rsidR="007C1EAC" w:rsidRPr="001B6D0A">
              <w:rPr>
                <w:rFonts w:ascii="Times New Roman" w:hAnsi="Times New Roman" w:cs="Times New Roman"/>
                <w:sz w:val="24"/>
                <w:szCs w:val="24"/>
              </w:rPr>
              <w:t xml:space="preserve">as </w:t>
            </w:r>
            <w:r w:rsidR="000C1AEA" w:rsidRPr="001B6D0A">
              <w:rPr>
                <w:rFonts w:ascii="Times New Roman" w:hAnsi="Times New Roman" w:cs="Times New Roman"/>
                <w:sz w:val="24"/>
                <w:szCs w:val="24"/>
              </w:rPr>
              <w:t xml:space="preserve">uzskaitīts ar elektroenerģijas </w:t>
            </w:r>
            <w:proofErr w:type="spellStart"/>
            <w:r w:rsidR="000C1AEA" w:rsidRPr="001B6D0A">
              <w:rPr>
                <w:rFonts w:ascii="Times New Roman" w:hAnsi="Times New Roman" w:cs="Times New Roman"/>
                <w:sz w:val="24"/>
                <w:szCs w:val="24"/>
              </w:rPr>
              <w:t>komercuzskaites</w:t>
            </w:r>
            <w:proofErr w:type="spellEnd"/>
            <w:r w:rsidR="000C1AEA" w:rsidRPr="001B6D0A">
              <w:rPr>
                <w:rFonts w:ascii="Times New Roman" w:hAnsi="Times New Roman" w:cs="Times New Roman"/>
                <w:sz w:val="24"/>
                <w:szCs w:val="24"/>
              </w:rPr>
              <w:t xml:space="preserve"> mēraparātu), bet nevar sniegt informāciju par elektroenerģijas lietošanu aiz tā elektroietaišu piederības robežām.”</w:t>
            </w:r>
          </w:p>
          <w:p w14:paraId="0563D1A1" w14:textId="2DEA7BCB" w:rsidR="00157D2C" w:rsidRPr="001B6D0A" w:rsidRDefault="000C1AEA" w:rsidP="001B6D0A">
            <w:pPr>
              <w:widowControl w:val="0"/>
              <w:spacing w:after="0" w:line="240" w:lineRule="auto"/>
              <w:ind w:firstLine="217"/>
              <w:contextualSpacing/>
              <w:jc w:val="both"/>
              <w:rPr>
                <w:rFonts w:ascii="Times New Roman" w:hAnsi="Times New Roman" w:cs="Times New Roman"/>
                <w:sz w:val="24"/>
                <w:szCs w:val="24"/>
              </w:rPr>
            </w:pPr>
            <w:r w:rsidRPr="001B6D0A">
              <w:rPr>
                <w:rFonts w:ascii="Times New Roman" w:hAnsi="Times New Roman" w:cs="Times New Roman"/>
                <w:sz w:val="24"/>
                <w:szCs w:val="24"/>
              </w:rPr>
              <w:t xml:space="preserve">Līdz ar to ir grūti, dažos gadījumos </w:t>
            </w:r>
            <w:r w:rsidR="0067399B" w:rsidRPr="001B6D0A">
              <w:rPr>
                <w:rFonts w:ascii="Times New Roman" w:hAnsi="Times New Roman" w:cs="Times New Roman"/>
                <w:sz w:val="24"/>
                <w:szCs w:val="24"/>
              </w:rPr>
              <w:t xml:space="preserve">pat </w:t>
            </w:r>
            <w:r w:rsidRPr="001B6D0A">
              <w:rPr>
                <w:rFonts w:ascii="Times New Roman" w:hAnsi="Times New Roman" w:cs="Times New Roman"/>
                <w:sz w:val="24"/>
                <w:szCs w:val="24"/>
              </w:rPr>
              <w:t>neiespējami</w:t>
            </w:r>
            <w:r w:rsidR="0067399B" w:rsidRPr="001B6D0A">
              <w:rPr>
                <w:rFonts w:ascii="Times New Roman" w:hAnsi="Times New Roman" w:cs="Times New Roman"/>
                <w:sz w:val="24"/>
                <w:szCs w:val="24"/>
              </w:rPr>
              <w:t>,</w:t>
            </w:r>
            <w:r w:rsidRPr="001B6D0A">
              <w:rPr>
                <w:rFonts w:ascii="Times New Roman" w:hAnsi="Times New Roman" w:cs="Times New Roman"/>
                <w:sz w:val="24"/>
                <w:szCs w:val="24"/>
              </w:rPr>
              <w:t xml:space="preserve"> identificēt elektroenerģijas </w:t>
            </w:r>
            <w:proofErr w:type="spellStart"/>
            <w:r w:rsidRPr="001B6D0A">
              <w:rPr>
                <w:rFonts w:ascii="Times New Roman" w:hAnsi="Times New Roman" w:cs="Times New Roman"/>
                <w:sz w:val="24"/>
                <w:szCs w:val="24"/>
              </w:rPr>
              <w:t>apakšlietotājus</w:t>
            </w:r>
            <w:proofErr w:type="spellEnd"/>
            <w:r w:rsidRPr="001B6D0A">
              <w:rPr>
                <w:rFonts w:ascii="Times New Roman" w:hAnsi="Times New Roman" w:cs="Times New Roman"/>
                <w:sz w:val="24"/>
                <w:szCs w:val="24"/>
              </w:rPr>
              <w:t xml:space="preserve">. </w:t>
            </w:r>
            <w:r w:rsidR="00157D2C" w:rsidRPr="001B6D0A">
              <w:rPr>
                <w:rFonts w:ascii="Times New Roman" w:hAnsi="Times New Roman" w:cs="Times New Roman"/>
                <w:sz w:val="24"/>
                <w:szCs w:val="24"/>
              </w:rPr>
              <w:t>Ņemot vērā reālo situāciju, kā arī</w:t>
            </w:r>
            <w:r w:rsidR="00F1216F" w:rsidRPr="001B6D0A">
              <w:rPr>
                <w:rFonts w:ascii="Times New Roman" w:hAnsi="Times New Roman" w:cs="Times New Roman"/>
                <w:sz w:val="24"/>
                <w:szCs w:val="24"/>
              </w:rPr>
              <w:t>,</w:t>
            </w:r>
            <w:r w:rsidR="00157D2C" w:rsidRPr="001B6D0A">
              <w:rPr>
                <w:rFonts w:ascii="Times New Roman" w:hAnsi="Times New Roman" w:cs="Times New Roman"/>
                <w:sz w:val="24"/>
                <w:szCs w:val="24"/>
              </w:rPr>
              <w:t xml:space="preserve"> lai nepaaugstinātu administratīvo slogu, </w:t>
            </w:r>
            <w:bookmarkStart w:id="7" w:name="_Hlk9589169"/>
            <w:r w:rsidR="00F1216F" w:rsidRPr="001B6D0A">
              <w:rPr>
                <w:rFonts w:ascii="Times New Roman" w:hAnsi="Times New Roman" w:cs="Times New Roman"/>
                <w:sz w:val="24"/>
                <w:szCs w:val="24"/>
              </w:rPr>
              <w:t>L</w:t>
            </w:r>
            <w:r w:rsidR="00157D2C" w:rsidRPr="001B6D0A">
              <w:rPr>
                <w:rFonts w:ascii="Times New Roman" w:hAnsi="Times New Roman" w:cs="Times New Roman"/>
                <w:sz w:val="24"/>
                <w:szCs w:val="24"/>
              </w:rPr>
              <w:t>ikumprojekt</w:t>
            </w:r>
            <w:r w:rsidR="00245B34" w:rsidRPr="001B6D0A">
              <w:rPr>
                <w:rFonts w:ascii="Times New Roman" w:hAnsi="Times New Roman" w:cs="Times New Roman"/>
                <w:sz w:val="24"/>
                <w:szCs w:val="24"/>
              </w:rPr>
              <w:t xml:space="preserve">a </w:t>
            </w:r>
            <w:r w:rsidR="00267D4C" w:rsidRPr="001B6D0A">
              <w:rPr>
                <w:rFonts w:ascii="Times New Roman" w:hAnsi="Times New Roman" w:cs="Times New Roman"/>
                <w:sz w:val="24"/>
                <w:szCs w:val="24"/>
              </w:rPr>
              <w:t>4</w:t>
            </w:r>
            <w:r w:rsidR="00245B34" w:rsidRPr="001B6D0A">
              <w:rPr>
                <w:rFonts w:ascii="Times New Roman" w:hAnsi="Times New Roman" w:cs="Times New Roman"/>
                <w:sz w:val="24"/>
                <w:szCs w:val="24"/>
              </w:rPr>
              <w:t>.pant</w:t>
            </w:r>
            <w:r w:rsidR="00E05F48" w:rsidRPr="001B6D0A">
              <w:rPr>
                <w:rFonts w:ascii="Times New Roman" w:hAnsi="Times New Roman" w:cs="Times New Roman"/>
                <w:sz w:val="24"/>
                <w:szCs w:val="24"/>
              </w:rPr>
              <w:t>ā</w:t>
            </w:r>
            <w:r w:rsidR="00245B34" w:rsidRPr="001B6D0A">
              <w:rPr>
                <w:rFonts w:ascii="Times New Roman" w:hAnsi="Times New Roman" w:cs="Times New Roman"/>
                <w:sz w:val="24"/>
                <w:szCs w:val="24"/>
              </w:rPr>
              <w:t xml:space="preserve"> </w:t>
            </w:r>
            <w:r w:rsidR="004B7581" w:rsidRPr="001B6D0A">
              <w:rPr>
                <w:rFonts w:ascii="Times New Roman" w:hAnsi="Times New Roman" w:cs="Times New Roman"/>
                <w:sz w:val="24"/>
                <w:szCs w:val="24"/>
              </w:rPr>
              <w:t xml:space="preserve">ir </w:t>
            </w:r>
            <w:r w:rsidR="00677CD7" w:rsidRPr="001B6D0A">
              <w:rPr>
                <w:rFonts w:ascii="Times New Roman" w:hAnsi="Times New Roman" w:cs="Times New Roman"/>
                <w:sz w:val="24"/>
                <w:szCs w:val="24"/>
              </w:rPr>
              <w:t>paredzēts</w:t>
            </w:r>
            <w:r w:rsidR="00245B34" w:rsidRPr="001B6D0A">
              <w:rPr>
                <w:rFonts w:ascii="Times New Roman" w:hAnsi="Times New Roman" w:cs="Times New Roman"/>
                <w:sz w:val="24"/>
                <w:szCs w:val="24"/>
              </w:rPr>
              <w:t xml:space="preserve"> </w:t>
            </w:r>
            <w:bookmarkEnd w:id="7"/>
            <w:r w:rsidR="00B6744D" w:rsidRPr="001B6D0A">
              <w:rPr>
                <w:rFonts w:ascii="Times New Roman" w:hAnsi="Times New Roman" w:cs="Times New Roman"/>
                <w:sz w:val="24"/>
                <w:szCs w:val="24"/>
              </w:rPr>
              <w:t>L</w:t>
            </w:r>
            <w:r w:rsidR="00245B34" w:rsidRPr="001B6D0A">
              <w:rPr>
                <w:rFonts w:ascii="Times New Roman" w:hAnsi="Times New Roman" w:cs="Times New Roman"/>
                <w:sz w:val="24"/>
                <w:szCs w:val="24"/>
              </w:rPr>
              <w:t>ikuma 12.panta pirmajā daļā noteikt</w:t>
            </w:r>
            <w:r w:rsidR="00157D2C" w:rsidRPr="001B6D0A">
              <w:rPr>
                <w:rFonts w:ascii="Times New Roman" w:hAnsi="Times New Roman" w:cs="Times New Roman"/>
                <w:sz w:val="24"/>
                <w:szCs w:val="24"/>
              </w:rPr>
              <w:t xml:space="preserve"> </w:t>
            </w:r>
            <w:r w:rsidR="0018264F" w:rsidRPr="001B6D0A">
              <w:rPr>
                <w:rFonts w:ascii="Times New Roman" w:hAnsi="Times New Roman" w:cs="Times New Roman"/>
                <w:sz w:val="24"/>
                <w:szCs w:val="24"/>
              </w:rPr>
              <w:t>divas</w:t>
            </w:r>
            <w:r w:rsidR="00157D2C" w:rsidRPr="001B6D0A">
              <w:rPr>
                <w:rFonts w:ascii="Times New Roman" w:hAnsi="Times New Roman" w:cs="Times New Roman"/>
                <w:sz w:val="24"/>
                <w:szCs w:val="24"/>
              </w:rPr>
              <w:t xml:space="preserve"> izņēmumu grupas no lielo elektroenerģijas patērētāju saraksta:</w:t>
            </w:r>
          </w:p>
          <w:p w14:paraId="616DAE28" w14:textId="77777777" w:rsidR="00157D2C" w:rsidRPr="001B6D0A" w:rsidRDefault="0018264F" w:rsidP="001B6D0A">
            <w:pPr>
              <w:widowControl w:val="0"/>
              <w:spacing w:after="0" w:line="240" w:lineRule="auto"/>
              <w:ind w:firstLine="217"/>
              <w:contextualSpacing/>
              <w:jc w:val="both"/>
              <w:rPr>
                <w:rFonts w:ascii="Times New Roman" w:hAnsi="Times New Roman" w:cs="Times New Roman"/>
                <w:sz w:val="24"/>
                <w:szCs w:val="24"/>
              </w:rPr>
            </w:pPr>
            <w:r w:rsidRPr="001B6D0A">
              <w:rPr>
                <w:rFonts w:ascii="Times New Roman" w:eastAsia="Times New Roman" w:hAnsi="Times New Roman" w:cs="Times New Roman"/>
                <w:sz w:val="24"/>
                <w:szCs w:val="24"/>
                <w:lang w:eastAsia="lv-LV"/>
              </w:rPr>
              <w:t>1</w:t>
            </w:r>
            <w:r w:rsidR="00157D2C" w:rsidRPr="001B6D0A">
              <w:rPr>
                <w:rFonts w:ascii="Times New Roman" w:eastAsia="Times New Roman" w:hAnsi="Times New Roman" w:cs="Times New Roman"/>
                <w:sz w:val="24"/>
                <w:szCs w:val="24"/>
                <w:lang w:eastAsia="lv-LV"/>
              </w:rPr>
              <w:t>)</w:t>
            </w:r>
            <w:r w:rsidR="008B3550" w:rsidRPr="001B6D0A">
              <w:rPr>
                <w:rFonts w:ascii="Times New Roman" w:eastAsia="Times New Roman" w:hAnsi="Times New Roman" w:cs="Times New Roman"/>
                <w:sz w:val="24"/>
                <w:szCs w:val="24"/>
                <w:lang w:eastAsia="lv-LV"/>
              </w:rPr>
              <w:t xml:space="preserve"> </w:t>
            </w:r>
            <w:r w:rsidR="00157D2C" w:rsidRPr="001B6D0A">
              <w:rPr>
                <w:rFonts w:ascii="Times New Roman" w:hAnsi="Times New Roman" w:cs="Times New Roman"/>
                <w:sz w:val="24"/>
                <w:szCs w:val="24"/>
              </w:rPr>
              <w:t>sadales sistēmas operatori, kuri ir saņēmuši licenci elektroenerģijas sadalei Sabiedrisko pakalpojumu regulēšanas komisijā un ir iekļauti sadales sistēmas operatoru licenču sarakstā</w:t>
            </w:r>
            <w:r w:rsidR="00430679" w:rsidRPr="001B6D0A">
              <w:rPr>
                <w:rFonts w:ascii="Times New Roman" w:hAnsi="Times New Roman" w:cs="Times New Roman"/>
                <w:sz w:val="24"/>
                <w:szCs w:val="24"/>
              </w:rPr>
              <w:t>;</w:t>
            </w:r>
          </w:p>
          <w:p w14:paraId="47BF15DD" w14:textId="111DB43B" w:rsidR="00157D2C" w:rsidRPr="001B6D0A" w:rsidRDefault="0018264F" w:rsidP="001B6D0A">
            <w:pPr>
              <w:widowControl w:val="0"/>
              <w:spacing w:after="0" w:line="240" w:lineRule="auto"/>
              <w:ind w:firstLine="217"/>
              <w:contextualSpacing/>
              <w:jc w:val="both"/>
              <w:rPr>
                <w:rFonts w:ascii="Times New Roman" w:hAnsi="Times New Roman" w:cs="Times New Roman"/>
                <w:sz w:val="24"/>
                <w:szCs w:val="24"/>
              </w:rPr>
            </w:pPr>
            <w:r w:rsidRPr="001B6D0A">
              <w:rPr>
                <w:rFonts w:ascii="Times New Roman" w:hAnsi="Times New Roman" w:cs="Times New Roman"/>
                <w:sz w:val="24"/>
                <w:szCs w:val="24"/>
              </w:rPr>
              <w:t>2</w:t>
            </w:r>
            <w:r w:rsidR="00157D2C" w:rsidRPr="001B6D0A">
              <w:rPr>
                <w:rFonts w:ascii="Times New Roman" w:hAnsi="Times New Roman" w:cs="Times New Roman"/>
                <w:sz w:val="24"/>
                <w:szCs w:val="24"/>
              </w:rPr>
              <w:t>)</w:t>
            </w:r>
            <w:r w:rsidR="008B3550" w:rsidRPr="001B6D0A">
              <w:rPr>
                <w:rFonts w:ascii="Times New Roman" w:hAnsi="Times New Roman" w:cs="Times New Roman"/>
                <w:sz w:val="24"/>
                <w:szCs w:val="24"/>
              </w:rPr>
              <w:t xml:space="preserve"> </w:t>
            </w:r>
            <w:r w:rsidR="00157D2C" w:rsidRPr="001B6D0A">
              <w:rPr>
                <w:rFonts w:ascii="Times New Roman" w:hAnsi="Times New Roman" w:cs="Times New Roman"/>
                <w:sz w:val="24"/>
                <w:szCs w:val="24"/>
              </w:rPr>
              <w:t>dzīvojamo namu pārvaldnieki, kuri ir reģistrējušies Būvniecības informācijas sistēmas Dzīvojamo māju pārvaldnieku reģistrā.</w:t>
            </w:r>
          </w:p>
          <w:p w14:paraId="5FD55587" w14:textId="6D9596B9" w:rsidR="006300CE" w:rsidRPr="001B6D0A" w:rsidRDefault="00157D2C" w:rsidP="001B6D0A">
            <w:pPr>
              <w:widowControl w:val="0"/>
              <w:spacing w:after="0" w:line="240" w:lineRule="auto"/>
              <w:ind w:firstLine="217"/>
              <w:contextualSpacing/>
              <w:jc w:val="both"/>
              <w:rPr>
                <w:rFonts w:ascii="Times New Roman" w:hAnsi="Times New Roman" w:cs="Times New Roman"/>
                <w:sz w:val="24"/>
                <w:szCs w:val="24"/>
              </w:rPr>
            </w:pPr>
            <w:bookmarkStart w:id="8" w:name="_Hlk10104084"/>
            <w:r w:rsidRPr="001B6D0A">
              <w:rPr>
                <w:rFonts w:ascii="Times New Roman" w:hAnsi="Times New Roman" w:cs="Times New Roman"/>
                <w:sz w:val="24"/>
                <w:szCs w:val="24"/>
              </w:rPr>
              <w:t xml:space="preserve">Pārējiem </w:t>
            </w:r>
            <w:r w:rsidR="005A7F8B" w:rsidRPr="001B6D0A">
              <w:rPr>
                <w:rFonts w:ascii="Times New Roman" w:hAnsi="Times New Roman" w:cs="Times New Roman"/>
                <w:sz w:val="24"/>
                <w:szCs w:val="24"/>
              </w:rPr>
              <w:t>lielajiem elektroenerģijas patērētājiem</w:t>
            </w:r>
            <w:r w:rsidRPr="001B6D0A">
              <w:rPr>
                <w:rFonts w:ascii="Times New Roman" w:hAnsi="Times New Roman" w:cs="Times New Roman"/>
                <w:sz w:val="24"/>
                <w:szCs w:val="24"/>
              </w:rPr>
              <w:t>, kuri ir noslēguši</w:t>
            </w:r>
            <w:r w:rsidR="0079359A" w:rsidRPr="001B6D0A">
              <w:rPr>
                <w:rFonts w:ascii="Times New Roman" w:hAnsi="Times New Roman" w:cs="Times New Roman"/>
                <w:sz w:val="24"/>
                <w:szCs w:val="24"/>
              </w:rPr>
              <w:t xml:space="preserve"> </w:t>
            </w:r>
            <w:r w:rsidRPr="001B6D0A">
              <w:rPr>
                <w:rFonts w:ascii="Times New Roman" w:hAnsi="Times New Roman" w:cs="Times New Roman"/>
                <w:sz w:val="24"/>
                <w:szCs w:val="24"/>
              </w:rPr>
              <w:t>pakalpojumu līgumu</w:t>
            </w:r>
            <w:r w:rsidR="00DE2162" w:rsidRPr="001B6D0A">
              <w:rPr>
                <w:rFonts w:ascii="Times New Roman" w:hAnsi="Times New Roman" w:cs="Times New Roman"/>
                <w:sz w:val="24"/>
                <w:szCs w:val="24"/>
              </w:rPr>
              <w:t>s</w:t>
            </w:r>
            <w:r w:rsidRPr="001B6D0A">
              <w:rPr>
                <w:rFonts w:ascii="Times New Roman" w:hAnsi="Times New Roman" w:cs="Times New Roman"/>
                <w:sz w:val="24"/>
                <w:szCs w:val="24"/>
              </w:rPr>
              <w:t xml:space="preserve"> ar AS “Sadales tīkls” vai citu sadales operatoru</w:t>
            </w:r>
            <w:r w:rsidR="005A7F8B" w:rsidRPr="001B6D0A">
              <w:rPr>
                <w:rFonts w:ascii="Times New Roman" w:hAnsi="Times New Roman" w:cs="Times New Roman"/>
                <w:sz w:val="24"/>
                <w:szCs w:val="24"/>
              </w:rPr>
              <w:t>, atbilstoši Ministru kabineta 2017.gada 11.aprīļa noteikumu Nr.202 “Noteikumi par energoefektivitātes nodevas apmēru un tās aprēķināšanas, piemērošanas, maksāšanas un kontroles kārtību”</w:t>
            </w:r>
            <w:r w:rsidR="00586425" w:rsidRPr="001B6D0A">
              <w:rPr>
                <w:rFonts w:ascii="Times New Roman" w:hAnsi="Times New Roman" w:cs="Times New Roman"/>
                <w:sz w:val="24"/>
                <w:szCs w:val="24"/>
              </w:rPr>
              <w:t xml:space="preserve"> (turpmāk – MK noteikumi Nr.202)</w:t>
            </w:r>
            <w:r w:rsidR="005A7F8B" w:rsidRPr="001B6D0A">
              <w:rPr>
                <w:rFonts w:ascii="Times New Roman" w:hAnsi="Times New Roman" w:cs="Times New Roman"/>
                <w:sz w:val="24"/>
                <w:szCs w:val="24"/>
              </w:rPr>
              <w:t xml:space="preserve"> 4.punkta prasībām līdz kārtējā gada 31.janvārim ir jāiesniedz E</w:t>
            </w:r>
            <w:r w:rsidR="0087794D" w:rsidRPr="001B6D0A">
              <w:rPr>
                <w:rFonts w:ascii="Times New Roman" w:hAnsi="Times New Roman" w:cs="Times New Roman"/>
                <w:sz w:val="24"/>
                <w:szCs w:val="24"/>
              </w:rPr>
              <w:t>M</w:t>
            </w:r>
            <w:r w:rsidR="005A7F8B" w:rsidRPr="001B6D0A">
              <w:rPr>
                <w:rFonts w:ascii="Times New Roman" w:hAnsi="Times New Roman" w:cs="Times New Roman"/>
                <w:sz w:val="24"/>
                <w:szCs w:val="24"/>
              </w:rPr>
              <w:t xml:space="preserve"> </w:t>
            </w:r>
            <w:proofErr w:type="spellStart"/>
            <w:r w:rsidR="005A7F8B" w:rsidRPr="001B6D0A">
              <w:rPr>
                <w:rFonts w:ascii="Times New Roman" w:hAnsi="Times New Roman" w:cs="Times New Roman"/>
                <w:sz w:val="24"/>
                <w:szCs w:val="24"/>
              </w:rPr>
              <w:t>energoauditora</w:t>
            </w:r>
            <w:proofErr w:type="spellEnd"/>
            <w:r w:rsidR="005A7F8B" w:rsidRPr="001B6D0A">
              <w:rPr>
                <w:rFonts w:ascii="Times New Roman" w:hAnsi="Times New Roman" w:cs="Times New Roman"/>
                <w:sz w:val="24"/>
                <w:szCs w:val="24"/>
              </w:rPr>
              <w:t xml:space="preserve"> apstiprināta elektroenerģijas bilance, kas parāda </w:t>
            </w:r>
            <w:proofErr w:type="spellStart"/>
            <w:r w:rsidR="005A7F8B" w:rsidRPr="001B6D0A">
              <w:rPr>
                <w:rFonts w:ascii="Times New Roman" w:hAnsi="Times New Roman" w:cs="Times New Roman"/>
                <w:sz w:val="24"/>
                <w:szCs w:val="24"/>
              </w:rPr>
              <w:t>apakšlietotājiem</w:t>
            </w:r>
            <w:proofErr w:type="spellEnd"/>
            <w:r w:rsidR="005A7F8B" w:rsidRPr="001B6D0A">
              <w:rPr>
                <w:rFonts w:ascii="Times New Roman" w:hAnsi="Times New Roman" w:cs="Times New Roman"/>
                <w:sz w:val="24"/>
                <w:szCs w:val="24"/>
              </w:rPr>
              <w:t xml:space="preserve"> nodotās elektroenerģijas patēriņu. Līdz ar minētās bilances iesniegšanu, E</w:t>
            </w:r>
            <w:r w:rsidR="0087794D" w:rsidRPr="001B6D0A">
              <w:rPr>
                <w:rFonts w:ascii="Times New Roman" w:hAnsi="Times New Roman" w:cs="Times New Roman"/>
                <w:sz w:val="24"/>
                <w:szCs w:val="24"/>
              </w:rPr>
              <w:t>M</w:t>
            </w:r>
            <w:r w:rsidR="005A7F8B" w:rsidRPr="001B6D0A">
              <w:rPr>
                <w:rFonts w:ascii="Times New Roman" w:hAnsi="Times New Roman" w:cs="Times New Roman"/>
                <w:sz w:val="24"/>
                <w:szCs w:val="24"/>
              </w:rPr>
              <w:t xml:space="preserve"> ir iespējams pārliecināties par </w:t>
            </w:r>
            <w:proofErr w:type="spellStart"/>
            <w:r w:rsidR="005A7F8B" w:rsidRPr="001B6D0A">
              <w:rPr>
                <w:rFonts w:ascii="Times New Roman" w:hAnsi="Times New Roman" w:cs="Times New Roman"/>
                <w:sz w:val="24"/>
                <w:szCs w:val="24"/>
              </w:rPr>
              <w:t>apakšlietotājiem</w:t>
            </w:r>
            <w:proofErr w:type="spellEnd"/>
            <w:r w:rsidR="005A7F8B" w:rsidRPr="001B6D0A">
              <w:rPr>
                <w:rFonts w:ascii="Times New Roman" w:hAnsi="Times New Roman" w:cs="Times New Roman"/>
                <w:sz w:val="24"/>
                <w:szCs w:val="24"/>
              </w:rPr>
              <w:t xml:space="preserve"> nodotās elektroenerģijas apjomu.</w:t>
            </w:r>
            <w:r w:rsidR="00860EB5" w:rsidRPr="001B6D0A">
              <w:rPr>
                <w:rFonts w:ascii="Times New Roman" w:hAnsi="Times New Roman" w:cs="Times New Roman"/>
                <w:sz w:val="24"/>
                <w:szCs w:val="24"/>
              </w:rPr>
              <w:t xml:space="preserve"> </w:t>
            </w:r>
            <w:r w:rsidR="00096D45" w:rsidRPr="001B6D0A">
              <w:rPr>
                <w:rFonts w:ascii="Times New Roman" w:hAnsi="Times New Roman" w:cs="Times New Roman"/>
                <w:sz w:val="24"/>
                <w:szCs w:val="24"/>
              </w:rPr>
              <w:t>Tā kā s</w:t>
            </w:r>
            <w:r w:rsidR="00586425" w:rsidRPr="001B6D0A">
              <w:rPr>
                <w:rFonts w:ascii="Times New Roman" w:hAnsi="Times New Roman" w:cs="Times New Roman"/>
                <w:sz w:val="24"/>
                <w:szCs w:val="24"/>
              </w:rPr>
              <w:t>pēkā esošajos MK noteikumos Nr.202 nav noteikta vienota iesniedzamās elektroenerģijas bilances forma</w:t>
            </w:r>
            <w:r w:rsidR="00096D45" w:rsidRPr="001B6D0A">
              <w:rPr>
                <w:rFonts w:ascii="Times New Roman" w:hAnsi="Times New Roman" w:cs="Times New Roman"/>
                <w:sz w:val="24"/>
                <w:szCs w:val="24"/>
              </w:rPr>
              <w:t xml:space="preserve">, tad </w:t>
            </w:r>
            <w:r w:rsidR="00AE7593" w:rsidRPr="001B6D0A">
              <w:rPr>
                <w:rFonts w:ascii="Times New Roman" w:hAnsi="Times New Roman" w:cs="Times New Roman"/>
                <w:sz w:val="24"/>
                <w:szCs w:val="24"/>
              </w:rPr>
              <w:t>Likum</w:t>
            </w:r>
            <w:r w:rsidR="00096D45" w:rsidRPr="001B6D0A">
              <w:rPr>
                <w:rFonts w:ascii="Times New Roman" w:hAnsi="Times New Roman" w:cs="Times New Roman"/>
                <w:sz w:val="24"/>
                <w:szCs w:val="24"/>
              </w:rPr>
              <w:t>projekt</w:t>
            </w:r>
            <w:r w:rsidR="00AE7593" w:rsidRPr="001B6D0A">
              <w:rPr>
                <w:rFonts w:ascii="Times New Roman" w:hAnsi="Times New Roman" w:cs="Times New Roman"/>
                <w:sz w:val="24"/>
                <w:szCs w:val="24"/>
              </w:rPr>
              <w:t xml:space="preserve">a </w:t>
            </w:r>
            <w:r w:rsidR="00A874E5" w:rsidRPr="001B6D0A">
              <w:rPr>
                <w:rFonts w:ascii="Times New Roman" w:hAnsi="Times New Roman" w:cs="Times New Roman"/>
                <w:sz w:val="24"/>
                <w:szCs w:val="24"/>
              </w:rPr>
              <w:t>4</w:t>
            </w:r>
            <w:r w:rsidR="00AE7593" w:rsidRPr="001B6D0A">
              <w:rPr>
                <w:rFonts w:ascii="Times New Roman" w:hAnsi="Times New Roman" w:cs="Times New Roman"/>
                <w:sz w:val="24"/>
                <w:szCs w:val="24"/>
              </w:rPr>
              <w:t xml:space="preserve">.pantā ir </w:t>
            </w:r>
            <w:r w:rsidR="001B1095" w:rsidRPr="001B6D0A">
              <w:rPr>
                <w:rFonts w:ascii="Times New Roman" w:hAnsi="Times New Roman" w:cs="Times New Roman"/>
                <w:sz w:val="24"/>
                <w:szCs w:val="24"/>
              </w:rPr>
              <w:t xml:space="preserve">paredzēts papildināt </w:t>
            </w:r>
            <w:r w:rsidR="00AE7593" w:rsidRPr="001B6D0A">
              <w:rPr>
                <w:rFonts w:ascii="Times New Roman" w:hAnsi="Times New Roman" w:cs="Times New Roman"/>
                <w:sz w:val="24"/>
                <w:szCs w:val="24"/>
              </w:rPr>
              <w:t>Likuma 12.pantu ar 9.</w:t>
            </w:r>
            <w:r w:rsidR="00AE7593" w:rsidRPr="001B6D0A">
              <w:rPr>
                <w:rFonts w:ascii="Times New Roman" w:hAnsi="Times New Roman" w:cs="Times New Roman"/>
                <w:sz w:val="24"/>
                <w:szCs w:val="24"/>
                <w:vertAlign w:val="superscript"/>
              </w:rPr>
              <w:t>1</w:t>
            </w:r>
            <w:r w:rsidR="00096D45" w:rsidRPr="001B6D0A">
              <w:rPr>
                <w:rFonts w:ascii="Times New Roman" w:hAnsi="Times New Roman" w:cs="Times New Roman"/>
                <w:sz w:val="24"/>
                <w:szCs w:val="24"/>
              </w:rPr>
              <w:t xml:space="preserve"> </w:t>
            </w:r>
            <w:r w:rsidR="00AE7593" w:rsidRPr="001B6D0A">
              <w:rPr>
                <w:rFonts w:ascii="Times New Roman" w:hAnsi="Times New Roman" w:cs="Times New Roman"/>
                <w:sz w:val="24"/>
                <w:szCs w:val="24"/>
              </w:rPr>
              <w:t>daļu</w:t>
            </w:r>
            <w:r w:rsidR="00F6682C" w:rsidRPr="001B6D0A">
              <w:rPr>
                <w:rFonts w:ascii="Times New Roman" w:hAnsi="Times New Roman" w:cs="Times New Roman"/>
                <w:sz w:val="24"/>
                <w:szCs w:val="24"/>
              </w:rPr>
              <w:t>,</w:t>
            </w:r>
            <w:r w:rsidR="00AE7593" w:rsidRPr="001B6D0A">
              <w:rPr>
                <w:rFonts w:ascii="Times New Roman" w:hAnsi="Times New Roman" w:cs="Times New Roman"/>
                <w:sz w:val="24"/>
                <w:szCs w:val="24"/>
              </w:rPr>
              <w:t xml:space="preserve"> kas nosaka, ka</w:t>
            </w:r>
            <w:r w:rsidR="00096D45" w:rsidRPr="001B6D0A">
              <w:rPr>
                <w:rFonts w:ascii="Times New Roman" w:hAnsi="Times New Roman" w:cs="Times New Roman"/>
                <w:sz w:val="24"/>
                <w:szCs w:val="24"/>
              </w:rPr>
              <w:t xml:space="preserve"> </w:t>
            </w:r>
            <w:r w:rsidR="00691BE5" w:rsidRPr="001B6D0A">
              <w:rPr>
                <w:rFonts w:ascii="Times New Roman" w:hAnsi="Times New Roman" w:cs="Times New Roman"/>
                <w:sz w:val="24"/>
                <w:szCs w:val="24"/>
              </w:rPr>
              <w:t>k</w:t>
            </w:r>
            <w:r w:rsidR="00096D45" w:rsidRPr="001B6D0A">
              <w:rPr>
                <w:rFonts w:ascii="Times New Roman" w:hAnsi="Times New Roman" w:cs="Times New Roman"/>
                <w:sz w:val="24"/>
                <w:szCs w:val="24"/>
              </w:rPr>
              <w:t xml:space="preserve">ārtību, kādā uzņēmums </w:t>
            </w:r>
            <w:r w:rsidR="00AE7593" w:rsidRPr="001B6D0A">
              <w:rPr>
                <w:rFonts w:ascii="Times New Roman" w:hAnsi="Times New Roman" w:cs="Times New Roman"/>
                <w:sz w:val="24"/>
                <w:szCs w:val="24"/>
              </w:rPr>
              <w:t>ie</w:t>
            </w:r>
            <w:r w:rsidR="00096D45" w:rsidRPr="001B6D0A">
              <w:rPr>
                <w:rFonts w:ascii="Times New Roman" w:hAnsi="Times New Roman" w:cs="Times New Roman"/>
                <w:sz w:val="24"/>
                <w:szCs w:val="24"/>
              </w:rPr>
              <w:t xml:space="preserve">sniedz atbildīgajai ministrijai uzņēmuma elektroenerģijas patēriņa bilanci, </w:t>
            </w:r>
            <w:bookmarkStart w:id="9" w:name="_Hlk2690020"/>
            <w:r w:rsidR="00096D45" w:rsidRPr="001B6D0A">
              <w:rPr>
                <w:rFonts w:ascii="Times New Roman" w:hAnsi="Times New Roman" w:cs="Times New Roman"/>
                <w:sz w:val="24"/>
                <w:szCs w:val="24"/>
              </w:rPr>
              <w:t xml:space="preserve">nosaka </w:t>
            </w:r>
            <w:r w:rsidR="00AE7593" w:rsidRPr="001B6D0A">
              <w:rPr>
                <w:rFonts w:ascii="Times New Roman" w:hAnsi="Times New Roman" w:cs="Times New Roman"/>
                <w:sz w:val="24"/>
                <w:szCs w:val="24"/>
              </w:rPr>
              <w:t>normatīvie akti energoefektivitātes monitoringa jomā.</w:t>
            </w:r>
            <w:bookmarkEnd w:id="8"/>
            <w:bookmarkEnd w:id="9"/>
          </w:p>
          <w:p w14:paraId="61FF5803" w14:textId="5793BC0D" w:rsidR="00D25235" w:rsidRPr="001B6D0A" w:rsidRDefault="0062392D" w:rsidP="001B6D0A">
            <w:pPr>
              <w:widowControl w:val="0"/>
              <w:spacing w:after="0" w:line="240" w:lineRule="auto"/>
              <w:ind w:firstLine="217"/>
              <w:contextualSpacing/>
              <w:jc w:val="both"/>
              <w:rPr>
                <w:rFonts w:ascii="Times New Roman" w:eastAsia="Times New Roman" w:hAnsi="Times New Roman" w:cs="Times New Roman"/>
                <w:sz w:val="24"/>
                <w:szCs w:val="24"/>
                <w:lang w:eastAsia="lv-LV"/>
              </w:rPr>
            </w:pPr>
            <w:r w:rsidRPr="001B6D0A">
              <w:rPr>
                <w:rFonts w:ascii="Times New Roman" w:hAnsi="Times New Roman" w:cs="Times New Roman"/>
                <w:sz w:val="24"/>
                <w:szCs w:val="24"/>
              </w:rPr>
              <w:t>Likumprojekt</w:t>
            </w:r>
            <w:r w:rsidR="0048657B" w:rsidRPr="001B6D0A">
              <w:rPr>
                <w:rFonts w:ascii="Times New Roman" w:hAnsi="Times New Roman" w:cs="Times New Roman"/>
                <w:sz w:val="24"/>
                <w:szCs w:val="24"/>
              </w:rPr>
              <w:t>a</w:t>
            </w:r>
            <w:r w:rsidRPr="001B6D0A">
              <w:rPr>
                <w:rFonts w:ascii="Times New Roman" w:hAnsi="Times New Roman" w:cs="Times New Roman"/>
                <w:sz w:val="24"/>
                <w:szCs w:val="24"/>
              </w:rPr>
              <w:t xml:space="preserve"> </w:t>
            </w:r>
            <w:r w:rsidR="00E4148D" w:rsidRPr="001B6D0A">
              <w:rPr>
                <w:rFonts w:ascii="Times New Roman" w:hAnsi="Times New Roman" w:cs="Times New Roman"/>
                <w:sz w:val="24"/>
                <w:szCs w:val="24"/>
              </w:rPr>
              <w:t>4</w:t>
            </w:r>
            <w:r w:rsidR="0048657B" w:rsidRPr="001B6D0A">
              <w:rPr>
                <w:rFonts w:ascii="Times New Roman" w:hAnsi="Times New Roman" w:cs="Times New Roman"/>
                <w:sz w:val="24"/>
                <w:szCs w:val="24"/>
              </w:rPr>
              <w:t xml:space="preserve">.pantā </w:t>
            </w:r>
            <w:r w:rsidR="00AE7593" w:rsidRPr="001B6D0A">
              <w:rPr>
                <w:rFonts w:ascii="Times New Roman" w:hAnsi="Times New Roman" w:cs="Times New Roman"/>
                <w:sz w:val="24"/>
                <w:szCs w:val="24"/>
              </w:rPr>
              <w:t>i</w:t>
            </w:r>
            <w:r w:rsidRPr="001B6D0A">
              <w:rPr>
                <w:rFonts w:ascii="Times New Roman" w:hAnsi="Times New Roman" w:cs="Times New Roman"/>
                <w:sz w:val="24"/>
                <w:szCs w:val="24"/>
              </w:rPr>
              <w:t xml:space="preserve">r </w:t>
            </w:r>
            <w:r w:rsidR="000F2F02" w:rsidRPr="001B6D0A">
              <w:rPr>
                <w:rFonts w:ascii="Times New Roman" w:hAnsi="Times New Roman" w:cs="Times New Roman"/>
                <w:sz w:val="24"/>
                <w:szCs w:val="24"/>
              </w:rPr>
              <w:t xml:space="preserve">paredzēts </w:t>
            </w:r>
            <w:r w:rsidR="0048657B" w:rsidRPr="001B6D0A">
              <w:rPr>
                <w:rFonts w:ascii="Times New Roman" w:hAnsi="Times New Roman" w:cs="Times New Roman"/>
                <w:sz w:val="24"/>
                <w:szCs w:val="24"/>
              </w:rPr>
              <w:t>izteikt</w:t>
            </w:r>
            <w:r w:rsidR="000F2F02" w:rsidRPr="001B6D0A">
              <w:rPr>
                <w:rFonts w:ascii="Times New Roman" w:hAnsi="Times New Roman" w:cs="Times New Roman"/>
                <w:sz w:val="24"/>
                <w:szCs w:val="24"/>
              </w:rPr>
              <w:t xml:space="preserve"> Likum</w:t>
            </w:r>
            <w:r w:rsidR="0048657B" w:rsidRPr="001B6D0A">
              <w:rPr>
                <w:rFonts w:ascii="Times New Roman" w:hAnsi="Times New Roman" w:cs="Times New Roman"/>
                <w:sz w:val="24"/>
                <w:szCs w:val="24"/>
              </w:rPr>
              <w:t>a</w:t>
            </w:r>
            <w:r w:rsidR="000F2F02" w:rsidRPr="001B6D0A">
              <w:rPr>
                <w:rFonts w:ascii="Times New Roman" w:hAnsi="Times New Roman" w:cs="Times New Roman"/>
                <w:sz w:val="24"/>
                <w:szCs w:val="24"/>
              </w:rPr>
              <w:t xml:space="preserve"> 12.panta piekto daļu</w:t>
            </w:r>
            <w:r w:rsidR="0048657B" w:rsidRPr="001B6D0A">
              <w:rPr>
                <w:rFonts w:ascii="Times New Roman" w:hAnsi="Times New Roman" w:cs="Times New Roman"/>
                <w:sz w:val="24"/>
                <w:szCs w:val="24"/>
              </w:rPr>
              <w:t xml:space="preserve"> jaunā redakcijā</w:t>
            </w:r>
            <w:r w:rsidRPr="001B6D0A">
              <w:rPr>
                <w:rFonts w:ascii="Times New Roman" w:hAnsi="Times New Roman" w:cs="Times New Roman"/>
                <w:sz w:val="24"/>
                <w:szCs w:val="24"/>
              </w:rPr>
              <w:t>, kas nosaka, ka komersants līdz nāk</w:t>
            </w:r>
            <w:r w:rsidR="002B6BC6" w:rsidRPr="001B6D0A">
              <w:rPr>
                <w:rFonts w:ascii="Times New Roman" w:hAnsi="Times New Roman" w:cs="Times New Roman"/>
                <w:sz w:val="24"/>
                <w:szCs w:val="24"/>
              </w:rPr>
              <w:t>am</w:t>
            </w:r>
            <w:r w:rsidRPr="001B6D0A">
              <w:rPr>
                <w:rFonts w:ascii="Times New Roman" w:hAnsi="Times New Roman" w:cs="Times New Roman"/>
                <w:sz w:val="24"/>
                <w:szCs w:val="24"/>
              </w:rPr>
              <w:t>ā gada 1.decembrim no dienas, kad tas kļuvis par lielo elektroenerģijas patērētāju saskaņā ar šā panta pirmo daļu,</w:t>
            </w:r>
            <w:r w:rsidRPr="001B6D0A">
              <w:rPr>
                <w:rFonts w:ascii="Times New Roman" w:eastAsia="Times New Roman" w:hAnsi="Times New Roman" w:cs="Times New Roman"/>
                <w:sz w:val="24"/>
                <w:szCs w:val="24"/>
                <w:lang w:eastAsia="lv-LV"/>
              </w:rPr>
              <w:t xml:space="preserve"> veic pirmo </w:t>
            </w:r>
            <w:proofErr w:type="spellStart"/>
            <w:r w:rsidRPr="001B6D0A">
              <w:rPr>
                <w:rFonts w:ascii="Times New Roman" w:eastAsia="Times New Roman" w:hAnsi="Times New Roman" w:cs="Times New Roman"/>
                <w:sz w:val="24"/>
                <w:szCs w:val="24"/>
                <w:lang w:eastAsia="lv-LV"/>
              </w:rPr>
              <w:t>energoauditu</w:t>
            </w:r>
            <w:proofErr w:type="spellEnd"/>
            <w:r w:rsidRPr="001B6D0A">
              <w:rPr>
                <w:rFonts w:ascii="Times New Roman" w:eastAsia="Times New Roman" w:hAnsi="Times New Roman" w:cs="Times New Roman"/>
                <w:sz w:val="24"/>
                <w:szCs w:val="24"/>
                <w:lang w:eastAsia="lv-LV"/>
              </w:rPr>
              <w:t xml:space="preserve"> un pēc tam regulāri nodrošina kārtējo </w:t>
            </w:r>
            <w:proofErr w:type="spellStart"/>
            <w:r w:rsidRPr="001B6D0A">
              <w:rPr>
                <w:rFonts w:ascii="Times New Roman" w:eastAsia="Times New Roman" w:hAnsi="Times New Roman" w:cs="Times New Roman"/>
                <w:sz w:val="24"/>
                <w:szCs w:val="24"/>
                <w:lang w:eastAsia="lv-LV"/>
              </w:rPr>
              <w:t>energoauditu</w:t>
            </w:r>
            <w:proofErr w:type="spellEnd"/>
            <w:r w:rsidRPr="001B6D0A">
              <w:rPr>
                <w:rFonts w:ascii="Times New Roman" w:eastAsia="Times New Roman" w:hAnsi="Times New Roman" w:cs="Times New Roman"/>
                <w:sz w:val="24"/>
                <w:szCs w:val="24"/>
                <w:lang w:eastAsia="lv-LV"/>
              </w:rPr>
              <w:t xml:space="preserve"> četru gadu laikā pēc dienas, kad apstiprināts iepriekšējais uzņēmuma</w:t>
            </w:r>
            <w:r w:rsidR="0079359A" w:rsidRPr="001B6D0A">
              <w:rPr>
                <w:rFonts w:ascii="Times New Roman" w:eastAsia="Times New Roman" w:hAnsi="Times New Roman" w:cs="Times New Roman"/>
                <w:sz w:val="24"/>
                <w:szCs w:val="24"/>
                <w:lang w:eastAsia="lv-LV"/>
              </w:rPr>
              <w:t xml:space="preserve"> </w:t>
            </w:r>
            <w:proofErr w:type="spellStart"/>
            <w:r w:rsidRPr="001B6D0A">
              <w:rPr>
                <w:rFonts w:ascii="Times New Roman" w:eastAsia="Times New Roman" w:hAnsi="Times New Roman" w:cs="Times New Roman"/>
                <w:sz w:val="24"/>
                <w:szCs w:val="24"/>
                <w:lang w:eastAsia="lv-LV"/>
              </w:rPr>
              <w:t>energoaudita</w:t>
            </w:r>
            <w:proofErr w:type="spellEnd"/>
            <w:r w:rsidRPr="001B6D0A">
              <w:rPr>
                <w:rFonts w:ascii="Times New Roman" w:eastAsia="Times New Roman" w:hAnsi="Times New Roman" w:cs="Times New Roman"/>
                <w:sz w:val="24"/>
                <w:szCs w:val="24"/>
                <w:lang w:eastAsia="lv-LV"/>
              </w:rPr>
              <w:t xml:space="preserve"> pārskats.</w:t>
            </w:r>
          </w:p>
          <w:p w14:paraId="289EAEF8" w14:textId="1AE770DB" w:rsidR="0048657B" w:rsidRPr="001B6D0A" w:rsidRDefault="0048657B" w:rsidP="001B6D0A">
            <w:pPr>
              <w:widowControl w:val="0"/>
              <w:spacing w:after="0" w:line="240" w:lineRule="auto"/>
              <w:ind w:firstLine="217"/>
              <w:contextualSpacing/>
              <w:jc w:val="both"/>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Likuma 12.panta septītajā daļā</w:t>
            </w:r>
            <w:r w:rsidR="00B52F99" w:rsidRPr="001B6D0A">
              <w:rPr>
                <w:rFonts w:ascii="Times New Roman" w:eastAsia="Times New Roman" w:hAnsi="Times New Roman" w:cs="Times New Roman"/>
                <w:sz w:val="24"/>
                <w:szCs w:val="24"/>
                <w:lang w:eastAsia="lv-LV"/>
              </w:rPr>
              <w:t xml:space="preserve"> </w:t>
            </w:r>
            <w:r w:rsidRPr="001B6D0A">
              <w:rPr>
                <w:rFonts w:ascii="Times New Roman" w:eastAsia="Times New Roman" w:hAnsi="Times New Roman" w:cs="Times New Roman"/>
                <w:sz w:val="24"/>
                <w:szCs w:val="24"/>
                <w:lang w:eastAsia="lv-LV"/>
              </w:rPr>
              <w:t>noteiktā prasība</w:t>
            </w:r>
            <w:r w:rsidR="00B52F99" w:rsidRPr="001B6D0A">
              <w:rPr>
                <w:rFonts w:ascii="Times New Roman" w:eastAsia="Times New Roman" w:hAnsi="Times New Roman" w:cs="Times New Roman"/>
                <w:sz w:val="24"/>
                <w:szCs w:val="24"/>
                <w:lang w:eastAsia="lv-LV"/>
              </w:rPr>
              <w:t xml:space="preserve"> ieviest vismaz trīs energoefektivitātes uzlabošanas pasākumus ar vislielāko novērtēto enerģijas ietaupījumu vai ekonomisko atdevi,</w:t>
            </w:r>
            <w:r w:rsidRPr="001B6D0A">
              <w:rPr>
                <w:rFonts w:ascii="Times New Roman" w:eastAsia="Times New Roman" w:hAnsi="Times New Roman" w:cs="Times New Roman"/>
                <w:sz w:val="24"/>
                <w:szCs w:val="24"/>
                <w:lang w:eastAsia="lv-LV"/>
              </w:rPr>
              <w:t xml:space="preserve"> attiecas tikai uz lielajiem elektroenerģijas patērētājiem</w:t>
            </w:r>
            <w:r w:rsidR="00F515AF" w:rsidRPr="001B6D0A">
              <w:rPr>
                <w:rFonts w:ascii="Times New Roman" w:eastAsia="Times New Roman" w:hAnsi="Times New Roman" w:cs="Times New Roman"/>
                <w:sz w:val="24"/>
                <w:szCs w:val="24"/>
                <w:lang w:eastAsia="lv-LV"/>
              </w:rPr>
              <w:t>,</w:t>
            </w:r>
            <w:r w:rsidRPr="001B6D0A">
              <w:rPr>
                <w:rFonts w:ascii="Times New Roman" w:eastAsia="Times New Roman" w:hAnsi="Times New Roman" w:cs="Times New Roman"/>
                <w:sz w:val="24"/>
                <w:szCs w:val="24"/>
                <w:lang w:eastAsia="lv-LV"/>
              </w:rPr>
              <w:t xml:space="preserve"> kuri </w:t>
            </w:r>
            <w:r w:rsidR="00F515AF" w:rsidRPr="001B6D0A">
              <w:rPr>
                <w:rFonts w:ascii="Times New Roman" w:eastAsia="Times New Roman" w:hAnsi="Times New Roman" w:cs="Times New Roman"/>
                <w:sz w:val="24"/>
                <w:szCs w:val="24"/>
                <w:lang w:eastAsia="lv-LV"/>
              </w:rPr>
              <w:t xml:space="preserve">ir </w:t>
            </w:r>
            <w:r w:rsidRPr="001B6D0A">
              <w:rPr>
                <w:rFonts w:ascii="Times New Roman" w:eastAsia="Times New Roman" w:hAnsi="Times New Roman" w:cs="Times New Roman"/>
                <w:sz w:val="24"/>
                <w:szCs w:val="24"/>
                <w:lang w:eastAsia="lv-LV"/>
              </w:rPr>
              <w:t xml:space="preserve">ieviesuši </w:t>
            </w:r>
            <w:proofErr w:type="spellStart"/>
            <w:r w:rsidR="00B52F99" w:rsidRPr="001B6D0A">
              <w:rPr>
                <w:rFonts w:ascii="Times New Roman" w:eastAsia="Times New Roman" w:hAnsi="Times New Roman" w:cs="Times New Roman"/>
                <w:sz w:val="24"/>
                <w:szCs w:val="24"/>
                <w:lang w:eastAsia="lv-LV"/>
              </w:rPr>
              <w:t>energopārvaldības</w:t>
            </w:r>
            <w:proofErr w:type="spellEnd"/>
            <w:r w:rsidR="00B52F99" w:rsidRPr="001B6D0A">
              <w:rPr>
                <w:rFonts w:ascii="Times New Roman" w:eastAsia="Times New Roman" w:hAnsi="Times New Roman" w:cs="Times New Roman"/>
                <w:sz w:val="24"/>
                <w:szCs w:val="24"/>
                <w:lang w:eastAsia="lv-LV"/>
              </w:rPr>
              <w:t xml:space="preserve"> </w:t>
            </w:r>
            <w:r w:rsidR="00B52F99" w:rsidRPr="001B6D0A">
              <w:rPr>
                <w:rFonts w:ascii="Times New Roman" w:eastAsia="Times New Roman" w:hAnsi="Times New Roman" w:cs="Times New Roman"/>
                <w:sz w:val="24"/>
                <w:szCs w:val="24"/>
                <w:lang w:eastAsia="lv-LV"/>
              </w:rPr>
              <w:lastRenderedPageBreak/>
              <w:t xml:space="preserve">sistēmu vai papildinājuši vides pārvaldības sistēmu. </w:t>
            </w:r>
            <w:r w:rsidR="00B52F99" w:rsidRPr="001B6D0A">
              <w:rPr>
                <w:rFonts w:ascii="Times New Roman" w:hAnsi="Times New Roman" w:cs="Times New Roman"/>
                <w:sz w:val="24"/>
                <w:szCs w:val="24"/>
              </w:rPr>
              <w:t xml:space="preserve">Likumprojekta </w:t>
            </w:r>
            <w:r w:rsidR="00267D4C" w:rsidRPr="001B6D0A">
              <w:rPr>
                <w:rFonts w:ascii="Times New Roman" w:hAnsi="Times New Roman" w:cs="Times New Roman"/>
                <w:sz w:val="24"/>
                <w:szCs w:val="24"/>
              </w:rPr>
              <w:t>4</w:t>
            </w:r>
            <w:r w:rsidR="00B52F99" w:rsidRPr="001B6D0A">
              <w:rPr>
                <w:rFonts w:ascii="Times New Roman" w:hAnsi="Times New Roman" w:cs="Times New Roman"/>
                <w:sz w:val="24"/>
                <w:szCs w:val="24"/>
              </w:rPr>
              <w:t xml:space="preserve">.pantā ir </w:t>
            </w:r>
            <w:r w:rsidR="007030DB" w:rsidRPr="001B6D0A">
              <w:rPr>
                <w:rFonts w:ascii="Times New Roman" w:hAnsi="Times New Roman" w:cs="Times New Roman"/>
                <w:sz w:val="24"/>
                <w:szCs w:val="24"/>
              </w:rPr>
              <w:t>paredzēt</w:t>
            </w:r>
            <w:r w:rsidR="00892A4E" w:rsidRPr="001B6D0A">
              <w:rPr>
                <w:rFonts w:ascii="Times New Roman" w:hAnsi="Times New Roman" w:cs="Times New Roman"/>
                <w:sz w:val="24"/>
                <w:szCs w:val="24"/>
              </w:rPr>
              <w:t xml:space="preserve">s </w:t>
            </w:r>
            <w:r w:rsidR="00B52F99" w:rsidRPr="001B6D0A">
              <w:rPr>
                <w:rFonts w:ascii="Times New Roman" w:eastAsia="Times New Roman" w:hAnsi="Times New Roman" w:cs="Times New Roman"/>
                <w:sz w:val="24"/>
                <w:szCs w:val="24"/>
                <w:lang w:eastAsia="lv-LV"/>
              </w:rPr>
              <w:t xml:space="preserve">papildināt Likuma 12.panta septīto daļu ar prasību ieviest vismaz trīs energoefektivitātes uzlabošanas pasākumus ar vislielāko novērtēto enerģijas ietaupījumu vai ekonomisko atdevi arī tiem lielajiem elektroenerģijas patērētājiem, kuri veic regulāru </w:t>
            </w:r>
            <w:proofErr w:type="spellStart"/>
            <w:r w:rsidR="00B52F99" w:rsidRPr="001B6D0A">
              <w:rPr>
                <w:rFonts w:ascii="Times New Roman" w:eastAsia="Times New Roman" w:hAnsi="Times New Roman" w:cs="Times New Roman"/>
                <w:sz w:val="24"/>
                <w:szCs w:val="24"/>
                <w:lang w:eastAsia="lv-LV"/>
              </w:rPr>
              <w:t>energoauditu</w:t>
            </w:r>
            <w:proofErr w:type="spellEnd"/>
            <w:r w:rsidR="00B52F99" w:rsidRPr="001B6D0A">
              <w:rPr>
                <w:rFonts w:ascii="Times New Roman" w:eastAsia="Times New Roman" w:hAnsi="Times New Roman" w:cs="Times New Roman"/>
                <w:sz w:val="24"/>
                <w:szCs w:val="24"/>
                <w:lang w:eastAsia="lv-LV"/>
              </w:rPr>
              <w:t>.</w:t>
            </w:r>
          </w:p>
          <w:p w14:paraId="6AAB3882" w14:textId="1BE0629A" w:rsidR="00FB02E1" w:rsidRPr="001B6D0A" w:rsidRDefault="00FB02E1" w:rsidP="001B6D0A">
            <w:pPr>
              <w:pStyle w:val="Heading3"/>
              <w:shd w:val="clear" w:color="auto" w:fill="FFFFFF"/>
              <w:spacing w:before="0" w:beforeAutospacing="0" w:after="0" w:afterAutospacing="0"/>
              <w:contextualSpacing/>
              <w:jc w:val="both"/>
              <w:rPr>
                <w:b w:val="0"/>
                <w:sz w:val="24"/>
                <w:szCs w:val="24"/>
              </w:rPr>
            </w:pPr>
          </w:p>
          <w:p w14:paraId="45A3B9F4" w14:textId="6535098C" w:rsidR="0062392D" w:rsidRPr="001B6D0A" w:rsidRDefault="00FB02E1" w:rsidP="001B6D0A">
            <w:pPr>
              <w:pStyle w:val="Heading3"/>
              <w:shd w:val="clear" w:color="auto" w:fill="FFFFFF"/>
              <w:spacing w:before="0" w:beforeAutospacing="0" w:after="0" w:afterAutospacing="0"/>
              <w:ind w:firstLine="217"/>
              <w:contextualSpacing/>
              <w:jc w:val="both"/>
              <w:rPr>
                <w:b w:val="0"/>
                <w:sz w:val="24"/>
                <w:szCs w:val="24"/>
              </w:rPr>
            </w:pPr>
            <w:r w:rsidRPr="001B6D0A">
              <w:rPr>
                <w:b w:val="0"/>
                <w:sz w:val="24"/>
                <w:szCs w:val="24"/>
              </w:rPr>
              <w:t xml:space="preserve">Likumā nav </w:t>
            </w:r>
            <w:r w:rsidR="00E5269C" w:rsidRPr="001B6D0A">
              <w:rPr>
                <w:b w:val="0"/>
                <w:sz w:val="24"/>
                <w:szCs w:val="24"/>
              </w:rPr>
              <w:t xml:space="preserve">ietverta </w:t>
            </w:r>
            <w:r w:rsidRPr="001B6D0A">
              <w:rPr>
                <w:b w:val="0"/>
                <w:sz w:val="24"/>
                <w:szCs w:val="24"/>
              </w:rPr>
              <w:t xml:space="preserve">norma, kā jārīkojas gadījumā, </w:t>
            </w:r>
            <w:r w:rsidR="00986393" w:rsidRPr="001B6D0A">
              <w:rPr>
                <w:b w:val="0"/>
                <w:sz w:val="24"/>
                <w:szCs w:val="24"/>
              </w:rPr>
              <w:t xml:space="preserve">ja </w:t>
            </w:r>
            <w:r w:rsidRPr="001B6D0A">
              <w:rPr>
                <w:b w:val="0"/>
                <w:sz w:val="24"/>
                <w:szCs w:val="24"/>
              </w:rPr>
              <w:t>lielais elektroenerģijas patērētājs kādā no gadiem ir zaudējis savu statusu, bet tad atkal to atguvis. Likumprojekt</w:t>
            </w:r>
            <w:r w:rsidR="00B52F99" w:rsidRPr="001B6D0A">
              <w:rPr>
                <w:b w:val="0"/>
                <w:sz w:val="24"/>
                <w:szCs w:val="24"/>
              </w:rPr>
              <w:t>a</w:t>
            </w:r>
            <w:r w:rsidR="00AA5971" w:rsidRPr="001B6D0A">
              <w:rPr>
                <w:b w:val="0"/>
                <w:sz w:val="24"/>
                <w:szCs w:val="24"/>
              </w:rPr>
              <w:t xml:space="preserve"> 4</w:t>
            </w:r>
            <w:r w:rsidR="00B52F99" w:rsidRPr="001B6D0A">
              <w:rPr>
                <w:b w:val="0"/>
                <w:sz w:val="24"/>
                <w:szCs w:val="24"/>
              </w:rPr>
              <w:t xml:space="preserve">.pantā </w:t>
            </w:r>
            <w:r w:rsidRPr="001B6D0A">
              <w:rPr>
                <w:b w:val="0"/>
                <w:sz w:val="24"/>
                <w:szCs w:val="24"/>
              </w:rPr>
              <w:t xml:space="preserve">ir </w:t>
            </w:r>
            <w:r w:rsidR="00057297" w:rsidRPr="001B6D0A">
              <w:rPr>
                <w:b w:val="0"/>
                <w:sz w:val="24"/>
                <w:szCs w:val="24"/>
              </w:rPr>
              <w:t xml:space="preserve">paredzēts </w:t>
            </w:r>
            <w:r w:rsidR="00B52F99" w:rsidRPr="001B6D0A">
              <w:rPr>
                <w:b w:val="0"/>
                <w:sz w:val="24"/>
                <w:szCs w:val="24"/>
              </w:rPr>
              <w:t>papildināt Likuma 12.pantu ar 6.</w:t>
            </w:r>
            <w:r w:rsidR="005B6174" w:rsidRPr="001B6D0A">
              <w:rPr>
                <w:b w:val="0"/>
                <w:sz w:val="24"/>
                <w:szCs w:val="24"/>
                <w:vertAlign w:val="superscript"/>
              </w:rPr>
              <w:t>3</w:t>
            </w:r>
            <w:r w:rsidR="00B52F99" w:rsidRPr="001B6D0A">
              <w:rPr>
                <w:b w:val="0"/>
                <w:sz w:val="24"/>
                <w:szCs w:val="24"/>
              </w:rPr>
              <w:t xml:space="preserve"> un 6.</w:t>
            </w:r>
            <w:r w:rsidR="005B6174" w:rsidRPr="001B6D0A">
              <w:rPr>
                <w:b w:val="0"/>
                <w:sz w:val="24"/>
                <w:szCs w:val="24"/>
                <w:vertAlign w:val="superscript"/>
              </w:rPr>
              <w:t>4</w:t>
            </w:r>
            <w:r w:rsidR="00B52F99" w:rsidRPr="001B6D0A">
              <w:rPr>
                <w:b w:val="0"/>
                <w:sz w:val="24"/>
                <w:szCs w:val="24"/>
              </w:rPr>
              <w:t xml:space="preserve"> daļu</w:t>
            </w:r>
            <w:r w:rsidRPr="001B6D0A">
              <w:rPr>
                <w:b w:val="0"/>
                <w:sz w:val="24"/>
                <w:szCs w:val="24"/>
              </w:rPr>
              <w:t xml:space="preserve">, kas nosaka, kā lielajam elektroenerģijas patērētājam ir jārīkojas minētajā gadījumā. </w:t>
            </w:r>
            <w:r w:rsidR="0087794D" w:rsidRPr="001B6D0A">
              <w:rPr>
                <w:b w:val="0"/>
                <w:sz w:val="24"/>
                <w:szCs w:val="24"/>
              </w:rPr>
              <w:t>Jaunā n</w:t>
            </w:r>
            <w:r w:rsidR="00717DE3" w:rsidRPr="001B6D0A">
              <w:rPr>
                <w:b w:val="0"/>
                <w:sz w:val="24"/>
                <w:szCs w:val="24"/>
              </w:rPr>
              <w:t>orma neuzliek uzņēmumiem papildu administratīvo slogu.</w:t>
            </w:r>
          </w:p>
          <w:p w14:paraId="3521A09B" w14:textId="5D627600" w:rsidR="00FD23E3" w:rsidRPr="001B6D0A" w:rsidRDefault="00FD23E3" w:rsidP="001B6D0A">
            <w:pPr>
              <w:pStyle w:val="Heading3"/>
              <w:shd w:val="clear" w:color="auto" w:fill="FFFFFF"/>
              <w:spacing w:before="0" w:beforeAutospacing="0" w:after="0" w:afterAutospacing="0"/>
              <w:ind w:firstLine="217"/>
              <w:contextualSpacing/>
              <w:jc w:val="both"/>
              <w:rPr>
                <w:b w:val="0"/>
                <w:sz w:val="24"/>
                <w:szCs w:val="24"/>
              </w:rPr>
            </w:pPr>
            <w:r w:rsidRPr="001B6D0A">
              <w:rPr>
                <w:b w:val="0"/>
                <w:sz w:val="24"/>
                <w:szCs w:val="24"/>
              </w:rPr>
              <w:t xml:space="preserve">Likumprojekta </w:t>
            </w:r>
            <w:r w:rsidR="00AA5971" w:rsidRPr="001B6D0A">
              <w:rPr>
                <w:b w:val="0"/>
                <w:sz w:val="24"/>
                <w:szCs w:val="24"/>
              </w:rPr>
              <w:t>4</w:t>
            </w:r>
            <w:r w:rsidRPr="001B6D0A">
              <w:rPr>
                <w:b w:val="0"/>
                <w:sz w:val="24"/>
                <w:szCs w:val="24"/>
              </w:rPr>
              <w:t xml:space="preserve">.pantā </w:t>
            </w:r>
            <w:r w:rsidR="00F11375" w:rsidRPr="001B6D0A">
              <w:rPr>
                <w:b w:val="0"/>
                <w:sz w:val="24"/>
                <w:szCs w:val="24"/>
              </w:rPr>
              <w:t xml:space="preserve">paredzēts </w:t>
            </w:r>
            <w:r w:rsidRPr="001B6D0A">
              <w:rPr>
                <w:b w:val="0"/>
                <w:sz w:val="24"/>
                <w:szCs w:val="24"/>
              </w:rPr>
              <w:t>Likuma 12.panta devīt</w:t>
            </w:r>
            <w:r w:rsidR="00F11375" w:rsidRPr="001B6D0A">
              <w:rPr>
                <w:b w:val="0"/>
                <w:sz w:val="24"/>
                <w:szCs w:val="24"/>
              </w:rPr>
              <w:t>o</w:t>
            </w:r>
            <w:r w:rsidRPr="001B6D0A">
              <w:rPr>
                <w:b w:val="0"/>
                <w:sz w:val="24"/>
                <w:szCs w:val="24"/>
              </w:rPr>
              <w:t xml:space="preserve"> daļ</w:t>
            </w:r>
            <w:r w:rsidR="00F11375" w:rsidRPr="001B6D0A">
              <w:rPr>
                <w:b w:val="0"/>
                <w:sz w:val="24"/>
                <w:szCs w:val="24"/>
              </w:rPr>
              <w:t>u izteikt</w:t>
            </w:r>
            <w:r w:rsidRPr="001B6D0A">
              <w:rPr>
                <w:b w:val="0"/>
                <w:sz w:val="24"/>
                <w:szCs w:val="24"/>
              </w:rPr>
              <w:t xml:space="preserve"> jauna redakcija, nodrošin</w:t>
            </w:r>
            <w:r w:rsidR="009A020F" w:rsidRPr="001B6D0A">
              <w:rPr>
                <w:b w:val="0"/>
                <w:sz w:val="24"/>
                <w:szCs w:val="24"/>
              </w:rPr>
              <w:t>ot</w:t>
            </w:r>
            <w:r w:rsidRPr="001B6D0A">
              <w:rPr>
                <w:b w:val="0"/>
                <w:sz w:val="24"/>
                <w:szCs w:val="24"/>
              </w:rPr>
              <w:t xml:space="preserve">, ka Likumā izmantojamā terminoloģija sakrīt ar Enerģētikas likuma 1.panta 44.punktā noteikto </w:t>
            </w:r>
            <w:r w:rsidR="00DC07EC" w:rsidRPr="001B6D0A">
              <w:rPr>
                <w:b w:val="0"/>
                <w:sz w:val="24"/>
                <w:szCs w:val="24"/>
              </w:rPr>
              <w:t>“sistēmas lietotāja “</w:t>
            </w:r>
            <w:r w:rsidRPr="001B6D0A">
              <w:rPr>
                <w:b w:val="0"/>
                <w:sz w:val="24"/>
                <w:szCs w:val="24"/>
              </w:rPr>
              <w:t>definīciju.</w:t>
            </w:r>
          </w:p>
          <w:p w14:paraId="2555B72B" w14:textId="30EB5988" w:rsidR="00C40F12" w:rsidRPr="001B6D0A" w:rsidRDefault="00C40F12" w:rsidP="001B6D0A">
            <w:pPr>
              <w:pStyle w:val="Heading3"/>
              <w:shd w:val="clear" w:color="auto" w:fill="FFFFFF"/>
              <w:spacing w:before="0" w:beforeAutospacing="0" w:after="0" w:afterAutospacing="0"/>
              <w:ind w:firstLine="217"/>
              <w:contextualSpacing/>
              <w:jc w:val="both"/>
              <w:rPr>
                <w:b w:val="0"/>
                <w:sz w:val="24"/>
                <w:szCs w:val="24"/>
              </w:rPr>
            </w:pPr>
            <w:r w:rsidRPr="001B6D0A">
              <w:rPr>
                <w:b w:val="0"/>
                <w:sz w:val="24"/>
                <w:szCs w:val="24"/>
              </w:rPr>
              <w:t xml:space="preserve">Praksē vairākkārtīgi no lielo elektroenerģijas patērētāju puses ir izskanējis lūgums </w:t>
            </w:r>
            <w:r w:rsidR="00F733E5" w:rsidRPr="001B6D0A">
              <w:rPr>
                <w:b w:val="0"/>
                <w:sz w:val="24"/>
                <w:szCs w:val="24"/>
              </w:rPr>
              <w:t>EM</w:t>
            </w:r>
            <w:r w:rsidRPr="001B6D0A">
              <w:rPr>
                <w:b w:val="0"/>
                <w:sz w:val="24"/>
                <w:szCs w:val="24"/>
              </w:rPr>
              <w:t xml:space="preserve"> (atbildīgajai ministrijai) publicēt lielo elektroenerģijas patērētāju sarakstu. Likumā līdz šim nav noteikts pienākums atbildīgajai ministrijai veidot lielo elektroenerģijas patērētāju sarakstu. Šāda saraksta veidošanai jāizmanto atbilstoši Likuma 12.panta devītās daļas prasībām elektroenerģijas sistēmas operatora sniegtie elektroenerģijas patēriņa dati un sistēmas lietotāju sniegtā informācija par elektroenerģijas izlietojumu. Līdz ar lielo elektroenerģijas patērētāju saraksta izveidošanu</w:t>
            </w:r>
            <w:r w:rsidR="001940E4" w:rsidRPr="001B6D0A">
              <w:rPr>
                <w:b w:val="0"/>
                <w:sz w:val="24"/>
                <w:szCs w:val="24"/>
              </w:rPr>
              <w:t xml:space="preserve"> un publicēšanu EM tīmekļa vietnē</w:t>
            </w:r>
            <w:r w:rsidRPr="001B6D0A">
              <w:rPr>
                <w:b w:val="0"/>
                <w:sz w:val="24"/>
                <w:szCs w:val="24"/>
              </w:rPr>
              <w:t>, Likuma 12. un 13.panta prasības attieksies tikai uz tiem komersantiem, kuri  iekļauti minētajā sarakstā.</w:t>
            </w:r>
          </w:p>
          <w:p w14:paraId="62884F7A" w14:textId="77777777" w:rsidR="006259C7" w:rsidRPr="001B6D0A" w:rsidRDefault="006259C7" w:rsidP="001B6D0A">
            <w:pPr>
              <w:pStyle w:val="Heading3"/>
              <w:shd w:val="clear" w:color="auto" w:fill="FFFFFF"/>
              <w:spacing w:before="0" w:beforeAutospacing="0" w:after="0" w:afterAutospacing="0"/>
              <w:contextualSpacing/>
              <w:jc w:val="both"/>
              <w:rPr>
                <w:b w:val="0"/>
                <w:sz w:val="24"/>
                <w:szCs w:val="24"/>
              </w:rPr>
            </w:pPr>
          </w:p>
          <w:p w14:paraId="0C47240C" w14:textId="77777777" w:rsidR="00691BE5" w:rsidRPr="001B6D0A" w:rsidRDefault="005B6174" w:rsidP="001B6D0A">
            <w:pPr>
              <w:spacing w:after="0" w:line="240" w:lineRule="auto"/>
              <w:ind w:firstLine="217"/>
              <w:contextualSpacing/>
              <w:jc w:val="both"/>
              <w:rPr>
                <w:rFonts w:ascii="Times New Roman" w:eastAsia="Calibri" w:hAnsi="Times New Roman" w:cs="Times New Roman"/>
                <w:b/>
                <w:sz w:val="24"/>
                <w:szCs w:val="24"/>
              </w:rPr>
            </w:pPr>
            <w:r w:rsidRPr="001B6D0A">
              <w:rPr>
                <w:rFonts w:ascii="Times New Roman" w:eastAsia="Calibri" w:hAnsi="Times New Roman" w:cs="Times New Roman"/>
                <w:b/>
                <w:sz w:val="24"/>
                <w:szCs w:val="24"/>
              </w:rPr>
              <w:t>Energoefektivitātes monitorings</w:t>
            </w:r>
          </w:p>
          <w:p w14:paraId="002261BB" w14:textId="09F4E9B3" w:rsidR="00594E18" w:rsidRDefault="001F2B53" w:rsidP="001B6D0A">
            <w:pPr>
              <w:pStyle w:val="naiskr"/>
              <w:spacing w:before="0" w:beforeAutospacing="0" w:after="0" w:afterAutospacing="0"/>
              <w:ind w:firstLine="217"/>
              <w:contextualSpacing/>
              <w:jc w:val="both"/>
            </w:pPr>
            <w:r w:rsidRPr="00E50C67">
              <w:t xml:space="preserve">Monitoringa sistēma ir veidota </w:t>
            </w:r>
            <w:r w:rsidR="002721C6" w:rsidRPr="00E50C67">
              <w:t xml:space="preserve">un darbojas </w:t>
            </w:r>
            <w:r w:rsidRPr="00E50C67">
              <w:t xml:space="preserve">kā visaptveroša ar energoefektivitātes politiku un mērķu  sasniegšanu saistītās informācijas apkopošanas un analīzes sistēma, </w:t>
            </w:r>
            <w:r w:rsidR="00BD76D3">
              <w:t>tostarp</w:t>
            </w:r>
            <w:r w:rsidRPr="00E50C67">
              <w:t xml:space="preserve"> ietver</w:t>
            </w:r>
            <w:r w:rsidR="00BD76D3">
              <w:t>ot</w:t>
            </w:r>
            <w:r w:rsidRPr="00E50C67">
              <w:t xml:space="preserve"> </w:t>
            </w:r>
            <w:r w:rsidR="002721C6" w:rsidRPr="00E50C67">
              <w:t>informāciju par  obligātā enerģijas iet</w:t>
            </w:r>
            <w:r w:rsidR="00BD76D3">
              <w:t>a</w:t>
            </w:r>
            <w:r w:rsidR="002721C6" w:rsidRPr="00E50C67">
              <w:t>upījuma mērķa izpildi (pasākumiem un t</w:t>
            </w:r>
            <w:r w:rsidR="00BD76D3">
              <w:t>o ietvaros</w:t>
            </w:r>
            <w:r w:rsidR="002721C6" w:rsidRPr="00E50C67">
              <w:t xml:space="preserve"> sasniegt</w:t>
            </w:r>
            <w:r w:rsidR="002721C6" w:rsidRPr="00C911F2">
              <w:t>o enerģijas ietaupījum</w:t>
            </w:r>
            <w:r w:rsidR="002721C6" w:rsidRPr="00E50C67">
              <w:t xml:space="preserve">u) un obligātā valsts ēku atjaunošanas </w:t>
            </w:r>
            <w:r w:rsidR="00EB155D" w:rsidRPr="00E50C67">
              <w:t xml:space="preserve">mērķa - ik gadus 3% apjomā no </w:t>
            </w:r>
            <w:proofErr w:type="spellStart"/>
            <w:r w:rsidR="00EB155D" w:rsidRPr="00E50C67">
              <w:t>energoneefektīvo</w:t>
            </w:r>
            <w:proofErr w:type="spellEnd"/>
            <w:r w:rsidR="00EB155D" w:rsidRPr="00E50C67">
              <w:t xml:space="preserve"> ēku kopējās platības - izpildi (normatīvajos aktos noteiktām</w:t>
            </w:r>
            <w:r w:rsidR="00EB155D" w:rsidRPr="00840BB9">
              <w:t xml:space="preserve"> energoefektivitātes minimālajām prasībām neatbilstošo ēku sarakstu un ikgadējo atjaunoto platību).</w:t>
            </w:r>
            <w:r w:rsidR="00EB155D" w:rsidRPr="00C409C3">
              <w:t xml:space="preserve"> </w:t>
            </w:r>
          </w:p>
          <w:p w14:paraId="203E9DA7" w14:textId="4816B1F4" w:rsidR="001B67E8" w:rsidRPr="00E50C67" w:rsidRDefault="00594E18" w:rsidP="001B6D0A">
            <w:pPr>
              <w:pStyle w:val="naiskr"/>
              <w:spacing w:before="0" w:beforeAutospacing="0" w:after="0" w:afterAutospacing="0"/>
              <w:ind w:firstLine="217"/>
              <w:contextualSpacing/>
              <w:jc w:val="both"/>
            </w:pPr>
            <w:r>
              <w:t>Likumprojekt</w:t>
            </w:r>
            <w:r w:rsidR="00326878">
              <w:t>ā</w:t>
            </w:r>
            <w:r>
              <w:t xml:space="preserve"> m</w:t>
            </w:r>
            <w:r w:rsidR="00EB155D" w:rsidRPr="00C409C3">
              <w:t xml:space="preserve">onitoringa sistēmas mērķis </w:t>
            </w:r>
            <w:r w:rsidR="00326878">
              <w:t>tiek</w:t>
            </w:r>
            <w:r w:rsidR="00455911">
              <w:t xml:space="preserve"> </w:t>
            </w:r>
            <w:r w:rsidR="00EB155D" w:rsidRPr="00C409C3">
              <w:t xml:space="preserve">papildināts ar </w:t>
            </w:r>
            <w:r w:rsidR="00EB155D" w:rsidRPr="008D706C">
              <w:t>atsauci uz Nacionāl</w:t>
            </w:r>
            <w:r w:rsidR="006E2B2F">
              <w:t>o</w:t>
            </w:r>
            <w:r w:rsidR="00EB155D" w:rsidRPr="008D706C">
              <w:t xml:space="preserve"> enerģētikas un klimata plān</w:t>
            </w:r>
            <w:r w:rsidR="006E2B2F">
              <w:t>u</w:t>
            </w:r>
            <w:r w:rsidR="009709D0">
              <w:t xml:space="preserve"> 2021.-2030.gadam</w:t>
            </w:r>
            <w:r w:rsidR="00CD05D4">
              <w:t>,</w:t>
            </w:r>
            <w:r w:rsidR="00EB155D" w:rsidRPr="008D706C">
              <w:t xml:space="preserve">, </w:t>
            </w:r>
            <w:r w:rsidR="006E2B2F">
              <w:t>kas</w:t>
            </w:r>
            <w:r w:rsidR="00E921A6">
              <w:t xml:space="preserve"> </w:t>
            </w:r>
            <w:r w:rsidR="006E2B2F">
              <w:t>aptvers</w:t>
            </w:r>
            <w:r w:rsidR="00EB155D" w:rsidRPr="008D706C">
              <w:t xml:space="preserve"> </w:t>
            </w:r>
            <w:r w:rsidR="00E50C67">
              <w:t xml:space="preserve">Latvijas </w:t>
            </w:r>
            <w:r w:rsidR="006E2B2F">
              <w:t xml:space="preserve">ilgtermiņa </w:t>
            </w:r>
            <w:r w:rsidR="00C7456B">
              <w:t xml:space="preserve">mērķus </w:t>
            </w:r>
            <w:r w:rsidR="00745262" w:rsidRPr="00E50C67">
              <w:t xml:space="preserve">energoefektivitātes </w:t>
            </w:r>
            <w:r w:rsidR="00C7456B">
              <w:t>jomā</w:t>
            </w:r>
            <w:r w:rsidR="00745262" w:rsidRPr="00E50C67">
              <w:t>.</w:t>
            </w:r>
            <w:r w:rsidR="00EB155D" w:rsidRPr="00E50C67">
              <w:t xml:space="preserve"> </w:t>
            </w:r>
            <w:r w:rsidR="001F2B53" w:rsidRPr="00E50C67">
              <w:t xml:space="preserve"> </w:t>
            </w:r>
            <w:r w:rsidR="005B6174" w:rsidRPr="00E50C67">
              <w:t>Tā kā pašreizējā monitoringa sistēm</w:t>
            </w:r>
            <w:r w:rsidR="002721C6" w:rsidRPr="00E50C67">
              <w:t>as regulējumā</w:t>
            </w:r>
            <w:r w:rsidR="005B6174" w:rsidRPr="00E50C67">
              <w:t xml:space="preserve"> iztrūkst pienākums sistēmas ietvaros aprēķināt iegūtos enerģijas ietaupījumus, </w:t>
            </w:r>
            <w:r w:rsidR="00B6744D" w:rsidRPr="00E50C67">
              <w:t>L</w:t>
            </w:r>
            <w:r w:rsidR="005B6174" w:rsidRPr="00E50C67">
              <w:t>ikumprojekt</w:t>
            </w:r>
            <w:r w:rsidR="00B171EE" w:rsidRPr="00E50C67">
              <w:t>a 6.pantā</w:t>
            </w:r>
            <w:r w:rsidR="005B6174" w:rsidRPr="00E50C67">
              <w:t xml:space="preserve"> ir paredzēts papildināt Likuma 15.panta otro daļu ar pienākumu energoefektivitātes monitoringa sistēmas ietvaros veikt minētos aprēķinus.</w:t>
            </w:r>
            <w:r w:rsidR="00EB155D" w:rsidRPr="00E50C67">
              <w:t xml:space="preserve"> </w:t>
            </w:r>
          </w:p>
          <w:p w14:paraId="78B7B59C" w14:textId="77777777" w:rsidR="001B6D0A" w:rsidRPr="001B6D0A" w:rsidRDefault="001B6D0A" w:rsidP="001B6D0A">
            <w:pPr>
              <w:pStyle w:val="naiskr"/>
              <w:spacing w:before="0" w:beforeAutospacing="0" w:after="0" w:afterAutospacing="0"/>
              <w:ind w:firstLine="215"/>
              <w:contextualSpacing/>
              <w:jc w:val="both"/>
            </w:pPr>
          </w:p>
          <w:p w14:paraId="261B80CF" w14:textId="3ABF0900" w:rsidR="004C0CDA" w:rsidRPr="001B6D0A" w:rsidRDefault="003222B6" w:rsidP="001B6D0A">
            <w:pPr>
              <w:pStyle w:val="naiskr"/>
              <w:spacing w:before="0" w:beforeAutospacing="0" w:after="0" w:afterAutospacing="0"/>
              <w:ind w:firstLine="217"/>
              <w:contextualSpacing/>
              <w:jc w:val="both"/>
              <w:rPr>
                <w:b/>
              </w:rPr>
            </w:pPr>
            <w:r w:rsidRPr="001B6D0A">
              <w:rPr>
                <w:b/>
              </w:rPr>
              <w:t>Galalietotāju nodrošināšana ar informāciju, enerģijas patēriņa uzskaite</w:t>
            </w:r>
          </w:p>
          <w:p w14:paraId="23D8B953" w14:textId="755078F9" w:rsidR="003222B6" w:rsidRPr="001B6D0A" w:rsidRDefault="004C0CDA" w:rsidP="001B6D0A">
            <w:pPr>
              <w:spacing w:after="0" w:line="240" w:lineRule="auto"/>
              <w:contextualSpacing/>
              <w:jc w:val="both"/>
              <w:rPr>
                <w:rFonts w:ascii="Times New Roman" w:hAnsi="Times New Roman" w:cs="Times New Roman"/>
                <w:sz w:val="24"/>
                <w:szCs w:val="24"/>
              </w:rPr>
            </w:pPr>
            <w:r w:rsidRPr="001B6D0A">
              <w:rPr>
                <w:rFonts w:ascii="Times New Roman" w:hAnsi="Times New Roman" w:cs="Times New Roman"/>
                <w:sz w:val="24"/>
                <w:szCs w:val="24"/>
              </w:rPr>
              <w:t xml:space="preserve">Tā kā no 2018.gada 25.maija ir stājušās </w:t>
            </w:r>
            <w:r w:rsidR="00664E7D" w:rsidRPr="001B6D0A">
              <w:rPr>
                <w:rFonts w:ascii="Times New Roman" w:hAnsi="Times New Roman" w:cs="Times New Roman"/>
                <w:sz w:val="24"/>
                <w:szCs w:val="24"/>
              </w:rPr>
              <w:t xml:space="preserve">spēkā </w:t>
            </w:r>
            <w:r w:rsidRPr="001B6D0A">
              <w:rPr>
                <w:rFonts w:ascii="Times New Roman" w:hAnsi="Times New Roman" w:cs="Times New Roman"/>
                <w:sz w:val="24"/>
                <w:szCs w:val="24"/>
              </w:rPr>
              <w:t xml:space="preserve">Eiropas Parlamenta un Padomes 2016.gada 27.aprīļa Regulas (ES) par fizisku personu </w:t>
            </w:r>
            <w:r w:rsidRPr="001B6D0A">
              <w:rPr>
                <w:rFonts w:ascii="Times New Roman" w:hAnsi="Times New Roman" w:cs="Times New Roman"/>
                <w:sz w:val="24"/>
                <w:szCs w:val="24"/>
              </w:rPr>
              <w:lastRenderedPageBreak/>
              <w:t>aizsardzību attiecībā uz personas datu apstrādi un šādu datu brīvu apriti un ar ko atceļ Direktīvu 95/46/EK (Vispārīgā datu aizsardzības regula)</w:t>
            </w:r>
            <w:r w:rsidR="00A64B59" w:rsidRPr="001B6D0A">
              <w:rPr>
                <w:rFonts w:ascii="Times New Roman" w:hAnsi="Times New Roman" w:cs="Times New Roman"/>
                <w:sz w:val="24"/>
                <w:szCs w:val="24"/>
              </w:rPr>
              <w:t>, Likumprojekta 7.pantā iekļauta prasība svītrot Likuma 16.panta piekto daļu.</w:t>
            </w:r>
            <w:r w:rsidR="00664E7D" w:rsidRPr="001B6D0A">
              <w:rPr>
                <w:rFonts w:ascii="Times New Roman" w:hAnsi="Times New Roman" w:cs="Times New Roman"/>
                <w:sz w:val="24"/>
                <w:szCs w:val="24"/>
              </w:rPr>
              <w:t xml:space="preserve"> </w:t>
            </w:r>
            <w:r w:rsidR="003222B6" w:rsidRPr="001B6D0A">
              <w:rPr>
                <w:rFonts w:ascii="Times New Roman" w:hAnsi="Times New Roman" w:cs="Times New Roman"/>
                <w:bCs/>
                <w:sz w:val="24"/>
                <w:szCs w:val="24"/>
              </w:rPr>
              <w:t xml:space="preserve">Atbilstoši likuma “Par sabiedrisko pakalpojumu regulatoriem” 7.panta prasībām, Sabiedrisko pakalpojumu regulēšanas komisija (turpmāk – </w:t>
            </w:r>
            <w:r w:rsidR="00A64B59" w:rsidRPr="001B6D0A">
              <w:rPr>
                <w:rFonts w:ascii="Times New Roman" w:hAnsi="Times New Roman" w:cs="Times New Roman"/>
                <w:bCs/>
                <w:sz w:val="24"/>
                <w:szCs w:val="24"/>
              </w:rPr>
              <w:t>R</w:t>
            </w:r>
            <w:r w:rsidR="003222B6" w:rsidRPr="001B6D0A">
              <w:rPr>
                <w:rFonts w:ascii="Times New Roman" w:hAnsi="Times New Roman" w:cs="Times New Roman"/>
                <w:sz w:val="24"/>
                <w:szCs w:val="24"/>
              </w:rPr>
              <w:t xml:space="preserve">egulators) uzrauga, lai sabiedrisko pakalpojumu sniegšanā regulējamās nozarēs tiktu ievērots šis likums, kā arī regulējamo nozaru speciālie normatīvie akti. Elektroenerģijas tirgus likuma 45.pantā ir noteikta elektroenerģijas tirgotāja atbildība un regulatora tiesības minētajam tirgotājam uzlikt soda naudu. Līdzīgi Enerģētikas likuma 103.pantā ir noteiktas regulatora tiesības uzlikt soda naudu dabasgāzes tirgotājam par šā likuma prasību nepildīšanu. </w:t>
            </w:r>
          </w:p>
          <w:p w14:paraId="0957E359" w14:textId="6514ACBD" w:rsidR="00A64B59" w:rsidRPr="001B6D0A" w:rsidRDefault="003222B6" w:rsidP="001B6D0A">
            <w:pPr>
              <w:spacing w:after="0" w:line="240" w:lineRule="auto"/>
              <w:ind w:firstLine="217"/>
              <w:contextualSpacing/>
              <w:jc w:val="both"/>
              <w:rPr>
                <w:rFonts w:ascii="Times New Roman" w:hAnsi="Times New Roman" w:cs="Times New Roman"/>
                <w:sz w:val="24"/>
                <w:szCs w:val="24"/>
              </w:rPr>
            </w:pPr>
            <w:r w:rsidRPr="001B6D0A">
              <w:rPr>
                <w:rFonts w:ascii="Times New Roman" w:hAnsi="Times New Roman" w:cs="Times New Roman"/>
                <w:sz w:val="24"/>
                <w:szCs w:val="24"/>
              </w:rPr>
              <w:t xml:space="preserve">Ņemot vērā minēto, </w:t>
            </w:r>
            <w:r w:rsidR="00A64B59" w:rsidRPr="001B6D0A">
              <w:rPr>
                <w:rFonts w:ascii="Times New Roman" w:hAnsi="Times New Roman" w:cs="Times New Roman"/>
                <w:sz w:val="24"/>
                <w:szCs w:val="24"/>
              </w:rPr>
              <w:t xml:space="preserve">Regulatoram ir tiesības </w:t>
            </w:r>
            <w:bookmarkStart w:id="10" w:name="_Hlk15390187"/>
            <w:r w:rsidR="00A64B59" w:rsidRPr="001B6D0A">
              <w:rPr>
                <w:rFonts w:ascii="Times New Roman" w:hAnsi="Times New Roman" w:cs="Times New Roman"/>
                <w:sz w:val="24"/>
                <w:szCs w:val="24"/>
                <w:shd w:val="clear" w:color="auto" w:fill="FFFFFF"/>
              </w:rPr>
              <w:t xml:space="preserve">Administratīvā procesa likumā noteiktajā kārtībā lemt par </w:t>
            </w:r>
            <w:r w:rsidR="00A64B59" w:rsidRPr="001B6D0A">
              <w:rPr>
                <w:rFonts w:ascii="Times New Roman" w:hAnsi="Times New Roman" w:cs="Times New Roman"/>
                <w:sz w:val="24"/>
                <w:szCs w:val="24"/>
              </w:rPr>
              <w:t>pienākumu elektroenerģijas vai gāzes tirgotājam noteiktā termiņā nodrošināt Likuma 16.panta pirmās daļas prasību izpildi.</w:t>
            </w:r>
          </w:p>
          <w:p w14:paraId="18FA44B5" w14:textId="420F6F32" w:rsidR="00A64B59" w:rsidRPr="001B6D0A" w:rsidRDefault="00A64B59" w:rsidP="001B6D0A">
            <w:pPr>
              <w:shd w:val="clear" w:color="auto" w:fill="FFFFFF"/>
              <w:spacing w:after="0" w:line="240" w:lineRule="auto"/>
              <w:jc w:val="both"/>
              <w:rPr>
                <w:rFonts w:ascii="Times New Roman" w:eastAsia="Times New Roman" w:hAnsi="Times New Roman" w:cs="Times New Roman"/>
                <w:b/>
                <w:bCs/>
                <w:sz w:val="24"/>
                <w:szCs w:val="24"/>
                <w:lang w:eastAsia="lv-LV"/>
              </w:rPr>
            </w:pPr>
            <w:r w:rsidRPr="001B6D0A">
              <w:rPr>
                <w:rFonts w:ascii="Times New Roman" w:hAnsi="Times New Roman" w:cs="Times New Roman"/>
                <w:sz w:val="24"/>
                <w:szCs w:val="24"/>
              </w:rPr>
              <w:t xml:space="preserve">Attiecībā uz siltumenerģijas tirgotājiem, tiesības </w:t>
            </w:r>
            <w:r w:rsidRPr="001B6D0A">
              <w:rPr>
                <w:rFonts w:ascii="Times New Roman" w:hAnsi="Times New Roman" w:cs="Times New Roman"/>
                <w:sz w:val="24"/>
                <w:szCs w:val="24"/>
                <w:shd w:val="clear" w:color="auto" w:fill="FFFFFF"/>
              </w:rPr>
              <w:t xml:space="preserve">Administratīvā procesa likumā noteiktajā kārtībā lemt par </w:t>
            </w:r>
            <w:r w:rsidRPr="001B6D0A">
              <w:rPr>
                <w:rFonts w:ascii="Times New Roman" w:hAnsi="Times New Roman" w:cs="Times New Roman"/>
                <w:sz w:val="24"/>
                <w:szCs w:val="24"/>
              </w:rPr>
              <w:t xml:space="preserve">pienākumu </w:t>
            </w:r>
            <w:r w:rsidR="00303B18" w:rsidRPr="001B6D0A">
              <w:rPr>
                <w:rFonts w:ascii="Times New Roman" w:hAnsi="Times New Roman" w:cs="Times New Roman"/>
                <w:sz w:val="24"/>
                <w:szCs w:val="24"/>
              </w:rPr>
              <w:t xml:space="preserve">siltumenerģijas </w:t>
            </w:r>
            <w:r w:rsidRPr="001B6D0A">
              <w:rPr>
                <w:rFonts w:ascii="Times New Roman" w:hAnsi="Times New Roman" w:cs="Times New Roman"/>
                <w:sz w:val="24"/>
                <w:szCs w:val="24"/>
              </w:rPr>
              <w:t xml:space="preserve"> tirgotājam noteiktā termiņā nodrošināt Likuma 16.panta pirmās daļas prasību izpildi jānosaka </w:t>
            </w:r>
            <w:r w:rsidRPr="001B6D0A">
              <w:rPr>
                <w:rFonts w:ascii="Times New Roman" w:eastAsia="Times New Roman" w:hAnsi="Times New Roman" w:cs="Times New Roman"/>
                <w:sz w:val="24"/>
                <w:szCs w:val="24"/>
                <w:lang w:eastAsia="lv-LV"/>
              </w:rPr>
              <w:t>Ministru kabineta 2008. gada 21.oktobra  noteikumos Nr.876 “Siltumenerģijas piegādes un lietošanas noteikumi”.</w:t>
            </w:r>
          </w:p>
          <w:p w14:paraId="5BC2F118" w14:textId="42F8C38D" w:rsidR="005517CE" w:rsidRPr="001B6D0A" w:rsidRDefault="003222B6" w:rsidP="001B6D0A">
            <w:pPr>
              <w:pStyle w:val="naiskr"/>
              <w:spacing w:before="0" w:beforeAutospacing="0" w:after="0" w:afterAutospacing="0"/>
              <w:ind w:firstLine="235"/>
              <w:contextualSpacing/>
              <w:jc w:val="both"/>
            </w:pPr>
            <w:bookmarkStart w:id="11" w:name="_Hlk18929078"/>
            <w:bookmarkEnd w:id="10"/>
            <w:r w:rsidRPr="001B6D0A">
              <w:t xml:space="preserve">Pašlaik </w:t>
            </w:r>
            <w:r w:rsidRPr="001B6D0A">
              <w:rPr>
                <w:bCs/>
              </w:rPr>
              <w:t>r</w:t>
            </w:r>
            <w:r w:rsidRPr="001B6D0A">
              <w:t>egulatorā</w:t>
            </w:r>
            <w:r w:rsidRPr="001B6D0A" w:rsidDel="007C5748">
              <w:t xml:space="preserve"> </w:t>
            </w:r>
            <w:r w:rsidRPr="001B6D0A">
              <w:t>ir reģistrēti 28 gāzes, 78 elektroenerģijas un 79 siltumenerģijas tirgotāji, uz kuriem attiecas Likuma 16.panta pirmajā daļā noteiktais aizliegums par atsevišķas samaksas pieprasīšanu no galalietotāja par iespēju saņemt rēķinu, rēķinu informāciju un pieeju galalietotāja enerģijas patēriņa datiem.</w:t>
            </w:r>
            <w:bookmarkEnd w:id="11"/>
          </w:p>
          <w:p w14:paraId="29C22692" w14:textId="77777777" w:rsidR="000942FA" w:rsidRPr="001B6D0A" w:rsidRDefault="000942FA" w:rsidP="001B6D0A">
            <w:pPr>
              <w:pStyle w:val="naiskr"/>
              <w:spacing w:before="0" w:beforeAutospacing="0" w:after="0" w:afterAutospacing="0"/>
              <w:ind w:firstLine="235"/>
              <w:contextualSpacing/>
              <w:jc w:val="both"/>
            </w:pPr>
          </w:p>
          <w:p w14:paraId="6A1AC5B9" w14:textId="4DC90B0F" w:rsidR="000942FA" w:rsidRPr="001B6D0A" w:rsidRDefault="000942FA" w:rsidP="001B6D0A">
            <w:pPr>
              <w:pStyle w:val="naiskr"/>
              <w:spacing w:before="0" w:beforeAutospacing="0" w:after="0" w:afterAutospacing="0"/>
              <w:ind w:firstLine="235"/>
              <w:contextualSpacing/>
              <w:jc w:val="both"/>
              <w:rPr>
                <w:b/>
              </w:rPr>
            </w:pPr>
            <w:proofErr w:type="spellStart"/>
            <w:r w:rsidRPr="001B6D0A">
              <w:rPr>
                <w:b/>
              </w:rPr>
              <w:t>De</w:t>
            </w:r>
            <w:proofErr w:type="spellEnd"/>
            <w:r w:rsidRPr="001B6D0A">
              <w:rPr>
                <w:b/>
              </w:rPr>
              <w:t xml:space="preserve"> </w:t>
            </w:r>
            <w:proofErr w:type="spellStart"/>
            <w:r w:rsidRPr="001B6D0A">
              <w:rPr>
                <w:b/>
              </w:rPr>
              <w:t>minimis</w:t>
            </w:r>
            <w:proofErr w:type="spellEnd"/>
            <w:r w:rsidRPr="001B6D0A">
              <w:rPr>
                <w:b/>
              </w:rPr>
              <w:t xml:space="preserve"> atbalsta piemērošana lauksaimniecības, zvejniecības un akvakultūras nozarē</w:t>
            </w:r>
          </w:p>
          <w:p w14:paraId="3C8C6690" w14:textId="77777777" w:rsidR="00BD1828" w:rsidRPr="001B6D0A" w:rsidRDefault="000942FA" w:rsidP="001B6D0A">
            <w:pPr>
              <w:pStyle w:val="naiskr"/>
              <w:spacing w:before="0" w:beforeAutospacing="0" w:after="0" w:afterAutospacing="0"/>
              <w:ind w:firstLine="235"/>
              <w:contextualSpacing/>
              <w:jc w:val="both"/>
            </w:pPr>
            <w:r w:rsidRPr="001B6D0A">
              <w:t>Praksē konstatēts, ka Likuma pārejas noteikumu 10.</w:t>
            </w:r>
            <w:r w:rsidRPr="001B6D0A">
              <w:rPr>
                <w:vertAlign w:val="superscript"/>
              </w:rPr>
              <w:t>4</w:t>
            </w:r>
            <w:r w:rsidRPr="001B6D0A">
              <w:t xml:space="preserve">  punktā nav minēta atsauce uz attiecīgajām Eiropas komisijas regulām, kas nosaka </w:t>
            </w:r>
            <w:proofErr w:type="spellStart"/>
            <w:r w:rsidRPr="001B6D0A">
              <w:t>de</w:t>
            </w:r>
            <w:proofErr w:type="spellEnd"/>
            <w:r w:rsidRPr="001B6D0A">
              <w:t xml:space="preserve"> </w:t>
            </w:r>
            <w:proofErr w:type="spellStart"/>
            <w:r w:rsidRPr="001B6D0A">
              <w:t>minimis</w:t>
            </w:r>
            <w:proofErr w:type="spellEnd"/>
            <w:r w:rsidRPr="001B6D0A">
              <w:t xml:space="preserve"> atbalsta piemērošanu lauksaimniecības, zvejniecības un akvakultūras nozarē. </w:t>
            </w:r>
            <w:r w:rsidR="00AA6486" w:rsidRPr="001B6D0A">
              <w:t>Lai nodrošinātu Likuma pārejas noteikumu 10.</w:t>
            </w:r>
            <w:r w:rsidR="00AA6486" w:rsidRPr="001B6D0A">
              <w:rPr>
                <w:vertAlign w:val="superscript"/>
              </w:rPr>
              <w:t>1</w:t>
            </w:r>
            <w:r w:rsidR="00AA6486" w:rsidRPr="001B6D0A">
              <w:t xml:space="preserve"> un 10.</w:t>
            </w:r>
            <w:r w:rsidR="00AA6486" w:rsidRPr="001B6D0A">
              <w:rPr>
                <w:vertAlign w:val="superscript"/>
              </w:rPr>
              <w:t>3</w:t>
            </w:r>
            <w:r w:rsidR="00AA6486" w:rsidRPr="001B6D0A">
              <w:t> punktā minēto komercdarbības atbalstu lielajam elektroenerģijas patērētājam, kurš ir lauksaimniecības, zvejniecības vai akvakultūras nozares uzņēmums</w:t>
            </w:r>
            <w:r w:rsidR="009210AB" w:rsidRPr="001B6D0A">
              <w:t xml:space="preserve"> vai sniedz </w:t>
            </w:r>
            <w:proofErr w:type="spellStart"/>
            <w:r w:rsidR="009210AB" w:rsidRPr="001B6D0A">
              <w:t>sniedz</w:t>
            </w:r>
            <w:proofErr w:type="spellEnd"/>
            <w:r w:rsidR="009210AB" w:rsidRPr="001B6D0A">
              <w:t xml:space="preserve"> pakalpojumus ar vispārēju tautsaimniecisku nozīmi</w:t>
            </w:r>
            <w:r w:rsidR="00AA6486" w:rsidRPr="001B6D0A">
              <w:t xml:space="preserve">, Likumprojekta 9.pantā iekļauta atsauce uz Eiropas Komisijas regulām, kas nosaka </w:t>
            </w:r>
            <w:proofErr w:type="spellStart"/>
            <w:r w:rsidR="00AA6486" w:rsidRPr="001B6D0A">
              <w:t>de</w:t>
            </w:r>
            <w:proofErr w:type="spellEnd"/>
            <w:r w:rsidR="00AA6486" w:rsidRPr="001B6D0A">
              <w:t xml:space="preserve"> </w:t>
            </w:r>
            <w:proofErr w:type="spellStart"/>
            <w:r w:rsidR="00AA6486" w:rsidRPr="001B6D0A">
              <w:t>minimis</w:t>
            </w:r>
            <w:proofErr w:type="spellEnd"/>
            <w:r w:rsidR="00AA6486" w:rsidRPr="001B6D0A">
              <w:t xml:space="preserve"> atbalsta piemērošanu lauksaimniecības, zvejniecības un akvakultūras nozarē</w:t>
            </w:r>
            <w:r w:rsidR="009210AB" w:rsidRPr="001B6D0A">
              <w:t>, kā arī attiecībā uz uzņēmumiem, kuri sniedz pakalpojumus ar vispārēju tautsaimniecisku nozīmi</w:t>
            </w:r>
            <w:r w:rsidR="00AA6486" w:rsidRPr="001B6D0A">
              <w:t>.</w:t>
            </w:r>
          </w:p>
          <w:p w14:paraId="2C32E1D9" w14:textId="7EE66300" w:rsidR="008631DC" w:rsidRDefault="002863E0" w:rsidP="004A4195">
            <w:pPr>
              <w:spacing w:after="0" w:line="240" w:lineRule="auto"/>
              <w:jc w:val="both"/>
              <w:rPr>
                <w:rFonts w:ascii="Times New Roman" w:hAnsi="Times New Roman" w:cs="Times New Roman"/>
                <w:sz w:val="24"/>
                <w:szCs w:val="24"/>
              </w:rPr>
            </w:pPr>
            <w:r w:rsidRPr="001B6D0A">
              <w:rPr>
                <w:rFonts w:ascii="Times New Roman" w:hAnsi="Times New Roman" w:cs="Times New Roman"/>
                <w:sz w:val="24"/>
                <w:szCs w:val="24"/>
              </w:rPr>
              <w:t xml:space="preserve">Komersanti, kas var pretendēt uz </w:t>
            </w:r>
            <w:proofErr w:type="spellStart"/>
            <w:r w:rsidRPr="001B6D0A">
              <w:rPr>
                <w:rFonts w:ascii="Times New Roman" w:hAnsi="Times New Roman" w:cs="Times New Roman"/>
                <w:i/>
                <w:iCs/>
                <w:sz w:val="24"/>
                <w:szCs w:val="24"/>
              </w:rPr>
              <w:t>de</w:t>
            </w:r>
            <w:proofErr w:type="spellEnd"/>
            <w:r w:rsidRPr="001B6D0A">
              <w:rPr>
                <w:rFonts w:ascii="Times New Roman" w:hAnsi="Times New Roman" w:cs="Times New Roman"/>
                <w:i/>
                <w:iCs/>
                <w:sz w:val="24"/>
                <w:szCs w:val="24"/>
              </w:rPr>
              <w:t xml:space="preserve"> </w:t>
            </w:r>
            <w:proofErr w:type="spellStart"/>
            <w:r w:rsidRPr="001B6D0A">
              <w:rPr>
                <w:rFonts w:ascii="Times New Roman" w:hAnsi="Times New Roman" w:cs="Times New Roman"/>
                <w:i/>
                <w:iCs/>
                <w:sz w:val="24"/>
                <w:szCs w:val="24"/>
              </w:rPr>
              <w:t>minimis</w:t>
            </w:r>
            <w:proofErr w:type="spellEnd"/>
            <w:r w:rsidRPr="001B6D0A">
              <w:rPr>
                <w:rFonts w:ascii="Times New Roman" w:hAnsi="Times New Roman" w:cs="Times New Roman"/>
                <w:sz w:val="24"/>
                <w:szCs w:val="24"/>
              </w:rPr>
              <w:t xml:space="preserve"> atbalstu </w:t>
            </w:r>
            <w:proofErr w:type="spellStart"/>
            <w:r w:rsidRPr="001B6D0A">
              <w:rPr>
                <w:rFonts w:ascii="Times New Roman" w:hAnsi="Times New Roman" w:cs="Times New Roman"/>
                <w:sz w:val="24"/>
                <w:szCs w:val="24"/>
              </w:rPr>
              <w:t>Energoefektivtātes</w:t>
            </w:r>
            <w:proofErr w:type="spellEnd"/>
            <w:r w:rsidRPr="001B6D0A">
              <w:rPr>
                <w:rFonts w:ascii="Times New Roman" w:hAnsi="Times New Roman" w:cs="Times New Roman"/>
                <w:sz w:val="24"/>
                <w:szCs w:val="24"/>
              </w:rPr>
              <w:t xml:space="preserve"> likuma ietvaros, pārstāv zemāk tabulā norādītās nozares.</w:t>
            </w:r>
            <w:r w:rsidR="000179C5">
              <w:rPr>
                <w:rFonts w:ascii="Times New Roman" w:hAnsi="Times New Roman" w:cs="Times New Roman"/>
                <w:sz w:val="28"/>
                <w:szCs w:val="28"/>
              </w:rPr>
              <w:t xml:space="preserve"> </w:t>
            </w:r>
            <w:r w:rsidR="000179C5" w:rsidRPr="004A4195">
              <w:rPr>
                <w:rFonts w:ascii="Times New Roman" w:hAnsi="Times New Roman" w:cs="Times New Roman"/>
                <w:sz w:val="24"/>
                <w:szCs w:val="24"/>
              </w:rPr>
              <w:t xml:space="preserve">Tabulā atbalstāmo nozaru saraksts nav izsmeļošs un katrā gadījumā individuāli tiks vērtēts, kādai darbībai atbalsta pieteikumā </w:t>
            </w:r>
            <w:proofErr w:type="spellStart"/>
            <w:r w:rsidR="000179C5" w:rsidRPr="004A4195">
              <w:rPr>
                <w:rFonts w:ascii="Times New Roman" w:hAnsi="Times New Roman" w:cs="Times New Roman"/>
                <w:i/>
                <w:iCs/>
                <w:sz w:val="24"/>
                <w:szCs w:val="24"/>
              </w:rPr>
              <w:t>de</w:t>
            </w:r>
            <w:proofErr w:type="spellEnd"/>
            <w:r w:rsidR="000179C5" w:rsidRPr="004A4195">
              <w:rPr>
                <w:rFonts w:ascii="Times New Roman" w:hAnsi="Times New Roman" w:cs="Times New Roman"/>
                <w:i/>
                <w:iCs/>
                <w:sz w:val="24"/>
                <w:szCs w:val="24"/>
              </w:rPr>
              <w:t xml:space="preserve"> </w:t>
            </w:r>
            <w:proofErr w:type="spellStart"/>
            <w:r w:rsidR="000179C5" w:rsidRPr="004A4195">
              <w:rPr>
                <w:rFonts w:ascii="Times New Roman" w:hAnsi="Times New Roman" w:cs="Times New Roman"/>
                <w:i/>
                <w:iCs/>
                <w:sz w:val="24"/>
                <w:szCs w:val="24"/>
              </w:rPr>
              <w:t>minimis</w:t>
            </w:r>
            <w:proofErr w:type="spellEnd"/>
            <w:r w:rsidR="000179C5" w:rsidRPr="004A4195">
              <w:rPr>
                <w:rFonts w:ascii="Times New Roman" w:hAnsi="Times New Roman" w:cs="Times New Roman"/>
                <w:sz w:val="24"/>
                <w:szCs w:val="24"/>
              </w:rPr>
              <w:t xml:space="preserve"> atbalsts paredzēts un kuru </w:t>
            </w:r>
            <w:proofErr w:type="spellStart"/>
            <w:r w:rsidR="000179C5" w:rsidRPr="004A4195">
              <w:rPr>
                <w:rFonts w:ascii="Times New Roman" w:hAnsi="Times New Roman" w:cs="Times New Roman"/>
                <w:i/>
                <w:iCs/>
                <w:sz w:val="24"/>
                <w:szCs w:val="24"/>
              </w:rPr>
              <w:t>de</w:t>
            </w:r>
            <w:proofErr w:type="spellEnd"/>
            <w:r w:rsidR="000179C5" w:rsidRPr="004A4195">
              <w:rPr>
                <w:rFonts w:ascii="Times New Roman" w:hAnsi="Times New Roman" w:cs="Times New Roman"/>
                <w:i/>
                <w:iCs/>
                <w:sz w:val="24"/>
                <w:szCs w:val="24"/>
              </w:rPr>
              <w:t xml:space="preserve"> </w:t>
            </w:r>
            <w:proofErr w:type="spellStart"/>
            <w:r w:rsidR="000179C5" w:rsidRPr="004A4195">
              <w:rPr>
                <w:rFonts w:ascii="Times New Roman" w:hAnsi="Times New Roman" w:cs="Times New Roman"/>
                <w:i/>
                <w:iCs/>
                <w:sz w:val="24"/>
                <w:szCs w:val="24"/>
              </w:rPr>
              <w:t>minimis</w:t>
            </w:r>
            <w:proofErr w:type="spellEnd"/>
            <w:r w:rsidR="000179C5" w:rsidRPr="004A4195">
              <w:rPr>
                <w:rFonts w:ascii="Times New Roman" w:hAnsi="Times New Roman" w:cs="Times New Roman"/>
                <w:sz w:val="24"/>
                <w:szCs w:val="24"/>
              </w:rPr>
              <w:t xml:space="preserve"> regulējumu no likumprojekta 9.pantā izteiktās pārejas noteikumu 10.</w:t>
            </w:r>
            <w:r w:rsidR="000179C5" w:rsidRPr="004A4195">
              <w:rPr>
                <w:rFonts w:ascii="Times New Roman" w:hAnsi="Times New Roman" w:cs="Times New Roman"/>
                <w:sz w:val="24"/>
                <w:szCs w:val="24"/>
                <w:vertAlign w:val="superscript"/>
              </w:rPr>
              <w:t>4</w:t>
            </w:r>
            <w:r w:rsidR="000179C5" w:rsidRPr="004A4195">
              <w:rPr>
                <w:rFonts w:ascii="Times New Roman" w:hAnsi="Times New Roman" w:cs="Times New Roman"/>
                <w:sz w:val="24"/>
                <w:szCs w:val="24"/>
              </w:rPr>
              <w:t>panta redakcijas iespējams piemērot.</w:t>
            </w:r>
            <w:r w:rsidR="004A4195">
              <w:rPr>
                <w:rFonts w:ascii="Times New Roman" w:hAnsi="Times New Roman" w:cs="Times New Roman"/>
                <w:sz w:val="24"/>
                <w:szCs w:val="24"/>
              </w:rPr>
              <w:t xml:space="preserve"> </w:t>
            </w:r>
            <w:r w:rsidRPr="001B6D0A">
              <w:rPr>
                <w:rFonts w:ascii="Times New Roman" w:hAnsi="Times New Roman" w:cs="Times New Roman"/>
                <w:sz w:val="24"/>
                <w:szCs w:val="24"/>
              </w:rPr>
              <w:t>Šobrīd identificēts viens komersants, kas</w:t>
            </w:r>
            <w:r w:rsidR="004A4195">
              <w:rPr>
                <w:rFonts w:ascii="Times New Roman" w:hAnsi="Times New Roman" w:cs="Times New Roman"/>
                <w:sz w:val="24"/>
                <w:szCs w:val="24"/>
              </w:rPr>
              <w:t>,</w:t>
            </w:r>
            <w:r w:rsidRPr="001B6D0A">
              <w:rPr>
                <w:rFonts w:ascii="Times New Roman" w:hAnsi="Times New Roman" w:cs="Times New Roman"/>
                <w:sz w:val="24"/>
                <w:szCs w:val="24"/>
              </w:rPr>
              <w:t xml:space="preserve"> </w:t>
            </w:r>
            <w:r w:rsidRPr="004A4195">
              <w:rPr>
                <w:rFonts w:ascii="Times New Roman" w:hAnsi="Times New Roman" w:cs="Times New Roman"/>
                <w:sz w:val="24"/>
                <w:szCs w:val="24"/>
              </w:rPr>
              <w:t>iespējams</w:t>
            </w:r>
            <w:r w:rsidR="004A4195">
              <w:rPr>
                <w:rFonts w:ascii="Times New Roman" w:hAnsi="Times New Roman" w:cs="Times New Roman"/>
                <w:sz w:val="24"/>
                <w:szCs w:val="24"/>
              </w:rPr>
              <w:t>,</w:t>
            </w:r>
            <w:r w:rsidRPr="001B6D0A">
              <w:rPr>
                <w:rFonts w:ascii="Times New Roman" w:hAnsi="Times New Roman" w:cs="Times New Roman"/>
                <w:sz w:val="24"/>
                <w:szCs w:val="24"/>
              </w:rPr>
              <w:t xml:space="preserve"> atbalstam varētu pieteikties pēc Komisijas Regulas (ES) Nr. 360/2012 par Līguma par Eiropas Savienības darbību 107. un 108. panta piemērošanu </w:t>
            </w:r>
            <w:proofErr w:type="spellStart"/>
            <w:r w:rsidRPr="001B6D0A">
              <w:rPr>
                <w:rFonts w:ascii="Times New Roman" w:hAnsi="Times New Roman" w:cs="Times New Roman"/>
                <w:i/>
                <w:iCs/>
                <w:sz w:val="24"/>
                <w:szCs w:val="24"/>
              </w:rPr>
              <w:t>de</w:t>
            </w:r>
            <w:proofErr w:type="spellEnd"/>
            <w:r w:rsidRPr="001B6D0A">
              <w:rPr>
                <w:rFonts w:ascii="Times New Roman" w:hAnsi="Times New Roman" w:cs="Times New Roman"/>
                <w:i/>
                <w:iCs/>
                <w:sz w:val="24"/>
                <w:szCs w:val="24"/>
              </w:rPr>
              <w:t xml:space="preserve"> </w:t>
            </w:r>
            <w:proofErr w:type="spellStart"/>
            <w:r w:rsidRPr="001B6D0A">
              <w:rPr>
                <w:rFonts w:ascii="Times New Roman" w:hAnsi="Times New Roman" w:cs="Times New Roman"/>
                <w:i/>
                <w:iCs/>
                <w:sz w:val="24"/>
                <w:szCs w:val="24"/>
              </w:rPr>
              <w:t>minimis</w:t>
            </w:r>
            <w:proofErr w:type="spellEnd"/>
            <w:r w:rsidRPr="001B6D0A">
              <w:rPr>
                <w:rFonts w:ascii="Times New Roman" w:hAnsi="Times New Roman" w:cs="Times New Roman"/>
                <w:sz w:val="24"/>
                <w:szCs w:val="24"/>
              </w:rPr>
              <w:t xml:space="preserve"> atbalstam, ko piešķir uzņēmumiem, kuri sniedz pakalpojumus ar </w:t>
            </w:r>
            <w:r w:rsidRPr="001B6D0A">
              <w:rPr>
                <w:rFonts w:ascii="Times New Roman" w:hAnsi="Times New Roman" w:cs="Times New Roman"/>
                <w:sz w:val="24"/>
                <w:szCs w:val="24"/>
              </w:rPr>
              <w:lastRenderedPageBreak/>
              <w:t xml:space="preserve">vispārēju tautsaimniecisku nozīmi. </w:t>
            </w:r>
            <w:r w:rsidR="008631DC">
              <w:rPr>
                <w:rFonts w:ascii="Times New Roman" w:hAnsi="Times New Roman" w:cs="Times New Roman"/>
                <w:sz w:val="24"/>
                <w:szCs w:val="24"/>
              </w:rPr>
              <w:t xml:space="preserve"> Lai pārliecinātos par minētā komersanta sniegto pakalpojumu vispārējo tautsaimniecisko nozīmi, EM 2019. gada 29. jūlijā nosūtīja vēstuli Finanšu ministrijai ar lūgumu apstiprināt komersanta sniegto pakalpojumu atbilstību minētajam statusam, uz ko saņēma 2019. gada 9. augusta atbildi.</w:t>
            </w:r>
          </w:p>
          <w:p w14:paraId="6E3E3BBA" w14:textId="0E9C31BD" w:rsidR="008D706C" w:rsidRPr="001B6D0A" w:rsidRDefault="008631DC" w:rsidP="004A41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Komisijas 2012. gada 25. aprīļa Regula (ES) Nr. 360/2012 par Līguma par Eiropas Savienības darbību 107. un 108. panta piemērošanu </w:t>
            </w:r>
            <w:proofErr w:type="spellStart"/>
            <w:r>
              <w:rPr>
                <w:rFonts w:ascii="Times New Roman" w:hAnsi="Times New Roman" w:cs="Times New Roman"/>
                <w:i/>
                <w:iCs/>
                <w:sz w:val="24"/>
                <w:szCs w:val="24"/>
              </w:rPr>
              <w:t>de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minimis</w:t>
            </w:r>
            <w:proofErr w:type="spellEnd"/>
            <w:r>
              <w:rPr>
                <w:rFonts w:ascii="Times New Roman" w:hAnsi="Times New Roman" w:cs="Times New Roman"/>
                <w:sz w:val="24"/>
                <w:szCs w:val="24"/>
              </w:rPr>
              <w:t xml:space="preserve"> atbalstam, ko piešķir uzņēmumiem, kuri sniedz pakalpojumus ar vispārēju tautsaimniecisku nozīmi iekļaujama, lai neierobežotu konkrētas komersantu grupas iespēju pieteikties atbalstam, jo piešķiramais atbalsts paredzēts visiem komersantiem, kas likuma 12. panta prasības izpildījuši ar nokavēšanos – t.i., </w:t>
            </w:r>
            <w:r w:rsidRPr="00815136">
              <w:rPr>
                <w:rFonts w:ascii="Times New Roman" w:hAnsi="Times New Roman" w:cs="Times New Roman"/>
                <w:sz w:val="24"/>
                <w:szCs w:val="24"/>
              </w:rPr>
              <w:t xml:space="preserve">nevis līdz 2018. gada 1. aprīlim, bet līdz 2019. gada 15. maijam. </w:t>
            </w:r>
            <w:r>
              <w:rPr>
                <w:rFonts w:ascii="Times New Roman" w:hAnsi="Times New Roman" w:cs="Times New Roman"/>
                <w:sz w:val="24"/>
                <w:szCs w:val="24"/>
              </w:rPr>
              <w:t>Likumā nav paredzēts atbalsts uzņēmumiem, kuri 12. panta prasības izpildījuši ar nokavēšanos pēc 2019.gada 15.maija.</w:t>
            </w:r>
          </w:p>
          <w:tbl>
            <w:tblPr>
              <w:tblStyle w:val="TableGrid"/>
              <w:tblW w:w="0" w:type="auto"/>
              <w:tblLook w:val="04A0" w:firstRow="1" w:lastRow="0" w:firstColumn="1" w:lastColumn="0" w:noHBand="0" w:noVBand="1"/>
            </w:tblPr>
            <w:tblGrid>
              <w:gridCol w:w="852"/>
              <w:gridCol w:w="6030"/>
            </w:tblGrid>
            <w:tr w:rsidR="002863E0" w:rsidRPr="008D706C" w14:paraId="47274D18" w14:textId="77777777" w:rsidTr="00E3368B">
              <w:trPr>
                <w:trHeight w:val="552"/>
              </w:trPr>
              <w:tc>
                <w:tcPr>
                  <w:tcW w:w="852" w:type="dxa"/>
                  <w:hideMark/>
                </w:tcPr>
                <w:p w14:paraId="4E9CED01" w14:textId="77777777" w:rsidR="002863E0" w:rsidRPr="008D706C" w:rsidRDefault="002863E0" w:rsidP="008D706C">
                  <w:pPr>
                    <w:jc w:val="center"/>
                    <w:rPr>
                      <w:rFonts w:ascii="Times New Roman" w:hAnsi="Times New Roman" w:cs="Times New Roman"/>
                      <w:sz w:val="20"/>
                      <w:szCs w:val="20"/>
                    </w:rPr>
                  </w:pPr>
                  <w:r w:rsidRPr="008D706C">
                    <w:rPr>
                      <w:rFonts w:ascii="Times New Roman" w:hAnsi="Times New Roman" w:cs="Times New Roman"/>
                      <w:b/>
                      <w:bCs/>
                      <w:sz w:val="20"/>
                      <w:szCs w:val="20"/>
                      <w:lang w:eastAsia="lv-LV"/>
                    </w:rPr>
                    <w:t>NACE</w:t>
                  </w:r>
                </w:p>
              </w:tc>
              <w:tc>
                <w:tcPr>
                  <w:tcW w:w="6030" w:type="dxa"/>
                  <w:hideMark/>
                </w:tcPr>
                <w:p w14:paraId="753D2E54" w14:textId="60263762" w:rsidR="002863E0" w:rsidRPr="008D706C" w:rsidRDefault="002863E0" w:rsidP="008D706C">
                  <w:pPr>
                    <w:jc w:val="center"/>
                    <w:rPr>
                      <w:rFonts w:ascii="Times New Roman" w:hAnsi="Times New Roman" w:cs="Times New Roman"/>
                      <w:sz w:val="20"/>
                      <w:szCs w:val="20"/>
                    </w:rPr>
                  </w:pPr>
                  <w:r w:rsidRPr="008D706C">
                    <w:rPr>
                      <w:rFonts w:ascii="Times New Roman" w:hAnsi="Times New Roman" w:cs="Times New Roman"/>
                      <w:b/>
                      <w:bCs/>
                      <w:sz w:val="20"/>
                      <w:szCs w:val="20"/>
                      <w:lang w:eastAsia="lv-LV"/>
                    </w:rPr>
                    <w:t xml:space="preserve">Pārstāvētā nozare </w:t>
                  </w:r>
                </w:p>
              </w:tc>
            </w:tr>
            <w:tr w:rsidR="002863E0" w:rsidRPr="008D706C" w14:paraId="5A070C35" w14:textId="77777777" w:rsidTr="00E3368B">
              <w:trPr>
                <w:trHeight w:val="315"/>
              </w:trPr>
              <w:tc>
                <w:tcPr>
                  <w:tcW w:w="852" w:type="dxa"/>
                  <w:noWrap/>
                  <w:hideMark/>
                </w:tcPr>
                <w:p w14:paraId="49C55FDE"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322</w:t>
                  </w:r>
                </w:p>
              </w:tc>
              <w:tc>
                <w:tcPr>
                  <w:tcW w:w="6030" w:type="dxa"/>
                  <w:noWrap/>
                  <w:hideMark/>
                </w:tcPr>
                <w:p w14:paraId="33FBB2CC"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Lauksaimniecība, mežsaimniecība un zivsaimniecība</w:t>
                  </w:r>
                </w:p>
              </w:tc>
            </w:tr>
            <w:tr w:rsidR="002863E0" w:rsidRPr="008D706C" w14:paraId="6FFEC6FC" w14:textId="77777777" w:rsidTr="00E3368B">
              <w:trPr>
                <w:trHeight w:val="630"/>
              </w:trPr>
              <w:tc>
                <w:tcPr>
                  <w:tcW w:w="852" w:type="dxa"/>
                  <w:noWrap/>
                  <w:hideMark/>
                </w:tcPr>
                <w:p w14:paraId="5B6C2DC3"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5610</w:t>
                  </w:r>
                </w:p>
              </w:tc>
              <w:tc>
                <w:tcPr>
                  <w:tcW w:w="6030" w:type="dxa"/>
                  <w:noWrap/>
                  <w:hideMark/>
                </w:tcPr>
                <w:p w14:paraId="602469E1"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Izmitināšana un ēdināšanas pakalpojumi</w:t>
                  </w:r>
                </w:p>
              </w:tc>
            </w:tr>
            <w:tr w:rsidR="002863E0" w:rsidRPr="008D706C" w14:paraId="4311E8C4" w14:textId="77777777" w:rsidTr="00E3368B">
              <w:trPr>
                <w:trHeight w:val="315"/>
              </w:trPr>
              <w:tc>
                <w:tcPr>
                  <w:tcW w:w="852" w:type="dxa"/>
                  <w:noWrap/>
                  <w:hideMark/>
                </w:tcPr>
                <w:p w14:paraId="1C24A11E"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6820</w:t>
                  </w:r>
                </w:p>
              </w:tc>
              <w:tc>
                <w:tcPr>
                  <w:tcW w:w="6030" w:type="dxa"/>
                  <w:noWrap/>
                  <w:hideMark/>
                </w:tcPr>
                <w:p w14:paraId="4445C135"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Operācijas ar nekustamo īpašumu</w:t>
                  </w:r>
                </w:p>
              </w:tc>
            </w:tr>
            <w:tr w:rsidR="002863E0" w:rsidRPr="008D706C" w14:paraId="2C5055E5" w14:textId="77777777" w:rsidTr="00E3368B">
              <w:trPr>
                <w:trHeight w:val="548"/>
              </w:trPr>
              <w:tc>
                <w:tcPr>
                  <w:tcW w:w="852" w:type="dxa"/>
                  <w:noWrap/>
                  <w:hideMark/>
                </w:tcPr>
                <w:p w14:paraId="211B913B"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3600</w:t>
                  </w:r>
                </w:p>
              </w:tc>
              <w:tc>
                <w:tcPr>
                  <w:tcW w:w="6030" w:type="dxa"/>
                  <w:noWrap/>
                  <w:hideMark/>
                </w:tcPr>
                <w:p w14:paraId="399F38BC"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Ūdens apgāde; notekūdeņu, atkritumu apsaimniekošana un sanācija</w:t>
                  </w:r>
                </w:p>
              </w:tc>
            </w:tr>
            <w:tr w:rsidR="002863E0" w:rsidRPr="008D706C" w14:paraId="4D58F3FB" w14:textId="77777777" w:rsidTr="00E3368B">
              <w:trPr>
                <w:trHeight w:val="315"/>
              </w:trPr>
              <w:tc>
                <w:tcPr>
                  <w:tcW w:w="852" w:type="dxa"/>
                  <w:noWrap/>
                  <w:hideMark/>
                </w:tcPr>
                <w:p w14:paraId="20FC049D"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220</w:t>
                  </w:r>
                </w:p>
              </w:tc>
              <w:tc>
                <w:tcPr>
                  <w:tcW w:w="6030" w:type="dxa"/>
                  <w:noWrap/>
                  <w:hideMark/>
                </w:tcPr>
                <w:p w14:paraId="7F49CD61"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Lauksaimniecība, mežsaimniecība un zivsaimniecība</w:t>
                  </w:r>
                </w:p>
              </w:tc>
            </w:tr>
            <w:tr w:rsidR="002863E0" w:rsidRPr="008D706C" w14:paraId="11F9EC75" w14:textId="77777777" w:rsidTr="00E3368B">
              <w:trPr>
                <w:trHeight w:val="300"/>
              </w:trPr>
              <w:tc>
                <w:tcPr>
                  <w:tcW w:w="852" w:type="dxa"/>
                  <w:noWrap/>
                  <w:hideMark/>
                </w:tcPr>
                <w:p w14:paraId="6894B3D5"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9311</w:t>
                  </w:r>
                </w:p>
              </w:tc>
              <w:tc>
                <w:tcPr>
                  <w:tcW w:w="6030" w:type="dxa"/>
                  <w:noWrap/>
                  <w:hideMark/>
                </w:tcPr>
                <w:p w14:paraId="2BC3CF71"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Citi pakalpojumi</w:t>
                  </w:r>
                </w:p>
              </w:tc>
            </w:tr>
            <w:tr w:rsidR="002863E0" w:rsidRPr="008D706C" w14:paraId="225CBD49" w14:textId="77777777" w:rsidTr="00E3368B">
              <w:trPr>
                <w:trHeight w:val="315"/>
              </w:trPr>
              <w:tc>
                <w:tcPr>
                  <w:tcW w:w="852" w:type="dxa"/>
                  <w:noWrap/>
                  <w:hideMark/>
                </w:tcPr>
                <w:p w14:paraId="3BF10624"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2932</w:t>
                  </w:r>
                </w:p>
              </w:tc>
              <w:tc>
                <w:tcPr>
                  <w:tcW w:w="6030" w:type="dxa"/>
                  <w:noWrap/>
                  <w:hideMark/>
                </w:tcPr>
                <w:p w14:paraId="2885716A"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0CA741B2" w14:textId="77777777" w:rsidTr="00E3368B">
              <w:trPr>
                <w:trHeight w:val="315"/>
              </w:trPr>
              <w:tc>
                <w:tcPr>
                  <w:tcW w:w="852" w:type="dxa"/>
                  <w:noWrap/>
                  <w:hideMark/>
                </w:tcPr>
                <w:p w14:paraId="5AD661D3"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311</w:t>
                  </w:r>
                </w:p>
              </w:tc>
              <w:tc>
                <w:tcPr>
                  <w:tcW w:w="6030" w:type="dxa"/>
                  <w:noWrap/>
                  <w:hideMark/>
                </w:tcPr>
                <w:p w14:paraId="6D73C05B"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Lauksaimniecība, mežsaimniecība un zivsaimniecība</w:t>
                  </w:r>
                </w:p>
              </w:tc>
            </w:tr>
            <w:tr w:rsidR="002863E0" w:rsidRPr="008D706C" w14:paraId="77F192F5" w14:textId="77777777" w:rsidTr="00E3368B">
              <w:trPr>
                <w:trHeight w:val="315"/>
              </w:trPr>
              <w:tc>
                <w:tcPr>
                  <w:tcW w:w="852" w:type="dxa"/>
                  <w:noWrap/>
                  <w:hideMark/>
                </w:tcPr>
                <w:p w14:paraId="07900D07"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4631</w:t>
                  </w:r>
                </w:p>
              </w:tc>
              <w:tc>
                <w:tcPr>
                  <w:tcW w:w="6030" w:type="dxa"/>
                  <w:noWrap/>
                  <w:hideMark/>
                </w:tcPr>
                <w:p w14:paraId="3C508455"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Vairumtirdzniecība un mazumtirdzniecība; automobiļu un motociklu remonts</w:t>
                  </w:r>
                </w:p>
              </w:tc>
            </w:tr>
            <w:tr w:rsidR="002863E0" w:rsidRPr="008D706C" w14:paraId="42B72780" w14:textId="77777777" w:rsidTr="00E3368B">
              <w:trPr>
                <w:trHeight w:val="315"/>
              </w:trPr>
              <w:tc>
                <w:tcPr>
                  <w:tcW w:w="852" w:type="dxa"/>
                  <w:noWrap/>
                  <w:hideMark/>
                </w:tcPr>
                <w:p w14:paraId="099FB84B"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3511</w:t>
                  </w:r>
                </w:p>
              </w:tc>
              <w:tc>
                <w:tcPr>
                  <w:tcW w:w="6030" w:type="dxa"/>
                  <w:noWrap/>
                  <w:hideMark/>
                </w:tcPr>
                <w:p w14:paraId="4F6DCF51"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Elektroenerģija, gāzes apgāde, siltumapgāde un gaisa kondicionēšana</w:t>
                  </w:r>
                </w:p>
              </w:tc>
            </w:tr>
            <w:tr w:rsidR="002863E0" w:rsidRPr="008D706C" w14:paraId="37A1A535" w14:textId="77777777" w:rsidTr="00E3368B">
              <w:trPr>
                <w:trHeight w:val="315"/>
              </w:trPr>
              <w:tc>
                <w:tcPr>
                  <w:tcW w:w="852" w:type="dxa"/>
                  <w:noWrap/>
                  <w:hideMark/>
                </w:tcPr>
                <w:p w14:paraId="07732183"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4621</w:t>
                  </w:r>
                </w:p>
              </w:tc>
              <w:tc>
                <w:tcPr>
                  <w:tcW w:w="6030" w:type="dxa"/>
                  <w:noWrap/>
                  <w:hideMark/>
                </w:tcPr>
                <w:p w14:paraId="66D9410E"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Vairumtirdzniecība un mazumtirdzniecība; automobiļu un motociklu remonts</w:t>
                  </w:r>
                </w:p>
              </w:tc>
            </w:tr>
            <w:tr w:rsidR="002863E0" w:rsidRPr="008D706C" w14:paraId="09C62CD1" w14:textId="77777777" w:rsidTr="00E3368B">
              <w:trPr>
                <w:trHeight w:val="794"/>
              </w:trPr>
              <w:tc>
                <w:tcPr>
                  <w:tcW w:w="852" w:type="dxa"/>
                  <w:noWrap/>
                  <w:hideMark/>
                </w:tcPr>
                <w:p w14:paraId="4F4BA40A"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4711</w:t>
                  </w:r>
                </w:p>
              </w:tc>
              <w:tc>
                <w:tcPr>
                  <w:tcW w:w="6030" w:type="dxa"/>
                  <w:noWrap/>
                  <w:hideMark/>
                </w:tcPr>
                <w:p w14:paraId="23E0FFE8"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Vairumtirdzniecība un mazumtirdzniecība; automobiļu un motociklu remonts</w:t>
                  </w:r>
                </w:p>
              </w:tc>
            </w:tr>
            <w:tr w:rsidR="002863E0" w:rsidRPr="008D706C" w14:paraId="0CB0D242" w14:textId="77777777" w:rsidTr="00E3368B">
              <w:trPr>
                <w:trHeight w:val="315"/>
              </w:trPr>
              <w:tc>
                <w:tcPr>
                  <w:tcW w:w="852" w:type="dxa"/>
                  <w:noWrap/>
                  <w:hideMark/>
                </w:tcPr>
                <w:p w14:paraId="12B216FC"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4211</w:t>
                  </w:r>
                </w:p>
              </w:tc>
              <w:tc>
                <w:tcPr>
                  <w:tcW w:w="6030" w:type="dxa"/>
                  <w:noWrap/>
                  <w:hideMark/>
                </w:tcPr>
                <w:p w14:paraId="552878D8"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Būvniecība</w:t>
                  </w:r>
                </w:p>
              </w:tc>
            </w:tr>
            <w:tr w:rsidR="002863E0" w:rsidRPr="008D706C" w14:paraId="733C2A7D" w14:textId="77777777" w:rsidTr="00E3368B">
              <w:trPr>
                <w:trHeight w:val="315"/>
              </w:trPr>
              <w:tc>
                <w:tcPr>
                  <w:tcW w:w="852" w:type="dxa"/>
                  <w:noWrap/>
                  <w:hideMark/>
                </w:tcPr>
                <w:p w14:paraId="767EF501"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1623</w:t>
                  </w:r>
                </w:p>
              </w:tc>
              <w:tc>
                <w:tcPr>
                  <w:tcW w:w="6030" w:type="dxa"/>
                  <w:noWrap/>
                  <w:hideMark/>
                </w:tcPr>
                <w:p w14:paraId="7F8A2F0E"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3113ADF1" w14:textId="77777777" w:rsidTr="00E3368B">
              <w:trPr>
                <w:trHeight w:val="315"/>
              </w:trPr>
              <w:tc>
                <w:tcPr>
                  <w:tcW w:w="852" w:type="dxa"/>
                  <w:noWrap/>
                  <w:hideMark/>
                </w:tcPr>
                <w:p w14:paraId="6636E7BB"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3530</w:t>
                  </w:r>
                </w:p>
              </w:tc>
              <w:tc>
                <w:tcPr>
                  <w:tcW w:w="6030" w:type="dxa"/>
                  <w:noWrap/>
                  <w:hideMark/>
                </w:tcPr>
                <w:p w14:paraId="6364E78B"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Elektroenerģija, gāzes apgāde, siltumapgāde un gaisa kondicionēšana</w:t>
                  </w:r>
                </w:p>
              </w:tc>
            </w:tr>
            <w:tr w:rsidR="002863E0" w:rsidRPr="008D706C" w14:paraId="1036920B" w14:textId="77777777" w:rsidTr="00E3368B">
              <w:trPr>
                <w:trHeight w:val="315"/>
              </w:trPr>
              <w:tc>
                <w:tcPr>
                  <w:tcW w:w="852" w:type="dxa"/>
                  <w:noWrap/>
                  <w:hideMark/>
                </w:tcPr>
                <w:p w14:paraId="5B04C659"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149</w:t>
                  </w:r>
                </w:p>
              </w:tc>
              <w:tc>
                <w:tcPr>
                  <w:tcW w:w="6030" w:type="dxa"/>
                  <w:noWrap/>
                  <w:hideMark/>
                </w:tcPr>
                <w:p w14:paraId="613A2F54"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Lauksaimniecība, mežsaimniecība un zivsaimniecība</w:t>
                  </w:r>
                </w:p>
              </w:tc>
            </w:tr>
            <w:tr w:rsidR="002863E0" w:rsidRPr="008D706C" w14:paraId="4C4B4C1F" w14:textId="77777777" w:rsidTr="00E3368B">
              <w:trPr>
                <w:trHeight w:val="315"/>
              </w:trPr>
              <w:tc>
                <w:tcPr>
                  <w:tcW w:w="852" w:type="dxa"/>
                  <w:noWrap/>
                  <w:hideMark/>
                </w:tcPr>
                <w:p w14:paraId="188D7263"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2812</w:t>
                  </w:r>
                </w:p>
              </w:tc>
              <w:tc>
                <w:tcPr>
                  <w:tcW w:w="6030" w:type="dxa"/>
                  <w:noWrap/>
                  <w:hideMark/>
                </w:tcPr>
                <w:p w14:paraId="0569F0E6"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0A09EA8F" w14:textId="77777777" w:rsidTr="00E3368B">
              <w:trPr>
                <w:trHeight w:val="315"/>
              </w:trPr>
              <w:tc>
                <w:tcPr>
                  <w:tcW w:w="852" w:type="dxa"/>
                  <w:noWrap/>
                  <w:hideMark/>
                </w:tcPr>
                <w:p w14:paraId="7FB40D4F"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1621</w:t>
                  </w:r>
                </w:p>
              </w:tc>
              <w:tc>
                <w:tcPr>
                  <w:tcW w:w="6030" w:type="dxa"/>
                  <w:noWrap/>
                  <w:hideMark/>
                </w:tcPr>
                <w:p w14:paraId="396F9DEA"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5DC4ADB2" w14:textId="77777777" w:rsidTr="00E3368B">
              <w:trPr>
                <w:trHeight w:val="315"/>
              </w:trPr>
              <w:tc>
                <w:tcPr>
                  <w:tcW w:w="852" w:type="dxa"/>
                  <w:noWrap/>
                  <w:hideMark/>
                </w:tcPr>
                <w:p w14:paraId="39782D8A"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5510</w:t>
                  </w:r>
                </w:p>
              </w:tc>
              <w:tc>
                <w:tcPr>
                  <w:tcW w:w="6030" w:type="dxa"/>
                  <w:noWrap/>
                  <w:hideMark/>
                </w:tcPr>
                <w:p w14:paraId="5277ECCF"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Izmitināšana un ēdināšanas pakalpojumi</w:t>
                  </w:r>
                </w:p>
              </w:tc>
            </w:tr>
            <w:tr w:rsidR="002863E0" w:rsidRPr="008D706C" w14:paraId="3A9C1549" w14:textId="77777777" w:rsidTr="00E3368B">
              <w:trPr>
                <w:trHeight w:val="315"/>
              </w:trPr>
              <w:tc>
                <w:tcPr>
                  <w:tcW w:w="852" w:type="dxa"/>
                  <w:noWrap/>
                  <w:hideMark/>
                </w:tcPr>
                <w:p w14:paraId="5D48601A"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5224</w:t>
                  </w:r>
                </w:p>
              </w:tc>
              <w:tc>
                <w:tcPr>
                  <w:tcW w:w="6030" w:type="dxa"/>
                  <w:noWrap/>
                  <w:hideMark/>
                </w:tcPr>
                <w:p w14:paraId="3C9BA880"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Transports un uzglabāšana</w:t>
                  </w:r>
                </w:p>
              </w:tc>
            </w:tr>
            <w:tr w:rsidR="002863E0" w:rsidRPr="008D706C" w14:paraId="4D5F32AE" w14:textId="77777777" w:rsidTr="00E3368B">
              <w:trPr>
                <w:trHeight w:val="315"/>
              </w:trPr>
              <w:tc>
                <w:tcPr>
                  <w:tcW w:w="852" w:type="dxa"/>
                  <w:noWrap/>
                  <w:hideMark/>
                </w:tcPr>
                <w:p w14:paraId="10E962BF"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1091</w:t>
                  </w:r>
                </w:p>
              </w:tc>
              <w:tc>
                <w:tcPr>
                  <w:tcW w:w="6030" w:type="dxa"/>
                  <w:noWrap/>
                  <w:hideMark/>
                </w:tcPr>
                <w:p w14:paraId="647DE8F7"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3EE3DAF0" w14:textId="77777777" w:rsidTr="00E3368B">
              <w:trPr>
                <w:trHeight w:val="465"/>
              </w:trPr>
              <w:tc>
                <w:tcPr>
                  <w:tcW w:w="852" w:type="dxa"/>
                  <w:noWrap/>
                  <w:hideMark/>
                </w:tcPr>
                <w:p w14:paraId="58282D14"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1610</w:t>
                  </w:r>
                </w:p>
              </w:tc>
              <w:tc>
                <w:tcPr>
                  <w:tcW w:w="6030" w:type="dxa"/>
                  <w:noWrap/>
                  <w:hideMark/>
                </w:tcPr>
                <w:p w14:paraId="18563960"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08ADAE89" w14:textId="77777777" w:rsidTr="00E3368B">
              <w:trPr>
                <w:trHeight w:val="315"/>
              </w:trPr>
              <w:tc>
                <w:tcPr>
                  <w:tcW w:w="852" w:type="dxa"/>
                  <w:noWrap/>
                  <w:hideMark/>
                </w:tcPr>
                <w:p w14:paraId="4652F278"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4711</w:t>
                  </w:r>
                </w:p>
              </w:tc>
              <w:tc>
                <w:tcPr>
                  <w:tcW w:w="6030" w:type="dxa"/>
                  <w:noWrap/>
                  <w:hideMark/>
                </w:tcPr>
                <w:p w14:paraId="772CB1CB"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Vairumtirdzniecība un mazumtirdzniecība; automobiļu un motociklu remonts</w:t>
                  </w:r>
                </w:p>
              </w:tc>
            </w:tr>
            <w:tr w:rsidR="002863E0" w:rsidRPr="008D706C" w14:paraId="43E92429" w14:textId="77777777" w:rsidTr="00E3368B">
              <w:trPr>
                <w:trHeight w:val="315"/>
              </w:trPr>
              <w:tc>
                <w:tcPr>
                  <w:tcW w:w="852" w:type="dxa"/>
                  <w:noWrap/>
                  <w:hideMark/>
                </w:tcPr>
                <w:p w14:paraId="0A0D85EE"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5224</w:t>
                  </w:r>
                </w:p>
              </w:tc>
              <w:tc>
                <w:tcPr>
                  <w:tcW w:w="6030" w:type="dxa"/>
                  <w:noWrap/>
                  <w:hideMark/>
                </w:tcPr>
                <w:p w14:paraId="43D7ABDD"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Transports un uzglabāšana</w:t>
                  </w:r>
                </w:p>
              </w:tc>
            </w:tr>
            <w:tr w:rsidR="002863E0" w:rsidRPr="008D706C" w14:paraId="110A3282" w14:textId="77777777" w:rsidTr="00E3368B">
              <w:trPr>
                <w:trHeight w:val="315"/>
              </w:trPr>
              <w:tc>
                <w:tcPr>
                  <w:tcW w:w="852" w:type="dxa"/>
                  <w:noWrap/>
                  <w:hideMark/>
                </w:tcPr>
                <w:p w14:paraId="621D21CB"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lastRenderedPageBreak/>
                    <w:t>1812</w:t>
                  </w:r>
                </w:p>
              </w:tc>
              <w:tc>
                <w:tcPr>
                  <w:tcW w:w="6030" w:type="dxa"/>
                  <w:noWrap/>
                  <w:hideMark/>
                </w:tcPr>
                <w:p w14:paraId="12A64DFA"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5C1AE53F" w14:textId="77777777" w:rsidTr="00E3368B">
              <w:trPr>
                <w:trHeight w:val="315"/>
              </w:trPr>
              <w:tc>
                <w:tcPr>
                  <w:tcW w:w="852" w:type="dxa"/>
                  <w:noWrap/>
                  <w:hideMark/>
                </w:tcPr>
                <w:p w14:paraId="4F407207"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5510</w:t>
                  </w:r>
                </w:p>
              </w:tc>
              <w:tc>
                <w:tcPr>
                  <w:tcW w:w="6030" w:type="dxa"/>
                  <w:noWrap/>
                  <w:hideMark/>
                </w:tcPr>
                <w:p w14:paraId="76635759"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Izmitināšana un ēdināšanas pakalpojumi</w:t>
                  </w:r>
                </w:p>
              </w:tc>
            </w:tr>
            <w:tr w:rsidR="002863E0" w:rsidRPr="008D706C" w14:paraId="00B503EB" w14:textId="77777777" w:rsidTr="00E3368B">
              <w:trPr>
                <w:trHeight w:val="315"/>
              </w:trPr>
              <w:tc>
                <w:tcPr>
                  <w:tcW w:w="852" w:type="dxa"/>
                  <w:noWrap/>
                  <w:hideMark/>
                </w:tcPr>
                <w:p w14:paraId="0ED97BBB"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9104</w:t>
                  </w:r>
                </w:p>
              </w:tc>
              <w:tc>
                <w:tcPr>
                  <w:tcW w:w="6030" w:type="dxa"/>
                  <w:noWrap/>
                  <w:hideMark/>
                </w:tcPr>
                <w:p w14:paraId="486C603E"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Māksla, izklaide un atpūta</w:t>
                  </w:r>
                </w:p>
              </w:tc>
            </w:tr>
            <w:tr w:rsidR="002863E0" w:rsidRPr="008D706C" w14:paraId="25FC23AA" w14:textId="77777777" w:rsidTr="00E3368B">
              <w:trPr>
                <w:trHeight w:val="315"/>
              </w:trPr>
              <w:tc>
                <w:tcPr>
                  <w:tcW w:w="852" w:type="dxa"/>
                  <w:noWrap/>
                  <w:hideMark/>
                </w:tcPr>
                <w:p w14:paraId="3B63F63C"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1610</w:t>
                  </w:r>
                </w:p>
              </w:tc>
              <w:tc>
                <w:tcPr>
                  <w:tcW w:w="6030" w:type="dxa"/>
                  <w:noWrap/>
                  <w:hideMark/>
                </w:tcPr>
                <w:p w14:paraId="04EA278E"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477C736D" w14:textId="77777777" w:rsidTr="00E3368B">
              <w:trPr>
                <w:trHeight w:val="360"/>
              </w:trPr>
              <w:tc>
                <w:tcPr>
                  <w:tcW w:w="852" w:type="dxa"/>
                  <w:noWrap/>
                  <w:hideMark/>
                </w:tcPr>
                <w:p w14:paraId="54F1099F"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6820</w:t>
                  </w:r>
                </w:p>
              </w:tc>
              <w:tc>
                <w:tcPr>
                  <w:tcW w:w="6030" w:type="dxa"/>
                  <w:noWrap/>
                  <w:hideMark/>
                </w:tcPr>
                <w:p w14:paraId="3E0B02F0"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Operācijas ar nekustamo īpašumu</w:t>
                  </w:r>
                </w:p>
              </w:tc>
            </w:tr>
            <w:tr w:rsidR="002863E0" w:rsidRPr="008D706C" w14:paraId="6417BADD" w14:textId="77777777" w:rsidTr="00E3368B">
              <w:trPr>
                <w:trHeight w:val="315"/>
              </w:trPr>
              <w:tc>
                <w:tcPr>
                  <w:tcW w:w="852" w:type="dxa"/>
                  <w:noWrap/>
                  <w:hideMark/>
                </w:tcPr>
                <w:p w14:paraId="0C64E5F5"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6832</w:t>
                  </w:r>
                </w:p>
              </w:tc>
              <w:tc>
                <w:tcPr>
                  <w:tcW w:w="6030" w:type="dxa"/>
                  <w:noWrap/>
                  <w:hideMark/>
                </w:tcPr>
                <w:p w14:paraId="15D694D0"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Operācijas ar nekustamo īpašumu</w:t>
                  </w:r>
                </w:p>
              </w:tc>
            </w:tr>
            <w:tr w:rsidR="002863E0" w:rsidRPr="008D706C" w14:paraId="340CDB5A" w14:textId="77777777" w:rsidTr="00E3368B">
              <w:trPr>
                <w:trHeight w:val="371"/>
              </w:trPr>
              <w:tc>
                <w:tcPr>
                  <w:tcW w:w="852" w:type="dxa"/>
                  <w:noWrap/>
                  <w:hideMark/>
                </w:tcPr>
                <w:p w14:paraId="7D689F2D"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3530</w:t>
                  </w:r>
                </w:p>
              </w:tc>
              <w:tc>
                <w:tcPr>
                  <w:tcW w:w="6030" w:type="dxa"/>
                  <w:noWrap/>
                  <w:hideMark/>
                </w:tcPr>
                <w:p w14:paraId="31AF7AF5"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Elektroenerģija, gāzes apgāde, siltumapgāde un gaisa kondicionēšana</w:t>
                  </w:r>
                </w:p>
              </w:tc>
            </w:tr>
            <w:tr w:rsidR="002863E0" w:rsidRPr="008D706C" w14:paraId="39DF159E" w14:textId="77777777" w:rsidTr="00E3368B">
              <w:trPr>
                <w:trHeight w:val="315"/>
              </w:trPr>
              <w:tc>
                <w:tcPr>
                  <w:tcW w:w="852" w:type="dxa"/>
                  <w:noWrap/>
                  <w:hideMark/>
                </w:tcPr>
                <w:p w14:paraId="6C47D712"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5510</w:t>
                  </w:r>
                </w:p>
              </w:tc>
              <w:tc>
                <w:tcPr>
                  <w:tcW w:w="6030" w:type="dxa"/>
                  <w:noWrap/>
                  <w:hideMark/>
                </w:tcPr>
                <w:p w14:paraId="1B12C367"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Izmitināšana un ēdināšanas pakalpojumi</w:t>
                  </w:r>
                </w:p>
              </w:tc>
            </w:tr>
            <w:tr w:rsidR="002863E0" w:rsidRPr="008D706C" w14:paraId="22CDF019" w14:textId="77777777" w:rsidTr="00E3368B">
              <w:trPr>
                <w:trHeight w:val="315"/>
              </w:trPr>
              <w:tc>
                <w:tcPr>
                  <w:tcW w:w="852" w:type="dxa"/>
                  <w:noWrap/>
                  <w:hideMark/>
                </w:tcPr>
                <w:p w14:paraId="3E4D2803"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1610</w:t>
                  </w:r>
                </w:p>
              </w:tc>
              <w:tc>
                <w:tcPr>
                  <w:tcW w:w="6030" w:type="dxa"/>
                  <w:noWrap/>
                  <w:hideMark/>
                </w:tcPr>
                <w:p w14:paraId="3104DE39"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319A38C2" w14:textId="77777777" w:rsidTr="00E3368B">
              <w:trPr>
                <w:trHeight w:val="315"/>
              </w:trPr>
              <w:tc>
                <w:tcPr>
                  <w:tcW w:w="852" w:type="dxa"/>
                  <w:noWrap/>
                  <w:hideMark/>
                </w:tcPr>
                <w:p w14:paraId="5180BC2F"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9311</w:t>
                  </w:r>
                </w:p>
              </w:tc>
              <w:tc>
                <w:tcPr>
                  <w:tcW w:w="6030" w:type="dxa"/>
                  <w:noWrap/>
                  <w:hideMark/>
                </w:tcPr>
                <w:p w14:paraId="52C02D64"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Citi pakalpojumi</w:t>
                  </w:r>
                </w:p>
              </w:tc>
            </w:tr>
            <w:tr w:rsidR="002863E0" w:rsidRPr="008D706C" w14:paraId="4DA2D965" w14:textId="77777777" w:rsidTr="00E3368B">
              <w:trPr>
                <w:trHeight w:val="268"/>
              </w:trPr>
              <w:tc>
                <w:tcPr>
                  <w:tcW w:w="852" w:type="dxa"/>
                  <w:noWrap/>
                  <w:hideMark/>
                </w:tcPr>
                <w:p w14:paraId="048045BE"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1039</w:t>
                  </w:r>
                </w:p>
              </w:tc>
              <w:tc>
                <w:tcPr>
                  <w:tcW w:w="6030" w:type="dxa"/>
                  <w:noWrap/>
                  <w:hideMark/>
                </w:tcPr>
                <w:p w14:paraId="480046A4"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19EBA75E" w14:textId="77777777" w:rsidTr="00E3368B">
              <w:trPr>
                <w:trHeight w:val="410"/>
              </w:trPr>
              <w:tc>
                <w:tcPr>
                  <w:tcW w:w="852" w:type="dxa"/>
                  <w:noWrap/>
                  <w:hideMark/>
                </w:tcPr>
                <w:p w14:paraId="7B7ACD08"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1107</w:t>
                  </w:r>
                </w:p>
              </w:tc>
              <w:tc>
                <w:tcPr>
                  <w:tcW w:w="6030" w:type="dxa"/>
                  <w:noWrap/>
                  <w:hideMark/>
                </w:tcPr>
                <w:p w14:paraId="3118A7D7"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6100C1EE" w14:textId="77777777" w:rsidTr="00E3368B">
              <w:trPr>
                <w:trHeight w:val="416"/>
              </w:trPr>
              <w:tc>
                <w:tcPr>
                  <w:tcW w:w="852" w:type="dxa"/>
                  <w:noWrap/>
                  <w:hideMark/>
                </w:tcPr>
                <w:p w14:paraId="008086D6"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113</w:t>
                  </w:r>
                </w:p>
              </w:tc>
              <w:tc>
                <w:tcPr>
                  <w:tcW w:w="6030" w:type="dxa"/>
                  <w:noWrap/>
                  <w:hideMark/>
                </w:tcPr>
                <w:p w14:paraId="5DC1705F"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Lauksaimniecība, mežsaimniecība un zivsaimniecība</w:t>
                  </w:r>
                </w:p>
              </w:tc>
            </w:tr>
            <w:tr w:rsidR="002863E0" w:rsidRPr="008D706C" w14:paraId="2FD438BE" w14:textId="77777777" w:rsidTr="00E3368B">
              <w:trPr>
                <w:trHeight w:val="315"/>
              </w:trPr>
              <w:tc>
                <w:tcPr>
                  <w:tcW w:w="852" w:type="dxa"/>
                  <w:noWrap/>
                  <w:hideMark/>
                </w:tcPr>
                <w:p w14:paraId="751CAF75"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3109</w:t>
                  </w:r>
                </w:p>
              </w:tc>
              <w:tc>
                <w:tcPr>
                  <w:tcW w:w="6030" w:type="dxa"/>
                  <w:noWrap/>
                  <w:hideMark/>
                </w:tcPr>
                <w:p w14:paraId="68842033"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75738AE2" w14:textId="77777777" w:rsidTr="00E3368B">
              <w:trPr>
                <w:trHeight w:val="315"/>
              </w:trPr>
              <w:tc>
                <w:tcPr>
                  <w:tcW w:w="852" w:type="dxa"/>
                  <w:noWrap/>
                  <w:hideMark/>
                </w:tcPr>
                <w:p w14:paraId="7B91A04B"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1629</w:t>
                  </w:r>
                </w:p>
              </w:tc>
              <w:tc>
                <w:tcPr>
                  <w:tcW w:w="6030" w:type="dxa"/>
                  <w:noWrap/>
                  <w:hideMark/>
                </w:tcPr>
                <w:p w14:paraId="1CBF6432"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1EE0E613" w14:textId="77777777" w:rsidTr="00E3368B">
              <w:trPr>
                <w:trHeight w:val="315"/>
              </w:trPr>
              <w:tc>
                <w:tcPr>
                  <w:tcW w:w="852" w:type="dxa"/>
                  <w:noWrap/>
                  <w:hideMark/>
                </w:tcPr>
                <w:p w14:paraId="6CA3ED32"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2361</w:t>
                  </w:r>
                </w:p>
              </w:tc>
              <w:tc>
                <w:tcPr>
                  <w:tcW w:w="6030" w:type="dxa"/>
                  <w:noWrap/>
                  <w:hideMark/>
                </w:tcPr>
                <w:p w14:paraId="67CF82FC"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49DD3047" w14:textId="77777777" w:rsidTr="00E3368B">
              <w:trPr>
                <w:trHeight w:val="315"/>
              </w:trPr>
              <w:tc>
                <w:tcPr>
                  <w:tcW w:w="852" w:type="dxa"/>
                  <w:noWrap/>
                  <w:hideMark/>
                </w:tcPr>
                <w:p w14:paraId="34E7294A"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5210</w:t>
                  </w:r>
                </w:p>
              </w:tc>
              <w:tc>
                <w:tcPr>
                  <w:tcW w:w="6030" w:type="dxa"/>
                  <w:noWrap/>
                  <w:hideMark/>
                </w:tcPr>
                <w:p w14:paraId="2327D32D"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Transports un uzglabāšana</w:t>
                  </w:r>
                </w:p>
              </w:tc>
            </w:tr>
            <w:tr w:rsidR="002863E0" w:rsidRPr="008D706C" w14:paraId="651A9F2F" w14:textId="77777777" w:rsidTr="00E3368B">
              <w:trPr>
                <w:trHeight w:val="315"/>
              </w:trPr>
              <w:tc>
                <w:tcPr>
                  <w:tcW w:w="852" w:type="dxa"/>
                  <w:noWrap/>
                  <w:hideMark/>
                </w:tcPr>
                <w:p w14:paraId="4591DFD8"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150</w:t>
                  </w:r>
                </w:p>
              </w:tc>
              <w:tc>
                <w:tcPr>
                  <w:tcW w:w="6030" w:type="dxa"/>
                  <w:noWrap/>
                  <w:hideMark/>
                </w:tcPr>
                <w:p w14:paraId="08454953"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Lauksaimniecība, mežsaimniecība un zivsaimniecība</w:t>
                  </w:r>
                </w:p>
              </w:tc>
            </w:tr>
            <w:tr w:rsidR="002863E0" w:rsidRPr="008D706C" w14:paraId="0C93D533" w14:textId="77777777" w:rsidTr="00E3368B">
              <w:trPr>
                <w:trHeight w:val="203"/>
              </w:trPr>
              <w:tc>
                <w:tcPr>
                  <w:tcW w:w="852" w:type="dxa"/>
                  <w:noWrap/>
                  <w:hideMark/>
                </w:tcPr>
                <w:p w14:paraId="4959CA74"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141</w:t>
                  </w:r>
                </w:p>
              </w:tc>
              <w:tc>
                <w:tcPr>
                  <w:tcW w:w="6030" w:type="dxa"/>
                  <w:noWrap/>
                  <w:hideMark/>
                </w:tcPr>
                <w:p w14:paraId="14B8B210"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Lauksaimniecība, mežsaimniecība un zivsaimniecība</w:t>
                  </w:r>
                </w:p>
              </w:tc>
            </w:tr>
            <w:tr w:rsidR="002863E0" w:rsidRPr="008D706C" w14:paraId="07DEBC83" w14:textId="77777777" w:rsidTr="00E3368B">
              <w:trPr>
                <w:trHeight w:val="315"/>
              </w:trPr>
              <w:tc>
                <w:tcPr>
                  <w:tcW w:w="852" w:type="dxa"/>
                  <w:noWrap/>
                  <w:hideMark/>
                </w:tcPr>
                <w:p w14:paraId="1E66C0A6"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892</w:t>
                  </w:r>
                </w:p>
              </w:tc>
              <w:tc>
                <w:tcPr>
                  <w:tcW w:w="6030" w:type="dxa"/>
                  <w:noWrap/>
                  <w:hideMark/>
                </w:tcPr>
                <w:p w14:paraId="66F95FD8"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Ieguves rūpniecība un karjeru izstrāde</w:t>
                  </w:r>
                </w:p>
              </w:tc>
            </w:tr>
            <w:tr w:rsidR="002863E0" w:rsidRPr="008D706C" w14:paraId="4ABE9F63" w14:textId="77777777" w:rsidTr="00E3368B">
              <w:trPr>
                <w:trHeight w:val="169"/>
              </w:trPr>
              <w:tc>
                <w:tcPr>
                  <w:tcW w:w="852" w:type="dxa"/>
                  <w:noWrap/>
                  <w:hideMark/>
                </w:tcPr>
                <w:p w14:paraId="06F2954E"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1051</w:t>
                  </w:r>
                </w:p>
              </w:tc>
              <w:tc>
                <w:tcPr>
                  <w:tcW w:w="6030" w:type="dxa"/>
                  <w:noWrap/>
                  <w:hideMark/>
                </w:tcPr>
                <w:p w14:paraId="23568F27"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5E1A856E" w14:textId="77777777" w:rsidTr="00E3368B">
              <w:trPr>
                <w:trHeight w:val="315"/>
              </w:trPr>
              <w:tc>
                <w:tcPr>
                  <w:tcW w:w="852" w:type="dxa"/>
                  <w:noWrap/>
                  <w:hideMark/>
                </w:tcPr>
                <w:p w14:paraId="0DF5791A"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4211</w:t>
                  </w:r>
                </w:p>
              </w:tc>
              <w:tc>
                <w:tcPr>
                  <w:tcW w:w="6030" w:type="dxa"/>
                  <w:noWrap/>
                  <w:hideMark/>
                </w:tcPr>
                <w:p w14:paraId="1D338FA6"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Būvniecība</w:t>
                  </w:r>
                </w:p>
              </w:tc>
            </w:tr>
            <w:tr w:rsidR="002863E0" w:rsidRPr="008D706C" w14:paraId="217879DC" w14:textId="77777777" w:rsidTr="00E3368B">
              <w:trPr>
                <w:trHeight w:val="315"/>
              </w:trPr>
              <w:tc>
                <w:tcPr>
                  <w:tcW w:w="852" w:type="dxa"/>
                  <w:noWrap/>
                  <w:hideMark/>
                </w:tcPr>
                <w:p w14:paraId="3A7DBAA8"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1431</w:t>
                  </w:r>
                </w:p>
              </w:tc>
              <w:tc>
                <w:tcPr>
                  <w:tcW w:w="6030" w:type="dxa"/>
                  <w:noWrap/>
                  <w:hideMark/>
                </w:tcPr>
                <w:p w14:paraId="046E95E1"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285F2F00" w14:textId="77777777" w:rsidTr="00E3368B">
              <w:trPr>
                <w:trHeight w:val="211"/>
              </w:trPr>
              <w:tc>
                <w:tcPr>
                  <w:tcW w:w="852" w:type="dxa"/>
                  <w:noWrap/>
                  <w:hideMark/>
                </w:tcPr>
                <w:p w14:paraId="25E7AB57"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1431</w:t>
                  </w:r>
                </w:p>
              </w:tc>
              <w:tc>
                <w:tcPr>
                  <w:tcW w:w="6030" w:type="dxa"/>
                  <w:noWrap/>
                  <w:hideMark/>
                </w:tcPr>
                <w:p w14:paraId="43A4E7D8"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443C83C6" w14:textId="77777777" w:rsidTr="00E3368B">
              <w:trPr>
                <w:trHeight w:val="357"/>
              </w:trPr>
              <w:tc>
                <w:tcPr>
                  <w:tcW w:w="852" w:type="dxa"/>
                  <w:noWrap/>
                  <w:hideMark/>
                </w:tcPr>
                <w:p w14:paraId="669ACB32"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149</w:t>
                  </w:r>
                </w:p>
              </w:tc>
              <w:tc>
                <w:tcPr>
                  <w:tcW w:w="6030" w:type="dxa"/>
                  <w:noWrap/>
                  <w:hideMark/>
                </w:tcPr>
                <w:p w14:paraId="5B721FD8"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Lauksaimniecība, mežsaimniecība un zivsaimniecība</w:t>
                  </w:r>
                </w:p>
              </w:tc>
            </w:tr>
            <w:tr w:rsidR="002863E0" w:rsidRPr="008D706C" w14:paraId="367DC30E" w14:textId="77777777" w:rsidTr="00E3368B">
              <w:trPr>
                <w:trHeight w:val="315"/>
              </w:trPr>
              <w:tc>
                <w:tcPr>
                  <w:tcW w:w="852" w:type="dxa"/>
                  <w:noWrap/>
                  <w:hideMark/>
                </w:tcPr>
                <w:p w14:paraId="609828C1"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2572</w:t>
                  </w:r>
                </w:p>
              </w:tc>
              <w:tc>
                <w:tcPr>
                  <w:tcW w:w="6030" w:type="dxa"/>
                  <w:noWrap/>
                  <w:hideMark/>
                </w:tcPr>
                <w:p w14:paraId="48606E8C"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521F146A" w14:textId="77777777" w:rsidTr="00E3368B">
              <w:trPr>
                <w:trHeight w:val="315"/>
              </w:trPr>
              <w:tc>
                <w:tcPr>
                  <w:tcW w:w="852" w:type="dxa"/>
                  <w:noWrap/>
                  <w:hideMark/>
                </w:tcPr>
                <w:p w14:paraId="11B0D3E5"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3530</w:t>
                  </w:r>
                </w:p>
              </w:tc>
              <w:tc>
                <w:tcPr>
                  <w:tcW w:w="6030" w:type="dxa"/>
                  <w:noWrap/>
                  <w:hideMark/>
                </w:tcPr>
                <w:p w14:paraId="47BDA992"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Elektroenerģija, gāzes apgāde, siltumapgāde un gaisa kondicionēšana</w:t>
                  </w:r>
                </w:p>
              </w:tc>
            </w:tr>
            <w:tr w:rsidR="002863E0" w:rsidRPr="008D706C" w14:paraId="1B87B3F9" w14:textId="77777777" w:rsidTr="00E3368B">
              <w:trPr>
                <w:trHeight w:val="315"/>
              </w:trPr>
              <w:tc>
                <w:tcPr>
                  <w:tcW w:w="852" w:type="dxa"/>
                  <w:noWrap/>
                  <w:hideMark/>
                </w:tcPr>
                <w:p w14:paraId="0D5F0033"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1729</w:t>
                  </w:r>
                </w:p>
              </w:tc>
              <w:tc>
                <w:tcPr>
                  <w:tcW w:w="6030" w:type="dxa"/>
                  <w:noWrap/>
                  <w:hideMark/>
                </w:tcPr>
                <w:p w14:paraId="10976844"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47421D96" w14:textId="77777777" w:rsidTr="00E3368B">
              <w:trPr>
                <w:trHeight w:val="330"/>
              </w:trPr>
              <w:tc>
                <w:tcPr>
                  <w:tcW w:w="852" w:type="dxa"/>
                  <w:noWrap/>
                  <w:hideMark/>
                </w:tcPr>
                <w:p w14:paraId="401024EF"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5224</w:t>
                  </w:r>
                </w:p>
              </w:tc>
              <w:tc>
                <w:tcPr>
                  <w:tcW w:w="6030" w:type="dxa"/>
                  <w:noWrap/>
                  <w:hideMark/>
                </w:tcPr>
                <w:p w14:paraId="4665B79F"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Transports un uzglabāšana</w:t>
                  </w:r>
                </w:p>
              </w:tc>
            </w:tr>
            <w:tr w:rsidR="002863E0" w:rsidRPr="008D706C" w14:paraId="344C48CD" w14:textId="77777777" w:rsidTr="00E3368B">
              <w:trPr>
                <w:trHeight w:val="315"/>
              </w:trPr>
              <w:tc>
                <w:tcPr>
                  <w:tcW w:w="852" w:type="dxa"/>
                  <w:noWrap/>
                  <w:hideMark/>
                </w:tcPr>
                <w:p w14:paraId="4E75E0A1"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6820</w:t>
                  </w:r>
                </w:p>
              </w:tc>
              <w:tc>
                <w:tcPr>
                  <w:tcW w:w="6030" w:type="dxa"/>
                  <w:noWrap/>
                  <w:hideMark/>
                </w:tcPr>
                <w:p w14:paraId="1B3751DD"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Operācijas ar nekustamo īpašumu</w:t>
                  </w:r>
                </w:p>
              </w:tc>
            </w:tr>
            <w:tr w:rsidR="002863E0" w:rsidRPr="008D706C" w14:paraId="055DC8A9" w14:textId="77777777" w:rsidTr="00E3368B">
              <w:trPr>
                <w:trHeight w:val="315"/>
              </w:trPr>
              <w:tc>
                <w:tcPr>
                  <w:tcW w:w="852" w:type="dxa"/>
                  <w:noWrap/>
                  <w:hideMark/>
                </w:tcPr>
                <w:p w14:paraId="6D91BF2E"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1105</w:t>
                  </w:r>
                </w:p>
              </w:tc>
              <w:tc>
                <w:tcPr>
                  <w:tcW w:w="6030" w:type="dxa"/>
                  <w:noWrap/>
                  <w:hideMark/>
                </w:tcPr>
                <w:p w14:paraId="0B603855"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29BB7E44" w14:textId="77777777" w:rsidTr="00E3368B">
              <w:trPr>
                <w:trHeight w:val="330"/>
              </w:trPr>
              <w:tc>
                <w:tcPr>
                  <w:tcW w:w="852" w:type="dxa"/>
                  <w:noWrap/>
                  <w:hideMark/>
                </w:tcPr>
                <w:p w14:paraId="79E79C36"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1610</w:t>
                  </w:r>
                </w:p>
              </w:tc>
              <w:tc>
                <w:tcPr>
                  <w:tcW w:w="6030" w:type="dxa"/>
                  <w:noWrap/>
                  <w:hideMark/>
                </w:tcPr>
                <w:p w14:paraId="4560B2E3"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6FABD9F3" w14:textId="77777777" w:rsidTr="00E3368B">
              <w:trPr>
                <w:trHeight w:val="315"/>
              </w:trPr>
              <w:tc>
                <w:tcPr>
                  <w:tcW w:w="852" w:type="dxa"/>
                  <w:noWrap/>
                  <w:hideMark/>
                </w:tcPr>
                <w:p w14:paraId="18E7BB57"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1011</w:t>
                  </w:r>
                </w:p>
              </w:tc>
              <w:tc>
                <w:tcPr>
                  <w:tcW w:w="6030" w:type="dxa"/>
                  <w:noWrap/>
                  <w:hideMark/>
                </w:tcPr>
                <w:p w14:paraId="0D0ABAC5"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298F030A" w14:textId="77777777" w:rsidTr="00E3368B">
              <w:trPr>
                <w:trHeight w:val="315"/>
              </w:trPr>
              <w:tc>
                <w:tcPr>
                  <w:tcW w:w="852" w:type="dxa"/>
                  <w:noWrap/>
                  <w:hideMark/>
                </w:tcPr>
                <w:p w14:paraId="2ED53CEF"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1610</w:t>
                  </w:r>
                </w:p>
              </w:tc>
              <w:tc>
                <w:tcPr>
                  <w:tcW w:w="6030" w:type="dxa"/>
                  <w:noWrap/>
                  <w:hideMark/>
                </w:tcPr>
                <w:p w14:paraId="458F67D4"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1D0C0294" w14:textId="77777777" w:rsidTr="00E3368B">
              <w:trPr>
                <w:trHeight w:val="304"/>
              </w:trPr>
              <w:tc>
                <w:tcPr>
                  <w:tcW w:w="852" w:type="dxa"/>
                  <w:noWrap/>
                  <w:hideMark/>
                </w:tcPr>
                <w:p w14:paraId="6E7453FF"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1020</w:t>
                  </w:r>
                </w:p>
              </w:tc>
              <w:tc>
                <w:tcPr>
                  <w:tcW w:w="6030" w:type="dxa"/>
                  <w:noWrap/>
                  <w:hideMark/>
                </w:tcPr>
                <w:p w14:paraId="7FC754C5"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4A12AB06" w14:textId="77777777" w:rsidTr="00E3368B">
              <w:trPr>
                <w:trHeight w:val="315"/>
              </w:trPr>
              <w:tc>
                <w:tcPr>
                  <w:tcW w:w="852" w:type="dxa"/>
                  <w:noWrap/>
                  <w:hideMark/>
                </w:tcPr>
                <w:p w14:paraId="70CBA8BA"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2511</w:t>
                  </w:r>
                </w:p>
              </w:tc>
              <w:tc>
                <w:tcPr>
                  <w:tcW w:w="6030" w:type="dxa"/>
                  <w:noWrap/>
                  <w:hideMark/>
                </w:tcPr>
                <w:p w14:paraId="5014D3EA"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007FE0F9" w14:textId="77777777" w:rsidTr="00E3368B">
              <w:trPr>
                <w:trHeight w:val="371"/>
              </w:trPr>
              <w:tc>
                <w:tcPr>
                  <w:tcW w:w="852" w:type="dxa"/>
                  <w:noWrap/>
                  <w:hideMark/>
                </w:tcPr>
                <w:p w14:paraId="4937D80D"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3530</w:t>
                  </w:r>
                </w:p>
              </w:tc>
              <w:tc>
                <w:tcPr>
                  <w:tcW w:w="6030" w:type="dxa"/>
                  <w:noWrap/>
                  <w:hideMark/>
                </w:tcPr>
                <w:p w14:paraId="7E684083"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Elektroenerģija, gāzes apgāde, siltumapgāde un gaisa kondicionēšana</w:t>
                  </w:r>
                </w:p>
              </w:tc>
            </w:tr>
            <w:tr w:rsidR="002863E0" w:rsidRPr="008D706C" w14:paraId="3B1CD5CD" w14:textId="77777777" w:rsidTr="00E3368B">
              <w:trPr>
                <w:trHeight w:val="315"/>
              </w:trPr>
              <w:tc>
                <w:tcPr>
                  <w:tcW w:w="852" w:type="dxa"/>
                  <w:noWrap/>
                  <w:hideMark/>
                </w:tcPr>
                <w:p w14:paraId="44E65BD7"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3530</w:t>
                  </w:r>
                </w:p>
              </w:tc>
              <w:tc>
                <w:tcPr>
                  <w:tcW w:w="6030" w:type="dxa"/>
                  <w:noWrap/>
                  <w:hideMark/>
                </w:tcPr>
                <w:p w14:paraId="545E2777"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Elektroenerģija, gāzes apgāde, siltumapgāde un gaisa kondicionēšana</w:t>
                  </w:r>
                </w:p>
              </w:tc>
            </w:tr>
            <w:tr w:rsidR="002863E0" w:rsidRPr="008D706C" w14:paraId="60F3B264" w14:textId="77777777" w:rsidTr="00E3368B">
              <w:trPr>
                <w:trHeight w:val="315"/>
              </w:trPr>
              <w:tc>
                <w:tcPr>
                  <w:tcW w:w="852" w:type="dxa"/>
                  <w:noWrap/>
                  <w:hideMark/>
                </w:tcPr>
                <w:p w14:paraId="5C42DD95"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111</w:t>
                  </w:r>
                </w:p>
              </w:tc>
              <w:tc>
                <w:tcPr>
                  <w:tcW w:w="6030" w:type="dxa"/>
                  <w:noWrap/>
                  <w:hideMark/>
                </w:tcPr>
                <w:p w14:paraId="0C3B7B3E"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Lauksaimniecība, mežsaimniecība un zivsaimniecība</w:t>
                  </w:r>
                </w:p>
              </w:tc>
            </w:tr>
            <w:tr w:rsidR="002863E0" w:rsidRPr="008D706C" w14:paraId="1E8E2B34" w14:textId="77777777" w:rsidTr="00E3368B">
              <w:trPr>
                <w:trHeight w:val="315"/>
              </w:trPr>
              <w:tc>
                <w:tcPr>
                  <w:tcW w:w="852" w:type="dxa"/>
                  <w:noWrap/>
                  <w:hideMark/>
                </w:tcPr>
                <w:p w14:paraId="000FA15D"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2511</w:t>
                  </w:r>
                </w:p>
              </w:tc>
              <w:tc>
                <w:tcPr>
                  <w:tcW w:w="6030" w:type="dxa"/>
                  <w:noWrap/>
                  <w:hideMark/>
                </w:tcPr>
                <w:p w14:paraId="72AE2A00"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61A1143F" w14:textId="77777777" w:rsidTr="00E3368B">
              <w:trPr>
                <w:trHeight w:val="315"/>
              </w:trPr>
              <w:tc>
                <w:tcPr>
                  <w:tcW w:w="852" w:type="dxa"/>
                  <w:noWrap/>
                  <w:hideMark/>
                </w:tcPr>
                <w:p w14:paraId="4F1C2C0D"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4211</w:t>
                  </w:r>
                </w:p>
              </w:tc>
              <w:tc>
                <w:tcPr>
                  <w:tcW w:w="6030" w:type="dxa"/>
                  <w:noWrap/>
                  <w:hideMark/>
                </w:tcPr>
                <w:p w14:paraId="06D2D77A"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Būvniecība</w:t>
                  </w:r>
                </w:p>
              </w:tc>
            </w:tr>
            <w:tr w:rsidR="002863E0" w:rsidRPr="008D706C" w14:paraId="022366C5" w14:textId="77777777" w:rsidTr="00E3368B">
              <w:trPr>
                <w:trHeight w:val="315"/>
              </w:trPr>
              <w:tc>
                <w:tcPr>
                  <w:tcW w:w="852" w:type="dxa"/>
                  <w:noWrap/>
                  <w:hideMark/>
                </w:tcPr>
                <w:p w14:paraId="7B92A62D"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113</w:t>
                  </w:r>
                </w:p>
              </w:tc>
              <w:tc>
                <w:tcPr>
                  <w:tcW w:w="6030" w:type="dxa"/>
                  <w:noWrap/>
                  <w:hideMark/>
                </w:tcPr>
                <w:p w14:paraId="43FDFEC3"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Lauksaimniecība, mežsaimniecība un zivsaimniecība</w:t>
                  </w:r>
                </w:p>
              </w:tc>
            </w:tr>
            <w:tr w:rsidR="002863E0" w:rsidRPr="008D706C" w14:paraId="299AE420" w14:textId="77777777" w:rsidTr="00E3368B">
              <w:trPr>
                <w:trHeight w:val="315"/>
              </w:trPr>
              <w:tc>
                <w:tcPr>
                  <w:tcW w:w="852" w:type="dxa"/>
                  <w:noWrap/>
                  <w:hideMark/>
                </w:tcPr>
                <w:p w14:paraId="232A4492"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892</w:t>
                  </w:r>
                </w:p>
              </w:tc>
              <w:tc>
                <w:tcPr>
                  <w:tcW w:w="6030" w:type="dxa"/>
                  <w:noWrap/>
                  <w:hideMark/>
                </w:tcPr>
                <w:p w14:paraId="279566F1"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Ieguves rūpniecība un karjeru izstrāde</w:t>
                  </w:r>
                </w:p>
              </w:tc>
            </w:tr>
            <w:tr w:rsidR="002863E0" w:rsidRPr="008D706C" w14:paraId="2B7B5C87" w14:textId="77777777" w:rsidTr="00E3368B">
              <w:trPr>
                <w:trHeight w:val="315"/>
              </w:trPr>
              <w:tc>
                <w:tcPr>
                  <w:tcW w:w="852" w:type="dxa"/>
                  <w:noWrap/>
                  <w:hideMark/>
                </w:tcPr>
                <w:p w14:paraId="362E586C"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lastRenderedPageBreak/>
                    <w:t>4211</w:t>
                  </w:r>
                </w:p>
              </w:tc>
              <w:tc>
                <w:tcPr>
                  <w:tcW w:w="6030" w:type="dxa"/>
                  <w:noWrap/>
                  <w:hideMark/>
                </w:tcPr>
                <w:p w14:paraId="2B02F4F0"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Būvniecība</w:t>
                  </w:r>
                </w:p>
              </w:tc>
            </w:tr>
            <w:tr w:rsidR="002863E0" w:rsidRPr="008D706C" w14:paraId="354E8A6F" w14:textId="77777777" w:rsidTr="00E3368B">
              <w:trPr>
                <w:trHeight w:val="315"/>
              </w:trPr>
              <w:tc>
                <w:tcPr>
                  <w:tcW w:w="852" w:type="dxa"/>
                  <w:noWrap/>
                  <w:hideMark/>
                </w:tcPr>
                <w:p w14:paraId="36996981"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1623</w:t>
                  </w:r>
                </w:p>
              </w:tc>
              <w:tc>
                <w:tcPr>
                  <w:tcW w:w="6030" w:type="dxa"/>
                  <w:noWrap/>
                  <w:hideMark/>
                </w:tcPr>
                <w:p w14:paraId="36715820"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6318B36B" w14:textId="77777777" w:rsidTr="00E3368B">
              <w:trPr>
                <w:trHeight w:val="315"/>
              </w:trPr>
              <w:tc>
                <w:tcPr>
                  <w:tcW w:w="852" w:type="dxa"/>
                  <w:noWrap/>
                  <w:hideMark/>
                </w:tcPr>
                <w:p w14:paraId="212190C1"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311</w:t>
                  </w:r>
                </w:p>
              </w:tc>
              <w:tc>
                <w:tcPr>
                  <w:tcW w:w="6030" w:type="dxa"/>
                  <w:noWrap/>
                  <w:hideMark/>
                </w:tcPr>
                <w:p w14:paraId="1FBAFA15"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Lauksaimniecība, mežsaimniecība un zivsaimniecība</w:t>
                  </w:r>
                </w:p>
              </w:tc>
            </w:tr>
            <w:tr w:rsidR="002863E0" w:rsidRPr="008D706C" w14:paraId="44AD71A2" w14:textId="77777777" w:rsidTr="00E3368B">
              <w:trPr>
                <w:trHeight w:val="315"/>
              </w:trPr>
              <w:tc>
                <w:tcPr>
                  <w:tcW w:w="852" w:type="dxa"/>
                  <w:noWrap/>
                  <w:hideMark/>
                </w:tcPr>
                <w:p w14:paraId="45A80E20"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6820</w:t>
                  </w:r>
                </w:p>
              </w:tc>
              <w:tc>
                <w:tcPr>
                  <w:tcW w:w="6030" w:type="dxa"/>
                  <w:noWrap/>
                  <w:hideMark/>
                </w:tcPr>
                <w:p w14:paraId="5B32BDEF"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Operācijas ar nekustamo īpašumu</w:t>
                  </w:r>
                </w:p>
              </w:tc>
            </w:tr>
            <w:tr w:rsidR="002863E0" w:rsidRPr="008D706C" w14:paraId="2B47FF07" w14:textId="77777777" w:rsidTr="00E3368B">
              <w:trPr>
                <w:trHeight w:val="315"/>
              </w:trPr>
              <w:tc>
                <w:tcPr>
                  <w:tcW w:w="852" w:type="dxa"/>
                  <w:noWrap/>
                  <w:hideMark/>
                </w:tcPr>
                <w:p w14:paraId="4CED3EB3"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1610</w:t>
                  </w:r>
                </w:p>
              </w:tc>
              <w:tc>
                <w:tcPr>
                  <w:tcW w:w="6030" w:type="dxa"/>
                  <w:noWrap/>
                  <w:hideMark/>
                </w:tcPr>
                <w:p w14:paraId="448B339E"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747891A1" w14:textId="77777777" w:rsidTr="00E3368B">
              <w:trPr>
                <w:trHeight w:val="371"/>
              </w:trPr>
              <w:tc>
                <w:tcPr>
                  <w:tcW w:w="852" w:type="dxa"/>
                  <w:noWrap/>
                  <w:hideMark/>
                </w:tcPr>
                <w:p w14:paraId="040F8617"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6820</w:t>
                  </w:r>
                </w:p>
              </w:tc>
              <w:tc>
                <w:tcPr>
                  <w:tcW w:w="6030" w:type="dxa"/>
                  <w:noWrap/>
                  <w:hideMark/>
                </w:tcPr>
                <w:p w14:paraId="6297CBF6"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Operācijas ar nekustamo īpašumu</w:t>
                  </w:r>
                </w:p>
              </w:tc>
            </w:tr>
            <w:tr w:rsidR="002863E0" w:rsidRPr="008D706C" w14:paraId="59AA9CD9" w14:textId="77777777" w:rsidTr="00E3368B">
              <w:trPr>
                <w:trHeight w:val="277"/>
              </w:trPr>
              <w:tc>
                <w:tcPr>
                  <w:tcW w:w="852" w:type="dxa"/>
                  <w:noWrap/>
                  <w:hideMark/>
                </w:tcPr>
                <w:p w14:paraId="5077B198"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1071</w:t>
                  </w:r>
                </w:p>
              </w:tc>
              <w:tc>
                <w:tcPr>
                  <w:tcW w:w="6030" w:type="dxa"/>
                  <w:noWrap/>
                  <w:hideMark/>
                </w:tcPr>
                <w:p w14:paraId="1AE4E179"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08D55BF5" w14:textId="77777777" w:rsidTr="00E3368B">
              <w:trPr>
                <w:trHeight w:val="315"/>
              </w:trPr>
              <w:tc>
                <w:tcPr>
                  <w:tcW w:w="852" w:type="dxa"/>
                  <w:noWrap/>
                  <w:hideMark/>
                </w:tcPr>
                <w:p w14:paraId="01500C06"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3109</w:t>
                  </w:r>
                </w:p>
              </w:tc>
              <w:tc>
                <w:tcPr>
                  <w:tcW w:w="6030" w:type="dxa"/>
                  <w:noWrap/>
                  <w:hideMark/>
                </w:tcPr>
                <w:p w14:paraId="76E9F7D3"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2506F79C" w14:textId="77777777" w:rsidTr="00E3368B">
              <w:trPr>
                <w:trHeight w:val="315"/>
              </w:trPr>
              <w:tc>
                <w:tcPr>
                  <w:tcW w:w="852" w:type="dxa"/>
                  <w:noWrap/>
                  <w:hideMark/>
                </w:tcPr>
                <w:p w14:paraId="7C358038"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812</w:t>
                  </w:r>
                </w:p>
              </w:tc>
              <w:tc>
                <w:tcPr>
                  <w:tcW w:w="6030" w:type="dxa"/>
                  <w:noWrap/>
                  <w:hideMark/>
                </w:tcPr>
                <w:p w14:paraId="2B84E9B8"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Ieguves rūpniecība un karjeru izstrāde</w:t>
                  </w:r>
                </w:p>
              </w:tc>
            </w:tr>
            <w:tr w:rsidR="002863E0" w:rsidRPr="008D706C" w14:paraId="60A14574" w14:textId="77777777" w:rsidTr="00E3368B">
              <w:trPr>
                <w:trHeight w:val="315"/>
              </w:trPr>
              <w:tc>
                <w:tcPr>
                  <w:tcW w:w="852" w:type="dxa"/>
                  <w:noWrap/>
                  <w:hideMark/>
                </w:tcPr>
                <w:p w14:paraId="1755E541"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141</w:t>
                  </w:r>
                </w:p>
              </w:tc>
              <w:tc>
                <w:tcPr>
                  <w:tcW w:w="6030" w:type="dxa"/>
                  <w:noWrap/>
                  <w:hideMark/>
                </w:tcPr>
                <w:p w14:paraId="5548B053"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Lauksaimniecība, mežsaimniecība un zivsaimniecība</w:t>
                  </w:r>
                </w:p>
              </w:tc>
            </w:tr>
            <w:tr w:rsidR="002863E0" w:rsidRPr="008D706C" w14:paraId="5B97BC95" w14:textId="77777777" w:rsidTr="00E3368B">
              <w:trPr>
                <w:trHeight w:val="268"/>
              </w:trPr>
              <w:tc>
                <w:tcPr>
                  <w:tcW w:w="852" w:type="dxa"/>
                  <w:noWrap/>
                  <w:hideMark/>
                </w:tcPr>
                <w:p w14:paraId="25F26329"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1051</w:t>
                  </w:r>
                </w:p>
              </w:tc>
              <w:tc>
                <w:tcPr>
                  <w:tcW w:w="6030" w:type="dxa"/>
                  <w:noWrap/>
                  <w:hideMark/>
                </w:tcPr>
                <w:p w14:paraId="5ED2E493"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330CE9AF" w14:textId="77777777" w:rsidTr="00E3368B">
              <w:trPr>
                <w:trHeight w:val="315"/>
              </w:trPr>
              <w:tc>
                <w:tcPr>
                  <w:tcW w:w="852" w:type="dxa"/>
                  <w:noWrap/>
                  <w:hideMark/>
                </w:tcPr>
                <w:p w14:paraId="672A9085"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892</w:t>
                  </w:r>
                </w:p>
              </w:tc>
              <w:tc>
                <w:tcPr>
                  <w:tcW w:w="6030" w:type="dxa"/>
                  <w:noWrap/>
                  <w:hideMark/>
                </w:tcPr>
                <w:p w14:paraId="66F729D6"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Ieguves rūpniecība un karjeru izstrāde</w:t>
                  </w:r>
                </w:p>
              </w:tc>
            </w:tr>
            <w:tr w:rsidR="002863E0" w:rsidRPr="008D706C" w14:paraId="100DAA71" w14:textId="77777777" w:rsidTr="00E3368B">
              <w:trPr>
                <w:trHeight w:val="642"/>
              </w:trPr>
              <w:tc>
                <w:tcPr>
                  <w:tcW w:w="852" w:type="dxa"/>
                  <w:noWrap/>
                  <w:hideMark/>
                </w:tcPr>
                <w:p w14:paraId="116DAA7B"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4711</w:t>
                  </w:r>
                </w:p>
              </w:tc>
              <w:tc>
                <w:tcPr>
                  <w:tcW w:w="6030" w:type="dxa"/>
                  <w:noWrap/>
                  <w:hideMark/>
                </w:tcPr>
                <w:p w14:paraId="3731E43C"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Vairumtirdzniecība un mazumtirdzniecība; automobiļu un motociklu remonts</w:t>
                  </w:r>
                </w:p>
              </w:tc>
            </w:tr>
            <w:tr w:rsidR="002863E0" w:rsidRPr="008D706C" w14:paraId="3B1CEA9D" w14:textId="77777777" w:rsidTr="00E3368B">
              <w:trPr>
                <w:trHeight w:val="315"/>
              </w:trPr>
              <w:tc>
                <w:tcPr>
                  <w:tcW w:w="852" w:type="dxa"/>
                  <w:noWrap/>
                  <w:hideMark/>
                </w:tcPr>
                <w:p w14:paraId="77505FF4"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8621</w:t>
                  </w:r>
                </w:p>
              </w:tc>
              <w:tc>
                <w:tcPr>
                  <w:tcW w:w="6030" w:type="dxa"/>
                  <w:noWrap/>
                  <w:hideMark/>
                </w:tcPr>
                <w:p w14:paraId="617E089A"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Veselība un sociālā aprūpe</w:t>
                  </w:r>
                </w:p>
              </w:tc>
            </w:tr>
            <w:tr w:rsidR="002863E0" w:rsidRPr="008D706C" w14:paraId="3A4C88E5" w14:textId="77777777" w:rsidTr="00E3368B">
              <w:trPr>
                <w:trHeight w:val="315"/>
              </w:trPr>
              <w:tc>
                <w:tcPr>
                  <w:tcW w:w="852" w:type="dxa"/>
                  <w:noWrap/>
                  <w:hideMark/>
                </w:tcPr>
                <w:p w14:paraId="5F616DBD"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141</w:t>
                  </w:r>
                </w:p>
              </w:tc>
              <w:tc>
                <w:tcPr>
                  <w:tcW w:w="6030" w:type="dxa"/>
                  <w:noWrap/>
                  <w:hideMark/>
                </w:tcPr>
                <w:p w14:paraId="37BBCA4C"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Lauksaimniecība, mežsaimniecība un zivsaimniecība</w:t>
                  </w:r>
                </w:p>
              </w:tc>
            </w:tr>
            <w:tr w:rsidR="002863E0" w:rsidRPr="008D706C" w14:paraId="454CE3D0" w14:textId="77777777" w:rsidTr="00E3368B">
              <w:trPr>
                <w:trHeight w:val="315"/>
              </w:trPr>
              <w:tc>
                <w:tcPr>
                  <w:tcW w:w="852" w:type="dxa"/>
                  <w:noWrap/>
                  <w:hideMark/>
                </w:tcPr>
                <w:p w14:paraId="252C9761"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150</w:t>
                  </w:r>
                </w:p>
              </w:tc>
              <w:tc>
                <w:tcPr>
                  <w:tcW w:w="6030" w:type="dxa"/>
                  <w:noWrap/>
                  <w:hideMark/>
                </w:tcPr>
                <w:p w14:paraId="3AB82414"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Lauksaimniecība, mežsaimniecība un zivsaimniecība</w:t>
                  </w:r>
                </w:p>
              </w:tc>
            </w:tr>
            <w:tr w:rsidR="002863E0" w:rsidRPr="008D706C" w14:paraId="62351BFC" w14:textId="77777777" w:rsidTr="00E3368B">
              <w:trPr>
                <w:trHeight w:val="315"/>
              </w:trPr>
              <w:tc>
                <w:tcPr>
                  <w:tcW w:w="852" w:type="dxa"/>
                  <w:noWrap/>
                  <w:hideMark/>
                </w:tcPr>
                <w:p w14:paraId="31CC8685"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8610</w:t>
                  </w:r>
                </w:p>
              </w:tc>
              <w:tc>
                <w:tcPr>
                  <w:tcW w:w="6030" w:type="dxa"/>
                  <w:noWrap/>
                  <w:hideMark/>
                </w:tcPr>
                <w:p w14:paraId="0E515BA2"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Veselība un sociālā aprūpe</w:t>
                  </w:r>
                </w:p>
              </w:tc>
            </w:tr>
            <w:tr w:rsidR="002863E0" w:rsidRPr="008D706C" w14:paraId="05F60CBC" w14:textId="77777777" w:rsidTr="00E3368B">
              <w:trPr>
                <w:trHeight w:val="315"/>
              </w:trPr>
              <w:tc>
                <w:tcPr>
                  <w:tcW w:w="852" w:type="dxa"/>
                  <w:noWrap/>
                  <w:hideMark/>
                </w:tcPr>
                <w:p w14:paraId="2A7F6CFD"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1610</w:t>
                  </w:r>
                </w:p>
              </w:tc>
              <w:tc>
                <w:tcPr>
                  <w:tcW w:w="6030" w:type="dxa"/>
                  <w:noWrap/>
                  <w:hideMark/>
                </w:tcPr>
                <w:p w14:paraId="7584E299"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48AE81CD" w14:textId="77777777" w:rsidTr="00E3368B">
              <w:trPr>
                <w:trHeight w:val="315"/>
              </w:trPr>
              <w:tc>
                <w:tcPr>
                  <w:tcW w:w="852" w:type="dxa"/>
                  <w:noWrap/>
                  <w:hideMark/>
                </w:tcPr>
                <w:p w14:paraId="4B53333B"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4752</w:t>
                  </w:r>
                </w:p>
              </w:tc>
              <w:tc>
                <w:tcPr>
                  <w:tcW w:w="6030" w:type="dxa"/>
                  <w:noWrap/>
                  <w:hideMark/>
                </w:tcPr>
                <w:p w14:paraId="51E13B58"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Vairumtirdzniecība un mazumtirdzniecība; automobiļu un motociklu remonts</w:t>
                  </w:r>
                </w:p>
              </w:tc>
            </w:tr>
            <w:tr w:rsidR="002863E0" w:rsidRPr="008D706C" w14:paraId="6259E7F9" w14:textId="77777777" w:rsidTr="00E3368B">
              <w:trPr>
                <w:trHeight w:val="315"/>
              </w:trPr>
              <w:tc>
                <w:tcPr>
                  <w:tcW w:w="852" w:type="dxa"/>
                  <w:noWrap/>
                  <w:hideMark/>
                </w:tcPr>
                <w:p w14:paraId="69B65F5A"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8610</w:t>
                  </w:r>
                </w:p>
              </w:tc>
              <w:tc>
                <w:tcPr>
                  <w:tcW w:w="6030" w:type="dxa"/>
                  <w:noWrap/>
                  <w:hideMark/>
                </w:tcPr>
                <w:p w14:paraId="1474DD49"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Veselība un sociālā aprūpe</w:t>
                  </w:r>
                </w:p>
              </w:tc>
            </w:tr>
            <w:tr w:rsidR="002863E0" w:rsidRPr="008D706C" w14:paraId="704A16FE" w14:textId="77777777" w:rsidTr="00E3368B">
              <w:trPr>
                <w:trHeight w:val="330"/>
              </w:trPr>
              <w:tc>
                <w:tcPr>
                  <w:tcW w:w="852" w:type="dxa"/>
                  <w:noWrap/>
                  <w:hideMark/>
                </w:tcPr>
                <w:p w14:paraId="2E252CFA"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5610</w:t>
                  </w:r>
                </w:p>
              </w:tc>
              <w:tc>
                <w:tcPr>
                  <w:tcW w:w="6030" w:type="dxa"/>
                  <w:noWrap/>
                  <w:hideMark/>
                </w:tcPr>
                <w:p w14:paraId="633B2D6A"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Izmitināšana un ēdināšanas pakalpojumi</w:t>
                  </w:r>
                </w:p>
              </w:tc>
            </w:tr>
            <w:tr w:rsidR="002863E0" w:rsidRPr="008D706C" w14:paraId="753712CC" w14:textId="77777777" w:rsidTr="00E3368B">
              <w:trPr>
                <w:trHeight w:val="300"/>
              </w:trPr>
              <w:tc>
                <w:tcPr>
                  <w:tcW w:w="852" w:type="dxa"/>
                  <w:noWrap/>
                  <w:hideMark/>
                </w:tcPr>
                <w:p w14:paraId="65610628"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146</w:t>
                  </w:r>
                </w:p>
              </w:tc>
              <w:tc>
                <w:tcPr>
                  <w:tcW w:w="6030" w:type="dxa"/>
                  <w:noWrap/>
                  <w:hideMark/>
                </w:tcPr>
                <w:p w14:paraId="56361E59"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Lauksaimniecība, mežsaimniecība un zivsaimniecība</w:t>
                  </w:r>
                </w:p>
              </w:tc>
            </w:tr>
            <w:tr w:rsidR="002863E0" w:rsidRPr="008D706C" w14:paraId="6B6FD134" w14:textId="77777777" w:rsidTr="00E3368B">
              <w:trPr>
                <w:trHeight w:val="241"/>
              </w:trPr>
              <w:tc>
                <w:tcPr>
                  <w:tcW w:w="852" w:type="dxa"/>
                  <w:noWrap/>
                  <w:hideMark/>
                </w:tcPr>
                <w:p w14:paraId="5CD90D79"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1013</w:t>
                  </w:r>
                </w:p>
              </w:tc>
              <w:tc>
                <w:tcPr>
                  <w:tcW w:w="6030" w:type="dxa"/>
                  <w:noWrap/>
                  <w:hideMark/>
                </w:tcPr>
                <w:p w14:paraId="0DE6D46B"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5911E2D5" w14:textId="77777777" w:rsidTr="00E3368B">
              <w:trPr>
                <w:trHeight w:val="315"/>
              </w:trPr>
              <w:tc>
                <w:tcPr>
                  <w:tcW w:w="852" w:type="dxa"/>
                  <w:noWrap/>
                  <w:hideMark/>
                </w:tcPr>
                <w:p w14:paraId="3BB9AAE8"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1041</w:t>
                  </w:r>
                </w:p>
              </w:tc>
              <w:tc>
                <w:tcPr>
                  <w:tcW w:w="6030" w:type="dxa"/>
                  <w:noWrap/>
                  <w:hideMark/>
                </w:tcPr>
                <w:p w14:paraId="5CDE593A"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041FDB10" w14:textId="77777777" w:rsidTr="00E3368B">
              <w:trPr>
                <w:trHeight w:val="315"/>
              </w:trPr>
              <w:tc>
                <w:tcPr>
                  <w:tcW w:w="852" w:type="dxa"/>
                  <w:noWrap/>
                  <w:hideMark/>
                </w:tcPr>
                <w:p w14:paraId="1E37DA46"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1610</w:t>
                  </w:r>
                </w:p>
              </w:tc>
              <w:tc>
                <w:tcPr>
                  <w:tcW w:w="6030" w:type="dxa"/>
                  <w:noWrap/>
                  <w:hideMark/>
                </w:tcPr>
                <w:p w14:paraId="5FBD818D"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Apstrādes rūpniecība</w:t>
                  </w:r>
                </w:p>
              </w:tc>
            </w:tr>
            <w:tr w:rsidR="002863E0" w:rsidRPr="008D706C" w14:paraId="24B57C06" w14:textId="77777777" w:rsidTr="00E3368B">
              <w:trPr>
                <w:trHeight w:val="315"/>
              </w:trPr>
              <w:tc>
                <w:tcPr>
                  <w:tcW w:w="852" w:type="dxa"/>
                  <w:noWrap/>
                  <w:hideMark/>
                </w:tcPr>
                <w:p w14:paraId="5523AA4F"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150</w:t>
                  </w:r>
                </w:p>
              </w:tc>
              <w:tc>
                <w:tcPr>
                  <w:tcW w:w="6030" w:type="dxa"/>
                  <w:noWrap/>
                  <w:hideMark/>
                </w:tcPr>
                <w:p w14:paraId="54498D10"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Lauksaimniecība, mežsaimniecība un zivsaimniecība</w:t>
                  </w:r>
                </w:p>
              </w:tc>
            </w:tr>
            <w:tr w:rsidR="002863E0" w:rsidRPr="008D706C" w14:paraId="2E0A27FD" w14:textId="77777777" w:rsidTr="00E3368B">
              <w:trPr>
                <w:trHeight w:val="315"/>
              </w:trPr>
              <w:tc>
                <w:tcPr>
                  <w:tcW w:w="852" w:type="dxa"/>
                  <w:noWrap/>
                  <w:hideMark/>
                </w:tcPr>
                <w:p w14:paraId="6163CA85"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6820</w:t>
                  </w:r>
                </w:p>
              </w:tc>
              <w:tc>
                <w:tcPr>
                  <w:tcW w:w="6030" w:type="dxa"/>
                  <w:noWrap/>
                  <w:hideMark/>
                </w:tcPr>
                <w:p w14:paraId="4C5D3013"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Operācijas ar nekustamo īpašumu</w:t>
                  </w:r>
                </w:p>
              </w:tc>
            </w:tr>
            <w:tr w:rsidR="002863E0" w:rsidRPr="008D706C" w14:paraId="18FC4782" w14:textId="77777777" w:rsidTr="00E3368B">
              <w:trPr>
                <w:trHeight w:val="315"/>
              </w:trPr>
              <w:tc>
                <w:tcPr>
                  <w:tcW w:w="852" w:type="dxa"/>
                  <w:noWrap/>
                  <w:hideMark/>
                </w:tcPr>
                <w:p w14:paraId="56ACDBA4"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150</w:t>
                  </w:r>
                </w:p>
              </w:tc>
              <w:tc>
                <w:tcPr>
                  <w:tcW w:w="6030" w:type="dxa"/>
                  <w:noWrap/>
                  <w:hideMark/>
                </w:tcPr>
                <w:p w14:paraId="40730E66"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Lauksaimniecība, mežsaimniecība un zivsaimniecība</w:t>
                  </w:r>
                </w:p>
              </w:tc>
            </w:tr>
            <w:tr w:rsidR="002863E0" w:rsidRPr="008D706C" w14:paraId="036D579E" w14:textId="77777777" w:rsidTr="00E3368B">
              <w:trPr>
                <w:trHeight w:val="453"/>
              </w:trPr>
              <w:tc>
                <w:tcPr>
                  <w:tcW w:w="852" w:type="dxa"/>
                  <w:noWrap/>
                  <w:hideMark/>
                </w:tcPr>
                <w:p w14:paraId="215001A6"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9200</w:t>
                  </w:r>
                </w:p>
              </w:tc>
              <w:tc>
                <w:tcPr>
                  <w:tcW w:w="6030" w:type="dxa"/>
                  <w:noWrap/>
                  <w:hideMark/>
                </w:tcPr>
                <w:p w14:paraId="155BF25B"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Māksla, izklaide un atpūta</w:t>
                  </w:r>
                </w:p>
              </w:tc>
            </w:tr>
            <w:tr w:rsidR="002863E0" w:rsidRPr="008D706C" w14:paraId="567604BA" w14:textId="77777777" w:rsidTr="00E3368B">
              <w:trPr>
                <w:trHeight w:val="315"/>
              </w:trPr>
              <w:tc>
                <w:tcPr>
                  <w:tcW w:w="852" w:type="dxa"/>
                  <w:noWrap/>
                  <w:hideMark/>
                </w:tcPr>
                <w:p w14:paraId="14C6F19D"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4662</w:t>
                  </w:r>
                </w:p>
              </w:tc>
              <w:tc>
                <w:tcPr>
                  <w:tcW w:w="6030" w:type="dxa"/>
                  <w:noWrap/>
                  <w:hideMark/>
                </w:tcPr>
                <w:p w14:paraId="2F2FC3C4"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Vairumtirdzniecība un mazumtirdzniecība; automobiļu un motociklu remonts</w:t>
                  </w:r>
                </w:p>
              </w:tc>
            </w:tr>
            <w:tr w:rsidR="002863E0" w:rsidRPr="008D706C" w14:paraId="0E11D533" w14:textId="77777777" w:rsidTr="00E3368B">
              <w:trPr>
                <w:trHeight w:val="315"/>
              </w:trPr>
              <w:tc>
                <w:tcPr>
                  <w:tcW w:w="852" w:type="dxa"/>
                  <w:noWrap/>
                  <w:hideMark/>
                </w:tcPr>
                <w:p w14:paraId="08A03B33"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8690</w:t>
                  </w:r>
                </w:p>
              </w:tc>
              <w:tc>
                <w:tcPr>
                  <w:tcW w:w="6030" w:type="dxa"/>
                  <w:noWrap/>
                  <w:hideMark/>
                </w:tcPr>
                <w:p w14:paraId="060BCF06"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Veselība un sociālā aprūpe</w:t>
                  </w:r>
                </w:p>
              </w:tc>
            </w:tr>
            <w:tr w:rsidR="002863E0" w:rsidRPr="008D706C" w14:paraId="0ADD3200" w14:textId="77777777" w:rsidTr="00E3368B">
              <w:trPr>
                <w:trHeight w:val="315"/>
              </w:trPr>
              <w:tc>
                <w:tcPr>
                  <w:tcW w:w="852" w:type="dxa"/>
                  <w:noWrap/>
                  <w:hideMark/>
                </w:tcPr>
                <w:p w14:paraId="5D2CCBF5"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6820</w:t>
                  </w:r>
                </w:p>
              </w:tc>
              <w:tc>
                <w:tcPr>
                  <w:tcW w:w="6030" w:type="dxa"/>
                  <w:noWrap/>
                  <w:hideMark/>
                </w:tcPr>
                <w:p w14:paraId="1A996C51"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Operācijas ar nekustamo īpašumu</w:t>
                  </w:r>
                </w:p>
              </w:tc>
            </w:tr>
            <w:tr w:rsidR="002863E0" w:rsidRPr="008D706C" w14:paraId="045E1644" w14:textId="77777777" w:rsidTr="00E3368B">
              <w:trPr>
                <w:trHeight w:val="315"/>
              </w:trPr>
              <w:tc>
                <w:tcPr>
                  <w:tcW w:w="852" w:type="dxa"/>
                  <w:noWrap/>
                  <w:hideMark/>
                </w:tcPr>
                <w:p w14:paraId="62D3E3EB" w14:textId="77777777" w:rsidR="002863E0" w:rsidRPr="00E3368B" w:rsidRDefault="002863E0" w:rsidP="008D706C">
                  <w:pPr>
                    <w:jc w:val="right"/>
                    <w:rPr>
                      <w:rFonts w:ascii="Times New Roman" w:hAnsi="Times New Roman" w:cs="Times New Roman"/>
                      <w:sz w:val="20"/>
                      <w:szCs w:val="20"/>
                    </w:rPr>
                  </w:pPr>
                  <w:r w:rsidRPr="00E3368B">
                    <w:rPr>
                      <w:rFonts w:ascii="Times New Roman" w:hAnsi="Times New Roman" w:cs="Times New Roman"/>
                      <w:sz w:val="20"/>
                      <w:szCs w:val="20"/>
                      <w:lang w:eastAsia="lv-LV"/>
                    </w:rPr>
                    <w:t>5610</w:t>
                  </w:r>
                </w:p>
              </w:tc>
              <w:tc>
                <w:tcPr>
                  <w:tcW w:w="6030" w:type="dxa"/>
                  <w:noWrap/>
                  <w:hideMark/>
                </w:tcPr>
                <w:p w14:paraId="75DB97DE" w14:textId="77777777" w:rsidR="002863E0" w:rsidRPr="00E3368B" w:rsidRDefault="002863E0" w:rsidP="008D706C">
                  <w:pPr>
                    <w:rPr>
                      <w:rFonts w:ascii="Times New Roman" w:hAnsi="Times New Roman" w:cs="Times New Roman"/>
                      <w:sz w:val="20"/>
                      <w:szCs w:val="20"/>
                    </w:rPr>
                  </w:pPr>
                  <w:r w:rsidRPr="00E3368B">
                    <w:rPr>
                      <w:rFonts w:ascii="Times New Roman" w:hAnsi="Times New Roman" w:cs="Times New Roman"/>
                      <w:sz w:val="20"/>
                      <w:szCs w:val="20"/>
                      <w:lang w:eastAsia="lv-LV"/>
                    </w:rPr>
                    <w:t>Izmitināšana un ēdināšanas pakalpojumi</w:t>
                  </w:r>
                </w:p>
              </w:tc>
            </w:tr>
          </w:tbl>
          <w:p w14:paraId="21C8D0B9" w14:textId="30B8CC8F" w:rsidR="002863E0" w:rsidRPr="001B6D0A" w:rsidRDefault="002863E0" w:rsidP="001B6D0A">
            <w:pPr>
              <w:pStyle w:val="naiskr"/>
              <w:spacing w:before="0" w:beforeAutospacing="0" w:after="0" w:afterAutospacing="0"/>
              <w:ind w:firstLine="235"/>
              <w:contextualSpacing/>
              <w:jc w:val="both"/>
            </w:pPr>
          </w:p>
        </w:tc>
      </w:tr>
      <w:tr w:rsidR="00820311" w:rsidRPr="001B6D0A" w14:paraId="757C5967" w14:textId="77777777" w:rsidTr="004A4195">
        <w:trPr>
          <w:gridAfter w:val="1"/>
          <w:wAfter w:w="6" w:type="dxa"/>
          <w:trHeight w:val="372"/>
        </w:trPr>
        <w:tc>
          <w:tcPr>
            <w:tcW w:w="559" w:type="dxa"/>
            <w:tcBorders>
              <w:top w:val="outset" w:sz="6" w:space="0" w:color="414142"/>
              <w:left w:val="outset" w:sz="6" w:space="0" w:color="414142"/>
              <w:bottom w:val="outset" w:sz="6" w:space="0" w:color="414142"/>
              <w:right w:val="outset" w:sz="6" w:space="0" w:color="414142"/>
            </w:tcBorders>
            <w:hideMark/>
          </w:tcPr>
          <w:p w14:paraId="741BF495" w14:textId="77777777" w:rsidR="00894C55" w:rsidRPr="001B6D0A" w:rsidRDefault="00894C55" w:rsidP="001B6D0A">
            <w:pPr>
              <w:spacing w:after="0" w:line="240" w:lineRule="auto"/>
              <w:contextualSpacing/>
              <w:jc w:val="center"/>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lastRenderedPageBreak/>
              <w:t>3.</w:t>
            </w:r>
          </w:p>
        </w:tc>
        <w:tc>
          <w:tcPr>
            <w:tcW w:w="1828" w:type="dxa"/>
            <w:tcBorders>
              <w:top w:val="outset" w:sz="6" w:space="0" w:color="414142"/>
              <w:left w:val="outset" w:sz="6" w:space="0" w:color="414142"/>
              <w:bottom w:val="outset" w:sz="6" w:space="0" w:color="414142"/>
              <w:right w:val="outset" w:sz="6" w:space="0" w:color="414142"/>
            </w:tcBorders>
            <w:hideMark/>
          </w:tcPr>
          <w:p w14:paraId="6F82FFF9" w14:textId="7320B562" w:rsidR="00894C55" w:rsidRPr="001B6D0A" w:rsidRDefault="00894C55"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Projekta izstrādē iesaistītās institūcijas</w:t>
            </w:r>
            <w:r w:rsidR="0040519D" w:rsidRPr="001B6D0A">
              <w:rPr>
                <w:rFonts w:ascii="Times New Roman" w:eastAsia="Times New Roman" w:hAnsi="Times New Roman" w:cs="Times New Roman"/>
                <w:sz w:val="24"/>
                <w:szCs w:val="24"/>
                <w:lang w:eastAsia="lv-LV"/>
              </w:rPr>
              <w:t xml:space="preserve"> un </w:t>
            </w:r>
            <w:r w:rsidR="00AF54D0" w:rsidRPr="001B6D0A">
              <w:rPr>
                <w:rFonts w:ascii="Times New Roman" w:eastAsia="Times New Roman" w:hAnsi="Times New Roman" w:cs="Times New Roman"/>
                <w:sz w:val="24"/>
                <w:szCs w:val="24"/>
                <w:lang w:eastAsia="lv-LV"/>
              </w:rPr>
              <w:t>publiskas personas kapitālsabiedrības</w:t>
            </w:r>
          </w:p>
        </w:tc>
        <w:tc>
          <w:tcPr>
            <w:tcW w:w="6935" w:type="dxa"/>
            <w:tcBorders>
              <w:top w:val="outset" w:sz="6" w:space="0" w:color="414142"/>
              <w:left w:val="outset" w:sz="6" w:space="0" w:color="414142"/>
              <w:bottom w:val="outset" w:sz="6" w:space="0" w:color="414142"/>
              <w:right w:val="outset" w:sz="6" w:space="0" w:color="414142"/>
            </w:tcBorders>
          </w:tcPr>
          <w:p w14:paraId="0FA2D970" w14:textId="77777777" w:rsidR="00894C55" w:rsidRPr="001B6D0A" w:rsidRDefault="00426193"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EM</w:t>
            </w:r>
          </w:p>
        </w:tc>
      </w:tr>
      <w:tr w:rsidR="00BE10FA" w:rsidRPr="001B6D0A" w14:paraId="12D70294" w14:textId="77777777" w:rsidTr="004A4195">
        <w:trPr>
          <w:gridAfter w:val="1"/>
          <w:wAfter w:w="6" w:type="dxa"/>
        </w:trPr>
        <w:tc>
          <w:tcPr>
            <w:tcW w:w="559" w:type="dxa"/>
            <w:tcBorders>
              <w:top w:val="outset" w:sz="6" w:space="0" w:color="414142"/>
              <w:left w:val="outset" w:sz="6" w:space="0" w:color="414142"/>
              <w:bottom w:val="outset" w:sz="6" w:space="0" w:color="414142"/>
              <w:right w:val="outset" w:sz="6" w:space="0" w:color="414142"/>
            </w:tcBorders>
            <w:hideMark/>
          </w:tcPr>
          <w:p w14:paraId="3E7EBBB4" w14:textId="77777777" w:rsidR="00894C55" w:rsidRPr="001B6D0A" w:rsidRDefault="00894C55" w:rsidP="001B6D0A">
            <w:pPr>
              <w:spacing w:after="0" w:line="240" w:lineRule="auto"/>
              <w:contextualSpacing/>
              <w:jc w:val="center"/>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4.</w:t>
            </w:r>
          </w:p>
        </w:tc>
        <w:tc>
          <w:tcPr>
            <w:tcW w:w="1828" w:type="dxa"/>
            <w:tcBorders>
              <w:top w:val="outset" w:sz="6" w:space="0" w:color="414142"/>
              <w:left w:val="outset" w:sz="6" w:space="0" w:color="414142"/>
              <w:bottom w:val="outset" w:sz="6" w:space="0" w:color="414142"/>
              <w:right w:val="outset" w:sz="6" w:space="0" w:color="414142"/>
            </w:tcBorders>
            <w:hideMark/>
          </w:tcPr>
          <w:p w14:paraId="1EF3C8D3" w14:textId="77777777" w:rsidR="00894C55" w:rsidRPr="001B6D0A" w:rsidRDefault="00894C55"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6935" w:type="dxa"/>
                <w:tcBorders>
                  <w:top w:val="outset" w:sz="6" w:space="0" w:color="414142"/>
                  <w:left w:val="outset" w:sz="6" w:space="0" w:color="414142"/>
                  <w:bottom w:val="outset" w:sz="6" w:space="0" w:color="414142"/>
                  <w:right w:val="outset" w:sz="6" w:space="0" w:color="414142"/>
                </w:tcBorders>
                <w:hideMark/>
              </w:tcPr>
              <w:p w14:paraId="096C17BA" w14:textId="77777777" w:rsidR="00894C55" w:rsidRPr="001B6D0A" w:rsidRDefault="0024502B"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Nav</w:t>
                </w:r>
              </w:p>
            </w:tc>
          </w:sdtContent>
        </w:sdt>
      </w:tr>
    </w:tbl>
    <w:p w14:paraId="5D8AB098" w14:textId="77777777" w:rsidR="00894C55" w:rsidRPr="001B6D0A" w:rsidRDefault="00894C55" w:rsidP="001B6D0A">
      <w:pPr>
        <w:shd w:val="clear" w:color="auto" w:fill="FFFFFF"/>
        <w:spacing w:after="0" w:line="240" w:lineRule="auto"/>
        <w:contextualSpacing/>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396"/>
        <w:gridCol w:w="2888"/>
        <w:gridCol w:w="5777"/>
      </w:tblGrid>
      <w:tr w:rsidR="00820311" w:rsidRPr="001B6D0A" w14:paraId="7B39FD99" w14:textId="77777777" w:rsidTr="00C409C3">
        <w:tc>
          <w:tcPr>
            <w:tcW w:w="0" w:type="auto"/>
            <w:gridSpan w:val="3"/>
            <w:hideMark/>
          </w:tcPr>
          <w:p w14:paraId="69EB1964" w14:textId="77777777" w:rsidR="00B80599" w:rsidRPr="001B6D0A" w:rsidRDefault="00B80599" w:rsidP="001B6D0A">
            <w:pPr>
              <w:contextualSpacing/>
              <w:jc w:val="center"/>
              <w:rPr>
                <w:rFonts w:ascii="Times New Roman" w:eastAsia="Times New Roman" w:hAnsi="Times New Roman" w:cs="Times New Roman"/>
                <w:b/>
                <w:bCs/>
                <w:iCs/>
                <w:sz w:val="24"/>
                <w:szCs w:val="24"/>
                <w:lang w:eastAsia="lv-LV"/>
              </w:rPr>
            </w:pPr>
            <w:r w:rsidRPr="001B6D0A">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820311" w:rsidRPr="001B6D0A" w14:paraId="3D72F4B1" w14:textId="77777777" w:rsidTr="00C409C3">
        <w:tc>
          <w:tcPr>
            <w:tcW w:w="184" w:type="pct"/>
            <w:hideMark/>
          </w:tcPr>
          <w:p w14:paraId="7AC2C27A" w14:textId="77777777" w:rsidR="00B80599" w:rsidRPr="001B6D0A" w:rsidRDefault="00B80599" w:rsidP="001B6D0A">
            <w:pPr>
              <w:contextualSpacing/>
              <w:jc w:val="both"/>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1.</w:t>
            </w:r>
          </w:p>
        </w:tc>
        <w:tc>
          <w:tcPr>
            <w:tcW w:w="1589" w:type="pct"/>
            <w:hideMark/>
          </w:tcPr>
          <w:p w14:paraId="1CABB1BE" w14:textId="77777777" w:rsidR="00B80599" w:rsidRPr="001B6D0A" w:rsidRDefault="00B80599" w:rsidP="001B6D0A">
            <w:pPr>
              <w:contextualSpacing/>
              <w:jc w:val="both"/>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xml:space="preserve">Sabiedrības </w:t>
            </w:r>
            <w:proofErr w:type="spellStart"/>
            <w:r w:rsidRPr="001B6D0A">
              <w:rPr>
                <w:rFonts w:ascii="Times New Roman" w:eastAsia="Times New Roman" w:hAnsi="Times New Roman" w:cs="Times New Roman"/>
                <w:iCs/>
                <w:sz w:val="24"/>
                <w:szCs w:val="24"/>
                <w:lang w:eastAsia="lv-LV"/>
              </w:rPr>
              <w:t>mērķgrupas</w:t>
            </w:r>
            <w:proofErr w:type="spellEnd"/>
            <w:r w:rsidRPr="001B6D0A">
              <w:rPr>
                <w:rFonts w:ascii="Times New Roman" w:eastAsia="Times New Roman" w:hAnsi="Times New Roman" w:cs="Times New Roman"/>
                <w:iCs/>
                <w:sz w:val="24"/>
                <w:szCs w:val="24"/>
                <w:lang w:eastAsia="lv-LV"/>
              </w:rPr>
              <w:t>, kuras tiesiskais regulējums ietekmē vai varētu ietekmēt</w:t>
            </w:r>
          </w:p>
        </w:tc>
        <w:tc>
          <w:tcPr>
            <w:tcW w:w="3163" w:type="pct"/>
            <w:hideMark/>
          </w:tcPr>
          <w:p w14:paraId="69AD6E72" w14:textId="67EE198D" w:rsidR="00B80599" w:rsidRPr="001B6D0A" w:rsidRDefault="00AA59A6" w:rsidP="001B6D0A">
            <w:pPr>
              <w:contextualSpacing/>
              <w:jc w:val="both"/>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xml:space="preserve">EPS atbildīgās puses, lielie uzņēmumi, elektroenerģijas, </w:t>
            </w:r>
            <w:r w:rsidRPr="001B6D0A">
              <w:rPr>
                <w:rFonts w:ascii="Times New Roman" w:eastAsia="Times New Roman" w:hAnsi="Times New Roman" w:cs="Times New Roman"/>
                <w:sz w:val="24"/>
                <w:szCs w:val="24"/>
                <w:lang w:eastAsia="lv-LV"/>
              </w:rPr>
              <w:t>gāzes un siltumenerģijas tirgotāji</w:t>
            </w:r>
          </w:p>
        </w:tc>
      </w:tr>
      <w:tr w:rsidR="00820311" w:rsidRPr="001B6D0A" w14:paraId="05FFBED8" w14:textId="77777777" w:rsidTr="00C409C3">
        <w:tc>
          <w:tcPr>
            <w:tcW w:w="184" w:type="pct"/>
            <w:hideMark/>
          </w:tcPr>
          <w:p w14:paraId="7E21FCA5" w14:textId="77777777" w:rsidR="00B80599" w:rsidRPr="001B6D0A" w:rsidRDefault="00B80599" w:rsidP="001B6D0A">
            <w:pPr>
              <w:contextualSpacing/>
              <w:jc w:val="both"/>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2.</w:t>
            </w:r>
          </w:p>
        </w:tc>
        <w:tc>
          <w:tcPr>
            <w:tcW w:w="1589" w:type="pct"/>
            <w:hideMark/>
          </w:tcPr>
          <w:p w14:paraId="78E637AE" w14:textId="6C1F3CB6" w:rsidR="0068231A" w:rsidRPr="001B6D0A" w:rsidRDefault="00B80599" w:rsidP="001B6D0A">
            <w:pPr>
              <w:contextualSpacing/>
              <w:jc w:val="both"/>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Tiesiskā regulējuma ietekme uz tautsaimniecību un administratīvo slogu</w:t>
            </w:r>
          </w:p>
        </w:tc>
        <w:tc>
          <w:tcPr>
            <w:tcW w:w="3163" w:type="pct"/>
            <w:hideMark/>
          </w:tcPr>
          <w:p w14:paraId="32F30439" w14:textId="17EBB90F" w:rsidR="008B6A46" w:rsidRPr="00E0678C" w:rsidRDefault="00663D63" w:rsidP="001B6D0A">
            <w:pPr>
              <w:jc w:val="both"/>
              <w:rPr>
                <w:rFonts w:ascii="Times New Roman" w:hAnsi="Times New Roman" w:cs="Times New Roman"/>
                <w:sz w:val="24"/>
                <w:szCs w:val="24"/>
              </w:rPr>
            </w:pPr>
            <w:r w:rsidRPr="001B6D0A">
              <w:rPr>
                <w:rFonts w:ascii="Times New Roman" w:hAnsi="Times New Roman" w:cs="Times New Roman"/>
                <w:iCs/>
                <w:sz w:val="24"/>
                <w:szCs w:val="24"/>
              </w:rPr>
              <w:t xml:space="preserve">Tiesiskajam regulējumam prognozējama pozitīva ietekme uz tautsaimniecību. </w:t>
            </w:r>
            <w:r w:rsidR="001F1D3D" w:rsidRPr="001B6D0A">
              <w:rPr>
                <w:rFonts w:ascii="Times New Roman" w:hAnsi="Times New Roman" w:cs="Times New Roman"/>
                <w:iCs/>
                <w:sz w:val="24"/>
                <w:szCs w:val="24"/>
              </w:rPr>
              <w:t xml:space="preserve">Likumprojektā ietvertās normas sakārtos līdz šim strīdīgās vai neskaidrās Likuma normas. </w:t>
            </w:r>
            <w:r w:rsidRPr="001B6D0A">
              <w:rPr>
                <w:rFonts w:ascii="Times New Roman" w:hAnsi="Times New Roman" w:cs="Times New Roman"/>
                <w:iCs/>
                <w:sz w:val="24"/>
                <w:szCs w:val="24"/>
              </w:rPr>
              <w:t>Likumprojektā ietvertā</w:t>
            </w:r>
            <w:r w:rsidR="00A33715" w:rsidRPr="001B6D0A">
              <w:rPr>
                <w:rFonts w:ascii="Times New Roman" w:hAnsi="Times New Roman" w:cs="Times New Roman"/>
                <w:iCs/>
                <w:sz w:val="24"/>
                <w:szCs w:val="24"/>
              </w:rPr>
              <w:t xml:space="preserve"> atbildība par prasību neievērošanu </w:t>
            </w:r>
            <w:r w:rsidR="00F919C8" w:rsidRPr="001B6D0A">
              <w:rPr>
                <w:rFonts w:ascii="Times New Roman" w:hAnsi="Times New Roman" w:cs="Times New Roman"/>
                <w:iCs/>
                <w:sz w:val="24"/>
                <w:szCs w:val="24"/>
              </w:rPr>
              <w:t>i</w:t>
            </w:r>
            <w:r w:rsidRPr="001B6D0A">
              <w:rPr>
                <w:rFonts w:ascii="Times New Roman" w:hAnsi="Times New Roman" w:cs="Times New Roman"/>
                <w:sz w:val="24"/>
                <w:szCs w:val="24"/>
              </w:rPr>
              <w:t>r</w:t>
            </w:r>
            <w:r w:rsidR="001F1D3D" w:rsidRPr="001B6D0A">
              <w:rPr>
                <w:rFonts w:ascii="Times New Roman" w:hAnsi="Times New Roman" w:cs="Times New Roman"/>
                <w:sz w:val="24"/>
                <w:szCs w:val="24"/>
              </w:rPr>
              <w:t xml:space="preserve"> samērīga</w:t>
            </w:r>
            <w:r w:rsidR="009F4CAC" w:rsidRPr="001B6D0A">
              <w:rPr>
                <w:rFonts w:ascii="Times New Roman" w:hAnsi="Times New Roman" w:cs="Times New Roman"/>
                <w:sz w:val="24"/>
                <w:szCs w:val="24"/>
              </w:rPr>
              <w:t>,</w:t>
            </w:r>
            <w:r w:rsidR="001F1D3D" w:rsidRPr="001B6D0A">
              <w:rPr>
                <w:rFonts w:ascii="Times New Roman" w:hAnsi="Times New Roman" w:cs="Times New Roman"/>
                <w:sz w:val="24"/>
                <w:szCs w:val="24"/>
              </w:rPr>
              <w:t xml:space="preserve"> efektīva un preventīva</w:t>
            </w:r>
            <w:r w:rsidRPr="001B6D0A">
              <w:rPr>
                <w:rFonts w:ascii="Times New Roman" w:hAnsi="Times New Roman" w:cs="Times New Roman"/>
                <w:sz w:val="24"/>
                <w:szCs w:val="24"/>
              </w:rPr>
              <w:t xml:space="preserve"> un kopumā</w:t>
            </w:r>
            <w:r w:rsidR="008B6A46" w:rsidRPr="001B6D0A">
              <w:rPr>
                <w:rFonts w:ascii="Times New Roman" w:hAnsi="Times New Roman" w:cs="Times New Roman"/>
                <w:sz w:val="24"/>
                <w:szCs w:val="24"/>
              </w:rPr>
              <w:t xml:space="preserve"> veicinās valsts obligātā gala enerģijas ietaupījuma mērķa sasniegšanu</w:t>
            </w:r>
            <w:r w:rsidR="00165A0C" w:rsidRPr="001B6D0A">
              <w:rPr>
                <w:rFonts w:ascii="Times New Roman" w:hAnsi="Times New Roman" w:cs="Times New Roman"/>
                <w:sz w:val="24"/>
                <w:szCs w:val="24"/>
              </w:rPr>
              <w:t xml:space="preserve">. </w:t>
            </w:r>
            <w:bookmarkStart w:id="12" w:name="_Hlk18931553"/>
            <w:r w:rsidR="00165A0C" w:rsidRPr="001B6D0A">
              <w:rPr>
                <w:rFonts w:ascii="Times New Roman" w:eastAsia="Times New Roman" w:hAnsi="Times New Roman" w:cs="Times New Roman"/>
                <w:iCs/>
                <w:sz w:val="24"/>
                <w:szCs w:val="24"/>
                <w:lang w:eastAsia="lv-LV"/>
              </w:rPr>
              <w:t>Likumprojekt</w:t>
            </w:r>
            <w:r w:rsidR="00784817" w:rsidRPr="001B6D0A">
              <w:rPr>
                <w:rFonts w:ascii="Times New Roman" w:eastAsia="Times New Roman" w:hAnsi="Times New Roman" w:cs="Times New Roman"/>
                <w:iCs/>
                <w:sz w:val="24"/>
                <w:szCs w:val="24"/>
                <w:lang w:eastAsia="lv-LV"/>
              </w:rPr>
              <w:t xml:space="preserve">a </w:t>
            </w:r>
            <w:r w:rsidR="00784817" w:rsidRPr="001B6D0A">
              <w:rPr>
                <w:rFonts w:ascii="Times New Roman" w:hAnsi="Times New Roman" w:cs="Times New Roman"/>
                <w:sz w:val="24"/>
                <w:szCs w:val="24"/>
              </w:rPr>
              <w:t>3. un 4. pantā noteiktās normas, proti, grozījumi Likuma 6.panta (10) daļā un 10. panta (13) daļā</w:t>
            </w:r>
            <w:r w:rsidR="00E0678C">
              <w:rPr>
                <w:rFonts w:ascii="Times New Roman" w:hAnsi="Times New Roman" w:cs="Times New Roman"/>
                <w:sz w:val="24"/>
                <w:szCs w:val="24"/>
              </w:rPr>
              <w:t xml:space="preserve"> i</w:t>
            </w:r>
            <w:r w:rsidR="00165A0C" w:rsidRPr="001B6D0A">
              <w:rPr>
                <w:rFonts w:ascii="Times New Roman" w:eastAsia="Times New Roman" w:hAnsi="Times New Roman" w:cs="Times New Roman"/>
                <w:iCs/>
                <w:sz w:val="24"/>
                <w:szCs w:val="24"/>
                <w:lang w:eastAsia="lv-LV"/>
              </w:rPr>
              <w:t>etekmēs</w:t>
            </w:r>
            <w:r w:rsidR="00F53CBF" w:rsidRPr="001B6D0A">
              <w:rPr>
                <w:rFonts w:ascii="Times New Roman" w:eastAsia="Times New Roman" w:hAnsi="Times New Roman" w:cs="Times New Roman"/>
                <w:iCs/>
                <w:sz w:val="24"/>
                <w:szCs w:val="24"/>
                <w:lang w:eastAsia="lv-LV"/>
              </w:rPr>
              <w:t xml:space="preserve"> </w:t>
            </w:r>
            <w:r w:rsidR="00165A0C" w:rsidRPr="001B6D0A">
              <w:rPr>
                <w:rFonts w:ascii="Times New Roman" w:eastAsia="Times New Roman" w:hAnsi="Times New Roman" w:cs="Times New Roman"/>
                <w:iCs/>
                <w:sz w:val="24"/>
                <w:szCs w:val="24"/>
                <w:lang w:eastAsia="lv-LV"/>
              </w:rPr>
              <w:t>EPS atbildīgās puses</w:t>
            </w:r>
            <w:r w:rsidR="00E037A1" w:rsidRPr="001B6D0A">
              <w:rPr>
                <w:rFonts w:ascii="Times New Roman" w:eastAsia="Times New Roman" w:hAnsi="Times New Roman" w:cs="Times New Roman"/>
                <w:iCs/>
                <w:sz w:val="24"/>
                <w:szCs w:val="24"/>
                <w:lang w:eastAsia="lv-LV"/>
              </w:rPr>
              <w:t xml:space="preserve"> un</w:t>
            </w:r>
            <w:r w:rsidR="00165A0C" w:rsidRPr="001B6D0A">
              <w:rPr>
                <w:rFonts w:ascii="Times New Roman" w:eastAsia="Times New Roman" w:hAnsi="Times New Roman" w:cs="Times New Roman"/>
                <w:iCs/>
                <w:sz w:val="24"/>
                <w:szCs w:val="24"/>
                <w:lang w:eastAsia="lv-LV"/>
              </w:rPr>
              <w:t xml:space="preserve"> lielos uzņēmumus </w:t>
            </w:r>
            <w:r w:rsidR="00E037A1" w:rsidRPr="001B6D0A">
              <w:rPr>
                <w:rFonts w:ascii="Times New Roman" w:eastAsia="Times New Roman" w:hAnsi="Times New Roman" w:cs="Times New Roman"/>
                <w:sz w:val="24"/>
                <w:szCs w:val="24"/>
                <w:lang w:eastAsia="lv-LV"/>
              </w:rPr>
              <w:t xml:space="preserve">kuri </w:t>
            </w:r>
            <w:r w:rsidR="00165A0C" w:rsidRPr="001B6D0A">
              <w:rPr>
                <w:rFonts w:ascii="Times New Roman" w:eastAsia="Times New Roman" w:hAnsi="Times New Roman" w:cs="Times New Roman"/>
                <w:sz w:val="24"/>
                <w:szCs w:val="24"/>
                <w:lang w:eastAsia="lv-LV"/>
              </w:rPr>
              <w:t xml:space="preserve">nepilda </w:t>
            </w:r>
            <w:r w:rsidR="009F4CAC" w:rsidRPr="001B6D0A">
              <w:rPr>
                <w:rFonts w:ascii="Times New Roman" w:eastAsia="Times New Roman" w:hAnsi="Times New Roman" w:cs="Times New Roman"/>
                <w:sz w:val="24"/>
                <w:szCs w:val="24"/>
                <w:lang w:eastAsia="lv-LV"/>
              </w:rPr>
              <w:t>L</w:t>
            </w:r>
            <w:r w:rsidR="00165A0C" w:rsidRPr="001B6D0A">
              <w:rPr>
                <w:rFonts w:ascii="Times New Roman" w:eastAsia="Times New Roman" w:hAnsi="Times New Roman" w:cs="Times New Roman"/>
                <w:sz w:val="24"/>
                <w:szCs w:val="24"/>
                <w:lang w:eastAsia="lv-LV"/>
              </w:rPr>
              <w:t>ikum</w:t>
            </w:r>
            <w:r w:rsidR="00A33715" w:rsidRPr="001B6D0A">
              <w:rPr>
                <w:rFonts w:ascii="Times New Roman" w:eastAsia="Times New Roman" w:hAnsi="Times New Roman" w:cs="Times New Roman"/>
                <w:sz w:val="24"/>
                <w:szCs w:val="24"/>
                <w:lang w:eastAsia="lv-LV"/>
              </w:rPr>
              <w:t>ā un normatīvajos aktos par energoefektivitātes pienākuma shēmu noteiktās prasības.</w:t>
            </w:r>
            <w:r w:rsidR="00165A0C" w:rsidRPr="001B6D0A">
              <w:rPr>
                <w:rFonts w:ascii="Times New Roman" w:eastAsia="Times New Roman" w:hAnsi="Times New Roman" w:cs="Times New Roman"/>
                <w:sz w:val="24"/>
                <w:szCs w:val="24"/>
                <w:lang w:eastAsia="lv-LV"/>
              </w:rPr>
              <w:t xml:space="preserve"> </w:t>
            </w:r>
          </w:p>
          <w:bookmarkEnd w:id="12"/>
          <w:p w14:paraId="2FF5DBD8" w14:textId="6576ED4E" w:rsidR="00663D63" w:rsidRPr="001B6D0A" w:rsidRDefault="00663D63" w:rsidP="001B6D0A">
            <w:pPr>
              <w:contextualSpacing/>
              <w:jc w:val="both"/>
              <w:rPr>
                <w:rFonts w:ascii="Times New Roman" w:hAnsi="Times New Roman" w:cs="Times New Roman"/>
                <w:sz w:val="24"/>
                <w:szCs w:val="24"/>
              </w:rPr>
            </w:pPr>
            <w:r w:rsidRPr="001B6D0A">
              <w:rPr>
                <w:rFonts w:ascii="Times New Roman" w:hAnsi="Times New Roman" w:cs="Times New Roman"/>
                <w:iCs/>
                <w:sz w:val="24"/>
                <w:szCs w:val="24"/>
              </w:rPr>
              <w:t>Administratīv</w:t>
            </w:r>
            <w:r w:rsidR="00784817" w:rsidRPr="001B6D0A">
              <w:rPr>
                <w:rFonts w:ascii="Times New Roman" w:hAnsi="Times New Roman" w:cs="Times New Roman"/>
                <w:iCs/>
                <w:sz w:val="24"/>
                <w:szCs w:val="24"/>
              </w:rPr>
              <w:t xml:space="preserve">ais slogs palielināsies </w:t>
            </w:r>
            <w:r w:rsidR="00784817" w:rsidRPr="001B6D0A">
              <w:rPr>
                <w:rFonts w:ascii="Times New Roman" w:hAnsi="Times New Roman" w:cs="Times New Roman"/>
                <w:sz w:val="24"/>
                <w:szCs w:val="24"/>
              </w:rPr>
              <w:t>lielajiem uzņēmumiem un  lielajiem elektroenerģijas patērētājiem, izpildot likumā noteiktās prasības attiecībā uz ziņošanu energoefektivitātes monitoringa sistēmā</w:t>
            </w:r>
            <w:r w:rsidR="00E037A1" w:rsidRPr="001B6D0A">
              <w:rPr>
                <w:rFonts w:ascii="Times New Roman" w:hAnsi="Times New Roman" w:cs="Times New Roman"/>
                <w:sz w:val="24"/>
                <w:szCs w:val="24"/>
              </w:rPr>
              <w:t xml:space="preserve">, kas likumprojektā ir noteikta četrus gadus. </w:t>
            </w:r>
            <w:r w:rsidR="00E037A1" w:rsidRPr="001B6D0A">
              <w:rPr>
                <w:rFonts w:ascii="Times New Roman" w:hAnsi="Times New Roman" w:cs="Times New Roman"/>
                <w:iCs/>
                <w:sz w:val="24"/>
                <w:szCs w:val="24"/>
              </w:rPr>
              <w:t xml:space="preserve">Administratīvais slogs palielināsies </w:t>
            </w:r>
            <w:r w:rsidR="00784817" w:rsidRPr="001B6D0A">
              <w:rPr>
                <w:rFonts w:ascii="Times New Roman" w:hAnsi="Times New Roman" w:cs="Times New Roman"/>
                <w:sz w:val="24"/>
                <w:szCs w:val="24"/>
              </w:rPr>
              <w:t>arī atbildīgajai iestādei, saņemot un apstrādājot uzņēmumu sniegtos ziņojumus</w:t>
            </w:r>
            <w:r w:rsidR="007F5719">
              <w:rPr>
                <w:rFonts w:ascii="Times New Roman" w:hAnsi="Times New Roman" w:cs="Times New Roman"/>
                <w:sz w:val="24"/>
                <w:szCs w:val="24"/>
              </w:rPr>
              <w:t>.</w:t>
            </w:r>
          </w:p>
        </w:tc>
      </w:tr>
      <w:tr w:rsidR="00820311" w:rsidRPr="001B6D0A" w14:paraId="129E6854" w14:textId="77777777" w:rsidTr="00C409C3">
        <w:tc>
          <w:tcPr>
            <w:tcW w:w="184" w:type="pct"/>
            <w:hideMark/>
          </w:tcPr>
          <w:p w14:paraId="3F4921FC" w14:textId="77777777" w:rsidR="00B80599" w:rsidRPr="001B6D0A" w:rsidRDefault="00B80599" w:rsidP="001B6D0A">
            <w:pPr>
              <w:contextualSpacing/>
              <w:jc w:val="both"/>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3.</w:t>
            </w:r>
          </w:p>
        </w:tc>
        <w:tc>
          <w:tcPr>
            <w:tcW w:w="1589" w:type="pct"/>
            <w:hideMark/>
          </w:tcPr>
          <w:p w14:paraId="1EB8801B" w14:textId="77777777" w:rsidR="00B80599" w:rsidRDefault="00B80599" w:rsidP="001B6D0A">
            <w:pPr>
              <w:contextualSpacing/>
              <w:jc w:val="both"/>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Administratīvo izmaksu monetārs novērtējums</w:t>
            </w:r>
          </w:p>
          <w:p w14:paraId="46057599" w14:textId="77777777" w:rsidR="00832FB8" w:rsidRPr="00832FB8" w:rsidRDefault="00832FB8" w:rsidP="00832FB8">
            <w:pPr>
              <w:rPr>
                <w:rFonts w:ascii="Times New Roman" w:eastAsia="Times New Roman" w:hAnsi="Times New Roman" w:cs="Times New Roman"/>
                <w:sz w:val="24"/>
                <w:szCs w:val="24"/>
                <w:lang w:eastAsia="lv-LV"/>
              </w:rPr>
            </w:pPr>
          </w:p>
          <w:p w14:paraId="15F0CAA6" w14:textId="77777777" w:rsidR="00832FB8" w:rsidRPr="00832FB8" w:rsidRDefault="00832FB8" w:rsidP="00832FB8">
            <w:pPr>
              <w:rPr>
                <w:rFonts w:ascii="Times New Roman" w:eastAsia="Times New Roman" w:hAnsi="Times New Roman" w:cs="Times New Roman"/>
                <w:sz w:val="24"/>
                <w:szCs w:val="24"/>
                <w:lang w:eastAsia="lv-LV"/>
              </w:rPr>
            </w:pPr>
          </w:p>
          <w:p w14:paraId="3FF95528" w14:textId="77777777" w:rsidR="00832FB8" w:rsidRPr="00832FB8" w:rsidRDefault="00832FB8" w:rsidP="00832FB8">
            <w:pPr>
              <w:rPr>
                <w:rFonts w:ascii="Times New Roman" w:eastAsia="Times New Roman" w:hAnsi="Times New Roman" w:cs="Times New Roman"/>
                <w:sz w:val="24"/>
                <w:szCs w:val="24"/>
                <w:lang w:eastAsia="lv-LV"/>
              </w:rPr>
            </w:pPr>
          </w:p>
          <w:p w14:paraId="77687918" w14:textId="77777777" w:rsidR="00832FB8" w:rsidRPr="00832FB8" w:rsidRDefault="00832FB8" w:rsidP="00832FB8">
            <w:pPr>
              <w:rPr>
                <w:rFonts w:ascii="Times New Roman" w:eastAsia="Times New Roman" w:hAnsi="Times New Roman" w:cs="Times New Roman"/>
                <w:sz w:val="24"/>
                <w:szCs w:val="24"/>
                <w:lang w:eastAsia="lv-LV"/>
              </w:rPr>
            </w:pPr>
          </w:p>
          <w:p w14:paraId="0DE4825A" w14:textId="77777777" w:rsidR="00832FB8" w:rsidRPr="00832FB8" w:rsidRDefault="00832FB8" w:rsidP="00832FB8">
            <w:pPr>
              <w:rPr>
                <w:rFonts w:ascii="Times New Roman" w:eastAsia="Times New Roman" w:hAnsi="Times New Roman" w:cs="Times New Roman"/>
                <w:sz w:val="24"/>
                <w:szCs w:val="24"/>
                <w:lang w:eastAsia="lv-LV"/>
              </w:rPr>
            </w:pPr>
          </w:p>
          <w:p w14:paraId="6F21026A" w14:textId="77777777" w:rsidR="00832FB8" w:rsidRPr="00832FB8" w:rsidRDefault="00832FB8" w:rsidP="00832FB8">
            <w:pPr>
              <w:rPr>
                <w:rFonts w:ascii="Times New Roman" w:eastAsia="Times New Roman" w:hAnsi="Times New Roman" w:cs="Times New Roman"/>
                <w:sz w:val="24"/>
                <w:szCs w:val="24"/>
                <w:lang w:eastAsia="lv-LV"/>
              </w:rPr>
            </w:pPr>
          </w:p>
          <w:p w14:paraId="5AFB8AD9" w14:textId="77777777" w:rsidR="00832FB8" w:rsidRPr="00832FB8" w:rsidRDefault="00832FB8" w:rsidP="00832FB8">
            <w:pPr>
              <w:rPr>
                <w:rFonts w:ascii="Times New Roman" w:eastAsia="Times New Roman" w:hAnsi="Times New Roman" w:cs="Times New Roman"/>
                <w:sz w:val="24"/>
                <w:szCs w:val="24"/>
                <w:lang w:eastAsia="lv-LV"/>
              </w:rPr>
            </w:pPr>
          </w:p>
          <w:p w14:paraId="50CBFA18" w14:textId="77777777" w:rsidR="00832FB8" w:rsidRDefault="00832FB8" w:rsidP="00832FB8">
            <w:pPr>
              <w:rPr>
                <w:rFonts w:ascii="Times New Roman" w:eastAsia="Times New Roman" w:hAnsi="Times New Roman" w:cs="Times New Roman"/>
                <w:iCs/>
                <w:sz w:val="24"/>
                <w:szCs w:val="24"/>
                <w:lang w:eastAsia="lv-LV"/>
              </w:rPr>
            </w:pPr>
          </w:p>
          <w:p w14:paraId="72364BC9" w14:textId="77777777" w:rsidR="00832FB8" w:rsidRPr="00832FB8" w:rsidRDefault="00832FB8" w:rsidP="00832FB8">
            <w:pPr>
              <w:rPr>
                <w:rFonts w:ascii="Times New Roman" w:eastAsia="Times New Roman" w:hAnsi="Times New Roman" w:cs="Times New Roman"/>
                <w:sz w:val="24"/>
                <w:szCs w:val="24"/>
                <w:lang w:eastAsia="lv-LV"/>
              </w:rPr>
            </w:pPr>
          </w:p>
          <w:p w14:paraId="16C9C8EC" w14:textId="77777777" w:rsidR="00832FB8" w:rsidRPr="00832FB8" w:rsidRDefault="00832FB8" w:rsidP="00832FB8">
            <w:pPr>
              <w:rPr>
                <w:rFonts w:ascii="Times New Roman" w:eastAsia="Times New Roman" w:hAnsi="Times New Roman" w:cs="Times New Roman"/>
                <w:sz w:val="24"/>
                <w:szCs w:val="24"/>
                <w:lang w:eastAsia="lv-LV"/>
              </w:rPr>
            </w:pPr>
          </w:p>
          <w:p w14:paraId="36435A77" w14:textId="77777777" w:rsidR="00832FB8" w:rsidRPr="00832FB8" w:rsidRDefault="00832FB8" w:rsidP="00832FB8">
            <w:pPr>
              <w:rPr>
                <w:rFonts w:ascii="Times New Roman" w:eastAsia="Times New Roman" w:hAnsi="Times New Roman" w:cs="Times New Roman"/>
                <w:sz w:val="24"/>
                <w:szCs w:val="24"/>
                <w:lang w:eastAsia="lv-LV"/>
              </w:rPr>
            </w:pPr>
          </w:p>
          <w:p w14:paraId="7ED8D1D1" w14:textId="77777777" w:rsidR="00832FB8" w:rsidRDefault="00832FB8" w:rsidP="00832FB8">
            <w:pPr>
              <w:rPr>
                <w:rFonts w:ascii="Times New Roman" w:eastAsia="Times New Roman" w:hAnsi="Times New Roman" w:cs="Times New Roman"/>
                <w:iCs/>
                <w:sz w:val="24"/>
                <w:szCs w:val="24"/>
                <w:lang w:eastAsia="lv-LV"/>
              </w:rPr>
            </w:pPr>
          </w:p>
          <w:p w14:paraId="290E7915" w14:textId="77777777" w:rsidR="00832FB8" w:rsidRPr="00832FB8" w:rsidRDefault="00832FB8" w:rsidP="00832FB8">
            <w:pPr>
              <w:rPr>
                <w:rFonts w:ascii="Times New Roman" w:eastAsia="Times New Roman" w:hAnsi="Times New Roman" w:cs="Times New Roman"/>
                <w:sz w:val="24"/>
                <w:szCs w:val="24"/>
                <w:lang w:eastAsia="lv-LV"/>
              </w:rPr>
            </w:pPr>
          </w:p>
          <w:p w14:paraId="00CE248A" w14:textId="77777777" w:rsidR="00832FB8" w:rsidRDefault="00832FB8" w:rsidP="00832FB8">
            <w:pPr>
              <w:rPr>
                <w:rFonts w:ascii="Times New Roman" w:eastAsia="Times New Roman" w:hAnsi="Times New Roman" w:cs="Times New Roman"/>
                <w:iCs/>
                <w:sz w:val="24"/>
                <w:szCs w:val="24"/>
                <w:lang w:eastAsia="lv-LV"/>
              </w:rPr>
            </w:pPr>
          </w:p>
          <w:p w14:paraId="73A99F41" w14:textId="2B47E94E" w:rsidR="00832FB8" w:rsidRPr="00832FB8" w:rsidRDefault="00832FB8" w:rsidP="00832FB8">
            <w:pPr>
              <w:ind w:firstLine="720"/>
              <w:rPr>
                <w:rFonts w:ascii="Times New Roman" w:eastAsia="Times New Roman" w:hAnsi="Times New Roman" w:cs="Times New Roman"/>
                <w:sz w:val="24"/>
                <w:szCs w:val="24"/>
                <w:lang w:eastAsia="lv-LV"/>
              </w:rPr>
            </w:pPr>
          </w:p>
        </w:tc>
        <w:tc>
          <w:tcPr>
            <w:tcW w:w="3163" w:type="pct"/>
            <w:hideMark/>
          </w:tcPr>
          <w:p w14:paraId="5430E8EF" w14:textId="34BA11EC" w:rsidR="00F01AD9" w:rsidRDefault="0076321A" w:rsidP="001B6D0A">
            <w:pPr>
              <w:jc w:val="both"/>
              <w:rPr>
                <w:rFonts w:ascii="Times New Roman" w:hAnsi="Times New Roman" w:cs="Times New Roman"/>
                <w:sz w:val="24"/>
                <w:szCs w:val="24"/>
              </w:rPr>
            </w:pPr>
            <w:r w:rsidRPr="001B6D0A">
              <w:rPr>
                <w:rFonts w:ascii="Times New Roman" w:eastAsia="Times New Roman" w:hAnsi="Times New Roman" w:cs="Times New Roman"/>
                <w:sz w:val="24"/>
                <w:szCs w:val="24"/>
                <w:lang w:eastAsia="lv-LV"/>
              </w:rPr>
              <w:t>A</w:t>
            </w:r>
            <w:r w:rsidR="00F25819" w:rsidRPr="001B6D0A">
              <w:rPr>
                <w:rFonts w:ascii="Times New Roman" w:eastAsia="Times New Roman" w:hAnsi="Times New Roman" w:cs="Times New Roman"/>
                <w:sz w:val="24"/>
                <w:szCs w:val="24"/>
                <w:lang w:eastAsia="lv-LV"/>
              </w:rPr>
              <w:t xml:space="preserve">prēķins </w:t>
            </w:r>
            <w:r w:rsidRPr="001B6D0A">
              <w:rPr>
                <w:rFonts w:ascii="Times New Roman" w:eastAsia="Times New Roman" w:hAnsi="Times New Roman" w:cs="Times New Roman"/>
                <w:sz w:val="24"/>
                <w:szCs w:val="24"/>
                <w:lang w:eastAsia="lv-LV"/>
              </w:rPr>
              <w:t xml:space="preserve">ietver administratīvo izmaksu monetāro novērtējumu par pienākumiem, kas radīsies </w:t>
            </w:r>
            <w:r w:rsidRPr="001B6D0A">
              <w:rPr>
                <w:rFonts w:ascii="Times New Roman" w:hAnsi="Times New Roman" w:cs="Times New Roman"/>
                <w:sz w:val="24"/>
                <w:szCs w:val="24"/>
              </w:rPr>
              <w:t>lielajiem uzņēmumiem un  lielajiem elektroenerģijas patērētājiem, izpildot likumā noteiktās prasības attiecībā uz ziņošanu energoefektivitātes monitoringa sistēmā</w:t>
            </w:r>
            <w:r w:rsidR="00F01AD9" w:rsidRPr="001B6D0A">
              <w:rPr>
                <w:rFonts w:ascii="Times New Roman" w:hAnsi="Times New Roman" w:cs="Times New Roman"/>
                <w:sz w:val="24"/>
                <w:szCs w:val="24"/>
              </w:rPr>
              <w:t xml:space="preserve">, kā arī par administratīvajām izmaksām, kas radīsies </w:t>
            </w:r>
            <w:r w:rsidR="00647461" w:rsidRPr="001B6D0A">
              <w:rPr>
                <w:rFonts w:ascii="Times New Roman" w:hAnsi="Times New Roman" w:cs="Times New Roman"/>
                <w:sz w:val="24"/>
                <w:szCs w:val="24"/>
              </w:rPr>
              <w:t>atbildīgajai iestādei</w:t>
            </w:r>
            <w:r w:rsidR="00F01AD9" w:rsidRPr="001B6D0A">
              <w:rPr>
                <w:rFonts w:ascii="Times New Roman" w:hAnsi="Times New Roman" w:cs="Times New Roman"/>
                <w:sz w:val="24"/>
                <w:szCs w:val="24"/>
              </w:rPr>
              <w:t xml:space="preserve">, </w:t>
            </w:r>
            <w:r w:rsidR="00CD3A10" w:rsidRPr="001B6D0A">
              <w:rPr>
                <w:rFonts w:ascii="Times New Roman" w:hAnsi="Times New Roman" w:cs="Times New Roman"/>
                <w:sz w:val="24"/>
                <w:szCs w:val="24"/>
              </w:rPr>
              <w:t xml:space="preserve">saņemot un apstrādājot uzņēmumu sniegtos ziņojumus </w:t>
            </w:r>
            <w:r w:rsidR="00F01AD9" w:rsidRPr="001B6D0A">
              <w:rPr>
                <w:rFonts w:ascii="Times New Roman" w:hAnsi="Times New Roman" w:cs="Times New Roman"/>
                <w:sz w:val="24"/>
                <w:szCs w:val="24"/>
              </w:rPr>
              <w:t xml:space="preserve">(likumprojekta 3. un 4. pantā paredzētie pienākumi, proti, grozījumi </w:t>
            </w:r>
            <w:r w:rsidR="00784817" w:rsidRPr="001B6D0A">
              <w:rPr>
                <w:rFonts w:ascii="Times New Roman" w:hAnsi="Times New Roman" w:cs="Times New Roman"/>
                <w:sz w:val="24"/>
                <w:szCs w:val="24"/>
              </w:rPr>
              <w:t xml:space="preserve">Likuma </w:t>
            </w:r>
            <w:r w:rsidR="00F01AD9" w:rsidRPr="001B6D0A">
              <w:rPr>
                <w:rFonts w:ascii="Times New Roman" w:hAnsi="Times New Roman" w:cs="Times New Roman"/>
                <w:sz w:val="24"/>
                <w:szCs w:val="24"/>
              </w:rPr>
              <w:t>10. panta (9), (10) un (12) daļās, kā arī 12. panta (11) un (12) daļās. )</w:t>
            </w:r>
            <w:r w:rsidR="00F15F0A" w:rsidRPr="001B6D0A" w:rsidDel="00F15F0A">
              <w:rPr>
                <w:rFonts w:ascii="Times New Roman" w:hAnsi="Times New Roman" w:cs="Times New Roman"/>
                <w:sz w:val="24"/>
                <w:szCs w:val="24"/>
              </w:rPr>
              <w:t xml:space="preserve"> </w:t>
            </w:r>
            <w:r w:rsidR="00F15F0A" w:rsidRPr="001B6D0A">
              <w:rPr>
                <w:rFonts w:ascii="Times New Roman" w:hAnsi="Times New Roman" w:cs="Times New Roman"/>
                <w:sz w:val="24"/>
                <w:szCs w:val="24"/>
              </w:rPr>
              <w:t>, kā arī veidojot valsts ēku sarakstu (likumprojekta 6.pantā iekļautās prasības attiecībā uz Likuma 15.panta papildināšanu ar piekto daļu).</w:t>
            </w:r>
          </w:p>
          <w:p w14:paraId="614E4B8C" w14:textId="77777777" w:rsidR="001B6D0A" w:rsidRPr="001B6D0A" w:rsidRDefault="001B6D0A" w:rsidP="001B6D0A">
            <w:pPr>
              <w:jc w:val="both"/>
              <w:rPr>
                <w:rFonts w:ascii="Times New Roman" w:hAnsi="Times New Roman" w:cs="Times New Roman"/>
                <w:sz w:val="24"/>
                <w:szCs w:val="24"/>
              </w:rPr>
            </w:pPr>
          </w:p>
          <w:p w14:paraId="480F704C" w14:textId="77777777" w:rsidR="00AF43A2" w:rsidRPr="001B6D0A" w:rsidRDefault="00AF43A2" w:rsidP="001B6D0A">
            <w:pPr>
              <w:pStyle w:val="ListParagraph"/>
              <w:numPr>
                <w:ilvl w:val="0"/>
                <w:numId w:val="1"/>
              </w:numPr>
              <w:ind w:left="0"/>
              <w:jc w:val="both"/>
              <w:rPr>
                <w:rFonts w:ascii="Times New Roman" w:hAnsi="Times New Roman" w:cs="Times New Roman"/>
                <w:sz w:val="24"/>
                <w:szCs w:val="24"/>
                <w:u w:val="single"/>
              </w:rPr>
            </w:pPr>
            <w:r w:rsidRPr="001B6D0A">
              <w:rPr>
                <w:rFonts w:ascii="Times New Roman" w:hAnsi="Times New Roman" w:cs="Times New Roman"/>
                <w:sz w:val="24"/>
                <w:szCs w:val="24"/>
                <w:u w:val="single"/>
              </w:rPr>
              <w:t xml:space="preserve">Administratīvā sloga aprēķins privātajam sektoram: </w:t>
            </w:r>
          </w:p>
          <w:p w14:paraId="21997F77" w14:textId="77777777" w:rsidR="00AF43A2" w:rsidRPr="001B6D0A" w:rsidRDefault="00AF43A2" w:rsidP="001B6D0A">
            <w:pPr>
              <w:jc w:val="both"/>
              <w:rPr>
                <w:rFonts w:ascii="Times New Roman" w:hAnsi="Times New Roman" w:cs="Times New Roman"/>
                <w:sz w:val="24"/>
                <w:szCs w:val="24"/>
              </w:rPr>
            </w:pPr>
          </w:p>
          <w:p w14:paraId="27B299DB" w14:textId="136194E3" w:rsidR="00AF43A2" w:rsidRPr="001B6D0A" w:rsidRDefault="00AF43A2" w:rsidP="001B6D0A">
            <w:pPr>
              <w:jc w:val="both"/>
              <w:rPr>
                <w:rFonts w:ascii="Times New Roman" w:hAnsi="Times New Roman" w:cs="Times New Roman"/>
                <w:sz w:val="24"/>
                <w:szCs w:val="24"/>
              </w:rPr>
            </w:pPr>
            <w:r w:rsidRPr="001B6D0A">
              <w:rPr>
                <w:rFonts w:ascii="Times New Roman" w:hAnsi="Times New Roman" w:cs="Times New Roman"/>
                <w:sz w:val="24"/>
                <w:szCs w:val="24"/>
              </w:rPr>
              <w:t>C = (f x l) x (n x b), kur</w:t>
            </w:r>
          </w:p>
          <w:p w14:paraId="09C51F95" w14:textId="77777777" w:rsidR="00AF43A2" w:rsidRPr="001B6D0A" w:rsidRDefault="00AF43A2" w:rsidP="001B6D0A">
            <w:pPr>
              <w:contextualSpacing/>
              <w:jc w:val="both"/>
              <w:rPr>
                <w:rFonts w:ascii="Times New Roman" w:hAnsi="Times New Roman" w:cs="Times New Roman"/>
                <w:sz w:val="24"/>
                <w:szCs w:val="24"/>
              </w:rPr>
            </w:pPr>
            <w:r w:rsidRPr="001B6D0A">
              <w:rPr>
                <w:rFonts w:ascii="Times New Roman" w:hAnsi="Times New Roman" w:cs="Times New Roman"/>
                <w:b/>
                <w:sz w:val="24"/>
                <w:szCs w:val="24"/>
              </w:rPr>
              <w:t>C</w:t>
            </w:r>
            <w:r w:rsidRPr="001B6D0A">
              <w:rPr>
                <w:rFonts w:ascii="Times New Roman" w:hAnsi="Times New Roman" w:cs="Times New Roman"/>
                <w:sz w:val="24"/>
                <w:szCs w:val="24"/>
              </w:rPr>
              <w:t xml:space="preserve"> – sankciju</w:t>
            </w:r>
            <w:r w:rsidRPr="001B6D0A">
              <w:rPr>
                <w:rFonts w:ascii="Times New Roman" w:eastAsia="Times New Roman" w:hAnsi="Times New Roman" w:cs="Times New Roman"/>
                <w:sz w:val="24"/>
                <w:szCs w:val="24"/>
                <w:lang w:eastAsia="lv-LV"/>
              </w:rPr>
              <w:t xml:space="preserve"> piemērošanas atbilstības izmaksas</w:t>
            </w:r>
            <w:r w:rsidRPr="001B6D0A">
              <w:rPr>
                <w:rFonts w:ascii="Times New Roman" w:hAnsi="Times New Roman" w:cs="Times New Roman"/>
                <w:sz w:val="24"/>
                <w:szCs w:val="24"/>
              </w:rPr>
              <w:t>;</w:t>
            </w:r>
          </w:p>
          <w:p w14:paraId="6A59535E" w14:textId="77777777" w:rsidR="00AF43A2" w:rsidRPr="001B6D0A" w:rsidRDefault="00AF43A2" w:rsidP="001B6D0A">
            <w:pPr>
              <w:pStyle w:val="tv213"/>
              <w:spacing w:before="0" w:beforeAutospacing="0" w:after="0" w:afterAutospacing="0"/>
              <w:contextualSpacing/>
              <w:jc w:val="both"/>
            </w:pPr>
            <w:r w:rsidRPr="001B6D0A">
              <w:rPr>
                <w:b/>
              </w:rPr>
              <w:t>f</w:t>
            </w:r>
            <w:r w:rsidRPr="001B6D0A">
              <w:t xml:space="preserve"> – stundas samaksas likme privātajā sektorā – aprēķināta, dalot vidējo mēneša algu privātajā sektorā (pēc Centrālās statistikas pārvaldes tīmekļvietnes </w:t>
            </w:r>
            <w:hyperlink r:id="rId10" w:history="1">
              <w:r w:rsidRPr="001B6D0A">
                <w:rPr>
                  <w:rStyle w:val="Hyperlink"/>
                  <w:color w:val="auto"/>
                </w:rPr>
                <w:t>www.csb.gov.lv</w:t>
              </w:r>
            </w:hyperlink>
            <w:r w:rsidRPr="001B6D0A">
              <w:t xml:space="preserve"> datiem 2018.gada 3.ceturksnī tā bija 991,00 </w:t>
            </w:r>
            <w:proofErr w:type="spellStart"/>
            <w:r w:rsidRPr="001B6D0A">
              <w:rPr>
                <w:i/>
              </w:rPr>
              <w:t>euro</w:t>
            </w:r>
            <w:proofErr w:type="spellEnd"/>
            <w:r w:rsidRPr="001B6D0A">
              <w:rPr>
                <w:i/>
              </w:rPr>
              <w:t xml:space="preserve"> </w:t>
            </w:r>
            <w:r w:rsidRPr="001B6D0A">
              <w:t xml:space="preserve">mēnesī) ar Darba likuma 131.panta pirmajā daļā minēto normālo darba laiku (40 stundas nedēļā x 4 = 160 stundas mēnesī) = </w:t>
            </w:r>
            <w:r w:rsidRPr="001B6D0A">
              <w:rPr>
                <w:b/>
              </w:rPr>
              <w:t>6,20 </w:t>
            </w:r>
            <w:proofErr w:type="spellStart"/>
            <w:r w:rsidRPr="001B6D0A">
              <w:rPr>
                <w:b/>
                <w:i/>
              </w:rPr>
              <w:t>euro</w:t>
            </w:r>
            <w:proofErr w:type="spellEnd"/>
            <w:r w:rsidRPr="001B6D0A">
              <w:rPr>
                <w:b/>
              </w:rPr>
              <w:t xml:space="preserve"> stundā</w:t>
            </w:r>
            <w:r w:rsidRPr="001B6D0A">
              <w:t>;</w:t>
            </w:r>
          </w:p>
          <w:p w14:paraId="7FE03ED9" w14:textId="77777777" w:rsidR="00AF43A2" w:rsidRPr="001B6D0A" w:rsidRDefault="00AF43A2" w:rsidP="001B6D0A">
            <w:pPr>
              <w:pStyle w:val="tv213"/>
              <w:spacing w:before="0" w:beforeAutospacing="0" w:after="0" w:afterAutospacing="0"/>
              <w:contextualSpacing/>
              <w:jc w:val="both"/>
            </w:pPr>
            <w:r w:rsidRPr="001B6D0A">
              <w:rPr>
                <w:b/>
              </w:rPr>
              <w:t xml:space="preserve">l </w:t>
            </w:r>
            <w:r w:rsidRPr="001B6D0A">
              <w:t xml:space="preserve">– laika patēriņš, kas nepieciešams, lai izpildītu likumā noteiktās prasības attiecībā uz ziņošanu </w:t>
            </w:r>
            <w:r w:rsidRPr="001B6D0A">
              <w:lastRenderedPageBreak/>
              <w:t xml:space="preserve">energoefektivitātes monitoringa sistēmā (informācijas apkopošana un Ministru kabineta 2016.gada 11.oktobra noteikumu Nr.668 “Energoefektivitātes monitoringa un piemērojamā </w:t>
            </w:r>
            <w:proofErr w:type="spellStart"/>
            <w:r w:rsidRPr="001B6D0A">
              <w:t>energopārvaldības</w:t>
            </w:r>
            <w:proofErr w:type="spellEnd"/>
            <w:r w:rsidRPr="001B6D0A">
              <w:t xml:space="preserve"> sistēmas standarta noteikumi” 2.pielikuma aizpildīšana)  – </w:t>
            </w:r>
            <w:r w:rsidRPr="001B6D0A">
              <w:rPr>
                <w:b/>
                <w:bCs/>
              </w:rPr>
              <w:t>8</w:t>
            </w:r>
            <w:r w:rsidRPr="001B6D0A">
              <w:rPr>
                <w:b/>
              </w:rPr>
              <w:t xml:space="preserve"> stundas</w:t>
            </w:r>
            <w:r w:rsidRPr="001B6D0A">
              <w:t>;</w:t>
            </w:r>
          </w:p>
          <w:p w14:paraId="58D7F4C8" w14:textId="77777777" w:rsidR="00AF43A2" w:rsidRPr="001B6D0A" w:rsidRDefault="00AF43A2" w:rsidP="001B6D0A">
            <w:pPr>
              <w:pStyle w:val="tv213"/>
              <w:spacing w:before="0" w:beforeAutospacing="0" w:after="0" w:afterAutospacing="0"/>
              <w:contextualSpacing/>
              <w:jc w:val="both"/>
              <w:rPr>
                <w:b/>
              </w:rPr>
            </w:pPr>
            <w:r w:rsidRPr="001B6D0A">
              <w:rPr>
                <w:b/>
              </w:rPr>
              <w:t>n</w:t>
            </w:r>
            <w:r w:rsidRPr="001B6D0A">
              <w:t xml:space="preserve"> – komersantu skaits, uz ko attiecas projektā paredzētās prasības – </w:t>
            </w:r>
            <w:r w:rsidRPr="001B6D0A">
              <w:rPr>
                <w:b/>
                <w:bCs/>
              </w:rPr>
              <w:t>1200</w:t>
            </w:r>
            <w:r w:rsidRPr="001B6D0A">
              <w:rPr>
                <w:b/>
              </w:rPr>
              <w:t xml:space="preserve"> komersanti </w:t>
            </w:r>
            <w:r w:rsidRPr="001B6D0A">
              <w:t>(pieņēmums, ka gadā vidēji ziņos aptuveni 200 lielie uzņēmumi un 1000 lielie elektroenerģijas patērētāji);</w:t>
            </w:r>
          </w:p>
          <w:p w14:paraId="6FD67080" w14:textId="77777777" w:rsidR="00AF43A2" w:rsidRPr="001B6D0A" w:rsidRDefault="00AF43A2" w:rsidP="001B6D0A">
            <w:pPr>
              <w:pStyle w:val="tv213"/>
              <w:spacing w:before="0" w:beforeAutospacing="0" w:after="0" w:afterAutospacing="0"/>
              <w:contextualSpacing/>
              <w:jc w:val="both"/>
            </w:pPr>
            <w:r w:rsidRPr="001B6D0A">
              <w:rPr>
                <w:b/>
              </w:rPr>
              <w:t>b</w:t>
            </w:r>
            <w:r w:rsidRPr="001B6D0A">
              <w:t xml:space="preserve"> – ziņošanas biežums – </w:t>
            </w:r>
            <w:r w:rsidRPr="001B6D0A">
              <w:rPr>
                <w:b/>
              </w:rPr>
              <w:t>1 reizi</w:t>
            </w:r>
            <w:r w:rsidRPr="001B6D0A">
              <w:t>/ gadā.</w:t>
            </w:r>
          </w:p>
          <w:p w14:paraId="10A6C228" w14:textId="77777777" w:rsidR="00AF43A2" w:rsidRPr="001B6D0A" w:rsidRDefault="00AF43A2" w:rsidP="001B6D0A">
            <w:pPr>
              <w:pStyle w:val="tv213"/>
              <w:spacing w:before="0" w:beforeAutospacing="0" w:after="0" w:afterAutospacing="0"/>
              <w:contextualSpacing/>
              <w:jc w:val="both"/>
            </w:pPr>
          </w:p>
          <w:p w14:paraId="6873427C" w14:textId="77777777" w:rsidR="00AF43A2" w:rsidRPr="001B6D0A" w:rsidRDefault="00AF43A2" w:rsidP="001B6D0A">
            <w:pPr>
              <w:pStyle w:val="tv213"/>
              <w:spacing w:before="0" w:beforeAutospacing="0" w:after="0" w:afterAutospacing="0"/>
              <w:contextualSpacing/>
              <w:jc w:val="both"/>
            </w:pPr>
            <w:r w:rsidRPr="001B6D0A">
              <w:t xml:space="preserve">Aprēķins: </w:t>
            </w:r>
          </w:p>
          <w:p w14:paraId="100194B5" w14:textId="28CA739A" w:rsidR="00AF43A2" w:rsidRPr="001B6D0A" w:rsidRDefault="00AF43A2" w:rsidP="001B6D0A">
            <w:pPr>
              <w:contextualSpacing/>
              <w:jc w:val="both"/>
              <w:rPr>
                <w:rFonts w:ascii="Times New Roman" w:hAnsi="Times New Roman" w:cs="Times New Roman"/>
                <w:sz w:val="24"/>
                <w:szCs w:val="24"/>
              </w:rPr>
            </w:pPr>
            <w:r w:rsidRPr="001B6D0A">
              <w:rPr>
                <w:rFonts w:ascii="Times New Roman" w:hAnsi="Times New Roman" w:cs="Times New Roman"/>
                <w:b/>
                <w:sz w:val="24"/>
                <w:szCs w:val="24"/>
              </w:rPr>
              <w:t xml:space="preserve">C = (6,20x 8) x (1200 x 1) = 59 520 </w:t>
            </w:r>
            <w:proofErr w:type="spellStart"/>
            <w:r w:rsidRPr="001B6D0A">
              <w:rPr>
                <w:rFonts w:ascii="Times New Roman" w:hAnsi="Times New Roman" w:cs="Times New Roman"/>
                <w:b/>
                <w:i/>
                <w:sz w:val="24"/>
                <w:szCs w:val="24"/>
              </w:rPr>
              <w:t>euro</w:t>
            </w:r>
            <w:proofErr w:type="spellEnd"/>
          </w:p>
          <w:p w14:paraId="74943AF4" w14:textId="77777777" w:rsidR="00AF43A2" w:rsidRPr="001B6D0A" w:rsidRDefault="00AF43A2" w:rsidP="001B6D0A">
            <w:pPr>
              <w:contextualSpacing/>
              <w:jc w:val="both"/>
              <w:rPr>
                <w:rFonts w:ascii="Times New Roman" w:hAnsi="Times New Roman" w:cs="Times New Roman"/>
                <w:sz w:val="24"/>
                <w:szCs w:val="24"/>
              </w:rPr>
            </w:pPr>
          </w:p>
          <w:p w14:paraId="15A7FFDF" w14:textId="77777777" w:rsidR="00AF43A2" w:rsidRPr="001B6D0A" w:rsidRDefault="00AF43A2" w:rsidP="001B6D0A">
            <w:pPr>
              <w:contextualSpacing/>
              <w:jc w:val="both"/>
              <w:rPr>
                <w:rFonts w:ascii="Times New Roman" w:hAnsi="Times New Roman" w:cs="Times New Roman"/>
                <w:sz w:val="24"/>
                <w:szCs w:val="24"/>
              </w:rPr>
            </w:pPr>
          </w:p>
          <w:p w14:paraId="3A72936F" w14:textId="13B51846" w:rsidR="00AF43A2" w:rsidRDefault="00AF43A2" w:rsidP="001B6D0A">
            <w:pPr>
              <w:pStyle w:val="ListParagraph"/>
              <w:numPr>
                <w:ilvl w:val="0"/>
                <w:numId w:val="1"/>
              </w:numPr>
              <w:ind w:left="0"/>
              <w:jc w:val="both"/>
              <w:rPr>
                <w:rFonts w:ascii="Times New Roman" w:hAnsi="Times New Roman" w:cs="Times New Roman"/>
                <w:sz w:val="24"/>
                <w:szCs w:val="24"/>
                <w:u w:val="single"/>
              </w:rPr>
            </w:pPr>
            <w:r w:rsidRPr="001B6D0A">
              <w:rPr>
                <w:rFonts w:ascii="Times New Roman" w:hAnsi="Times New Roman" w:cs="Times New Roman"/>
                <w:sz w:val="24"/>
                <w:szCs w:val="24"/>
                <w:u w:val="single"/>
              </w:rPr>
              <w:t xml:space="preserve">Administratīvā sloga aprēķins </w:t>
            </w:r>
            <w:r w:rsidR="00CD3A10" w:rsidRPr="001B6D0A">
              <w:rPr>
                <w:rFonts w:ascii="Times New Roman" w:hAnsi="Times New Roman" w:cs="Times New Roman"/>
                <w:sz w:val="24"/>
                <w:szCs w:val="24"/>
                <w:u w:val="single"/>
              </w:rPr>
              <w:t xml:space="preserve">atbildīgajai </w:t>
            </w:r>
            <w:r w:rsidRPr="001B6D0A">
              <w:rPr>
                <w:rFonts w:ascii="Times New Roman" w:hAnsi="Times New Roman" w:cs="Times New Roman"/>
                <w:sz w:val="24"/>
                <w:szCs w:val="24"/>
                <w:u w:val="single"/>
              </w:rPr>
              <w:t xml:space="preserve">valsts </w:t>
            </w:r>
            <w:r w:rsidR="00CD3A10" w:rsidRPr="001B6D0A">
              <w:rPr>
                <w:rFonts w:ascii="Times New Roman" w:hAnsi="Times New Roman" w:cs="Times New Roman"/>
                <w:sz w:val="24"/>
                <w:szCs w:val="24"/>
                <w:u w:val="single"/>
              </w:rPr>
              <w:t xml:space="preserve">pārvaldes </w:t>
            </w:r>
            <w:r w:rsidRPr="001B6D0A">
              <w:rPr>
                <w:rFonts w:ascii="Times New Roman" w:hAnsi="Times New Roman" w:cs="Times New Roman"/>
                <w:sz w:val="24"/>
                <w:szCs w:val="24"/>
                <w:u w:val="single"/>
              </w:rPr>
              <w:t xml:space="preserve">iestādei: </w:t>
            </w:r>
          </w:p>
          <w:p w14:paraId="2570E3D0" w14:textId="77777777" w:rsidR="001B6D0A" w:rsidRPr="001B6D0A" w:rsidRDefault="001B6D0A" w:rsidP="001B6D0A">
            <w:pPr>
              <w:pStyle w:val="ListParagraph"/>
              <w:numPr>
                <w:ilvl w:val="0"/>
                <w:numId w:val="1"/>
              </w:numPr>
              <w:ind w:left="0"/>
              <w:jc w:val="both"/>
              <w:rPr>
                <w:rFonts w:ascii="Times New Roman" w:hAnsi="Times New Roman" w:cs="Times New Roman"/>
                <w:sz w:val="24"/>
                <w:szCs w:val="24"/>
                <w:u w:val="single"/>
              </w:rPr>
            </w:pPr>
          </w:p>
          <w:p w14:paraId="7DDB6659" w14:textId="2E8867A6" w:rsidR="00AF43A2" w:rsidRPr="001B6D0A" w:rsidRDefault="005B111A" w:rsidP="001B6D0A">
            <w:pPr>
              <w:jc w:val="both"/>
              <w:rPr>
                <w:rFonts w:ascii="Times New Roman" w:hAnsi="Times New Roman" w:cs="Times New Roman"/>
                <w:sz w:val="24"/>
                <w:szCs w:val="24"/>
              </w:rPr>
            </w:pPr>
            <w:r w:rsidRPr="001B6D0A">
              <w:rPr>
                <w:rFonts w:ascii="Times New Roman" w:hAnsi="Times New Roman" w:cs="Times New Roman"/>
                <w:sz w:val="24"/>
                <w:szCs w:val="24"/>
              </w:rPr>
              <w:t>a)administrēšanas izmaksas par ziņošanas prasību piemērošanu</w:t>
            </w:r>
          </w:p>
          <w:p w14:paraId="628C6599" w14:textId="588EEB08" w:rsidR="00F25819" w:rsidRPr="001B6D0A" w:rsidRDefault="00F25819" w:rsidP="001B6D0A">
            <w:pPr>
              <w:jc w:val="both"/>
              <w:rPr>
                <w:rFonts w:ascii="Times New Roman" w:hAnsi="Times New Roman" w:cs="Times New Roman"/>
                <w:sz w:val="24"/>
                <w:szCs w:val="24"/>
              </w:rPr>
            </w:pPr>
            <w:r w:rsidRPr="001B6D0A">
              <w:rPr>
                <w:rFonts w:ascii="Times New Roman" w:hAnsi="Times New Roman" w:cs="Times New Roman"/>
                <w:sz w:val="24"/>
                <w:szCs w:val="24"/>
              </w:rPr>
              <w:t>C = (f x l) x (n x b), kur</w:t>
            </w:r>
          </w:p>
          <w:p w14:paraId="3F227B1E" w14:textId="77777777" w:rsidR="00F25819" w:rsidRPr="001B6D0A" w:rsidRDefault="00F25819" w:rsidP="001B6D0A">
            <w:pPr>
              <w:contextualSpacing/>
              <w:jc w:val="both"/>
              <w:rPr>
                <w:rFonts w:ascii="Times New Roman" w:hAnsi="Times New Roman" w:cs="Times New Roman"/>
                <w:sz w:val="24"/>
                <w:szCs w:val="24"/>
              </w:rPr>
            </w:pPr>
            <w:r w:rsidRPr="001B6D0A">
              <w:rPr>
                <w:rFonts w:ascii="Times New Roman" w:hAnsi="Times New Roman" w:cs="Times New Roman"/>
                <w:b/>
                <w:sz w:val="24"/>
                <w:szCs w:val="24"/>
              </w:rPr>
              <w:t>C</w:t>
            </w:r>
            <w:r w:rsidRPr="001B6D0A">
              <w:rPr>
                <w:rFonts w:ascii="Times New Roman" w:hAnsi="Times New Roman" w:cs="Times New Roman"/>
                <w:sz w:val="24"/>
                <w:szCs w:val="24"/>
              </w:rPr>
              <w:t xml:space="preserve"> – ziņošanas prasību </w:t>
            </w:r>
            <w:r w:rsidRPr="001B6D0A">
              <w:rPr>
                <w:rFonts w:ascii="Times New Roman" w:eastAsia="Times New Roman" w:hAnsi="Times New Roman" w:cs="Times New Roman"/>
                <w:sz w:val="24"/>
                <w:szCs w:val="24"/>
                <w:lang w:eastAsia="lv-LV"/>
              </w:rPr>
              <w:t>piemērošanas administrēšanas izmaksas</w:t>
            </w:r>
            <w:r w:rsidRPr="001B6D0A">
              <w:rPr>
                <w:rFonts w:ascii="Times New Roman" w:hAnsi="Times New Roman" w:cs="Times New Roman"/>
                <w:sz w:val="24"/>
                <w:szCs w:val="24"/>
              </w:rPr>
              <w:t>;</w:t>
            </w:r>
          </w:p>
          <w:p w14:paraId="28DA1441" w14:textId="77777777" w:rsidR="00F25819" w:rsidRPr="001B6D0A" w:rsidRDefault="00F25819" w:rsidP="001B6D0A">
            <w:pPr>
              <w:pStyle w:val="tv213"/>
              <w:spacing w:before="0" w:beforeAutospacing="0" w:after="0" w:afterAutospacing="0"/>
              <w:contextualSpacing/>
              <w:jc w:val="both"/>
            </w:pPr>
            <w:r w:rsidRPr="001B6D0A">
              <w:rPr>
                <w:b/>
              </w:rPr>
              <w:t>f</w:t>
            </w:r>
            <w:r w:rsidRPr="001B6D0A">
              <w:t xml:space="preserve"> – stundas samaksas likme sabiedriskajā sektorā – aprēķināta, dalot vidējo mēneša algu sabiedriskajā sektorā (pēc Centrālās statistikas pārvaldes tīmekļvietnes </w:t>
            </w:r>
            <w:hyperlink r:id="rId11" w:history="1">
              <w:r w:rsidRPr="001B6D0A">
                <w:rPr>
                  <w:rStyle w:val="Hyperlink"/>
                  <w:color w:val="auto"/>
                </w:rPr>
                <w:t>www.csb.gov.lv</w:t>
              </w:r>
            </w:hyperlink>
            <w:r w:rsidRPr="001B6D0A">
              <w:t xml:space="preserve"> datiem 2018.gadā tā bija 1032,00 </w:t>
            </w:r>
            <w:proofErr w:type="spellStart"/>
            <w:r w:rsidRPr="001B6D0A">
              <w:rPr>
                <w:i/>
              </w:rPr>
              <w:t>euro</w:t>
            </w:r>
            <w:proofErr w:type="spellEnd"/>
            <w:r w:rsidRPr="001B6D0A">
              <w:rPr>
                <w:i/>
              </w:rPr>
              <w:t xml:space="preserve"> </w:t>
            </w:r>
            <w:r w:rsidRPr="001B6D0A">
              <w:t xml:space="preserve">mēnesī) ar Darba likuma 131.panta pirmajā daļā minēto normālo darba laiku (40 stundas nedēļā x 4 = 160 stundas mēnesī) = </w:t>
            </w:r>
            <w:r w:rsidRPr="001B6D0A">
              <w:rPr>
                <w:b/>
              </w:rPr>
              <w:t>6,45 </w:t>
            </w:r>
            <w:proofErr w:type="spellStart"/>
            <w:r w:rsidRPr="001B6D0A">
              <w:rPr>
                <w:b/>
                <w:i/>
              </w:rPr>
              <w:t>euro</w:t>
            </w:r>
            <w:proofErr w:type="spellEnd"/>
            <w:r w:rsidRPr="001B6D0A">
              <w:rPr>
                <w:b/>
              </w:rPr>
              <w:t xml:space="preserve"> stundā</w:t>
            </w:r>
            <w:r w:rsidRPr="001B6D0A">
              <w:t>;</w:t>
            </w:r>
          </w:p>
          <w:p w14:paraId="5147B9BC" w14:textId="77777777" w:rsidR="00F25819" w:rsidRPr="001B6D0A" w:rsidRDefault="00F25819" w:rsidP="001B6D0A">
            <w:pPr>
              <w:pStyle w:val="tv213"/>
              <w:spacing w:before="0" w:beforeAutospacing="0" w:after="0" w:afterAutospacing="0"/>
              <w:contextualSpacing/>
              <w:jc w:val="both"/>
            </w:pPr>
            <w:r w:rsidRPr="001B6D0A">
              <w:rPr>
                <w:b/>
              </w:rPr>
              <w:t xml:space="preserve">l </w:t>
            </w:r>
            <w:r w:rsidRPr="001B6D0A">
              <w:t xml:space="preserve">– laika patēriņš, kas nepieciešams, lai energoefektivitātes monitoringa sistēmā reģistrētu vienu komersanta iesniegto ziņojumu  – </w:t>
            </w:r>
            <w:r w:rsidRPr="001B6D0A">
              <w:rPr>
                <w:b/>
              </w:rPr>
              <w:t>4 stundas</w:t>
            </w:r>
            <w:r w:rsidRPr="001B6D0A">
              <w:t>;</w:t>
            </w:r>
          </w:p>
          <w:p w14:paraId="47AD3D02" w14:textId="77777777" w:rsidR="00F25819" w:rsidRPr="001B6D0A" w:rsidRDefault="00F25819" w:rsidP="001B6D0A">
            <w:pPr>
              <w:pStyle w:val="tv213"/>
              <w:spacing w:before="0" w:beforeAutospacing="0" w:after="0" w:afterAutospacing="0"/>
              <w:contextualSpacing/>
              <w:jc w:val="both"/>
              <w:rPr>
                <w:b/>
              </w:rPr>
            </w:pPr>
            <w:r w:rsidRPr="001B6D0A">
              <w:rPr>
                <w:b/>
              </w:rPr>
              <w:t>n</w:t>
            </w:r>
            <w:r w:rsidRPr="001B6D0A">
              <w:t xml:space="preserve"> – komersantu skaits, uz ko attiecas projektā paredzētās prasības – </w:t>
            </w:r>
            <w:r w:rsidRPr="001B6D0A">
              <w:rPr>
                <w:b/>
                <w:bCs/>
              </w:rPr>
              <w:t xml:space="preserve">1200 </w:t>
            </w:r>
            <w:r w:rsidRPr="001B6D0A">
              <w:rPr>
                <w:b/>
              </w:rPr>
              <w:t xml:space="preserve">komersanti </w:t>
            </w:r>
            <w:r w:rsidRPr="001B6D0A">
              <w:t>(pieņēmums, ka gadā vidēji ziņos aptuveni 200 lielie uzņēmumi un 1000 lielie elektroenerģijas patērētāji);</w:t>
            </w:r>
          </w:p>
          <w:p w14:paraId="5C0A5C27" w14:textId="5D409425" w:rsidR="00F25819" w:rsidRPr="001B6D0A" w:rsidRDefault="00F25819" w:rsidP="001B6D0A">
            <w:pPr>
              <w:pStyle w:val="tv213"/>
              <w:spacing w:before="0" w:beforeAutospacing="0" w:after="0" w:afterAutospacing="0"/>
              <w:contextualSpacing/>
              <w:jc w:val="both"/>
            </w:pPr>
            <w:r w:rsidRPr="001B6D0A">
              <w:rPr>
                <w:b/>
              </w:rPr>
              <w:t>b</w:t>
            </w:r>
            <w:r w:rsidRPr="001B6D0A">
              <w:t xml:space="preserve"> – ziņojumu saņemšanas biežums – </w:t>
            </w:r>
            <w:r w:rsidRPr="001B6D0A">
              <w:rPr>
                <w:b/>
              </w:rPr>
              <w:t>1 reizi</w:t>
            </w:r>
            <w:r w:rsidRPr="001B6D0A">
              <w:t xml:space="preserve"> </w:t>
            </w:r>
          </w:p>
          <w:p w14:paraId="5E58CD66" w14:textId="77777777" w:rsidR="005B111A" w:rsidRPr="001B6D0A" w:rsidRDefault="005B111A" w:rsidP="001B6D0A">
            <w:pPr>
              <w:rPr>
                <w:rFonts w:ascii="Times New Roman" w:hAnsi="Times New Roman" w:cs="Times New Roman"/>
                <w:bCs/>
                <w:iCs/>
                <w:sz w:val="24"/>
                <w:szCs w:val="24"/>
              </w:rPr>
            </w:pPr>
          </w:p>
          <w:p w14:paraId="11F22C69" w14:textId="0314FE83" w:rsidR="00B80599" w:rsidRPr="001B6D0A" w:rsidRDefault="00B80599" w:rsidP="001B6D0A">
            <w:pPr>
              <w:pStyle w:val="tv213"/>
              <w:spacing w:before="0" w:beforeAutospacing="0" w:after="0" w:afterAutospacing="0"/>
              <w:contextualSpacing/>
              <w:jc w:val="both"/>
              <w:rPr>
                <w:b/>
                <w:i/>
              </w:rPr>
            </w:pPr>
          </w:p>
        </w:tc>
      </w:tr>
      <w:tr w:rsidR="00820311" w:rsidRPr="001B6D0A" w14:paraId="0DF6AC3B" w14:textId="77777777" w:rsidTr="00C409C3">
        <w:tc>
          <w:tcPr>
            <w:tcW w:w="184" w:type="pct"/>
            <w:hideMark/>
          </w:tcPr>
          <w:p w14:paraId="62150A1F" w14:textId="77777777" w:rsidR="00B80599" w:rsidRPr="001B6D0A" w:rsidRDefault="00B80599" w:rsidP="001B6D0A">
            <w:pPr>
              <w:contextualSpacing/>
              <w:jc w:val="both"/>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lastRenderedPageBreak/>
              <w:t>4.</w:t>
            </w:r>
          </w:p>
        </w:tc>
        <w:tc>
          <w:tcPr>
            <w:tcW w:w="1589" w:type="pct"/>
            <w:hideMark/>
          </w:tcPr>
          <w:p w14:paraId="5C323C86" w14:textId="77777777" w:rsidR="00B80599" w:rsidRPr="001B6D0A" w:rsidRDefault="00B80599" w:rsidP="001B6D0A">
            <w:pPr>
              <w:contextualSpacing/>
              <w:jc w:val="both"/>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Atbilstības izmaksu monetārs novērtējums</w:t>
            </w:r>
          </w:p>
        </w:tc>
        <w:tc>
          <w:tcPr>
            <w:tcW w:w="3163" w:type="pct"/>
            <w:hideMark/>
          </w:tcPr>
          <w:p w14:paraId="02B29F5D" w14:textId="59B073EE" w:rsidR="00F25819" w:rsidRPr="001B6D0A" w:rsidRDefault="00832FB8" w:rsidP="001B6D0A">
            <w:pPr>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14:paraId="199857A7" w14:textId="77777777" w:rsidR="00F25819" w:rsidRPr="001B6D0A" w:rsidRDefault="00F25819" w:rsidP="001B6D0A">
            <w:pPr>
              <w:contextualSpacing/>
              <w:jc w:val="both"/>
              <w:rPr>
                <w:rFonts w:ascii="Times New Roman" w:hAnsi="Times New Roman" w:cs="Times New Roman"/>
                <w:sz w:val="24"/>
                <w:szCs w:val="24"/>
              </w:rPr>
            </w:pPr>
          </w:p>
          <w:p w14:paraId="52960167" w14:textId="6CF45FF7" w:rsidR="00F25819" w:rsidRPr="001B6D0A" w:rsidRDefault="00F25819" w:rsidP="001B6D0A">
            <w:pPr>
              <w:rPr>
                <w:rFonts w:ascii="Times New Roman" w:hAnsi="Times New Roman" w:cs="Times New Roman"/>
                <w:sz w:val="24"/>
                <w:szCs w:val="24"/>
              </w:rPr>
            </w:pPr>
          </w:p>
          <w:p w14:paraId="0B77CCC1" w14:textId="478CE178" w:rsidR="00B80599" w:rsidRPr="001B6D0A" w:rsidRDefault="00B80599" w:rsidP="001B6D0A">
            <w:pPr>
              <w:pStyle w:val="tv213"/>
              <w:spacing w:before="0" w:beforeAutospacing="0" w:after="0" w:afterAutospacing="0"/>
              <w:contextualSpacing/>
              <w:jc w:val="both"/>
              <w:rPr>
                <w:b/>
                <w:i/>
              </w:rPr>
            </w:pPr>
          </w:p>
        </w:tc>
      </w:tr>
      <w:tr w:rsidR="00813309" w:rsidRPr="001B6D0A" w14:paraId="5A48F020" w14:textId="77777777" w:rsidTr="00C409C3">
        <w:tc>
          <w:tcPr>
            <w:tcW w:w="184" w:type="pct"/>
            <w:hideMark/>
          </w:tcPr>
          <w:p w14:paraId="4B3A1C0A" w14:textId="77777777" w:rsidR="00B80599" w:rsidRPr="001B6D0A" w:rsidRDefault="00B80599" w:rsidP="001B6D0A">
            <w:pPr>
              <w:contextualSpacing/>
              <w:jc w:val="both"/>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5.</w:t>
            </w:r>
          </w:p>
        </w:tc>
        <w:tc>
          <w:tcPr>
            <w:tcW w:w="1589" w:type="pct"/>
            <w:hideMark/>
          </w:tcPr>
          <w:p w14:paraId="0F5285DA" w14:textId="77777777" w:rsidR="00B80599" w:rsidRPr="001B6D0A" w:rsidRDefault="00B80599" w:rsidP="001B6D0A">
            <w:pPr>
              <w:contextualSpacing/>
              <w:jc w:val="both"/>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Cita informācija</w:t>
            </w:r>
          </w:p>
        </w:tc>
        <w:tc>
          <w:tcPr>
            <w:tcW w:w="3163" w:type="pct"/>
            <w:hideMark/>
          </w:tcPr>
          <w:p w14:paraId="63D0BF54" w14:textId="6FCDBB93" w:rsidR="00B80599" w:rsidRPr="001B6D0A" w:rsidRDefault="005D0F37" w:rsidP="001B6D0A">
            <w:pPr>
              <w:contextualSpacing/>
              <w:jc w:val="both"/>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Nav</w:t>
            </w:r>
          </w:p>
        </w:tc>
      </w:tr>
    </w:tbl>
    <w:p w14:paraId="3B30EA12" w14:textId="5E0F664D" w:rsidR="00B80599" w:rsidRPr="001B6D0A" w:rsidRDefault="00B80599" w:rsidP="001B6D0A">
      <w:pPr>
        <w:spacing w:after="0" w:line="240" w:lineRule="auto"/>
        <w:contextualSpacing/>
        <w:jc w:val="both"/>
        <w:rPr>
          <w:rFonts w:ascii="Times New Roman" w:eastAsia="Times New Roman" w:hAnsi="Times New Roman" w:cs="Times New Roman"/>
          <w:iCs/>
          <w:sz w:val="24"/>
          <w:szCs w:val="24"/>
          <w:lang w:eastAsia="lv-LV"/>
        </w:rPr>
      </w:pPr>
    </w:p>
    <w:tbl>
      <w:tblPr>
        <w:tblStyle w:val="TableGrid"/>
        <w:tblW w:w="4878" w:type="pct"/>
        <w:tblLook w:val="04A0" w:firstRow="1" w:lastRow="0" w:firstColumn="1" w:lastColumn="0" w:noHBand="0" w:noVBand="1"/>
      </w:tblPr>
      <w:tblGrid>
        <w:gridCol w:w="1530"/>
        <w:gridCol w:w="955"/>
        <w:gridCol w:w="1191"/>
        <w:gridCol w:w="874"/>
        <w:gridCol w:w="1191"/>
        <w:gridCol w:w="874"/>
        <w:gridCol w:w="1255"/>
        <w:gridCol w:w="1191"/>
      </w:tblGrid>
      <w:tr w:rsidR="00C409C3" w:rsidRPr="001B6D0A" w14:paraId="6931C23D" w14:textId="70EFB085" w:rsidTr="00C409C3">
        <w:tc>
          <w:tcPr>
            <w:tcW w:w="5000" w:type="pct"/>
            <w:gridSpan w:val="8"/>
            <w:hideMark/>
          </w:tcPr>
          <w:p w14:paraId="5E908456" w14:textId="77777777" w:rsidR="00C409C3" w:rsidRPr="001B6D0A" w:rsidRDefault="00C409C3" w:rsidP="001B6D0A">
            <w:pPr>
              <w:contextualSpacing/>
              <w:jc w:val="center"/>
              <w:rPr>
                <w:rFonts w:ascii="Times New Roman" w:eastAsia="Times New Roman" w:hAnsi="Times New Roman" w:cs="Times New Roman"/>
                <w:b/>
                <w:bCs/>
                <w:iCs/>
                <w:sz w:val="24"/>
                <w:szCs w:val="24"/>
                <w:lang w:eastAsia="lv-LV"/>
              </w:rPr>
            </w:pPr>
            <w:r w:rsidRPr="001B6D0A">
              <w:rPr>
                <w:rFonts w:ascii="Times New Roman" w:eastAsia="Times New Roman" w:hAnsi="Times New Roman" w:cs="Times New Roman"/>
                <w:b/>
                <w:bCs/>
                <w:iCs/>
                <w:sz w:val="24"/>
                <w:szCs w:val="24"/>
                <w:lang w:eastAsia="lv-LV"/>
              </w:rPr>
              <w:t>III. Tiesību akta projekta ietekme uz valsts budžetu un pašvaldību budžetiem</w:t>
            </w:r>
          </w:p>
        </w:tc>
      </w:tr>
      <w:tr w:rsidR="00C409C3" w:rsidRPr="001B6D0A" w14:paraId="1325FB58" w14:textId="4A24EAB8" w:rsidTr="00C409C3">
        <w:tc>
          <w:tcPr>
            <w:tcW w:w="844" w:type="pct"/>
            <w:vMerge w:val="restart"/>
            <w:hideMark/>
          </w:tcPr>
          <w:p w14:paraId="34F586B0"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Rādītāji</w:t>
            </w:r>
          </w:p>
        </w:tc>
        <w:tc>
          <w:tcPr>
            <w:tcW w:w="1184" w:type="pct"/>
            <w:gridSpan w:val="2"/>
            <w:vMerge w:val="restart"/>
            <w:hideMark/>
          </w:tcPr>
          <w:p w14:paraId="4A3CD053" w14:textId="10BF53D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2019</w:t>
            </w:r>
          </w:p>
        </w:tc>
        <w:tc>
          <w:tcPr>
            <w:tcW w:w="2972" w:type="pct"/>
            <w:gridSpan w:val="5"/>
            <w:hideMark/>
          </w:tcPr>
          <w:p w14:paraId="1A10D772"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Turpmākie trīs gadi (</w:t>
            </w:r>
            <w:proofErr w:type="spellStart"/>
            <w:r w:rsidRPr="001B6D0A">
              <w:rPr>
                <w:rFonts w:ascii="Times New Roman" w:eastAsia="Times New Roman" w:hAnsi="Times New Roman" w:cs="Times New Roman"/>
                <w:i/>
                <w:iCs/>
                <w:sz w:val="24"/>
                <w:szCs w:val="24"/>
                <w:lang w:eastAsia="lv-LV"/>
              </w:rPr>
              <w:t>euro</w:t>
            </w:r>
            <w:proofErr w:type="spellEnd"/>
            <w:r w:rsidRPr="001B6D0A">
              <w:rPr>
                <w:rFonts w:ascii="Times New Roman" w:eastAsia="Times New Roman" w:hAnsi="Times New Roman" w:cs="Times New Roman"/>
                <w:iCs/>
                <w:sz w:val="24"/>
                <w:szCs w:val="24"/>
                <w:lang w:eastAsia="lv-LV"/>
              </w:rPr>
              <w:t>)</w:t>
            </w:r>
          </w:p>
        </w:tc>
      </w:tr>
      <w:tr w:rsidR="00C409C3" w:rsidRPr="001B6D0A" w14:paraId="658279DB" w14:textId="06D29ECB" w:rsidTr="00C409C3">
        <w:tc>
          <w:tcPr>
            <w:tcW w:w="844" w:type="pct"/>
            <w:vMerge/>
            <w:hideMark/>
          </w:tcPr>
          <w:p w14:paraId="33282B06" w14:textId="77777777" w:rsidR="00C409C3" w:rsidRPr="001B6D0A" w:rsidRDefault="00C409C3" w:rsidP="001B6D0A">
            <w:pPr>
              <w:contextualSpacing/>
              <w:rPr>
                <w:rFonts w:ascii="Times New Roman" w:eastAsia="Times New Roman" w:hAnsi="Times New Roman" w:cs="Times New Roman"/>
                <w:iCs/>
                <w:sz w:val="24"/>
                <w:szCs w:val="24"/>
                <w:lang w:eastAsia="lv-LV"/>
              </w:rPr>
            </w:pPr>
          </w:p>
        </w:tc>
        <w:tc>
          <w:tcPr>
            <w:tcW w:w="1184" w:type="pct"/>
            <w:gridSpan w:val="2"/>
            <w:vMerge/>
            <w:hideMark/>
          </w:tcPr>
          <w:p w14:paraId="270746AB" w14:textId="77777777" w:rsidR="00C409C3" w:rsidRPr="001B6D0A" w:rsidRDefault="00C409C3" w:rsidP="001B6D0A">
            <w:pPr>
              <w:contextualSpacing/>
              <w:rPr>
                <w:rFonts w:ascii="Times New Roman" w:eastAsia="Times New Roman" w:hAnsi="Times New Roman" w:cs="Times New Roman"/>
                <w:iCs/>
                <w:sz w:val="24"/>
                <w:szCs w:val="24"/>
                <w:lang w:eastAsia="lv-LV"/>
              </w:rPr>
            </w:pPr>
          </w:p>
        </w:tc>
        <w:tc>
          <w:tcPr>
            <w:tcW w:w="1140" w:type="pct"/>
            <w:gridSpan w:val="2"/>
            <w:hideMark/>
          </w:tcPr>
          <w:p w14:paraId="5D2EDE85" w14:textId="17002ADC"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2020</w:t>
            </w:r>
          </w:p>
        </w:tc>
        <w:tc>
          <w:tcPr>
            <w:tcW w:w="1175" w:type="pct"/>
            <w:gridSpan w:val="2"/>
            <w:hideMark/>
          </w:tcPr>
          <w:p w14:paraId="6A1B6A55" w14:textId="7C7905E5"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2021</w:t>
            </w:r>
          </w:p>
        </w:tc>
        <w:tc>
          <w:tcPr>
            <w:tcW w:w="657" w:type="pct"/>
            <w:hideMark/>
          </w:tcPr>
          <w:p w14:paraId="38CB2CCD" w14:textId="49E42970"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2022</w:t>
            </w:r>
          </w:p>
        </w:tc>
      </w:tr>
      <w:tr w:rsidR="00C409C3" w:rsidRPr="001B6D0A" w14:paraId="2F6843F4" w14:textId="1C1010E0" w:rsidTr="00C409C3">
        <w:tc>
          <w:tcPr>
            <w:tcW w:w="844" w:type="pct"/>
            <w:vMerge/>
            <w:hideMark/>
          </w:tcPr>
          <w:p w14:paraId="5989A80A" w14:textId="77777777" w:rsidR="00C409C3" w:rsidRPr="001B6D0A" w:rsidRDefault="00C409C3" w:rsidP="001B6D0A">
            <w:pPr>
              <w:contextualSpacing/>
              <w:rPr>
                <w:rFonts w:ascii="Times New Roman" w:eastAsia="Times New Roman" w:hAnsi="Times New Roman" w:cs="Times New Roman"/>
                <w:iCs/>
                <w:sz w:val="24"/>
                <w:szCs w:val="24"/>
                <w:lang w:eastAsia="lv-LV"/>
              </w:rPr>
            </w:pPr>
          </w:p>
        </w:tc>
        <w:tc>
          <w:tcPr>
            <w:tcW w:w="528" w:type="pct"/>
            <w:hideMark/>
          </w:tcPr>
          <w:p w14:paraId="11006D8A"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saskaņā ar valsts budžet</w:t>
            </w:r>
            <w:r w:rsidRPr="001B6D0A">
              <w:rPr>
                <w:rFonts w:ascii="Times New Roman" w:eastAsia="Times New Roman" w:hAnsi="Times New Roman" w:cs="Times New Roman"/>
                <w:iCs/>
                <w:sz w:val="24"/>
                <w:szCs w:val="24"/>
                <w:lang w:eastAsia="lv-LV"/>
              </w:rPr>
              <w:lastRenderedPageBreak/>
              <w:t>u kārtējam gadam</w:t>
            </w:r>
          </w:p>
        </w:tc>
        <w:tc>
          <w:tcPr>
            <w:tcW w:w="657" w:type="pct"/>
            <w:hideMark/>
          </w:tcPr>
          <w:p w14:paraId="5876FBCE"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lastRenderedPageBreak/>
              <w:t xml:space="preserve">izmaiņas kārtējā gadā, salīdzinot </w:t>
            </w:r>
            <w:r w:rsidRPr="001B6D0A">
              <w:rPr>
                <w:rFonts w:ascii="Times New Roman" w:eastAsia="Times New Roman" w:hAnsi="Times New Roman" w:cs="Times New Roman"/>
                <w:iCs/>
                <w:sz w:val="24"/>
                <w:szCs w:val="24"/>
                <w:lang w:eastAsia="lv-LV"/>
              </w:rPr>
              <w:lastRenderedPageBreak/>
              <w:t>ar valsts budžetu kārtējam gadam</w:t>
            </w:r>
          </w:p>
        </w:tc>
        <w:tc>
          <w:tcPr>
            <w:tcW w:w="483" w:type="pct"/>
            <w:hideMark/>
          </w:tcPr>
          <w:p w14:paraId="67A70246"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lastRenderedPageBreak/>
              <w:t>saskaņā ar vidēja termiņ</w:t>
            </w:r>
            <w:r w:rsidRPr="001B6D0A">
              <w:rPr>
                <w:rFonts w:ascii="Times New Roman" w:eastAsia="Times New Roman" w:hAnsi="Times New Roman" w:cs="Times New Roman"/>
                <w:iCs/>
                <w:sz w:val="24"/>
                <w:szCs w:val="24"/>
                <w:lang w:eastAsia="lv-LV"/>
              </w:rPr>
              <w:lastRenderedPageBreak/>
              <w:t>a budžeta ietvaru</w:t>
            </w:r>
          </w:p>
        </w:tc>
        <w:tc>
          <w:tcPr>
            <w:tcW w:w="657" w:type="pct"/>
            <w:hideMark/>
          </w:tcPr>
          <w:p w14:paraId="0D0F1B9D" w14:textId="043429B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lastRenderedPageBreak/>
              <w:t xml:space="preserve">izmaiņas, salīdzinot ar vidēja termiņa </w:t>
            </w:r>
            <w:r w:rsidRPr="001B6D0A">
              <w:rPr>
                <w:rFonts w:ascii="Times New Roman" w:eastAsia="Times New Roman" w:hAnsi="Times New Roman" w:cs="Times New Roman"/>
                <w:iCs/>
                <w:sz w:val="24"/>
                <w:szCs w:val="24"/>
                <w:lang w:eastAsia="lv-LV"/>
              </w:rPr>
              <w:lastRenderedPageBreak/>
              <w:t>budžeta ietvaru 2020. gadam</w:t>
            </w:r>
          </w:p>
        </w:tc>
        <w:tc>
          <w:tcPr>
            <w:tcW w:w="483" w:type="pct"/>
            <w:hideMark/>
          </w:tcPr>
          <w:p w14:paraId="17A303E5"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lastRenderedPageBreak/>
              <w:t>saskaņā ar vidēja termiņ</w:t>
            </w:r>
            <w:r w:rsidRPr="001B6D0A">
              <w:rPr>
                <w:rFonts w:ascii="Times New Roman" w:eastAsia="Times New Roman" w:hAnsi="Times New Roman" w:cs="Times New Roman"/>
                <w:iCs/>
                <w:sz w:val="24"/>
                <w:szCs w:val="24"/>
                <w:lang w:eastAsia="lv-LV"/>
              </w:rPr>
              <w:lastRenderedPageBreak/>
              <w:t>a budžeta ietvaru</w:t>
            </w:r>
          </w:p>
        </w:tc>
        <w:tc>
          <w:tcPr>
            <w:tcW w:w="692" w:type="pct"/>
            <w:hideMark/>
          </w:tcPr>
          <w:p w14:paraId="63D921F6" w14:textId="603110CB"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lastRenderedPageBreak/>
              <w:t xml:space="preserve">izmaiņas, salīdzinot ar vidēja termiņa </w:t>
            </w:r>
            <w:r w:rsidRPr="001B6D0A">
              <w:rPr>
                <w:rFonts w:ascii="Times New Roman" w:eastAsia="Times New Roman" w:hAnsi="Times New Roman" w:cs="Times New Roman"/>
                <w:iCs/>
                <w:sz w:val="24"/>
                <w:szCs w:val="24"/>
                <w:lang w:eastAsia="lv-LV"/>
              </w:rPr>
              <w:lastRenderedPageBreak/>
              <w:t>budžeta ietvaru 2021.gadam</w:t>
            </w:r>
          </w:p>
        </w:tc>
        <w:tc>
          <w:tcPr>
            <w:tcW w:w="657" w:type="pct"/>
            <w:hideMark/>
          </w:tcPr>
          <w:p w14:paraId="1BF8B5EF" w14:textId="555E283E"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lastRenderedPageBreak/>
              <w:t xml:space="preserve">izmaiņas, salīdzinot ar vidēja termiņa </w:t>
            </w:r>
            <w:r w:rsidRPr="001B6D0A">
              <w:rPr>
                <w:rFonts w:ascii="Times New Roman" w:eastAsia="Times New Roman" w:hAnsi="Times New Roman" w:cs="Times New Roman"/>
                <w:iCs/>
                <w:sz w:val="24"/>
                <w:szCs w:val="24"/>
                <w:lang w:eastAsia="lv-LV"/>
              </w:rPr>
              <w:lastRenderedPageBreak/>
              <w:t>budžeta ietvaru 2021. gadam</w:t>
            </w:r>
          </w:p>
        </w:tc>
      </w:tr>
      <w:tr w:rsidR="00C409C3" w:rsidRPr="001B6D0A" w14:paraId="61950887" w14:textId="2CDCE83D" w:rsidTr="00C409C3">
        <w:tc>
          <w:tcPr>
            <w:tcW w:w="844" w:type="pct"/>
            <w:hideMark/>
          </w:tcPr>
          <w:p w14:paraId="4E03AEF9"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lastRenderedPageBreak/>
              <w:t>1</w:t>
            </w:r>
          </w:p>
        </w:tc>
        <w:tc>
          <w:tcPr>
            <w:tcW w:w="528" w:type="pct"/>
            <w:hideMark/>
          </w:tcPr>
          <w:p w14:paraId="7E5C5D4C"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2</w:t>
            </w:r>
          </w:p>
        </w:tc>
        <w:tc>
          <w:tcPr>
            <w:tcW w:w="657" w:type="pct"/>
            <w:hideMark/>
          </w:tcPr>
          <w:p w14:paraId="38741A74"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3</w:t>
            </w:r>
          </w:p>
        </w:tc>
        <w:tc>
          <w:tcPr>
            <w:tcW w:w="483" w:type="pct"/>
            <w:hideMark/>
          </w:tcPr>
          <w:p w14:paraId="5927B911"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4</w:t>
            </w:r>
          </w:p>
        </w:tc>
        <w:tc>
          <w:tcPr>
            <w:tcW w:w="657" w:type="pct"/>
            <w:hideMark/>
          </w:tcPr>
          <w:p w14:paraId="63F3B4B7"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5</w:t>
            </w:r>
          </w:p>
        </w:tc>
        <w:tc>
          <w:tcPr>
            <w:tcW w:w="483" w:type="pct"/>
            <w:hideMark/>
          </w:tcPr>
          <w:p w14:paraId="1768ADC5"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6</w:t>
            </w:r>
          </w:p>
        </w:tc>
        <w:tc>
          <w:tcPr>
            <w:tcW w:w="692" w:type="pct"/>
            <w:hideMark/>
          </w:tcPr>
          <w:p w14:paraId="25DF1784"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7</w:t>
            </w:r>
          </w:p>
        </w:tc>
        <w:tc>
          <w:tcPr>
            <w:tcW w:w="657" w:type="pct"/>
            <w:hideMark/>
          </w:tcPr>
          <w:p w14:paraId="7A95D839"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8</w:t>
            </w:r>
          </w:p>
        </w:tc>
      </w:tr>
      <w:tr w:rsidR="00C409C3" w:rsidRPr="001B6D0A" w14:paraId="77E3259A" w14:textId="1F1C184D" w:rsidTr="00C409C3">
        <w:tc>
          <w:tcPr>
            <w:tcW w:w="844" w:type="pct"/>
            <w:hideMark/>
          </w:tcPr>
          <w:p w14:paraId="2D750CC5"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1. Budžeta ieņēmumi</w:t>
            </w:r>
          </w:p>
        </w:tc>
        <w:tc>
          <w:tcPr>
            <w:tcW w:w="528" w:type="pct"/>
            <w:hideMark/>
          </w:tcPr>
          <w:p w14:paraId="7E77A05A" w14:textId="05EEEC01"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4E4FA524" w14:textId="52D60D65"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Nav precīzi aprēķināms</w:t>
            </w:r>
          </w:p>
        </w:tc>
        <w:tc>
          <w:tcPr>
            <w:tcW w:w="483" w:type="pct"/>
            <w:hideMark/>
          </w:tcPr>
          <w:p w14:paraId="607F2713" w14:textId="2B07D841"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090AEB4F" w14:textId="78CCAFFC"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Nav precīzi aprēķināms</w:t>
            </w:r>
          </w:p>
        </w:tc>
        <w:tc>
          <w:tcPr>
            <w:tcW w:w="483" w:type="pct"/>
            <w:hideMark/>
          </w:tcPr>
          <w:p w14:paraId="02F1DC4B" w14:textId="66FFF96C"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92" w:type="pct"/>
            <w:hideMark/>
          </w:tcPr>
          <w:p w14:paraId="139CCB44" w14:textId="5F883DA6"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Nav precīzi aprēķināms</w:t>
            </w:r>
          </w:p>
        </w:tc>
        <w:tc>
          <w:tcPr>
            <w:tcW w:w="657" w:type="pct"/>
            <w:hideMark/>
          </w:tcPr>
          <w:p w14:paraId="012EB505" w14:textId="08B1E0C0"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Nav precīzi aprēķināms</w:t>
            </w:r>
          </w:p>
        </w:tc>
      </w:tr>
      <w:tr w:rsidR="00C409C3" w:rsidRPr="001B6D0A" w14:paraId="7CB9DE45" w14:textId="23BA7529" w:rsidTr="00C409C3">
        <w:tc>
          <w:tcPr>
            <w:tcW w:w="844" w:type="pct"/>
            <w:hideMark/>
          </w:tcPr>
          <w:p w14:paraId="60268C44"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28" w:type="pct"/>
            <w:hideMark/>
          </w:tcPr>
          <w:p w14:paraId="41DFF3BB" w14:textId="47642634"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47961D68" w14:textId="2FE42161"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Nav precīzi aprēķināms</w:t>
            </w:r>
          </w:p>
        </w:tc>
        <w:tc>
          <w:tcPr>
            <w:tcW w:w="483" w:type="pct"/>
            <w:hideMark/>
          </w:tcPr>
          <w:p w14:paraId="64F2FBC4" w14:textId="5DE1536A"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0</w:t>
            </w:r>
          </w:p>
        </w:tc>
        <w:tc>
          <w:tcPr>
            <w:tcW w:w="657" w:type="pct"/>
            <w:hideMark/>
          </w:tcPr>
          <w:p w14:paraId="58B17800" w14:textId="2849E6CC"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Nav precīzi aprēķināms</w:t>
            </w:r>
          </w:p>
        </w:tc>
        <w:tc>
          <w:tcPr>
            <w:tcW w:w="483" w:type="pct"/>
            <w:hideMark/>
          </w:tcPr>
          <w:p w14:paraId="2B558420" w14:textId="3627D90E"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0</w:t>
            </w:r>
          </w:p>
        </w:tc>
        <w:tc>
          <w:tcPr>
            <w:tcW w:w="692" w:type="pct"/>
            <w:hideMark/>
          </w:tcPr>
          <w:p w14:paraId="0ABA773A" w14:textId="31BEC9B9"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Nav precīzi aprēķināms</w:t>
            </w:r>
          </w:p>
        </w:tc>
        <w:tc>
          <w:tcPr>
            <w:tcW w:w="657" w:type="pct"/>
            <w:hideMark/>
          </w:tcPr>
          <w:p w14:paraId="2E7C9701" w14:textId="7F4D9DAA"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Nav precīzi aprēķināms</w:t>
            </w:r>
          </w:p>
        </w:tc>
      </w:tr>
      <w:tr w:rsidR="00C409C3" w:rsidRPr="001B6D0A" w14:paraId="47D5C7A8" w14:textId="4017A8AC" w:rsidTr="00C409C3">
        <w:tc>
          <w:tcPr>
            <w:tcW w:w="844" w:type="pct"/>
            <w:hideMark/>
          </w:tcPr>
          <w:p w14:paraId="01910644"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1.2. valsts speciālais budžets</w:t>
            </w:r>
          </w:p>
        </w:tc>
        <w:tc>
          <w:tcPr>
            <w:tcW w:w="528" w:type="pct"/>
            <w:hideMark/>
          </w:tcPr>
          <w:p w14:paraId="33AA024C" w14:textId="223AB991"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1C26DBCE" w14:textId="50D69F74"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hideMark/>
          </w:tcPr>
          <w:p w14:paraId="19CB23AD" w14:textId="54B01455"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212457AA" w14:textId="0208F000"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hideMark/>
          </w:tcPr>
          <w:p w14:paraId="0A43CC3F" w14:textId="2BEBF1CA"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92" w:type="pct"/>
            <w:hideMark/>
          </w:tcPr>
          <w:p w14:paraId="65FF408C" w14:textId="15A7984C"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0C5C3123" w14:textId="598A51C8"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r>
      <w:tr w:rsidR="00C409C3" w:rsidRPr="001B6D0A" w14:paraId="7A0B89A1" w14:textId="554B6C06" w:rsidTr="00C409C3">
        <w:tc>
          <w:tcPr>
            <w:tcW w:w="844" w:type="pct"/>
            <w:hideMark/>
          </w:tcPr>
          <w:p w14:paraId="6F595DDB"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1.3. pašvaldību budžets</w:t>
            </w:r>
          </w:p>
        </w:tc>
        <w:tc>
          <w:tcPr>
            <w:tcW w:w="528" w:type="pct"/>
            <w:hideMark/>
          </w:tcPr>
          <w:p w14:paraId="527294FE" w14:textId="41EDC552"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10CAA69F" w14:textId="2A704C03"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hideMark/>
          </w:tcPr>
          <w:p w14:paraId="4966ED24" w14:textId="3120C736"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0CA44D95" w14:textId="51873E54"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hideMark/>
          </w:tcPr>
          <w:p w14:paraId="1640F5E5" w14:textId="4C6F02F1"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92" w:type="pct"/>
            <w:hideMark/>
          </w:tcPr>
          <w:p w14:paraId="5525FE79" w14:textId="59D0BD01"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2DA04F36" w14:textId="37EFA6F5"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r>
      <w:tr w:rsidR="00C409C3" w:rsidRPr="001B6D0A" w14:paraId="7FDA27AE" w14:textId="336F09C6" w:rsidTr="00C409C3">
        <w:tc>
          <w:tcPr>
            <w:tcW w:w="844" w:type="pct"/>
            <w:hideMark/>
          </w:tcPr>
          <w:p w14:paraId="27ABDC7A"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2. Budžeta izdevumi</w:t>
            </w:r>
          </w:p>
        </w:tc>
        <w:tc>
          <w:tcPr>
            <w:tcW w:w="528" w:type="pct"/>
            <w:hideMark/>
          </w:tcPr>
          <w:p w14:paraId="0735F8E2" w14:textId="39E09551"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3C99B14C" w14:textId="7FE4C570"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hideMark/>
          </w:tcPr>
          <w:p w14:paraId="6F33771D" w14:textId="067761FC"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246D90D1" w14:textId="2CF6C39C"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hideMark/>
          </w:tcPr>
          <w:p w14:paraId="1A597061" w14:textId="11BB00F4"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92" w:type="pct"/>
            <w:hideMark/>
          </w:tcPr>
          <w:p w14:paraId="7438F388" w14:textId="4E205CD8"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47E38E62" w14:textId="4A9699E4"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r>
      <w:tr w:rsidR="00C409C3" w:rsidRPr="001B6D0A" w14:paraId="196C634E" w14:textId="5D4A4C6F" w:rsidTr="00C409C3">
        <w:tc>
          <w:tcPr>
            <w:tcW w:w="844" w:type="pct"/>
            <w:hideMark/>
          </w:tcPr>
          <w:p w14:paraId="6F31357F"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2.1. valsts pamatbudžets</w:t>
            </w:r>
          </w:p>
        </w:tc>
        <w:tc>
          <w:tcPr>
            <w:tcW w:w="528" w:type="pct"/>
            <w:hideMark/>
          </w:tcPr>
          <w:p w14:paraId="4DDE2992" w14:textId="77CD0BAE"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5EED972F" w14:textId="0E9AAE5A"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hideMark/>
          </w:tcPr>
          <w:p w14:paraId="5BCDDB69" w14:textId="5F1F6319"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03673639" w14:textId="52299CF5"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hideMark/>
          </w:tcPr>
          <w:p w14:paraId="2997CB7A" w14:textId="21774BE8"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92" w:type="pct"/>
            <w:hideMark/>
          </w:tcPr>
          <w:p w14:paraId="3F65C596" w14:textId="78A7C225"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3E59E329" w14:textId="56CFEE7D"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r>
      <w:tr w:rsidR="00C409C3" w:rsidRPr="001B6D0A" w14:paraId="3BF0948C" w14:textId="24AB1D86" w:rsidTr="00C409C3">
        <w:tc>
          <w:tcPr>
            <w:tcW w:w="844" w:type="pct"/>
            <w:hideMark/>
          </w:tcPr>
          <w:p w14:paraId="6E2A5EC8"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2.2. valsts speciālais budžets</w:t>
            </w:r>
          </w:p>
        </w:tc>
        <w:tc>
          <w:tcPr>
            <w:tcW w:w="528" w:type="pct"/>
            <w:hideMark/>
          </w:tcPr>
          <w:p w14:paraId="6A830861" w14:textId="5CF80062"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3FE55677" w14:textId="01FD24BB"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hideMark/>
          </w:tcPr>
          <w:p w14:paraId="5C32FC47" w14:textId="6776BBF3"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2B0522F6" w14:textId="511544F3"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hideMark/>
          </w:tcPr>
          <w:p w14:paraId="7F1AF1CF" w14:textId="38030FCB"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92" w:type="pct"/>
            <w:hideMark/>
          </w:tcPr>
          <w:p w14:paraId="47BB861D" w14:textId="31EC100B"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0014E061" w14:textId="3B2C6A05"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r>
      <w:tr w:rsidR="00C409C3" w:rsidRPr="001B6D0A" w14:paraId="6C536237" w14:textId="18903920" w:rsidTr="00C409C3">
        <w:tc>
          <w:tcPr>
            <w:tcW w:w="844" w:type="pct"/>
            <w:hideMark/>
          </w:tcPr>
          <w:p w14:paraId="177F9841"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2.3. pašvaldību budžets</w:t>
            </w:r>
          </w:p>
        </w:tc>
        <w:tc>
          <w:tcPr>
            <w:tcW w:w="528" w:type="pct"/>
            <w:hideMark/>
          </w:tcPr>
          <w:p w14:paraId="1500AB1D" w14:textId="3133907C"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55B14589" w14:textId="06F04738"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hideMark/>
          </w:tcPr>
          <w:p w14:paraId="0CC575FC" w14:textId="4AE8D3FC"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0E4BF687" w14:textId="61193D91"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hideMark/>
          </w:tcPr>
          <w:p w14:paraId="133D5271" w14:textId="205BC768"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92" w:type="pct"/>
            <w:hideMark/>
          </w:tcPr>
          <w:p w14:paraId="329071C6" w14:textId="7BFDB18D"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6A697FA9" w14:textId="4E916715"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r>
      <w:tr w:rsidR="00C409C3" w:rsidRPr="001B6D0A" w14:paraId="3BEAFA22" w14:textId="53B179F4" w:rsidTr="00C409C3">
        <w:tc>
          <w:tcPr>
            <w:tcW w:w="844" w:type="pct"/>
            <w:hideMark/>
          </w:tcPr>
          <w:p w14:paraId="55EBC06E"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3. Finansiālā ietekme</w:t>
            </w:r>
          </w:p>
        </w:tc>
        <w:tc>
          <w:tcPr>
            <w:tcW w:w="528" w:type="pct"/>
            <w:hideMark/>
          </w:tcPr>
          <w:p w14:paraId="50421DE4" w14:textId="2EF63E7B"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13819D2E" w14:textId="3E3F657B"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Nav precīzi aprēķināms</w:t>
            </w:r>
          </w:p>
        </w:tc>
        <w:tc>
          <w:tcPr>
            <w:tcW w:w="483" w:type="pct"/>
            <w:hideMark/>
          </w:tcPr>
          <w:p w14:paraId="6E77B005" w14:textId="7E572EB9"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00A8A682" w14:textId="215A68CE"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Nav precīzi aprēķināms</w:t>
            </w:r>
          </w:p>
        </w:tc>
        <w:tc>
          <w:tcPr>
            <w:tcW w:w="483" w:type="pct"/>
            <w:hideMark/>
          </w:tcPr>
          <w:p w14:paraId="610871E9" w14:textId="66D514BC"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92" w:type="pct"/>
            <w:hideMark/>
          </w:tcPr>
          <w:p w14:paraId="1C06E9B0" w14:textId="79483620"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Nav precīzi aprēķināms</w:t>
            </w:r>
          </w:p>
        </w:tc>
        <w:tc>
          <w:tcPr>
            <w:tcW w:w="657" w:type="pct"/>
            <w:hideMark/>
          </w:tcPr>
          <w:p w14:paraId="503FD569" w14:textId="695E2FDD"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Nav precīzi aprēķināms</w:t>
            </w:r>
          </w:p>
        </w:tc>
      </w:tr>
      <w:tr w:rsidR="00C409C3" w:rsidRPr="001B6D0A" w14:paraId="5102F10F" w14:textId="559E41CD" w:rsidTr="00C409C3">
        <w:tc>
          <w:tcPr>
            <w:tcW w:w="844" w:type="pct"/>
            <w:hideMark/>
          </w:tcPr>
          <w:p w14:paraId="408AADCA"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3.1. valsts pamatbudžets</w:t>
            </w:r>
          </w:p>
        </w:tc>
        <w:tc>
          <w:tcPr>
            <w:tcW w:w="528" w:type="pct"/>
            <w:hideMark/>
          </w:tcPr>
          <w:p w14:paraId="2339E425" w14:textId="37C7C575"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7EF21709" w14:textId="66F7B718"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Nav precīzi aprēķināms</w:t>
            </w:r>
          </w:p>
        </w:tc>
        <w:tc>
          <w:tcPr>
            <w:tcW w:w="483" w:type="pct"/>
            <w:hideMark/>
          </w:tcPr>
          <w:p w14:paraId="286AABEF" w14:textId="49F3EDFD"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1F52A673" w14:textId="296141EB"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Nav precīzi aprēķināms</w:t>
            </w:r>
          </w:p>
        </w:tc>
        <w:tc>
          <w:tcPr>
            <w:tcW w:w="483" w:type="pct"/>
            <w:hideMark/>
          </w:tcPr>
          <w:p w14:paraId="40C84D37" w14:textId="7FDF39D9"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92" w:type="pct"/>
            <w:hideMark/>
          </w:tcPr>
          <w:p w14:paraId="5F46FCBD" w14:textId="64D21D29"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Nav precīzi aprēķināms</w:t>
            </w:r>
          </w:p>
        </w:tc>
        <w:tc>
          <w:tcPr>
            <w:tcW w:w="657" w:type="pct"/>
            <w:hideMark/>
          </w:tcPr>
          <w:p w14:paraId="415ABC9F" w14:textId="32C273D1"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Nav precīzi aprēķināms</w:t>
            </w:r>
          </w:p>
        </w:tc>
      </w:tr>
      <w:tr w:rsidR="00C409C3" w:rsidRPr="001B6D0A" w14:paraId="2CAA10EC" w14:textId="03DBF371" w:rsidTr="00C409C3">
        <w:tc>
          <w:tcPr>
            <w:tcW w:w="844" w:type="pct"/>
            <w:hideMark/>
          </w:tcPr>
          <w:p w14:paraId="78E6A95B"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3.2. speciālais budžets</w:t>
            </w:r>
          </w:p>
        </w:tc>
        <w:tc>
          <w:tcPr>
            <w:tcW w:w="528" w:type="pct"/>
            <w:hideMark/>
          </w:tcPr>
          <w:p w14:paraId="43FC1141" w14:textId="59B7A5DE"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382EB491" w14:textId="32E7E8A0"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0 </w:t>
            </w:r>
          </w:p>
        </w:tc>
        <w:tc>
          <w:tcPr>
            <w:tcW w:w="483" w:type="pct"/>
            <w:hideMark/>
          </w:tcPr>
          <w:p w14:paraId="72D2033A" w14:textId="05D413E0"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7DD2BF21" w14:textId="340B325F"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hideMark/>
          </w:tcPr>
          <w:p w14:paraId="18FB46F5" w14:textId="2C98309E"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92" w:type="pct"/>
            <w:hideMark/>
          </w:tcPr>
          <w:p w14:paraId="7ADDE31E" w14:textId="658DE986"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2D5EE5FE" w14:textId="1044A880"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r>
      <w:tr w:rsidR="00C409C3" w:rsidRPr="001B6D0A" w14:paraId="53C79312" w14:textId="0F57D0C2" w:rsidTr="00C409C3">
        <w:tc>
          <w:tcPr>
            <w:tcW w:w="844" w:type="pct"/>
            <w:hideMark/>
          </w:tcPr>
          <w:p w14:paraId="13580ACC"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3.3. pašvaldību budžets</w:t>
            </w:r>
          </w:p>
        </w:tc>
        <w:tc>
          <w:tcPr>
            <w:tcW w:w="528" w:type="pct"/>
            <w:hideMark/>
          </w:tcPr>
          <w:p w14:paraId="33A2FE84" w14:textId="75630FA2"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0F0ACF98" w14:textId="350102C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hideMark/>
          </w:tcPr>
          <w:p w14:paraId="2CCAB231" w14:textId="02D462B0"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7722CF93" w14:textId="28DABDF9"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hideMark/>
          </w:tcPr>
          <w:p w14:paraId="0D822913" w14:textId="6AB6D099"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92" w:type="pct"/>
            <w:hideMark/>
          </w:tcPr>
          <w:p w14:paraId="556E7C51" w14:textId="026D77F2"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0AA41508" w14:textId="3C9F23C8"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r>
      <w:tr w:rsidR="00C409C3" w:rsidRPr="001B6D0A" w14:paraId="03DAA396" w14:textId="3BCB1293" w:rsidTr="00C409C3">
        <w:tc>
          <w:tcPr>
            <w:tcW w:w="844" w:type="pct"/>
            <w:hideMark/>
          </w:tcPr>
          <w:p w14:paraId="2A61F81A"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lastRenderedPageBreak/>
              <w:t>4. Finanšu līdzekļi papildu izdevumu finansēšanai (kompensējošu izdevumu samazinājumu norāda ar "+" zīmi)</w:t>
            </w:r>
          </w:p>
        </w:tc>
        <w:tc>
          <w:tcPr>
            <w:tcW w:w="528" w:type="pct"/>
            <w:hideMark/>
          </w:tcPr>
          <w:p w14:paraId="0B77B9C4"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X</w:t>
            </w:r>
          </w:p>
        </w:tc>
        <w:tc>
          <w:tcPr>
            <w:tcW w:w="657" w:type="pct"/>
            <w:hideMark/>
          </w:tcPr>
          <w:p w14:paraId="0B1E5026" w14:textId="0FF9B6EE" w:rsidR="00C409C3" w:rsidRPr="001B6D0A" w:rsidRDefault="00C409C3" w:rsidP="001B6D0A">
            <w:pPr>
              <w:contextualSpacing/>
              <w:jc w:val="center"/>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0</w:t>
            </w:r>
          </w:p>
        </w:tc>
        <w:tc>
          <w:tcPr>
            <w:tcW w:w="483" w:type="pct"/>
            <w:hideMark/>
          </w:tcPr>
          <w:p w14:paraId="24F58145"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X</w:t>
            </w:r>
          </w:p>
        </w:tc>
        <w:tc>
          <w:tcPr>
            <w:tcW w:w="657" w:type="pct"/>
            <w:hideMark/>
          </w:tcPr>
          <w:p w14:paraId="796D0822" w14:textId="5CFD2D06" w:rsidR="00C409C3" w:rsidRPr="001B6D0A" w:rsidRDefault="00C409C3" w:rsidP="001B6D0A">
            <w:pPr>
              <w:contextualSpacing/>
              <w:jc w:val="center"/>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0</w:t>
            </w:r>
          </w:p>
        </w:tc>
        <w:tc>
          <w:tcPr>
            <w:tcW w:w="483" w:type="pct"/>
            <w:hideMark/>
          </w:tcPr>
          <w:p w14:paraId="66DDF8E9"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X</w:t>
            </w:r>
          </w:p>
        </w:tc>
        <w:tc>
          <w:tcPr>
            <w:tcW w:w="692" w:type="pct"/>
            <w:hideMark/>
          </w:tcPr>
          <w:p w14:paraId="6CA2E686" w14:textId="77B534D0"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40728164" w14:textId="7DB81681"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r>
      <w:tr w:rsidR="00C409C3" w:rsidRPr="001B6D0A" w14:paraId="3788C3E1" w14:textId="6EF49170" w:rsidTr="00C409C3">
        <w:tc>
          <w:tcPr>
            <w:tcW w:w="844" w:type="pct"/>
            <w:hideMark/>
          </w:tcPr>
          <w:p w14:paraId="75C26531"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5. Precizēta finansiālā ietekme</w:t>
            </w:r>
          </w:p>
        </w:tc>
        <w:tc>
          <w:tcPr>
            <w:tcW w:w="528" w:type="pct"/>
            <w:vMerge w:val="restart"/>
            <w:hideMark/>
          </w:tcPr>
          <w:p w14:paraId="3DB0EF61"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p>
          <w:p w14:paraId="47DC2957"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p>
          <w:p w14:paraId="642AC4EC"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p>
          <w:p w14:paraId="57D1752A"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p>
          <w:p w14:paraId="1988A786"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p>
          <w:p w14:paraId="2A8F7C4C"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X</w:t>
            </w:r>
          </w:p>
        </w:tc>
        <w:tc>
          <w:tcPr>
            <w:tcW w:w="657" w:type="pct"/>
            <w:hideMark/>
          </w:tcPr>
          <w:p w14:paraId="5DA0476D" w14:textId="1A445850"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0</w:t>
            </w:r>
          </w:p>
        </w:tc>
        <w:tc>
          <w:tcPr>
            <w:tcW w:w="483" w:type="pct"/>
            <w:vMerge w:val="restart"/>
            <w:hideMark/>
          </w:tcPr>
          <w:p w14:paraId="68E0F5F0"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p>
          <w:p w14:paraId="1947F41F"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p>
          <w:p w14:paraId="786D0D5E"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p>
          <w:p w14:paraId="0AA6D3A0"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p>
          <w:p w14:paraId="3D1159FF"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p>
          <w:p w14:paraId="5DB6604E"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X</w:t>
            </w:r>
          </w:p>
        </w:tc>
        <w:tc>
          <w:tcPr>
            <w:tcW w:w="657" w:type="pct"/>
            <w:hideMark/>
          </w:tcPr>
          <w:p w14:paraId="389973EB" w14:textId="656F2A9B"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0</w:t>
            </w:r>
          </w:p>
        </w:tc>
        <w:tc>
          <w:tcPr>
            <w:tcW w:w="483" w:type="pct"/>
            <w:vMerge w:val="restart"/>
            <w:hideMark/>
          </w:tcPr>
          <w:p w14:paraId="7200C134"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p>
          <w:p w14:paraId="2200E8FF"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p>
          <w:p w14:paraId="17F730EB"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p>
          <w:p w14:paraId="011C5648"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p>
          <w:p w14:paraId="3726B065"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p>
          <w:p w14:paraId="6249DAEC" w14:textId="77777777" w:rsidR="00C409C3" w:rsidRPr="001B6D0A" w:rsidRDefault="00C409C3" w:rsidP="001B6D0A">
            <w:pPr>
              <w:contextualSpacing/>
              <w:jc w:val="center"/>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X</w:t>
            </w:r>
          </w:p>
        </w:tc>
        <w:tc>
          <w:tcPr>
            <w:tcW w:w="692" w:type="pct"/>
            <w:hideMark/>
          </w:tcPr>
          <w:p w14:paraId="466078EF" w14:textId="7D78DCE2"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7E0C438F" w14:textId="20BECB0E"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r>
      <w:tr w:rsidR="00C409C3" w:rsidRPr="001B6D0A" w14:paraId="1D6A3B37" w14:textId="39B5A0C1" w:rsidTr="00C409C3">
        <w:tc>
          <w:tcPr>
            <w:tcW w:w="844" w:type="pct"/>
            <w:hideMark/>
          </w:tcPr>
          <w:p w14:paraId="14CF5D31"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5.1. valsts pamatbudžets</w:t>
            </w:r>
          </w:p>
        </w:tc>
        <w:tc>
          <w:tcPr>
            <w:tcW w:w="528" w:type="pct"/>
            <w:vMerge/>
            <w:hideMark/>
          </w:tcPr>
          <w:p w14:paraId="7236DB18" w14:textId="77777777" w:rsidR="00C409C3" w:rsidRPr="001B6D0A" w:rsidRDefault="00C409C3" w:rsidP="001B6D0A">
            <w:pPr>
              <w:contextualSpacing/>
              <w:rPr>
                <w:rFonts w:ascii="Times New Roman" w:eastAsia="Times New Roman" w:hAnsi="Times New Roman" w:cs="Times New Roman"/>
                <w:iCs/>
                <w:sz w:val="24"/>
                <w:szCs w:val="24"/>
                <w:lang w:eastAsia="lv-LV"/>
              </w:rPr>
            </w:pPr>
          </w:p>
        </w:tc>
        <w:tc>
          <w:tcPr>
            <w:tcW w:w="657" w:type="pct"/>
            <w:hideMark/>
          </w:tcPr>
          <w:p w14:paraId="3D800DB2" w14:textId="4AFCBBDF"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vMerge/>
            <w:hideMark/>
          </w:tcPr>
          <w:p w14:paraId="749A47BE" w14:textId="77777777" w:rsidR="00C409C3" w:rsidRPr="001B6D0A" w:rsidRDefault="00C409C3" w:rsidP="001B6D0A">
            <w:pPr>
              <w:contextualSpacing/>
              <w:rPr>
                <w:rFonts w:ascii="Times New Roman" w:eastAsia="Times New Roman" w:hAnsi="Times New Roman" w:cs="Times New Roman"/>
                <w:iCs/>
                <w:sz w:val="24"/>
                <w:szCs w:val="24"/>
                <w:lang w:eastAsia="lv-LV"/>
              </w:rPr>
            </w:pPr>
          </w:p>
        </w:tc>
        <w:tc>
          <w:tcPr>
            <w:tcW w:w="657" w:type="pct"/>
            <w:hideMark/>
          </w:tcPr>
          <w:p w14:paraId="5DBF3B4F" w14:textId="74C27A8F"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vMerge/>
            <w:hideMark/>
          </w:tcPr>
          <w:p w14:paraId="0C532623" w14:textId="77777777" w:rsidR="00C409C3" w:rsidRPr="001B6D0A" w:rsidRDefault="00C409C3" w:rsidP="001B6D0A">
            <w:pPr>
              <w:contextualSpacing/>
              <w:rPr>
                <w:rFonts w:ascii="Times New Roman" w:eastAsia="Times New Roman" w:hAnsi="Times New Roman" w:cs="Times New Roman"/>
                <w:iCs/>
                <w:sz w:val="24"/>
                <w:szCs w:val="24"/>
                <w:lang w:eastAsia="lv-LV"/>
              </w:rPr>
            </w:pPr>
          </w:p>
        </w:tc>
        <w:tc>
          <w:tcPr>
            <w:tcW w:w="692" w:type="pct"/>
            <w:hideMark/>
          </w:tcPr>
          <w:p w14:paraId="6CEAB76C" w14:textId="5280A2CA"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038B989C" w14:textId="2BF1FCE5"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r>
      <w:tr w:rsidR="00C409C3" w:rsidRPr="001B6D0A" w14:paraId="58538FDD" w14:textId="6FD2DBCA" w:rsidTr="00C409C3">
        <w:tc>
          <w:tcPr>
            <w:tcW w:w="844" w:type="pct"/>
            <w:hideMark/>
          </w:tcPr>
          <w:p w14:paraId="0F6E7CB5"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5.2. speciālais budžets</w:t>
            </w:r>
          </w:p>
        </w:tc>
        <w:tc>
          <w:tcPr>
            <w:tcW w:w="528" w:type="pct"/>
            <w:vMerge/>
            <w:hideMark/>
          </w:tcPr>
          <w:p w14:paraId="1CB2E96C" w14:textId="77777777" w:rsidR="00C409C3" w:rsidRPr="001B6D0A" w:rsidRDefault="00C409C3" w:rsidP="001B6D0A">
            <w:pPr>
              <w:contextualSpacing/>
              <w:rPr>
                <w:rFonts w:ascii="Times New Roman" w:eastAsia="Times New Roman" w:hAnsi="Times New Roman" w:cs="Times New Roman"/>
                <w:iCs/>
                <w:sz w:val="24"/>
                <w:szCs w:val="24"/>
                <w:lang w:eastAsia="lv-LV"/>
              </w:rPr>
            </w:pPr>
          </w:p>
        </w:tc>
        <w:tc>
          <w:tcPr>
            <w:tcW w:w="657" w:type="pct"/>
            <w:hideMark/>
          </w:tcPr>
          <w:p w14:paraId="16B19A85" w14:textId="5CC02670"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vMerge/>
            <w:hideMark/>
          </w:tcPr>
          <w:p w14:paraId="3681A254" w14:textId="77777777" w:rsidR="00C409C3" w:rsidRPr="001B6D0A" w:rsidRDefault="00C409C3" w:rsidP="001B6D0A">
            <w:pPr>
              <w:contextualSpacing/>
              <w:rPr>
                <w:rFonts w:ascii="Times New Roman" w:eastAsia="Times New Roman" w:hAnsi="Times New Roman" w:cs="Times New Roman"/>
                <w:iCs/>
                <w:sz w:val="24"/>
                <w:szCs w:val="24"/>
                <w:lang w:eastAsia="lv-LV"/>
              </w:rPr>
            </w:pPr>
          </w:p>
        </w:tc>
        <w:tc>
          <w:tcPr>
            <w:tcW w:w="657" w:type="pct"/>
            <w:hideMark/>
          </w:tcPr>
          <w:p w14:paraId="263D4B55" w14:textId="63E4C29F"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vMerge/>
            <w:hideMark/>
          </w:tcPr>
          <w:p w14:paraId="187FB50D" w14:textId="77777777" w:rsidR="00C409C3" w:rsidRPr="001B6D0A" w:rsidRDefault="00C409C3" w:rsidP="001B6D0A">
            <w:pPr>
              <w:contextualSpacing/>
              <w:rPr>
                <w:rFonts w:ascii="Times New Roman" w:eastAsia="Times New Roman" w:hAnsi="Times New Roman" w:cs="Times New Roman"/>
                <w:iCs/>
                <w:sz w:val="24"/>
                <w:szCs w:val="24"/>
                <w:lang w:eastAsia="lv-LV"/>
              </w:rPr>
            </w:pPr>
          </w:p>
        </w:tc>
        <w:tc>
          <w:tcPr>
            <w:tcW w:w="692" w:type="pct"/>
            <w:hideMark/>
          </w:tcPr>
          <w:p w14:paraId="76517DE6" w14:textId="7D7FAB0A"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2F57DA04" w14:textId="25D19446"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r>
      <w:tr w:rsidR="00C409C3" w:rsidRPr="001B6D0A" w14:paraId="35A5F9B3" w14:textId="411A49E6" w:rsidTr="00C409C3">
        <w:tc>
          <w:tcPr>
            <w:tcW w:w="844" w:type="pct"/>
            <w:hideMark/>
          </w:tcPr>
          <w:p w14:paraId="18C2E4E8"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5.3. pašvaldību budžets</w:t>
            </w:r>
          </w:p>
        </w:tc>
        <w:tc>
          <w:tcPr>
            <w:tcW w:w="528" w:type="pct"/>
            <w:vMerge/>
            <w:hideMark/>
          </w:tcPr>
          <w:p w14:paraId="07D46709" w14:textId="77777777" w:rsidR="00C409C3" w:rsidRPr="001B6D0A" w:rsidRDefault="00C409C3" w:rsidP="001B6D0A">
            <w:pPr>
              <w:contextualSpacing/>
              <w:rPr>
                <w:rFonts w:ascii="Times New Roman" w:eastAsia="Times New Roman" w:hAnsi="Times New Roman" w:cs="Times New Roman"/>
                <w:iCs/>
                <w:sz w:val="24"/>
                <w:szCs w:val="24"/>
                <w:lang w:eastAsia="lv-LV"/>
              </w:rPr>
            </w:pPr>
          </w:p>
        </w:tc>
        <w:tc>
          <w:tcPr>
            <w:tcW w:w="657" w:type="pct"/>
            <w:hideMark/>
          </w:tcPr>
          <w:p w14:paraId="7A817412" w14:textId="528F7B04"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vMerge/>
            <w:hideMark/>
          </w:tcPr>
          <w:p w14:paraId="534ED265" w14:textId="77777777" w:rsidR="00C409C3" w:rsidRPr="001B6D0A" w:rsidRDefault="00C409C3" w:rsidP="001B6D0A">
            <w:pPr>
              <w:contextualSpacing/>
              <w:rPr>
                <w:rFonts w:ascii="Times New Roman" w:eastAsia="Times New Roman" w:hAnsi="Times New Roman" w:cs="Times New Roman"/>
                <w:iCs/>
                <w:sz w:val="24"/>
                <w:szCs w:val="24"/>
                <w:lang w:eastAsia="lv-LV"/>
              </w:rPr>
            </w:pPr>
          </w:p>
        </w:tc>
        <w:tc>
          <w:tcPr>
            <w:tcW w:w="657" w:type="pct"/>
            <w:hideMark/>
          </w:tcPr>
          <w:p w14:paraId="11EA5046" w14:textId="5A0B4592"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483" w:type="pct"/>
            <w:vMerge/>
            <w:hideMark/>
          </w:tcPr>
          <w:p w14:paraId="65165044" w14:textId="77777777" w:rsidR="00C409C3" w:rsidRPr="001B6D0A" w:rsidRDefault="00C409C3" w:rsidP="001B6D0A">
            <w:pPr>
              <w:contextualSpacing/>
              <w:rPr>
                <w:rFonts w:ascii="Times New Roman" w:eastAsia="Times New Roman" w:hAnsi="Times New Roman" w:cs="Times New Roman"/>
                <w:iCs/>
                <w:sz w:val="24"/>
                <w:szCs w:val="24"/>
                <w:lang w:eastAsia="lv-LV"/>
              </w:rPr>
            </w:pPr>
          </w:p>
        </w:tc>
        <w:tc>
          <w:tcPr>
            <w:tcW w:w="692" w:type="pct"/>
            <w:hideMark/>
          </w:tcPr>
          <w:p w14:paraId="24121B71" w14:textId="7431FBCC"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c>
          <w:tcPr>
            <w:tcW w:w="657" w:type="pct"/>
            <w:hideMark/>
          </w:tcPr>
          <w:p w14:paraId="65B3969D" w14:textId="3C95AE0E"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0</w:t>
            </w:r>
          </w:p>
        </w:tc>
      </w:tr>
      <w:tr w:rsidR="00C409C3" w:rsidRPr="001B6D0A" w14:paraId="47E1BE91" w14:textId="7FF43A2D" w:rsidTr="00C409C3">
        <w:tc>
          <w:tcPr>
            <w:tcW w:w="844" w:type="pct"/>
            <w:hideMark/>
          </w:tcPr>
          <w:p w14:paraId="3B691AC0"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56" w:type="pct"/>
            <w:gridSpan w:val="7"/>
            <w:vMerge w:val="restart"/>
            <w:hideMark/>
          </w:tcPr>
          <w:p w14:paraId="4A33FF9B" w14:textId="43678C9A" w:rsidR="00C409C3" w:rsidRPr="001B6D0A" w:rsidRDefault="00C409C3" w:rsidP="001B6D0A">
            <w:pPr>
              <w:contextualSpacing/>
              <w:jc w:val="both"/>
              <w:rPr>
                <w:rFonts w:ascii="Times New Roman" w:eastAsia="Times New Roman" w:hAnsi="Times New Roman" w:cs="Times New Roman"/>
                <w:iCs/>
                <w:sz w:val="24"/>
                <w:szCs w:val="24"/>
                <w:lang w:eastAsia="lv-LV"/>
              </w:rPr>
            </w:pPr>
          </w:p>
        </w:tc>
      </w:tr>
      <w:tr w:rsidR="00C409C3" w:rsidRPr="001B6D0A" w14:paraId="1780836B" w14:textId="6A82E97D" w:rsidTr="00C409C3">
        <w:tc>
          <w:tcPr>
            <w:tcW w:w="844" w:type="pct"/>
            <w:hideMark/>
          </w:tcPr>
          <w:p w14:paraId="3A5891AD"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6.1. detalizēts ieņēmumu aprēķins</w:t>
            </w:r>
          </w:p>
        </w:tc>
        <w:tc>
          <w:tcPr>
            <w:tcW w:w="4156" w:type="pct"/>
            <w:gridSpan w:val="7"/>
            <w:vMerge/>
            <w:hideMark/>
          </w:tcPr>
          <w:p w14:paraId="72D95AE2" w14:textId="77777777" w:rsidR="00C409C3" w:rsidRPr="001B6D0A" w:rsidRDefault="00C409C3" w:rsidP="001B6D0A">
            <w:pPr>
              <w:contextualSpacing/>
              <w:rPr>
                <w:rFonts w:ascii="Times New Roman" w:eastAsia="Times New Roman" w:hAnsi="Times New Roman" w:cs="Times New Roman"/>
                <w:iCs/>
                <w:sz w:val="24"/>
                <w:szCs w:val="24"/>
                <w:lang w:eastAsia="lv-LV"/>
              </w:rPr>
            </w:pPr>
          </w:p>
        </w:tc>
      </w:tr>
      <w:tr w:rsidR="00C409C3" w:rsidRPr="001B6D0A" w14:paraId="0BB78424" w14:textId="462A7C03" w:rsidTr="00C409C3">
        <w:tc>
          <w:tcPr>
            <w:tcW w:w="844" w:type="pct"/>
            <w:hideMark/>
          </w:tcPr>
          <w:p w14:paraId="383E6854"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6.2. detalizēts izdevumu aprēķins</w:t>
            </w:r>
          </w:p>
        </w:tc>
        <w:tc>
          <w:tcPr>
            <w:tcW w:w="4156" w:type="pct"/>
            <w:gridSpan w:val="7"/>
            <w:vMerge/>
            <w:hideMark/>
          </w:tcPr>
          <w:p w14:paraId="4D352ACB" w14:textId="77777777" w:rsidR="00C409C3" w:rsidRPr="001B6D0A" w:rsidRDefault="00C409C3" w:rsidP="001B6D0A">
            <w:pPr>
              <w:contextualSpacing/>
              <w:rPr>
                <w:rFonts w:ascii="Times New Roman" w:eastAsia="Times New Roman" w:hAnsi="Times New Roman" w:cs="Times New Roman"/>
                <w:iCs/>
                <w:sz w:val="24"/>
                <w:szCs w:val="24"/>
                <w:lang w:eastAsia="lv-LV"/>
              </w:rPr>
            </w:pPr>
          </w:p>
        </w:tc>
      </w:tr>
      <w:tr w:rsidR="00C409C3" w:rsidRPr="001B6D0A" w14:paraId="239BA834" w14:textId="63033F4F" w:rsidTr="00C409C3">
        <w:tc>
          <w:tcPr>
            <w:tcW w:w="844" w:type="pct"/>
            <w:hideMark/>
          </w:tcPr>
          <w:p w14:paraId="1A551D1E"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7. Amata vietu skaita izmaiņas</w:t>
            </w:r>
          </w:p>
        </w:tc>
        <w:tc>
          <w:tcPr>
            <w:tcW w:w="4156" w:type="pct"/>
            <w:gridSpan w:val="7"/>
            <w:hideMark/>
          </w:tcPr>
          <w:p w14:paraId="4E4AB8AD" w14:textId="289249C6"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Projekts šo jomu neskar</w:t>
            </w:r>
          </w:p>
        </w:tc>
      </w:tr>
      <w:tr w:rsidR="00C409C3" w:rsidRPr="001B6D0A" w14:paraId="4A1C9ECA" w14:textId="454558E5" w:rsidTr="00C409C3">
        <w:tc>
          <w:tcPr>
            <w:tcW w:w="844" w:type="pct"/>
            <w:hideMark/>
          </w:tcPr>
          <w:p w14:paraId="2590A730" w14:textId="77777777" w:rsidR="00C409C3" w:rsidRPr="001B6D0A" w:rsidRDefault="00C409C3"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8. Cita informācija</w:t>
            </w:r>
          </w:p>
        </w:tc>
        <w:tc>
          <w:tcPr>
            <w:tcW w:w="4156" w:type="pct"/>
            <w:gridSpan w:val="7"/>
            <w:hideMark/>
          </w:tcPr>
          <w:p w14:paraId="5C771463" w14:textId="77777777" w:rsidR="002E10E1" w:rsidRPr="004A4195" w:rsidRDefault="002E10E1" w:rsidP="004A4195">
            <w:pPr>
              <w:jc w:val="both"/>
              <w:rPr>
                <w:rFonts w:ascii="Times New Roman" w:hAnsi="Times New Roman" w:cs="Times New Roman"/>
                <w:sz w:val="24"/>
                <w:szCs w:val="24"/>
              </w:rPr>
            </w:pPr>
            <w:r w:rsidRPr="004A4195">
              <w:rPr>
                <w:rFonts w:ascii="Times New Roman" w:hAnsi="Times New Roman" w:cs="Times New Roman"/>
                <w:sz w:val="24"/>
                <w:szCs w:val="24"/>
              </w:rPr>
              <w:t>Valsts budžetam var rasties ieņēmumi no piemērotajām sankcijām:</w:t>
            </w:r>
          </w:p>
          <w:p w14:paraId="5F55F00E" w14:textId="77777777" w:rsidR="002E10E1" w:rsidRPr="004A4195" w:rsidRDefault="002E10E1" w:rsidP="004A4195">
            <w:pPr>
              <w:pStyle w:val="ListParagraph"/>
              <w:numPr>
                <w:ilvl w:val="0"/>
                <w:numId w:val="2"/>
              </w:numPr>
              <w:jc w:val="both"/>
              <w:rPr>
                <w:rFonts w:ascii="Times New Roman" w:eastAsia="Times New Roman" w:hAnsi="Times New Roman" w:cs="Times New Roman"/>
                <w:b/>
                <w:bCs/>
                <w:sz w:val="24"/>
                <w:szCs w:val="24"/>
              </w:rPr>
            </w:pPr>
            <w:r w:rsidRPr="004A4195">
              <w:rPr>
                <w:rFonts w:ascii="Times New Roman" w:eastAsia="Times New Roman" w:hAnsi="Times New Roman" w:cs="Times New Roman"/>
                <w:b/>
                <w:bCs/>
                <w:sz w:val="24"/>
                <w:szCs w:val="24"/>
              </w:rPr>
              <w:t xml:space="preserve">Lielajiem komersantiem, kuri nepilda Likuma 10.panta (5) daļas prasības. </w:t>
            </w:r>
            <w:r w:rsidRPr="004A4195">
              <w:rPr>
                <w:rFonts w:ascii="Times New Roman" w:eastAsia="Times New Roman" w:hAnsi="Times New Roman" w:cs="Times New Roman"/>
                <w:sz w:val="24"/>
                <w:szCs w:val="24"/>
              </w:rPr>
              <w:t xml:space="preserve">Prakse parāda, ka komersanti, kuri atbilst lielā uzņēmuma statusam pēc 2016.gada datiem, 95% gadījumu savlaicīgi pilda Likumā noteikto prasību par obligāta, regulāra </w:t>
            </w:r>
            <w:proofErr w:type="spellStart"/>
            <w:r w:rsidRPr="004A4195">
              <w:rPr>
                <w:rFonts w:ascii="Times New Roman" w:eastAsia="Times New Roman" w:hAnsi="Times New Roman" w:cs="Times New Roman"/>
                <w:sz w:val="24"/>
                <w:szCs w:val="24"/>
              </w:rPr>
              <w:t>energoaudita</w:t>
            </w:r>
            <w:proofErr w:type="spellEnd"/>
            <w:r w:rsidRPr="004A4195">
              <w:rPr>
                <w:rFonts w:ascii="Times New Roman" w:eastAsia="Times New Roman" w:hAnsi="Times New Roman" w:cs="Times New Roman"/>
                <w:sz w:val="24"/>
                <w:szCs w:val="24"/>
              </w:rPr>
              <w:t xml:space="preserve"> veikšanu. Šobrīd nav indikāciju par to, kāds skaits lielo uzņēmumu </w:t>
            </w:r>
            <w:r w:rsidRPr="004A4195">
              <w:rPr>
                <w:rFonts w:ascii="Times New Roman" w:eastAsia="Times New Roman" w:hAnsi="Times New Roman" w:cs="Times New Roman"/>
                <w:sz w:val="24"/>
                <w:szCs w:val="24"/>
              </w:rPr>
              <w:lastRenderedPageBreak/>
              <w:t xml:space="preserve">turpmāk nepildīs minētās prasības, tomēr EM sagaida, ka Likuma prasību izpildes % būs augsts;  </w:t>
            </w:r>
          </w:p>
          <w:p w14:paraId="7EE73DF8" w14:textId="77777777" w:rsidR="002E10E1" w:rsidRPr="004A4195" w:rsidRDefault="002E10E1" w:rsidP="004A4195">
            <w:pPr>
              <w:pStyle w:val="ListParagraph"/>
              <w:numPr>
                <w:ilvl w:val="0"/>
                <w:numId w:val="2"/>
              </w:numPr>
              <w:jc w:val="both"/>
              <w:rPr>
                <w:rFonts w:ascii="Times New Roman" w:eastAsia="Times New Roman" w:hAnsi="Times New Roman" w:cs="Times New Roman"/>
                <w:sz w:val="24"/>
                <w:szCs w:val="24"/>
              </w:rPr>
            </w:pPr>
            <w:r w:rsidRPr="004A4195">
              <w:rPr>
                <w:rFonts w:ascii="Times New Roman" w:eastAsia="Times New Roman" w:hAnsi="Times New Roman" w:cs="Times New Roman"/>
                <w:b/>
                <w:bCs/>
                <w:sz w:val="24"/>
                <w:szCs w:val="24"/>
              </w:rPr>
              <w:t>EPS atbildīgajām pusēm – elektroenerģijas tirgotājiem kuri nebūs izstrādājuši energoefektivitātes uzlabošanas pasākumu plānu un to iesnieguši atbildīgajā ministrijā.</w:t>
            </w:r>
            <w:r w:rsidRPr="004A4195">
              <w:rPr>
                <w:rFonts w:ascii="Times New Roman" w:eastAsia="Times New Roman" w:hAnsi="Times New Roman" w:cs="Times New Roman"/>
                <w:sz w:val="24"/>
                <w:szCs w:val="24"/>
              </w:rPr>
              <w:t xml:space="preserve"> Līdz šim vairāki elektroenerģijas tirgotāji, kuri atbilda EPS atbildīgās puses kritērijiem minētos plānus nav izstrādājuši un iesnieguši. Līdz ar to pēc Likuma grozījumu stāšanās spēkā EM būs jāpieņem lēmums par pienākumu atbildīgajai pusei nodrošināt minēto prasību izpildi. Tomēr šobrīd nav iespējams prognozēt, vai un cik elektroenerģijas tirgotāju varētu nepildīt EM lēmumu par likumā noteikto prasību izpildi. </w:t>
            </w:r>
          </w:p>
          <w:p w14:paraId="4F36448F" w14:textId="56978ECF" w:rsidR="002E10E1" w:rsidRDefault="002E10E1" w:rsidP="004A4195">
            <w:pPr>
              <w:widowControl w:val="0"/>
              <w:jc w:val="both"/>
              <w:rPr>
                <w:rFonts w:ascii="Times New Roman" w:hAnsi="Times New Roman" w:cs="Times New Roman"/>
                <w:sz w:val="24"/>
                <w:szCs w:val="24"/>
              </w:rPr>
            </w:pPr>
            <w:r>
              <w:rPr>
                <w:rFonts w:ascii="Times New Roman" w:hAnsi="Times New Roman" w:cs="Times New Roman"/>
                <w:sz w:val="24"/>
                <w:szCs w:val="24"/>
              </w:rPr>
              <w:t xml:space="preserve">Ņemot vērā minēto, EM nevar prognozēt cik lieli būs ieņēmumi valsts budžetā no </w:t>
            </w:r>
            <w:r w:rsidRPr="003B2632">
              <w:rPr>
                <w:rFonts w:ascii="Times New Roman" w:hAnsi="Times New Roman" w:cs="Times New Roman"/>
                <w:sz w:val="24"/>
                <w:szCs w:val="24"/>
              </w:rPr>
              <w:t>APL 370.panta trešajā daļā noteikt</w:t>
            </w:r>
            <w:r>
              <w:rPr>
                <w:rFonts w:ascii="Times New Roman" w:hAnsi="Times New Roman" w:cs="Times New Roman"/>
                <w:sz w:val="24"/>
                <w:szCs w:val="24"/>
              </w:rPr>
              <w:t xml:space="preserve">ās piespiedu naudas iekasēšanas - </w:t>
            </w:r>
            <w:r w:rsidRPr="003B2632">
              <w:rPr>
                <w:rFonts w:ascii="Times New Roman" w:hAnsi="Times New Roman" w:cs="Times New Roman"/>
                <w:sz w:val="24"/>
                <w:szCs w:val="24"/>
              </w:rPr>
              <w:t>minimālā piespiedu nauda ir 50 </w:t>
            </w:r>
            <w:proofErr w:type="spellStart"/>
            <w:r w:rsidRPr="003B2632">
              <w:rPr>
                <w:rFonts w:ascii="Times New Roman" w:hAnsi="Times New Roman" w:cs="Times New Roman"/>
                <w:i/>
                <w:iCs/>
                <w:sz w:val="24"/>
                <w:szCs w:val="24"/>
              </w:rPr>
              <w:t>euro</w:t>
            </w:r>
            <w:proofErr w:type="spellEnd"/>
            <w:r w:rsidRPr="003B2632">
              <w:rPr>
                <w:rFonts w:ascii="Times New Roman" w:hAnsi="Times New Roman" w:cs="Times New Roman"/>
                <w:sz w:val="24"/>
                <w:szCs w:val="24"/>
              </w:rPr>
              <w:t xml:space="preserve">, bet </w:t>
            </w:r>
            <w:r>
              <w:rPr>
                <w:rFonts w:ascii="Times New Roman" w:hAnsi="Times New Roman" w:cs="Times New Roman"/>
                <w:sz w:val="24"/>
                <w:szCs w:val="24"/>
              </w:rPr>
              <w:t xml:space="preserve">maksimālā </w:t>
            </w:r>
            <w:r w:rsidRPr="003B2632">
              <w:rPr>
                <w:rFonts w:ascii="Times New Roman" w:hAnsi="Times New Roman" w:cs="Times New Roman"/>
                <w:sz w:val="24"/>
                <w:szCs w:val="24"/>
              </w:rPr>
              <w:t>juridiskajai personai — 10 000 </w:t>
            </w:r>
            <w:proofErr w:type="spellStart"/>
            <w:r w:rsidRPr="003B2632">
              <w:rPr>
                <w:rFonts w:ascii="Times New Roman" w:hAnsi="Times New Roman" w:cs="Times New Roman"/>
                <w:i/>
                <w:iCs/>
                <w:sz w:val="24"/>
                <w:szCs w:val="24"/>
              </w:rPr>
              <w:t>euro</w:t>
            </w:r>
            <w:proofErr w:type="spellEnd"/>
            <w:r w:rsidRPr="003B2632">
              <w:rPr>
                <w:rFonts w:ascii="Times New Roman" w:hAnsi="Times New Roman" w:cs="Times New Roman"/>
                <w:sz w:val="24"/>
                <w:szCs w:val="24"/>
              </w:rPr>
              <w:t xml:space="preserve">. </w:t>
            </w:r>
          </w:p>
          <w:p w14:paraId="396A9D2D" w14:textId="42EB6B10" w:rsidR="00C409C3" w:rsidRPr="001B6D0A" w:rsidRDefault="00C409C3" w:rsidP="001B6D0A">
            <w:pPr>
              <w:contextualSpacing/>
              <w:rPr>
                <w:rFonts w:ascii="Times New Roman" w:eastAsia="Times New Roman" w:hAnsi="Times New Roman" w:cs="Times New Roman"/>
                <w:iCs/>
                <w:sz w:val="24"/>
                <w:szCs w:val="24"/>
                <w:lang w:eastAsia="lv-LV"/>
              </w:rPr>
            </w:pPr>
          </w:p>
        </w:tc>
      </w:tr>
    </w:tbl>
    <w:p w14:paraId="4704843F" w14:textId="77777777" w:rsidR="00B80599" w:rsidRPr="001B6D0A" w:rsidRDefault="00B80599" w:rsidP="001B6D0A">
      <w:pPr>
        <w:shd w:val="clear" w:color="auto" w:fill="FFFFFF"/>
        <w:spacing w:after="0" w:line="240" w:lineRule="auto"/>
        <w:contextualSpacing/>
        <w:rPr>
          <w:rFonts w:ascii="Times New Roman" w:eastAsia="Times New Roman" w:hAnsi="Times New Roman" w:cs="Times New Roman"/>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061"/>
      </w:tblGrid>
      <w:tr w:rsidR="00820311" w:rsidRPr="001B6D0A" w14:paraId="10734B15" w14:textId="77777777" w:rsidTr="00437885">
        <w:trPr>
          <w:trHeight w:val="360"/>
          <w:jc w:val="center"/>
        </w:trPr>
        <w:tc>
          <w:tcPr>
            <w:tcW w:w="0" w:type="auto"/>
            <w:vAlign w:val="center"/>
            <w:hideMark/>
          </w:tcPr>
          <w:p w14:paraId="57AFDB0C" w14:textId="77777777" w:rsidR="00894C55" w:rsidRPr="001B6D0A" w:rsidRDefault="00894C55" w:rsidP="001B6D0A">
            <w:pPr>
              <w:spacing w:after="0" w:line="240" w:lineRule="auto"/>
              <w:contextualSpacing/>
              <w:jc w:val="center"/>
              <w:rPr>
                <w:rFonts w:ascii="Times New Roman" w:eastAsia="Times New Roman" w:hAnsi="Times New Roman" w:cs="Times New Roman"/>
                <w:b/>
                <w:bCs/>
                <w:sz w:val="24"/>
                <w:szCs w:val="24"/>
                <w:lang w:eastAsia="lv-LV"/>
              </w:rPr>
            </w:pPr>
            <w:r w:rsidRPr="001B6D0A">
              <w:rPr>
                <w:rFonts w:ascii="Times New Roman" w:eastAsia="Times New Roman" w:hAnsi="Times New Roman" w:cs="Times New Roman"/>
                <w:b/>
                <w:bCs/>
                <w:sz w:val="24"/>
                <w:szCs w:val="24"/>
                <w:lang w:eastAsia="lv-LV"/>
              </w:rPr>
              <w:t>IV.</w:t>
            </w:r>
            <w:r w:rsidR="00BD4425" w:rsidRPr="001B6D0A">
              <w:rPr>
                <w:rFonts w:ascii="Times New Roman" w:eastAsia="Times New Roman" w:hAnsi="Times New Roman" w:cs="Times New Roman"/>
                <w:b/>
                <w:bCs/>
                <w:sz w:val="24"/>
                <w:szCs w:val="24"/>
                <w:lang w:eastAsia="lv-LV"/>
              </w:rPr>
              <w:t> </w:t>
            </w:r>
            <w:r w:rsidRPr="001B6D0A">
              <w:rPr>
                <w:rFonts w:ascii="Times New Roman" w:eastAsia="Times New Roman" w:hAnsi="Times New Roman" w:cs="Times New Roman"/>
                <w:b/>
                <w:bCs/>
                <w:sz w:val="24"/>
                <w:szCs w:val="24"/>
                <w:lang w:eastAsia="lv-LV"/>
              </w:rPr>
              <w:t>Tiesību akta projekta ietekme uz spēkā esošo tiesību normu sistēmu</w:t>
            </w:r>
          </w:p>
        </w:tc>
      </w:tr>
      <w:tr w:rsidR="003B5C4B" w:rsidRPr="001B6D0A" w14:paraId="46EDC0FE" w14:textId="77777777" w:rsidTr="00437885">
        <w:tblPrEx>
          <w:jc w:val="left"/>
        </w:tblPrEx>
        <w:tc>
          <w:tcPr>
            <w:tcW w:w="0" w:type="auto"/>
            <w:vAlign w:val="center"/>
          </w:tcPr>
          <w:p w14:paraId="32141170" w14:textId="77777777" w:rsidR="003B5C4B" w:rsidRPr="001B6D0A" w:rsidRDefault="003B5C4B" w:rsidP="001B6D0A">
            <w:pPr>
              <w:spacing w:after="0" w:line="240" w:lineRule="auto"/>
              <w:contextualSpacing/>
              <w:jc w:val="center"/>
              <w:rPr>
                <w:rFonts w:ascii="Times New Roman" w:eastAsia="Times New Roman" w:hAnsi="Times New Roman" w:cs="Times New Roman"/>
                <w:bCs/>
                <w:sz w:val="24"/>
                <w:szCs w:val="24"/>
                <w:lang w:eastAsia="lv-LV"/>
              </w:rPr>
            </w:pPr>
            <w:r w:rsidRPr="001B6D0A">
              <w:rPr>
                <w:rFonts w:ascii="Times New Roman" w:eastAsia="Times New Roman" w:hAnsi="Times New Roman" w:cs="Times New Roman"/>
                <w:bCs/>
                <w:sz w:val="24"/>
                <w:szCs w:val="24"/>
                <w:lang w:eastAsia="lv-LV"/>
              </w:rPr>
              <w:t>Projekts šo jomu neskar</w:t>
            </w:r>
          </w:p>
        </w:tc>
      </w:tr>
    </w:tbl>
    <w:p w14:paraId="2A1198CE" w14:textId="66E5552B" w:rsidR="00894C55" w:rsidRPr="001B6D0A" w:rsidRDefault="00894C55" w:rsidP="001B6D0A">
      <w:pPr>
        <w:shd w:val="clear" w:color="auto" w:fill="FFFFFF"/>
        <w:spacing w:after="0" w:line="240" w:lineRule="auto"/>
        <w:contextualSpacing/>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36"/>
        <w:gridCol w:w="3041"/>
        <w:gridCol w:w="5484"/>
      </w:tblGrid>
      <w:tr w:rsidR="00820311" w:rsidRPr="001B6D0A" w14:paraId="305B5797" w14:textId="77777777" w:rsidTr="00C409C3">
        <w:tc>
          <w:tcPr>
            <w:tcW w:w="4967" w:type="pct"/>
            <w:gridSpan w:val="3"/>
          </w:tcPr>
          <w:p w14:paraId="453228FD" w14:textId="3C03699D" w:rsidR="00693FBD" w:rsidRPr="001B6D0A" w:rsidRDefault="00693FBD" w:rsidP="001B6D0A">
            <w:pPr>
              <w:contextualSpacing/>
              <w:jc w:val="center"/>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b/>
                <w:bCs/>
                <w:sz w:val="24"/>
                <w:szCs w:val="24"/>
                <w:lang w:eastAsia="lv-LV"/>
              </w:rPr>
              <w:t>V. Tiesību akta projekta atbilstība Latvijas Republikas starptautiskajām saistībām</w:t>
            </w:r>
          </w:p>
        </w:tc>
      </w:tr>
      <w:tr w:rsidR="00820311" w:rsidRPr="001B6D0A" w14:paraId="0C5D4416" w14:textId="77777777" w:rsidTr="00C409C3">
        <w:tc>
          <w:tcPr>
            <w:tcW w:w="294" w:type="pct"/>
          </w:tcPr>
          <w:p w14:paraId="3AB07AD4" w14:textId="443BD814" w:rsidR="00693FBD" w:rsidRPr="001B6D0A" w:rsidRDefault="00693FBD"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1.</w:t>
            </w:r>
          </w:p>
        </w:tc>
        <w:tc>
          <w:tcPr>
            <w:tcW w:w="1667" w:type="pct"/>
          </w:tcPr>
          <w:p w14:paraId="1F64E458" w14:textId="46DD4CE9" w:rsidR="00693FBD" w:rsidRPr="001B6D0A" w:rsidRDefault="00693FBD"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Saistības pret Eiropas Savienību</w:t>
            </w:r>
          </w:p>
        </w:tc>
        <w:tc>
          <w:tcPr>
            <w:tcW w:w="2974" w:type="pct"/>
          </w:tcPr>
          <w:p w14:paraId="7C98C8D3" w14:textId="47EC696D" w:rsidR="00693FBD" w:rsidRPr="001B6D0A" w:rsidRDefault="00693FBD" w:rsidP="001B6D0A">
            <w:pPr>
              <w:contextualSpacing/>
              <w:jc w:val="both"/>
              <w:rPr>
                <w:rFonts w:ascii="Times New Roman" w:hAnsi="Times New Roman" w:cs="Times New Roman"/>
                <w:sz w:val="24"/>
                <w:szCs w:val="24"/>
                <w:shd w:val="clear" w:color="auto" w:fill="FFFFFF"/>
              </w:rPr>
            </w:pPr>
            <w:r w:rsidRPr="001B6D0A">
              <w:rPr>
                <w:rFonts w:ascii="Times New Roman" w:hAnsi="Times New Roman" w:cs="Times New Roman"/>
                <w:sz w:val="24"/>
                <w:szCs w:val="24"/>
                <w:shd w:val="clear" w:color="auto" w:fill="FFFFFF"/>
              </w:rPr>
              <w:t>Likumprojekta nepieciešamību nosaka</w:t>
            </w:r>
            <w:r w:rsidR="009E5339" w:rsidRPr="001B6D0A">
              <w:rPr>
                <w:rFonts w:ascii="Times New Roman" w:hAnsi="Times New Roman" w:cs="Times New Roman"/>
                <w:sz w:val="24"/>
                <w:szCs w:val="24"/>
                <w:shd w:val="clear" w:color="auto" w:fill="FFFFFF"/>
              </w:rPr>
              <w:t xml:space="preserve"> </w:t>
            </w:r>
            <w:r w:rsidRPr="001B6D0A">
              <w:rPr>
                <w:rFonts w:ascii="Times New Roman" w:hAnsi="Times New Roman" w:cs="Times New Roman"/>
                <w:sz w:val="24"/>
                <w:szCs w:val="24"/>
                <w:shd w:val="clear" w:color="auto" w:fill="FFFFFF"/>
              </w:rPr>
              <w:t>Direktīvas 2012/27/ES 28. panta 1. punkts, kurā paredzēts, ka normatīvajiem un administratīvajiem aktiem, kas vajadzīgi, lai izpildītu Direktīvas 2012/27/ES prasības, jāstājas spēkā līdz 2014. gada 5. jūnijam.</w:t>
            </w:r>
          </w:p>
        </w:tc>
      </w:tr>
      <w:tr w:rsidR="00820311" w:rsidRPr="001B6D0A" w14:paraId="459C52C0" w14:textId="77777777" w:rsidTr="00C409C3">
        <w:tc>
          <w:tcPr>
            <w:tcW w:w="294" w:type="pct"/>
            <w:hideMark/>
          </w:tcPr>
          <w:p w14:paraId="3B3C01FD"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2.</w:t>
            </w:r>
          </w:p>
        </w:tc>
        <w:tc>
          <w:tcPr>
            <w:tcW w:w="1667" w:type="pct"/>
            <w:hideMark/>
          </w:tcPr>
          <w:p w14:paraId="0825215A"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Citas starptautiskās saistības</w:t>
            </w:r>
          </w:p>
        </w:tc>
        <w:tc>
          <w:tcPr>
            <w:tcW w:w="2974" w:type="pct"/>
          </w:tcPr>
          <w:p w14:paraId="137D3664" w14:textId="16FC8A0D"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Projekts šo jomu neskar</w:t>
            </w:r>
          </w:p>
        </w:tc>
      </w:tr>
      <w:tr w:rsidR="003304CC" w:rsidRPr="001B6D0A" w14:paraId="7E753C3A" w14:textId="77777777" w:rsidTr="00C409C3">
        <w:tc>
          <w:tcPr>
            <w:tcW w:w="294" w:type="pct"/>
            <w:hideMark/>
          </w:tcPr>
          <w:p w14:paraId="191F60FA"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3.</w:t>
            </w:r>
          </w:p>
        </w:tc>
        <w:tc>
          <w:tcPr>
            <w:tcW w:w="1667" w:type="pct"/>
            <w:hideMark/>
          </w:tcPr>
          <w:p w14:paraId="63D80666"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Cita informācija</w:t>
            </w:r>
          </w:p>
        </w:tc>
        <w:tc>
          <w:tcPr>
            <w:tcW w:w="2974" w:type="pct"/>
          </w:tcPr>
          <w:p w14:paraId="717A5E01"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Nav</w:t>
            </w:r>
          </w:p>
        </w:tc>
      </w:tr>
    </w:tbl>
    <w:p w14:paraId="48CCD022" w14:textId="6AED3807" w:rsidR="003304CC" w:rsidRPr="001B6D0A" w:rsidRDefault="003304CC" w:rsidP="001B6D0A">
      <w:pPr>
        <w:spacing w:after="0" w:line="240" w:lineRule="auto"/>
        <w:contextualSpacing/>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2110"/>
        <w:gridCol w:w="2109"/>
        <w:gridCol w:w="2200"/>
        <w:gridCol w:w="2642"/>
      </w:tblGrid>
      <w:tr w:rsidR="00820311" w:rsidRPr="001B6D0A" w14:paraId="5084889C" w14:textId="77777777" w:rsidTr="00C409C3">
        <w:tc>
          <w:tcPr>
            <w:tcW w:w="0" w:type="auto"/>
            <w:gridSpan w:val="4"/>
            <w:hideMark/>
          </w:tcPr>
          <w:p w14:paraId="71DD43F2" w14:textId="77777777" w:rsidR="003304CC" w:rsidRPr="001B6D0A" w:rsidRDefault="003304CC" w:rsidP="001B6D0A">
            <w:pPr>
              <w:contextualSpacing/>
              <w:rPr>
                <w:rFonts w:ascii="Times New Roman" w:eastAsia="Times New Roman" w:hAnsi="Times New Roman" w:cs="Times New Roman"/>
                <w:b/>
                <w:bCs/>
                <w:iCs/>
                <w:sz w:val="24"/>
                <w:szCs w:val="24"/>
                <w:lang w:eastAsia="lv-LV"/>
              </w:rPr>
            </w:pPr>
            <w:r w:rsidRPr="001B6D0A">
              <w:rPr>
                <w:rFonts w:ascii="Times New Roman" w:eastAsia="Times New Roman" w:hAnsi="Times New Roman" w:cs="Times New Roman"/>
                <w:b/>
                <w:bCs/>
                <w:iCs/>
                <w:sz w:val="24"/>
                <w:szCs w:val="24"/>
                <w:lang w:eastAsia="lv-LV"/>
              </w:rPr>
              <w:t>1. tabula</w:t>
            </w:r>
            <w:r w:rsidRPr="001B6D0A">
              <w:rPr>
                <w:rFonts w:ascii="Times New Roman" w:eastAsia="Times New Roman" w:hAnsi="Times New Roman" w:cs="Times New Roman"/>
                <w:b/>
                <w:bCs/>
                <w:iCs/>
                <w:sz w:val="24"/>
                <w:szCs w:val="24"/>
                <w:lang w:eastAsia="lv-LV"/>
              </w:rPr>
              <w:br/>
              <w:t>Tiesību akta projekta atbilstība ES tiesību aktiem</w:t>
            </w:r>
          </w:p>
        </w:tc>
      </w:tr>
      <w:tr w:rsidR="00820311" w:rsidRPr="001B6D0A" w14:paraId="150C511B" w14:textId="77777777" w:rsidTr="00832FB8">
        <w:tc>
          <w:tcPr>
            <w:tcW w:w="1164" w:type="pct"/>
            <w:hideMark/>
          </w:tcPr>
          <w:p w14:paraId="07799F84"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Attiecīgā ES tiesību akta datums, numurs un nosaukums</w:t>
            </w:r>
          </w:p>
        </w:tc>
        <w:tc>
          <w:tcPr>
            <w:tcW w:w="3836" w:type="pct"/>
            <w:gridSpan w:val="3"/>
            <w:hideMark/>
          </w:tcPr>
          <w:p w14:paraId="5FE9526F"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hAnsi="Times New Roman" w:cs="Times New Roman"/>
                <w:sz w:val="24"/>
                <w:szCs w:val="24"/>
                <w:shd w:val="clear" w:color="auto" w:fill="FFFFFF"/>
              </w:rPr>
              <w:t>Eiropas Parlamenta un Padomes 2012. gada 25. oktobra Direktīva 2012/27/ES par energoefektivitāti, ar ko groza Direktīvas 2009/125/EK un 2010/30/ES un atceļ Direktīvas 2004/8/EK un 2006/32/EK (Direktīva 2012/27/ES)</w:t>
            </w:r>
          </w:p>
        </w:tc>
      </w:tr>
      <w:tr w:rsidR="00820311" w:rsidRPr="001B6D0A" w14:paraId="0223A9F9" w14:textId="77777777" w:rsidTr="00832FB8">
        <w:tc>
          <w:tcPr>
            <w:tcW w:w="1164" w:type="pct"/>
            <w:hideMark/>
          </w:tcPr>
          <w:p w14:paraId="1490380D"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A</w:t>
            </w:r>
          </w:p>
        </w:tc>
        <w:tc>
          <w:tcPr>
            <w:tcW w:w="1164" w:type="pct"/>
            <w:hideMark/>
          </w:tcPr>
          <w:p w14:paraId="7BC309E2"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B</w:t>
            </w:r>
          </w:p>
        </w:tc>
        <w:tc>
          <w:tcPr>
            <w:tcW w:w="1214" w:type="pct"/>
            <w:hideMark/>
          </w:tcPr>
          <w:p w14:paraId="045F2807"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C</w:t>
            </w:r>
          </w:p>
        </w:tc>
        <w:tc>
          <w:tcPr>
            <w:tcW w:w="1458" w:type="pct"/>
            <w:hideMark/>
          </w:tcPr>
          <w:p w14:paraId="518F5102"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D</w:t>
            </w:r>
          </w:p>
        </w:tc>
      </w:tr>
      <w:tr w:rsidR="00820311" w:rsidRPr="001B6D0A" w14:paraId="641946B4" w14:textId="77777777" w:rsidTr="00832FB8">
        <w:tc>
          <w:tcPr>
            <w:tcW w:w="1164" w:type="pct"/>
            <w:hideMark/>
          </w:tcPr>
          <w:p w14:paraId="2D3C6CAE"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64" w:type="pct"/>
            <w:hideMark/>
          </w:tcPr>
          <w:p w14:paraId="02222409"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14" w:type="pct"/>
            <w:hideMark/>
          </w:tcPr>
          <w:p w14:paraId="72CD290F"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1B6D0A">
              <w:rPr>
                <w:rFonts w:ascii="Times New Roman" w:eastAsia="Times New Roman" w:hAnsi="Times New Roman" w:cs="Times New Roman"/>
                <w:iCs/>
                <w:sz w:val="24"/>
                <w:szCs w:val="24"/>
                <w:lang w:eastAsia="lv-LV"/>
              </w:rPr>
              <w:br/>
              <w:t xml:space="preserve">Ja attiecīgā ES tiesību akta vienība tiek pārņemta vai ieviesta daļēji, sniedz attiecīgu skaidrojumu, kā arī precīzi norāda, kad </w:t>
            </w:r>
            <w:r w:rsidRPr="001B6D0A">
              <w:rPr>
                <w:rFonts w:ascii="Times New Roman" w:eastAsia="Times New Roman" w:hAnsi="Times New Roman" w:cs="Times New Roman"/>
                <w:iCs/>
                <w:sz w:val="24"/>
                <w:szCs w:val="24"/>
                <w:lang w:eastAsia="lv-LV"/>
              </w:rPr>
              <w:lastRenderedPageBreak/>
              <w:t>un kādā veidā ES tiesību akta vienība tiks pārņemta vai ieviesta pilnībā.</w:t>
            </w:r>
            <w:r w:rsidRPr="001B6D0A">
              <w:rPr>
                <w:rFonts w:ascii="Times New Roman" w:eastAsia="Times New Roman" w:hAnsi="Times New Roman" w:cs="Times New Roman"/>
                <w:iCs/>
                <w:sz w:val="24"/>
                <w:szCs w:val="24"/>
                <w:lang w:eastAsia="lv-LV"/>
              </w:rPr>
              <w:br/>
              <w:t>Norāda institūciju, kas ir atbildīga par šo saistību izpildi pilnībā</w:t>
            </w:r>
          </w:p>
        </w:tc>
        <w:tc>
          <w:tcPr>
            <w:tcW w:w="1458" w:type="pct"/>
            <w:hideMark/>
          </w:tcPr>
          <w:p w14:paraId="43AD22B5"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1B6D0A">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1B6D0A">
              <w:rPr>
                <w:rFonts w:ascii="Times New Roman" w:eastAsia="Times New Roman" w:hAnsi="Times New Roman" w:cs="Times New Roman"/>
                <w:iCs/>
                <w:sz w:val="24"/>
                <w:szCs w:val="24"/>
                <w:lang w:eastAsia="lv-LV"/>
              </w:rPr>
              <w:br/>
              <w:t xml:space="preserve">Norāda iespējamās </w:t>
            </w:r>
            <w:r w:rsidRPr="001B6D0A">
              <w:rPr>
                <w:rFonts w:ascii="Times New Roman" w:eastAsia="Times New Roman" w:hAnsi="Times New Roman" w:cs="Times New Roman"/>
                <w:iCs/>
                <w:sz w:val="24"/>
                <w:szCs w:val="24"/>
                <w:lang w:eastAsia="lv-LV"/>
              </w:rPr>
              <w:lastRenderedPageBreak/>
              <w:t>alternatīvas (t. sk. alternatīvas, kas neparedz tiesiskā regulējuma izstrādi) – kādos gadījumos būtu iespējams izvairīties no stingrāku prasību noteikšanas, nekā paredzēts attiecīgajos ES tiesību aktos</w:t>
            </w:r>
          </w:p>
        </w:tc>
      </w:tr>
      <w:tr w:rsidR="00820311" w:rsidRPr="001B6D0A" w14:paraId="418E9AD3" w14:textId="77777777" w:rsidTr="00832FB8">
        <w:tc>
          <w:tcPr>
            <w:tcW w:w="1164" w:type="pct"/>
          </w:tcPr>
          <w:p w14:paraId="0DF10DC1"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lastRenderedPageBreak/>
              <w:t>Direktīvas 2012/27/ES 13.pants</w:t>
            </w:r>
          </w:p>
        </w:tc>
        <w:tc>
          <w:tcPr>
            <w:tcW w:w="1164" w:type="pct"/>
          </w:tcPr>
          <w:p w14:paraId="59826079" w14:textId="77777777" w:rsidR="00C24A28"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xml:space="preserve">Likumprojekta </w:t>
            </w:r>
            <w:r w:rsidR="00285BE7">
              <w:rPr>
                <w:rFonts w:ascii="Times New Roman" w:eastAsia="Times New Roman" w:hAnsi="Times New Roman" w:cs="Times New Roman"/>
                <w:iCs/>
                <w:sz w:val="24"/>
                <w:szCs w:val="24"/>
                <w:lang w:eastAsia="lv-LV"/>
              </w:rPr>
              <w:t>2</w:t>
            </w:r>
            <w:r w:rsidRPr="001B6D0A">
              <w:rPr>
                <w:rFonts w:ascii="Times New Roman" w:eastAsia="Times New Roman" w:hAnsi="Times New Roman" w:cs="Times New Roman"/>
                <w:iCs/>
                <w:sz w:val="24"/>
                <w:szCs w:val="24"/>
                <w:lang w:eastAsia="lv-LV"/>
              </w:rPr>
              <w:t xml:space="preserve">.pants – papildināt Likumu ar </w:t>
            </w:r>
            <w:r w:rsidR="00285BE7">
              <w:rPr>
                <w:rFonts w:ascii="Times New Roman" w:eastAsia="Times New Roman" w:hAnsi="Times New Roman" w:cs="Times New Roman"/>
                <w:iCs/>
                <w:sz w:val="24"/>
                <w:szCs w:val="24"/>
                <w:lang w:eastAsia="lv-LV"/>
              </w:rPr>
              <w:t>6.panta desmito daļu</w:t>
            </w:r>
            <w:r w:rsidR="00C24A28">
              <w:rPr>
                <w:rFonts w:ascii="Times New Roman" w:eastAsia="Times New Roman" w:hAnsi="Times New Roman" w:cs="Times New Roman"/>
                <w:iCs/>
                <w:sz w:val="24"/>
                <w:szCs w:val="24"/>
                <w:lang w:eastAsia="lv-LV"/>
              </w:rPr>
              <w:t>;</w:t>
            </w:r>
          </w:p>
          <w:p w14:paraId="14573700" w14:textId="77777777" w:rsidR="003304CC" w:rsidRDefault="00C24A28" w:rsidP="001B6D0A">
            <w:pPr>
              <w:contextualSpacing/>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3.pants – papildināt Likuma 10.pantu ar trīspadsmito daļu;</w:t>
            </w:r>
          </w:p>
          <w:p w14:paraId="6927A261" w14:textId="3ACC7AA2" w:rsidR="00C24A28" w:rsidRDefault="00C24A28" w:rsidP="001B6D0A">
            <w:pPr>
              <w:contextualSpacing/>
              <w:rPr>
                <w:rFonts w:ascii="Times New Roman" w:hAnsi="Times New Roman" w:cs="Times New Roman"/>
                <w:sz w:val="24"/>
                <w:szCs w:val="24"/>
                <w:shd w:val="clear" w:color="auto" w:fill="FFFFFF"/>
              </w:rPr>
            </w:pPr>
            <w:r w:rsidRPr="001B6D0A">
              <w:rPr>
                <w:rFonts w:ascii="Times New Roman" w:hAnsi="Times New Roman" w:cs="Times New Roman"/>
                <w:sz w:val="24"/>
                <w:szCs w:val="24"/>
                <w:shd w:val="clear" w:color="auto" w:fill="FFFFFF"/>
              </w:rPr>
              <w:t>Administratīvā procesa likum</w:t>
            </w:r>
            <w:r>
              <w:rPr>
                <w:rFonts w:ascii="Times New Roman" w:hAnsi="Times New Roman" w:cs="Times New Roman"/>
                <w:sz w:val="24"/>
                <w:szCs w:val="24"/>
                <w:shd w:val="clear" w:color="auto" w:fill="FFFFFF"/>
              </w:rPr>
              <w:t>s;</w:t>
            </w:r>
          </w:p>
          <w:p w14:paraId="045B9315" w14:textId="1DB4A7FF" w:rsidR="00C24A28" w:rsidRPr="006834D9" w:rsidRDefault="00C24A28" w:rsidP="00C24A28">
            <w:pPr>
              <w:shd w:val="clear" w:color="auto" w:fill="FFFFFF"/>
              <w:jc w:val="both"/>
              <w:rPr>
                <w:rFonts w:ascii="Times New Roman" w:eastAsia="Times New Roman" w:hAnsi="Times New Roman" w:cs="Times New Roman"/>
                <w:sz w:val="24"/>
                <w:szCs w:val="24"/>
                <w:lang w:eastAsia="lv-LV"/>
              </w:rPr>
            </w:pPr>
            <w:r w:rsidRPr="006834D9">
              <w:rPr>
                <w:rFonts w:ascii="Times New Roman" w:eastAsia="Times New Roman" w:hAnsi="Times New Roman" w:cs="Times New Roman"/>
                <w:sz w:val="24"/>
                <w:szCs w:val="24"/>
                <w:lang w:eastAsia="lv-LV"/>
              </w:rPr>
              <w:t xml:space="preserve">Sabiedrisko pakalpojumu regulēšanas komisijas padomes </w:t>
            </w:r>
            <w:r w:rsidRPr="00C24A28">
              <w:rPr>
                <w:rFonts w:ascii="Times New Roman" w:eastAsia="Times New Roman" w:hAnsi="Times New Roman" w:cs="Times New Roman"/>
                <w:sz w:val="24"/>
                <w:szCs w:val="24"/>
                <w:lang w:eastAsia="lv-LV"/>
              </w:rPr>
              <w:t xml:space="preserve">2017.gada 9.marta </w:t>
            </w:r>
            <w:r w:rsidRPr="006834D9">
              <w:rPr>
                <w:rFonts w:ascii="Times New Roman" w:eastAsia="Times New Roman" w:hAnsi="Times New Roman" w:cs="Times New Roman"/>
                <w:sz w:val="24"/>
                <w:szCs w:val="24"/>
                <w:lang w:eastAsia="lv-LV"/>
              </w:rPr>
              <w:t>lēmums Nr.1/6</w:t>
            </w:r>
            <w:r w:rsidRPr="00C24A28">
              <w:rPr>
                <w:rFonts w:ascii="Times New Roman" w:eastAsia="Times New Roman" w:hAnsi="Times New Roman" w:cs="Times New Roman"/>
                <w:sz w:val="24"/>
                <w:szCs w:val="24"/>
                <w:lang w:eastAsia="lv-LV"/>
              </w:rPr>
              <w:t xml:space="preserve"> “</w:t>
            </w:r>
            <w:r w:rsidRPr="006834D9">
              <w:rPr>
                <w:rFonts w:ascii="Times New Roman" w:eastAsia="Times New Roman" w:hAnsi="Times New Roman" w:cs="Times New Roman"/>
                <w:sz w:val="24"/>
                <w:szCs w:val="24"/>
                <w:lang w:eastAsia="lv-LV"/>
              </w:rPr>
              <w:t>Noteikumi par informāciju elektroenerģijas un dabasgāzes galalietotājiem</w:t>
            </w:r>
            <w:r w:rsidRPr="00C24A2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p w14:paraId="73A95165" w14:textId="511D392F" w:rsidR="00C24A28" w:rsidRPr="001B6D0A" w:rsidRDefault="00C24A28" w:rsidP="001B6D0A">
            <w:pPr>
              <w:contextualSpacing/>
              <w:rPr>
                <w:rFonts w:ascii="Times New Roman" w:eastAsia="Times New Roman" w:hAnsi="Times New Roman" w:cs="Times New Roman"/>
                <w:iCs/>
                <w:sz w:val="24"/>
                <w:szCs w:val="24"/>
                <w:lang w:eastAsia="lv-LV"/>
              </w:rPr>
            </w:pPr>
          </w:p>
        </w:tc>
        <w:tc>
          <w:tcPr>
            <w:tcW w:w="1214" w:type="pct"/>
          </w:tcPr>
          <w:p w14:paraId="41A476F1"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Pārņemts pilnībā</w:t>
            </w:r>
          </w:p>
        </w:tc>
        <w:tc>
          <w:tcPr>
            <w:tcW w:w="1458" w:type="pct"/>
          </w:tcPr>
          <w:p w14:paraId="5D73E114"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Neparedz stingrākas prasības</w:t>
            </w:r>
          </w:p>
        </w:tc>
      </w:tr>
      <w:tr w:rsidR="00820311" w:rsidRPr="001B6D0A" w14:paraId="4F43FEE7" w14:textId="77777777" w:rsidTr="00832FB8">
        <w:tc>
          <w:tcPr>
            <w:tcW w:w="1164" w:type="pct"/>
            <w:hideMark/>
          </w:tcPr>
          <w:p w14:paraId="16D67356"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836" w:type="pct"/>
            <w:gridSpan w:val="3"/>
            <w:hideMark/>
          </w:tcPr>
          <w:p w14:paraId="3C13662F" w14:textId="77777777" w:rsidR="003304CC" w:rsidRPr="001B6D0A" w:rsidRDefault="003304CC" w:rsidP="001B6D0A">
            <w:pPr>
              <w:pStyle w:val="CommentText"/>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Projekts šo jomu neskar</w:t>
            </w:r>
          </w:p>
        </w:tc>
      </w:tr>
      <w:tr w:rsidR="00820311" w:rsidRPr="001B6D0A" w14:paraId="36D7EAB0" w14:textId="77777777" w:rsidTr="00832FB8">
        <w:tc>
          <w:tcPr>
            <w:tcW w:w="1164" w:type="pct"/>
            <w:hideMark/>
          </w:tcPr>
          <w:p w14:paraId="7E96B7FC"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sniegšanu par tehnisko noteikumu, valsts </w:t>
            </w:r>
            <w:r w:rsidRPr="001B6D0A">
              <w:rPr>
                <w:rFonts w:ascii="Times New Roman" w:eastAsia="Times New Roman" w:hAnsi="Times New Roman" w:cs="Times New Roman"/>
                <w:iCs/>
                <w:sz w:val="24"/>
                <w:szCs w:val="24"/>
                <w:lang w:eastAsia="lv-LV"/>
              </w:rPr>
              <w:lastRenderedPageBreak/>
              <w:t>atbalsta piešķiršanas un finanšu noteikumu (attiecībā uz monetāro politiku) projektiem</w:t>
            </w:r>
          </w:p>
        </w:tc>
        <w:tc>
          <w:tcPr>
            <w:tcW w:w="3836" w:type="pct"/>
            <w:gridSpan w:val="3"/>
            <w:hideMark/>
          </w:tcPr>
          <w:p w14:paraId="771D371A"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lastRenderedPageBreak/>
              <w:t>Projekts šo jomu neskar</w:t>
            </w:r>
          </w:p>
        </w:tc>
      </w:tr>
      <w:tr w:rsidR="003304CC" w:rsidRPr="001B6D0A" w14:paraId="28F0B3E8" w14:textId="77777777" w:rsidTr="00832FB8">
        <w:tc>
          <w:tcPr>
            <w:tcW w:w="1164" w:type="pct"/>
            <w:hideMark/>
          </w:tcPr>
          <w:p w14:paraId="145340BA"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Cita informācija</w:t>
            </w:r>
          </w:p>
        </w:tc>
        <w:tc>
          <w:tcPr>
            <w:tcW w:w="3836" w:type="pct"/>
            <w:gridSpan w:val="3"/>
            <w:hideMark/>
          </w:tcPr>
          <w:p w14:paraId="58E6CA6E" w14:textId="77777777" w:rsidR="003304CC" w:rsidRPr="001B6D0A" w:rsidRDefault="003304CC" w:rsidP="001B6D0A">
            <w:pPr>
              <w:contextualSpacing/>
              <w:rPr>
                <w:rFonts w:ascii="Times New Roman" w:eastAsia="Times New Roman" w:hAnsi="Times New Roman" w:cs="Times New Roman"/>
                <w:iCs/>
                <w:sz w:val="24"/>
                <w:szCs w:val="24"/>
                <w:lang w:eastAsia="lv-LV"/>
              </w:rPr>
            </w:pPr>
            <w:r w:rsidRPr="001B6D0A">
              <w:rPr>
                <w:rFonts w:ascii="Times New Roman" w:eastAsia="Times New Roman" w:hAnsi="Times New Roman" w:cs="Times New Roman"/>
                <w:iCs/>
                <w:sz w:val="24"/>
                <w:szCs w:val="24"/>
                <w:lang w:eastAsia="lv-LV"/>
              </w:rPr>
              <w:t>Nav</w:t>
            </w:r>
          </w:p>
        </w:tc>
      </w:tr>
    </w:tbl>
    <w:p w14:paraId="07123F18" w14:textId="620B357D" w:rsidR="003304CC" w:rsidRPr="001B6D0A" w:rsidRDefault="003304CC" w:rsidP="001B6D0A">
      <w:pPr>
        <w:spacing w:after="0" w:line="240" w:lineRule="auto"/>
        <w:contextualSpacing/>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20311" w:rsidRPr="001B6D0A" w14:paraId="71F99B46"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17FE179" w14:textId="77777777" w:rsidR="00894C55" w:rsidRPr="001B6D0A" w:rsidRDefault="00894C55" w:rsidP="001B6D0A">
            <w:pPr>
              <w:spacing w:after="0" w:line="240" w:lineRule="auto"/>
              <w:contextualSpacing/>
              <w:jc w:val="center"/>
              <w:rPr>
                <w:rFonts w:ascii="Times New Roman" w:eastAsia="Times New Roman" w:hAnsi="Times New Roman" w:cs="Times New Roman"/>
                <w:b/>
                <w:bCs/>
                <w:sz w:val="24"/>
                <w:szCs w:val="24"/>
                <w:lang w:eastAsia="lv-LV"/>
              </w:rPr>
            </w:pPr>
            <w:r w:rsidRPr="001B6D0A">
              <w:rPr>
                <w:rFonts w:ascii="Times New Roman" w:eastAsia="Times New Roman" w:hAnsi="Times New Roman" w:cs="Times New Roman"/>
                <w:b/>
                <w:bCs/>
                <w:sz w:val="24"/>
                <w:szCs w:val="24"/>
                <w:lang w:eastAsia="lv-LV"/>
              </w:rPr>
              <w:t>VI.</w:t>
            </w:r>
            <w:r w:rsidR="00816C11" w:rsidRPr="001B6D0A">
              <w:rPr>
                <w:rFonts w:ascii="Times New Roman" w:eastAsia="Times New Roman" w:hAnsi="Times New Roman" w:cs="Times New Roman"/>
                <w:b/>
                <w:bCs/>
                <w:sz w:val="24"/>
                <w:szCs w:val="24"/>
                <w:lang w:eastAsia="lv-LV"/>
              </w:rPr>
              <w:t> </w:t>
            </w:r>
            <w:r w:rsidRPr="001B6D0A">
              <w:rPr>
                <w:rFonts w:ascii="Times New Roman" w:eastAsia="Times New Roman" w:hAnsi="Times New Roman" w:cs="Times New Roman"/>
                <w:b/>
                <w:bCs/>
                <w:sz w:val="24"/>
                <w:szCs w:val="24"/>
                <w:lang w:eastAsia="lv-LV"/>
              </w:rPr>
              <w:t>Sabiedrības līdzdalība un komunikācijas aktivitātes</w:t>
            </w:r>
          </w:p>
        </w:tc>
      </w:tr>
      <w:tr w:rsidR="00820311" w:rsidRPr="001B6D0A" w14:paraId="1282C9DD"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FC6AEBD" w14:textId="77777777" w:rsidR="00894C55" w:rsidRPr="001B6D0A" w:rsidRDefault="00894C55"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42A4820" w14:textId="77777777" w:rsidR="00894C55" w:rsidRPr="001B6D0A" w:rsidRDefault="00894C55"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05096434" w14:textId="76A191E1" w:rsidR="002955F5" w:rsidRDefault="00670092" w:rsidP="002955F5">
            <w:pPr>
              <w:spacing w:after="0" w:line="240" w:lineRule="auto"/>
              <w:contextualSpacing/>
              <w:jc w:val="both"/>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Likumprojekt</w:t>
            </w:r>
            <w:r w:rsidR="00131AEA" w:rsidRPr="001B6D0A">
              <w:rPr>
                <w:rFonts w:ascii="Times New Roman" w:eastAsia="Times New Roman" w:hAnsi="Times New Roman" w:cs="Times New Roman"/>
                <w:sz w:val="24"/>
                <w:szCs w:val="24"/>
                <w:lang w:eastAsia="lv-LV"/>
              </w:rPr>
              <w:t xml:space="preserve">s </w:t>
            </w:r>
            <w:r w:rsidR="002955F5">
              <w:rPr>
                <w:rFonts w:ascii="Times New Roman" w:eastAsia="Times New Roman" w:hAnsi="Times New Roman" w:cs="Times New Roman"/>
                <w:sz w:val="24"/>
                <w:szCs w:val="24"/>
                <w:lang w:eastAsia="lv-LV"/>
              </w:rPr>
              <w:t>saskaņā ar Ministru kabineta 2009. gada 25. augusta noteikumu Nr. 970 “Sabiedrības līdzdalības kārtība attīstības plānošanas procesā” 13. un 14. punktu tika ievietots sabiedriskajai apspriešanai EM un MK tīmekļvietnē. Sabiedriskā apspriešana noslēdzās 2019.gada 3.janvārī.</w:t>
            </w:r>
          </w:p>
          <w:p w14:paraId="7B32F318" w14:textId="77777777" w:rsidR="00894C55" w:rsidRPr="001B6D0A" w:rsidRDefault="00131AEA" w:rsidP="002955F5">
            <w:pPr>
              <w:spacing w:after="0" w:line="240" w:lineRule="auto"/>
              <w:contextualSpacing/>
              <w:jc w:val="both"/>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tika</w:t>
            </w:r>
            <w:r w:rsidR="00DC4706" w:rsidRPr="001B6D0A">
              <w:rPr>
                <w:rFonts w:ascii="Times New Roman" w:eastAsia="Times New Roman" w:hAnsi="Times New Roman" w:cs="Times New Roman"/>
                <w:sz w:val="24"/>
                <w:szCs w:val="24"/>
                <w:lang w:eastAsia="lv-LV"/>
              </w:rPr>
              <w:t xml:space="preserve"> ievietot</w:t>
            </w:r>
            <w:r w:rsidRPr="001B6D0A">
              <w:rPr>
                <w:rFonts w:ascii="Times New Roman" w:eastAsia="Times New Roman" w:hAnsi="Times New Roman" w:cs="Times New Roman"/>
                <w:sz w:val="24"/>
                <w:szCs w:val="24"/>
                <w:lang w:eastAsia="lv-LV"/>
              </w:rPr>
              <w:t>s</w:t>
            </w:r>
            <w:r w:rsidR="00DC4706" w:rsidRPr="001B6D0A">
              <w:rPr>
                <w:rFonts w:ascii="Times New Roman" w:eastAsia="Times New Roman" w:hAnsi="Times New Roman" w:cs="Times New Roman"/>
                <w:sz w:val="24"/>
                <w:szCs w:val="24"/>
                <w:lang w:eastAsia="lv-LV"/>
              </w:rPr>
              <w:t xml:space="preserve"> sabiedriskajai apspriešanai E</w:t>
            </w:r>
            <w:r w:rsidR="00227E17" w:rsidRPr="001B6D0A">
              <w:rPr>
                <w:rFonts w:ascii="Times New Roman" w:eastAsia="Times New Roman" w:hAnsi="Times New Roman" w:cs="Times New Roman"/>
                <w:sz w:val="24"/>
                <w:szCs w:val="24"/>
                <w:lang w:eastAsia="lv-LV"/>
              </w:rPr>
              <w:t>M</w:t>
            </w:r>
            <w:r w:rsidR="00DC4706" w:rsidRPr="001B6D0A">
              <w:rPr>
                <w:rFonts w:ascii="Times New Roman" w:eastAsia="Times New Roman" w:hAnsi="Times New Roman" w:cs="Times New Roman"/>
                <w:sz w:val="24"/>
                <w:szCs w:val="24"/>
                <w:lang w:eastAsia="lv-LV"/>
              </w:rPr>
              <w:t xml:space="preserve"> </w:t>
            </w:r>
            <w:r w:rsidR="00F76E4B" w:rsidRPr="001B6D0A">
              <w:rPr>
                <w:rFonts w:ascii="Times New Roman" w:eastAsia="Times New Roman" w:hAnsi="Times New Roman" w:cs="Times New Roman"/>
                <w:sz w:val="24"/>
                <w:szCs w:val="24"/>
                <w:lang w:eastAsia="lv-LV"/>
              </w:rPr>
              <w:t>tīmekļvietnē</w:t>
            </w:r>
            <w:r w:rsidR="00DC4706" w:rsidRPr="001B6D0A">
              <w:rPr>
                <w:rFonts w:ascii="Times New Roman" w:eastAsia="Times New Roman" w:hAnsi="Times New Roman" w:cs="Times New Roman"/>
                <w:sz w:val="24"/>
                <w:szCs w:val="24"/>
                <w:lang w:eastAsia="lv-LV"/>
              </w:rPr>
              <w:t>.</w:t>
            </w:r>
            <w:r w:rsidRPr="001B6D0A">
              <w:rPr>
                <w:rFonts w:ascii="Times New Roman" w:eastAsia="Times New Roman" w:hAnsi="Times New Roman" w:cs="Times New Roman"/>
                <w:sz w:val="24"/>
                <w:szCs w:val="24"/>
                <w:lang w:eastAsia="lv-LV"/>
              </w:rPr>
              <w:t xml:space="preserve"> Sabiedriskā apspriešana noslēdzās 2019.gada 3.janvārī.</w:t>
            </w:r>
          </w:p>
          <w:p w14:paraId="751DC7B1" w14:textId="46D391F6" w:rsidR="00721190" w:rsidRPr="001B6D0A" w:rsidRDefault="00E35593" w:rsidP="002955F5">
            <w:pPr>
              <w:spacing w:after="0" w:line="240" w:lineRule="auto"/>
              <w:contextualSpacing/>
              <w:jc w:val="both"/>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 xml:space="preserve">Likumprojekta izstrādāšanas laikā notika vairākas tikšanās ar Latvijas Tirdzniecības un rūpniecības kameras pārstāvjiem par atsevišķiem Likumprojektā iekļautajiem jautājumiem. </w:t>
            </w:r>
            <w:r w:rsidR="006B4BAD" w:rsidRPr="001B6D0A">
              <w:rPr>
                <w:rFonts w:ascii="Times New Roman" w:eastAsia="Times New Roman" w:hAnsi="Times New Roman" w:cs="Times New Roman"/>
                <w:sz w:val="24"/>
                <w:szCs w:val="24"/>
                <w:lang w:eastAsia="lv-LV"/>
              </w:rPr>
              <w:t>Ekonomikas ministrija 20</w:t>
            </w:r>
            <w:bookmarkStart w:id="13" w:name="_GoBack"/>
            <w:bookmarkEnd w:id="13"/>
            <w:r w:rsidR="006B4BAD" w:rsidRPr="001B6D0A">
              <w:rPr>
                <w:rFonts w:ascii="Times New Roman" w:eastAsia="Times New Roman" w:hAnsi="Times New Roman" w:cs="Times New Roman"/>
                <w:sz w:val="24"/>
                <w:szCs w:val="24"/>
                <w:lang w:eastAsia="lv-LV"/>
              </w:rPr>
              <w:t>1</w:t>
            </w:r>
            <w:r w:rsidR="00A60ACD" w:rsidRPr="001B6D0A">
              <w:rPr>
                <w:rFonts w:ascii="Times New Roman" w:eastAsia="Times New Roman" w:hAnsi="Times New Roman" w:cs="Times New Roman"/>
                <w:sz w:val="24"/>
                <w:szCs w:val="24"/>
                <w:lang w:eastAsia="lv-LV"/>
              </w:rPr>
              <w:t>8</w:t>
            </w:r>
            <w:r w:rsidR="006B4BAD" w:rsidRPr="001B6D0A">
              <w:rPr>
                <w:rFonts w:ascii="Times New Roman" w:eastAsia="Times New Roman" w:hAnsi="Times New Roman" w:cs="Times New Roman"/>
                <w:sz w:val="24"/>
                <w:szCs w:val="24"/>
                <w:lang w:eastAsia="lv-LV"/>
              </w:rPr>
              <w:t>.</w:t>
            </w:r>
            <w:r w:rsidR="00A60ACD" w:rsidRPr="001B6D0A">
              <w:rPr>
                <w:rFonts w:ascii="Times New Roman" w:eastAsia="Times New Roman" w:hAnsi="Times New Roman" w:cs="Times New Roman"/>
                <w:sz w:val="24"/>
                <w:szCs w:val="24"/>
                <w:lang w:eastAsia="lv-LV"/>
              </w:rPr>
              <w:t xml:space="preserve">organizēja četrus reģionālos seminārus, kuros informēja par Likuma prasībām, kā arī aicināja informēt par praksē konstatētajām Likuma piemērošanas problēmām un iesniegt ierosinājumus Likuma normu uzlabošanai. Semināros izteiktie komersantu </w:t>
            </w:r>
            <w:r w:rsidR="00BA6DD9" w:rsidRPr="001B6D0A">
              <w:rPr>
                <w:rFonts w:ascii="Times New Roman" w:eastAsia="Times New Roman" w:hAnsi="Times New Roman" w:cs="Times New Roman"/>
                <w:sz w:val="24"/>
                <w:szCs w:val="24"/>
                <w:lang w:eastAsia="lv-LV"/>
              </w:rPr>
              <w:t>konstruktīvie priekšlikumi</w:t>
            </w:r>
            <w:r w:rsidR="00A60ACD" w:rsidRPr="001B6D0A">
              <w:rPr>
                <w:rFonts w:ascii="Times New Roman" w:eastAsia="Times New Roman" w:hAnsi="Times New Roman" w:cs="Times New Roman"/>
                <w:sz w:val="24"/>
                <w:szCs w:val="24"/>
                <w:lang w:eastAsia="lv-LV"/>
              </w:rPr>
              <w:t xml:space="preserve"> ir ņemti vērā.</w:t>
            </w:r>
          </w:p>
        </w:tc>
      </w:tr>
      <w:tr w:rsidR="00820311" w:rsidRPr="001B6D0A" w14:paraId="4742C09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E86E0CD" w14:textId="77777777" w:rsidR="00894C55" w:rsidRPr="001B6D0A" w:rsidRDefault="00894C55"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76AF72E" w14:textId="77777777" w:rsidR="00894C55" w:rsidRPr="001B6D0A" w:rsidRDefault="00894C55"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55F5B39" w14:textId="184A08DC" w:rsidR="00894C55" w:rsidRPr="001B6D0A" w:rsidRDefault="00DC4AF1"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Sabiedrība varē</w:t>
            </w:r>
            <w:r w:rsidR="00131AEA" w:rsidRPr="001B6D0A">
              <w:rPr>
                <w:rFonts w:ascii="Times New Roman" w:eastAsia="Times New Roman" w:hAnsi="Times New Roman" w:cs="Times New Roman"/>
                <w:sz w:val="24"/>
                <w:szCs w:val="24"/>
                <w:lang w:eastAsia="lv-LV"/>
              </w:rPr>
              <w:t>ja</w:t>
            </w:r>
            <w:r w:rsidRPr="001B6D0A">
              <w:rPr>
                <w:rFonts w:ascii="Times New Roman" w:eastAsia="Times New Roman" w:hAnsi="Times New Roman" w:cs="Times New Roman"/>
                <w:sz w:val="24"/>
                <w:szCs w:val="24"/>
                <w:lang w:eastAsia="lv-LV"/>
              </w:rPr>
              <w:t xml:space="preserve"> iepazīties ar </w:t>
            </w:r>
            <w:r w:rsidR="00670092" w:rsidRPr="001B6D0A">
              <w:rPr>
                <w:rFonts w:ascii="Times New Roman" w:eastAsia="Times New Roman" w:hAnsi="Times New Roman" w:cs="Times New Roman"/>
                <w:sz w:val="24"/>
                <w:szCs w:val="24"/>
                <w:lang w:eastAsia="lv-LV"/>
              </w:rPr>
              <w:t xml:space="preserve">Likumprojektu </w:t>
            </w:r>
            <w:r w:rsidRPr="001B6D0A">
              <w:rPr>
                <w:rFonts w:ascii="Times New Roman" w:eastAsia="Times New Roman" w:hAnsi="Times New Roman" w:cs="Times New Roman"/>
                <w:sz w:val="24"/>
                <w:szCs w:val="24"/>
                <w:lang w:eastAsia="lv-LV"/>
              </w:rPr>
              <w:t xml:space="preserve">EM mājaslapā </w:t>
            </w:r>
            <w:r w:rsidR="00670092" w:rsidRPr="001B6D0A">
              <w:rPr>
                <w:rFonts w:ascii="Times New Roman" w:eastAsia="Times New Roman" w:hAnsi="Times New Roman" w:cs="Times New Roman"/>
                <w:sz w:val="24"/>
                <w:szCs w:val="24"/>
                <w:lang w:eastAsia="lv-LV"/>
              </w:rPr>
              <w:t xml:space="preserve">un </w:t>
            </w:r>
            <w:r w:rsidRPr="001B6D0A">
              <w:rPr>
                <w:rFonts w:ascii="Times New Roman" w:eastAsia="Times New Roman" w:hAnsi="Times New Roman" w:cs="Times New Roman"/>
                <w:sz w:val="24"/>
                <w:szCs w:val="24"/>
                <w:lang w:eastAsia="lv-LV"/>
              </w:rPr>
              <w:t>izteikt par to viedokli.</w:t>
            </w:r>
          </w:p>
          <w:p w14:paraId="2C57B1A9" w14:textId="77777777" w:rsidR="00E35593" w:rsidRPr="001B6D0A" w:rsidRDefault="00E35593" w:rsidP="001B6D0A">
            <w:pPr>
              <w:spacing w:after="0" w:line="240" w:lineRule="auto"/>
              <w:jc w:val="both"/>
              <w:rPr>
                <w:rFonts w:ascii="Times New Roman" w:hAnsi="Times New Roman" w:cs="Times New Roman"/>
                <w:sz w:val="24"/>
                <w:szCs w:val="24"/>
              </w:rPr>
            </w:pPr>
            <w:r w:rsidRPr="001B6D0A">
              <w:rPr>
                <w:rFonts w:ascii="Times New Roman" w:eastAsia="Times New Roman" w:hAnsi="Times New Roman" w:cs="Times New Roman"/>
                <w:sz w:val="24"/>
                <w:szCs w:val="24"/>
                <w:lang w:eastAsia="lv-LV"/>
              </w:rPr>
              <w:t xml:space="preserve">2018.gada laikā </w:t>
            </w:r>
            <w:r w:rsidRPr="001B6D0A">
              <w:rPr>
                <w:rFonts w:ascii="Times New Roman" w:hAnsi="Times New Roman" w:cs="Times New Roman"/>
                <w:sz w:val="24"/>
                <w:szCs w:val="24"/>
              </w:rPr>
              <w:t>Latvijas reģionos tika organizēti četri semināri “Uzņēmumu energoefektivitāte. Prasības un finansējums”. Kopumā semināros piedalījās vairāk nekā 100 dalībnieku. Semināru laikā uzņēmējiem tika dota iespēja izteikt ierosinājumus Energoefektivitātes likuma prasību pilnveidošanai.</w:t>
            </w:r>
          </w:p>
          <w:p w14:paraId="3D999054" w14:textId="4E6C5077" w:rsidR="00E35593" w:rsidRPr="001B6D0A" w:rsidRDefault="00E35593" w:rsidP="001B6D0A">
            <w:pPr>
              <w:spacing w:after="0" w:line="240" w:lineRule="auto"/>
              <w:jc w:val="both"/>
              <w:rPr>
                <w:rFonts w:ascii="Times New Roman" w:hAnsi="Times New Roman" w:cs="Times New Roman"/>
                <w:sz w:val="24"/>
                <w:szCs w:val="24"/>
              </w:rPr>
            </w:pPr>
            <w:r w:rsidRPr="001B6D0A">
              <w:rPr>
                <w:rFonts w:ascii="Times New Roman" w:eastAsia="Times New Roman" w:hAnsi="Times New Roman" w:cs="Times New Roman"/>
                <w:sz w:val="24"/>
                <w:szCs w:val="24"/>
                <w:lang w:eastAsia="lv-LV"/>
              </w:rPr>
              <w:t>Likumprojekta izstrādāšanas laikā notika vairākas tikšanās ar Latvijas Tirdzniecības un rūpniecības kameras pārstāvjiem par atsevišķiem Likumprojektā iekļautajiem jautājumiem.</w:t>
            </w:r>
          </w:p>
        </w:tc>
      </w:tr>
      <w:tr w:rsidR="00820311" w:rsidRPr="001B6D0A" w14:paraId="7DFA7C1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6E2D457" w14:textId="77777777" w:rsidR="00894C55" w:rsidRPr="001B6D0A" w:rsidRDefault="00894C55"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6F900FF" w14:textId="77777777" w:rsidR="00894C55" w:rsidRPr="001B6D0A" w:rsidRDefault="00894C55"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9A805FD" w14:textId="7FE8191C" w:rsidR="00894C55" w:rsidRPr="001B6D0A" w:rsidRDefault="00131AEA" w:rsidP="001B6D0A">
            <w:pPr>
              <w:spacing w:after="0" w:line="240" w:lineRule="auto"/>
              <w:contextualSpacing/>
              <w:jc w:val="both"/>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Sabiedriskās apspriešanas laikā par likumprojektu netika saņemti ierosinājumi vai papildinājumi.</w:t>
            </w:r>
            <w:r w:rsidR="00E35593" w:rsidRPr="001B6D0A">
              <w:rPr>
                <w:rFonts w:ascii="Times New Roman" w:eastAsia="Times New Roman" w:hAnsi="Times New Roman" w:cs="Times New Roman"/>
                <w:sz w:val="24"/>
                <w:szCs w:val="24"/>
                <w:lang w:eastAsia="lv-LV"/>
              </w:rPr>
              <w:t xml:space="preserve"> Likumprojektā ir iekļauti komersantu priekšlikumi, kas izteikti</w:t>
            </w:r>
            <w:r w:rsidR="00A9299C">
              <w:rPr>
                <w:rFonts w:ascii="Times New Roman" w:eastAsia="Times New Roman" w:hAnsi="Times New Roman" w:cs="Times New Roman"/>
                <w:sz w:val="24"/>
                <w:szCs w:val="24"/>
                <w:lang w:eastAsia="lv-LV"/>
              </w:rPr>
              <w:t>,</w:t>
            </w:r>
            <w:r w:rsidR="00E35593" w:rsidRPr="001B6D0A">
              <w:rPr>
                <w:rFonts w:ascii="Times New Roman" w:eastAsia="Times New Roman" w:hAnsi="Times New Roman" w:cs="Times New Roman"/>
                <w:sz w:val="24"/>
                <w:szCs w:val="24"/>
                <w:lang w:eastAsia="lv-LV"/>
              </w:rPr>
              <w:t xml:space="preserve"> komersantiem sazinoties ar Ekonomikas ministriju par viņus interesējošiem jautājumiem saistībā ar Energoefektivitātes likuma prasību ievērošanu.</w:t>
            </w:r>
          </w:p>
        </w:tc>
      </w:tr>
      <w:tr w:rsidR="00894C55" w:rsidRPr="001B6D0A" w14:paraId="2D52A0F1"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D77A5F9" w14:textId="77777777" w:rsidR="00894C55" w:rsidRPr="001B6D0A" w:rsidRDefault="00894C55"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422701AC" w14:textId="77777777" w:rsidR="00894C55" w:rsidRPr="001B6D0A" w:rsidRDefault="00894C55"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D77F082" w14:textId="77777777" w:rsidR="00894C55" w:rsidRPr="001B6D0A" w:rsidRDefault="00DC4706"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Nav</w:t>
            </w:r>
          </w:p>
        </w:tc>
      </w:tr>
    </w:tbl>
    <w:p w14:paraId="55F4FED0" w14:textId="77777777" w:rsidR="00894C55" w:rsidRPr="001B6D0A" w:rsidRDefault="00894C55" w:rsidP="001B6D0A">
      <w:pPr>
        <w:shd w:val="clear" w:color="auto" w:fill="FFFFFF"/>
        <w:spacing w:after="0" w:line="240" w:lineRule="auto"/>
        <w:contextualSpacing/>
        <w:rPr>
          <w:rFonts w:ascii="Times New Roman" w:eastAsia="Times New Roman" w:hAnsi="Times New Roman" w:cs="Times New Roman"/>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53"/>
        <w:gridCol w:w="3443"/>
        <w:gridCol w:w="5165"/>
      </w:tblGrid>
      <w:tr w:rsidR="00820311" w:rsidRPr="001B6D0A" w14:paraId="62ED1240" w14:textId="77777777" w:rsidTr="00477E25">
        <w:trPr>
          <w:trHeight w:val="300"/>
          <w:jc w:val="center"/>
        </w:trPr>
        <w:tc>
          <w:tcPr>
            <w:tcW w:w="0" w:type="auto"/>
            <w:gridSpan w:val="3"/>
            <w:vAlign w:val="center"/>
            <w:hideMark/>
          </w:tcPr>
          <w:p w14:paraId="32E0536C" w14:textId="77777777" w:rsidR="00894C55" w:rsidRPr="001B6D0A" w:rsidRDefault="00894C55" w:rsidP="001B6D0A">
            <w:pPr>
              <w:spacing w:after="0" w:line="240" w:lineRule="auto"/>
              <w:contextualSpacing/>
              <w:jc w:val="center"/>
              <w:rPr>
                <w:rFonts w:ascii="Times New Roman" w:eastAsia="Times New Roman" w:hAnsi="Times New Roman" w:cs="Times New Roman"/>
                <w:b/>
                <w:bCs/>
                <w:sz w:val="24"/>
                <w:szCs w:val="24"/>
                <w:lang w:eastAsia="lv-LV"/>
              </w:rPr>
            </w:pPr>
            <w:r w:rsidRPr="001B6D0A">
              <w:rPr>
                <w:rFonts w:ascii="Times New Roman" w:eastAsia="Times New Roman" w:hAnsi="Times New Roman" w:cs="Times New Roman"/>
                <w:b/>
                <w:bCs/>
                <w:sz w:val="24"/>
                <w:szCs w:val="24"/>
                <w:lang w:eastAsia="lv-LV"/>
              </w:rPr>
              <w:t>VII.</w:t>
            </w:r>
            <w:r w:rsidR="00816C11" w:rsidRPr="001B6D0A">
              <w:rPr>
                <w:rFonts w:ascii="Times New Roman" w:eastAsia="Times New Roman" w:hAnsi="Times New Roman" w:cs="Times New Roman"/>
                <w:b/>
                <w:bCs/>
                <w:sz w:val="24"/>
                <w:szCs w:val="24"/>
                <w:lang w:eastAsia="lv-LV"/>
              </w:rPr>
              <w:t> </w:t>
            </w:r>
            <w:r w:rsidRPr="001B6D0A">
              <w:rPr>
                <w:rFonts w:ascii="Times New Roman" w:eastAsia="Times New Roman" w:hAnsi="Times New Roman" w:cs="Times New Roman"/>
                <w:b/>
                <w:bCs/>
                <w:sz w:val="24"/>
                <w:szCs w:val="24"/>
                <w:lang w:eastAsia="lv-LV"/>
              </w:rPr>
              <w:t>Tiesību akta projekta izpildes nodrošināšana un tās ietekme uz institūcijām</w:t>
            </w:r>
          </w:p>
        </w:tc>
      </w:tr>
      <w:tr w:rsidR="00820311" w:rsidRPr="001B6D0A" w14:paraId="58215E59" w14:textId="77777777" w:rsidTr="00477E25">
        <w:trPr>
          <w:trHeight w:val="336"/>
          <w:jc w:val="center"/>
        </w:trPr>
        <w:tc>
          <w:tcPr>
            <w:tcW w:w="250" w:type="pct"/>
            <w:hideMark/>
          </w:tcPr>
          <w:p w14:paraId="3BE20E0C" w14:textId="77777777" w:rsidR="00894C55" w:rsidRPr="001B6D0A" w:rsidRDefault="00894C55"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1.</w:t>
            </w:r>
          </w:p>
        </w:tc>
        <w:tc>
          <w:tcPr>
            <w:tcW w:w="1900" w:type="pct"/>
            <w:hideMark/>
          </w:tcPr>
          <w:p w14:paraId="6A41B24E" w14:textId="77777777" w:rsidR="00894C55" w:rsidRPr="001B6D0A" w:rsidRDefault="00894C55"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Projekta izpildē iesaistītās institūcijas</w:t>
            </w:r>
          </w:p>
        </w:tc>
        <w:tc>
          <w:tcPr>
            <w:tcW w:w="2850" w:type="pct"/>
            <w:hideMark/>
          </w:tcPr>
          <w:p w14:paraId="75625344" w14:textId="77777777" w:rsidR="00894C55" w:rsidRPr="001B6D0A" w:rsidRDefault="00F76E4B"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EM</w:t>
            </w:r>
          </w:p>
        </w:tc>
      </w:tr>
      <w:tr w:rsidR="00820311" w:rsidRPr="001B6D0A" w14:paraId="13FD9709" w14:textId="77777777" w:rsidTr="00477E25">
        <w:trPr>
          <w:trHeight w:val="360"/>
          <w:jc w:val="center"/>
        </w:trPr>
        <w:tc>
          <w:tcPr>
            <w:tcW w:w="250" w:type="pct"/>
            <w:hideMark/>
          </w:tcPr>
          <w:p w14:paraId="132D65E9" w14:textId="77777777" w:rsidR="00894C55" w:rsidRPr="001B6D0A" w:rsidRDefault="00894C55"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lastRenderedPageBreak/>
              <w:t>2.</w:t>
            </w:r>
          </w:p>
        </w:tc>
        <w:tc>
          <w:tcPr>
            <w:tcW w:w="1900" w:type="pct"/>
            <w:hideMark/>
          </w:tcPr>
          <w:p w14:paraId="4FAB4C7F" w14:textId="77777777" w:rsidR="00894C55" w:rsidRPr="001B6D0A" w:rsidRDefault="00894C55"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Projekta izpildes ietekme uz pārvaldes funkcijām un institucionālo struktūru.</w:t>
            </w:r>
          </w:p>
          <w:p w14:paraId="79A28E75" w14:textId="77777777" w:rsidR="00894C55" w:rsidRPr="001B6D0A" w:rsidRDefault="00894C55"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hideMark/>
          </w:tcPr>
          <w:p w14:paraId="6C40150A" w14:textId="77777777" w:rsidR="00526003" w:rsidRPr="001B6D0A" w:rsidRDefault="00526003" w:rsidP="001B6D0A">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Likumprojektā iekļautie nosacījumi var radīt ietekmi uz pārvaldes funkcijām, tomēr tas neietekmēs institucionālo sistēmu.</w:t>
            </w:r>
          </w:p>
          <w:p w14:paraId="09B586B6" w14:textId="502FF33A" w:rsidR="00894C55" w:rsidRPr="001B6D0A" w:rsidRDefault="00526003" w:rsidP="001B6D0A">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Likumprojektā iekļauto nosacījumu izpildei nav nepieciešams veidot jaunas institūcijas, likvidēt vai reorganizēt esošās institūcijas.</w:t>
            </w:r>
          </w:p>
        </w:tc>
      </w:tr>
      <w:tr w:rsidR="00227E17" w:rsidRPr="001B6D0A" w14:paraId="46FE743F" w14:textId="77777777" w:rsidTr="00477E25">
        <w:trPr>
          <w:trHeight w:val="312"/>
          <w:jc w:val="center"/>
        </w:trPr>
        <w:tc>
          <w:tcPr>
            <w:tcW w:w="250" w:type="pct"/>
            <w:hideMark/>
          </w:tcPr>
          <w:p w14:paraId="0298007A" w14:textId="77777777" w:rsidR="00894C55" w:rsidRPr="001B6D0A" w:rsidRDefault="00894C55"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3.</w:t>
            </w:r>
          </w:p>
        </w:tc>
        <w:tc>
          <w:tcPr>
            <w:tcW w:w="1900" w:type="pct"/>
            <w:hideMark/>
          </w:tcPr>
          <w:p w14:paraId="1C56F162" w14:textId="77777777" w:rsidR="00894C55" w:rsidRPr="001B6D0A" w:rsidRDefault="00894C55"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Cita informācija</w:t>
            </w:r>
          </w:p>
        </w:tc>
        <w:tc>
          <w:tcPr>
            <w:tcW w:w="2850" w:type="pct"/>
          </w:tcPr>
          <w:p w14:paraId="4E7704C2" w14:textId="77777777" w:rsidR="00894C55" w:rsidRPr="001B6D0A" w:rsidRDefault="00DC4706" w:rsidP="001B6D0A">
            <w:pPr>
              <w:spacing w:after="0" w:line="240" w:lineRule="auto"/>
              <w:contextualSpacing/>
              <w:rPr>
                <w:rFonts w:ascii="Times New Roman" w:eastAsia="Times New Roman" w:hAnsi="Times New Roman" w:cs="Times New Roman"/>
                <w:sz w:val="24"/>
                <w:szCs w:val="24"/>
                <w:lang w:eastAsia="lv-LV"/>
              </w:rPr>
            </w:pPr>
            <w:r w:rsidRPr="001B6D0A">
              <w:rPr>
                <w:rFonts w:ascii="Times New Roman" w:eastAsia="Times New Roman" w:hAnsi="Times New Roman" w:cs="Times New Roman"/>
                <w:sz w:val="24"/>
                <w:szCs w:val="24"/>
                <w:lang w:eastAsia="lv-LV"/>
              </w:rPr>
              <w:t>Nav</w:t>
            </w:r>
          </w:p>
        </w:tc>
      </w:tr>
    </w:tbl>
    <w:p w14:paraId="2ABE72B3" w14:textId="77777777" w:rsidR="00720585" w:rsidRPr="001B6D0A" w:rsidRDefault="00720585" w:rsidP="001B6D0A">
      <w:pPr>
        <w:spacing w:after="0" w:line="240" w:lineRule="auto"/>
        <w:contextualSpacing/>
        <w:rPr>
          <w:rFonts w:ascii="Times New Roman" w:hAnsi="Times New Roman" w:cs="Times New Roman"/>
          <w:sz w:val="24"/>
          <w:szCs w:val="24"/>
        </w:rPr>
      </w:pPr>
    </w:p>
    <w:p w14:paraId="67430063" w14:textId="77777777" w:rsidR="00C25B49" w:rsidRPr="001B6D0A" w:rsidRDefault="00C25B49" w:rsidP="001B6D0A">
      <w:pPr>
        <w:spacing w:after="0" w:line="240" w:lineRule="auto"/>
        <w:contextualSpacing/>
        <w:rPr>
          <w:rFonts w:ascii="Times New Roman" w:hAnsi="Times New Roman" w:cs="Times New Roman"/>
          <w:sz w:val="24"/>
          <w:szCs w:val="24"/>
        </w:rPr>
      </w:pPr>
    </w:p>
    <w:p w14:paraId="1072BB1F" w14:textId="77777777" w:rsidR="009053FB" w:rsidRPr="001B6D0A" w:rsidRDefault="009053FB" w:rsidP="001B6D0A">
      <w:pPr>
        <w:spacing w:after="0" w:line="240" w:lineRule="auto"/>
        <w:contextualSpacing/>
        <w:rPr>
          <w:rFonts w:ascii="Times New Roman" w:hAnsi="Times New Roman" w:cs="Times New Roman"/>
          <w:sz w:val="24"/>
          <w:szCs w:val="24"/>
        </w:rPr>
      </w:pPr>
    </w:p>
    <w:p w14:paraId="4290E93E" w14:textId="6BFF8215" w:rsidR="00397F4C" w:rsidRPr="001B6D0A" w:rsidRDefault="00CA211D" w:rsidP="001B6D0A">
      <w:pPr>
        <w:tabs>
          <w:tab w:val="left" w:pos="7230"/>
        </w:tabs>
        <w:spacing w:after="0" w:line="240" w:lineRule="auto"/>
        <w:contextualSpacing/>
        <w:rPr>
          <w:rFonts w:ascii="Times New Roman" w:hAnsi="Times New Roman" w:cs="Times New Roman"/>
          <w:sz w:val="24"/>
          <w:szCs w:val="24"/>
        </w:rPr>
      </w:pPr>
      <w:r w:rsidRPr="001B6D0A">
        <w:rPr>
          <w:rFonts w:ascii="Times New Roman" w:hAnsi="Times New Roman" w:cs="Times New Roman"/>
          <w:sz w:val="24"/>
          <w:szCs w:val="24"/>
        </w:rPr>
        <w:t>E</w:t>
      </w:r>
      <w:r w:rsidR="009F4CAC" w:rsidRPr="001B6D0A">
        <w:rPr>
          <w:rFonts w:ascii="Times New Roman" w:hAnsi="Times New Roman" w:cs="Times New Roman"/>
          <w:sz w:val="24"/>
          <w:szCs w:val="24"/>
        </w:rPr>
        <w:t>konomikas ministrs</w:t>
      </w:r>
      <w:r w:rsidR="009F4CAC" w:rsidRPr="001B6D0A" w:rsidDel="009F4CAC">
        <w:rPr>
          <w:rFonts w:ascii="Times New Roman" w:hAnsi="Times New Roman" w:cs="Times New Roman"/>
          <w:sz w:val="24"/>
          <w:szCs w:val="24"/>
        </w:rPr>
        <w:t xml:space="preserve"> </w:t>
      </w:r>
      <w:r w:rsidR="00894C55" w:rsidRPr="001B6D0A">
        <w:rPr>
          <w:rFonts w:ascii="Times New Roman" w:hAnsi="Times New Roman" w:cs="Times New Roman"/>
          <w:sz w:val="24"/>
          <w:szCs w:val="24"/>
        </w:rPr>
        <w:tab/>
      </w:r>
      <w:r w:rsidR="007D3BDD" w:rsidRPr="001B6D0A">
        <w:rPr>
          <w:rFonts w:ascii="Times New Roman" w:hAnsi="Times New Roman" w:cs="Times New Roman"/>
          <w:sz w:val="24"/>
          <w:szCs w:val="24"/>
        </w:rPr>
        <w:t>R.</w:t>
      </w:r>
      <w:r w:rsidRPr="001B6D0A">
        <w:rPr>
          <w:rFonts w:ascii="Times New Roman" w:hAnsi="Times New Roman" w:cs="Times New Roman"/>
          <w:sz w:val="24"/>
          <w:szCs w:val="24"/>
        </w:rPr>
        <w:t xml:space="preserve"> </w:t>
      </w:r>
      <w:proofErr w:type="spellStart"/>
      <w:r w:rsidR="007D3BDD" w:rsidRPr="001B6D0A">
        <w:rPr>
          <w:rFonts w:ascii="Times New Roman" w:hAnsi="Times New Roman" w:cs="Times New Roman"/>
          <w:sz w:val="24"/>
          <w:szCs w:val="24"/>
        </w:rPr>
        <w:t>Nemiro</w:t>
      </w:r>
      <w:proofErr w:type="spellEnd"/>
    </w:p>
    <w:p w14:paraId="6B5FD572" w14:textId="77777777" w:rsidR="001E7256" w:rsidRPr="001B6D0A" w:rsidRDefault="001E7256" w:rsidP="001B6D0A">
      <w:pPr>
        <w:spacing w:after="0" w:line="240" w:lineRule="auto"/>
        <w:contextualSpacing/>
        <w:rPr>
          <w:rFonts w:ascii="Times New Roman" w:hAnsi="Times New Roman" w:cs="Times New Roman"/>
          <w:sz w:val="24"/>
          <w:szCs w:val="24"/>
        </w:rPr>
      </w:pPr>
    </w:p>
    <w:p w14:paraId="6287A18F" w14:textId="77777777" w:rsidR="001E7256" w:rsidRPr="001B6D0A" w:rsidRDefault="001E7256" w:rsidP="001B6D0A">
      <w:pPr>
        <w:spacing w:after="0" w:line="240" w:lineRule="auto"/>
        <w:contextualSpacing/>
        <w:rPr>
          <w:rFonts w:ascii="Times New Roman" w:hAnsi="Times New Roman" w:cs="Times New Roman"/>
          <w:sz w:val="24"/>
          <w:szCs w:val="24"/>
        </w:rPr>
      </w:pPr>
    </w:p>
    <w:p w14:paraId="4C50C098" w14:textId="568C618F" w:rsidR="009053FB" w:rsidRPr="001B6D0A" w:rsidRDefault="00F11F4E" w:rsidP="001B6D0A">
      <w:pPr>
        <w:spacing w:after="0" w:line="240" w:lineRule="auto"/>
        <w:contextualSpacing/>
        <w:rPr>
          <w:rFonts w:ascii="Times New Roman" w:hAnsi="Times New Roman" w:cs="Times New Roman"/>
          <w:sz w:val="24"/>
          <w:szCs w:val="24"/>
        </w:rPr>
      </w:pPr>
      <w:r w:rsidRPr="001B6D0A">
        <w:rPr>
          <w:rFonts w:ascii="Times New Roman" w:hAnsi="Times New Roman" w:cs="Times New Roman"/>
          <w:sz w:val="24"/>
          <w:szCs w:val="24"/>
        </w:rPr>
        <w:t>Vīza:</w:t>
      </w:r>
    </w:p>
    <w:p w14:paraId="50F97596" w14:textId="442E62C1" w:rsidR="00894C55" w:rsidRPr="001B6D0A" w:rsidRDefault="00437885" w:rsidP="001B6D0A">
      <w:pPr>
        <w:tabs>
          <w:tab w:val="left" w:pos="7230"/>
        </w:tabs>
        <w:spacing w:after="0" w:line="240" w:lineRule="auto"/>
        <w:contextualSpacing/>
        <w:rPr>
          <w:rFonts w:ascii="Times New Roman" w:hAnsi="Times New Roman" w:cs="Times New Roman"/>
          <w:sz w:val="24"/>
          <w:szCs w:val="24"/>
        </w:rPr>
      </w:pPr>
      <w:r w:rsidRPr="001B6D0A">
        <w:rPr>
          <w:rFonts w:ascii="Times New Roman" w:hAnsi="Times New Roman" w:cs="Times New Roman"/>
          <w:sz w:val="24"/>
          <w:szCs w:val="24"/>
        </w:rPr>
        <w:t>V</w:t>
      </w:r>
      <w:r w:rsidR="00894C55" w:rsidRPr="001B6D0A">
        <w:rPr>
          <w:rFonts w:ascii="Times New Roman" w:hAnsi="Times New Roman" w:cs="Times New Roman"/>
          <w:sz w:val="24"/>
          <w:szCs w:val="24"/>
        </w:rPr>
        <w:t>alsts sekretārs</w:t>
      </w:r>
      <w:r w:rsidR="00894C55" w:rsidRPr="001B6D0A">
        <w:rPr>
          <w:rFonts w:ascii="Times New Roman" w:hAnsi="Times New Roman" w:cs="Times New Roman"/>
          <w:sz w:val="24"/>
          <w:szCs w:val="24"/>
        </w:rPr>
        <w:tab/>
      </w:r>
      <w:r w:rsidR="00227E17" w:rsidRPr="001B6D0A">
        <w:rPr>
          <w:rFonts w:ascii="Times New Roman" w:hAnsi="Times New Roman" w:cs="Times New Roman"/>
          <w:sz w:val="24"/>
          <w:szCs w:val="24"/>
        </w:rPr>
        <w:t>Ē.</w:t>
      </w:r>
      <w:r w:rsidR="00717B4B" w:rsidRPr="001B6D0A">
        <w:rPr>
          <w:rFonts w:ascii="Times New Roman" w:hAnsi="Times New Roman" w:cs="Times New Roman"/>
          <w:sz w:val="24"/>
          <w:szCs w:val="24"/>
        </w:rPr>
        <w:t xml:space="preserve"> </w:t>
      </w:r>
      <w:r w:rsidR="00227E17" w:rsidRPr="001B6D0A">
        <w:rPr>
          <w:rFonts w:ascii="Times New Roman" w:hAnsi="Times New Roman" w:cs="Times New Roman"/>
          <w:sz w:val="24"/>
          <w:szCs w:val="24"/>
        </w:rPr>
        <w:t>Eglītis</w:t>
      </w:r>
    </w:p>
    <w:p w14:paraId="0D20EAB0" w14:textId="77777777" w:rsidR="00894C55" w:rsidRPr="001B6D0A" w:rsidRDefault="00894C55" w:rsidP="001B6D0A">
      <w:pPr>
        <w:tabs>
          <w:tab w:val="left" w:pos="6237"/>
        </w:tabs>
        <w:spacing w:after="0" w:line="240" w:lineRule="auto"/>
        <w:contextualSpacing/>
        <w:rPr>
          <w:rFonts w:ascii="Times New Roman" w:hAnsi="Times New Roman" w:cs="Times New Roman"/>
          <w:sz w:val="24"/>
          <w:szCs w:val="24"/>
        </w:rPr>
      </w:pPr>
    </w:p>
    <w:p w14:paraId="42D82AB1" w14:textId="77777777" w:rsidR="009053FB" w:rsidRPr="001B6D0A" w:rsidRDefault="009053FB" w:rsidP="001B6D0A">
      <w:pPr>
        <w:tabs>
          <w:tab w:val="left" w:pos="6237"/>
        </w:tabs>
        <w:spacing w:after="0" w:line="240" w:lineRule="auto"/>
        <w:contextualSpacing/>
        <w:rPr>
          <w:rFonts w:ascii="Times New Roman" w:hAnsi="Times New Roman" w:cs="Times New Roman"/>
          <w:sz w:val="24"/>
          <w:szCs w:val="24"/>
        </w:rPr>
      </w:pPr>
    </w:p>
    <w:p w14:paraId="79EAB073" w14:textId="77777777" w:rsidR="00227E17" w:rsidRPr="001B6D0A" w:rsidRDefault="00227E17" w:rsidP="001B6D0A">
      <w:pPr>
        <w:tabs>
          <w:tab w:val="left" w:pos="6237"/>
        </w:tabs>
        <w:spacing w:after="0" w:line="240" w:lineRule="auto"/>
        <w:contextualSpacing/>
        <w:rPr>
          <w:rFonts w:ascii="Times New Roman" w:hAnsi="Times New Roman" w:cs="Times New Roman"/>
          <w:sz w:val="24"/>
          <w:szCs w:val="24"/>
        </w:rPr>
      </w:pPr>
    </w:p>
    <w:p w14:paraId="3B80180D" w14:textId="77777777" w:rsidR="005A791E" w:rsidRPr="00C131E0" w:rsidRDefault="005A791E" w:rsidP="001B6D0A">
      <w:pPr>
        <w:tabs>
          <w:tab w:val="left" w:pos="6237"/>
        </w:tabs>
        <w:spacing w:after="0" w:line="240" w:lineRule="auto"/>
        <w:contextualSpacing/>
        <w:rPr>
          <w:rFonts w:ascii="Times New Roman" w:hAnsi="Times New Roman" w:cs="Times New Roman"/>
          <w:sz w:val="20"/>
          <w:szCs w:val="20"/>
        </w:rPr>
      </w:pPr>
      <w:r w:rsidRPr="00C131E0">
        <w:rPr>
          <w:rFonts w:ascii="Times New Roman" w:hAnsi="Times New Roman" w:cs="Times New Roman"/>
          <w:sz w:val="20"/>
          <w:szCs w:val="20"/>
        </w:rPr>
        <w:t>Ozoliņa</w:t>
      </w:r>
      <w:r w:rsidR="0079359A" w:rsidRPr="00C131E0">
        <w:rPr>
          <w:rFonts w:ascii="Times New Roman" w:hAnsi="Times New Roman" w:cs="Times New Roman"/>
          <w:sz w:val="20"/>
          <w:szCs w:val="20"/>
        </w:rPr>
        <w:t xml:space="preserve"> </w:t>
      </w:r>
      <w:r w:rsidR="00894C55" w:rsidRPr="00C131E0">
        <w:rPr>
          <w:rFonts w:ascii="Times New Roman" w:hAnsi="Times New Roman" w:cs="Times New Roman"/>
          <w:sz w:val="20"/>
          <w:szCs w:val="20"/>
        </w:rPr>
        <w:t>6701</w:t>
      </w:r>
      <w:r w:rsidR="00943543" w:rsidRPr="00C131E0">
        <w:rPr>
          <w:rFonts w:ascii="Times New Roman" w:hAnsi="Times New Roman" w:cs="Times New Roman"/>
          <w:sz w:val="20"/>
          <w:szCs w:val="20"/>
        </w:rPr>
        <w:t>3</w:t>
      </w:r>
      <w:r w:rsidRPr="00C131E0">
        <w:rPr>
          <w:rFonts w:ascii="Times New Roman" w:hAnsi="Times New Roman" w:cs="Times New Roman"/>
          <w:sz w:val="20"/>
          <w:szCs w:val="20"/>
        </w:rPr>
        <w:t>175</w:t>
      </w:r>
    </w:p>
    <w:p w14:paraId="3C277055" w14:textId="77777777" w:rsidR="00894C55" w:rsidRPr="00C131E0" w:rsidRDefault="005A791E" w:rsidP="001B6D0A">
      <w:pPr>
        <w:tabs>
          <w:tab w:val="left" w:pos="6237"/>
        </w:tabs>
        <w:spacing w:after="0" w:line="240" w:lineRule="auto"/>
        <w:contextualSpacing/>
        <w:rPr>
          <w:rFonts w:ascii="Times New Roman" w:hAnsi="Times New Roman" w:cs="Times New Roman"/>
          <w:sz w:val="20"/>
          <w:szCs w:val="20"/>
        </w:rPr>
      </w:pPr>
      <w:r w:rsidRPr="00C131E0">
        <w:rPr>
          <w:rFonts w:ascii="Times New Roman" w:hAnsi="Times New Roman" w:cs="Times New Roman"/>
          <w:sz w:val="20"/>
          <w:szCs w:val="20"/>
        </w:rPr>
        <w:t>inguna.ozol</w:t>
      </w:r>
      <w:r w:rsidR="00E4410A" w:rsidRPr="00C131E0">
        <w:rPr>
          <w:rFonts w:ascii="Times New Roman" w:hAnsi="Times New Roman" w:cs="Times New Roman"/>
          <w:sz w:val="20"/>
          <w:szCs w:val="20"/>
        </w:rPr>
        <w:t>i</w:t>
      </w:r>
      <w:r w:rsidRPr="00C131E0">
        <w:rPr>
          <w:rFonts w:ascii="Times New Roman" w:hAnsi="Times New Roman" w:cs="Times New Roman"/>
          <w:sz w:val="20"/>
          <w:szCs w:val="20"/>
        </w:rPr>
        <w:t>na@em.gov.lv</w:t>
      </w:r>
    </w:p>
    <w:sectPr w:rsidR="00894C55" w:rsidRPr="00C131E0" w:rsidSect="0087342D">
      <w:headerReference w:type="default"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9950E" w14:textId="77777777" w:rsidR="004A4195" w:rsidRDefault="004A4195" w:rsidP="00894C55">
      <w:pPr>
        <w:spacing w:after="0" w:line="240" w:lineRule="auto"/>
      </w:pPr>
      <w:r>
        <w:separator/>
      </w:r>
    </w:p>
  </w:endnote>
  <w:endnote w:type="continuationSeparator" w:id="0">
    <w:p w14:paraId="0811472D" w14:textId="77777777" w:rsidR="004A4195" w:rsidRDefault="004A419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464A02FE" w:rsidR="004A4195" w:rsidRPr="009F4CAC" w:rsidRDefault="004A4195" w:rsidP="009F4CAC">
    <w:pPr>
      <w:pStyle w:val="Footer"/>
      <w:rPr>
        <w:rFonts w:ascii="Times New Roman" w:hAnsi="Times New Roman" w:cs="Times New Roman"/>
        <w:sz w:val="20"/>
        <w:szCs w:val="20"/>
      </w:rPr>
    </w:pPr>
    <w:r>
      <w:rPr>
        <w:rFonts w:ascii="Times New Roman" w:hAnsi="Times New Roman" w:cs="Times New Roman"/>
        <w:sz w:val="20"/>
        <w:szCs w:val="20"/>
      </w:rPr>
      <w:t>EMA</w:t>
    </w:r>
    <w:r w:rsidRPr="005E5000">
      <w:rPr>
        <w:rFonts w:ascii="Times New Roman" w:hAnsi="Times New Roman" w:cs="Times New Roman"/>
        <w:sz w:val="20"/>
        <w:szCs w:val="20"/>
      </w:rPr>
      <w:t>not_</w:t>
    </w:r>
    <w:r>
      <w:rPr>
        <w:rFonts w:ascii="Times New Roman" w:hAnsi="Times New Roman" w:cs="Times New Roman"/>
        <w:sz w:val="20"/>
        <w:szCs w:val="20"/>
      </w:rPr>
      <w:t>150919</w:t>
    </w:r>
    <w:r w:rsidRPr="005E5000">
      <w:rPr>
        <w:rFonts w:ascii="Times New Roman" w:hAnsi="Times New Roman" w:cs="Times New Roman"/>
        <w:sz w:val="20"/>
        <w:szCs w:val="20"/>
      </w:rPr>
      <w:t>_</w:t>
    </w:r>
    <w:r w:rsidRPr="0036218A">
      <w:t xml:space="preserve"> </w:t>
    </w:r>
    <w:r w:rsidRPr="0036218A">
      <w:rPr>
        <w:rFonts w:ascii="Times New Roman" w:hAnsi="Times New Roman" w:cs="Times New Roman"/>
        <w:sz w:val="20"/>
        <w:szCs w:val="20"/>
      </w:rPr>
      <w:t>VSS_45.docx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50622A97" w:rsidR="004A4195" w:rsidRPr="009F4CAC" w:rsidRDefault="004A4195">
    <w:pPr>
      <w:pStyle w:val="Footer"/>
      <w:rPr>
        <w:rFonts w:ascii="Times New Roman" w:hAnsi="Times New Roman" w:cs="Times New Roman"/>
        <w:sz w:val="20"/>
        <w:szCs w:val="20"/>
      </w:rPr>
    </w:pPr>
    <w:r>
      <w:rPr>
        <w:rFonts w:ascii="Times New Roman" w:hAnsi="Times New Roman" w:cs="Times New Roman"/>
        <w:sz w:val="20"/>
        <w:szCs w:val="20"/>
      </w:rPr>
      <w:t>EMA</w:t>
    </w:r>
    <w:r w:rsidRPr="005E5000">
      <w:rPr>
        <w:rFonts w:ascii="Times New Roman" w:hAnsi="Times New Roman" w:cs="Times New Roman"/>
        <w:sz w:val="20"/>
        <w:szCs w:val="20"/>
      </w:rPr>
      <w:t>not_</w:t>
    </w:r>
    <w:r>
      <w:rPr>
        <w:rFonts w:ascii="Times New Roman" w:hAnsi="Times New Roman" w:cs="Times New Roman"/>
        <w:sz w:val="20"/>
        <w:szCs w:val="20"/>
      </w:rPr>
      <w:t>090919</w:t>
    </w:r>
    <w:r w:rsidRPr="005E5000">
      <w:rPr>
        <w:rFonts w:ascii="Times New Roman" w:hAnsi="Times New Roman" w:cs="Times New Roman"/>
        <w:sz w:val="20"/>
        <w:szCs w:val="20"/>
      </w:rPr>
      <w:t>_</w:t>
    </w:r>
    <w:bookmarkStart w:id="14" w:name="_Hlk16255403"/>
    <w:bookmarkStart w:id="15" w:name="_Hlk16255404"/>
    <w:r>
      <w:rPr>
        <w:rFonts w:ascii="Times New Roman" w:hAnsi="Times New Roman" w:cs="Times New Roman"/>
        <w:sz w:val="20"/>
        <w:szCs w:val="20"/>
      </w:rPr>
      <w:t>VSS_45.docx</w:t>
    </w:r>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E994D" w14:textId="77777777" w:rsidR="004A4195" w:rsidRDefault="004A4195" w:rsidP="00894C55">
      <w:pPr>
        <w:spacing w:after="0" w:line="240" w:lineRule="auto"/>
      </w:pPr>
      <w:r>
        <w:separator/>
      </w:r>
    </w:p>
  </w:footnote>
  <w:footnote w:type="continuationSeparator" w:id="0">
    <w:p w14:paraId="099F3477" w14:textId="77777777" w:rsidR="004A4195" w:rsidRDefault="004A419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0"/>
        <w:szCs w:val="20"/>
      </w:rPr>
    </w:sdtEndPr>
    <w:sdtContent>
      <w:p w14:paraId="48CDC8A6" w14:textId="77777777" w:rsidR="004A4195" w:rsidRPr="001F6AC9" w:rsidRDefault="004A4195">
        <w:pPr>
          <w:pStyle w:val="Header"/>
          <w:jc w:val="center"/>
          <w:rPr>
            <w:rFonts w:ascii="Times New Roman" w:hAnsi="Times New Roman" w:cs="Times New Roman"/>
            <w:sz w:val="20"/>
            <w:szCs w:val="20"/>
          </w:rPr>
        </w:pPr>
        <w:r w:rsidRPr="001F6AC9">
          <w:rPr>
            <w:rFonts w:ascii="Times New Roman" w:hAnsi="Times New Roman" w:cs="Times New Roman"/>
            <w:sz w:val="20"/>
            <w:szCs w:val="20"/>
          </w:rPr>
          <w:fldChar w:fldCharType="begin"/>
        </w:r>
        <w:r w:rsidRPr="001F6AC9">
          <w:rPr>
            <w:rFonts w:ascii="Times New Roman" w:hAnsi="Times New Roman" w:cs="Times New Roman"/>
            <w:sz w:val="20"/>
            <w:szCs w:val="20"/>
          </w:rPr>
          <w:instrText xml:space="preserve"> PAGE   \* MERGEFORMAT </w:instrText>
        </w:r>
        <w:r w:rsidRPr="001F6AC9">
          <w:rPr>
            <w:rFonts w:ascii="Times New Roman" w:hAnsi="Times New Roman" w:cs="Times New Roman"/>
            <w:sz w:val="20"/>
            <w:szCs w:val="20"/>
          </w:rPr>
          <w:fldChar w:fldCharType="separate"/>
        </w:r>
        <w:r>
          <w:rPr>
            <w:rFonts w:ascii="Times New Roman" w:hAnsi="Times New Roman" w:cs="Times New Roman"/>
            <w:noProof/>
            <w:sz w:val="20"/>
            <w:szCs w:val="20"/>
          </w:rPr>
          <w:t>18</w:t>
        </w:r>
        <w:r w:rsidRPr="001F6AC9">
          <w:rPr>
            <w:rFonts w:ascii="Times New Roman" w:hAnsi="Times New Roman" w:cs="Times New Roman"/>
            <w:noProof/>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C9DE9" w14:textId="699001C2" w:rsidR="004A4195" w:rsidRDefault="004A4195" w:rsidP="00842465">
    <w:pPr>
      <w:pStyle w:val="Header"/>
      <w:tabs>
        <w:tab w:val="clear" w:pos="4153"/>
        <w:tab w:val="clear" w:pos="8306"/>
        <w:tab w:val="left" w:pos="20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317A0"/>
    <w:multiLevelType w:val="hybridMultilevel"/>
    <w:tmpl w:val="C07499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2E3F55"/>
    <w:multiLevelType w:val="hybridMultilevel"/>
    <w:tmpl w:val="0C0455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741"/>
    <w:rsid w:val="00002D56"/>
    <w:rsid w:val="00004D31"/>
    <w:rsid w:val="000062FE"/>
    <w:rsid w:val="00012C87"/>
    <w:rsid w:val="0001394E"/>
    <w:rsid w:val="00014049"/>
    <w:rsid w:val="000179C5"/>
    <w:rsid w:val="0002200B"/>
    <w:rsid w:val="0002232B"/>
    <w:rsid w:val="000278F2"/>
    <w:rsid w:val="00031326"/>
    <w:rsid w:val="000317A7"/>
    <w:rsid w:val="00033B25"/>
    <w:rsid w:val="00034F9A"/>
    <w:rsid w:val="0004000C"/>
    <w:rsid w:val="00041367"/>
    <w:rsid w:val="00042A73"/>
    <w:rsid w:val="00044F09"/>
    <w:rsid w:val="00045B89"/>
    <w:rsid w:val="00045C07"/>
    <w:rsid w:val="00047214"/>
    <w:rsid w:val="00051D8D"/>
    <w:rsid w:val="000537AB"/>
    <w:rsid w:val="000557DE"/>
    <w:rsid w:val="00057297"/>
    <w:rsid w:val="0006585C"/>
    <w:rsid w:val="0006682B"/>
    <w:rsid w:val="00073ACB"/>
    <w:rsid w:val="00076026"/>
    <w:rsid w:val="00077B6F"/>
    <w:rsid w:val="0008357F"/>
    <w:rsid w:val="000863C3"/>
    <w:rsid w:val="00087FA1"/>
    <w:rsid w:val="00087FA7"/>
    <w:rsid w:val="00090EA3"/>
    <w:rsid w:val="000922FB"/>
    <w:rsid w:val="000942FA"/>
    <w:rsid w:val="00096D45"/>
    <w:rsid w:val="000A2A90"/>
    <w:rsid w:val="000B080B"/>
    <w:rsid w:val="000B275C"/>
    <w:rsid w:val="000B5812"/>
    <w:rsid w:val="000B65EA"/>
    <w:rsid w:val="000B6F95"/>
    <w:rsid w:val="000C1AEA"/>
    <w:rsid w:val="000C54D2"/>
    <w:rsid w:val="000C619D"/>
    <w:rsid w:val="000C6267"/>
    <w:rsid w:val="000C7A0E"/>
    <w:rsid w:val="000D5F27"/>
    <w:rsid w:val="000D65C9"/>
    <w:rsid w:val="000E25AF"/>
    <w:rsid w:val="000E28DC"/>
    <w:rsid w:val="000E4028"/>
    <w:rsid w:val="000E4E6A"/>
    <w:rsid w:val="000E60A9"/>
    <w:rsid w:val="000E7C65"/>
    <w:rsid w:val="000F2391"/>
    <w:rsid w:val="000F2F02"/>
    <w:rsid w:val="000F3F04"/>
    <w:rsid w:val="00100DBD"/>
    <w:rsid w:val="00127F9B"/>
    <w:rsid w:val="00131AEA"/>
    <w:rsid w:val="00137D1B"/>
    <w:rsid w:val="00141AFD"/>
    <w:rsid w:val="001433F8"/>
    <w:rsid w:val="0014580F"/>
    <w:rsid w:val="00145C60"/>
    <w:rsid w:val="001460D4"/>
    <w:rsid w:val="00146BB0"/>
    <w:rsid w:val="00146E05"/>
    <w:rsid w:val="00152F72"/>
    <w:rsid w:val="00154A29"/>
    <w:rsid w:val="00157D2C"/>
    <w:rsid w:val="0016155E"/>
    <w:rsid w:val="00165A0C"/>
    <w:rsid w:val="001676A2"/>
    <w:rsid w:val="0018264F"/>
    <w:rsid w:val="001851D6"/>
    <w:rsid w:val="0019246E"/>
    <w:rsid w:val="00192DD9"/>
    <w:rsid w:val="00193B95"/>
    <w:rsid w:val="001940E4"/>
    <w:rsid w:val="001958A9"/>
    <w:rsid w:val="00195C26"/>
    <w:rsid w:val="001969F4"/>
    <w:rsid w:val="001A10B7"/>
    <w:rsid w:val="001A5F4F"/>
    <w:rsid w:val="001B1095"/>
    <w:rsid w:val="001B1F47"/>
    <w:rsid w:val="001B62F6"/>
    <w:rsid w:val="001B67E8"/>
    <w:rsid w:val="001B6987"/>
    <w:rsid w:val="001B6D0A"/>
    <w:rsid w:val="001C5CDB"/>
    <w:rsid w:val="001D5FBD"/>
    <w:rsid w:val="001D6EB9"/>
    <w:rsid w:val="001E1211"/>
    <w:rsid w:val="001E161C"/>
    <w:rsid w:val="001E4AAA"/>
    <w:rsid w:val="001E52A2"/>
    <w:rsid w:val="001E69FB"/>
    <w:rsid w:val="001E7256"/>
    <w:rsid w:val="001F1D3D"/>
    <w:rsid w:val="001F209C"/>
    <w:rsid w:val="001F2B53"/>
    <w:rsid w:val="001F63A0"/>
    <w:rsid w:val="001F6AC9"/>
    <w:rsid w:val="002017CE"/>
    <w:rsid w:val="00201AF0"/>
    <w:rsid w:val="0020252E"/>
    <w:rsid w:val="002071CD"/>
    <w:rsid w:val="00212C10"/>
    <w:rsid w:val="002157F6"/>
    <w:rsid w:val="0022481B"/>
    <w:rsid w:val="002265D1"/>
    <w:rsid w:val="00226F3C"/>
    <w:rsid w:val="00227E17"/>
    <w:rsid w:val="00233DAF"/>
    <w:rsid w:val="00234CFC"/>
    <w:rsid w:val="00234E27"/>
    <w:rsid w:val="0023564B"/>
    <w:rsid w:val="00237A54"/>
    <w:rsid w:val="00243426"/>
    <w:rsid w:val="0024502B"/>
    <w:rsid w:val="00245B34"/>
    <w:rsid w:val="002474AF"/>
    <w:rsid w:val="00256B0A"/>
    <w:rsid w:val="0025743B"/>
    <w:rsid w:val="002575F6"/>
    <w:rsid w:val="002679C0"/>
    <w:rsid w:val="00267D4C"/>
    <w:rsid w:val="00267ED7"/>
    <w:rsid w:val="002721C6"/>
    <w:rsid w:val="00274E97"/>
    <w:rsid w:val="00275C1E"/>
    <w:rsid w:val="00277351"/>
    <w:rsid w:val="00280FC9"/>
    <w:rsid w:val="00283CC5"/>
    <w:rsid w:val="00284E53"/>
    <w:rsid w:val="00285BE7"/>
    <w:rsid w:val="002863E0"/>
    <w:rsid w:val="00286720"/>
    <w:rsid w:val="00291E03"/>
    <w:rsid w:val="0029332B"/>
    <w:rsid w:val="002955F5"/>
    <w:rsid w:val="002A6E1F"/>
    <w:rsid w:val="002A7A37"/>
    <w:rsid w:val="002B261D"/>
    <w:rsid w:val="002B41A9"/>
    <w:rsid w:val="002B6BC6"/>
    <w:rsid w:val="002B7DF1"/>
    <w:rsid w:val="002C23F8"/>
    <w:rsid w:val="002C2FD7"/>
    <w:rsid w:val="002D235C"/>
    <w:rsid w:val="002D4DB7"/>
    <w:rsid w:val="002D6301"/>
    <w:rsid w:val="002D65CD"/>
    <w:rsid w:val="002D75F4"/>
    <w:rsid w:val="002E01E2"/>
    <w:rsid w:val="002E0D89"/>
    <w:rsid w:val="002E10E1"/>
    <w:rsid w:val="002E4639"/>
    <w:rsid w:val="002F1C38"/>
    <w:rsid w:val="002F3E59"/>
    <w:rsid w:val="002F6BCE"/>
    <w:rsid w:val="00302C3D"/>
    <w:rsid w:val="00303B18"/>
    <w:rsid w:val="0030415B"/>
    <w:rsid w:val="0031741E"/>
    <w:rsid w:val="003201C3"/>
    <w:rsid w:val="003222B6"/>
    <w:rsid w:val="00325440"/>
    <w:rsid w:val="00326878"/>
    <w:rsid w:val="0032795E"/>
    <w:rsid w:val="003304CC"/>
    <w:rsid w:val="00331911"/>
    <w:rsid w:val="00335555"/>
    <w:rsid w:val="00335A43"/>
    <w:rsid w:val="00336643"/>
    <w:rsid w:val="00342B7A"/>
    <w:rsid w:val="00347567"/>
    <w:rsid w:val="00350DE9"/>
    <w:rsid w:val="003533E0"/>
    <w:rsid w:val="0035453D"/>
    <w:rsid w:val="00354548"/>
    <w:rsid w:val="00354AF2"/>
    <w:rsid w:val="003552B6"/>
    <w:rsid w:val="00360020"/>
    <w:rsid w:val="00361B9B"/>
    <w:rsid w:val="00361E97"/>
    <w:rsid w:val="0036218A"/>
    <w:rsid w:val="00362DAE"/>
    <w:rsid w:val="003704A0"/>
    <w:rsid w:val="00371B92"/>
    <w:rsid w:val="003725D0"/>
    <w:rsid w:val="00377A35"/>
    <w:rsid w:val="00387446"/>
    <w:rsid w:val="00397956"/>
    <w:rsid w:val="00397F4C"/>
    <w:rsid w:val="003A05EC"/>
    <w:rsid w:val="003A4323"/>
    <w:rsid w:val="003B0BF9"/>
    <w:rsid w:val="003B52B7"/>
    <w:rsid w:val="003B5C4B"/>
    <w:rsid w:val="003C0DFB"/>
    <w:rsid w:val="003C44A6"/>
    <w:rsid w:val="003D4076"/>
    <w:rsid w:val="003E0791"/>
    <w:rsid w:val="003E1479"/>
    <w:rsid w:val="003E2386"/>
    <w:rsid w:val="003E7C01"/>
    <w:rsid w:val="003F28AC"/>
    <w:rsid w:val="003F3353"/>
    <w:rsid w:val="00402A7A"/>
    <w:rsid w:val="004045AF"/>
    <w:rsid w:val="0040519D"/>
    <w:rsid w:val="00406270"/>
    <w:rsid w:val="0041082F"/>
    <w:rsid w:val="00413B5E"/>
    <w:rsid w:val="00420316"/>
    <w:rsid w:val="00426193"/>
    <w:rsid w:val="00426674"/>
    <w:rsid w:val="00430679"/>
    <w:rsid w:val="00431EB3"/>
    <w:rsid w:val="00433C8B"/>
    <w:rsid w:val="0043627B"/>
    <w:rsid w:val="00437885"/>
    <w:rsid w:val="00440F43"/>
    <w:rsid w:val="00443B15"/>
    <w:rsid w:val="004454FE"/>
    <w:rsid w:val="00450A37"/>
    <w:rsid w:val="004533F6"/>
    <w:rsid w:val="00455911"/>
    <w:rsid w:val="004630D6"/>
    <w:rsid w:val="00465AFA"/>
    <w:rsid w:val="00467520"/>
    <w:rsid w:val="00467759"/>
    <w:rsid w:val="00471F27"/>
    <w:rsid w:val="00472ACF"/>
    <w:rsid w:val="00477E25"/>
    <w:rsid w:val="00480724"/>
    <w:rsid w:val="004808CE"/>
    <w:rsid w:val="00481F51"/>
    <w:rsid w:val="004825E9"/>
    <w:rsid w:val="0048657B"/>
    <w:rsid w:val="004913CB"/>
    <w:rsid w:val="004919B0"/>
    <w:rsid w:val="0049792D"/>
    <w:rsid w:val="004979D8"/>
    <w:rsid w:val="004A114D"/>
    <w:rsid w:val="004A23AA"/>
    <w:rsid w:val="004A2BD7"/>
    <w:rsid w:val="004A3A9F"/>
    <w:rsid w:val="004A4195"/>
    <w:rsid w:val="004A5ACF"/>
    <w:rsid w:val="004A6D86"/>
    <w:rsid w:val="004B19B5"/>
    <w:rsid w:val="004B3E48"/>
    <w:rsid w:val="004B4FD4"/>
    <w:rsid w:val="004B5BEC"/>
    <w:rsid w:val="004B7581"/>
    <w:rsid w:val="004B7B9D"/>
    <w:rsid w:val="004C0833"/>
    <w:rsid w:val="004C0951"/>
    <w:rsid w:val="004C0CDA"/>
    <w:rsid w:val="004C5620"/>
    <w:rsid w:val="004C6014"/>
    <w:rsid w:val="004D39F5"/>
    <w:rsid w:val="004D4560"/>
    <w:rsid w:val="004D7B78"/>
    <w:rsid w:val="004E21F6"/>
    <w:rsid w:val="004E5F6B"/>
    <w:rsid w:val="004E6F61"/>
    <w:rsid w:val="004F21B4"/>
    <w:rsid w:val="004F5975"/>
    <w:rsid w:val="004F6A34"/>
    <w:rsid w:val="005004CA"/>
    <w:rsid w:val="00500A23"/>
    <w:rsid w:val="0050178F"/>
    <w:rsid w:val="00501FFD"/>
    <w:rsid w:val="005055F6"/>
    <w:rsid w:val="0051154B"/>
    <w:rsid w:val="005212D2"/>
    <w:rsid w:val="0052168D"/>
    <w:rsid w:val="00525474"/>
    <w:rsid w:val="00526003"/>
    <w:rsid w:val="00527291"/>
    <w:rsid w:val="00542211"/>
    <w:rsid w:val="005465B9"/>
    <w:rsid w:val="00550058"/>
    <w:rsid w:val="005517CE"/>
    <w:rsid w:val="00551E29"/>
    <w:rsid w:val="00554F63"/>
    <w:rsid w:val="0055580C"/>
    <w:rsid w:val="00555FB0"/>
    <w:rsid w:val="00564E05"/>
    <w:rsid w:val="0057648D"/>
    <w:rsid w:val="00576598"/>
    <w:rsid w:val="00584EAD"/>
    <w:rsid w:val="00586425"/>
    <w:rsid w:val="00586535"/>
    <w:rsid w:val="005877AC"/>
    <w:rsid w:val="005931FB"/>
    <w:rsid w:val="00594E18"/>
    <w:rsid w:val="00595B4E"/>
    <w:rsid w:val="00595C12"/>
    <w:rsid w:val="005A5EB4"/>
    <w:rsid w:val="005A791E"/>
    <w:rsid w:val="005A7F8B"/>
    <w:rsid w:val="005B111A"/>
    <w:rsid w:val="005B6174"/>
    <w:rsid w:val="005B7B9D"/>
    <w:rsid w:val="005B7F37"/>
    <w:rsid w:val="005C0649"/>
    <w:rsid w:val="005C2E1C"/>
    <w:rsid w:val="005C4531"/>
    <w:rsid w:val="005C7857"/>
    <w:rsid w:val="005D0F37"/>
    <w:rsid w:val="005D1904"/>
    <w:rsid w:val="005D764F"/>
    <w:rsid w:val="005E2CB5"/>
    <w:rsid w:val="005E2E9F"/>
    <w:rsid w:val="005E4B92"/>
    <w:rsid w:val="005E5000"/>
    <w:rsid w:val="005E5871"/>
    <w:rsid w:val="005F7279"/>
    <w:rsid w:val="0060099B"/>
    <w:rsid w:val="00600D8A"/>
    <w:rsid w:val="00601262"/>
    <w:rsid w:val="00602ABA"/>
    <w:rsid w:val="0060328F"/>
    <w:rsid w:val="00604D4D"/>
    <w:rsid w:val="006064B4"/>
    <w:rsid w:val="00610B00"/>
    <w:rsid w:val="006146CD"/>
    <w:rsid w:val="00614908"/>
    <w:rsid w:val="00621D72"/>
    <w:rsid w:val="0062392D"/>
    <w:rsid w:val="006259C7"/>
    <w:rsid w:val="006300CE"/>
    <w:rsid w:val="006321E9"/>
    <w:rsid w:val="0063540A"/>
    <w:rsid w:val="00635CBA"/>
    <w:rsid w:val="006363D7"/>
    <w:rsid w:val="00642A51"/>
    <w:rsid w:val="00643BE5"/>
    <w:rsid w:val="00647461"/>
    <w:rsid w:val="00652873"/>
    <w:rsid w:val="00663D63"/>
    <w:rsid w:val="00664E7D"/>
    <w:rsid w:val="00670092"/>
    <w:rsid w:val="006713B2"/>
    <w:rsid w:val="0067399B"/>
    <w:rsid w:val="00677CD7"/>
    <w:rsid w:val="0068231A"/>
    <w:rsid w:val="00682C4D"/>
    <w:rsid w:val="00683EB2"/>
    <w:rsid w:val="0069051E"/>
    <w:rsid w:val="00691BE5"/>
    <w:rsid w:val="00693FBD"/>
    <w:rsid w:val="0069596C"/>
    <w:rsid w:val="006A436A"/>
    <w:rsid w:val="006A72D6"/>
    <w:rsid w:val="006B15BE"/>
    <w:rsid w:val="006B2B12"/>
    <w:rsid w:val="006B4BAD"/>
    <w:rsid w:val="006B52C7"/>
    <w:rsid w:val="006B68EB"/>
    <w:rsid w:val="006C2B21"/>
    <w:rsid w:val="006C5CB9"/>
    <w:rsid w:val="006D0292"/>
    <w:rsid w:val="006D39EC"/>
    <w:rsid w:val="006D5F5A"/>
    <w:rsid w:val="006E1081"/>
    <w:rsid w:val="006E2B2F"/>
    <w:rsid w:val="006E2BEB"/>
    <w:rsid w:val="006E48EF"/>
    <w:rsid w:val="006E4D04"/>
    <w:rsid w:val="006E51E9"/>
    <w:rsid w:val="006F4638"/>
    <w:rsid w:val="006F4EC3"/>
    <w:rsid w:val="006F7699"/>
    <w:rsid w:val="00701009"/>
    <w:rsid w:val="00701055"/>
    <w:rsid w:val="007023D1"/>
    <w:rsid w:val="007030DB"/>
    <w:rsid w:val="00703679"/>
    <w:rsid w:val="00704922"/>
    <w:rsid w:val="00705FD0"/>
    <w:rsid w:val="00714E26"/>
    <w:rsid w:val="00717B4B"/>
    <w:rsid w:val="00717DE3"/>
    <w:rsid w:val="00720585"/>
    <w:rsid w:val="00721190"/>
    <w:rsid w:val="00723D0F"/>
    <w:rsid w:val="00727296"/>
    <w:rsid w:val="00731096"/>
    <w:rsid w:val="0073384F"/>
    <w:rsid w:val="00734A89"/>
    <w:rsid w:val="00735FA5"/>
    <w:rsid w:val="007420B2"/>
    <w:rsid w:val="00742409"/>
    <w:rsid w:val="00745262"/>
    <w:rsid w:val="0075046E"/>
    <w:rsid w:val="0075095B"/>
    <w:rsid w:val="00755049"/>
    <w:rsid w:val="00756D88"/>
    <w:rsid w:val="00762B75"/>
    <w:rsid w:val="0076321A"/>
    <w:rsid w:val="0076492F"/>
    <w:rsid w:val="007721D6"/>
    <w:rsid w:val="00773AF6"/>
    <w:rsid w:val="007759CA"/>
    <w:rsid w:val="00781994"/>
    <w:rsid w:val="0078314F"/>
    <w:rsid w:val="00784817"/>
    <w:rsid w:val="0079054F"/>
    <w:rsid w:val="00792ADE"/>
    <w:rsid w:val="0079359A"/>
    <w:rsid w:val="007938C3"/>
    <w:rsid w:val="00795977"/>
    <w:rsid w:val="007A52BD"/>
    <w:rsid w:val="007A795D"/>
    <w:rsid w:val="007B7482"/>
    <w:rsid w:val="007C111C"/>
    <w:rsid w:val="007C1D7A"/>
    <w:rsid w:val="007C1EAC"/>
    <w:rsid w:val="007C2EC1"/>
    <w:rsid w:val="007C33B7"/>
    <w:rsid w:val="007C4518"/>
    <w:rsid w:val="007C4901"/>
    <w:rsid w:val="007C5748"/>
    <w:rsid w:val="007D1900"/>
    <w:rsid w:val="007D3BDD"/>
    <w:rsid w:val="007D6B81"/>
    <w:rsid w:val="007D6EF5"/>
    <w:rsid w:val="007E441D"/>
    <w:rsid w:val="007F1505"/>
    <w:rsid w:val="007F4C95"/>
    <w:rsid w:val="007F5719"/>
    <w:rsid w:val="007F659A"/>
    <w:rsid w:val="007F7403"/>
    <w:rsid w:val="0080310C"/>
    <w:rsid w:val="00804FB1"/>
    <w:rsid w:val="00810BC0"/>
    <w:rsid w:val="00811B7B"/>
    <w:rsid w:val="00812A78"/>
    <w:rsid w:val="00813309"/>
    <w:rsid w:val="00816C11"/>
    <w:rsid w:val="00820311"/>
    <w:rsid w:val="008221FC"/>
    <w:rsid w:val="0082282C"/>
    <w:rsid w:val="0082338D"/>
    <w:rsid w:val="0082573B"/>
    <w:rsid w:val="00831006"/>
    <w:rsid w:val="008328B8"/>
    <w:rsid w:val="00832FB8"/>
    <w:rsid w:val="00835C50"/>
    <w:rsid w:val="00840BB9"/>
    <w:rsid w:val="00841C68"/>
    <w:rsid w:val="00842465"/>
    <w:rsid w:val="00843DBA"/>
    <w:rsid w:val="008449EE"/>
    <w:rsid w:val="00845E3C"/>
    <w:rsid w:val="00854F1F"/>
    <w:rsid w:val="00860893"/>
    <w:rsid w:val="00860EB5"/>
    <w:rsid w:val="008612FF"/>
    <w:rsid w:val="008631DC"/>
    <w:rsid w:val="00864E00"/>
    <w:rsid w:val="00864EF7"/>
    <w:rsid w:val="0087342D"/>
    <w:rsid w:val="008737D2"/>
    <w:rsid w:val="0087794D"/>
    <w:rsid w:val="00881D02"/>
    <w:rsid w:val="0088398B"/>
    <w:rsid w:val="00883DBD"/>
    <w:rsid w:val="0088507F"/>
    <w:rsid w:val="00885BAF"/>
    <w:rsid w:val="00892A4E"/>
    <w:rsid w:val="00894C55"/>
    <w:rsid w:val="00895E55"/>
    <w:rsid w:val="008A1574"/>
    <w:rsid w:val="008B28B2"/>
    <w:rsid w:val="008B2E96"/>
    <w:rsid w:val="008B345E"/>
    <w:rsid w:val="008B3550"/>
    <w:rsid w:val="008B4140"/>
    <w:rsid w:val="008B67C3"/>
    <w:rsid w:val="008B6A46"/>
    <w:rsid w:val="008C0BFD"/>
    <w:rsid w:val="008C7DD6"/>
    <w:rsid w:val="008D316C"/>
    <w:rsid w:val="008D53D4"/>
    <w:rsid w:val="008D706C"/>
    <w:rsid w:val="008E342B"/>
    <w:rsid w:val="008E587E"/>
    <w:rsid w:val="008F063F"/>
    <w:rsid w:val="008F4BDD"/>
    <w:rsid w:val="008F7219"/>
    <w:rsid w:val="00903BC0"/>
    <w:rsid w:val="009053FB"/>
    <w:rsid w:val="009058B2"/>
    <w:rsid w:val="0090761D"/>
    <w:rsid w:val="00914D01"/>
    <w:rsid w:val="00915BCD"/>
    <w:rsid w:val="00917B91"/>
    <w:rsid w:val="00917EE7"/>
    <w:rsid w:val="009210AB"/>
    <w:rsid w:val="0093172E"/>
    <w:rsid w:val="0093289F"/>
    <w:rsid w:val="00932CF3"/>
    <w:rsid w:val="009416AB"/>
    <w:rsid w:val="00943543"/>
    <w:rsid w:val="009553CD"/>
    <w:rsid w:val="00955E17"/>
    <w:rsid w:val="0095645F"/>
    <w:rsid w:val="00956728"/>
    <w:rsid w:val="00961886"/>
    <w:rsid w:val="0096210A"/>
    <w:rsid w:val="00962D32"/>
    <w:rsid w:val="009709D0"/>
    <w:rsid w:val="00970E8E"/>
    <w:rsid w:val="00971214"/>
    <w:rsid w:val="00973C9A"/>
    <w:rsid w:val="0097684E"/>
    <w:rsid w:val="00976E0E"/>
    <w:rsid w:val="00981351"/>
    <w:rsid w:val="00986393"/>
    <w:rsid w:val="0099170A"/>
    <w:rsid w:val="00994AB8"/>
    <w:rsid w:val="00994C0F"/>
    <w:rsid w:val="00995DAD"/>
    <w:rsid w:val="009A020F"/>
    <w:rsid w:val="009A2051"/>
    <w:rsid w:val="009A61DC"/>
    <w:rsid w:val="009B39F6"/>
    <w:rsid w:val="009C45F4"/>
    <w:rsid w:val="009D09A4"/>
    <w:rsid w:val="009D1D0E"/>
    <w:rsid w:val="009D3DC8"/>
    <w:rsid w:val="009E5339"/>
    <w:rsid w:val="009E68A3"/>
    <w:rsid w:val="009F218C"/>
    <w:rsid w:val="009F2BFE"/>
    <w:rsid w:val="009F3E99"/>
    <w:rsid w:val="009F3F86"/>
    <w:rsid w:val="009F4983"/>
    <w:rsid w:val="009F4CAC"/>
    <w:rsid w:val="009F7D01"/>
    <w:rsid w:val="00A03F82"/>
    <w:rsid w:val="00A05ACD"/>
    <w:rsid w:val="00A079D0"/>
    <w:rsid w:val="00A11131"/>
    <w:rsid w:val="00A1375D"/>
    <w:rsid w:val="00A13E56"/>
    <w:rsid w:val="00A155AA"/>
    <w:rsid w:val="00A21143"/>
    <w:rsid w:val="00A27B2C"/>
    <w:rsid w:val="00A302B6"/>
    <w:rsid w:val="00A32FAD"/>
    <w:rsid w:val="00A33715"/>
    <w:rsid w:val="00A3537D"/>
    <w:rsid w:val="00A36D17"/>
    <w:rsid w:val="00A40FE8"/>
    <w:rsid w:val="00A41F0E"/>
    <w:rsid w:val="00A50606"/>
    <w:rsid w:val="00A50A21"/>
    <w:rsid w:val="00A51953"/>
    <w:rsid w:val="00A5418F"/>
    <w:rsid w:val="00A5631C"/>
    <w:rsid w:val="00A5669E"/>
    <w:rsid w:val="00A60ACD"/>
    <w:rsid w:val="00A617B1"/>
    <w:rsid w:val="00A62FCE"/>
    <w:rsid w:val="00A6342D"/>
    <w:rsid w:val="00A64B59"/>
    <w:rsid w:val="00A80A95"/>
    <w:rsid w:val="00A874E5"/>
    <w:rsid w:val="00A90E84"/>
    <w:rsid w:val="00A91A6C"/>
    <w:rsid w:val="00A9299C"/>
    <w:rsid w:val="00A96112"/>
    <w:rsid w:val="00A97C8E"/>
    <w:rsid w:val="00AA47CB"/>
    <w:rsid w:val="00AA5971"/>
    <w:rsid w:val="00AA59A6"/>
    <w:rsid w:val="00AA6486"/>
    <w:rsid w:val="00AA7BCC"/>
    <w:rsid w:val="00AB133D"/>
    <w:rsid w:val="00AB230C"/>
    <w:rsid w:val="00AB2441"/>
    <w:rsid w:val="00AB3EB4"/>
    <w:rsid w:val="00AB72A5"/>
    <w:rsid w:val="00AD2604"/>
    <w:rsid w:val="00AD7092"/>
    <w:rsid w:val="00AE02BC"/>
    <w:rsid w:val="00AE1394"/>
    <w:rsid w:val="00AE5567"/>
    <w:rsid w:val="00AE7593"/>
    <w:rsid w:val="00AE78DA"/>
    <w:rsid w:val="00AF345F"/>
    <w:rsid w:val="00AF43A2"/>
    <w:rsid w:val="00AF54D0"/>
    <w:rsid w:val="00B030D4"/>
    <w:rsid w:val="00B04EEC"/>
    <w:rsid w:val="00B0523D"/>
    <w:rsid w:val="00B05C56"/>
    <w:rsid w:val="00B06B4C"/>
    <w:rsid w:val="00B16C74"/>
    <w:rsid w:val="00B171EE"/>
    <w:rsid w:val="00B17702"/>
    <w:rsid w:val="00B20E87"/>
    <w:rsid w:val="00B2165C"/>
    <w:rsid w:val="00B22DE3"/>
    <w:rsid w:val="00B324D8"/>
    <w:rsid w:val="00B32B96"/>
    <w:rsid w:val="00B330CB"/>
    <w:rsid w:val="00B34DD3"/>
    <w:rsid w:val="00B52B2B"/>
    <w:rsid w:val="00B52F99"/>
    <w:rsid w:val="00B63DD8"/>
    <w:rsid w:val="00B640A3"/>
    <w:rsid w:val="00B6744D"/>
    <w:rsid w:val="00B677DA"/>
    <w:rsid w:val="00B70D3C"/>
    <w:rsid w:val="00B71438"/>
    <w:rsid w:val="00B71959"/>
    <w:rsid w:val="00B73A38"/>
    <w:rsid w:val="00B740CB"/>
    <w:rsid w:val="00B80599"/>
    <w:rsid w:val="00B813BA"/>
    <w:rsid w:val="00B84A80"/>
    <w:rsid w:val="00B85C39"/>
    <w:rsid w:val="00B87012"/>
    <w:rsid w:val="00B9232C"/>
    <w:rsid w:val="00BA2B82"/>
    <w:rsid w:val="00BA4323"/>
    <w:rsid w:val="00BA53DE"/>
    <w:rsid w:val="00BA69A9"/>
    <w:rsid w:val="00BA6DD9"/>
    <w:rsid w:val="00BB764A"/>
    <w:rsid w:val="00BC1F64"/>
    <w:rsid w:val="00BC378B"/>
    <w:rsid w:val="00BD152E"/>
    <w:rsid w:val="00BD1828"/>
    <w:rsid w:val="00BD4425"/>
    <w:rsid w:val="00BD44C9"/>
    <w:rsid w:val="00BD4986"/>
    <w:rsid w:val="00BD76D3"/>
    <w:rsid w:val="00BE10FA"/>
    <w:rsid w:val="00BF097C"/>
    <w:rsid w:val="00BF1980"/>
    <w:rsid w:val="00BF378A"/>
    <w:rsid w:val="00C10E49"/>
    <w:rsid w:val="00C11912"/>
    <w:rsid w:val="00C131E0"/>
    <w:rsid w:val="00C210D0"/>
    <w:rsid w:val="00C21AF5"/>
    <w:rsid w:val="00C21FA8"/>
    <w:rsid w:val="00C227FE"/>
    <w:rsid w:val="00C24A28"/>
    <w:rsid w:val="00C25B49"/>
    <w:rsid w:val="00C27AC7"/>
    <w:rsid w:val="00C31841"/>
    <w:rsid w:val="00C325BE"/>
    <w:rsid w:val="00C327F5"/>
    <w:rsid w:val="00C348D9"/>
    <w:rsid w:val="00C35652"/>
    <w:rsid w:val="00C365C6"/>
    <w:rsid w:val="00C37988"/>
    <w:rsid w:val="00C409C3"/>
    <w:rsid w:val="00C40EB5"/>
    <w:rsid w:val="00C40F12"/>
    <w:rsid w:val="00C41D99"/>
    <w:rsid w:val="00C41F83"/>
    <w:rsid w:val="00C43292"/>
    <w:rsid w:val="00C47023"/>
    <w:rsid w:val="00C565B7"/>
    <w:rsid w:val="00C57934"/>
    <w:rsid w:val="00C658FD"/>
    <w:rsid w:val="00C7056D"/>
    <w:rsid w:val="00C7280E"/>
    <w:rsid w:val="00C7456B"/>
    <w:rsid w:val="00C749E3"/>
    <w:rsid w:val="00C75197"/>
    <w:rsid w:val="00C75304"/>
    <w:rsid w:val="00C75FF5"/>
    <w:rsid w:val="00C815AD"/>
    <w:rsid w:val="00C81BC4"/>
    <w:rsid w:val="00C8391A"/>
    <w:rsid w:val="00C842AA"/>
    <w:rsid w:val="00C84AFB"/>
    <w:rsid w:val="00C8688C"/>
    <w:rsid w:val="00C911F2"/>
    <w:rsid w:val="00C925BD"/>
    <w:rsid w:val="00C97CBA"/>
    <w:rsid w:val="00C97E41"/>
    <w:rsid w:val="00CA1E17"/>
    <w:rsid w:val="00CA211D"/>
    <w:rsid w:val="00CA22C2"/>
    <w:rsid w:val="00CA7A4D"/>
    <w:rsid w:val="00CB7E54"/>
    <w:rsid w:val="00CC2DBB"/>
    <w:rsid w:val="00CC7605"/>
    <w:rsid w:val="00CD05D4"/>
    <w:rsid w:val="00CD2C75"/>
    <w:rsid w:val="00CD3A10"/>
    <w:rsid w:val="00CD5247"/>
    <w:rsid w:val="00CE5657"/>
    <w:rsid w:val="00CE5BA1"/>
    <w:rsid w:val="00CF142C"/>
    <w:rsid w:val="00CF2E2D"/>
    <w:rsid w:val="00CF344A"/>
    <w:rsid w:val="00CF49F4"/>
    <w:rsid w:val="00CF6C83"/>
    <w:rsid w:val="00CF6FA6"/>
    <w:rsid w:val="00D03060"/>
    <w:rsid w:val="00D047C4"/>
    <w:rsid w:val="00D1297C"/>
    <w:rsid w:val="00D16F12"/>
    <w:rsid w:val="00D22188"/>
    <w:rsid w:val="00D23A50"/>
    <w:rsid w:val="00D242AA"/>
    <w:rsid w:val="00D25235"/>
    <w:rsid w:val="00D37A3A"/>
    <w:rsid w:val="00D42C2F"/>
    <w:rsid w:val="00D47B09"/>
    <w:rsid w:val="00D522D3"/>
    <w:rsid w:val="00D53958"/>
    <w:rsid w:val="00D53CA4"/>
    <w:rsid w:val="00D5403B"/>
    <w:rsid w:val="00D6431A"/>
    <w:rsid w:val="00D65324"/>
    <w:rsid w:val="00D66611"/>
    <w:rsid w:val="00D70352"/>
    <w:rsid w:val="00D8135A"/>
    <w:rsid w:val="00D815CB"/>
    <w:rsid w:val="00D92E1E"/>
    <w:rsid w:val="00DA22F9"/>
    <w:rsid w:val="00DA7122"/>
    <w:rsid w:val="00DB020D"/>
    <w:rsid w:val="00DB2706"/>
    <w:rsid w:val="00DB4949"/>
    <w:rsid w:val="00DB7D2C"/>
    <w:rsid w:val="00DC056C"/>
    <w:rsid w:val="00DC07EC"/>
    <w:rsid w:val="00DC1055"/>
    <w:rsid w:val="00DC12BD"/>
    <w:rsid w:val="00DC4706"/>
    <w:rsid w:val="00DC4AF1"/>
    <w:rsid w:val="00DC6275"/>
    <w:rsid w:val="00DC68A8"/>
    <w:rsid w:val="00DC68B0"/>
    <w:rsid w:val="00DD068E"/>
    <w:rsid w:val="00DD086C"/>
    <w:rsid w:val="00DD4CBE"/>
    <w:rsid w:val="00DD5B80"/>
    <w:rsid w:val="00DD6A07"/>
    <w:rsid w:val="00DE0A5C"/>
    <w:rsid w:val="00DE0D4B"/>
    <w:rsid w:val="00DE2162"/>
    <w:rsid w:val="00DE35E1"/>
    <w:rsid w:val="00DF444D"/>
    <w:rsid w:val="00DF4EBE"/>
    <w:rsid w:val="00DF60CD"/>
    <w:rsid w:val="00DF6F84"/>
    <w:rsid w:val="00E006F5"/>
    <w:rsid w:val="00E037A1"/>
    <w:rsid w:val="00E05F48"/>
    <w:rsid w:val="00E0678C"/>
    <w:rsid w:val="00E06D38"/>
    <w:rsid w:val="00E06D96"/>
    <w:rsid w:val="00E14938"/>
    <w:rsid w:val="00E15117"/>
    <w:rsid w:val="00E169A8"/>
    <w:rsid w:val="00E212E9"/>
    <w:rsid w:val="00E242BB"/>
    <w:rsid w:val="00E24E5F"/>
    <w:rsid w:val="00E24F0C"/>
    <w:rsid w:val="00E25695"/>
    <w:rsid w:val="00E259F8"/>
    <w:rsid w:val="00E25ED1"/>
    <w:rsid w:val="00E27C3C"/>
    <w:rsid w:val="00E3368B"/>
    <w:rsid w:val="00E33B0A"/>
    <w:rsid w:val="00E35593"/>
    <w:rsid w:val="00E4148D"/>
    <w:rsid w:val="00E4410A"/>
    <w:rsid w:val="00E50C67"/>
    <w:rsid w:val="00E5269C"/>
    <w:rsid w:val="00E52DA5"/>
    <w:rsid w:val="00E60C2F"/>
    <w:rsid w:val="00E64B41"/>
    <w:rsid w:val="00E720B9"/>
    <w:rsid w:val="00E756E7"/>
    <w:rsid w:val="00E761F7"/>
    <w:rsid w:val="00E80763"/>
    <w:rsid w:val="00E80C25"/>
    <w:rsid w:val="00E80F35"/>
    <w:rsid w:val="00E82377"/>
    <w:rsid w:val="00E87058"/>
    <w:rsid w:val="00E90C01"/>
    <w:rsid w:val="00E921A6"/>
    <w:rsid w:val="00E92D68"/>
    <w:rsid w:val="00E95B45"/>
    <w:rsid w:val="00EA486E"/>
    <w:rsid w:val="00EA6923"/>
    <w:rsid w:val="00EB0C61"/>
    <w:rsid w:val="00EB155D"/>
    <w:rsid w:val="00EB1A7F"/>
    <w:rsid w:val="00EB1FED"/>
    <w:rsid w:val="00EB402A"/>
    <w:rsid w:val="00EB4380"/>
    <w:rsid w:val="00EB51BF"/>
    <w:rsid w:val="00EB54FA"/>
    <w:rsid w:val="00EB577C"/>
    <w:rsid w:val="00EB58E6"/>
    <w:rsid w:val="00EB70B8"/>
    <w:rsid w:val="00EC2443"/>
    <w:rsid w:val="00EC2B0A"/>
    <w:rsid w:val="00ED7C0D"/>
    <w:rsid w:val="00EE1DA9"/>
    <w:rsid w:val="00EE6848"/>
    <w:rsid w:val="00EE732E"/>
    <w:rsid w:val="00EF1165"/>
    <w:rsid w:val="00EF1B54"/>
    <w:rsid w:val="00EF3997"/>
    <w:rsid w:val="00EF4584"/>
    <w:rsid w:val="00F01AD9"/>
    <w:rsid w:val="00F11375"/>
    <w:rsid w:val="00F11F4E"/>
    <w:rsid w:val="00F1216F"/>
    <w:rsid w:val="00F138E8"/>
    <w:rsid w:val="00F1439D"/>
    <w:rsid w:val="00F14C32"/>
    <w:rsid w:val="00F14E08"/>
    <w:rsid w:val="00F15F0A"/>
    <w:rsid w:val="00F229F7"/>
    <w:rsid w:val="00F25819"/>
    <w:rsid w:val="00F25844"/>
    <w:rsid w:val="00F26476"/>
    <w:rsid w:val="00F31D15"/>
    <w:rsid w:val="00F3214D"/>
    <w:rsid w:val="00F332DF"/>
    <w:rsid w:val="00F343A7"/>
    <w:rsid w:val="00F36861"/>
    <w:rsid w:val="00F47EC4"/>
    <w:rsid w:val="00F515AF"/>
    <w:rsid w:val="00F53CBF"/>
    <w:rsid w:val="00F55DE8"/>
    <w:rsid w:val="00F57B0C"/>
    <w:rsid w:val="00F6129E"/>
    <w:rsid w:val="00F62F8C"/>
    <w:rsid w:val="00F64A6C"/>
    <w:rsid w:val="00F6682C"/>
    <w:rsid w:val="00F70888"/>
    <w:rsid w:val="00F718D1"/>
    <w:rsid w:val="00F733E5"/>
    <w:rsid w:val="00F75F2F"/>
    <w:rsid w:val="00F76E4B"/>
    <w:rsid w:val="00F77383"/>
    <w:rsid w:val="00F836DF"/>
    <w:rsid w:val="00F83C19"/>
    <w:rsid w:val="00F919C8"/>
    <w:rsid w:val="00F928B9"/>
    <w:rsid w:val="00F942DB"/>
    <w:rsid w:val="00F950CB"/>
    <w:rsid w:val="00F963C6"/>
    <w:rsid w:val="00F96731"/>
    <w:rsid w:val="00FA7B0A"/>
    <w:rsid w:val="00FA7CB5"/>
    <w:rsid w:val="00FB02E1"/>
    <w:rsid w:val="00FB1832"/>
    <w:rsid w:val="00FB3713"/>
    <w:rsid w:val="00FC7AEA"/>
    <w:rsid w:val="00FD23E3"/>
    <w:rsid w:val="00FD667C"/>
    <w:rsid w:val="00FD72D2"/>
    <w:rsid w:val="00FF09A4"/>
    <w:rsid w:val="00FF45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345C73"/>
  <w15:docId w15:val="{ABE447B2-4C0C-409B-AD57-AA3A716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basedOn w:val="Normal"/>
    <w:link w:val="FootnoteTextChar"/>
    <w:uiPriority w:val="99"/>
    <w:semiHidden/>
    <w:unhideWhenUsed/>
    <w:rsid w:val="002575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5F6"/>
    <w:rPr>
      <w:sz w:val="20"/>
      <w:szCs w:val="20"/>
    </w:rPr>
  </w:style>
  <w:style w:type="character" w:styleId="FootnoteReference">
    <w:name w:val="footnote reference"/>
    <w:basedOn w:val="DefaultParagraphFont"/>
    <w:uiPriority w:val="99"/>
    <w:semiHidden/>
    <w:unhideWhenUsed/>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customStyle="1" w:styleId="doc-ti">
    <w:name w:val="doc-ti"/>
    <w:basedOn w:val="Normal"/>
    <w:rsid w:val="004C0C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F43A2"/>
    <w:pPr>
      <w:ind w:left="720"/>
      <w:contextualSpacing/>
    </w:pPr>
  </w:style>
  <w:style w:type="table" w:styleId="TableGrid">
    <w:name w:val="Table Grid"/>
    <w:basedOn w:val="TableNormal"/>
    <w:uiPriority w:val="39"/>
    <w:rsid w:val="00C40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89407202">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754977698">
      <w:bodyDiv w:val="1"/>
      <w:marLeft w:val="0"/>
      <w:marRight w:val="0"/>
      <w:marTop w:val="0"/>
      <w:marBottom w:val="0"/>
      <w:divBdr>
        <w:top w:val="none" w:sz="0" w:space="0" w:color="auto"/>
        <w:left w:val="none" w:sz="0" w:space="0" w:color="auto"/>
        <w:bottom w:val="none" w:sz="0" w:space="0" w:color="auto"/>
        <w:right w:val="none" w:sz="0" w:space="0" w:color="auto"/>
      </w:divBdr>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66424842">
      <w:bodyDiv w:val="1"/>
      <w:marLeft w:val="0"/>
      <w:marRight w:val="0"/>
      <w:marTop w:val="0"/>
      <w:marBottom w:val="0"/>
      <w:divBdr>
        <w:top w:val="none" w:sz="0" w:space="0" w:color="auto"/>
        <w:left w:val="none" w:sz="0" w:space="0" w:color="auto"/>
        <w:bottom w:val="none" w:sz="0" w:space="0" w:color="auto"/>
        <w:right w:val="none" w:sz="0" w:space="0" w:color="auto"/>
      </w:divBdr>
    </w:div>
    <w:div w:id="1424298455">
      <w:bodyDiv w:val="1"/>
      <w:marLeft w:val="0"/>
      <w:marRight w:val="0"/>
      <w:marTop w:val="0"/>
      <w:marBottom w:val="0"/>
      <w:divBdr>
        <w:top w:val="none" w:sz="0" w:space="0" w:color="auto"/>
        <w:left w:val="none" w:sz="0" w:space="0" w:color="auto"/>
        <w:bottom w:val="none" w:sz="0" w:space="0" w:color="auto"/>
        <w:right w:val="none" w:sz="0" w:space="0" w:color="auto"/>
      </w:divBdr>
    </w:div>
    <w:div w:id="1495603391">
      <w:bodyDiv w:val="1"/>
      <w:marLeft w:val="0"/>
      <w:marRight w:val="0"/>
      <w:marTop w:val="0"/>
      <w:marBottom w:val="0"/>
      <w:divBdr>
        <w:top w:val="none" w:sz="0" w:space="0" w:color="auto"/>
        <w:left w:val="none" w:sz="0" w:space="0" w:color="auto"/>
        <w:bottom w:val="none" w:sz="0" w:space="0" w:color="auto"/>
        <w:right w:val="none" w:sz="0" w:space="0" w:color="auto"/>
      </w:divBdr>
    </w:div>
    <w:div w:id="1887571288">
      <w:bodyDiv w:val="1"/>
      <w:marLeft w:val="0"/>
      <w:marRight w:val="0"/>
      <w:marTop w:val="0"/>
      <w:marBottom w:val="0"/>
      <w:divBdr>
        <w:top w:val="none" w:sz="0" w:space="0" w:color="auto"/>
        <w:left w:val="none" w:sz="0" w:space="0" w:color="auto"/>
        <w:bottom w:val="none" w:sz="0" w:space="0" w:color="auto"/>
        <w:right w:val="none" w:sz="0" w:space="0" w:color="auto"/>
      </w:divBdr>
      <w:divsChild>
        <w:div w:id="893001331">
          <w:marLeft w:val="0"/>
          <w:marRight w:val="0"/>
          <w:marTop w:val="480"/>
          <w:marBottom w:val="240"/>
          <w:divBdr>
            <w:top w:val="none" w:sz="0" w:space="0" w:color="auto"/>
            <w:left w:val="none" w:sz="0" w:space="0" w:color="auto"/>
            <w:bottom w:val="none" w:sz="0" w:space="0" w:color="auto"/>
            <w:right w:val="none" w:sz="0" w:space="0" w:color="auto"/>
          </w:divBdr>
        </w:div>
        <w:div w:id="929776634">
          <w:marLeft w:val="0"/>
          <w:marRight w:val="0"/>
          <w:marTop w:val="0"/>
          <w:marBottom w:val="567"/>
          <w:divBdr>
            <w:top w:val="none" w:sz="0" w:space="0" w:color="auto"/>
            <w:left w:val="none" w:sz="0" w:space="0" w:color="auto"/>
            <w:bottom w:val="none" w:sz="0" w:space="0" w:color="auto"/>
            <w:right w:val="none" w:sz="0" w:space="0" w:color="auto"/>
          </w:divBdr>
        </w:div>
      </w:divsChild>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sb.gov.lv" TargetMode="External"/><Relationship Id="rId4" Type="http://schemas.openxmlformats.org/officeDocument/2006/relationships/settings" Target="settings.xml"/><Relationship Id="rId9" Type="http://schemas.openxmlformats.org/officeDocument/2006/relationships/hyperlink" Target="https://likumi.lv/ta/id/55567"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354F0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102E56"/>
    <w:rsid w:val="00105B58"/>
    <w:rsid w:val="00165088"/>
    <w:rsid w:val="0023379D"/>
    <w:rsid w:val="002462BC"/>
    <w:rsid w:val="002622E4"/>
    <w:rsid w:val="002863C5"/>
    <w:rsid w:val="002B4A81"/>
    <w:rsid w:val="002D21C9"/>
    <w:rsid w:val="00306500"/>
    <w:rsid w:val="00332360"/>
    <w:rsid w:val="00344186"/>
    <w:rsid w:val="00354F0E"/>
    <w:rsid w:val="00367732"/>
    <w:rsid w:val="003E4F4B"/>
    <w:rsid w:val="003F735F"/>
    <w:rsid w:val="00422CDD"/>
    <w:rsid w:val="00472F39"/>
    <w:rsid w:val="00473DC5"/>
    <w:rsid w:val="00474807"/>
    <w:rsid w:val="004F22E7"/>
    <w:rsid w:val="005234F3"/>
    <w:rsid w:val="00523A63"/>
    <w:rsid w:val="00543920"/>
    <w:rsid w:val="00560752"/>
    <w:rsid w:val="005749B7"/>
    <w:rsid w:val="0058164F"/>
    <w:rsid w:val="005A5C04"/>
    <w:rsid w:val="005B3A45"/>
    <w:rsid w:val="005D498A"/>
    <w:rsid w:val="0061244F"/>
    <w:rsid w:val="0063227A"/>
    <w:rsid w:val="00647065"/>
    <w:rsid w:val="0066609B"/>
    <w:rsid w:val="006A564C"/>
    <w:rsid w:val="006D69C7"/>
    <w:rsid w:val="006E23A3"/>
    <w:rsid w:val="00746A1F"/>
    <w:rsid w:val="008331DC"/>
    <w:rsid w:val="00837671"/>
    <w:rsid w:val="00892F34"/>
    <w:rsid w:val="008B623B"/>
    <w:rsid w:val="008C56E8"/>
    <w:rsid w:val="009962D9"/>
    <w:rsid w:val="009A4425"/>
    <w:rsid w:val="009C1BDE"/>
    <w:rsid w:val="009D1FA4"/>
    <w:rsid w:val="009E5813"/>
    <w:rsid w:val="00A27C76"/>
    <w:rsid w:val="00A9599D"/>
    <w:rsid w:val="00AA0CAD"/>
    <w:rsid w:val="00AD0EF0"/>
    <w:rsid w:val="00B03F2B"/>
    <w:rsid w:val="00B17D3C"/>
    <w:rsid w:val="00B21289"/>
    <w:rsid w:val="00B73219"/>
    <w:rsid w:val="00BF70FB"/>
    <w:rsid w:val="00C00671"/>
    <w:rsid w:val="00C1037D"/>
    <w:rsid w:val="00C204B5"/>
    <w:rsid w:val="00C31CC7"/>
    <w:rsid w:val="00C84365"/>
    <w:rsid w:val="00CA04F8"/>
    <w:rsid w:val="00CD0A6E"/>
    <w:rsid w:val="00D00E09"/>
    <w:rsid w:val="00D5606A"/>
    <w:rsid w:val="00DC149F"/>
    <w:rsid w:val="00DE4FBF"/>
    <w:rsid w:val="00DF57A3"/>
    <w:rsid w:val="00E25AC8"/>
    <w:rsid w:val="00E4408D"/>
    <w:rsid w:val="00E46445"/>
    <w:rsid w:val="00EE42AF"/>
    <w:rsid w:val="00F25586"/>
    <w:rsid w:val="00F56A07"/>
    <w:rsid w:val="00F71DBD"/>
    <w:rsid w:val="00FA79CB"/>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83C47C48DE74DFF9CE851868AA237E8">
    <w:name w:val="E83C47C48DE74DFF9CE851868AA237E8"/>
    <w:rsid w:val="0023379D"/>
  </w:style>
  <w:style w:type="paragraph" w:customStyle="1" w:styleId="1BE175E5981445628D5AAA4276631059">
    <w:name w:val="1BE175E5981445628D5AAA4276631059"/>
    <w:rsid w:val="002462BC"/>
  </w:style>
  <w:style w:type="paragraph" w:customStyle="1" w:styleId="ADFCDE5CEF894F74A25869D54E55083D">
    <w:name w:val="ADFCDE5CEF894F74A25869D54E55083D"/>
    <w:rsid w:val="002462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92922-BF47-4A26-AE00-AFFFA596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28106</Words>
  <Characters>16021</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Likumprojekta “Grozījumi Energoefektivitātes likumā” projekta sākotnējās ietekmes novērtējuma ziņojums (anotācija)</vt:lpstr>
    </vt:vector>
  </TitlesOfParts>
  <Company>Ekonomikas ministrija</Company>
  <LinksUpToDate>false</LinksUpToDate>
  <CharactersWithSpaces>44039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Energoefektivitātes likumā” projekta sākotnējās ietekmes novērtējuma ziņojums (anotācija)</dc:title>
  <dc:subject>Anotācija</dc:subject>
  <dc:creator>Inguna.Ozolina@em.gov.lv</dc:creator>
  <cp:keywords>Anotācija</cp:keywords>
  <dc:description>67013175, inguna.ozolina@em.gov.lv</dc:description>
  <cp:lastModifiedBy>Līga Mičule</cp:lastModifiedBy>
  <cp:revision>7</cp:revision>
  <cp:lastPrinted>2019-07-22T07:36:00Z</cp:lastPrinted>
  <dcterms:created xsi:type="dcterms:W3CDTF">2019-09-16T07:03:00Z</dcterms:created>
  <dcterms:modified xsi:type="dcterms:W3CDTF">2019-09-17T09:19:00Z</dcterms:modified>
</cp:coreProperties>
</file>