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092808" w14:textId="77777777" w:rsidR="006F419D" w:rsidRPr="009365B3" w:rsidRDefault="006F419D" w:rsidP="006F419D">
      <w:pPr>
        <w:tabs>
          <w:tab w:val="left" w:pos="1843"/>
        </w:tabs>
        <w:spacing w:after="0"/>
        <w:jc w:val="right"/>
        <w:rPr>
          <w:rFonts w:ascii="Times New Roman" w:hAnsi="Times New Roman"/>
          <w:noProof/>
          <w:sz w:val="26"/>
          <w:szCs w:val="26"/>
        </w:rPr>
      </w:pPr>
      <w:bookmarkStart w:id="0" w:name="_GoBack"/>
      <w:bookmarkEnd w:id="0"/>
      <w:r w:rsidRPr="009365B3">
        <w:rPr>
          <w:rFonts w:ascii="Times New Roman" w:hAnsi="Times New Roman"/>
          <w:noProof/>
          <w:sz w:val="26"/>
          <w:szCs w:val="26"/>
        </w:rPr>
        <w:t>Ministru kabineta 2019.gada ___.novembra</w:t>
      </w:r>
    </w:p>
    <w:p w14:paraId="725190D9" w14:textId="77777777" w:rsidR="006F419D" w:rsidRPr="009365B3" w:rsidRDefault="006F419D" w:rsidP="006F419D">
      <w:pPr>
        <w:spacing w:after="0"/>
        <w:jc w:val="right"/>
        <w:rPr>
          <w:rFonts w:ascii="Times New Roman" w:eastAsia="Times New Roman" w:hAnsi="Times New Roman"/>
          <w:bCs/>
          <w:noProof/>
          <w:sz w:val="26"/>
          <w:szCs w:val="26"/>
          <w:lang w:eastAsia="lv-LV"/>
        </w:rPr>
      </w:pPr>
      <w:r w:rsidRPr="009365B3">
        <w:rPr>
          <w:rFonts w:ascii="Times New Roman" w:hAnsi="Times New Roman"/>
          <w:noProof/>
          <w:sz w:val="26"/>
          <w:szCs w:val="26"/>
        </w:rPr>
        <w:t>rīkojums Nr.____</w:t>
      </w:r>
    </w:p>
    <w:p w14:paraId="40434874" w14:textId="77777777" w:rsidR="00991264" w:rsidRPr="009365B3" w:rsidRDefault="00991264" w:rsidP="00991264">
      <w:pPr>
        <w:jc w:val="center"/>
        <w:rPr>
          <w:rFonts w:ascii="Times New Roman" w:hAnsi="Times New Roman" w:cs="Times New Roman"/>
          <w:b/>
          <w:sz w:val="56"/>
          <w:szCs w:val="56"/>
        </w:rPr>
      </w:pPr>
    </w:p>
    <w:p w14:paraId="703F6BD8" w14:textId="77777777" w:rsidR="00991264" w:rsidRPr="008B628A" w:rsidRDefault="00991264" w:rsidP="00991264">
      <w:pPr>
        <w:jc w:val="center"/>
        <w:rPr>
          <w:rFonts w:ascii="Times New Roman" w:hAnsi="Times New Roman" w:cs="Times New Roman"/>
          <w:b/>
          <w:sz w:val="56"/>
          <w:szCs w:val="56"/>
        </w:rPr>
      </w:pPr>
    </w:p>
    <w:p w14:paraId="4C193847" w14:textId="77777777" w:rsidR="00991264" w:rsidRPr="008B628A" w:rsidRDefault="00991264" w:rsidP="00991264">
      <w:pPr>
        <w:jc w:val="center"/>
        <w:rPr>
          <w:rFonts w:ascii="Times New Roman" w:hAnsi="Times New Roman" w:cs="Times New Roman"/>
          <w:b/>
          <w:sz w:val="56"/>
          <w:szCs w:val="56"/>
        </w:rPr>
      </w:pPr>
    </w:p>
    <w:p w14:paraId="7E90CA8A" w14:textId="77777777" w:rsidR="00991264" w:rsidRPr="008B628A" w:rsidRDefault="00991264" w:rsidP="00991264">
      <w:pPr>
        <w:jc w:val="center"/>
        <w:rPr>
          <w:rFonts w:ascii="Times New Roman" w:hAnsi="Times New Roman" w:cs="Times New Roman"/>
          <w:b/>
          <w:sz w:val="56"/>
          <w:szCs w:val="56"/>
        </w:rPr>
      </w:pPr>
    </w:p>
    <w:p w14:paraId="13B70CAB" w14:textId="77777777" w:rsidR="00991264" w:rsidRPr="008B628A" w:rsidRDefault="00991264" w:rsidP="00991264">
      <w:pPr>
        <w:jc w:val="center"/>
        <w:rPr>
          <w:rFonts w:ascii="Times New Roman" w:hAnsi="Times New Roman" w:cs="Times New Roman"/>
          <w:b/>
          <w:sz w:val="56"/>
          <w:szCs w:val="56"/>
        </w:rPr>
      </w:pPr>
    </w:p>
    <w:p w14:paraId="706DAB66" w14:textId="77777777" w:rsidR="00991264" w:rsidRPr="008B628A" w:rsidRDefault="00991264" w:rsidP="00991264">
      <w:pPr>
        <w:jc w:val="center"/>
        <w:rPr>
          <w:rFonts w:ascii="Times New Roman" w:hAnsi="Times New Roman" w:cs="Times New Roman"/>
          <w:b/>
          <w:sz w:val="56"/>
          <w:szCs w:val="56"/>
        </w:rPr>
      </w:pPr>
      <w:r w:rsidRPr="008B628A">
        <w:rPr>
          <w:rFonts w:ascii="Times New Roman" w:hAnsi="Times New Roman" w:cs="Times New Roman"/>
          <w:b/>
          <w:sz w:val="56"/>
          <w:szCs w:val="56"/>
        </w:rPr>
        <w:t>LATVIJAS NACIONĀLAIS ENERĢĒTIKAS UN KLIMATA PLĀNS 2021. – 2030. GADAM</w:t>
      </w:r>
    </w:p>
    <w:p w14:paraId="3A55597F" w14:textId="77777777" w:rsidR="00991264" w:rsidRPr="008B628A" w:rsidRDefault="00991264" w:rsidP="00991264">
      <w:pPr>
        <w:rPr>
          <w:rFonts w:ascii="Times New Roman" w:hAnsi="Times New Roman" w:cs="Times New Roman"/>
          <w:b/>
          <w:sz w:val="28"/>
          <w:szCs w:val="28"/>
        </w:rPr>
      </w:pPr>
    </w:p>
    <w:p w14:paraId="77573746" w14:textId="77777777" w:rsidR="00991264" w:rsidRPr="008B628A" w:rsidRDefault="00991264" w:rsidP="00991264">
      <w:pPr>
        <w:rPr>
          <w:rFonts w:ascii="Times New Roman" w:hAnsi="Times New Roman" w:cs="Times New Roman"/>
          <w:b/>
          <w:sz w:val="28"/>
          <w:szCs w:val="28"/>
        </w:rPr>
      </w:pPr>
    </w:p>
    <w:p w14:paraId="67F065F9" w14:textId="77777777" w:rsidR="00991264" w:rsidRPr="008B628A" w:rsidRDefault="00991264" w:rsidP="00991264">
      <w:pPr>
        <w:rPr>
          <w:rFonts w:ascii="Times New Roman" w:hAnsi="Times New Roman" w:cs="Times New Roman"/>
          <w:b/>
          <w:sz w:val="28"/>
          <w:szCs w:val="28"/>
        </w:rPr>
      </w:pPr>
    </w:p>
    <w:p w14:paraId="0C84F0E1" w14:textId="77777777" w:rsidR="00991264" w:rsidRPr="008B628A" w:rsidRDefault="00991264" w:rsidP="00991264">
      <w:pPr>
        <w:rPr>
          <w:rFonts w:ascii="Times New Roman" w:hAnsi="Times New Roman" w:cs="Times New Roman"/>
          <w:b/>
          <w:sz w:val="28"/>
          <w:szCs w:val="28"/>
        </w:rPr>
      </w:pPr>
    </w:p>
    <w:p w14:paraId="63199F09" w14:textId="77777777" w:rsidR="00991264" w:rsidRPr="008B628A" w:rsidRDefault="00991264" w:rsidP="00991264">
      <w:pPr>
        <w:rPr>
          <w:rFonts w:ascii="Times New Roman" w:hAnsi="Times New Roman" w:cs="Times New Roman"/>
          <w:b/>
          <w:sz w:val="28"/>
          <w:szCs w:val="28"/>
        </w:rPr>
      </w:pPr>
    </w:p>
    <w:p w14:paraId="68F6F80E" w14:textId="77777777" w:rsidR="00991264" w:rsidRPr="008B628A" w:rsidRDefault="00991264" w:rsidP="00991264">
      <w:pPr>
        <w:rPr>
          <w:rFonts w:ascii="Times New Roman" w:hAnsi="Times New Roman" w:cs="Times New Roman"/>
          <w:b/>
          <w:sz w:val="28"/>
          <w:szCs w:val="28"/>
        </w:rPr>
      </w:pPr>
    </w:p>
    <w:p w14:paraId="65971E7B" w14:textId="77777777" w:rsidR="00991264" w:rsidRPr="008B628A" w:rsidRDefault="00991264" w:rsidP="00991264">
      <w:pPr>
        <w:rPr>
          <w:rFonts w:ascii="Times New Roman" w:hAnsi="Times New Roman" w:cs="Times New Roman"/>
          <w:b/>
          <w:sz w:val="28"/>
          <w:szCs w:val="28"/>
        </w:rPr>
      </w:pPr>
    </w:p>
    <w:p w14:paraId="71793603" w14:textId="77777777" w:rsidR="00991264" w:rsidRPr="008B628A" w:rsidRDefault="00991264" w:rsidP="00991264">
      <w:pPr>
        <w:rPr>
          <w:rFonts w:ascii="Times New Roman" w:hAnsi="Times New Roman" w:cs="Times New Roman"/>
          <w:b/>
          <w:sz w:val="28"/>
          <w:szCs w:val="28"/>
        </w:rPr>
      </w:pPr>
    </w:p>
    <w:p w14:paraId="521A0F6B" w14:textId="0A8CCA85" w:rsidR="00991264" w:rsidRDefault="00991264" w:rsidP="00991264">
      <w:pPr>
        <w:rPr>
          <w:rFonts w:ascii="Times New Roman" w:hAnsi="Times New Roman" w:cs="Times New Roman"/>
          <w:b/>
          <w:sz w:val="28"/>
          <w:szCs w:val="28"/>
        </w:rPr>
      </w:pPr>
    </w:p>
    <w:p w14:paraId="5641FDF2" w14:textId="3CB81E82" w:rsidR="00991264" w:rsidRDefault="00991264" w:rsidP="00991264">
      <w:pPr>
        <w:rPr>
          <w:rFonts w:ascii="Times New Roman" w:hAnsi="Times New Roman" w:cs="Times New Roman"/>
          <w:b/>
          <w:sz w:val="28"/>
          <w:szCs w:val="28"/>
        </w:rPr>
      </w:pPr>
    </w:p>
    <w:p w14:paraId="7E7722C9" w14:textId="77777777" w:rsidR="00991264" w:rsidRPr="008B628A" w:rsidRDefault="00991264" w:rsidP="00991264">
      <w:pPr>
        <w:rPr>
          <w:rFonts w:ascii="Times New Roman" w:hAnsi="Times New Roman" w:cs="Times New Roman"/>
          <w:b/>
          <w:sz w:val="28"/>
          <w:szCs w:val="28"/>
        </w:rPr>
      </w:pPr>
    </w:p>
    <w:p w14:paraId="4CCE5F4D" w14:textId="5BB852C8" w:rsidR="00560FA1" w:rsidRDefault="00991264" w:rsidP="00991264">
      <w:pPr>
        <w:jc w:val="center"/>
        <w:rPr>
          <w:rFonts w:ascii="Times New Roman" w:hAnsi="Times New Roman" w:cs="Times New Roman"/>
          <w:b/>
          <w:sz w:val="28"/>
          <w:szCs w:val="28"/>
        </w:rPr>
      </w:pPr>
      <w:r w:rsidRPr="008B628A">
        <w:rPr>
          <w:rFonts w:ascii="Times New Roman" w:hAnsi="Times New Roman" w:cs="Times New Roman"/>
          <w:b/>
          <w:sz w:val="28"/>
          <w:szCs w:val="28"/>
        </w:rPr>
        <w:t>Rīga, 201</w:t>
      </w:r>
      <w:r>
        <w:rPr>
          <w:rFonts w:ascii="Times New Roman" w:hAnsi="Times New Roman" w:cs="Times New Roman"/>
          <w:b/>
          <w:sz w:val="28"/>
          <w:szCs w:val="28"/>
        </w:rPr>
        <w:t>9</w:t>
      </w:r>
    </w:p>
    <w:p w14:paraId="494CABA1" w14:textId="1D612BB0" w:rsidR="001A6F1C" w:rsidRDefault="001A6F1C" w:rsidP="00991264">
      <w:pPr>
        <w:jc w:val="center"/>
        <w:rPr>
          <w:rFonts w:ascii="Times New Roman" w:hAnsi="Times New Roman" w:cs="Times New Roman"/>
          <w:b/>
          <w:sz w:val="28"/>
          <w:szCs w:val="28"/>
        </w:rPr>
      </w:pPr>
    </w:p>
    <w:p w14:paraId="0957DB82" w14:textId="77777777" w:rsidR="00991264" w:rsidRDefault="00991264" w:rsidP="00991264">
      <w:pPr>
        <w:sectPr w:rsidR="00991264" w:rsidSect="00F45E73">
          <w:footerReference w:type="default" r:id="rId8"/>
          <w:footerReference w:type="first" r:id="rId9"/>
          <w:pgSz w:w="11906" w:h="16838"/>
          <w:pgMar w:top="1440" w:right="1440" w:bottom="1440" w:left="1440" w:header="708" w:footer="708" w:gutter="0"/>
          <w:cols w:space="708"/>
          <w:titlePg/>
          <w:docGrid w:linePitch="360"/>
        </w:sectPr>
      </w:pPr>
    </w:p>
    <w:p w14:paraId="0A538A89" w14:textId="77777777" w:rsidR="001A6F1C" w:rsidRPr="0018280F" w:rsidRDefault="001A6F1C" w:rsidP="0018280F">
      <w:pPr>
        <w:spacing w:before="120" w:after="120" w:line="240" w:lineRule="auto"/>
        <w:rPr>
          <w:b/>
          <w:bCs/>
          <w:sz w:val="28"/>
          <w:szCs w:val="28"/>
        </w:rPr>
      </w:pPr>
      <w:bookmarkStart w:id="1" w:name="_Toc23245731"/>
      <w:bookmarkStart w:id="2" w:name="_Toc23245970"/>
      <w:bookmarkStart w:id="3" w:name="_Toc520978790"/>
      <w:bookmarkStart w:id="4" w:name="_Toc527529411"/>
      <w:bookmarkStart w:id="5" w:name="_Toc17878282"/>
      <w:bookmarkStart w:id="6" w:name="_Toc10527190"/>
      <w:r w:rsidRPr="0018280F">
        <w:rPr>
          <w:b/>
          <w:bCs/>
          <w:sz w:val="28"/>
          <w:szCs w:val="28"/>
        </w:rPr>
        <w:lastRenderedPageBreak/>
        <w:t>SATURS</w:t>
      </w:r>
      <w:bookmarkEnd w:id="1"/>
      <w:bookmarkEnd w:id="2"/>
    </w:p>
    <w:p w14:paraId="3F102D3C" w14:textId="421532AC" w:rsidR="0007326F" w:rsidRDefault="0007326F" w:rsidP="0007326F">
      <w:pPr>
        <w:pStyle w:val="TOC1"/>
        <w:tabs>
          <w:tab w:val="right" w:leader="dot" w:pos="9061"/>
        </w:tabs>
        <w:spacing w:after="0" w:line="240" w:lineRule="auto"/>
        <w:rPr>
          <w:rFonts w:eastAsiaTheme="minorEastAsia"/>
          <w:noProof/>
          <w:sz w:val="22"/>
          <w:lang w:eastAsia="lv-LV"/>
        </w:rPr>
      </w:pPr>
      <w:r>
        <w:rPr>
          <w:lang w:eastAsia="lv-LV"/>
        </w:rPr>
        <w:fldChar w:fldCharType="begin"/>
      </w:r>
      <w:r>
        <w:rPr>
          <w:lang w:eastAsia="lv-LV"/>
        </w:rPr>
        <w:instrText xml:space="preserve"> TOC \o "1-2" \h \z \u </w:instrText>
      </w:r>
      <w:r>
        <w:rPr>
          <w:lang w:eastAsia="lv-LV"/>
        </w:rPr>
        <w:fldChar w:fldCharType="separate"/>
      </w:r>
      <w:hyperlink w:anchor="_Toc24408091" w:history="1">
        <w:r w:rsidRPr="006519DD">
          <w:rPr>
            <w:rStyle w:val="Hyperlink"/>
            <w:noProof/>
          </w:rPr>
          <w:t>SAĪSINĀJUMI</w:t>
        </w:r>
        <w:r>
          <w:rPr>
            <w:noProof/>
            <w:webHidden/>
          </w:rPr>
          <w:tab/>
        </w:r>
        <w:r>
          <w:rPr>
            <w:noProof/>
            <w:webHidden/>
          </w:rPr>
          <w:fldChar w:fldCharType="begin"/>
        </w:r>
        <w:r>
          <w:rPr>
            <w:noProof/>
            <w:webHidden/>
          </w:rPr>
          <w:instrText xml:space="preserve"> PAGEREF _Toc24408091 \h </w:instrText>
        </w:r>
        <w:r>
          <w:rPr>
            <w:noProof/>
            <w:webHidden/>
          </w:rPr>
        </w:r>
        <w:r>
          <w:rPr>
            <w:noProof/>
            <w:webHidden/>
          </w:rPr>
          <w:fldChar w:fldCharType="separate"/>
        </w:r>
        <w:r w:rsidR="00A86C27">
          <w:rPr>
            <w:noProof/>
            <w:webHidden/>
          </w:rPr>
          <w:t>3</w:t>
        </w:r>
        <w:r>
          <w:rPr>
            <w:noProof/>
            <w:webHidden/>
          </w:rPr>
          <w:fldChar w:fldCharType="end"/>
        </w:r>
      </w:hyperlink>
    </w:p>
    <w:p w14:paraId="6AA428D7" w14:textId="07E04150" w:rsidR="0007326F" w:rsidRDefault="004458DE" w:rsidP="0007326F">
      <w:pPr>
        <w:pStyle w:val="TOC1"/>
        <w:tabs>
          <w:tab w:val="right" w:leader="dot" w:pos="9061"/>
        </w:tabs>
        <w:spacing w:after="0" w:line="240" w:lineRule="auto"/>
        <w:rPr>
          <w:rFonts w:eastAsiaTheme="minorEastAsia"/>
          <w:noProof/>
          <w:sz w:val="22"/>
          <w:lang w:eastAsia="lv-LV"/>
        </w:rPr>
      </w:pPr>
      <w:hyperlink w:anchor="_Toc24408092" w:history="1">
        <w:r w:rsidR="0007326F" w:rsidRPr="006519DD">
          <w:rPr>
            <w:rStyle w:val="Hyperlink"/>
            <w:noProof/>
          </w:rPr>
          <w:t>IEVADS</w:t>
        </w:r>
        <w:r w:rsidR="0007326F">
          <w:rPr>
            <w:noProof/>
            <w:webHidden/>
          </w:rPr>
          <w:tab/>
        </w:r>
        <w:r w:rsidR="0007326F">
          <w:rPr>
            <w:noProof/>
            <w:webHidden/>
          </w:rPr>
          <w:fldChar w:fldCharType="begin"/>
        </w:r>
        <w:r w:rsidR="0007326F">
          <w:rPr>
            <w:noProof/>
            <w:webHidden/>
          </w:rPr>
          <w:instrText xml:space="preserve"> PAGEREF _Toc24408092 \h </w:instrText>
        </w:r>
        <w:r w:rsidR="0007326F">
          <w:rPr>
            <w:noProof/>
            <w:webHidden/>
          </w:rPr>
        </w:r>
        <w:r w:rsidR="0007326F">
          <w:rPr>
            <w:noProof/>
            <w:webHidden/>
          </w:rPr>
          <w:fldChar w:fldCharType="separate"/>
        </w:r>
        <w:r w:rsidR="00A86C27">
          <w:rPr>
            <w:noProof/>
            <w:webHidden/>
          </w:rPr>
          <w:t>5</w:t>
        </w:r>
        <w:r w:rsidR="0007326F">
          <w:rPr>
            <w:noProof/>
            <w:webHidden/>
          </w:rPr>
          <w:fldChar w:fldCharType="end"/>
        </w:r>
      </w:hyperlink>
    </w:p>
    <w:p w14:paraId="36BFBC56" w14:textId="5E0C98FD" w:rsidR="0007326F" w:rsidRDefault="004458DE" w:rsidP="0007326F">
      <w:pPr>
        <w:pStyle w:val="TOC1"/>
        <w:tabs>
          <w:tab w:val="left" w:pos="660"/>
          <w:tab w:val="right" w:leader="dot" w:pos="9061"/>
        </w:tabs>
        <w:spacing w:after="0" w:line="240" w:lineRule="auto"/>
        <w:rPr>
          <w:rFonts w:eastAsiaTheme="minorEastAsia"/>
          <w:noProof/>
          <w:sz w:val="22"/>
          <w:lang w:eastAsia="lv-LV"/>
        </w:rPr>
      </w:pPr>
      <w:hyperlink w:anchor="_Toc24408093" w:history="1">
        <w:r w:rsidR="0007326F" w:rsidRPr="006519DD">
          <w:rPr>
            <w:rStyle w:val="Hyperlink"/>
            <w:noProof/>
          </w:rPr>
          <w:t>1.</w:t>
        </w:r>
        <w:r w:rsidR="0007326F">
          <w:rPr>
            <w:rFonts w:eastAsiaTheme="minorEastAsia"/>
            <w:noProof/>
            <w:sz w:val="22"/>
            <w:lang w:eastAsia="lv-LV"/>
          </w:rPr>
          <w:tab/>
        </w:r>
        <w:r w:rsidR="0007326F" w:rsidRPr="006519DD">
          <w:rPr>
            <w:rStyle w:val="Hyperlink"/>
            <w:noProof/>
          </w:rPr>
          <w:t>PĀRSKATS UN PLĀNA IZVEIDES PROCESS</w:t>
        </w:r>
        <w:r w:rsidR="0007326F">
          <w:rPr>
            <w:noProof/>
            <w:webHidden/>
          </w:rPr>
          <w:tab/>
        </w:r>
        <w:r w:rsidR="0007326F">
          <w:rPr>
            <w:noProof/>
            <w:webHidden/>
          </w:rPr>
          <w:fldChar w:fldCharType="begin"/>
        </w:r>
        <w:r w:rsidR="0007326F">
          <w:rPr>
            <w:noProof/>
            <w:webHidden/>
          </w:rPr>
          <w:instrText xml:space="preserve"> PAGEREF _Toc24408093 \h </w:instrText>
        </w:r>
        <w:r w:rsidR="0007326F">
          <w:rPr>
            <w:noProof/>
            <w:webHidden/>
          </w:rPr>
        </w:r>
        <w:r w:rsidR="0007326F">
          <w:rPr>
            <w:noProof/>
            <w:webHidden/>
          </w:rPr>
          <w:fldChar w:fldCharType="separate"/>
        </w:r>
        <w:r w:rsidR="00A86C27">
          <w:rPr>
            <w:noProof/>
            <w:webHidden/>
          </w:rPr>
          <w:t>7</w:t>
        </w:r>
        <w:r w:rsidR="0007326F">
          <w:rPr>
            <w:noProof/>
            <w:webHidden/>
          </w:rPr>
          <w:fldChar w:fldCharType="end"/>
        </w:r>
      </w:hyperlink>
    </w:p>
    <w:p w14:paraId="74A90F39" w14:textId="14E3A12E" w:rsidR="0007326F" w:rsidRDefault="004458DE" w:rsidP="0007326F">
      <w:pPr>
        <w:pStyle w:val="TOC2"/>
        <w:tabs>
          <w:tab w:val="left" w:pos="880"/>
          <w:tab w:val="right" w:leader="dot" w:pos="9061"/>
        </w:tabs>
        <w:spacing w:after="0" w:line="240" w:lineRule="auto"/>
        <w:rPr>
          <w:rFonts w:eastAsiaTheme="minorEastAsia"/>
          <w:noProof/>
          <w:sz w:val="22"/>
          <w:lang w:eastAsia="lv-LV"/>
        </w:rPr>
      </w:pPr>
      <w:hyperlink w:anchor="_Toc24408094" w:history="1">
        <w:r w:rsidR="0007326F" w:rsidRPr="006519DD">
          <w:rPr>
            <w:rStyle w:val="Hyperlink"/>
            <w:noProof/>
          </w:rPr>
          <w:t>1.1.</w:t>
        </w:r>
        <w:r w:rsidR="0007326F">
          <w:rPr>
            <w:rFonts w:eastAsiaTheme="minorEastAsia"/>
            <w:noProof/>
            <w:sz w:val="22"/>
            <w:lang w:eastAsia="lv-LV"/>
          </w:rPr>
          <w:tab/>
        </w:r>
        <w:r w:rsidR="0007326F" w:rsidRPr="006519DD">
          <w:rPr>
            <w:rStyle w:val="Hyperlink"/>
            <w:noProof/>
          </w:rPr>
          <w:t>Kopsavilkums</w:t>
        </w:r>
        <w:r w:rsidR="0007326F">
          <w:rPr>
            <w:noProof/>
            <w:webHidden/>
          </w:rPr>
          <w:tab/>
        </w:r>
        <w:r w:rsidR="0007326F">
          <w:rPr>
            <w:noProof/>
            <w:webHidden/>
          </w:rPr>
          <w:fldChar w:fldCharType="begin"/>
        </w:r>
        <w:r w:rsidR="0007326F">
          <w:rPr>
            <w:noProof/>
            <w:webHidden/>
          </w:rPr>
          <w:instrText xml:space="preserve"> PAGEREF _Toc24408094 \h </w:instrText>
        </w:r>
        <w:r w:rsidR="0007326F">
          <w:rPr>
            <w:noProof/>
            <w:webHidden/>
          </w:rPr>
        </w:r>
        <w:r w:rsidR="0007326F">
          <w:rPr>
            <w:noProof/>
            <w:webHidden/>
          </w:rPr>
          <w:fldChar w:fldCharType="separate"/>
        </w:r>
        <w:r w:rsidR="00A86C27">
          <w:rPr>
            <w:noProof/>
            <w:webHidden/>
          </w:rPr>
          <w:t>7</w:t>
        </w:r>
        <w:r w:rsidR="0007326F">
          <w:rPr>
            <w:noProof/>
            <w:webHidden/>
          </w:rPr>
          <w:fldChar w:fldCharType="end"/>
        </w:r>
      </w:hyperlink>
    </w:p>
    <w:p w14:paraId="14B9F1B3" w14:textId="6DA360BF" w:rsidR="0007326F" w:rsidRDefault="004458DE" w:rsidP="0007326F">
      <w:pPr>
        <w:pStyle w:val="TOC2"/>
        <w:tabs>
          <w:tab w:val="left" w:pos="880"/>
          <w:tab w:val="right" w:leader="dot" w:pos="9061"/>
        </w:tabs>
        <w:spacing w:after="0" w:line="240" w:lineRule="auto"/>
        <w:rPr>
          <w:rFonts w:eastAsiaTheme="minorEastAsia"/>
          <w:noProof/>
          <w:sz w:val="22"/>
          <w:lang w:eastAsia="lv-LV"/>
        </w:rPr>
      </w:pPr>
      <w:hyperlink w:anchor="_Toc24408095" w:history="1">
        <w:r w:rsidR="0007326F" w:rsidRPr="006519DD">
          <w:rPr>
            <w:rStyle w:val="Hyperlink"/>
            <w:noProof/>
          </w:rPr>
          <w:t>1.2.</w:t>
        </w:r>
        <w:r w:rsidR="0007326F">
          <w:rPr>
            <w:rFonts w:eastAsiaTheme="minorEastAsia"/>
            <w:noProof/>
            <w:sz w:val="22"/>
            <w:lang w:eastAsia="lv-LV"/>
          </w:rPr>
          <w:tab/>
        </w:r>
        <w:r w:rsidR="0007326F" w:rsidRPr="006519DD">
          <w:rPr>
            <w:rStyle w:val="Hyperlink"/>
            <w:noProof/>
          </w:rPr>
          <w:t>Pašreizējā rīcībpolitikas stāvokļa apskats</w:t>
        </w:r>
        <w:r w:rsidR="0007326F">
          <w:rPr>
            <w:noProof/>
            <w:webHidden/>
          </w:rPr>
          <w:tab/>
        </w:r>
        <w:r w:rsidR="0007326F">
          <w:rPr>
            <w:noProof/>
            <w:webHidden/>
          </w:rPr>
          <w:fldChar w:fldCharType="begin"/>
        </w:r>
        <w:r w:rsidR="0007326F">
          <w:rPr>
            <w:noProof/>
            <w:webHidden/>
          </w:rPr>
          <w:instrText xml:space="preserve"> PAGEREF _Toc24408095 \h </w:instrText>
        </w:r>
        <w:r w:rsidR="0007326F">
          <w:rPr>
            <w:noProof/>
            <w:webHidden/>
          </w:rPr>
        </w:r>
        <w:r w:rsidR="0007326F">
          <w:rPr>
            <w:noProof/>
            <w:webHidden/>
          </w:rPr>
          <w:fldChar w:fldCharType="separate"/>
        </w:r>
        <w:r w:rsidR="00A86C27">
          <w:rPr>
            <w:noProof/>
            <w:webHidden/>
          </w:rPr>
          <w:t>9</w:t>
        </w:r>
        <w:r w:rsidR="0007326F">
          <w:rPr>
            <w:noProof/>
            <w:webHidden/>
          </w:rPr>
          <w:fldChar w:fldCharType="end"/>
        </w:r>
      </w:hyperlink>
    </w:p>
    <w:p w14:paraId="3C7A1A66" w14:textId="75624AE2" w:rsidR="0007326F" w:rsidRDefault="004458DE" w:rsidP="0007326F">
      <w:pPr>
        <w:pStyle w:val="TOC2"/>
        <w:tabs>
          <w:tab w:val="left" w:pos="880"/>
          <w:tab w:val="right" w:leader="dot" w:pos="9061"/>
        </w:tabs>
        <w:spacing w:after="0" w:line="240" w:lineRule="auto"/>
        <w:rPr>
          <w:rFonts w:eastAsiaTheme="minorEastAsia"/>
          <w:noProof/>
          <w:sz w:val="22"/>
          <w:lang w:eastAsia="lv-LV"/>
        </w:rPr>
      </w:pPr>
      <w:hyperlink w:anchor="_Toc24408096" w:history="1">
        <w:r w:rsidR="0007326F" w:rsidRPr="006519DD">
          <w:rPr>
            <w:rStyle w:val="Hyperlink"/>
            <w:noProof/>
          </w:rPr>
          <w:t>1.3.</w:t>
        </w:r>
        <w:r w:rsidR="0007326F">
          <w:rPr>
            <w:rFonts w:eastAsiaTheme="minorEastAsia"/>
            <w:noProof/>
            <w:sz w:val="22"/>
            <w:lang w:eastAsia="lv-LV"/>
          </w:rPr>
          <w:tab/>
        </w:r>
        <w:r w:rsidR="0007326F" w:rsidRPr="006519DD">
          <w:rPr>
            <w:rStyle w:val="Hyperlink"/>
            <w:noProof/>
          </w:rPr>
          <w:t>Apspriede ar valsts un ES struktūrām, to iesaiste un attiecīgie rezultāti</w:t>
        </w:r>
        <w:r w:rsidR="0007326F">
          <w:rPr>
            <w:noProof/>
            <w:webHidden/>
          </w:rPr>
          <w:tab/>
        </w:r>
        <w:r w:rsidR="0007326F">
          <w:rPr>
            <w:noProof/>
            <w:webHidden/>
          </w:rPr>
          <w:fldChar w:fldCharType="begin"/>
        </w:r>
        <w:r w:rsidR="0007326F">
          <w:rPr>
            <w:noProof/>
            <w:webHidden/>
          </w:rPr>
          <w:instrText xml:space="preserve"> PAGEREF _Toc24408096 \h </w:instrText>
        </w:r>
        <w:r w:rsidR="0007326F">
          <w:rPr>
            <w:noProof/>
            <w:webHidden/>
          </w:rPr>
        </w:r>
        <w:r w:rsidR="0007326F">
          <w:rPr>
            <w:noProof/>
            <w:webHidden/>
          </w:rPr>
          <w:fldChar w:fldCharType="separate"/>
        </w:r>
        <w:r w:rsidR="00A86C27">
          <w:rPr>
            <w:noProof/>
            <w:webHidden/>
          </w:rPr>
          <w:t>13</w:t>
        </w:r>
        <w:r w:rsidR="0007326F">
          <w:rPr>
            <w:noProof/>
            <w:webHidden/>
          </w:rPr>
          <w:fldChar w:fldCharType="end"/>
        </w:r>
      </w:hyperlink>
    </w:p>
    <w:p w14:paraId="335381A3" w14:textId="5D97080C" w:rsidR="0007326F" w:rsidRDefault="004458DE" w:rsidP="0007326F">
      <w:pPr>
        <w:pStyle w:val="TOC2"/>
        <w:tabs>
          <w:tab w:val="left" w:pos="880"/>
          <w:tab w:val="right" w:leader="dot" w:pos="9061"/>
        </w:tabs>
        <w:spacing w:after="0" w:line="240" w:lineRule="auto"/>
        <w:rPr>
          <w:rFonts w:eastAsiaTheme="minorEastAsia"/>
          <w:noProof/>
          <w:sz w:val="22"/>
          <w:lang w:eastAsia="lv-LV"/>
        </w:rPr>
      </w:pPr>
      <w:hyperlink w:anchor="_Toc24408097" w:history="1">
        <w:r w:rsidR="0007326F" w:rsidRPr="006519DD">
          <w:rPr>
            <w:rStyle w:val="Hyperlink"/>
            <w:noProof/>
          </w:rPr>
          <w:t>1.4.</w:t>
        </w:r>
        <w:r w:rsidR="0007326F">
          <w:rPr>
            <w:rFonts w:eastAsiaTheme="minorEastAsia"/>
            <w:noProof/>
            <w:sz w:val="22"/>
            <w:lang w:eastAsia="lv-LV"/>
          </w:rPr>
          <w:tab/>
        </w:r>
        <w:r w:rsidR="0007326F" w:rsidRPr="006519DD">
          <w:rPr>
            <w:rStyle w:val="Hyperlink"/>
            <w:noProof/>
          </w:rPr>
          <w:t>Reģionālā sadarbība plāna sagatavošanā</w:t>
        </w:r>
        <w:r w:rsidR="0007326F">
          <w:rPr>
            <w:noProof/>
            <w:webHidden/>
          </w:rPr>
          <w:tab/>
        </w:r>
        <w:r w:rsidR="0007326F">
          <w:rPr>
            <w:noProof/>
            <w:webHidden/>
          </w:rPr>
          <w:fldChar w:fldCharType="begin"/>
        </w:r>
        <w:r w:rsidR="0007326F">
          <w:rPr>
            <w:noProof/>
            <w:webHidden/>
          </w:rPr>
          <w:instrText xml:space="preserve"> PAGEREF _Toc24408097 \h </w:instrText>
        </w:r>
        <w:r w:rsidR="0007326F">
          <w:rPr>
            <w:noProof/>
            <w:webHidden/>
          </w:rPr>
        </w:r>
        <w:r w:rsidR="0007326F">
          <w:rPr>
            <w:noProof/>
            <w:webHidden/>
          </w:rPr>
          <w:fldChar w:fldCharType="separate"/>
        </w:r>
        <w:r w:rsidR="00A86C27">
          <w:rPr>
            <w:noProof/>
            <w:webHidden/>
          </w:rPr>
          <w:t>16</w:t>
        </w:r>
        <w:r w:rsidR="0007326F">
          <w:rPr>
            <w:noProof/>
            <w:webHidden/>
          </w:rPr>
          <w:fldChar w:fldCharType="end"/>
        </w:r>
      </w:hyperlink>
    </w:p>
    <w:p w14:paraId="25A1281A" w14:textId="1547F57F" w:rsidR="0007326F" w:rsidRDefault="004458DE" w:rsidP="0007326F">
      <w:pPr>
        <w:pStyle w:val="TOC1"/>
        <w:tabs>
          <w:tab w:val="left" w:pos="660"/>
          <w:tab w:val="right" w:leader="dot" w:pos="9061"/>
        </w:tabs>
        <w:spacing w:after="0" w:line="240" w:lineRule="auto"/>
        <w:rPr>
          <w:rFonts w:eastAsiaTheme="minorEastAsia"/>
          <w:noProof/>
          <w:sz w:val="22"/>
          <w:lang w:eastAsia="lv-LV"/>
        </w:rPr>
      </w:pPr>
      <w:hyperlink w:anchor="_Toc24408098" w:history="1">
        <w:r w:rsidR="0007326F" w:rsidRPr="006519DD">
          <w:rPr>
            <w:rStyle w:val="Hyperlink"/>
            <w:noProof/>
          </w:rPr>
          <w:t>2.</w:t>
        </w:r>
        <w:r w:rsidR="0007326F">
          <w:rPr>
            <w:rFonts w:eastAsiaTheme="minorEastAsia"/>
            <w:noProof/>
            <w:sz w:val="22"/>
            <w:lang w:eastAsia="lv-LV"/>
          </w:rPr>
          <w:tab/>
        </w:r>
        <w:r w:rsidR="0007326F" w:rsidRPr="006519DD">
          <w:rPr>
            <w:rStyle w:val="Hyperlink"/>
            <w:noProof/>
          </w:rPr>
          <w:t>PAŠREIZĒJĀ SITUĀCIJA UN PROGNOZES</w:t>
        </w:r>
        <w:r w:rsidR="0007326F">
          <w:rPr>
            <w:noProof/>
            <w:webHidden/>
          </w:rPr>
          <w:tab/>
        </w:r>
        <w:r w:rsidR="0007326F">
          <w:rPr>
            <w:noProof/>
            <w:webHidden/>
          </w:rPr>
          <w:fldChar w:fldCharType="begin"/>
        </w:r>
        <w:r w:rsidR="0007326F">
          <w:rPr>
            <w:noProof/>
            <w:webHidden/>
          </w:rPr>
          <w:instrText xml:space="preserve"> PAGEREF _Toc24408098 \h </w:instrText>
        </w:r>
        <w:r w:rsidR="0007326F">
          <w:rPr>
            <w:noProof/>
            <w:webHidden/>
          </w:rPr>
        </w:r>
        <w:r w:rsidR="0007326F">
          <w:rPr>
            <w:noProof/>
            <w:webHidden/>
          </w:rPr>
          <w:fldChar w:fldCharType="separate"/>
        </w:r>
        <w:r w:rsidR="00A86C27">
          <w:rPr>
            <w:noProof/>
            <w:webHidden/>
          </w:rPr>
          <w:t>19</w:t>
        </w:r>
        <w:r w:rsidR="0007326F">
          <w:rPr>
            <w:noProof/>
            <w:webHidden/>
          </w:rPr>
          <w:fldChar w:fldCharType="end"/>
        </w:r>
      </w:hyperlink>
    </w:p>
    <w:p w14:paraId="328C37C6" w14:textId="4EF5605E" w:rsidR="0007326F" w:rsidRDefault="004458DE" w:rsidP="0007326F">
      <w:pPr>
        <w:pStyle w:val="TOC2"/>
        <w:tabs>
          <w:tab w:val="left" w:pos="880"/>
          <w:tab w:val="right" w:leader="dot" w:pos="9061"/>
        </w:tabs>
        <w:spacing w:after="0" w:line="240" w:lineRule="auto"/>
        <w:rPr>
          <w:rFonts w:eastAsiaTheme="minorEastAsia"/>
          <w:noProof/>
          <w:sz w:val="22"/>
          <w:lang w:eastAsia="lv-LV"/>
        </w:rPr>
      </w:pPr>
      <w:hyperlink w:anchor="_Toc24408099" w:history="1">
        <w:r w:rsidR="0007326F" w:rsidRPr="006519DD">
          <w:rPr>
            <w:rStyle w:val="Hyperlink"/>
            <w:noProof/>
          </w:rPr>
          <w:t>2.1.</w:t>
        </w:r>
        <w:r w:rsidR="0007326F">
          <w:rPr>
            <w:rFonts w:eastAsiaTheme="minorEastAsia"/>
            <w:noProof/>
            <w:sz w:val="22"/>
            <w:lang w:eastAsia="lv-LV"/>
          </w:rPr>
          <w:tab/>
        </w:r>
        <w:r w:rsidR="0007326F" w:rsidRPr="006519DD">
          <w:rPr>
            <w:rStyle w:val="Hyperlink"/>
            <w:noProof/>
          </w:rPr>
          <w:t>Makroekonomika</w:t>
        </w:r>
        <w:r w:rsidR="0007326F">
          <w:rPr>
            <w:noProof/>
            <w:webHidden/>
          </w:rPr>
          <w:tab/>
        </w:r>
        <w:r w:rsidR="0007326F">
          <w:rPr>
            <w:noProof/>
            <w:webHidden/>
          </w:rPr>
          <w:fldChar w:fldCharType="begin"/>
        </w:r>
        <w:r w:rsidR="0007326F">
          <w:rPr>
            <w:noProof/>
            <w:webHidden/>
          </w:rPr>
          <w:instrText xml:space="preserve"> PAGEREF _Toc24408099 \h </w:instrText>
        </w:r>
        <w:r w:rsidR="0007326F">
          <w:rPr>
            <w:noProof/>
            <w:webHidden/>
          </w:rPr>
        </w:r>
        <w:r w:rsidR="0007326F">
          <w:rPr>
            <w:noProof/>
            <w:webHidden/>
          </w:rPr>
          <w:fldChar w:fldCharType="separate"/>
        </w:r>
        <w:r w:rsidR="00A86C27">
          <w:rPr>
            <w:noProof/>
            <w:webHidden/>
          </w:rPr>
          <w:t>19</w:t>
        </w:r>
        <w:r w:rsidR="0007326F">
          <w:rPr>
            <w:noProof/>
            <w:webHidden/>
          </w:rPr>
          <w:fldChar w:fldCharType="end"/>
        </w:r>
      </w:hyperlink>
    </w:p>
    <w:p w14:paraId="484487F6" w14:textId="38DB9BA5" w:rsidR="0007326F" w:rsidRDefault="004458DE" w:rsidP="0007326F">
      <w:pPr>
        <w:pStyle w:val="TOC2"/>
        <w:tabs>
          <w:tab w:val="left" w:pos="880"/>
          <w:tab w:val="right" w:leader="dot" w:pos="9061"/>
        </w:tabs>
        <w:spacing w:after="0" w:line="240" w:lineRule="auto"/>
        <w:rPr>
          <w:rFonts w:eastAsiaTheme="minorEastAsia"/>
          <w:noProof/>
          <w:sz w:val="22"/>
          <w:lang w:eastAsia="lv-LV"/>
        </w:rPr>
      </w:pPr>
      <w:hyperlink w:anchor="_Toc24408100" w:history="1">
        <w:r w:rsidR="0007326F" w:rsidRPr="006519DD">
          <w:rPr>
            <w:rStyle w:val="Hyperlink"/>
            <w:noProof/>
          </w:rPr>
          <w:t>2.2.</w:t>
        </w:r>
        <w:r w:rsidR="0007326F">
          <w:rPr>
            <w:rFonts w:eastAsiaTheme="minorEastAsia"/>
            <w:noProof/>
            <w:sz w:val="22"/>
            <w:lang w:eastAsia="lv-LV"/>
          </w:rPr>
          <w:tab/>
        </w:r>
        <w:r w:rsidR="0007326F" w:rsidRPr="006519DD">
          <w:rPr>
            <w:rStyle w:val="Hyperlink"/>
            <w:noProof/>
          </w:rPr>
          <w:t>Dekarbonizācija</w:t>
        </w:r>
        <w:r w:rsidR="0007326F">
          <w:rPr>
            <w:noProof/>
            <w:webHidden/>
          </w:rPr>
          <w:tab/>
        </w:r>
        <w:r w:rsidR="0007326F">
          <w:rPr>
            <w:noProof/>
            <w:webHidden/>
          </w:rPr>
          <w:fldChar w:fldCharType="begin"/>
        </w:r>
        <w:r w:rsidR="0007326F">
          <w:rPr>
            <w:noProof/>
            <w:webHidden/>
          </w:rPr>
          <w:instrText xml:space="preserve"> PAGEREF _Toc24408100 \h </w:instrText>
        </w:r>
        <w:r w:rsidR="0007326F">
          <w:rPr>
            <w:noProof/>
            <w:webHidden/>
          </w:rPr>
        </w:r>
        <w:r w:rsidR="0007326F">
          <w:rPr>
            <w:noProof/>
            <w:webHidden/>
          </w:rPr>
          <w:fldChar w:fldCharType="separate"/>
        </w:r>
        <w:r w:rsidR="00A86C27">
          <w:rPr>
            <w:noProof/>
            <w:webHidden/>
          </w:rPr>
          <w:t>23</w:t>
        </w:r>
        <w:r w:rsidR="0007326F">
          <w:rPr>
            <w:noProof/>
            <w:webHidden/>
          </w:rPr>
          <w:fldChar w:fldCharType="end"/>
        </w:r>
      </w:hyperlink>
    </w:p>
    <w:p w14:paraId="0820CAD4" w14:textId="75904F0F" w:rsidR="0007326F" w:rsidRDefault="004458DE" w:rsidP="0007326F">
      <w:pPr>
        <w:pStyle w:val="TOC2"/>
        <w:tabs>
          <w:tab w:val="left" w:pos="880"/>
          <w:tab w:val="right" w:leader="dot" w:pos="9061"/>
        </w:tabs>
        <w:spacing w:after="0" w:line="240" w:lineRule="auto"/>
        <w:rPr>
          <w:rFonts w:eastAsiaTheme="minorEastAsia"/>
          <w:noProof/>
          <w:sz w:val="22"/>
          <w:lang w:eastAsia="lv-LV"/>
        </w:rPr>
      </w:pPr>
      <w:hyperlink w:anchor="_Toc24408101" w:history="1">
        <w:r w:rsidR="0007326F" w:rsidRPr="006519DD">
          <w:rPr>
            <w:rStyle w:val="Hyperlink"/>
            <w:noProof/>
          </w:rPr>
          <w:t>2.3.</w:t>
        </w:r>
        <w:r w:rsidR="0007326F">
          <w:rPr>
            <w:rFonts w:eastAsiaTheme="minorEastAsia"/>
            <w:noProof/>
            <w:sz w:val="22"/>
            <w:lang w:eastAsia="lv-LV"/>
          </w:rPr>
          <w:tab/>
        </w:r>
        <w:r w:rsidR="0007326F" w:rsidRPr="006519DD">
          <w:rPr>
            <w:rStyle w:val="Hyperlink"/>
            <w:noProof/>
          </w:rPr>
          <w:t>Energoefektivitāte</w:t>
        </w:r>
        <w:r w:rsidR="0007326F">
          <w:rPr>
            <w:noProof/>
            <w:webHidden/>
          </w:rPr>
          <w:tab/>
        </w:r>
        <w:r w:rsidR="0007326F">
          <w:rPr>
            <w:noProof/>
            <w:webHidden/>
          </w:rPr>
          <w:fldChar w:fldCharType="begin"/>
        </w:r>
        <w:r w:rsidR="0007326F">
          <w:rPr>
            <w:noProof/>
            <w:webHidden/>
          </w:rPr>
          <w:instrText xml:space="preserve"> PAGEREF _Toc24408101 \h </w:instrText>
        </w:r>
        <w:r w:rsidR="0007326F">
          <w:rPr>
            <w:noProof/>
            <w:webHidden/>
          </w:rPr>
        </w:r>
        <w:r w:rsidR="0007326F">
          <w:rPr>
            <w:noProof/>
            <w:webHidden/>
          </w:rPr>
          <w:fldChar w:fldCharType="separate"/>
        </w:r>
        <w:r w:rsidR="00A86C27">
          <w:rPr>
            <w:noProof/>
            <w:webHidden/>
          </w:rPr>
          <w:t>32</w:t>
        </w:r>
        <w:r w:rsidR="0007326F">
          <w:rPr>
            <w:noProof/>
            <w:webHidden/>
          </w:rPr>
          <w:fldChar w:fldCharType="end"/>
        </w:r>
      </w:hyperlink>
    </w:p>
    <w:p w14:paraId="6D11CE0D" w14:textId="7C1DE8D3" w:rsidR="0007326F" w:rsidRDefault="004458DE" w:rsidP="0007326F">
      <w:pPr>
        <w:pStyle w:val="TOC2"/>
        <w:tabs>
          <w:tab w:val="left" w:pos="880"/>
          <w:tab w:val="right" w:leader="dot" w:pos="9061"/>
        </w:tabs>
        <w:spacing w:after="0" w:line="240" w:lineRule="auto"/>
        <w:rPr>
          <w:rFonts w:eastAsiaTheme="minorEastAsia"/>
          <w:noProof/>
          <w:sz w:val="22"/>
          <w:lang w:eastAsia="lv-LV"/>
        </w:rPr>
      </w:pPr>
      <w:hyperlink w:anchor="_Toc24408102" w:history="1">
        <w:r w:rsidR="0007326F" w:rsidRPr="006519DD">
          <w:rPr>
            <w:rStyle w:val="Hyperlink"/>
            <w:noProof/>
          </w:rPr>
          <w:t>2.4.</w:t>
        </w:r>
        <w:r w:rsidR="0007326F">
          <w:rPr>
            <w:rFonts w:eastAsiaTheme="minorEastAsia"/>
            <w:noProof/>
            <w:sz w:val="22"/>
            <w:lang w:eastAsia="lv-LV"/>
          </w:rPr>
          <w:tab/>
        </w:r>
        <w:r w:rsidR="0007326F" w:rsidRPr="006519DD">
          <w:rPr>
            <w:rStyle w:val="Hyperlink"/>
            <w:noProof/>
          </w:rPr>
          <w:t>Enerģētiskā drošība</w:t>
        </w:r>
        <w:r w:rsidR="0007326F">
          <w:rPr>
            <w:noProof/>
            <w:webHidden/>
          </w:rPr>
          <w:tab/>
        </w:r>
        <w:r w:rsidR="0007326F">
          <w:rPr>
            <w:noProof/>
            <w:webHidden/>
          </w:rPr>
          <w:fldChar w:fldCharType="begin"/>
        </w:r>
        <w:r w:rsidR="0007326F">
          <w:rPr>
            <w:noProof/>
            <w:webHidden/>
          </w:rPr>
          <w:instrText xml:space="preserve"> PAGEREF _Toc24408102 \h </w:instrText>
        </w:r>
        <w:r w:rsidR="0007326F">
          <w:rPr>
            <w:noProof/>
            <w:webHidden/>
          </w:rPr>
        </w:r>
        <w:r w:rsidR="0007326F">
          <w:rPr>
            <w:noProof/>
            <w:webHidden/>
          </w:rPr>
          <w:fldChar w:fldCharType="separate"/>
        </w:r>
        <w:r w:rsidR="00A86C27">
          <w:rPr>
            <w:noProof/>
            <w:webHidden/>
          </w:rPr>
          <w:t>40</w:t>
        </w:r>
        <w:r w:rsidR="0007326F">
          <w:rPr>
            <w:noProof/>
            <w:webHidden/>
          </w:rPr>
          <w:fldChar w:fldCharType="end"/>
        </w:r>
      </w:hyperlink>
    </w:p>
    <w:p w14:paraId="5F1ABAE9" w14:textId="3763EADC" w:rsidR="0007326F" w:rsidRDefault="004458DE" w:rsidP="0007326F">
      <w:pPr>
        <w:pStyle w:val="TOC2"/>
        <w:tabs>
          <w:tab w:val="left" w:pos="880"/>
          <w:tab w:val="right" w:leader="dot" w:pos="9061"/>
        </w:tabs>
        <w:spacing w:after="0" w:line="240" w:lineRule="auto"/>
        <w:rPr>
          <w:rFonts w:eastAsiaTheme="minorEastAsia"/>
          <w:noProof/>
          <w:sz w:val="22"/>
          <w:lang w:eastAsia="lv-LV"/>
        </w:rPr>
      </w:pPr>
      <w:hyperlink w:anchor="_Toc24408103" w:history="1">
        <w:r w:rsidR="0007326F" w:rsidRPr="006519DD">
          <w:rPr>
            <w:rStyle w:val="Hyperlink"/>
            <w:noProof/>
          </w:rPr>
          <w:t>2.5.</w:t>
        </w:r>
        <w:r w:rsidR="0007326F">
          <w:rPr>
            <w:rFonts w:eastAsiaTheme="minorEastAsia"/>
            <w:noProof/>
            <w:sz w:val="22"/>
            <w:lang w:eastAsia="lv-LV"/>
          </w:rPr>
          <w:tab/>
        </w:r>
        <w:r w:rsidR="0007326F" w:rsidRPr="006519DD">
          <w:rPr>
            <w:rStyle w:val="Hyperlink"/>
            <w:noProof/>
          </w:rPr>
          <w:t>Iekšējais enerģijas tirgus</w:t>
        </w:r>
        <w:r w:rsidR="0007326F">
          <w:rPr>
            <w:noProof/>
            <w:webHidden/>
          </w:rPr>
          <w:tab/>
        </w:r>
        <w:r w:rsidR="0007326F">
          <w:rPr>
            <w:noProof/>
            <w:webHidden/>
          </w:rPr>
          <w:fldChar w:fldCharType="begin"/>
        </w:r>
        <w:r w:rsidR="0007326F">
          <w:rPr>
            <w:noProof/>
            <w:webHidden/>
          </w:rPr>
          <w:instrText xml:space="preserve"> PAGEREF _Toc24408103 \h </w:instrText>
        </w:r>
        <w:r w:rsidR="0007326F">
          <w:rPr>
            <w:noProof/>
            <w:webHidden/>
          </w:rPr>
        </w:r>
        <w:r w:rsidR="0007326F">
          <w:rPr>
            <w:noProof/>
            <w:webHidden/>
          </w:rPr>
          <w:fldChar w:fldCharType="separate"/>
        </w:r>
        <w:r w:rsidR="00A86C27">
          <w:rPr>
            <w:noProof/>
            <w:webHidden/>
          </w:rPr>
          <w:t>43</w:t>
        </w:r>
        <w:r w:rsidR="0007326F">
          <w:rPr>
            <w:noProof/>
            <w:webHidden/>
          </w:rPr>
          <w:fldChar w:fldCharType="end"/>
        </w:r>
      </w:hyperlink>
    </w:p>
    <w:p w14:paraId="1F8175F5" w14:textId="1C3DF1B7" w:rsidR="0007326F" w:rsidRDefault="004458DE" w:rsidP="0007326F">
      <w:pPr>
        <w:pStyle w:val="TOC2"/>
        <w:tabs>
          <w:tab w:val="left" w:pos="880"/>
          <w:tab w:val="right" w:leader="dot" w:pos="9061"/>
        </w:tabs>
        <w:spacing w:after="0" w:line="240" w:lineRule="auto"/>
        <w:rPr>
          <w:rFonts w:eastAsiaTheme="minorEastAsia"/>
          <w:noProof/>
          <w:sz w:val="22"/>
          <w:lang w:eastAsia="lv-LV"/>
        </w:rPr>
      </w:pPr>
      <w:hyperlink w:anchor="_Toc24408104" w:history="1">
        <w:r w:rsidR="0007326F" w:rsidRPr="006519DD">
          <w:rPr>
            <w:rStyle w:val="Hyperlink"/>
            <w:noProof/>
          </w:rPr>
          <w:t>2.6.</w:t>
        </w:r>
        <w:r w:rsidR="0007326F">
          <w:rPr>
            <w:rFonts w:eastAsiaTheme="minorEastAsia"/>
            <w:noProof/>
            <w:sz w:val="22"/>
            <w:lang w:eastAsia="lv-LV"/>
          </w:rPr>
          <w:tab/>
        </w:r>
        <w:r w:rsidR="0007326F" w:rsidRPr="006519DD">
          <w:rPr>
            <w:rStyle w:val="Hyperlink"/>
            <w:noProof/>
          </w:rPr>
          <w:t>Pētniecība, inovācija un konkurētspēja</w:t>
        </w:r>
        <w:r w:rsidR="0007326F">
          <w:rPr>
            <w:noProof/>
            <w:webHidden/>
          </w:rPr>
          <w:tab/>
        </w:r>
        <w:r w:rsidR="0007326F">
          <w:rPr>
            <w:noProof/>
            <w:webHidden/>
          </w:rPr>
          <w:fldChar w:fldCharType="begin"/>
        </w:r>
        <w:r w:rsidR="0007326F">
          <w:rPr>
            <w:noProof/>
            <w:webHidden/>
          </w:rPr>
          <w:instrText xml:space="preserve"> PAGEREF _Toc24408104 \h </w:instrText>
        </w:r>
        <w:r w:rsidR="0007326F">
          <w:rPr>
            <w:noProof/>
            <w:webHidden/>
          </w:rPr>
        </w:r>
        <w:r w:rsidR="0007326F">
          <w:rPr>
            <w:noProof/>
            <w:webHidden/>
          </w:rPr>
          <w:fldChar w:fldCharType="separate"/>
        </w:r>
        <w:r w:rsidR="00A86C27">
          <w:rPr>
            <w:noProof/>
            <w:webHidden/>
          </w:rPr>
          <w:t>61</w:t>
        </w:r>
        <w:r w:rsidR="0007326F">
          <w:rPr>
            <w:noProof/>
            <w:webHidden/>
          </w:rPr>
          <w:fldChar w:fldCharType="end"/>
        </w:r>
      </w:hyperlink>
    </w:p>
    <w:p w14:paraId="4496EE67" w14:textId="2829B3EC" w:rsidR="0007326F" w:rsidRDefault="004458DE" w:rsidP="0007326F">
      <w:pPr>
        <w:pStyle w:val="TOC1"/>
        <w:tabs>
          <w:tab w:val="left" w:pos="660"/>
          <w:tab w:val="right" w:leader="dot" w:pos="9061"/>
        </w:tabs>
        <w:spacing w:after="0" w:line="240" w:lineRule="auto"/>
        <w:rPr>
          <w:rFonts w:eastAsiaTheme="minorEastAsia"/>
          <w:noProof/>
          <w:sz w:val="22"/>
          <w:lang w:eastAsia="lv-LV"/>
        </w:rPr>
      </w:pPr>
      <w:hyperlink w:anchor="_Toc24408105" w:history="1">
        <w:r w:rsidR="0007326F" w:rsidRPr="006519DD">
          <w:rPr>
            <w:rStyle w:val="Hyperlink"/>
            <w:noProof/>
          </w:rPr>
          <w:t>3.</w:t>
        </w:r>
        <w:r w:rsidR="0007326F">
          <w:rPr>
            <w:rFonts w:eastAsiaTheme="minorEastAsia"/>
            <w:noProof/>
            <w:sz w:val="22"/>
            <w:lang w:eastAsia="lv-LV"/>
          </w:rPr>
          <w:tab/>
        </w:r>
        <w:r w:rsidR="0007326F" w:rsidRPr="006519DD">
          <w:rPr>
            <w:rStyle w:val="Hyperlink"/>
            <w:noProof/>
          </w:rPr>
          <w:t>NACIONĀLIE MĒRĶI UN MĒRĶRĀDĪTĀJI</w:t>
        </w:r>
        <w:r w:rsidR="0007326F">
          <w:rPr>
            <w:noProof/>
            <w:webHidden/>
          </w:rPr>
          <w:tab/>
        </w:r>
        <w:r w:rsidR="0007326F">
          <w:rPr>
            <w:noProof/>
            <w:webHidden/>
          </w:rPr>
          <w:fldChar w:fldCharType="begin"/>
        </w:r>
        <w:r w:rsidR="0007326F">
          <w:rPr>
            <w:noProof/>
            <w:webHidden/>
          </w:rPr>
          <w:instrText xml:space="preserve"> PAGEREF _Toc24408105 \h </w:instrText>
        </w:r>
        <w:r w:rsidR="0007326F">
          <w:rPr>
            <w:noProof/>
            <w:webHidden/>
          </w:rPr>
        </w:r>
        <w:r w:rsidR="0007326F">
          <w:rPr>
            <w:noProof/>
            <w:webHidden/>
          </w:rPr>
          <w:fldChar w:fldCharType="separate"/>
        </w:r>
        <w:r w:rsidR="00A86C27">
          <w:rPr>
            <w:noProof/>
            <w:webHidden/>
          </w:rPr>
          <w:t>65</w:t>
        </w:r>
        <w:r w:rsidR="0007326F">
          <w:rPr>
            <w:noProof/>
            <w:webHidden/>
          </w:rPr>
          <w:fldChar w:fldCharType="end"/>
        </w:r>
      </w:hyperlink>
    </w:p>
    <w:p w14:paraId="6D44BA4F" w14:textId="7FC720D3" w:rsidR="0007326F" w:rsidRDefault="004458DE" w:rsidP="0007326F">
      <w:pPr>
        <w:pStyle w:val="TOC2"/>
        <w:tabs>
          <w:tab w:val="left" w:pos="880"/>
          <w:tab w:val="right" w:leader="dot" w:pos="9061"/>
        </w:tabs>
        <w:spacing w:after="0" w:line="240" w:lineRule="auto"/>
        <w:rPr>
          <w:rFonts w:eastAsiaTheme="minorEastAsia"/>
          <w:noProof/>
          <w:sz w:val="22"/>
          <w:lang w:eastAsia="lv-LV"/>
        </w:rPr>
      </w:pPr>
      <w:hyperlink w:anchor="_Toc24408106" w:history="1">
        <w:r w:rsidR="0007326F" w:rsidRPr="006519DD">
          <w:rPr>
            <w:rStyle w:val="Hyperlink"/>
            <w:noProof/>
          </w:rPr>
          <w:t>3.1.</w:t>
        </w:r>
        <w:r w:rsidR="0007326F">
          <w:rPr>
            <w:rFonts w:eastAsiaTheme="minorEastAsia"/>
            <w:noProof/>
            <w:sz w:val="22"/>
            <w:lang w:eastAsia="lv-LV"/>
          </w:rPr>
          <w:tab/>
        </w:r>
        <w:r w:rsidR="0007326F" w:rsidRPr="006519DD">
          <w:rPr>
            <w:rStyle w:val="Hyperlink"/>
            <w:noProof/>
          </w:rPr>
          <w:t>Dekarbonizācija</w:t>
        </w:r>
        <w:r w:rsidR="0007326F">
          <w:rPr>
            <w:noProof/>
            <w:webHidden/>
          </w:rPr>
          <w:tab/>
        </w:r>
        <w:r w:rsidR="0007326F">
          <w:rPr>
            <w:noProof/>
            <w:webHidden/>
          </w:rPr>
          <w:fldChar w:fldCharType="begin"/>
        </w:r>
        <w:r w:rsidR="0007326F">
          <w:rPr>
            <w:noProof/>
            <w:webHidden/>
          </w:rPr>
          <w:instrText xml:space="preserve"> PAGEREF _Toc24408106 \h </w:instrText>
        </w:r>
        <w:r w:rsidR="0007326F">
          <w:rPr>
            <w:noProof/>
            <w:webHidden/>
          </w:rPr>
        </w:r>
        <w:r w:rsidR="0007326F">
          <w:rPr>
            <w:noProof/>
            <w:webHidden/>
          </w:rPr>
          <w:fldChar w:fldCharType="separate"/>
        </w:r>
        <w:r w:rsidR="00A86C27">
          <w:rPr>
            <w:noProof/>
            <w:webHidden/>
          </w:rPr>
          <w:t>65</w:t>
        </w:r>
        <w:r w:rsidR="0007326F">
          <w:rPr>
            <w:noProof/>
            <w:webHidden/>
          </w:rPr>
          <w:fldChar w:fldCharType="end"/>
        </w:r>
      </w:hyperlink>
    </w:p>
    <w:p w14:paraId="00AC6130" w14:textId="4FF4878C" w:rsidR="0007326F" w:rsidRDefault="004458DE" w:rsidP="0007326F">
      <w:pPr>
        <w:pStyle w:val="TOC2"/>
        <w:tabs>
          <w:tab w:val="left" w:pos="880"/>
          <w:tab w:val="right" w:leader="dot" w:pos="9061"/>
        </w:tabs>
        <w:spacing w:after="0" w:line="240" w:lineRule="auto"/>
        <w:rPr>
          <w:rFonts w:eastAsiaTheme="minorEastAsia"/>
          <w:noProof/>
          <w:sz w:val="22"/>
          <w:lang w:eastAsia="lv-LV"/>
        </w:rPr>
      </w:pPr>
      <w:hyperlink w:anchor="_Toc24408107" w:history="1">
        <w:r w:rsidR="0007326F" w:rsidRPr="006519DD">
          <w:rPr>
            <w:rStyle w:val="Hyperlink"/>
            <w:noProof/>
          </w:rPr>
          <w:t>3.2.</w:t>
        </w:r>
        <w:r w:rsidR="0007326F">
          <w:rPr>
            <w:rFonts w:eastAsiaTheme="minorEastAsia"/>
            <w:noProof/>
            <w:sz w:val="22"/>
            <w:lang w:eastAsia="lv-LV"/>
          </w:rPr>
          <w:tab/>
        </w:r>
        <w:r w:rsidR="0007326F" w:rsidRPr="006519DD">
          <w:rPr>
            <w:rStyle w:val="Hyperlink"/>
            <w:noProof/>
          </w:rPr>
          <w:t>Energoefektivitāte</w:t>
        </w:r>
        <w:r w:rsidR="0007326F">
          <w:rPr>
            <w:noProof/>
            <w:webHidden/>
          </w:rPr>
          <w:tab/>
        </w:r>
        <w:r w:rsidR="0007326F">
          <w:rPr>
            <w:noProof/>
            <w:webHidden/>
          </w:rPr>
          <w:fldChar w:fldCharType="begin"/>
        </w:r>
        <w:r w:rsidR="0007326F">
          <w:rPr>
            <w:noProof/>
            <w:webHidden/>
          </w:rPr>
          <w:instrText xml:space="preserve"> PAGEREF _Toc24408107 \h </w:instrText>
        </w:r>
        <w:r w:rsidR="0007326F">
          <w:rPr>
            <w:noProof/>
            <w:webHidden/>
          </w:rPr>
        </w:r>
        <w:r w:rsidR="0007326F">
          <w:rPr>
            <w:noProof/>
            <w:webHidden/>
          </w:rPr>
          <w:fldChar w:fldCharType="separate"/>
        </w:r>
        <w:r w:rsidR="00A86C27">
          <w:rPr>
            <w:noProof/>
            <w:webHidden/>
          </w:rPr>
          <w:t>69</w:t>
        </w:r>
        <w:r w:rsidR="0007326F">
          <w:rPr>
            <w:noProof/>
            <w:webHidden/>
          </w:rPr>
          <w:fldChar w:fldCharType="end"/>
        </w:r>
      </w:hyperlink>
    </w:p>
    <w:p w14:paraId="701924E8" w14:textId="06F9A084" w:rsidR="0007326F" w:rsidRDefault="004458DE" w:rsidP="0007326F">
      <w:pPr>
        <w:pStyle w:val="TOC2"/>
        <w:tabs>
          <w:tab w:val="left" w:pos="880"/>
          <w:tab w:val="right" w:leader="dot" w:pos="9061"/>
        </w:tabs>
        <w:spacing w:after="0" w:line="240" w:lineRule="auto"/>
        <w:rPr>
          <w:rFonts w:eastAsiaTheme="minorEastAsia"/>
          <w:noProof/>
          <w:sz w:val="22"/>
          <w:lang w:eastAsia="lv-LV"/>
        </w:rPr>
      </w:pPr>
      <w:hyperlink w:anchor="_Toc24408108" w:history="1">
        <w:r w:rsidR="0007326F" w:rsidRPr="006519DD">
          <w:rPr>
            <w:rStyle w:val="Hyperlink"/>
            <w:noProof/>
          </w:rPr>
          <w:t>3.3.</w:t>
        </w:r>
        <w:r w:rsidR="0007326F">
          <w:rPr>
            <w:rFonts w:eastAsiaTheme="minorEastAsia"/>
            <w:noProof/>
            <w:sz w:val="22"/>
            <w:lang w:eastAsia="lv-LV"/>
          </w:rPr>
          <w:tab/>
        </w:r>
        <w:r w:rsidR="0007326F" w:rsidRPr="006519DD">
          <w:rPr>
            <w:rStyle w:val="Hyperlink"/>
            <w:noProof/>
          </w:rPr>
          <w:t>Enerģētiskā drošība</w:t>
        </w:r>
        <w:r w:rsidR="0007326F">
          <w:rPr>
            <w:noProof/>
            <w:webHidden/>
          </w:rPr>
          <w:tab/>
        </w:r>
        <w:r w:rsidR="0007326F">
          <w:rPr>
            <w:noProof/>
            <w:webHidden/>
          </w:rPr>
          <w:fldChar w:fldCharType="begin"/>
        </w:r>
        <w:r w:rsidR="0007326F">
          <w:rPr>
            <w:noProof/>
            <w:webHidden/>
          </w:rPr>
          <w:instrText xml:space="preserve"> PAGEREF _Toc24408108 \h </w:instrText>
        </w:r>
        <w:r w:rsidR="0007326F">
          <w:rPr>
            <w:noProof/>
            <w:webHidden/>
          </w:rPr>
        </w:r>
        <w:r w:rsidR="0007326F">
          <w:rPr>
            <w:noProof/>
            <w:webHidden/>
          </w:rPr>
          <w:fldChar w:fldCharType="separate"/>
        </w:r>
        <w:r w:rsidR="00A86C27">
          <w:rPr>
            <w:noProof/>
            <w:webHidden/>
          </w:rPr>
          <w:t>72</w:t>
        </w:r>
        <w:r w:rsidR="0007326F">
          <w:rPr>
            <w:noProof/>
            <w:webHidden/>
          </w:rPr>
          <w:fldChar w:fldCharType="end"/>
        </w:r>
      </w:hyperlink>
    </w:p>
    <w:p w14:paraId="0FA9DA83" w14:textId="6FD43F67" w:rsidR="0007326F" w:rsidRDefault="004458DE" w:rsidP="0007326F">
      <w:pPr>
        <w:pStyle w:val="TOC2"/>
        <w:tabs>
          <w:tab w:val="left" w:pos="880"/>
          <w:tab w:val="right" w:leader="dot" w:pos="9061"/>
        </w:tabs>
        <w:spacing w:after="0" w:line="240" w:lineRule="auto"/>
        <w:rPr>
          <w:rFonts w:eastAsiaTheme="minorEastAsia"/>
          <w:noProof/>
          <w:sz w:val="22"/>
          <w:lang w:eastAsia="lv-LV"/>
        </w:rPr>
      </w:pPr>
      <w:hyperlink w:anchor="_Toc24408109" w:history="1">
        <w:r w:rsidR="0007326F" w:rsidRPr="006519DD">
          <w:rPr>
            <w:rStyle w:val="Hyperlink"/>
            <w:noProof/>
          </w:rPr>
          <w:t>3.4.</w:t>
        </w:r>
        <w:r w:rsidR="0007326F">
          <w:rPr>
            <w:rFonts w:eastAsiaTheme="minorEastAsia"/>
            <w:noProof/>
            <w:sz w:val="22"/>
            <w:lang w:eastAsia="lv-LV"/>
          </w:rPr>
          <w:tab/>
        </w:r>
        <w:r w:rsidR="0007326F" w:rsidRPr="006519DD">
          <w:rPr>
            <w:rStyle w:val="Hyperlink"/>
            <w:noProof/>
          </w:rPr>
          <w:t>Iekšējais enerģijas tirgus</w:t>
        </w:r>
        <w:r w:rsidR="0007326F">
          <w:rPr>
            <w:noProof/>
            <w:webHidden/>
          </w:rPr>
          <w:tab/>
        </w:r>
        <w:r w:rsidR="0007326F">
          <w:rPr>
            <w:noProof/>
            <w:webHidden/>
          </w:rPr>
          <w:fldChar w:fldCharType="begin"/>
        </w:r>
        <w:r w:rsidR="0007326F">
          <w:rPr>
            <w:noProof/>
            <w:webHidden/>
          </w:rPr>
          <w:instrText xml:space="preserve"> PAGEREF _Toc24408109 \h </w:instrText>
        </w:r>
        <w:r w:rsidR="0007326F">
          <w:rPr>
            <w:noProof/>
            <w:webHidden/>
          </w:rPr>
        </w:r>
        <w:r w:rsidR="0007326F">
          <w:rPr>
            <w:noProof/>
            <w:webHidden/>
          </w:rPr>
          <w:fldChar w:fldCharType="separate"/>
        </w:r>
        <w:r w:rsidR="00A86C27">
          <w:rPr>
            <w:noProof/>
            <w:webHidden/>
          </w:rPr>
          <w:t>73</w:t>
        </w:r>
        <w:r w:rsidR="0007326F">
          <w:rPr>
            <w:noProof/>
            <w:webHidden/>
          </w:rPr>
          <w:fldChar w:fldCharType="end"/>
        </w:r>
      </w:hyperlink>
    </w:p>
    <w:p w14:paraId="023086C5" w14:textId="2C7202A6" w:rsidR="0007326F" w:rsidRDefault="004458DE" w:rsidP="0007326F">
      <w:pPr>
        <w:pStyle w:val="TOC2"/>
        <w:tabs>
          <w:tab w:val="left" w:pos="880"/>
          <w:tab w:val="right" w:leader="dot" w:pos="9061"/>
        </w:tabs>
        <w:spacing w:after="0" w:line="240" w:lineRule="auto"/>
        <w:rPr>
          <w:rFonts w:eastAsiaTheme="minorEastAsia"/>
          <w:noProof/>
          <w:sz w:val="22"/>
          <w:lang w:eastAsia="lv-LV"/>
        </w:rPr>
      </w:pPr>
      <w:hyperlink w:anchor="_Toc24408110" w:history="1">
        <w:r w:rsidR="0007326F" w:rsidRPr="006519DD">
          <w:rPr>
            <w:rStyle w:val="Hyperlink"/>
            <w:noProof/>
          </w:rPr>
          <w:t>3.5.</w:t>
        </w:r>
        <w:r w:rsidR="0007326F">
          <w:rPr>
            <w:rFonts w:eastAsiaTheme="minorEastAsia"/>
            <w:noProof/>
            <w:sz w:val="22"/>
            <w:lang w:eastAsia="lv-LV"/>
          </w:rPr>
          <w:tab/>
        </w:r>
        <w:r w:rsidR="0007326F" w:rsidRPr="006519DD">
          <w:rPr>
            <w:rStyle w:val="Hyperlink"/>
            <w:noProof/>
          </w:rPr>
          <w:t>Pētniecība, inovācija un konkurētspēja</w:t>
        </w:r>
        <w:r w:rsidR="0007326F">
          <w:rPr>
            <w:noProof/>
            <w:webHidden/>
          </w:rPr>
          <w:tab/>
        </w:r>
        <w:r w:rsidR="0007326F">
          <w:rPr>
            <w:noProof/>
            <w:webHidden/>
          </w:rPr>
          <w:fldChar w:fldCharType="begin"/>
        </w:r>
        <w:r w:rsidR="0007326F">
          <w:rPr>
            <w:noProof/>
            <w:webHidden/>
          </w:rPr>
          <w:instrText xml:space="preserve"> PAGEREF _Toc24408110 \h </w:instrText>
        </w:r>
        <w:r w:rsidR="0007326F">
          <w:rPr>
            <w:noProof/>
            <w:webHidden/>
          </w:rPr>
        </w:r>
        <w:r w:rsidR="0007326F">
          <w:rPr>
            <w:noProof/>
            <w:webHidden/>
          </w:rPr>
          <w:fldChar w:fldCharType="separate"/>
        </w:r>
        <w:r w:rsidR="00A86C27">
          <w:rPr>
            <w:noProof/>
            <w:webHidden/>
          </w:rPr>
          <w:t>77</w:t>
        </w:r>
        <w:r w:rsidR="0007326F">
          <w:rPr>
            <w:noProof/>
            <w:webHidden/>
          </w:rPr>
          <w:fldChar w:fldCharType="end"/>
        </w:r>
      </w:hyperlink>
    </w:p>
    <w:p w14:paraId="1AAEE95E" w14:textId="20C51C97" w:rsidR="0007326F" w:rsidRDefault="004458DE" w:rsidP="0007326F">
      <w:pPr>
        <w:pStyle w:val="TOC1"/>
        <w:tabs>
          <w:tab w:val="left" w:pos="660"/>
          <w:tab w:val="right" w:leader="dot" w:pos="9061"/>
        </w:tabs>
        <w:spacing w:after="0" w:line="240" w:lineRule="auto"/>
        <w:rPr>
          <w:rFonts w:eastAsiaTheme="minorEastAsia"/>
          <w:noProof/>
          <w:sz w:val="22"/>
          <w:lang w:eastAsia="lv-LV"/>
        </w:rPr>
      </w:pPr>
      <w:hyperlink w:anchor="_Toc24408111" w:history="1">
        <w:r w:rsidR="0007326F" w:rsidRPr="006519DD">
          <w:rPr>
            <w:rStyle w:val="Hyperlink"/>
            <w:noProof/>
          </w:rPr>
          <w:t>4.</w:t>
        </w:r>
        <w:r w:rsidR="0007326F">
          <w:rPr>
            <w:rFonts w:eastAsiaTheme="minorEastAsia"/>
            <w:noProof/>
            <w:sz w:val="22"/>
            <w:lang w:eastAsia="lv-LV"/>
          </w:rPr>
          <w:tab/>
        </w:r>
        <w:r w:rsidR="0007326F" w:rsidRPr="006519DD">
          <w:rPr>
            <w:rStyle w:val="Hyperlink"/>
            <w:noProof/>
          </w:rPr>
          <w:t>RĪCĪBPOLITIKAS UN PASĀKUMI</w:t>
        </w:r>
        <w:r w:rsidR="0007326F">
          <w:rPr>
            <w:noProof/>
            <w:webHidden/>
          </w:rPr>
          <w:tab/>
        </w:r>
        <w:r w:rsidR="0007326F">
          <w:rPr>
            <w:noProof/>
            <w:webHidden/>
          </w:rPr>
          <w:fldChar w:fldCharType="begin"/>
        </w:r>
        <w:r w:rsidR="0007326F">
          <w:rPr>
            <w:noProof/>
            <w:webHidden/>
          </w:rPr>
          <w:instrText xml:space="preserve"> PAGEREF _Toc24408111 \h </w:instrText>
        </w:r>
        <w:r w:rsidR="0007326F">
          <w:rPr>
            <w:noProof/>
            <w:webHidden/>
          </w:rPr>
        </w:r>
        <w:r w:rsidR="0007326F">
          <w:rPr>
            <w:noProof/>
            <w:webHidden/>
          </w:rPr>
          <w:fldChar w:fldCharType="separate"/>
        </w:r>
        <w:r w:rsidR="00A86C27">
          <w:rPr>
            <w:noProof/>
            <w:webHidden/>
          </w:rPr>
          <w:t>79</w:t>
        </w:r>
        <w:r w:rsidR="0007326F">
          <w:rPr>
            <w:noProof/>
            <w:webHidden/>
          </w:rPr>
          <w:fldChar w:fldCharType="end"/>
        </w:r>
      </w:hyperlink>
    </w:p>
    <w:p w14:paraId="433B7EA9" w14:textId="5B265F6B" w:rsidR="0007326F" w:rsidRDefault="004458DE" w:rsidP="0007326F">
      <w:pPr>
        <w:pStyle w:val="TOC2"/>
        <w:tabs>
          <w:tab w:val="left" w:pos="880"/>
          <w:tab w:val="right" w:leader="dot" w:pos="9061"/>
        </w:tabs>
        <w:spacing w:after="0" w:line="240" w:lineRule="auto"/>
        <w:rPr>
          <w:rFonts w:eastAsiaTheme="minorEastAsia"/>
          <w:noProof/>
          <w:sz w:val="22"/>
          <w:lang w:eastAsia="lv-LV"/>
        </w:rPr>
      </w:pPr>
      <w:hyperlink r:id="rId10" w:anchor="_Toc24408112" w:history="1">
        <w:r w:rsidR="0007326F" w:rsidRPr="006519DD">
          <w:rPr>
            <w:rStyle w:val="Hyperlink"/>
            <w:noProof/>
          </w:rPr>
          <w:t>4.1.</w:t>
        </w:r>
        <w:r w:rsidR="0007326F">
          <w:rPr>
            <w:rFonts w:eastAsiaTheme="minorEastAsia"/>
            <w:noProof/>
            <w:sz w:val="22"/>
            <w:lang w:eastAsia="lv-LV"/>
          </w:rPr>
          <w:tab/>
        </w:r>
        <w:r w:rsidR="0007326F" w:rsidRPr="006519DD">
          <w:rPr>
            <w:rStyle w:val="Hyperlink"/>
            <w:noProof/>
          </w:rPr>
          <w:t>Energoefektivitāte</w:t>
        </w:r>
        <w:r w:rsidR="0007326F">
          <w:rPr>
            <w:noProof/>
            <w:webHidden/>
          </w:rPr>
          <w:tab/>
        </w:r>
        <w:r w:rsidR="0007326F">
          <w:rPr>
            <w:noProof/>
            <w:webHidden/>
          </w:rPr>
          <w:fldChar w:fldCharType="begin"/>
        </w:r>
        <w:r w:rsidR="0007326F">
          <w:rPr>
            <w:noProof/>
            <w:webHidden/>
          </w:rPr>
          <w:instrText xml:space="preserve"> PAGEREF _Toc24408112 \h </w:instrText>
        </w:r>
        <w:r w:rsidR="0007326F">
          <w:rPr>
            <w:noProof/>
            <w:webHidden/>
          </w:rPr>
        </w:r>
        <w:r w:rsidR="0007326F">
          <w:rPr>
            <w:noProof/>
            <w:webHidden/>
          </w:rPr>
          <w:fldChar w:fldCharType="separate"/>
        </w:r>
        <w:r w:rsidR="00A86C27">
          <w:rPr>
            <w:noProof/>
            <w:webHidden/>
          </w:rPr>
          <w:t>80</w:t>
        </w:r>
        <w:r w:rsidR="0007326F">
          <w:rPr>
            <w:noProof/>
            <w:webHidden/>
          </w:rPr>
          <w:fldChar w:fldCharType="end"/>
        </w:r>
      </w:hyperlink>
    </w:p>
    <w:p w14:paraId="5C76FD1F" w14:textId="06DFCCFD" w:rsidR="0007326F" w:rsidRDefault="004458DE" w:rsidP="0007326F">
      <w:pPr>
        <w:pStyle w:val="TOC2"/>
        <w:tabs>
          <w:tab w:val="left" w:pos="880"/>
          <w:tab w:val="right" w:leader="dot" w:pos="9061"/>
        </w:tabs>
        <w:spacing w:after="0" w:line="240" w:lineRule="auto"/>
        <w:rPr>
          <w:rFonts w:eastAsiaTheme="minorEastAsia"/>
          <w:noProof/>
          <w:sz w:val="22"/>
          <w:lang w:eastAsia="lv-LV"/>
        </w:rPr>
      </w:pPr>
      <w:hyperlink r:id="rId11" w:anchor="_Toc24408113" w:history="1">
        <w:r w:rsidR="0007326F" w:rsidRPr="006519DD">
          <w:rPr>
            <w:rStyle w:val="Hyperlink"/>
            <w:noProof/>
          </w:rPr>
          <w:t>4.2.</w:t>
        </w:r>
        <w:r w:rsidR="0007326F">
          <w:rPr>
            <w:rFonts w:eastAsiaTheme="minorEastAsia"/>
            <w:noProof/>
            <w:sz w:val="22"/>
            <w:lang w:eastAsia="lv-LV"/>
          </w:rPr>
          <w:tab/>
        </w:r>
        <w:r w:rsidR="0007326F" w:rsidRPr="006519DD">
          <w:rPr>
            <w:rStyle w:val="Hyperlink"/>
            <w:noProof/>
          </w:rPr>
          <w:t>Pētniecība un inovācija</w:t>
        </w:r>
        <w:r w:rsidR="0007326F">
          <w:rPr>
            <w:noProof/>
            <w:webHidden/>
          </w:rPr>
          <w:tab/>
        </w:r>
        <w:r w:rsidR="0007326F">
          <w:rPr>
            <w:noProof/>
            <w:webHidden/>
          </w:rPr>
          <w:fldChar w:fldCharType="begin"/>
        </w:r>
        <w:r w:rsidR="0007326F">
          <w:rPr>
            <w:noProof/>
            <w:webHidden/>
          </w:rPr>
          <w:instrText xml:space="preserve"> PAGEREF _Toc24408113 \h </w:instrText>
        </w:r>
        <w:r w:rsidR="0007326F">
          <w:rPr>
            <w:noProof/>
            <w:webHidden/>
          </w:rPr>
        </w:r>
        <w:r w:rsidR="0007326F">
          <w:rPr>
            <w:noProof/>
            <w:webHidden/>
          </w:rPr>
          <w:fldChar w:fldCharType="separate"/>
        </w:r>
        <w:r w:rsidR="00A86C27">
          <w:rPr>
            <w:noProof/>
            <w:webHidden/>
          </w:rPr>
          <w:t>83</w:t>
        </w:r>
        <w:r w:rsidR="0007326F">
          <w:rPr>
            <w:noProof/>
            <w:webHidden/>
          </w:rPr>
          <w:fldChar w:fldCharType="end"/>
        </w:r>
      </w:hyperlink>
    </w:p>
    <w:p w14:paraId="5BD98565" w14:textId="5281C3C0" w:rsidR="0007326F" w:rsidRDefault="004458DE" w:rsidP="0007326F">
      <w:pPr>
        <w:pStyle w:val="TOC2"/>
        <w:tabs>
          <w:tab w:val="left" w:pos="880"/>
          <w:tab w:val="right" w:leader="dot" w:pos="9061"/>
        </w:tabs>
        <w:spacing w:after="0" w:line="240" w:lineRule="auto"/>
        <w:rPr>
          <w:rFonts w:eastAsiaTheme="minorEastAsia"/>
          <w:noProof/>
          <w:sz w:val="22"/>
          <w:lang w:eastAsia="lv-LV"/>
        </w:rPr>
      </w:pPr>
      <w:hyperlink r:id="rId12" w:anchor="_Toc24408114" w:history="1">
        <w:r w:rsidR="0007326F" w:rsidRPr="006519DD">
          <w:rPr>
            <w:rStyle w:val="Hyperlink"/>
            <w:noProof/>
          </w:rPr>
          <w:t>4.3.</w:t>
        </w:r>
        <w:r w:rsidR="0007326F">
          <w:rPr>
            <w:rFonts w:eastAsiaTheme="minorEastAsia"/>
            <w:noProof/>
            <w:sz w:val="22"/>
            <w:lang w:eastAsia="lv-LV"/>
          </w:rPr>
          <w:tab/>
        </w:r>
        <w:r w:rsidR="0007326F" w:rsidRPr="006519DD">
          <w:rPr>
            <w:rStyle w:val="Hyperlink"/>
            <w:noProof/>
          </w:rPr>
          <w:t>Sabiedrības informēšana, izglītošana un izpratnes veicināšana</w:t>
        </w:r>
        <w:r w:rsidR="0007326F">
          <w:rPr>
            <w:noProof/>
            <w:webHidden/>
          </w:rPr>
          <w:tab/>
        </w:r>
        <w:r w:rsidR="0007326F">
          <w:rPr>
            <w:noProof/>
            <w:webHidden/>
          </w:rPr>
          <w:fldChar w:fldCharType="begin"/>
        </w:r>
        <w:r w:rsidR="0007326F">
          <w:rPr>
            <w:noProof/>
            <w:webHidden/>
          </w:rPr>
          <w:instrText xml:space="preserve"> PAGEREF _Toc24408114 \h </w:instrText>
        </w:r>
        <w:r w:rsidR="0007326F">
          <w:rPr>
            <w:noProof/>
            <w:webHidden/>
          </w:rPr>
        </w:r>
        <w:r w:rsidR="0007326F">
          <w:rPr>
            <w:noProof/>
            <w:webHidden/>
          </w:rPr>
          <w:fldChar w:fldCharType="separate"/>
        </w:r>
        <w:r w:rsidR="00A86C27">
          <w:rPr>
            <w:noProof/>
            <w:webHidden/>
          </w:rPr>
          <w:t>87</w:t>
        </w:r>
        <w:r w:rsidR="0007326F">
          <w:rPr>
            <w:noProof/>
            <w:webHidden/>
          </w:rPr>
          <w:fldChar w:fldCharType="end"/>
        </w:r>
      </w:hyperlink>
    </w:p>
    <w:p w14:paraId="42DF6C8D" w14:textId="381CF762" w:rsidR="0007326F" w:rsidRDefault="004458DE" w:rsidP="0007326F">
      <w:pPr>
        <w:pStyle w:val="TOC2"/>
        <w:tabs>
          <w:tab w:val="left" w:pos="880"/>
          <w:tab w:val="right" w:leader="dot" w:pos="9061"/>
        </w:tabs>
        <w:spacing w:after="0" w:line="240" w:lineRule="auto"/>
        <w:rPr>
          <w:rFonts w:eastAsiaTheme="minorEastAsia"/>
          <w:noProof/>
          <w:sz w:val="22"/>
          <w:lang w:eastAsia="lv-LV"/>
        </w:rPr>
      </w:pPr>
      <w:hyperlink r:id="rId13" w:anchor="_Toc24408115" w:history="1">
        <w:r w:rsidR="0007326F" w:rsidRPr="006519DD">
          <w:rPr>
            <w:rStyle w:val="Hyperlink"/>
            <w:noProof/>
          </w:rPr>
          <w:t>4.4.</w:t>
        </w:r>
        <w:r w:rsidR="0007326F">
          <w:rPr>
            <w:rFonts w:eastAsiaTheme="minorEastAsia"/>
            <w:noProof/>
            <w:sz w:val="22"/>
            <w:lang w:eastAsia="lv-LV"/>
          </w:rPr>
          <w:tab/>
        </w:r>
        <w:r w:rsidR="0007326F" w:rsidRPr="006519DD">
          <w:rPr>
            <w:rStyle w:val="Hyperlink"/>
            <w:noProof/>
          </w:rPr>
          <w:t>Nodokļu zaļināšana</w:t>
        </w:r>
        <w:r w:rsidR="0007326F">
          <w:rPr>
            <w:noProof/>
            <w:webHidden/>
          </w:rPr>
          <w:tab/>
        </w:r>
        <w:r w:rsidR="0007326F">
          <w:rPr>
            <w:noProof/>
            <w:webHidden/>
          </w:rPr>
          <w:fldChar w:fldCharType="begin"/>
        </w:r>
        <w:r w:rsidR="0007326F">
          <w:rPr>
            <w:noProof/>
            <w:webHidden/>
          </w:rPr>
          <w:instrText xml:space="preserve"> PAGEREF _Toc24408115 \h </w:instrText>
        </w:r>
        <w:r w:rsidR="0007326F">
          <w:rPr>
            <w:noProof/>
            <w:webHidden/>
          </w:rPr>
        </w:r>
        <w:r w:rsidR="0007326F">
          <w:rPr>
            <w:noProof/>
            <w:webHidden/>
          </w:rPr>
          <w:fldChar w:fldCharType="separate"/>
        </w:r>
        <w:r w:rsidR="00A86C27">
          <w:rPr>
            <w:noProof/>
            <w:webHidden/>
          </w:rPr>
          <w:t>90</w:t>
        </w:r>
        <w:r w:rsidR="0007326F">
          <w:rPr>
            <w:noProof/>
            <w:webHidden/>
          </w:rPr>
          <w:fldChar w:fldCharType="end"/>
        </w:r>
      </w:hyperlink>
    </w:p>
    <w:p w14:paraId="1054368A" w14:textId="42B8E9CE" w:rsidR="0007326F" w:rsidRDefault="004458DE" w:rsidP="0007326F">
      <w:pPr>
        <w:pStyle w:val="TOC2"/>
        <w:tabs>
          <w:tab w:val="left" w:pos="880"/>
          <w:tab w:val="right" w:leader="dot" w:pos="9061"/>
        </w:tabs>
        <w:spacing w:after="0" w:line="240" w:lineRule="auto"/>
        <w:rPr>
          <w:rFonts w:eastAsiaTheme="minorEastAsia"/>
          <w:noProof/>
          <w:sz w:val="22"/>
          <w:lang w:eastAsia="lv-LV"/>
        </w:rPr>
      </w:pPr>
      <w:hyperlink r:id="rId14" w:anchor="_Toc24408116" w:history="1">
        <w:r w:rsidR="0007326F" w:rsidRPr="006519DD">
          <w:rPr>
            <w:rStyle w:val="Hyperlink"/>
            <w:noProof/>
          </w:rPr>
          <w:t>4.5.</w:t>
        </w:r>
        <w:r w:rsidR="0007326F">
          <w:rPr>
            <w:rFonts w:eastAsiaTheme="minorEastAsia"/>
            <w:noProof/>
            <w:sz w:val="22"/>
            <w:lang w:eastAsia="lv-LV"/>
          </w:rPr>
          <w:tab/>
        </w:r>
        <w:r w:rsidR="0007326F" w:rsidRPr="006519DD">
          <w:rPr>
            <w:rStyle w:val="Hyperlink"/>
            <w:noProof/>
          </w:rPr>
          <w:t>Ēku energoefektivitātes uzlabošana</w:t>
        </w:r>
        <w:r w:rsidR="0007326F">
          <w:rPr>
            <w:noProof/>
            <w:webHidden/>
          </w:rPr>
          <w:tab/>
        </w:r>
        <w:r w:rsidR="0007326F">
          <w:rPr>
            <w:noProof/>
            <w:webHidden/>
          </w:rPr>
          <w:fldChar w:fldCharType="begin"/>
        </w:r>
        <w:r w:rsidR="0007326F">
          <w:rPr>
            <w:noProof/>
            <w:webHidden/>
          </w:rPr>
          <w:instrText xml:space="preserve"> PAGEREF _Toc24408116 \h </w:instrText>
        </w:r>
        <w:r w:rsidR="0007326F">
          <w:rPr>
            <w:noProof/>
            <w:webHidden/>
          </w:rPr>
        </w:r>
        <w:r w:rsidR="0007326F">
          <w:rPr>
            <w:noProof/>
            <w:webHidden/>
          </w:rPr>
          <w:fldChar w:fldCharType="separate"/>
        </w:r>
        <w:r w:rsidR="00A86C27">
          <w:rPr>
            <w:noProof/>
            <w:webHidden/>
          </w:rPr>
          <w:t>94</w:t>
        </w:r>
        <w:r w:rsidR="0007326F">
          <w:rPr>
            <w:noProof/>
            <w:webHidden/>
          </w:rPr>
          <w:fldChar w:fldCharType="end"/>
        </w:r>
      </w:hyperlink>
    </w:p>
    <w:p w14:paraId="09BD1365" w14:textId="32A9C8C2" w:rsidR="0007326F" w:rsidRDefault="004458DE" w:rsidP="0007326F">
      <w:pPr>
        <w:pStyle w:val="TOC2"/>
        <w:tabs>
          <w:tab w:val="left" w:pos="880"/>
          <w:tab w:val="right" w:leader="dot" w:pos="9061"/>
        </w:tabs>
        <w:spacing w:after="0" w:line="240" w:lineRule="auto"/>
        <w:rPr>
          <w:rFonts w:eastAsiaTheme="minorEastAsia"/>
          <w:noProof/>
          <w:sz w:val="22"/>
          <w:lang w:eastAsia="lv-LV"/>
        </w:rPr>
      </w:pPr>
      <w:hyperlink r:id="rId15" w:anchor="_Toc24408117" w:history="1">
        <w:r w:rsidR="0007326F" w:rsidRPr="006519DD">
          <w:rPr>
            <w:rStyle w:val="Hyperlink"/>
            <w:noProof/>
          </w:rPr>
          <w:t>4.6.</w:t>
        </w:r>
        <w:r w:rsidR="0007326F">
          <w:rPr>
            <w:rFonts w:eastAsiaTheme="minorEastAsia"/>
            <w:noProof/>
            <w:sz w:val="22"/>
            <w:lang w:eastAsia="lv-LV"/>
          </w:rPr>
          <w:tab/>
        </w:r>
        <w:r w:rsidR="0007326F" w:rsidRPr="006519DD">
          <w:rPr>
            <w:rStyle w:val="Hyperlink"/>
            <w:noProof/>
          </w:rPr>
          <w:t>Siltumapgāde un aukstumapgāde</w:t>
        </w:r>
        <w:r w:rsidR="0007326F">
          <w:rPr>
            <w:noProof/>
            <w:webHidden/>
          </w:rPr>
          <w:tab/>
        </w:r>
        <w:r w:rsidR="0007326F">
          <w:rPr>
            <w:noProof/>
            <w:webHidden/>
          </w:rPr>
          <w:fldChar w:fldCharType="begin"/>
        </w:r>
        <w:r w:rsidR="0007326F">
          <w:rPr>
            <w:noProof/>
            <w:webHidden/>
          </w:rPr>
          <w:instrText xml:space="preserve"> PAGEREF _Toc24408117 \h </w:instrText>
        </w:r>
        <w:r w:rsidR="0007326F">
          <w:rPr>
            <w:noProof/>
            <w:webHidden/>
          </w:rPr>
        </w:r>
        <w:r w:rsidR="0007326F">
          <w:rPr>
            <w:noProof/>
            <w:webHidden/>
          </w:rPr>
          <w:fldChar w:fldCharType="separate"/>
        </w:r>
        <w:r w:rsidR="00A86C27">
          <w:rPr>
            <w:noProof/>
            <w:webHidden/>
          </w:rPr>
          <w:t>98</w:t>
        </w:r>
        <w:r w:rsidR="0007326F">
          <w:rPr>
            <w:noProof/>
            <w:webHidden/>
          </w:rPr>
          <w:fldChar w:fldCharType="end"/>
        </w:r>
      </w:hyperlink>
    </w:p>
    <w:p w14:paraId="359DB334" w14:textId="07FEB3DF" w:rsidR="0007326F" w:rsidRDefault="004458DE" w:rsidP="0007326F">
      <w:pPr>
        <w:pStyle w:val="TOC2"/>
        <w:tabs>
          <w:tab w:val="left" w:pos="880"/>
          <w:tab w:val="right" w:leader="dot" w:pos="9061"/>
        </w:tabs>
        <w:spacing w:after="0" w:line="240" w:lineRule="auto"/>
        <w:rPr>
          <w:rFonts w:eastAsiaTheme="minorEastAsia"/>
          <w:noProof/>
          <w:sz w:val="22"/>
          <w:lang w:eastAsia="lv-LV"/>
        </w:rPr>
      </w:pPr>
      <w:hyperlink r:id="rId16" w:anchor="_Toc24408118" w:history="1">
        <w:r w:rsidR="0007326F" w:rsidRPr="006519DD">
          <w:rPr>
            <w:rStyle w:val="Hyperlink"/>
            <w:noProof/>
          </w:rPr>
          <w:t>4.7.</w:t>
        </w:r>
        <w:r w:rsidR="0007326F">
          <w:rPr>
            <w:rFonts w:eastAsiaTheme="minorEastAsia"/>
            <w:noProof/>
            <w:sz w:val="22"/>
            <w:lang w:eastAsia="lv-LV"/>
          </w:rPr>
          <w:tab/>
        </w:r>
        <w:r w:rsidR="0007326F" w:rsidRPr="006519DD">
          <w:rPr>
            <w:rStyle w:val="Hyperlink"/>
            <w:noProof/>
          </w:rPr>
          <w:t>Elektroenerģijas ražošana</w:t>
        </w:r>
        <w:r w:rsidR="0007326F">
          <w:rPr>
            <w:noProof/>
            <w:webHidden/>
          </w:rPr>
          <w:tab/>
        </w:r>
        <w:r w:rsidR="0007326F">
          <w:rPr>
            <w:noProof/>
            <w:webHidden/>
          </w:rPr>
          <w:fldChar w:fldCharType="begin"/>
        </w:r>
        <w:r w:rsidR="0007326F">
          <w:rPr>
            <w:noProof/>
            <w:webHidden/>
          </w:rPr>
          <w:instrText xml:space="preserve"> PAGEREF _Toc24408118 \h </w:instrText>
        </w:r>
        <w:r w:rsidR="0007326F">
          <w:rPr>
            <w:noProof/>
            <w:webHidden/>
          </w:rPr>
        </w:r>
        <w:r w:rsidR="0007326F">
          <w:rPr>
            <w:noProof/>
            <w:webHidden/>
          </w:rPr>
          <w:fldChar w:fldCharType="separate"/>
        </w:r>
        <w:r w:rsidR="00A86C27">
          <w:rPr>
            <w:noProof/>
            <w:webHidden/>
          </w:rPr>
          <w:t>102</w:t>
        </w:r>
        <w:r w:rsidR="0007326F">
          <w:rPr>
            <w:noProof/>
            <w:webHidden/>
          </w:rPr>
          <w:fldChar w:fldCharType="end"/>
        </w:r>
      </w:hyperlink>
    </w:p>
    <w:p w14:paraId="7DF09D7D" w14:textId="32C08F36" w:rsidR="0007326F" w:rsidRDefault="004458DE" w:rsidP="0007326F">
      <w:pPr>
        <w:pStyle w:val="TOC2"/>
        <w:tabs>
          <w:tab w:val="left" w:pos="880"/>
          <w:tab w:val="right" w:leader="dot" w:pos="9061"/>
        </w:tabs>
        <w:spacing w:after="0" w:line="240" w:lineRule="auto"/>
        <w:rPr>
          <w:rFonts w:eastAsiaTheme="minorEastAsia"/>
          <w:noProof/>
          <w:sz w:val="22"/>
          <w:lang w:eastAsia="lv-LV"/>
        </w:rPr>
      </w:pPr>
      <w:hyperlink r:id="rId17" w:anchor="_Toc24408119" w:history="1">
        <w:r w:rsidR="0007326F" w:rsidRPr="006519DD">
          <w:rPr>
            <w:rStyle w:val="Hyperlink"/>
            <w:noProof/>
          </w:rPr>
          <w:t>4.8.</w:t>
        </w:r>
        <w:r w:rsidR="0007326F">
          <w:rPr>
            <w:rFonts w:eastAsiaTheme="minorEastAsia"/>
            <w:noProof/>
            <w:sz w:val="22"/>
            <w:lang w:eastAsia="lv-LV"/>
          </w:rPr>
          <w:tab/>
        </w:r>
        <w:r w:rsidR="0007326F" w:rsidRPr="006519DD">
          <w:rPr>
            <w:rStyle w:val="Hyperlink"/>
            <w:noProof/>
          </w:rPr>
          <w:t>Sabiedrības iesaiste enerģijas ražošanā</w:t>
        </w:r>
        <w:r w:rsidR="0007326F">
          <w:rPr>
            <w:noProof/>
            <w:webHidden/>
          </w:rPr>
          <w:tab/>
        </w:r>
        <w:r w:rsidR="0007326F">
          <w:rPr>
            <w:noProof/>
            <w:webHidden/>
          </w:rPr>
          <w:fldChar w:fldCharType="begin"/>
        </w:r>
        <w:r w:rsidR="0007326F">
          <w:rPr>
            <w:noProof/>
            <w:webHidden/>
          </w:rPr>
          <w:instrText xml:space="preserve"> PAGEREF _Toc24408119 \h </w:instrText>
        </w:r>
        <w:r w:rsidR="0007326F">
          <w:rPr>
            <w:noProof/>
            <w:webHidden/>
          </w:rPr>
        </w:r>
        <w:r w:rsidR="0007326F">
          <w:rPr>
            <w:noProof/>
            <w:webHidden/>
          </w:rPr>
          <w:fldChar w:fldCharType="separate"/>
        </w:r>
        <w:r w:rsidR="00A86C27">
          <w:rPr>
            <w:noProof/>
            <w:webHidden/>
          </w:rPr>
          <w:t>106</w:t>
        </w:r>
        <w:r w:rsidR="0007326F">
          <w:rPr>
            <w:noProof/>
            <w:webHidden/>
          </w:rPr>
          <w:fldChar w:fldCharType="end"/>
        </w:r>
      </w:hyperlink>
    </w:p>
    <w:p w14:paraId="12D6CF2E" w14:textId="3F29A65C" w:rsidR="0007326F" w:rsidRDefault="004458DE" w:rsidP="0007326F">
      <w:pPr>
        <w:pStyle w:val="TOC2"/>
        <w:tabs>
          <w:tab w:val="left" w:pos="880"/>
          <w:tab w:val="right" w:leader="dot" w:pos="9061"/>
        </w:tabs>
        <w:spacing w:after="0" w:line="240" w:lineRule="auto"/>
        <w:rPr>
          <w:rFonts w:eastAsiaTheme="minorEastAsia"/>
          <w:noProof/>
          <w:sz w:val="22"/>
          <w:lang w:eastAsia="lv-LV"/>
        </w:rPr>
      </w:pPr>
      <w:hyperlink r:id="rId18" w:anchor="_Toc24408120" w:history="1">
        <w:r w:rsidR="0007326F" w:rsidRPr="006519DD">
          <w:rPr>
            <w:rStyle w:val="Hyperlink"/>
            <w:noProof/>
          </w:rPr>
          <w:t>4.9.</w:t>
        </w:r>
        <w:r w:rsidR="0007326F">
          <w:rPr>
            <w:rFonts w:eastAsiaTheme="minorEastAsia"/>
            <w:noProof/>
            <w:sz w:val="22"/>
            <w:lang w:eastAsia="lv-LV"/>
          </w:rPr>
          <w:tab/>
        </w:r>
        <w:r w:rsidR="0007326F" w:rsidRPr="006519DD">
          <w:rPr>
            <w:rStyle w:val="Hyperlink"/>
            <w:noProof/>
          </w:rPr>
          <w:t>Transports</w:t>
        </w:r>
        <w:r w:rsidR="0007326F">
          <w:rPr>
            <w:noProof/>
            <w:webHidden/>
          </w:rPr>
          <w:tab/>
        </w:r>
        <w:r w:rsidR="0007326F">
          <w:rPr>
            <w:noProof/>
            <w:webHidden/>
          </w:rPr>
          <w:fldChar w:fldCharType="begin"/>
        </w:r>
        <w:r w:rsidR="0007326F">
          <w:rPr>
            <w:noProof/>
            <w:webHidden/>
          </w:rPr>
          <w:instrText xml:space="preserve"> PAGEREF _Toc24408120 \h </w:instrText>
        </w:r>
        <w:r w:rsidR="0007326F">
          <w:rPr>
            <w:noProof/>
            <w:webHidden/>
          </w:rPr>
        </w:r>
        <w:r w:rsidR="0007326F">
          <w:rPr>
            <w:noProof/>
            <w:webHidden/>
          </w:rPr>
          <w:fldChar w:fldCharType="separate"/>
        </w:r>
        <w:r w:rsidR="00A86C27">
          <w:rPr>
            <w:noProof/>
            <w:webHidden/>
          </w:rPr>
          <w:t>109</w:t>
        </w:r>
        <w:r w:rsidR="0007326F">
          <w:rPr>
            <w:noProof/>
            <w:webHidden/>
          </w:rPr>
          <w:fldChar w:fldCharType="end"/>
        </w:r>
      </w:hyperlink>
    </w:p>
    <w:p w14:paraId="55D6DA79" w14:textId="19A783F8" w:rsidR="0007326F" w:rsidRDefault="004458DE" w:rsidP="0007326F">
      <w:pPr>
        <w:pStyle w:val="TOC2"/>
        <w:tabs>
          <w:tab w:val="left" w:pos="1100"/>
          <w:tab w:val="right" w:leader="dot" w:pos="9061"/>
        </w:tabs>
        <w:spacing w:after="0" w:line="240" w:lineRule="auto"/>
        <w:rPr>
          <w:rFonts w:eastAsiaTheme="minorEastAsia"/>
          <w:noProof/>
          <w:sz w:val="22"/>
          <w:lang w:eastAsia="lv-LV"/>
        </w:rPr>
      </w:pPr>
      <w:hyperlink r:id="rId19" w:anchor="_Toc24408121" w:history="1">
        <w:r w:rsidR="0007326F" w:rsidRPr="006519DD">
          <w:rPr>
            <w:rStyle w:val="Hyperlink"/>
            <w:noProof/>
          </w:rPr>
          <w:t>4.10.</w:t>
        </w:r>
        <w:r w:rsidR="0007326F">
          <w:rPr>
            <w:rFonts w:eastAsiaTheme="minorEastAsia"/>
            <w:noProof/>
            <w:sz w:val="22"/>
            <w:lang w:eastAsia="lv-LV"/>
          </w:rPr>
          <w:tab/>
        </w:r>
        <w:r w:rsidR="0007326F" w:rsidRPr="006519DD">
          <w:rPr>
            <w:rStyle w:val="Hyperlink"/>
            <w:noProof/>
          </w:rPr>
          <w:t>Enerģētiskā drošība, iekšējais enerģijas tirgus</w:t>
        </w:r>
        <w:r w:rsidR="0007326F">
          <w:rPr>
            <w:noProof/>
            <w:webHidden/>
          </w:rPr>
          <w:tab/>
        </w:r>
        <w:r w:rsidR="0007326F">
          <w:rPr>
            <w:noProof/>
            <w:webHidden/>
          </w:rPr>
          <w:fldChar w:fldCharType="begin"/>
        </w:r>
        <w:r w:rsidR="0007326F">
          <w:rPr>
            <w:noProof/>
            <w:webHidden/>
          </w:rPr>
          <w:instrText xml:space="preserve"> PAGEREF _Toc24408121 \h </w:instrText>
        </w:r>
        <w:r w:rsidR="0007326F">
          <w:rPr>
            <w:noProof/>
            <w:webHidden/>
          </w:rPr>
        </w:r>
        <w:r w:rsidR="0007326F">
          <w:rPr>
            <w:noProof/>
            <w:webHidden/>
          </w:rPr>
          <w:fldChar w:fldCharType="separate"/>
        </w:r>
        <w:r w:rsidR="00A86C27">
          <w:rPr>
            <w:noProof/>
            <w:webHidden/>
          </w:rPr>
          <w:t>113</w:t>
        </w:r>
        <w:r w:rsidR="0007326F">
          <w:rPr>
            <w:noProof/>
            <w:webHidden/>
          </w:rPr>
          <w:fldChar w:fldCharType="end"/>
        </w:r>
      </w:hyperlink>
    </w:p>
    <w:p w14:paraId="2E8827BA" w14:textId="74E281D0" w:rsidR="0007326F" w:rsidRDefault="004458DE" w:rsidP="0007326F">
      <w:pPr>
        <w:pStyle w:val="TOC2"/>
        <w:tabs>
          <w:tab w:val="left" w:pos="1100"/>
          <w:tab w:val="right" w:leader="dot" w:pos="9061"/>
        </w:tabs>
        <w:spacing w:after="0" w:line="240" w:lineRule="auto"/>
        <w:rPr>
          <w:rFonts w:eastAsiaTheme="minorEastAsia"/>
          <w:noProof/>
          <w:sz w:val="22"/>
          <w:lang w:eastAsia="lv-LV"/>
        </w:rPr>
      </w:pPr>
      <w:hyperlink r:id="rId20" w:anchor="_Toc24408122" w:history="1">
        <w:r w:rsidR="0007326F" w:rsidRPr="006519DD">
          <w:rPr>
            <w:rStyle w:val="Hyperlink"/>
            <w:noProof/>
          </w:rPr>
          <w:t>4.11.</w:t>
        </w:r>
        <w:r w:rsidR="0007326F">
          <w:rPr>
            <w:rFonts w:eastAsiaTheme="minorEastAsia"/>
            <w:noProof/>
            <w:sz w:val="22"/>
            <w:lang w:eastAsia="lv-LV"/>
          </w:rPr>
          <w:tab/>
        </w:r>
        <w:r w:rsidR="0007326F" w:rsidRPr="006519DD">
          <w:rPr>
            <w:rStyle w:val="Hyperlink"/>
            <w:noProof/>
          </w:rPr>
          <w:t>Atkritumu un notekūdeņu apsaimniekošana</w:t>
        </w:r>
        <w:r w:rsidR="0007326F">
          <w:rPr>
            <w:noProof/>
            <w:webHidden/>
          </w:rPr>
          <w:tab/>
        </w:r>
        <w:r w:rsidR="0007326F">
          <w:rPr>
            <w:noProof/>
            <w:webHidden/>
          </w:rPr>
          <w:fldChar w:fldCharType="begin"/>
        </w:r>
        <w:r w:rsidR="0007326F">
          <w:rPr>
            <w:noProof/>
            <w:webHidden/>
          </w:rPr>
          <w:instrText xml:space="preserve"> PAGEREF _Toc24408122 \h </w:instrText>
        </w:r>
        <w:r w:rsidR="0007326F">
          <w:rPr>
            <w:noProof/>
            <w:webHidden/>
          </w:rPr>
        </w:r>
        <w:r w:rsidR="0007326F">
          <w:rPr>
            <w:noProof/>
            <w:webHidden/>
          </w:rPr>
          <w:fldChar w:fldCharType="separate"/>
        </w:r>
        <w:r w:rsidR="00A86C27">
          <w:rPr>
            <w:noProof/>
            <w:webHidden/>
          </w:rPr>
          <w:t>118</w:t>
        </w:r>
        <w:r w:rsidR="0007326F">
          <w:rPr>
            <w:noProof/>
            <w:webHidden/>
          </w:rPr>
          <w:fldChar w:fldCharType="end"/>
        </w:r>
      </w:hyperlink>
    </w:p>
    <w:p w14:paraId="3868E742" w14:textId="46F9B588" w:rsidR="0007326F" w:rsidRDefault="004458DE" w:rsidP="0007326F">
      <w:pPr>
        <w:pStyle w:val="TOC2"/>
        <w:tabs>
          <w:tab w:val="left" w:pos="1100"/>
          <w:tab w:val="right" w:leader="dot" w:pos="9061"/>
        </w:tabs>
        <w:spacing w:after="0" w:line="240" w:lineRule="auto"/>
        <w:rPr>
          <w:rFonts w:eastAsiaTheme="minorEastAsia"/>
          <w:noProof/>
          <w:sz w:val="22"/>
          <w:lang w:eastAsia="lv-LV"/>
        </w:rPr>
      </w:pPr>
      <w:hyperlink r:id="rId21" w:anchor="_Toc24408123" w:history="1">
        <w:r w:rsidR="0007326F" w:rsidRPr="006519DD">
          <w:rPr>
            <w:rStyle w:val="Hyperlink"/>
            <w:noProof/>
          </w:rPr>
          <w:t>4.12.</w:t>
        </w:r>
        <w:r w:rsidR="0007326F">
          <w:rPr>
            <w:rFonts w:eastAsiaTheme="minorEastAsia"/>
            <w:noProof/>
            <w:sz w:val="22"/>
            <w:lang w:eastAsia="lv-LV"/>
          </w:rPr>
          <w:tab/>
        </w:r>
        <w:r w:rsidR="0007326F" w:rsidRPr="006519DD">
          <w:rPr>
            <w:rStyle w:val="Hyperlink"/>
            <w:noProof/>
          </w:rPr>
          <w:t>Lauksaimniecība, zemes izmantošana un mežsaimniecība</w:t>
        </w:r>
        <w:r w:rsidR="0007326F">
          <w:rPr>
            <w:noProof/>
            <w:webHidden/>
          </w:rPr>
          <w:tab/>
        </w:r>
        <w:r w:rsidR="0007326F">
          <w:rPr>
            <w:noProof/>
            <w:webHidden/>
          </w:rPr>
          <w:fldChar w:fldCharType="begin"/>
        </w:r>
        <w:r w:rsidR="0007326F">
          <w:rPr>
            <w:noProof/>
            <w:webHidden/>
          </w:rPr>
          <w:instrText xml:space="preserve"> PAGEREF _Toc24408123 \h </w:instrText>
        </w:r>
        <w:r w:rsidR="0007326F">
          <w:rPr>
            <w:noProof/>
            <w:webHidden/>
          </w:rPr>
        </w:r>
        <w:r w:rsidR="0007326F">
          <w:rPr>
            <w:noProof/>
            <w:webHidden/>
          </w:rPr>
          <w:fldChar w:fldCharType="separate"/>
        </w:r>
        <w:r w:rsidR="00A86C27">
          <w:rPr>
            <w:noProof/>
            <w:webHidden/>
          </w:rPr>
          <w:t>121</w:t>
        </w:r>
        <w:r w:rsidR="0007326F">
          <w:rPr>
            <w:noProof/>
            <w:webHidden/>
          </w:rPr>
          <w:fldChar w:fldCharType="end"/>
        </w:r>
      </w:hyperlink>
    </w:p>
    <w:p w14:paraId="2B7C9CE7" w14:textId="0732D0B0" w:rsidR="0007326F" w:rsidRDefault="004458DE" w:rsidP="0007326F">
      <w:pPr>
        <w:pStyle w:val="TOC2"/>
        <w:tabs>
          <w:tab w:val="left" w:pos="1100"/>
          <w:tab w:val="right" w:leader="dot" w:pos="9061"/>
        </w:tabs>
        <w:spacing w:after="0" w:line="240" w:lineRule="auto"/>
        <w:rPr>
          <w:rFonts w:eastAsiaTheme="minorEastAsia"/>
          <w:noProof/>
          <w:sz w:val="22"/>
          <w:lang w:eastAsia="lv-LV"/>
        </w:rPr>
      </w:pPr>
      <w:hyperlink r:id="rId22" w:anchor="_Toc24408124" w:history="1">
        <w:r w:rsidR="0007326F" w:rsidRPr="006519DD">
          <w:rPr>
            <w:rStyle w:val="Hyperlink"/>
            <w:noProof/>
          </w:rPr>
          <w:t>4.13.</w:t>
        </w:r>
        <w:r w:rsidR="0007326F">
          <w:rPr>
            <w:rFonts w:eastAsiaTheme="minorEastAsia"/>
            <w:noProof/>
            <w:sz w:val="22"/>
            <w:lang w:eastAsia="lv-LV"/>
          </w:rPr>
          <w:tab/>
        </w:r>
        <w:r w:rsidR="0007326F" w:rsidRPr="006519DD">
          <w:rPr>
            <w:rStyle w:val="Hyperlink"/>
            <w:noProof/>
          </w:rPr>
          <w:t>Fluorēto SEG (F-gāzu) izmantošana</w:t>
        </w:r>
        <w:r w:rsidR="0007326F">
          <w:rPr>
            <w:noProof/>
            <w:webHidden/>
          </w:rPr>
          <w:tab/>
        </w:r>
        <w:r w:rsidR="0007326F">
          <w:rPr>
            <w:noProof/>
            <w:webHidden/>
          </w:rPr>
          <w:fldChar w:fldCharType="begin"/>
        </w:r>
        <w:r w:rsidR="0007326F">
          <w:rPr>
            <w:noProof/>
            <w:webHidden/>
          </w:rPr>
          <w:instrText xml:space="preserve"> PAGEREF _Toc24408124 \h </w:instrText>
        </w:r>
        <w:r w:rsidR="0007326F">
          <w:rPr>
            <w:noProof/>
            <w:webHidden/>
          </w:rPr>
        </w:r>
        <w:r w:rsidR="0007326F">
          <w:rPr>
            <w:noProof/>
            <w:webHidden/>
          </w:rPr>
          <w:fldChar w:fldCharType="separate"/>
        </w:r>
        <w:r w:rsidR="00A86C27">
          <w:rPr>
            <w:noProof/>
            <w:webHidden/>
          </w:rPr>
          <w:t>126</w:t>
        </w:r>
        <w:r w:rsidR="0007326F">
          <w:rPr>
            <w:noProof/>
            <w:webHidden/>
          </w:rPr>
          <w:fldChar w:fldCharType="end"/>
        </w:r>
      </w:hyperlink>
    </w:p>
    <w:p w14:paraId="669C2029" w14:textId="20989F8B" w:rsidR="0007326F" w:rsidRDefault="004458DE" w:rsidP="0007326F">
      <w:pPr>
        <w:pStyle w:val="TOC1"/>
        <w:tabs>
          <w:tab w:val="left" w:pos="660"/>
          <w:tab w:val="right" w:leader="dot" w:pos="9061"/>
        </w:tabs>
        <w:spacing w:after="0" w:line="240" w:lineRule="auto"/>
        <w:rPr>
          <w:rFonts w:eastAsiaTheme="minorEastAsia"/>
          <w:noProof/>
          <w:sz w:val="22"/>
          <w:lang w:eastAsia="lv-LV"/>
        </w:rPr>
      </w:pPr>
      <w:hyperlink w:anchor="_Toc24408125" w:history="1">
        <w:r w:rsidR="0007326F" w:rsidRPr="006519DD">
          <w:rPr>
            <w:rStyle w:val="Hyperlink"/>
            <w:noProof/>
          </w:rPr>
          <w:t>5.</w:t>
        </w:r>
        <w:r w:rsidR="0007326F">
          <w:rPr>
            <w:rFonts w:eastAsiaTheme="minorEastAsia"/>
            <w:noProof/>
            <w:sz w:val="22"/>
            <w:lang w:eastAsia="lv-LV"/>
          </w:rPr>
          <w:tab/>
        </w:r>
        <w:r w:rsidR="0007326F" w:rsidRPr="006519DD">
          <w:rPr>
            <w:rStyle w:val="Hyperlink"/>
            <w:noProof/>
          </w:rPr>
          <w:t>PLĀNOTO RĪCĪBPOLITIKU UN PASĀKUMU IETEKMES NOVĒRTĒJUMS</w:t>
        </w:r>
        <w:r w:rsidR="0007326F">
          <w:rPr>
            <w:noProof/>
            <w:webHidden/>
          </w:rPr>
          <w:tab/>
        </w:r>
        <w:r w:rsidR="0007326F">
          <w:rPr>
            <w:noProof/>
            <w:webHidden/>
          </w:rPr>
          <w:fldChar w:fldCharType="begin"/>
        </w:r>
        <w:r w:rsidR="0007326F">
          <w:rPr>
            <w:noProof/>
            <w:webHidden/>
          </w:rPr>
          <w:instrText xml:space="preserve"> PAGEREF _Toc24408125 \h </w:instrText>
        </w:r>
        <w:r w:rsidR="0007326F">
          <w:rPr>
            <w:noProof/>
            <w:webHidden/>
          </w:rPr>
        </w:r>
        <w:r w:rsidR="0007326F">
          <w:rPr>
            <w:noProof/>
            <w:webHidden/>
          </w:rPr>
          <w:fldChar w:fldCharType="separate"/>
        </w:r>
        <w:r w:rsidR="00A86C27">
          <w:rPr>
            <w:noProof/>
            <w:webHidden/>
          </w:rPr>
          <w:t>129</w:t>
        </w:r>
        <w:r w:rsidR="0007326F">
          <w:rPr>
            <w:noProof/>
            <w:webHidden/>
          </w:rPr>
          <w:fldChar w:fldCharType="end"/>
        </w:r>
      </w:hyperlink>
    </w:p>
    <w:p w14:paraId="0E8AA15C" w14:textId="58796EEB" w:rsidR="0007326F" w:rsidRDefault="004458DE" w:rsidP="0007326F">
      <w:pPr>
        <w:pStyle w:val="TOC2"/>
        <w:tabs>
          <w:tab w:val="left" w:pos="880"/>
          <w:tab w:val="right" w:leader="dot" w:pos="9061"/>
        </w:tabs>
        <w:spacing w:after="0" w:line="240" w:lineRule="auto"/>
        <w:rPr>
          <w:rFonts w:eastAsiaTheme="minorEastAsia"/>
          <w:noProof/>
          <w:sz w:val="22"/>
          <w:lang w:eastAsia="lv-LV"/>
        </w:rPr>
      </w:pPr>
      <w:hyperlink w:anchor="_Toc24408126" w:history="1">
        <w:r w:rsidR="0007326F" w:rsidRPr="006519DD">
          <w:rPr>
            <w:rStyle w:val="Hyperlink"/>
            <w:noProof/>
          </w:rPr>
          <w:t>5.1.</w:t>
        </w:r>
        <w:r w:rsidR="0007326F">
          <w:rPr>
            <w:rFonts w:eastAsiaTheme="minorEastAsia"/>
            <w:noProof/>
            <w:sz w:val="22"/>
            <w:lang w:eastAsia="lv-LV"/>
          </w:rPr>
          <w:tab/>
        </w:r>
        <w:r w:rsidR="0007326F" w:rsidRPr="006519DD">
          <w:rPr>
            <w:rStyle w:val="Hyperlink"/>
            <w:noProof/>
          </w:rPr>
          <w:t>Plānoto rīcībpolitiku un pasākumu energosistēmas attīstības, SEG emisiju un CO</w:t>
        </w:r>
        <w:r w:rsidR="0007326F" w:rsidRPr="006519DD">
          <w:rPr>
            <w:rStyle w:val="Hyperlink"/>
            <w:noProof/>
            <w:vertAlign w:val="subscript"/>
          </w:rPr>
          <w:t>2</w:t>
        </w:r>
        <w:r w:rsidR="0007326F" w:rsidRPr="006519DD">
          <w:rPr>
            <w:rStyle w:val="Hyperlink"/>
            <w:noProof/>
          </w:rPr>
          <w:t xml:space="preserve"> piesaistes, gaisa piesārņojošo vielu emisiju prognozes</w:t>
        </w:r>
        <w:r w:rsidR="0007326F">
          <w:rPr>
            <w:noProof/>
            <w:webHidden/>
          </w:rPr>
          <w:tab/>
        </w:r>
        <w:r w:rsidR="0007326F">
          <w:rPr>
            <w:noProof/>
            <w:webHidden/>
          </w:rPr>
          <w:fldChar w:fldCharType="begin"/>
        </w:r>
        <w:r w:rsidR="0007326F">
          <w:rPr>
            <w:noProof/>
            <w:webHidden/>
          </w:rPr>
          <w:instrText xml:space="preserve"> PAGEREF _Toc24408126 \h </w:instrText>
        </w:r>
        <w:r w:rsidR="0007326F">
          <w:rPr>
            <w:noProof/>
            <w:webHidden/>
          </w:rPr>
        </w:r>
        <w:r w:rsidR="0007326F">
          <w:rPr>
            <w:noProof/>
            <w:webHidden/>
          </w:rPr>
          <w:fldChar w:fldCharType="separate"/>
        </w:r>
        <w:r w:rsidR="00A86C27">
          <w:rPr>
            <w:noProof/>
            <w:webHidden/>
          </w:rPr>
          <w:t>129</w:t>
        </w:r>
        <w:r w:rsidR="0007326F">
          <w:rPr>
            <w:noProof/>
            <w:webHidden/>
          </w:rPr>
          <w:fldChar w:fldCharType="end"/>
        </w:r>
      </w:hyperlink>
    </w:p>
    <w:p w14:paraId="775CFF70" w14:textId="4FC09BB7" w:rsidR="0007326F" w:rsidRDefault="004458DE" w:rsidP="0007326F">
      <w:pPr>
        <w:pStyle w:val="TOC2"/>
        <w:tabs>
          <w:tab w:val="left" w:pos="880"/>
          <w:tab w:val="right" w:leader="dot" w:pos="9061"/>
        </w:tabs>
        <w:spacing w:after="0" w:line="240" w:lineRule="auto"/>
        <w:rPr>
          <w:rFonts w:eastAsiaTheme="minorEastAsia"/>
          <w:noProof/>
          <w:sz w:val="22"/>
          <w:lang w:eastAsia="lv-LV"/>
        </w:rPr>
      </w:pPr>
      <w:hyperlink w:anchor="_Toc24408127" w:history="1">
        <w:r w:rsidR="0007326F" w:rsidRPr="006519DD">
          <w:rPr>
            <w:rStyle w:val="Hyperlink"/>
            <w:noProof/>
          </w:rPr>
          <w:t>5.2.</w:t>
        </w:r>
        <w:r w:rsidR="0007326F">
          <w:rPr>
            <w:rFonts w:eastAsiaTheme="minorEastAsia"/>
            <w:noProof/>
            <w:sz w:val="22"/>
            <w:lang w:eastAsia="lv-LV"/>
          </w:rPr>
          <w:tab/>
        </w:r>
        <w:r w:rsidR="0007326F" w:rsidRPr="006519DD">
          <w:rPr>
            <w:rStyle w:val="Hyperlink"/>
            <w:noProof/>
          </w:rPr>
          <w:t>Plānoto rīcībpolitiku un pasākumu makroekonomiskā, vides, sociālā un citas ietekme</w:t>
        </w:r>
        <w:r w:rsidR="0007326F">
          <w:rPr>
            <w:noProof/>
            <w:webHidden/>
          </w:rPr>
          <w:tab/>
        </w:r>
        <w:r w:rsidR="0007326F">
          <w:rPr>
            <w:noProof/>
            <w:webHidden/>
          </w:rPr>
          <w:fldChar w:fldCharType="begin"/>
        </w:r>
        <w:r w:rsidR="0007326F">
          <w:rPr>
            <w:noProof/>
            <w:webHidden/>
          </w:rPr>
          <w:instrText xml:space="preserve"> PAGEREF _Toc24408127 \h </w:instrText>
        </w:r>
        <w:r w:rsidR="0007326F">
          <w:rPr>
            <w:noProof/>
            <w:webHidden/>
          </w:rPr>
        </w:r>
        <w:r w:rsidR="0007326F">
          <w:rPr>
            <w:noProof/>
            <w:webHidden/>
          </w:rPr>
          <w:fldChar w:fldCharType="separate"/>
        </w:r>
        <w:r w:rsidR="00A86C27">
          <w:rPr>
            <w:noProof/>
            <w:webHidden/>
          </w:rPr>
          <w:t>137</w:t>
        </w:r>
        <w:r w:rsidR="0007326F">
          <w:rPr>
            <w:noProof/>
            <w:webHidden/>
          </w:rPr>
          <w:fldChar w:fldCharType="end"/>
        </w:r>
      </w:hyperlink>
    </w:p>
    <w:p w14:paraId="45C074A8" w14:textId="6C1A162E" w:rsidR="0007326F" w:rsidRDefault="004458DE" w:rsidP="0007326F">
      <w:pPr>
        <w:pStyle w:val="TOC2"/>
        <w:tabs>
          <w:tab w:val="left" w:pos="880"/>
          <w:tab w:val="right" w:leader="dot" w:pos="9061"/>
        </w:tabs>
        <w:spacing w:after="0" w:line="240" w:lineRule="auto"/>
        <w:rPr>
          <w:rFonts w:eastAsiaTheme="minorEastAsia"/>
          <w:noProof/>
          <w:sz w:val="22"/>
          <w:lang w:eastAsia="lv-LV"/>
        </w:rPr>
      </w:pPr>
      <w:hyperlink w:anchor="_Toc24408128" w:history="1">
        <w:r w:rsidR="0007326F" w:rsidRPr="006519DD">
          <w:rPr>
            <w:rStyle w:val="Hyperlink"/>
            <w:noProof/>
          </w:rPr>
          <w:t>5.3.</w:t>
        </w:r>
        <w:r w:rsidR="0007326F">
          <w:rPr>
            <w:rFonts w:eastAsiaTheme="minorEastAsia"/>
            <w:noProof/>
            <w:sz w:val="22"/>
            <w:lang w:eastAsia="lv-LV"/>
          </w:rPr>
          <w:tab/>
        </w:r>
        <w:r w:rsidR="0007326F" w:rsidRPr="006519DD">
          <w:rPr>
            <w:rStyle w:val="Hyperlink"/>
            <w:noProof/>
          </w:rPr>
          <w:t>Plānā iekļauto rīcībpolitiku un pasākumu ietekme uz citām ES dalībvalstīm un reģionālā sadarbība</w:t>
        </w:r>
        <w:r w:rsidR="0007326F">
          <w:rPr>
            <w:noProof/>
            <w:webHidden/>
          </w:rPr>
          <w:tab/>
        </w:r>
        <w:r w:rsidR="0007326F">
          <w:rPr>
            <w:noProof/>
            <w:webHidden/>
          </w:rPr>
          <w:fldChar w:fldCharType="begin"/>
        </w:r>
        <w:r w:rsidR="0007326F">
          <w:rPr>
            <w:noProof/>
            <w:webHidden/>
          </w:rPr>
          <w:instrText xml:space="preserve"> PAGEREF _Toc24408128 \h </w:instrText>
        </w:r>
        <w:r w:rsidR="0007326F">
          <w:rPr>
            <w:noProof/>
            <w:webHidden/>
          </w:rPr>
        </w:r>
        <w:r w:rsidR="0007326F">
          <w:rPr>
            <w:noProof/>
            <w:webHidden/>
          </w:rPr>
          <w:fldChar w:fldCharType="separate"/>
        </w:r>
        <w:r w:rsidR="00A86C27">
          <w:rPr>
            <w:noProof/>
            <w:webHidden/>
          </w:rPr>
          <w:t>139</w:t>
        </w:r>
        <w:r w:rsidR="0007326F">
          <w:rPr>
            <w:noProof/>
            <w:webHidden/>
          </w:rPr>
          <w:fldChar w:fldCharType="end"/>
        </w:r>
      </w:hyperlink>
    </w:p>
    <w:p w14:paraId="03482C5F" w14:textId="6D54F24B" w:rsidR="0007326F" w:rsidRDefault="004458DE" w:rsidP="0007326F">
      <w:pPr>
        <w:pStyle w:val="TOC1"/>
        <w:tabs>
          <w:tab w:val="left" w:pos="660"/>
          <w:tab w:val="right" w:leader="dot" w:pos="9061"/>
        </w:tabs>
        <w:spacing w:after="0" w:line="240" w:lineRule="auto"/>
        <w:rPr>
          <w:rFonts w:eastAsiaTheme="minorEastAsia"/>
          <w:noProof/>
          <w:sz w:val="22"/>
          <w:lang w:eastAsia="lv-LV"/>
        </w:rPr>
      </w:pPr>
      <w:hyperlink w:anchor="_Toc24408129" w:history="1">
        <w:r w:rsidR="0007326F" w:rsidRPr="006519DD">
          <w:rPr>
            <w:rStyle w:val="Hyperlink"/>
            <w:noProof/>
          </w:rPr>
          <w:t>6.</w:t>
        </w:r>
        <w:r w:rsidR="0007326F">
          <w:rPr>
            <w:rFonts w:eastAsiaTheme="minorEastAsia"/>
            <w:noProof/>
            <w:sz w:val="22"/>
            <w:lang w:eastAsia="lv-LV"/>
          </w:rPr>
          <w:tab/>
        </w:r>
        <w:r w:rsidR="0007326F" w:rsidRPr="006519DD">
          <w:rPr>
            <w:rStyle w:val="Hyperlink"/>
            <w:noProof/>
          </w:rPr>
          <w:t>INTEGRĒTĀ UZRAUDZĪBAS UN ZIŅOŠANAS SISTĒMA</w:t>
        </w:r>
        <w:r w:rsidR="0007326F">
          <w:rPr>
            <w:noProof/>
            <w:webHidden/>
          </w:rPr>
          <w:tab/>
        </w:r>
        <w:r w:rsidR="0007326F">
          <w:rPr>
            <w:noProof/>
            <w:webHidden/>
          </w:rPr>
          <w:fldChar w:fldCharType="begin"/>
        </w:r>
        <w:r w:rsidR="0007326F">
          <w:rPr>
            <w:noProof/>
            <w:webHidden/>
          </w:rPr>
          <w:instrText xml:space="preserve"> PAGEREF _Toc24408129 \h </w:instrText>
        </w:r>
        <w:r w:rsidR="0007326F">
          <w:rPr>
            <w:noProof/>
            <w:webHidden/>
          </w:rPr>
        </w:r>
        <w:r w:rsidR="0007326F">
          <w:rPr>
            <w:noProof/>
            <w:webHidden/>
          </w:rPr>
          <w:fldChar w:fldCharType="separate"/>
        </w:r>
        <w:r w:rsidR="00A86C27">
          <w:rPr>
            <w:noProof/>
            <w:webHidden/>
          </w:rPr>
          <w:t>141</w:t>
        </w:r>
        <w:r w:rsidR="0007326F">
          <w:rPr>
            <w:noProof/>
            <w:webHidden/>
          </w:rPr>
          <w:fldChar w:fldCharType="end"/>
        </w:r>
      </w:hyperlink>
    </w:p>
    <w:p w14:paraId="02DAFC1A" w14:textId="2648301E" w:rsidR="0007326F" w:rsidRDefault="004458DE" w:rsidP="0007326F">
      <w:pPr>
        <w:pStyle w:val="TOC1"/>
        <w:tabs>
          <w:tab w:val="left" w:pos="660"/>
          <w:tab w:val="right" w:leader="dot" w:pos="9061"/>
        </w:tabs>
        <w:spacing w:after="0" w:line="240" w:lineRule="auto"/>
        <w:rPr>
          <w:rFonts w:eastAsiaTheme="minorEastAsia"/>
          <w:noProof/>
          <w:sz w:val="22"/>
          <w:lang w:eastAsia="lv-LV"/>
        </w:rPr>
      </w:pPr>
      <w:hyperlink w:anchor="_Toc24408130" w:history="1">
        <w:r w:rsidR="0007326F" w:rsidRPr="006519DD">
          <w:rPr>
            <w:rStyle w:val="Hyperlink"/>
            <w:noProof/>
          </w:rPr>
          <w:t>7.</w:t>
        </w:r>
        <w:r w:rsidR="0007326F">
          <w:rPr>
            <w:rFonts w:eastAsiaTheme="minorEastAsia"/>
            <w:noProof/>
            <w:sz w:val="22"/>
            <w:lang w:eastAsia="lv-LV"/>
          </w:rPr>
          <w:tab/>
        </w:r>
        <w:r w:rsidR="0007326F" w:rsidRPr="006519DD">
          <w:rPr>
            <w:rStyle w:val="Hyperlink"/>
            <w:noProof/>
          </w:rPr>
          <w:t>PLĀNA FINANSIĀLĀ IETEKME</w:t>
        </w:r>
        <w:r w:rsidR="0007326F">
          <w:rPr>
            <w:noProof/>
            <w:webHidden/>
          </w:rPr>
          <w:tab/>
        </w:r>
        <w:r w:rsidR="0007326F">
          <w:rPr>
            <w:noProof/>
            <w:webHidden/>
          </w:rPr>
          <w:fldChar w:fldCharType="begin"/>
        </w:r>
        <w:r w:rsidR="0007326F">
          <w:rPr>
            <w:noProof/>
            <w:webHidden/>
          </w:rPr>
          <w:instrText xml:space="preserve"> PAGEREF _Toc24408130 \h </w:instrText>
        </w:r>
        <w:r w:rsidR="0007326F">
          <w:rPr>
            <w:noProof/>
            <w:webHidden/>
          </w:rPr>
        </w:r>
        <w:r w:rsidR="0007326F">
          <w:rPr>
            <w:noProof/>
            <w:webHidden/>
          </w:rPr>
          <w:fldChar w:fldCharType="separate"/>
        </w:r>
        <w:r w:rsidR="00A86C27">
          <w:rPr>
            <w:noProof/>
            <w:webHidden/>
          </w:rPr>
          <w:t>143</w:t>
        </w:r>
        <w:r w:rsidR="0007326F">
          <w:rPr>
            <w:noProof/>
            <w:webHidden/>
          </w:rPr>
          <w:fldChar w:fldCharType="end"/>
        </w:r>
      </w:hyperlink>
    </w:p>
    <w:p w14:paraId="26061EC8" w14:textId="2B9E639D" w:rsidR="0007326F" w:rsidRDefault="004458DE" w:rsidP="0007326F">
      <w:pPr>
        <w:pStyle w:val="TOC2"/>
        <w:tabs>
          <w:tab w:val="left" w:pos="880"/>
          <w:tab w:val="right" w:leader="dot" w:pos="9061"/>
        </w:tabs>
        <w:spacing w:after="0" w:line="240" w:lineRule="auto"/>
        <w:rPr>
          <w:rFonts w:eastAsiaTheme="minorEastAsia"/>
          <w:noProof/>
          <w:sz w:val="22"/>
          <w:lang w:eastAsia="lv-LV"/>
        </w:rPr>
      </w:pPr>
      <w:hyperlink w:anchor="_Toc24408131" w:history="1">
        <w:r w:rsidR="0007326F" w:rsidRPr="006519DD">
          <w:rPr>
            <w:rStyle w:val="Hyperlink"/>
            <w:noProof/>
          </w:rPr>
          <w:t>7.1.</w:t>
        </w:r>
        <w:r w:rsidR="0007326F">
          <w:rPr>
            <w:rFonts w:eastAsiaTheme="minorEastAsia"/>
            <w:noProof/>
            <w:sz w:val="22"/>
            <w:lang w:eastAsia="lv-LV"/>
          </w:rPr>
          <w:tab/>
        </w:r>
        <w:r w:rsidR="0007326F" w:rsidRPr="006519DD">
          <w:rPr>
            <w:rStyle w:val="Hyperlink"/>
            <w:noProof/>
          </w:rPr>
          <w:t>Iespējamie finansējuma avoti</w:t>
        </w:r>
        <w:r w:rsidR="0007326F">
          <w:rPr>
            <w:noProof/>
            <w:webHidden/>
          </w:rPr>
          <w:tab/>
        </w:r>
        <w:r w:rsidR="0007326F">
          <w:rPr>
            <w:noProof/>
            <w:webHidden/>
          </w:rPr>
          <w:fldChar w:fldCharType="begin"/>
        </w:r>
        <w:r w:rsidR="0007326F">
          <w:rPr>
            <w:noProof/>
            <w:webHidden/>
          </w:rPr>
          <w:instrText xml:space="preserve"> PAGEREF _Toc24408131 \h </w:instrText>
        </w:r>
        <w:r w:rsidR="0007326F">
          <w:rPr>
            <w:noProof/>
            <w:webHidden/>
          </w:rPr>
        </w:r>
        <w:r w:rsidR="0007326F">
          <w:rPr>
            <w:noProof/>
            <w:webHidden/>
          </w:rPr>
          <w:fldChar w:fldCharType="separate"/>
        </w:r>
        <w:r w:rsidR="00A86C27">
          <w:rPr>
            <w:noProof/>
            <w:webHidden/>
          </w:rPr>
          <w:t>143</w:t>
        </w:r>
        <w:r w:rsidR="0007326F">
          <w:rPr>
            <w:noProof/>
            <w:webHidden/>
          </w:rPr>
          <w:fldChar w:fldCharType="end"/>
        </w:r>
      </w:hyperlink>
    </w:p>
    <w:p w14:paraId="53D7A502" w14:textId="65356ACB" w:rsidR="0007326F" w:rsidRDefault="004458DE" w:rsidP="0007326F">
      <w:pPr>
        <w:pStyle w:val="TOC1"/>
        <w:tabs>
          <w:tab w:val="left" w:pos="660"/>
          <w:tab w:val="right" w:leader="dot" w:pos="9061"/>
        </w:tabs>
        <w:spacing w:after="0" w:line="240" w:lineRule="auto"/>
        <w:rPr>
          <w:rFonts w:eastAsiaTheme="minorEastAsia"/>
          <w:noProof/>
          <w:sz w:val="22"/>
          <w:lang w:eastAsia="lv-LV"/>
        </w:rPr>
      </w:pPr>
      <w:hyperlink w:anchor="_Toc24408132" w:history="1">
        <w:r w:rsidR="0007326F" w:rsidRPr="006519DD">
          <w:rPr>
            <w:rStyle w:val="Hyperlink"/>
            <w:noProof/>
          </w:rPr>
          <w:t>8.</w:t>
        </w:r>
        <w:r w:rsidR="0007326F">
          <w:rPr>
            <w:rFonts w:eastAsiaTheme="minorEastAsia"/>
            <w:noProof/>
            <w:sz w:val="22"/>
            <w:lang w:eastAsia="lv-LV"/>
          </w:rPr>
          <w:tab/>
        </w:r>
        <w:r w:rsidR="0007326F" w:rsidRPr="006519DD">
          <w:rPr>
            <w:rStyle w:val="Hyperlink"/>
            <w:noProof/>
          </w:rPr>
          <w:t>PLĀNA PĀRSKATS UN ATJAUNINĀŠANA</w:t>
        </w:r>
        <w:r w:rsidR="0007326F">
          <w:rPr>
            <w:noProof/>
            <w:webHidden/>
          </w:rPr>
          <w:tab/>
        </w:r>
        <w:r w:rsidR="0007326F">
          <w:rPr>
            <w:noProof/>
            <w:webHidden/>
          </w:rPr>
          <w:fldChar w:fldCharType="begin"/>
        </w:r>
        <w:r w:rsidR="0007326F">
          <w:rPr>
            <w:noProof/>
            <w:webHidden/>
          </w:rPr>
          <w:instrText xml:space="preserve"> PAGEREF _Toc24408132 \h </w:instrText>
        </w:r>
        <w:r w:rsidR="0007326F">
          <w:rPr>
            <w:noProof/>
            <w:webHidden/>
          </w:rPr>
        </w:r>
        <w:r w:rsidR="0007326F">
          <w:rPr>
            <w:noProof/>
            <w:webHidden/>
          </w:rPr>
          <w:fldChar w:fldCharType="separate"/>
        </w:r>
        <w:r w:rsidR="00A86C27">
          <w:rPr>
            <w:noProof/>
            <w:webHidden/>
          </w:rPr>
          <w:t>147</w:t>
        </w:r>
        <w:r w:rsidR="0007326F">
          <w:rPr>
            <w:noProof/>
            <w:webHidden/>
          </w:rPr>
          <w:fldChar w:fldCharType="end"/>
        </w:r>
      </w:hyperlink>
    </w:p>
    <w:p w14:paraId="0E1B1CAD" w14:textId="3AB82E14" w:rsidR="001A6F1C" w:rsidRDefault="0007326F" w:rsidP="0007326F">
      <w:pPr>
        <w:tabs>
          <w:tab w:val="right" w:leader="dot" w:pos="8931"/>
        </w:tabs>
        <w:spacing w:after="0" w:line="240" w:lineRule="auto"/>
        <w:jc w:val="both"/>
        <w:rPr>
          <w:lang w:eastAsia="lv-LV"/>
        </w:rPr>
      </w:pPr>
      <w:r>
        <w:rPr>
          <w:lang w:eastAsia="lv-LV"/>
        </w:rPr>
        <w:fldChar w:fldCharType="end"/>
      </w:r>
    </w:p>
    <w:p w14:paraId="48DAC370" w14:textId="7707EF3D" w:rsidR="000C620B" w:rsidRDefault="000C620B" w:rsidP="001A6F1C">
      <w:pPr>
        <w:rPr>
          <w:lang w:eastAsia="lv-LV"/>
        </w:rPr>
        <w:sectPr w:rsidR="000C620B" w:rsidSect="00DD44D5">
          <w:headerReference w:type="default" r:id="rId23"/>
          <w:pgSz w:w="11906" w:h="16838" w:code="9"/>
          <w:pgMar w:top="1418" w:right="1134" w:bottom="1134" w:left="1701" w:header="567" w:footer="567" w:gutter="0"/>
          <w:cols w:space="708"/>
          <w:docGrid w:linePitch="360"/>
        </w:sectPr>
      </w:pPr>
    </w:p>
    <w:p w14:paraId="128CD380" w14:textId="5771EE96" w:rsidR="001A6F1C" w:rsidRDefault="001A6F1C" w:rsidP="001A6F1C">
      <w:pPr>
        <w:rPr>
          <w:lang w:eastAsia="lv-LV"/>
        </w:rPr>
      </w:pPr>
    </w:p>
    <w:p w14:paraId="6A0525E3" w14:textId="56438B39" w:rsidR="00DD44D5" w:rsidRPr="000869FB" w:rsidRDefault="00DD44D5" w:rsidP="001E38CE">
      <w:pPr>
        <w:pStyle w:val="Heading1"/>
        <w:numPr>
          <w:ilvl w:val="0"/>
          <w:numId w:val="0"/>
        </w:numPr>
        <w:ind w:left="360"/>
      </w:pPr>
      <w:bookmarkStart w:id="7" w:name="_Toc23245732"/>
      <w:bookmarkStart w:id="8" w:name="_Toc23245971"/>
      <w:bookmarkStart w:id="9" w:name="_Toc24407983"/>
      <w:bookmarkStart w:id="10" w:name="_Toc24408091"/>
      <w:r w:rsidRPr="000869FB">
        <w:t>SAĪSINĀJUMI</w:t>
      </w:r>
      <w:bookmarkEnd w:id="3"/>
      <w:bookmarkEnd w:id="4"/>
      <w:bookmarkEnd w:id="5"/>
      <w:bookmarkEnd w:id="7"/>
      <w:bookmarkEnd w:id="8"/>
      <w:bookmarkEnd w:id="9"/>
      <w:bookmarkEnd w:id="10"/>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8647"/>
      </w:tblGrid>
      <w:tr w:rsidR="00DD44D5" w:rsidRPr="000869FB" w14:paraId="00A88D6C" w14:textId="77777777" w:rsidTr="005C0161">
        <w:trPr>
          <w:trHeight w:val="278"/>
          <w:jc w:val="center"/>
        </w:trPr>
        <w:tc>
          <w:tcPr>
            <w:tcW w:w="1271" w:type="dxa"/>
            <w:tcMar>
              <w:left w:w="28" w:type="dxa"/>
              <w:right w:w="28" w:type="dxa"/>
            </w:tcMar>
            <w:vAlign w:val="center"/>
          </w:tcPr>
          <w:p w14:paraId="1E99B75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AE</w:t>
            </w:r>
          </w:p>
        </w:tc>
        <w:tc>
          <w:tcPr>
            <w:tcW w:w="8647" w:type="dxa"/>
            <w:tcMar>
              <w:left w:w="28" w:type="dxa"/>
              <w:right w:w="28" w:type="dxa"/>
            </w:tcMar>
            <w:vAlign w:val="center"/>
          </w:tcPr>
          <w:p w14:paraId="0A1C745B"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Atjaunojamā enerģija</w:t>
            </w:r>
          </w:p>
        </w:tc>
      </w:tr>
      <w:tr w:rsidR="00DD44D5" w:rsidRPr="000869FB" w14:paraId="233CA6D7" w14:textId="77777777" w:rsidTr="005C0161">
        <w:trPr>
          <w:trHeight w:val="278"/>
          <w:jc w:val="center"/>
        </w:trPr>
        <w:tc>
          <w:tcPr>
            <w:tcW w:w="1271" w:type="dxa"/>
            <w:tcMar>
              <w:left w:w="28" w:type="dxa"/>
              <w:right w:w="28" w:type="dxa"/>
            </w:tcMar>
            <w:vAlign w:val="center"/>
            <w:hideMark/>
          </w:tcPr>
          <w:p w14:paraId="5D460ADA"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AER</w:t>
            </w:r>
          </w:p>
        </w:tc>
        <w:tc>
          <w:tcPr>
            <w:tcW w:w="8647" w:type="dxa"/>
            <w:tcMar>
              <w:left w:w="28" w:type="dxa"/>
              <w:right w:w="28" w:type="dxa"/>
            </w:tcMar>
            <w:vAlign w:val="center"/>
            <w:hideMark/>
          </w:tcPr>
          <w:p w14:paraId="631B23E3"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Atjaunojamie energoresursi</w:t>
            </w:r>
          </w:p>
        </w:tc>
      </w:tr>
      <w:tr w:rsidR="00DD44D5" w:rsidRPr="000869FB" w14:paraId="160C6593" w14:textId="77777777" w:rsidTr="005C0161">
        <w:trPr>
          <w:trHeight w:val="278"/>
          <w:jc w:val="center"/>
        </w:trPr>
        <w:tc>
          <w:tcPr>
            <w:tcW w:w="1271" w:type="dxa"/>
            <w:tcMar>
              <w:left w:w="28" w:type="dxa"/>
              <w:right w:w="28" w:type="dxa"/>
            </w:tcMar>
            <w:vAlign w:val="center"/>
            <w:hideMark/>
          </w:tcPr>
          <w:p w14:paraId="68D944BE"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ANO</w:t>
            </w:r>
          </w:p>
        </w:tc>
        <w:tc>
          <w:tcPr>
            <w:tcW w:w="8647" w:type="dxa"/>
            <w:tcMar>
              <w:left w:w="28" w:type="dxa"/>
              <w:right w:w="28" w:type="dxa"/>
            </w:tcMar>
            <w:vAlign w:val="center"/>
            <w:hideMark/>
          </w:tcPr>
          <w:p w14:paraId="722F2787"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Apvienoto Nāciju Organizācija</w:t>
            </w:r>
          </w:p>
        </w:tc>
      </w:tr>
      <w:tr w:rsidR="00DD44D5" w:rsidRPr="000869FB" w14:paraId="6D1774EF" w14:textId="77777777" w:rsidTr="005C0161">
        <w:trPr>
          <w:trHeight w:val="278"/>
          <w:jc w:val="center"/>
        </w:trPr>
        <w:tc>
          <w:tcPr>
            <w:tcW w:w="1271" w:type="dxa"/>
            <w:tcMar>
              <w:left w:w="28" w:type="dxa"/>
              <w:right w:w="28" w:type="dxa"/>
            </w:tcMar>
            <w:vAlign w:val="center"/>
          </w:tcPr>
          <w:p w14:paraId="74A171D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BEMIP</w:t>
            </w:r>
          </w:p>
        </w:tc>
        <w:tc>
          <w:tcPr>
            <w:tcW w:w="8647" w:type="dxa"/>
            <w:tcMar>
              <w:left w:w="28" w:type="dxa"/>
              <w:right w:w="28" w:type="dxa"/>
            </w:tcMar>
            <w:vAlign w:val="center"/>
          </w:tcPr>
          <w:p w14:paraId="709A5E10" w14:textId="77777777" w:rsidR="00DD44D5" w:rsidRPr="000869FB" w:rsidRDefault="00DD44D5" w:rsidP="00560FA1">
            <w:pPr>
              <w:spacing w:after="0" w:line="240" w:lineRule="auto"/>
              <w:rPr>
                <w:rFonts w:eastAsia="Calibri" w:cstheme="minorHAnsi"/>
                <w:szCs w:val="24"/>
              </w:rPr>
            </w:pPr>
            <w:r w:rsidRPr="000869FB">
              <w:rPr>
                <w:rFonts w:cstheme="minorHAnsi"/>
              </w:rPr>
              <w:t>Baltijas enerģijas tirgus integrācijas plāns</w:t>
            </w:r>
          </w:p>
        </w:tc>
      </w:tr>
      <w:tr w:rsidR="00DD44D5" w:rsidRPr="000869FB" w14:paraId="6ACAE2FC" w14:textId="77777777" w:rsidTr="005C0161">
        <w:trPr>
          <w:trHeight w:val="278"/>
          <w:jc w:val="center"/>
        </w:trPr>
        <w:tc>
          <w:tcPr>
            <w:tcW w:w="1271" w:type="dxa"/>
            <w:tcMar>
              <w:left w:w="28" w:type="dxa"/>
              <w:right w:w="28" w:type="dxa"/>
            </w:tcMar>
            <w:vAlign w:val="center"/>
          </w:tcPr>
          <w:p w14:paraId="37EDEF08"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CO</w:t>
            </w:r>
            <w:r w:rsidRPr="000869FB">
              <w:rPr>
                <w:rFonts w:eastAsia="Calibri" w:cstheme="minorHAnsi"/>
                <w:szCs w:val="24"/>
                <w:vertAlign w:val="subscript"/>
              </w:rPr>
              <w:t>2</w:t>
            </w:r>
          </w:p>
        </w:tc>
        <w:tc>
          <w:tcPr>
            <w:tcW w:w="8647" w:type="dxa"/>
            <w:tcMar>
              <w:left w:w="28" w:type="dxa"/>
              <w:right w:w="28" w:type="dxa"/>
            </w:tcMar>
            <w:vAlign w:val="center"/>
          </w:tcPr>
          <w:p w14:paraId="3DF7E9A3"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Oglekļa dioksīds</w:t>
            </w:r>
          </w:p>
        </w:tc>
      </w:tr>
      <w:tr w:rsidR="00DD44D5" w:rsidRPr="000869FB" w14:paraId="1D09BF36" w14:textId="77777777" w:rsidTr="005C0161">
        <w:trPr>
          <w:trHeight w:val="278"/>
          <w:jc w:val="center"/>
        </w:trPr>
        <w:tc>
          <w:tcPr>
            <w:tcW w:w="1271" w:type="dxa"/>
            <w:tcMar>
              <w:left w:w="28" w:type="dxa"/>
              <w:right w:w="28" w:type="dxa"/>
            </w:tcMar>
            <w:vAlign w:val="center"/>
          </w:tcPr>
          <w:p w14:paraId="0472D669"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CSA</w:t>
            </w:r>
          </w:p>
        </w:tc>
        <w:tc>
          <w:tcPr>
            <w:tcW w:w="8647" w:type="dxa"/>
            <w:tcMar>
              <w:left w:w="28" w:type="dxa"/>
              <w:right w:w="28" w:type="dxa"/>
            </w:tcMar>
            <w:vAlign w:val="center"/>
          </w:tcPr>
          <w:p w14:paraId="44982D2C"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Centrālā siltumapgāde – siltumavotu, pārvades un sadales siltumtīklu un siltumenerģijas lietotāju kopums, kas saskaņoti ražo, pārveido, pārvada, sadala un patērē siltumenerģiju (Enerģētikas likums)</w:t>
            </w:r>
          </w:p>
        </w:tc>
      </w:tr>
      <w:tr w:rsidR="00DD44D5" w:rsidRPr="000869FB" w14:paraId="1E877A4B" w14:textId="77777777" w:rsidTr="005C0161">
        <w:trPr>
          <w:trHeight w:val="278"/>
          <w:jc w:val="center"/>
        </w:trPr>
        <w:tc>
          <w:tcPr>
            <w:tcW w:w="1271" w:type="dxa"/>
            <w:tcMar>
              <w:left w:w="28" w:type="dxa"/>
              <w:right w:w="28" w:type="dxa"/>
            </w:tcMar>
            <w:vAlign w:val="center"/>
            <w:hideMark/>
          </w:tcPr>
          <w:p w14:paraId="19F9465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CSP</w:t>
            </w:r>
          </w:p>
        </w:tc>
        <w:tc>
          <w:tcPr>
            <w:tcW w:w="8647" w:type="dxa"/>
            <w:tcMar>
              <w:left w:w="28" w:type="dxa"/>
              <w:right w:w="28" w:type="dxa"/>
            </w:tcMar>
            <w:vAlign w:val="center"/>
            <w:hideMark/>
          </w:tcPr>
          <w:p w14:paraId="0B0D767E"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Centrālā statistikas pārvalde</w:t>
            </w:r>
          </w:p>
        </w:tc>
      </w:tr>
      <w:tr w:rsidR="00DD44D5" w:rsidRPr="000869FB" w14:paraId="74A1EEE8" w14:textId="77777777" w:rsidTr="005C0161">
        <w:trPr>
          <w:trHeight w:val="278"/>
          <w:jc w:val="center"/>
        </w:trPr>
        <w:tc>
          <w:tcPr>
            <w:tcW w:w="1271" w:type="dxa"/>
            <w:tcMar>
              <w:left w:w="28" w:type="dxa"/>
              <w:right w:w="28" w:type="dxa"/>
            </w:tcMar>
            <w:vAlign w:val="center"/>
          </w:tcPr>
          <w:p w14:paraId="4E6B63C4"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DRN</w:t>
            </w:r>
          </w:p>
        </w:tc>
        <w:tc>
          <w:tcPr>
            <w:tcW w:w="8647" w:type="dxa"/>
            <w:tcMar>
              <w:left w:w="28" w:type="dxa"/>
              <w:right w:w="28" w:type="dxa"/>
            </w:tcMar>
            <w:vAlign w:val="center"/>
          </w:tcPr>
          <w:p w14:paraId="08DF2BDA"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Dabas resursu nodoklis</w:t>
            </w:r>
          </w:p>
        </w:tc>
      </w:tr>
      <w:tr w:rsidR="00DD44D5" w:rsidRPr="000869FB" w14:paraId="4692B7E3" w14:textId="77777777" w:rsidTr="005C0161">
        <w:trPr>
          <w:trHeight w:val="278"/>
          <w:jc w:val="center"/>
        </w:trPr>
        <w:tc>
          <w:tcPr>
            <w:tcW w:w="1271" w:type="dxa"/>
            <w:tcMar>
              <w:left w:w="28" w:type="dxa"/>
              <w:right w:w="28" w:type="dxa"/>
            </w:tcMar>
            <w:vAlign w:val="center"/>
          </w:tcPr>
          <w:p w14:paraId="03573AA3" w14:textId="77777777" w:rsidR="00DD44D5" w:rsidRPr="000869FB" w:rsidRDefault="00DD44D5" w:rsidP="00DD44D5">
            <w:pPr>
              <w:spacing w:after="0" w:line="240" w:lineRule="auto"/>
              <w:rPr>
                <w:rFonts w:eastAsia="Calibri" w:cstheme="minorHAnsi"/>
                <w:szCs w:val="24"/>
              </w:rPr>
            </w:pPr>
            <w:bookmarkStart w:id="11" w:name="_Hlk531553642"/>
            <w:r w:rsidRPr="000869FB">
              <w:rPr>
                <w:rFonts w:eastAsia="Calibri" w:cstheme="minorHAnsi"/>
                <w:szCs w:val="24"/>
              </w:rPr>
              <w:t>EAP2020</w:t>
            </w:r>
          </w:p>
        </w:tc>
        <w:tc>
          <w:tcPr>
            <w:tcW w:w="8647" w:type="dxa"/>
            <w:tcMar>
              <w:left w:w="28" w:type="dxa"/>
              <w:right w:w="28" w:type="dxa"/>
            </w:tcMar>
            <w:vAlign w:val="center"/>
          </w:tcPr>
          <w:p w14:paraId="44713889"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Enerģētikas attīstības pamatnostādnes 2016.–2020.gadam</w:t>
            </w:r>
          </w:p>
        </w:tc>
      </w:tr>
      <w:bookmarkEnd w:id="11"/>
      <w:tr w:rsidR="00DD44D5" w:rsidRPr="000869FB" w14:paraId="57C586FB" w14:textId="77777777" w:rsidTr="005C0161">
        <w:trPr>
          <w:trHeight w:val="264"/>
          <w:jc w:val="center"/>
        </w:trPr>
        <w:tc>
          <w:tcPr>
            <w:tcW w:w="1271" w:type="dxa"/>
            <w:tcMar>
              <w:left w:w="28" w:type="dxa"/>
              <w:right w:w="28" w:type="dxa"/>
            </w:tcMar>
            <w:vAlign w:val="center"/>
            <w:hideMark/>
          </w:tcPr>
          <w:p w14:paraId="05A54A52"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EK</w:t>
            </w:r>
          </w:p>
        </w:tc>
        <w:tc>
          <w:tcPr>
            <w:tcW w:w="8647" w:type="dxa"/>
            <w:tcMar>
              <w:left w:w="28" w:type="dxa"/>
              <w:right w:w="28" w:type="dxa"/>
            </w:tcMar>
            <w:vAlign w:val="center"/>
            <w:hideMark/>
          </w:tcPr>
          <w:p w14:paraId="3120F0E0"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Eiropas Komisija</w:t>
            </w:r>
          </w:p>
        </w:tc>
      </w:tr>
      <w:tr w:rsidR="00DD44D5" w:rsidRPr="000869FB" w14:paraId="7624A4ED" w14:textId="77777777" w:rsidTr="005C0161">
        <w:trPr>
          <w:trHeight w:val="259"/>
          <w:jc w:val="center"/>
        </w:trPr>
        <w:tc>
          <w:tcPr>
            <w:tcW w:w="1271" w:type="dxa"/>
            <w:tcMar>
              <w:left w:w="28" w:type="dxa"/>
              <w:right w:w="28" w:type="dxa"/>
            </w:tcMar>
            <w:vAlign w:val="center"/>
            <w:hideMark/>
          </w:tcPr>
          <w:p w14:paraId="4FD84192"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EKII</w:t>
            </w:r>
          </w:p>
        </w:tc>
        <w:tc>
          <w:tcPr>
            <w:tcW w:w="8647" w:type="dxa"/>
            <w:tcMar>
              <w:left w:w="28" w:type="dxa"/>
              <w:right w:w="28" w:type="dxa"/>
            </w:tcMar>
            <w:vAlign w:val="center"/>
            <w:hideMark/>
          </w:tcPr>
          <w:p w14:paraId="36585794" w14:textId="77777777" w:rsidR="00DD44D5" w:rsidRPr="000869FB" w:rsidRDefault="00DD44D5" w:rsidP="00560FA1">
            <w:pPr>
              <w:spacing w:after="0" w:line="240" w:lineRule="auto"/>
              <w:rPr>
                <w:rFonts w:eastAsia="Calibri" w:cstheme="minorHAnsi"/>
                <w:szCs w:val="24"/>
              </w:rPr>
            </w:pPr>
            <w:r w:rsidRPr="000869FB">
              <w:rPr>
                <w:rFonts w:cstheme="minorHAnsi"/>
                <w:szCs w:val="24"/>
              </w:rPr>
              <w:t>Emisijas kvotu izsolīšanas instruments</w:t>
            </w:r>
          </w:p>
        </w:tc>
      </w:tr>
      <w:tr w:rsidR="00DD44D5" w:rsidRPr="000869FB" w14:paraId="697C45BD" w14:textId="77777777" w:rsidTr="005C0161">
        <w:trPr>
          <w:trHeight w:val="259"/>
          <w:jc w:val="center"/>
        </w:trPr>
        <w:tc>
          <w:tcPr>
            <w:tcW w:w="1271" w:type="dxa"/>
            <w:tcMar>
              <w:left w:w="28" w:type="dxa"/>
              <w:right w:w="28" w:type="dxa"/>
            </w:tcMar>
            <w:vAlign w:val="center"/>
            <w:hideMark/>
          </w:tcPr>
          <w:p w14:paraId="364CCA71"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EM</w:t>
            </w:r>
          </w:p>
        </w:tc>
        <w:tc>
          <w:tcPr>
            <w:tcW w:w="8647" w:type="dxa"/>
            <w:tcMar>
              <w:left w:w="28" w:type="dxa"/>
              <w:right w:w="28" w:type="dxa"/>
            </w:tcMar>
            <w:vAlign w:val="center"/>
            <w:hideMark/>
          </w:tcPr>
          <w:p w14:paraId="3AFF26B2"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Ekonomikas ministrija</w:t>
            </w:r>
          </w:p>
        </w:tc>
      </w:tr>
      <w:tr w:rsidR="00DD44D5" w:rsidRPr="000869FB" w14:paraId="3038F22D" w14:textId="77777777" w:rsidTr="005C0161">
        <w:trPr>
          <w:trHeight w:val="278"/>
          <w:jc w:val="center"/>
        </w:trPr>
        <w:tc>
          <w:tcPr>
            <w:tcW w:w="1271" w:type="dxa"/>
            <w:tcMar>
              <w:left w:w="28" w:type="dxa"/>
              <w:right w:w="28" w:type="dxa"/>
            </w:tcMar>
            <w:vAlign w:val="center"/>
          </w:tcPr>
          <w:p w14:paraId="5F8C6403"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EnS</w:t>
            </w:r>
          </w:p>
        </w:tc>
        <w:tc>
          <w:tcPr>
            <w:tcW w:w="8647" w:type="dxa"/>
            <w:tcMar>
              <w:left w:w="28" w:type="dxa"/>
              <w:right w:w="28" w:type="dxa"/>
            </w:tcMar>
            <w:vAlign w:val="center"/>
          </w:tcPr>
          <w:p w14:paraId="27E5A6B3"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Enerģētikas savienība</w:t>
            </w:r>
          </w:p>
        </w:tc>
      </w:tr>
      <w:tr w:rsidR="00DD44D5" w:rsidRPr="000869FB" w14:paraId="2529B5E2" w14:textId="77777777" w:rsidTr="005C0161">
        <w:trPr>
          <w:trHeight w:val="278"/>
          <w:jc w:val="center"/>
        </w:trPr>
        <w:tc>
          <w:tcPr>
            <w:tcW w:w="1271" w:type="dxa"/>
            <w:tcMar>
              <w:left w:w="28" w:type="dxa"/>
              <w:right w:w="28" w:type="dxa"/>
            </w:tcMar>
            <w:vAlign w:val="center"/>
          </w:tcPr>
          <w:p w14:paraId="05A6D924"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EPS</w:t>
            </w:r>
          </w:p>
        </w:tc>
        <w:tc>
          <w:tcPr>
            <w:tcW w:w="8647" w:type="dxa"/>
            <w:tcMar>
              <w:left w:w="28" w:type="dxa"/>
              <w:right w:w="28" w:type="dxa"/>
            </w:tcMar>
            <w:vAlign w:val="center"/>
          </w:tcPr>
          <w:p w14:paraId="6CE4EB74"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Energoefektivitātes pienākumu shēma</w:t>
            </w:r>
          </w:p>
        </w:tc>
      </w:tr>
      <w:tr w:rsidR="00DD44D5" w:rsidRPr="000869FB" w14:paraId="0E83A715" w14:textId="77777777" w:rsidTr="005C0161">
        <w:trPr>
          <w:trHeight w:val="278"/>
          <w:jc w:val="center"/>
        </w:trPr>
        <w:tc>
          <w:tcPr>
            <w:tcW w:w="1271" w:type="dxa"/>
            <w:tcMar>
              <w:left w:w="28" w:type="dxa"/>
              <w:right w:w="28" w:type="dxa"/>
            </w:tcMar>
            <w:vAlign w:val="center"/>
          </w:tcPr>
          <w:p w14:paraId="4C335294"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ERAF</w:t>
            </w:r>
          </w:p>
        </w:tc>
        <w:tc>
          <w:tcPr>
            <w:tcW w:w="8647" w:type="dxa"/>
            <w:tcMar>
              <w:left w:w="28" w:type="dxa"/>
              <w:right w:w="28" w:type="dxa"/>
            </w:tcMar>
            <w:vAlign w:val="center"/>
          </w:tcPr>
          <w:p w14:paraId="67F3C96F" w14:textId="77777777" w:rsidR="00DD44D5" w:rsidRPr="000869FB" w:rsidRDefault="00DD44D5" w:rsidP="00560FA1">
            <w:pPr>
              <w:spacing w:after="0" w:line="240" w:lineRule="auto"/>
              <w:rPr>
                <w:rFonts w:eastAsia="Calibri" w:cstheme="minorHAnsi"/>
                <w:szCs w:val="24"/>
              </w:rPr>
            </w:pPr>
            <w:r w:rsidRPr="000869FB">
              <w:rPr>
                <w:rFonts w:cstheme="minorHAnsi"/>
                <w:szCs w:val="24"/>
              </w:rPr>
              <w:t>Eiropas reģionālās attīstības fonds</w:t>
            </w:r>
          </w:p>
        </w:tc>
      </w:tr>
      <w:tr w:rsidR="00DD44D5" w:rsidRPr="000869FB" w14:paraId="4E1C1818" w14:textId="77777777" w:rsidTr="005C0161">
        <w:trPr>
          <w:trHeight w:val="278"/>
          <w:jc w:val="center"/>
        </w:trPr>
        <w:tc>
          <w:tcPr>
            <w:tcW w:w="1271" w:type="dxa"/>
            <w:tcMar>
              <w:left w:w="28" w:type="dxa"/>
              <w:right w:w="28" w:type="dxa"/>
            </w:tcMar>
            <w:vAlign w:val="center"/>
            <w:hideMark/>
          </w:tcPr>
          <w:p w14:paraId="6BAD787D"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ES</w:t>
            </w:r>
          </w:p>
        </w:tc>
        <w:tc>
          <w:tcPr>
            <w:tcW w:w="8647" w:type="dxa"/>
            <w:tcMar>
              <w:left w:w="28" w:type="dxa"/>
              <w:right w:w="28" w:type="dxa"/>
            </w:tcMar>
            <w:vAlign w:val="center"/>
            <w:hideMark/>
          </w:tcPr>
          <w:p w14:paraId="78F44586"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Eiropas Savienība</w:t>
            </w:r>
          </w:p>
        </w:tc>
      </w:tr>
      <w:tr w:rsidR="00DD44D5" w:rsidRPr="000869FB" w14:paraId="3B054D99" w14:textId="77777777" w:rsidTr="0073028B">
        <w:trPr>
          <w:trHeight w:val="278"/>
          <w:jc w:val="center"/>
        </w:trPr>
        <w:tc>
          <w:tcPr>
            <w:tcW w:w="1271" w:type="dxa"/>
            <w:shd w:val="clear" w:color="auto" w:fill="auto"/>
            <w:tcMar>
              <w:left w:w="28" w:type="dxa"/>
              <w:right w:w="28" w:type="dxa"/>
            </w:tcMar>
            <w:vAlign w:val="center"/>
          </w:tcPr>
          <w:p w14:paraId="26D538A5"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ESKO</w:t>
            </w:r>
          </w:p>
        </w:tc>
        <w:tc>
          <w:tcPr>
            <w:tcW w:w="8647" w:type="dxa"/>
            <w:shd w:val="clear" w:color="auto" w:fill="auto"/>
            <w:tcMar>
              <w:left w:w="28" w:type="dxa"/>
              <w:right w:w="28" w:type="dxa"/>
            </w:tcMar>
            <w:vAlign w:val="center"/>
          </w:tcPr>
          <w:p w14:paraId="5CEAE94E"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Energoservisa pakalpojumi</w:t>
            </w:r>
          </w:p>
        </w:tc>
      </w:tr>
      <w:tr w:rsidR="00DD44D5" w:rsidRPr="000869FB" w14:paraId="434081CD" w14:textId="77777777" w:rsidTr="005C0161">
        <w:trPr>
          <w:trHeight w:val="278"/>
          <w:jc w:val="center"/>
        </w:trPr>
        <w:tc>
          <w:tcPr>
            <w:tcW w:w="1271" w:type="dxa"/>
            <w:tcMar>
              <w:left w:w="28" w:type="dxa"/>
              <w:right w:w="28" w:type="dxa"/>
            </w:tcMar>
            <w:vAlign w:val="center"/>
          </w:tcPr>
          <w:p w14:paraId="557EAE83"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ETL</w:t>
            </w:r>
          </w:p>
        </w:tc>
        <w:tc>
          <w:tcPr>
            <w:tcW w:w="8647" w:type="dxa"/>
            <w:tcMar>
              <w:left w:w="28" w:type="dxa"/>
              <w:right w:w="28" w:type="dxa"/>
            </w:tcMar>
            <w:vAlign w:val="center"/>
          </w:tcPr>
          <w:p w14:paraId="77F9BFD0"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Elektrotransportlīdzeklis</w:t>
            </w:r>
          </w:p>
        </w:tc>
      </w:tr>
      <w:tr w:rsidR="00DD44D5" w:rsidRPr="000869FB" w14:paraId="137FC622" w14:textId="77777777" w:rsidTr="005C0161">
        <w:trPr>
          <w:trHeight w:val="278"/>
          <w:jc w:val="center"/>
        </w:trPr>
        <w:tc>
          <w:tcPr>
            <w:tcW w:w="1271" w:type="dxa"/>
            <w:tcMar>
              <w:left w:w="28" w:type="dxa"/>
              <w:right w:w="28" w:type="dxa"/>
            </w:tcMar>
            <w:vAlign w:val="center"/>
            <w:hideMark/>
          </w:tcPr>
          <w:p w14:paraId="1CC07D67"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ETS</w:t>
            </w:r>
          </w:p>
        </w:tc>
        <w:tc>
          <w:tcPr>
            <w:tcW w:w="8647" w:type="dxa"/>
            <w:tcMar>
              <w:left w:w="28" w:type="dxa"/>
              <w:right w:w="28" w:type="dxa"/>
            </w:tcMar>
            <w:vAlign w:val="center"/>
            <w:hideMark/>
          </w:tcPr>
          <w:p w14:paraId="1F97896C"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Eiropas Savienības Emisijas kvotu tirdzniecības sistēma</w:t>
            </w:r>
          </w:p>
        </w:tc>
      </w:tr>
      <w:tr w:rsidR="00DD44D5" w:rsidRPr="000869FB" w14:paraId="70BAE47A" w14:textId="77777777" w:rsidTr="005C0161">
        <w:trPr>
          <w:trHeight w:val="278"/>
          <w:jc w:val="center"/>
        </w:trPr>
        <w:tc>
          <w:tcPr>
            <w:tcW w:w="1271" w:type="dxa"/>
            <w:tcMar>
              <w:left w:w="28" w:type="dxa"/>
              <w:right w:w="28" w:type="dxa"/>
            </w:tcMar>
            <w:vAlign w:val="center"/>
          </w:tcPr>
          <w:p w14:paraId="27E0CE49"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EUROSTAT</w:t>
            </w:r>
          </w:p>
        </w:tc>
        <w:tc>
          <w:tcPr>
            <w:tcW w:w="8647" w:type="dxa"/>
            <w:tcMar>
              <w:left w:w="28" w:type="dxa"/>
              <w:right w:w="28" w:type="dxa"/>
            </w:tcMar>
            <w:vAlign w:val="center"/>
          </w:tcPr>
          <w:p w14:paraId="76568861"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Eiropas Savienības Statistikas birojs</w:t>
            </w:r>
          </w:p>
        </w:tc>
      </w:tr>
      <w:tr w:rsidR="00DD44D5" w:rsidRPr="000869FB" w14:paraId="0494BB62" w14:textId="77777777" w:rsidTr="005C0161">
        <w:trPr>
          <w:trHeight w:val="278"/>
          <w:jc w:val="center"/>
        </w:trPr>
        <w:tc>
          <w:tcPr>
            <w:tcW w:w="1271" w:type="dxa"/>
            <w:tcMar>
              <w:left w:w="28" w:type="dxa"/>
              <w:right w:w="28" w:type="dxa"/>
            </w:tcMar>
            <w:vAlign w:val="center"/>
            <w:hideMark/>
          </w:tcPr>
          <w:p w14:paraId="4CDC043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EVA</w:t>
            </w:r>
          </w:p>
        </w:tc>
        <w:tc>
          <w:tcPr>
            <w:tcW w:w="8647" w:type="dxa"/>
            <w:tcMar>
              <w:left w:w="28" w:type="dxa"/>
              <w:right w:w="28" w:type="dxa"/>
            </w:tcMar>
            <w:vAlign w:val="center"/>
            <w:hideMark/>
          </w:tcPr>
          <w:p w14:paraId="2F9BBC54"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Eiropas Vides aģentūra</w:t>
            </w:r>
          </w:p>
        </w:tc>
      </w:tr>
      <w:tr w:rsidR="00DD44D5" w:rsidRPr="000869FB" w14:paraId="785CEEBD" w14:textId="77777777" w:rsidTr="005C0161">
        <w:trPr>
          <w:trHeight w:val="278"/>
          <w:jc w:val="center"/>
        </w:trPr>
        <w:tc>
          <w:tcPr>
            <w:tcW w:w="1271" w:type="dxa"/>
            <w:tcMar>
              <w:left w:w="28" w:type="dxa"/>
              <w:right w:w="28" w:type="dxa"/>
            </w:tcMar>
            <w:vAlign w:val="center"/>
          </w:tcPr>
          <w:p w14:paraId="58E56269"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ĒAIS</w:t>
            </w:r>
          </w:p>
        </w:tc>
        <w:tc>
          <w:tcPr>
            <w:tcW w:w="8647" w:type="dxa"/>
            <w:tcMar>
              <w:left w:w="28" w:type="dxa"/>
              <w:right w:w="28" w:type="dxa"/>
            </w:tcMar>
            <w:vAlign w:val="center"/>
          </w:tcPr>
          <w:p w14:paraId="72FD3EBE"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Ēku atjaunošanas ilgtermiņa stratēģija</w:t>
            </w:r>
          </w:p>
        </w:tc>
      </w:tr>
      <w:tr w:rsidR="00DD44D5" w:rsidRPr="000869FB" w14:paraId="04E5E4E4" w14:textId="77777777" w:rsidTr="005C0161">
        <w:trPr>
          <w:trHeight w:val="278"/>
          <w:jc w:val="center"/>
        </w:trPr>
        <w:tc>
          <w:tcPr>
            <w:tcW w:w="1271" w:type="dxa"/>
            <w:tcMar>
              <w:left w:w="28" w:type="dxa"/>
              <w:right w:w="28" w:type="dxa"/>
            </w:tcMar>
            <w:vAlign w:val="center"/>
            <w:hideMark/>
          </w:tcPr>
          <w:p w14:paraId="203FC245"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FM</w:t>
            </w:r>
          </w:p>
        </w:tc>
        <w:tc>
          <w:tcPr>
            <w:tcW w:w="8647" w:type="dxa"/>
            <w:tcMar>
              <w:left w:w="28" w:type="dxa"/>
              <w:right w:w="28" w:type="dxa"/>
            </w:tcMar>
            <w:vAlign w:val="center"/>
            <w:hideMark/>
          </w:tcPr>
          <w:p w14:paraId="490CA36A"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Finanšu ministrija</w:t>
            </w:r>
          </w:p>
        </w:tc>
      </w:tr>
      <w:tr w:rsidR="00DD44D5" w:rsidRPr="000869FB" w14:paraId="569B0D35" w14:textId="77777777" w:rsidTr="005C0161">
        <w:trPr>
          <w:trHeight w:val="278"/>
          <w:jc w:val="center"/>
        </w:trPr>
        <w:tc>
          <w:tcPr>
            <w:tcW w:w="1271" w:type="dxa"/>
            <w:tcMar>
              <w:left w:w="28" w:type="dxa"/>
              <w:right w:w="28" w:type="dxa"/>
            </w:tcMar>
            <w:vAlign w:val="center"/>
            <w:hideMark/>
          </w:tcPr>
          <w:p w14:paraId="028AA7F8"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F-gāzes</w:t>
            </w:r>
          </w:p>
        </w:tc>
        <w:tc>
          <w:tcPr>
            <w:tcW w:w="8647" w:type="dxa"/>
            <w:tcMar>
              <w:left w:w="28" w:type="dxa"/>
              <w:right w:w="28" w:type="dxa"/>
            </w:tcMar>
            <w:vAlign w:val="center"/>
            <w:hideMark/>
          </w:tcPr>
          <w:p w14:paraId="1C5A7DDB"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Fluorētās siltumnīcefekta gāzes</w:t>
            </w:r>
          </w:p>
        </w:tc>
      </w:tr>
      <w:tr w:rsidR="00DD44D5" w:rsidRPr="000869FB" w14:paraId="49093A8F" w14:textId="77777777" w:rsidTr="005C0161">
        <w:trPr>
          <w:trHeight w:val="278"/>
          <w:jc w:val="center"/>
        </w:trPr>
        <w:tc>
          <w:tcPr>
            <w:tcW w:w="1271" w:type="dxa"/>
            <w:tcMar>
              <w:left w:w="28" w:type="dxa"/>
              <w:right w:w="28" w:type="dxa"/>
            </w:tcMar>
            <w:vAlign w:val="center"/>
          </w:tcPr>
          <w:p w14:paraId="15568226"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HES</w:t>
            </w:r>
          </w:p>
        </w:tc>
        <w:tc>
          <w:tcPr>
            <w:tcW w:w="8647" w:type="dxa"/>
            <w:tcMar>
              <w:left w:w="28" w:type="dxa"/>
              <w:right w:w="28" w:type="dxa"/>
            </w:tcMar>
            <w:vAlign w:val="center"/>
          </w:tcPr>
          <w:p w14:paraId="32CBA1C1"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Hidroelektrostacija</w:t>
            </w:r>
          </w:p>
        </w:tc>
      </w:tr>
      <w:tr w:rsidR="00DD44D5" w:rsidRPr="000869FB" w14:paraId="60882719" w14:textId="77777777" w:rsidTr="005C0161">
        <w:trPr>
          <w:trHeight w:val="278"/>
          <w:jc w:val="center"/>
        </w:trPr>
        <w:tc>
          <w:tcPr>
            <w:tcW w:w="1271" w:type="dxa"/>
            <w:tcMar>
              <w:left w:w="28" w:type="dxa"/>
              <w:right w:w="28" w:type="dxa"/>
            </w:tcMar>
            <w:vAlign w:val="center"/>
            <w:hideMark/>
          </w:tcPr>
          <w:p w14:paraId="4CF601A7"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IKP</w:t>
            </w:r>
          </w:p>
        </w:tc>
        <w:tc>
          <w:tcPr>
            <w:tcW w:w="8647" w:type="dxa"/>
            <w:tcMar>
              <w:left w:w="28" w:type="dxa"/>
              <w:right w:w="28" w:type="dxa"/>
            </w:tcMar>
            <w:vAlign w:val="center"/>
            <w:hideMark/>
          </w:tcPr>
          <w:p w14:paraId="14AA338B"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Iekšzemes kopprodukts</w:t>
            </w:r>
          </w:p>
        </w:tc>
      </w:tr>
      <w:tr w:rsidR="00DD44D5" w:rsidRPr="000869FB" w14:paraId="2DBFEFC1" w14:textId="77777777" w:rsidTr="005C0161">
        <w:trPr>
          <w:trHeight w:val="278"/>
          <w:jc w:val="center"/>
        </w:trPr>
        <w:tc>
          <w:tcPr>
            <w:tcW w:w="1271" w:type="dxa"/>
            <w:tcMar>
              <w:left w:w="28" w:type="dxa"/>
              <w:right w:w="28" w:type="dxa"/>
            </w:tcMar>
            <w:vAlign w:val="center"/>
            <w:hideMark/>
          </w:tcPr>
          <w:p w14:paraId="6250CE7C"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IZM</w:t>
            </w:r>
          </w:p>
        </w:tc>
        <w:tc>
          <w:tcPr>
            <w:tcW w:w="8647" w:type="dxa"/>
            <w:tcMar>
              <w:left w:w="28" w:type="dxa"/>
              <w:right w:w="28" w:type="dxa"/>
            </w:tcMar>
            <w:vAlign w:val="center"/>
            <w:hideMark/>
          </w:tcPr>
          <w:p w14:paraId="510E542C"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Izglītības un zinātnes ministrija</w:t>
            </w:r>
          </w:p>
        </w:tc>
      </w:tr>
      <w:tr w:rsidR="00DD44D5" w:rsidRPr="000869FB" w14:paraId="045BAD58" w14:textId="77777777" w:rsidTr="005C0161">
        <w:trPr>
          <w:trHeight w:val="278"/>
          <w:jc w:val="center"/>
        </w:trPr>
        <w:tc>
          <w:tcPr>
            <w:tcW w:w="1271" w:type="dxa"/>
            <w:tcMar>
              <w:left w:w="28" w:type="dxa"/>
              <w:right w:w="28" w:type="dxa"/>
            </w:tcMar>
            <w:vAlign w:val="center"/>
          </w:tcPr>
          <w:p w14:paraId="08EFC013"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KEP2020</w:t>
            </w:r>
          </w:p>
        </w:tc>
        <w:tc>
          <w:tcPr>
            <w:tcW w:w="8647" w:type="dxa"/>
            <w:tcMar>
              <w:left w:w="28" w:type="dxa"/>
              <w:right w:w="28" w:type="dxa"/>
            </w:tcMar>
            <w:vAlign w:val="center"/>
          </w:tcPr>
          <w:p w14:paraId="70A851EC" w14:textId="77777777" w:rsidR="00DD44D5" w:rsidRPr="000869FB" w:rsidRDefault="00DD44D5" w:rsidP="00560FA1">
            <w:pPr>
              <w:spacing w:after="0" w:line="240" w:lineRule="auto"/>
              <w:rPr>
                <w:rFonts w:eastAsia="Calibri" w:cstheme="minorHAnsi"/>
                <w:szCs w:val="24"/>
              </w:rPr>
            </w:pPr>
            <w:r w:rsidRPr="000869FB">
              <w:rPr>
                <w:rFonts w:cstheme="minorHAnsi"/>
              </w:rPr>
              <w:t>Eiropadomes 2007. gada 2. maija prezidentvalsts secinājumi</w:t>
            </w:r>
          </w:p>
        </w:tc>
      </w:tr>
      <w:tr w:rsidR="00DD44D5" w:rsidRPr="000869FB" w14:paraId="0F93F233" w14:textId="77777777" w:rsidTr="005C0161">
        <w:trPr>
          <w:trHeight w:val="278"/>
          <w:jc w:val="center"/>
        </w:trPr>
        <w:tc>
          <w:tcPr>
            <w:tcW w:w="1271" w:type="dxa"/>
            <w:tcMar>
              <w:left w:w="28" w:type="dxa"/>
              <w:right w:w="28" w:type="dxa"/>
            </w:tcMar>
            <w:vAlign w:val="center"/>
          </w:tcPr>
          <w:p w14:paraId="4C15BDF1"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KEPS2030</w:t>
            </w:r>
          </w:p>
        </w:tc>
        <w:tc>
          <w:tcPr>
            <w:tcW w:w="8647" w:type="dxa"/>
            <w:tcMar>
              <w:left w:w="28" w:type="dxa"/>
              <w:right w:w="28" w:type="dxa"/>
            </w:tcMar>
            <w:vAlign w:val="center"/>
          </w:tcPr>
          <w:p w14:paraId="7924B07F" w14:textId="77777777" w:rsidR="00DD44D5" w:rsidRPr="000869FB" w:rsidRDefault="00DD44D5" w:rsidP="00560FA1">
            <w:pPr>
              <w:spacing w:after="0" w:line="240" w:lineRule="auto"/>
              <w:rPr>
                <w:rFonts w:eastAsia="Calibri" w:cstheme="minorHAnsi"/>
                <w:szCs w:val="24"/>
              </w:rPr>
            </w:pPr>
            <w:r w:rsidRPr="000869FB">
              <w:rPr>
                <w:rFonts w:cstheme="minorHAnsi"/>
              </w:rPr>
              <w:t>Eiropadomes 2014. gada 24. oktobra secinājumi “Klimata un enerģētikas politikas satvars laikposmam līdz 2030. gadam”</w:t>
            </w:r>
          </w:p>
        </w:tc>
      </w:tr>
      <w:tr w:rsidR="00DD44D5" w:rsidRPr="000869FB" w14:paraId="619EC690" w14:textId="77777777" w:rsidTr="005C0161">
        <w:trPr>
          <w:trHeight w:val="278"/>
          <w:jc w:val="center"/>
        </w:trPr>
        <w:tc>
          <w:tcPr>
            <w:tcW w:w="1271" w:type="dxa"/>
            <w:tcMar>
              <w:left w:w="28" w:type="dxa"/>
              <w:right w:w="28" w:type="dxa"/>
            </w:tcMar>
            <w:vAlign w:val="center"/>
          </w:tcPr>
          <w:p w14:paraId="39BF3DF5"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KF</w:t>
            </w:r>
          </w:p>
        </w:tc>
        <w:tc>
          <w:tcPr>
            <w:tcW w:w="8647" w:type="dxa"/>
            <w:tcMar>
              <w:left w:w="28" w:type="dxa"/>
              <w:right w:w="28" w:type="dxa"/>
            </w:tcMar>
            <w:vAlign w:val="center"/>
          </w:tcPr>
          <w:p w14:paraId="78B8B904"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Kohēzijas fonds</w:t>
            </w:r>
          </w:p>
        </w:tc>
      </w:tr>
      <w:tr w:rsidR="00DD44D5" w:rsidRPr="000869FB" w14:paraId="0E4718E0" w14:textId="77777777" w:rsidTr="005C0161">
        <w:trPr>
          <w:trHeight w:val="278"/>
          <w:jc w:val="center"/>
        </w:trPr>
        <w:tc>
          <w:tcPr>
            <w:tcW w:w="1271" w:type="dxa"/>
            <w:tcMar>
              <w:left w:w="28" w:type="dxa"/>
              <w:right w:w="28" w:type="dxa"/>
            </w:tcMar>
            <w:vAlign w:val="center"/>
          </w:tcPr>
          <w:p w14:paraId="233462B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KIP</w:t>
            </w:r>
          </w:p>
        </w:tc>
        <w:tc>
          <w:tcPr>
            <w:tcW w:w="8647" w:type="dxa"/>
            <w:tcMar>
              <w:left w:w="28" w:type="dxa"/>
              <w:right w:w="28" w:type="dxa"/>
            </w:tcMar>
            <w:vAlign w:val="center"/>
          </w:tcPr>
          <w:p w14:paraId="2BBD0A76" w14:textId="77777777" w:rsidR="00DD44D5" w:rsidRPr="000869FB" w:rsidRDefault="00DD44D5" w:rsidP="00560FA1">
            <w:pPr>
              <w:spacing w:after="0" w:line="240" w:lineRule="auto"/>
              <w:rPr>
                <w:rFonts w:eastAsia="Calibri" w:cstheme="minorHAnsi"/>
                <w:szCs w:val="24"/>
              </w:rPr>
            </w:pPr>
            <w:r w:rsidRPr="000869FB">
              <w:rPr>
                <w:rFonts w:cstheme="minorHAnsi"/>
              </w:rPr>
              <w:t>Kopīgu Interešu Projekts</w:t>
            </w:r>
          </w:p>
        </w:tc>
      </w:tr>
      <w:tr w:rsidR="00DD44D5" w:rsidRPr="000869FB" w14:paraId="552AE8E0" w14:textId="77777777" w:rsidTr="005C0161">
        <w:trPr>
          <w:trHeight w:val="278"/>
          <w:jc w:val="center"/>
        </w:trPr>
        <w:tc>
          <w:tcPr>
            <w:tcW w:w="1271" w:type="dxa"/>
            <w:tcMar>
              <w:left w:w="28" w:type="dxa"/>
              <w:right w:w="28" w:type="dxa"/>
            </w:tcMar>
            <w:vAlign w:val="center"/>
            <w:hideMark/>
          </w:tcPr>
          <w:p w14:paraId="58921234"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KPFI</w:t>
            </w:r>
          </w:p>
        </w:tc>
        <w:tc>
          <w:tcPr>
            <w:tcW w:w="8647" w:type="dxa"/>
            <w:tcMar>
              <w:left w:w="28" w:type="dxa"/>
              <w:right w:w="28" w:type="dxa"/>
            </w:tcMar>
            <w:vAlign w:val="center"/>
            <w:hideMark/>
          </w:tcPr>
          <w:p w14:paraId="76D14402" w14:textId="77777777" w:rsidR="00DD44D5" w:rsidRPr="000869FB" w:rsidRDefault="00DD44D5" w:rsidP="00560FA1">
            <w:pPr>
              <w:spacing w:after="0" w:line="240" w:lineRule="auto"/>
              <w:rPr>
                <w:rFonts w:eastAsia="Times New Roman" w:cstheme="minorHAnsi"/>
                <w:szCs w:val="24"/>
              </w:rPr>
            </w:pPr>
            <w:r w:rsidRPr="000869FB">
              <w:rPr>
                <w:rFonts w:eastAsia="Calibri" w:cstheme="minorHAnsi"/>
                <w:szCs w:val="24"/>
              </w:rPr>
              <w:t>Klimata pārmaiņu finanšu instruments</w:t>
            </w:r>
          </w:p>
        </w:tc>
      </w:tr>
      <w:tr w:rsidR="00DD44D5" w:rsidRPr="000869FB" w14:paraId="4D3513B8" w14:textId="77777777" w:rsidTr="005C0161">
        <w:trPr>
          <w:trHeight w:val="278"/>
          <w:jc w:val="center"/>
        </w:trPr>
        <w:tc>
          <w:tcPr>
            <w:tcW w:w="1271" w:type="dxa"/>
            <w:tcMar>
              <w:left w:w="28" w:type="dxa"/>
              <w:right w:w="28" w:type="dxa"/>
            </w:tcMar>
            <w:vAlign w:val="center"/>
          </w:tcPr>
          <w:p w14:paraId="117A65F7"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LEIS2030</w:t>
            </w:r>
          </w:p>
        </w:tc>
        <w:tc>
          <w:tcPr>
            <w:tcW w:w="8647" w:type="dxa"/>
            <w:tcMar>
              <w:left w:w="28" w:type="dxa"/>
              <w:right w:w="28" w:type="dxa"/>
            </w:tcMar>
            <w:vAlign w:val="center"/>
          </w:tcPr>
          <w:p w14:paraId="1FA6631D" w14:textId="77777777" w:rsidR="00DD44D5" w:rsidRPr="000869FB" w:rsidRDefault="00DD44D5" w:rsidP="00560FA1">
            <w:pPr>
              <w:spacing w:after="0" w:line="240" w:lineRule="auto"/>
              <w:rPr>
                <w:rFonts w:cstheme="minorHAnsi"/>
                <w:color w:val="000000"/>
                <w:szCs w:val="24"/>
              </w:rPr>
            </w:pPr>
            <w:bookmarkStart w:id="12" w:name="_Hlk531553661"/>
            <w:r w:rsidRPr="000869FB">
              <w:rPr>
                <w:rFonts w:cstheme="minorHAnsi"/>
                <w:color w:val="000000"/>
                <w:szCs w:val="24"/>
              </w:rPr>
              <w:t>Latvijas Enerģētikas ilgtermiņa stratēģija 2030 – konkurētspējīga enerģētika sabiedrībai</w:t>
            </w:r>
            <w:bookmarkEnd w:id="12"/>
          </w:p>
        </w:tc>
      </w:tr>
      <w:tr w:rsidR="00DD44D5" w:rsidRPr="000869FB" w14:paraId="41837FE0" w14:textId="77777777" w:rsidTr="005C0161">
        <w:trPr>
          <w:trHeight w:val="278"/>
          <w:jc w:val="center"/>
        </w:trPr>
        <w:tc>
          <w:tcPr>
            <w:tcW w:w="1271" w:type="dxa"/>
            <w:tcMar>
              <w:left w:w="28" w:type="dxa"/>
              <w:right w:w="28" w:type="dxa"/>
            </w:tcMar>
            <w:vAlign w:val="center"/>
          </w:tcPr>
          <w:p w14:paraId="08425EED" w14:textId="77777777" w:rsidR="00DD44D5" w:rsidRPr="000869FB" w:rsidRDefault="00DD44D5" w:rsidP="00DD44D5">
            <w:pPr>
              <w:spacing w:after="0" w:line="240" w:lineRule="auto"/>
              <w:rPr>
                <w:rFonts w:eastAsia="Calibri" w:cstheme="minorHAnsi"/>
                <w:szCs w:val="24"/>
              </w:rPr>
            </w:pPr>
            <w:bookmarkStart w:id="13" w:name="_Hlk531553615"/>
            <w:r w:rsidRPr="000869FB">
              <w:rPr>
                <w:rFonts w:eastAsia="Calibri" w:cstheme="minorHAnsi"/>
                <w:szCs w:val="24"/>
              </w:rPr>
              <w:t>LIAS2030</w:t>
            </w:r>
          </w:p>
        </w:tc>
        <w:tc>
          <w:tcPr>
            <w:tcW w:w="8647" w:type="dxa"/>
            <w:tcMar>
              <w:left w:w="28" w:type="dxa"/>
              <w:right w:w="28" w:type="dxa"/>
            </w:tcMar>
            <w:vAlign w:val="center"/>
          </w:tcPr>
          <w:p w14:paraId="75405ED8"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Latvijas ilgtspējīgas attīstības stratēģija 2030.gadam</w:t>
            </w:r>
          </w:p>
        </w:tc>
      </w:tr>
      <w:bookmarkEnd w:id="13"/>
      <w:tr w:rsidR="00DD44D5" w:rsidRPr="000869FB" w14:paraId="625B9005" w14:textId="77777777" w:rsidTr="005C0161">
        <w:trPr>
          <w:trHeight w:val="264"/>
          <w:jc w:val="center"/>
        </w:trPr>
        <w:tc>
          <w:tcPr>
            <w:tcW w:w="1271" w:type="dxa"/>
            <w:tcMar>
              <w:left w:w="28" w:type="dxa"/>
              <w:right w:w="28" w:type="dxa"/>
            </w:tcMar>
            <w:vAlign w:val="center"/>
            <w:hideMark/>
          </w:tcPr>
          <w:p w14:paraId="6CCD9481"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LIFE</w:t>
            </w:r>
          </w:p>
        </w:tc>
        <w:tc>
          <w:tcPr>
            <w:tcW w:w="8647" w:type="dxa"/>
            <w:tcMar>
              <w:left w:w="28" w:type="dxa"/>
              <w:right w:w="28" w:type="dxa"/>
            </w:tcMar>
            <w:vAlign w:val="center"/>
            <w:hideMark/>
          </w:tcPr>
          <w:p w14:paraId="25C71ACA" w14:textId="77777777" w:rsidR="00DD44D5" w:rsidRPr="000869FB" w:rsidRDefault="00DD44D5" w:rsidP="00560FA1">
            <w:pPr>
              <w:spacing w:after="0" w:line="240" w:lineRule="auto"/>
              <w:jc w:val="both"/>
              <w:rPr>
                <w:rFonts w:eastAsia="Calibri" w:cstheme="minorHAnsi"/>
                <w:szCs w:val="24"/>
              </w:rPr>
            </w:pPr>
            <w:r w:rsidRPr="000869FB">
              <w:rPr>
                <w:rFonts w:eastAsia="Calibri" w:cstheme="minorHAnsi"/>
                <w:szCs w:val="24"/>
              </w:rPr>
              <w:t>Eiropas Savienības vides finanšu programma</w:t>
            </w:r>
          </w:p>
        </w:tc>
      </w:tr>
      <w:tr w:rsidR="00DD44D5" w:rsidRPr="000869FB" w14:paraId="74A1968B" w14:textId="77777777" w:rsidTr="005C0161">
        <w:trPr>
          <w:trHeight w:val="264"/>
          <w:jc w:val="center"/>
        </w:trPr>
        <w:tc>
          <w:tcPr>
            <w:tcW w:w="1271" w:type="dxa"/>
            <w:tcMar>
              <w:left w:w="28" w:type="dxa"/>
              <w:right w:w="28" w:type="dxa"/>
            </w:tcMar>
            <w:vAlign w:val="center"/>
            <w:hideMark/>
          </w:tcPr>
          <w:p w14:paraId="6DB10B72"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LLU</w:t>
            </w:r>
          </w:p>
        </w:tc>
        <w:tc>
          <w:tcPr>
            <w:tcW w:w="8647" w:type="dxa"/>
            <w:tcMar>
              <w:left w:w="28" w:type="dxa"/>
              <w:right w:w="28" w:type="dxa"/>
            </w:tcMar>
            <w:vAlign w:val="center"/>
            <w:hideMark/>
          </w:tcPr>
          <w:p w14:paraId="3C110961" w14:textId="77777777" w:rsidR="00DD44D5" w:rsidRPr="000869FB" w:rsidRDefault="00DD44D5" w:rsidP="00560FA1">
            <w:pPr>
              <w:spacing w:after="0" w:line="240" w:lineRule="auto"/>
              <w:jc w:val="both"/>
              <w:rPr>
                <w:rFonts w:eastAsia="Calibri" w:cstheme="minorHAnsi"/>
                <w:szCs w:val="24"/>
              </w:rPr>
            </w:pPr>
            <w:r w:rsidRPr="000869FB">
              <w:rPr>
                <w:rFonts w:eastAsia="Calibri" w:cstheme="minorHAnsi"/>
                <w:szCs w:val="24"/>
              </w:rPr>
              <w:t>Latvijas Lauksaimniecības universitāte</w:t>
            </w:r>
          </w:p>
        </w:tc>
      </w:tr>
      <w:tr w:rsidR="00E93C6D" w:rsidRPr="000869FB" w14:paraId="265B6401" w14:textId="77777777" w:rsidTr="005C0161">
        <w:trPr>
          <w:trHeight w:val="264"/>
          <w:jc w:val="center"/>
        </w:trPr>
        <w:tc>
          <w:tcPr>
            <w:tcW w:w="1271" w:type="dxa"/>
            <w:tcMar>
              <w:left w:w="28" w:type="dxa"/>
              <w:right w:w="28" w:type="dxa"/>
            </w:tcMar>
            <w:vAlign w:val="center"/>
          </w:tcPr>
          <w:p w14:paraId="6575F77B" w14:textId="0F0724B4" w:rsidR="00E93C6D" w:rsidRPr="000869FB" w:rsidRDefault="00E93C6D" w:rsidP="00DD44D5">
            <w:pPr>
              <w:spacing w:after="0" w:line="240" w:lineRule="auto"/>
              <w:rPr>
                <w:rFonts w:eastAsia="Calibri" w:cstheme="minorHAnsi"/>
                <w:szCs w:val="24"/>
              </w:rPr>
            </w:pPr>
            <w:r>
              <w:rPr>
                <w:rFonts w:eastAsia="Calibri" w:cstheme="minorHAnsi"/>
                <w:szCs w:val="24"/>
              </w:rPr>
              <w:t>LM</w:t>
            </w:r>
          </w:p>
        </w:tc>
        <w:tc>
          <w:tcPr>
            <w:tcW w:w="8647" w:type="dxa"/>
            <w:tcMar>
              <w:left w:w="28" w:type="dxa"/>
              <w:right w:w="28" w:type="dxa"/>
            </w:tcMar>
            <w:vAlign w:val="center"/>
          </w:tcPr>
          <w:p w14:paraId="79A41235" w14:textId="4BFE603F" w:rsidR="00E93C6D" w:rsidRPr="000869FB" w:rsidRDefault="00E93C6D" w:rsidP="00560FA1">
            <w:pPr>
              <w:spacing w:after="0" w:line="240" w:lineRule="auto"/>
              <w:jc w:val="both"/>
              <w:rPr>
                <w:rFonts w:eastAsia="Calibri" w:cstheme="minorHAnsi"/>
                <w:szCs w:val="24"/>
              </w:rPr>
            </w:pPr>
            <w:r>
              <w:rPr>
                <w:rFonts w:eastAsia="Calibri" w:cstheme="minorHAnsi"/>
                <w:szCs w:val="24"/>
              </w:rPr>
              <w:t>Labklājības ministrija</w:t>
            </w:r>
          </w:p>
        </w:tc>
      </w:tr>
      <w:tr w:rsidR="00DD44D5" w:rsidRPr="000869FB" w14:paraId="5D5FD49E" w14:textId="77777777" w:rsidTr="005C0161">
        <w:trPr>
          <w:trHeight w:val="264"/>
          <w:jc w:val="center"/>
        </w:trPr>
        <w:tc>
          <w:tcPr>
            <w:tcW w:w="1271" w:type="dxa"/>
            <w:tcMar>
              <w:left w:w="28" w:type="dxa"/>
              <w:right w:w="28" w:type="dxa"/>
            </w:tcMar>
            <w:vAlign w:val="center"/>
          </w:tcPr>
          <w:p w14:paraId="76193732"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LNAP2020</w:t>
            </w:r>
          </w:p>
        </w:tc>
        <w:tc>
          <w:tcPr>
            <w:tcW w:w="8647" w:type="dxa"/>
            <w:tcMar>
              <w:left w:w="28" w:type="dxa"/>
              <w:right w:w="28" w:type="dxa"/>
            </w:tcMar>
            <w:vAlign w:val="center"/>
          </w:tcPr>
          <w:p w14:paraId="40677E29" w14:textId="77777777" w:rsidR="00DD44D5" w:rsidRPr="000869FB" w:rsidRDefault="00DD44D5" w:rsidP="00560FA1">
            <w:pPr>
              <w:spacing w:after="0" w:line="240" w:lineRule="auto"/>
              <w:jc w:val="both"/>
              <w:rPr>
                <w:rFonts w:eastAsia="Calibri" w:cstheme="minorHAnsi"/>
                <w:szCs w:val="24"/>
              </w:rPr>
            </w:pPr>
            <w:r w:rsidRPr="000869FB">
              <w:rPr>
                <w:rFonts w:eastAsia="Calibri" w:cstheme="minorHAnsi"/>
                <w:szCs w:val="24"/>
              </w:rPr>
              <w:t>Nacionālais attīstības plāns 2014.–2020.gadam</w:t>
            </w:r>
          </w:p>
        </w:tc>
      </w:tr>
      <w:tr w:rsidR="00DD44D5" w:rsidRPr="000869FB" w14:paraId="2CE55E43" w14:textId="77777777" w:rsidTr="005C0161">
        <w:trPr>
          <w:trHeight w:val="264"/>
          <w:jc w:val="center"/>
        </w:trPr>
        <w:tc>
          <w:tcPr>
            <w:tcW w:w="1271" w:type="dxa"/>
            <w:tcMar>
              <w:left w:w="28" w:type="dxa"/>
              <w:right w:w="28" w:type="dxa"/>
            </w:tcMar>
            <w:vAlign w:val="center"/>
          </w:tcPr>
          <w:p w14:paraId="406C968D"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LNAP2027</w:t>
            </w:r>
          </w:p>
        </w:tc>
        <w:tc>
          <w:tcPr>
            <w:tcW w:w="8647" w:type="dxa"/>
            <w:tcMar>
              <w:left w:w="28" w:type="dxa"/>
              <w:right w:w="28" w:type="dxa"/>
            </w:tcMar>
            <w:vAlign w:val="center"/>
          </w:tcPr>
          <w:p w14:paraId="20D8814E" w14:textId="77777777" w:rsidR="00DD44D5" w:rsidRPr="000869FB" w:rsidRDefault="00DD44D5" w:rsidP="00560FA1">
            <w:pPr>
              <w:spacing w:after="0" w:line="240" w:lineRule="auto"/>
              <w:jc w:val="both"/>
              <w:rPr>
                <w:rFonts w:eastAsia="Calibri" w:cstheme="minorHAnsi"/>
                <w:szCs w:val="24"/>
              </w:rPr>
            </w:pPr>
            <w:r w:rsidRPr="000869FB">
              <w:rPr>
                <w:rFonts w:eastAsia="Calibri" w:cstheme="minorHAnsi"/>
                <w:szCs w:val="24"/>
              </w:rPr>
              <w:t>Nacionālais attīstības plāns 2021.-2027.gadam (izstrādes stadijā)</w:t>
            </w:r>
          </w:p>
        </w:tc>
      </w:tr>
      <w:tr w:rsidR="00DD44D5" w:rsidRPr="000869FB" w14:paraId="3862F9AB" w14:textId="77777777" w:rsidTr="005C0161">
        <w:trPr>
          <w:trHeight w:val="264"/>
          <w:jc w:val="center"/>
        </w:trPr>
        <w:tc>
          <w:tcPr>
            <w:tcW w:w="1271" w:type="dxa"/>
            <w:tcMar>
              <w:left w:w="28" w:type="dxa"/>
              <w:right w:w="28" w:type="dxa"/>
            </w:tcMar>
            <w:vAlign w:val="center"/>
          </w:tcPr>
          <w:p w14:paraId="33824845"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LPKPP2030</w:t>
            </w:r>
          </w:p>
        </w:tc>
        <w:tc>
          <w:tcPr>
            <w:tcW w:w="8647" w:type="dxa"/>
            <w:tcMar>
              <w:left w:w="28" w:type="dxa"/>
              <w:right w:w="28" w:type="dxa"/>
            </w:tcMar>
            <w:vAlign w:val="center"/>
          </w:tcPr>
          <w:p w14:paraId="281B3F95" w14:textId="77777777" w:rsidR="00DD44D5" w:rsidRPr="000869FB" w:rsidRDefault="00DD44D5" w:rsidP="00560FA1">
            <w:pPr>
              <w:spacing w:after="0" w:line="240" w:lineRule="auto"/>
              <w:jc w:val="both"/>
              <w:rPr>
                <w:rFonts w:eastAsia="Calibri" w:cstheme="minorHAnsi"/>
                <w:szCs w:val="24"/>
              </w:rPr>
            </w:pPr>
            <w:r w:rsidRPr="000869FB">
              <w:rPr>
                <w:rFonts w:cstheme="minorHAnsi"/>
                <w:szCs w:val="24"/>
              </w:rPr>
              <w:t xml:space="preserve">Latvijas pielāgošanās klimata pārmaiņām plāns laika posmam līdz 2030.gadam </w:t>
            </w:r>
          </w:p>
        </w:tc>
      </w:tr>
      <w:tr w:rsidR="00DD44D5" w:rsidRPr="000869FB" w14:paraId="7010E162" w14:textId="77777777" w:rsidTr="005C0161">
        <w:trPr>
          <w:trHeight w:val="278"/>
          <w:jc w:val="center"/>
        </w:trPr>
        <w:tc>
          <w:tcPr>
            <w:tcW w:w="1271" w:type="dxa"/>
            <w:tcMar>
              <w:left w:w="28" w:type="dxa"/>
              <w:right w:w="28" w:type="dxa"/>
            </w:tcMar>
            <w:vAlign w:val="center"/>
            <w:hideMark/>
          </w:tcPr>
          <w:p w14:paraId="4810D3FC" w14:textId="77777777" w:rsidR="00DD44D5" w:rsidRPr="000869FB" w:rsidRDefault="00DD44D5" w:rsidP="00DD44D5">
            <w:pPr>
              <w:spacing w:after="0" w:line="240" w:lineRule="auto"/>
              <w:rPr>
                <w:rFonts w:eastAsia="Times New Roman" w:cstheme="minorHAnsi"/>
                <w:szCs w:val="24"/>
              </w:rPr>
            </w:pPr>
            <w:r w:rsidRPr="000869FB">
              <w:rPr>
                <w:rFonts w:eastAsia="Calibri" w:cstheme="minorHAnsi"/>
                <w:szCs w:val="24"/>
              </w:rPr>
              <w:t>LPS</w:t>
            </w:r>
          </w:p>
        </w:tc>
        <w:tc>
          <w:tcPr>
            <w:tcW w:w="8647" w:type="dxa"/>
            <w:tcMar>
              <w:left w:w="28" w:type="dxa"/>
              <w:right w:w="28" w:type="dxa"/>
            </w:tcMar>
            <w:vAlign w:val="center"/>
            <w:hideMark/>
          </w:tcPr>
          <w:p w14:paraId="48A15399"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Latvijas Pašvaldību savienība</w:t>
            </w:r>
          </w:p>
        </w:tc>
      </w:tr>
      <w:tr w:rsidR="00DD44D5" w:rsidRPr="000869FB" w14:paraId="15EBC06E" w14:textId="77777777" w:rsidTr="005C0161">
        <w:trPr>
          <w:trHeight w:val="278"/>
          <w:jc w:val="center"/>
        </w:trPr>
        <w:tc>
          <w:tcPr>
            <w:tcW w:w="1271" w:type="dxa"/>
            <w:tcMar>
              <w:left w:w="28" w:type="dxa"/>
              <w:right w:w="28" w:type="dxa"/>
            </w:tcMar>
            <w:vAlign w:val="center"/>
          </w:tcPr>
          <w:p w14:paraId="52A34D68"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lastRenderedPageBreak/>
              <w:t>LRRAEJ</w:t>
            </w:r>
          </w:p>
        </w:tc>
        <w:tc>
          <w:tcPr>
            <w:tcW w:w="8647" w:type="dxa"/>
            <w:tcMar>
              <w:left w:w="28" w:type="dxa"/>
              <w:right w:w="28" w:type="dxa"/>
            </w:tcMar>
            <w:vAlign w:val="center"/>
          </w:tcPr>
          <w:p w14:paraId="5DDD82B2"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Latvijas Republikas Rīcība atjaunojamās enerģijas jomā Eiropas Parlamenta un Padomes 2009. gada 23. aprīļa direktīvas 2009/28/EK par atjaunojamo energoresursu izmantošanas veicināšanu un ar ko groza un sekojoši atceļ Direktīvas 2001/77/EK un 2003/30/EK ieviešanai līdz 2020. gadam</w:t>
            </w:r>
          </w:p>
        </w:tc>
      </w:tr>
      <w:tr w:rsidR="00DD44D5" w:rsidRPr="000869FB" w14:paraId="253375EB" w14:textId="77777777" w:rsidTr="005C0161">
        <w:trPr>
          <w:trHeight w:val="278"/>
          <w:jc w:val="center"/>
        </w:trPr>
        <w:tc>
          <w:tcPr>
            <w:tcW w:w="1271" w:type="dxa"/>
            <w:tcMar>
              <w:left w:w="28" w:type="dxa"/>
              <w:right w:w="28" w:type="dxa"/>
            </w:tcMar>
            <w:vAlign w:val="center"/>
          </w:tcPr>
          <w:p w14:paraId="104206AB"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LSA</w:t>
            </w:r>
          </w:p>
        </w:tc>
        <w:tc>
          <w:tcPr>
            <w:tcW w:w="8647" w:type="dxa"/>
            <w:tcMar>
              <w:left w:w="28" w:type="dxa"/>
              <w:right w:w="28" w:type="dxa"/>
            </w:tcMar>
            <w:vAlign w:val="center"/>
          </w:tcPr>
          <w:p w14:paraId="50068545"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Lokālā siltumapgāde – autonoma ražotāja, valsts vai pašvaldības iestāžu īpašumā esoša siltumapgādes sistēma, kas nodrošina siltumenerģiju paša vajadzībām un citiem enerģijas lietotājiem, kuriem siltumenerģija tiek sadalīta un piegādāta no siltumavota pa sadales siltumtīkliem vai bez tiem (Enerģētikas likums)</w:t>
            </w:r>
          </w:p>
        </w:tc>
      </w:tr>
      <w:tr w:rsidR="00DD44D5" w:rsidRPr="000869FB" w14:paraId="3031E4B1" w14:textId="77777777" w:rsidTr="005C0161">
        <w:trPr>
          <w:trHeight w:val="278"/>
          <w:jc w:val="center"/>
        </w:trPr>
        <w:tc>
          <w:tcPr>
            <w:tcW w:w="1271" w:type="dxa"/>
            <w:tcMar>
              <w:left w:w="28" w:type="dxa"/>
              <w:right w:w="28" w:type="dxa"/>
            </w:tcMar>
            <w:vAlign w:val="center"/>
            <w:hideMark/>
          </w:tcPr>
          <w:p w14:paraId="423F87A5" w14:textId="77777777" w:rsidR="00DD44D5" w:rsidRPr="000869FB" w:rsidRDefault="00DD44D5" w:rsidP="00DD44D5">
            <w:pPr>
              <w:spacing w:after="0" w:line="240" w:lineRule="auto"/>
              <w:rPr>
                <w:rFonts w:eastAsia="Times New Roman" w:cstheme="minorHAnsi"/>
                <w:szCs w:val="24"/>
              </w:rPr>
            </w:pPr>
            <w:r w:rsidRPr="000869FB">
              <w:rPr>
                <w:rFonts w:cstheme="minorHAnsi"/>
                <w:szCs w:val="24"/>
              </w:rPr>
              <w:t>LU</w:t>
            </w:r>
          </w:p>
        </w:tc>
        <w:tc>
          <w:tcPr>
            <w:tcW w:w="8647" w:type="dxa"/>
            <w:tcMar>
              <w:left w:w="28" w:type="dxa"/>
              <w:right w:w="28" w:type="dxa"/>
            </w:tcMar>
            <w:vAlign w:val="center"/>
            <w:hideMark/>
          </w:tcPr>
          <w:p w14:paraId="1A43A587" w14:textId="77777777" w:rsidR="00DD44D5" w:rsidRPr="000869FB" w:rsidRDefault="00DD44D5" w:rsidP="00560FA1">
            <w:pPr>
              <w:spacing w:after="0" w:line="240" w:lineRule="auto"/>
              <w:rPr>
                <w:rFonts w:cstheme="minorHAnsi"/>
                <w:szCs w:val="24"/>
              </w:rPr>
            </w:pPr>
            <w:r w:rsidRPr="000869FB">
              <w:rPr>
                <w:rFonts w:eastAsia="Calibri" w:cstheme="minorHAnsi"/>
                <w:szCs w:val="24"/>
              </w:rPr>
              <w:t>Latvijas Universitāte</w:t>
            </w:r>
          </w:p>
        </w:tc>
      </w:tr>
      <w:tr w:rsidR="00DD44D5" w:rsidRPr="000869FB" w14:paraId="74D14E80" w14:textId="77777777" w:rsidTr="005C0161">
        <w:trPr>
          <w:trHeight w:val="278"/>
          <w:jc w:val="center"/>
        </w:trPr>
        <w:tc>
          <w:tcPr>
            <w:tcW w:w="1271" w:type="dxa"/>
            <w:tcMar>
              <w:left w:w="28" w:type="dxa"/>
              <w:right w:w="28" w:type="dxa"/>
            </w:tcMar>
            <w:vAlign w:val="center"/>
          </w:tcPr>
          <w:p w14:paraId="59B5EC0D"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MFF2027</w:t>
            </w:r>
          </w:p>
        </w:tc>
        <w:tc>
          <w:tcPr>
            <w:tcW w:w="8647" w:type="dxa"/>
            <w:tcMar>
              <w:left w:w="28" w:type="dxa"/>
              <w:right w:w="28" w:type="dxa"/>
            </w:tcMar>
            <w:vAlign w:val="center"/>
          </w:tcPr>
          <w:p w14:paraId="332D8843"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ES daudzgadu budžets 2021.-2027.gadam</w:t>
            </w:r>
          </w:p>
        </w:tc>
      </w:tr>
      <w:tr w:rsidR="00DD44D5" w:rsidRPr="000869FB" w14:paraId="79F23EA7" w14:textId="77777777" w:rsidTr="005C0161">
        <w:trPr>
          <w:trHeight w:val="278"/>
          <w:jc w:val="center"/>
        </w:trPr>
        <w:tc>
          <w:tcPr>
            <w:tcW w:w="1271" w:type="dxa"/>
            <w:tcMar>
              <w:left w:w="28" w:type="dxa"/>
              <w:right w:w="28" w:type="dxa"/>
            </w:tcMar>
            <w:vAlign w:val="center"/>
            <w:hideMark/>
          </w:tcPr>
          <w:p w14:paraId="1CBD6E60"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MK</w:t>
            </w:r>
          </w:p>
        </w:tc>
        <w:tc>
          <w:tcPr>
            <w:tcW w:w="8647" w:type="dxa"/>
            <w:tcMar>
              <w:left w:w="28" w:type="dxa"/>
              <w:right w:w="28" w:type="dxa"/>
            </w:tcMar>
            <w:vAlign w:val="center"/>
            <w:hideMark/>
          </w:tcPr>
          <w:p w14:paraId="2A4025AE"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Ministru kabinets</w:t>
            </w:r>
          </w:p>
        </w:tc>
      </w:tr>
      <w:tr w:rsidR="00DD44D5" w:rsidRPr="000869FB" w14:paraId="33FFEA74" w14:textId="77777777" w:rsidTr="005C0161">
        <w:trPr>
          <w:trHeight w:val="278"/>
          <w:jc w:val="center"/>
        </w:trPr>
        <w:tc>
          <w:tcPr>
            <w:tcW w:w="1271" w:type="dxa"/>
            <w:tcMar>
              <w:left w:w="28" w:type="dxa"/>
              <w:right w:w="28" w:type="dxa"/>
            </w:tcMar>
            <w:vAlign w:val="center"/>
          </w:tcPr>
          <w:p w14:paraId="35AEC414"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NIPP2020</w:t>
            </w:r>
          </w:p>
        </w:tc>
        <w:tc>
          <w:tcPr>
            <w:tcW w:w="8647" w:type="dxa"/>
            <w:tcMar>
              <w:left w:w="28" w:type="dxa"/>
              <w:right w:w="28" w:type="dxa"/>
            </w:tcMar>
            <w:vAlign w:val="center"/>
          </w:tcPr>
          <w:p w14:paraId="0CA51414"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Nacionālās industriālās politikas pamatnostādnes 2014-2020</w:t>
            </w:r>
          </w:p>
        </w:tc>
      </w:tr>
      <w:tr w:rsidR="00DD44D5" w:rsidRPr="000869FB" w14:paraId="7CA81C21" w14:textId="77777777" w:rsidTr="005C0161">
        <w:trPr>
          <w:trHeight w:val="278"/>
          <w:jc w:val="center"/>
        </w:trPr>
        <w:tc>
          <w:tcPr>
            <w:tcW w:w="1271" w:type="dxa"/>
            <w:tcMar>
              <w:left w:w="28" w:type="dxa"/>
              <w:right w:w="28" w:type="dxa"/>
            </w:tcMar>
            <w:vAlign w:val="center"/>
            <w:hideMark/>
          </w:tcPr>
          <w:p w14:paraId="7BD23DE7" w14:textId="77777777" w:rsidR="00DD44D5" w:rsidRPr="000869FB" w:rsidRDefault="00DD44D5" w:rsidP="00DD44D5">
            <w:pPr>
              <w:spacing w:after="0" w:line="240" w:lineRule="auto"/>
              <w:rPr>
                <w:rFonts w:cstheme="minorHAnsi"/>
                <w:szCs w:val="24"/>
              </w:rPr>
            </w:pPr>
            <w:r w:rsidRPr="000869FB">
              <w:rPr>
                <w:rFonts w:cstheme="minorHAnsi"/>
                <w:szCs w:val="24"/>
              </w:rPr>
              <w:t>NVO</w:t>
            </w:r>
          </w:p>
        </w:tc>
        <w:tc>
          <w:tcPr>
            <w:tcW w:w="8647" w:type="dxa"/>
            <w:tcMar>
              <w:left w:w="28" w:type="dxa"/>
              <w:right w:w="28" w:type="dxa"/>
            </w:tcMar>
            <w:vAlign w:val="center"/>
            <w:hideMark/>
          </w:tcPr>
          <w:p w14:paraId="4B9DB7FC" w14:textId="77777777" w:rsidR="00DD44D5" w:rsidRPr="000869FB" w:rsidRDefault="00DD44D5" w:rsidP="00560FA1">
            <w:pPr>
              <w:spacing w:after="0" w:line="240" w:lineRule="auto"/>
              <w:rPr>
                <w:rFonts w:cstheme="minorHAnsi"/>
                <w:szCs w:val="24"/>
              </w:rPr>
            </w:pPr>
            <w:r w:rsidRPr="000869FB">
              <w:rPr>
                <w:rFonts w:cstheme="minorHAnsi"/>
                <w:szCs w:val="24"/>
              </w:rPr>
              <w:t>Nevalstiskās organizācijas</w:t>
            </w:r>
          </w:p>
        </w:tc>
      </w:tr>
      <w:tr w:rsidR="00DD44D5" w:rsidRPr="000869FB" w14:paraId="621A1549" w14:textId="77777777" w:rsidTr="005C0161">
        <w:trPr>
          <w:trHeight w:val="278"/>
          <w:jc w:val="center"/>
        </w:trPr>
        <w:tc>
          <w:tcPr>
            <w:tcW w:w="1271" w:type="dxa"/>
            <w:tcMar>
              <w:left w:w="28" w:type="dxa"/>
              <w:right w:w="28" w:type="dxa"/>
            </w:tcMar>
            <w:vAlign w:val="center"/>
          </w:tcPr>
          <w:p w14:paraId="58AA1D1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OIK</w:t>
            </w:r>
          </w:p>
        </w:tc>
        <w:tc>
          <w:tcPr>
            <w:tcW w:w="8647" w:type="dxa"/>
            <w:tcMar>
              <w:left w:w="28" w:type="dxa"/>
              <w:right w:w="28" w:type="dxa"/>
            </w:tcMar>
            <w:vAlign w:val="center"/>
          </w:tcPr>
          <w:p w14:paraId="112C0DCC"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Obligātā iepirkuma komponente</w:t>
            </w:r>
          </w:p>
        </w:tc>
      </w:tr>
      <w:tr w:rsidR="00DD44D5" w:rsidRPr="000869FB" w14:paraId="548951F8" w14:textId="77777777" w:rsidTr="005C0161">
        <w:trPr>
          <w:trHeight w:val="264"/>
          <w:jc w:val="center"/>
        </w:trPr>
        <w:tc>
          <w:tcPr>
            <w:tcW w:w="1271" w:type="dxa"/>
            <w:tcMar>
              <w:left w:w="28" w:type="dxa"/>
              <w:right w:w="28" w:type="dxa"/>
            </w:tcMar>
            <w:vAlign w:val="center"/>
          </w:tcPr>
          <w:p w14:paraId="1DAF8AFB"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P&amp;A</w:t>
            </w:r>
          </w:p>
        </w:tc>
        <w:tc>
          <w:tcPr>
            <w:tcW w:w="8647" w:type="dxa"/>
            <w:tcMar>
              <w:left w:w="28" w:type="dxa"/>
              <w:right w:w="28" w:type="dxa"/>
            </w:tcMar>
            <w:vAlign w:val="center"/>
          </w:tcPr>
          <w:p w14:paraId="72738384" w14:textId="77777777" w:rsidR="00DD44D5" w:rsidRPr="000869FB" w:rsidRDefault="00DD44D5" w:rsidP="00560FA1">
            <w:pPr>
              <w:spacing w:after="0" w:line="240" w:lineRule="auto"/>
              <w:jc w:val="both"/>
              <w:rPr>
                <w:rFonts w:eastAsia="Calibri" w:cstheme="minorHAnsi"/>
                <w:szCs w:val="24"/>
              </w:rPr>
            </w:pPr>
            <w:r w:rsidRPr="000869FB">
              <w:rPr>
                <w:rFonts w:eastAsia="Calibri" w:cstheme="minorHAnsi"/>
                <w:szCs w:val="24"/>
              </w:rPr>
              <w:t>Pētniecība un attīstība</w:t>
            </w:r>
          </w:p>
        </w:tc>
      </w:tr>
      <w:tr w:rsidR="00DD44D5" w:rsidRPr="000869FB" w14:paraId="46FA9D96" w14:textId="77777777" w:rsidTr="005C0161">
        <w:trPr>
          <w:trHeight w:val="264"/>
          <w:jc w:val="center"/>
        </w:trPr>
        <w:tc>
          <w:tcPr>
            <w:tcW w:w="1271" w:type="dxa"/>
            <w:tcMar>
              <w:left w:w="28" w:type="dxa"/>
              <w:right w:w="28" w:type="dxa"/>
            </w:tcMar>
            <w:vAlign w:val="center"/>
          </w:tcPr>
          <w:p w14:paraId="331A6A0A"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P&amp;I</w:t>
            </w:r>
          </w:p>
        </w:tc>
        <w:tc>
          <w:tcPr>
            <w:tcW w:w="8647" w:type="dxa"/>
            <w:tcMar>
              <w:left w:w="28" w:type="dxa"/>
              <w:right w:w="28" w:type="dxa"/>
            </w:tcMar>
            <w:vAlign w:val="center"/>
          </w:tcPr>
          <w:p w14:paraId="1762DE66" w14:textId="77777777" w:rsidR="00DD44D5" w:rsidRPr="000869FB" w:rsidRDefault="00DD44D5" w:rsidP="00560FA1">
            <w:pPr>
              <w:spacing w:after="0" w:line="240" w:lineRule="auto"/>
              <w:jc w:val="both"/>
              <w:rPr>
                <w:rFonts w:eastAsia="Calibri" w:cstheme="minorHAnsi"/>
                <w:szCs w:val="24"/>
              </w:rPr>
            </w:pPr>
            <w:r w:rsidRPr="000869FB">
              <w:rPr>
                <w:rFonts w:eastAsia="Calibri" w:cstheme="minorHAnsi"/>
                <w:szCs w:val="24"/>
              </w:rPr>
              <w:t>Pētniecība un inovācijas</w:t>
            </w:r>
          </w:p>
        </w:tc>
      </w:tr>
      <w:tr w:rsidR="00DD44D5" w:rsidRPr="000869FB" w14:paraId="0477FAE1" w14:textId="77777777" w:rsidTr="005C0161">
        <w:trPr>
          <w:trHeight w:val="278"/>
          <w:jc w:val="center"/>
        </w:trPr>
        <w:tc>
          <w:tcPr>
            <w:tcW w:w="1271" w:type="dxa"/>
            <w:tcMar>
              <w:left w:w="28" w:type="dxa"/>
              <w:right w:w="28" w:type="dxa"/>
            </w:tcMar>
            <w:vAlign w:val="center"/>
            <w:hideMark/>
          </w:tcPr>
          <w:p w14:paraId="177C559E" w14:textId="77777777" w:rsidR="00DD44D5" w:rsidRPr="000869FB" w:rsidRDefault="00DD44D5" w:rsidP="00DD44D5">
            <w:pPr>
              <w:spacing w:after="0" w:line="240" w:lineRule="auto"/>
              <w:rPr>
                <w:rFonts w:eastAsia="TimesNewRoman" w:cstheme="minorHAnsi"/>
                <w:szCs w:val="24"/>
              </w:rPr>
            </w:pPr>
            <w:r w:rsidRPr="000869FB">
              <w:rPr>
                <w:rFonts w:eastAsia="TimesNewRoman" w:cstheme="minorHAnsi"/>
                <w:szCs w:val="24"/>
              </w:rPr>
              <w:t>PKC</w:t>
            </w:r>
          </w:p>
        </w:tc>
        <w:tc>
          <w:tcPr>
            <w:tcW w:w="8647" w:type="dxa"/>
            <w:tcMar>
              <w:left w:w="28" w:type="dxa"/>
              <w:right w:w="28" w:type="dxa"/>
            </w:tcMar>
            <w:vAlign w:val="center"/>
            <w:hideMark/>
          </w:tcPr>
          <w:p w14:paraId="17ED44E0" w14:textId="77777777" w:rsidR="00DD44D5" w:rsidRPr="000869FB" w:rsidRDefault="00DD44D5" w:rsidP="00560FA1">
            <w:pPr>
              <w:spacing w:after="0" w:line="240" w:lineRule="auto"/>
              <w:jc w:val="both"/>
              <w:rPr>
                <w:rFonts w:eastAsia="Times New Roman" w:cstheme="minorHAnsi"/>
                <w:szCs w:val="24"/>
              </w:rPr>
            </w:pPr>
            <w:r w:rsidRPr="000869FB">
              <w:rPr>
                <w:rFonts w:cstheme="minorHAnsi"/>
                <w:szCs w:val="24"/>
              </w:rPr>
              <w:t>Pārresoru koordinācijas centrs</w:t>
            </w:r>
          </w:p>
        </w:tc>
      </w:tr>
      <w:tr w:rsidR="00DD44D5" w:rsidRPr="000869FB" w14:paraId="53A9DD55" w14:textId="77777777" w:rsidTr="005C0161">
        <w:trPr>
          <w:trHeight w:val="278"/>
          <w:jc w:val="center"/>
        </w:trPr>
        <w:tc>
          <w:tcPr>
            <w:tcW w:w="1271" w:type="dxa"/>
            <w:tcMar>
              <w:left w:w="28" w:type="dxa"/>
              <w:right w:w="28" w:type="dxa"/>
            </w:tcMar>
            <w:vAlign w:val="center"/>
          </w:tcPr>
          <w:p w14:paraId="09E03161" w14:textId="77777777" w:rsidR="00DD44D5" w:rsidRPr="000869FB" w:rsidRDefault="00DD44D5" w:rsidP="00DD44D5">
            <w:pPr>
              <w:spacing w:after="0" w:line="240" w:lineRule="auto"/>
              <w:rPr>
                <w:rFonts w:eastAsia="TimesNewRoman" w:cstheme="minorHAnsi"/>
                <w:szCs w:val="24"/>
              </w:rPr>
            </w:pPr>
            <w:r w:rsidRPr="000869FB">
              <w:rPr>
                <w:rFonts w:eastAsia="TimesNewRoman" w:cstheme="minorHAnsi"/>
                <w:szCs w:val="24"/>
              </w:rPr>
              <w:t>PSO</w:t>
            </w:r>
          </w:p>
        </w:tc>
        <w:tc>
          <w:tcPr>
            <w:tcW w:w="8647" w:type="dxa"/>
            <w:tcMar>
              <w:left w:w="28" w:type="dxa"/>
              <w:right w:w="28" w:type="dxa"/>
            </w:tcMar>
            <w:vAlign w:val="center"/>
          </w:tcPr>
          <w:p w14:paraId="78D30D15" w14:textId="77777777" w:rsidR="00DD44D5" w:rsidRPr="000869FB" w:rsidRDefault="00DD44D5" w:rsidP="00560FA1">
            <w:pPr>
              <w:spacing w:after="0" w:line="240" w:lineRule="auto"/>
              <w:jc w:val="both"/>
              <w:rPr>
                <w:rFonts w:cstheme="minorHAnsi"/>
                <w:szCs w:val="24"/>
              </w:rPr>
            </w:pPr>
            <w:r w:rsidRPr="000869FB">
              <w:rPr>
                <w:rFonts w:cstheme="minorHAnsi"/>
                <w:szCs w:val="24"/>
              </w:rPr>
              <w:t>Pārvades sistēmas operators</w:t>
            </w:r>
          </w:p>
        </w:tc>
      </w:tr>
      <w:tr w:rsidR="00DD44D5" w:rsidRPr="000869FB" w14:paraId="0074239A" w14:textId="77777777" w:rsidTr="005C0161">
        <w:trPr>
          <w:trHeight w:val="278"/>
          <w:jc w:val="center"/>
        </w:trPr>
        <w:tc>
          <w:tcPr>
            <w:tcW w:w="1271" w:type="dxa"/>
            <w:tcMar>
              <w:left w:w="28" w:type="dxa"/>
              <w:right w:w="28" w:type="dxa"/>
            </w:tcMar>
            <w:vAlign w:val="center"/>
          </w:tcPr>
          <w:p w14:paraId="369CE5B7" w14:textId="77777777" w:rsidR="00DD44D5" w:rsidRPr="000869FB" w:rsidRDefault="00DD44D5" w:rsidP="00DD44D5">
            <w:pPr>
              <w:spacing w:after="0" w:line="240" w:lineRule="auto"/>
              <w:rPr>
                <w:rFonts w:eastAsia="TimesNewRoman" w:cstheme="minorHAnsi"/>
                <w:szCs w:val="24"/>
              </w:rPr>
            </w:pPr>
            <w:r w:rsidRPr="000869FB">
              <w:rPr>
                <w:rFonts w:eastAsia="TimesNewRoman" w:cstheme="minorHAnsi"/>
                <w:szCs w:val="24"/>
              </w:rPr>
              <w:t>PVN</w:t>
            </w:r>
          </w:p>
        </w:tc>
        <w:tc>
          <w:tcPr>
            <w:tcW w:w="8647" w:type="dxa"/>
            <w:tcMar>
              <w:left w:w="28" w:type="dxa"/>
              <w:right w:w="28" w:type="dxa"/>
            </w:tcMar>
            <w:vAlign w:val="center"/>
          </w:tcPr>
          <w:p w14:paraId="3C255D2C" w14:textId="77777777" w:rsidR="00DD44D5" w:rsidRPr="000869FB" w:rsidRDefault="00DD44D5" w:rsidP="00560FA1">
            <w:pPr>
              <w:spacing w:after="0" w:line="240" w:lineRule="auto"/>
              <w:jc w:val="both"/>
              <w:rPr>
                <w:rFonts w:cstheme="minorHAnsi"/>
                <w:szCs w:val="24"/>
              </w:rPr>
            </w:pPr>
            <w:r w:rsidRPr="000869FB">
              <w:rPr>
                <w:rFonts w:cstheme="minorHAnsi"/>
                <w:szCs w:val="24"/>
              </w:rPr>
              <w:t>Pievienotās vērtības nodoklis</w:t>
            </w:r>
          </w:p>
        </w:tc>
      </w:tr>
      <w:tr w:rsidR="00DD44D5" w:rsidRPr="000869FB" w14:paraId="07E7265E" w14:textId="77777777" w:rsidTr="005C0161">
        <w:trPr>
          <w:trHeight w:val="278"/>
          <w:jc w:val="center"/>
        </w:trPr>
        <w:tc>
          <w:tcPr>
            <w:tcW w:w="1271" w:type="dxa"/>
            <w:tcMar>
              <w:left w:w="28" w:type="dxa"/>
              <w:right w:w="28" w:type="dxa"/>
            </w:tcMar>
            <w:vAlign w:val="center"/>
            <w:hideMark/>
          </w:tcPr>
          <w:p w14:paraId="02866A6B"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SEG</w:t>
            </w:r>
          </w:p>
        </w:tc>
        <w:tc>
          <w:tcPr>
            <w:tcW w:w="8647" w:type="dxa"/>
            <w:tcMar>
              <w:left w:w="28" w:type="dxa"/>
              <w:right w:w="28" w:type="dxa"/>
            </w:tcMar>
            <w:vAlign w:val="center"/>
            <w:hideMark/>
          </w:tcPr>
          <w:p w14:paraId="79AD496F"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Siltumnīcefekta gāzes</w:t>
            </w:r>
          </w:p>
        </w:tc>
      </w:tr>
      <w:tr w:rsidR="00DD44D5" w:rsidRPr="000869FB" w14:paraId="70B1407E" w14:textId="77777777" w:rsidTr="005C0161">
        <w:trPr>
          <w:trHeight w:val="278"/>
          <w:jc w:val="center"/>
        </w:trPr>
        <w:tc>
          <w:tcPr>
            <w:tcW w:w="1271" w:type="dxa"/>
            <w:tcMar>
              <w:left w:w="28" w:type="dxa"/>
              <w:right w:w="28" w:type="dxa"/>
            </w:tcMar>
            <w:vAlign w:val="center"/>
            <w:hideMark/>
          </w:tcPr>
          <w:p w14:paraId="49B792D4"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SM</w:t>
            </w:r>
          </w:p>
        </w:tc>
        <w:tc>
          <w:tcPr>
            <w:tcW w:w="8647" w:type="dxa"/>
            <w:tcMar>
              <w:left w:w="28" w:type="dxa"/>
              <w:right w:w="28" w:type="dxa"/>
            </w:tcMar>
            <w:vAlign w:val="center"/>
            <w:hideMark/>
          </w:tcPr>
          <w:p w14:paraId="2288AF13"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Satiksmes ministrija</w:t>
            </w:r>
          </w:p>
        </w:tc>
      </w:tr>
      <w:tr w:rsidR="00DD44D5" w:rsidRPr="000869FB" w14:paraId="04DC1A1F" w14:textId="77777777" w:rsidTr="005C0161">
        <w:trPr>
          <w:trHeight w:val="278"/>
          <w:jc w:val="center"/>
        </w:trPr>
        <w:tc>
          <w:tcPr>
            <w:tcW w:w="1271" w:type="dxa"/>
            <w:tcMar>
              <w:left w:w="28" w:type="dxa"/>
              <w:right w:w="28" w:type="dxa"/>
            </w:tcMar>
            <w:vAlign w:val="center"/>
          </w:tcPr>
          <w:p w14:paraId="5B0424B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SPRK</w:t>
            </w:r>
          </w:p>
        </w:tc>
        <w:tc>
          <w:tcPr>
            <w:tcW w:w="8647" w:type="dxa"/>
            <w:tcMar>
              <w:left w:w="28" w:type="dxa"/>
              <w:right w:w="28" w:type="dxa"/>
            </w:tcMar>
            <w:vAlign w:val="center"/>
          </w:tcPr>
          <w:p w14:paraId="4902A0B5"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Sabiedrisko pakalpojumu regulēšanas komisija</w:t>
            </w:r>
          </w:p>
        </w:tc>
      </w:tr>
      <w:tr w:rsidR="00DD44D5" w:rsidRPr="000869FB" w14:paraId="43A6492C" w14:textId="77777777" w:rsidTr="005C0161">
        <w:trPr>
          <w:trHeight w:val="278"/>
          <w:jc w:val="center"/>
        </w:trPr>
        <w:tc>
          <w:tcPr>
            <w:tcW w:w="1271" w:type="dxa"/>
            <w:tcMar>
              <w:left w:w="28" w:type="dxa"/>
              <w:right w:w="28" w:type="dxa"/>
            </w:tcMar>
            <w:vAlign w:val="center"/>
          </w:tcPr>
          <w:p w14:paraId="13B73F61"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TEN</w:t>
            </w:r>
          </w:p>
        </w:tc>
        <w:tc>
          <w:tcPr>
            <w:tcW w:w="8647" w:type="dxa"/>
            <w:tcMar>
              <w:left w:w="28" w:type="dxa"/>
              <w:right w:w="28" w:type="dxa"/>
            </w:tcMar>
            <w:vAlign w:val="center"/>
          </w:tcPr>
          <w:p w14:paraId="78071B11"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Transportlīdzekļa ekspluatācijas nodoklis</w:t>
            </w:r>
          </w:p>
        </w:tc>
      </w:tr>
      <w:tr w:rsidR="00DD44D5" w:rsidRPr="000869FB" w14:paraId="5B53AB39" w14:textId="77777777" w:rsidTr="005C0161">
        <w:trPr>
          <w:trHeight w:val="264"/>
          <w:jc w:val="center"/>
        </w:trPr>
        <w:tc>
          <w:tcPr>
            <w:tcW w:w="1271" w:type="dxa"/>
            <w:tcMar>
              <w:left w:w="28" w:type="dxa"/>
              <w:right w:w="28" w:type="dxa"/>
            </w:tcMar>
            <w:vAlign w:val="center"/>
            <w:hideMark/>
          </w:tcPr>
          <w:p w14:paraId="5D51E956"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VARAM</w:t>
            </w:r>
          </w:p>
        </w:tc>
        <w:tc>
          <w:tcPr>
            <w:tcW w:w="8647" w:type="dxa"/>
            <w:tcMar>
              <w:left w:w="28" w:type="dxa"/>
              <w:right w:w="28" w:type="dxa"/>
            </w:tcMar>
            <w:vAlign w:val="center"/>
            <w:hideMark/>
          </w:tcPr>
          <w:p w14:paraId="2A71659B"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Vides aizsardzības un reģionālās attīstības ministrija</w:t>
            </w:r>
          </w:p>
        </w:tc>
      </w:tr>
      <w:tr w:rsidR="00DD44D5" w:rsidRPr="000869FB" w14:paraId="62035F2F" w14:textId="77777777" w:rsidTr="005C0161">
        <w:trPr>
          <w:trHeight w:val="264"/>
          <w:jc w:val="center"/>
        </w:trPr>
        <w:tc>
          <w:tcPr>
            <w:tcW w:w="1271" w:type="dxa"/>
            <w:tcMar>
              <w:left w:w="28" w:type="dxa"/>
              <w:right w:w="28" w:type="dxa"/>
            </w:tcMar>
            <w:vAlign w:val="center"/>
          </w:tcPr>
          <w:p w14:paraId="33DC8139"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VES</w:t>
            </w:r>
          </w:p>
        </w:tc>
        <w:tc>
          <w:tcPr>
            <w:tcW w:w="8647" w:type="dxa"/>
            <w:tcMar>
              <w:left w:w="28" w:type="dxa"/>
              <w:right w:w="28" w:type="dxa"/>
            </w:tcMar>
            <w:vAlign w:val="center"/>
          </w:tcPr>
          <w:p w14:paraId="2D56478B"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Vēja elektrostacijas</w:t>
            </w:r>
          </w:p>
        </w:tc>
      </w:tr>
      <w:tr w:rsidR="00DD44D5" w:rsidRPr="000869FB" w14:paraId="01E27385" w14:textId="77777777" w:rsidTr="005C0161">
        <w:trPr>
          <w:trHeight w:val="278"/>
          <w:jc w:val="center"/>
        </w:trPr>
        <w:tc>
          <w:tcPr>
            <w:tcW w:w="1271" w:type="dxa"/>
            <w:tcMar>
              <w:left w:w="28" w:type="dxa"/>
              <w:right w:w="28" w:type="dxa"/>
            </w:tcMar>
            <w:vAlign w:val="center"/>
          </w:tcPr>
          <w:p w14:paraId="3667770D"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VPP</w:t>
            </w:r>
          </w:p>
        </w:tc>
        <w:tc>
          <w:tcPr>
            <w:tcW w:w="8647" w:type="dxa"/>
            <w:tcMar>
              <w:left w:w="28" w:type="dxa"/>
              <w:right w:w="28" w:type="dxa"/>
            </w:tcMar>
            <w:vAlign w:val="center"/>
          </w:tcPr>
          <w:p w14:paraId="3A4EF38E"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Valsts pētījumu programma</w:t>
            </w:r>
          </w:p>
        </w:tc>
      </w:tr>
      <w:tr w:rsidR="00DD44D5" w:rsidRPr="000869FB" w14:paraId="08EC1001" w14:textId="77777777" w:rsidTr="005C0161">
        <w:trPr>
          <w:trHeight w:val="278"/>
          <w:jc w:val="center"/>
        </w:trPr>
        <w:tc>
          <w:tcPr>
            <w:tcW w:w="1271" w:type="dxa"/>
            <w:tcMar>
              <w:left w:w="28" w:type="dxa"/>
              <w:right w:w="28" w:type="dxa"/>
            </w:tcMar>
            <w:vAlign w:val="center"/>
          </w:tcPr>
          <w:p w14:paraId="16BE6599"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ZIZIMM</w:t>
            </w:r>
          </w:p>
        </w:tc>
        <w:tc>
          <w:tcPr>
            <w:tcW w:w="8647" w:type="dxa"/>
            <w:tcMar>
              <w:left w:w="28" w:type="dxa"/>
              <w:right w:w="28" w:type="dxa"/>
            </w:tcMar>
            <w:vAlign w:val="center"/>
          </w:tcPr>
          <w:p w14:paraId="214C5881"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Zemes izmantošana, zemes izmantošanas maiņa un mežsaimniecība</w:t>
            </w:r>
          </w:p>
        </w:tc>
      </w:tr>
      <w:tr w:rsidR="00DD44D5" w:rsidRPr="000869FB" w14:paraId="700FAFAD" w14:textId="77777777" w:rsidTr="005C0161">
        <w:trPr>
          <w:trHeight w:val="278"/>
          <w:jc w:val="center"/>
        </w:trPr>
        <w:tc>
          <w:tcPr>
            <w:tcW w:w="1271" w:type="dxa"/>
            <w:tcMar>
              <w:left w:w="28" w:type="dxa"/>
              <w:right w:w="28" w:type="dxa"/>
            </w:tcMar>
            <w:vAlign w:val="center"/>
            <w:hideMark/>
          </w:tcPr>
          <w:p w14:paraId="632EA03F" w14:textId="77777777" w:rsidR="00DD44D5" w:rsidRPr="000869FB" w:rsidRDefault="00DD44D5" w:rsidP="00DD44D5">
            <w:pPr>
              <w:spacing w:after="0" w:line="240" w:lineRule="auto"/>
              <w:rPr>
                <w:rFonts w:eastAsia="Calibri" w:cstheme="minorHAnsi"/>
                <w:szCs w:val="24"/>
              </w:rPr>
            </w:pPr>
            <w:r w:rsidRPr="000869FB">
              <w:rPr>
                <w:rFonts w:eastAsia="Calibri" w:cstheme="minorHAnsi"/>
                <w:szCs w:val="24"/>
              </w:rPr>
              <w:t>ZM</w:t>
            </w:r>
          </w:p>
        </w:tc>
        <w:tc>
          <w:tcPr>
            <w:tcW w:w="8647" w:type="dxa"/>
            <w:tcMar>
              <w:left w:w="28" w:type="dxa"/>
              <w:right w:w="28" w:type="dxa"/>
            </w:tcMar>
            <w:vAlign w:val="center"/>
            <w:hideMark/>
          </w:tcPr>
          <w:p w14:paraId="0EC67F56" w14:textId="77777777" w:rsidR="00DD44D5" w:rsidRPr="000869FB" w:rsidRDefault="00DD44D5" w:rsidP="00560FA1">
            <w:pPr>
              <w:spacing w:after="0" w:line="240" w:lineRule="auto"/>
              <w:rPr>
                <w:rFonts w:eastAsia="Calibri" w:cstheme="minorHAnsi"/>
                <w:szCs w:val="24"/>
              </w:rPr>
            </w:pPr>
            <w:r w:rsidRPr="000869FB">
              <w:rPr>
                <w:rFonts w:eastAsia="Calibri" w:cstheme="minorHAnsi"/>
                <w:szCs w:val="24"/>
              </w:rPr>
              <w:t>Zemkopības ministrija</w:t>
            </w:r>
          </w:p>
        </w:tc>
      </w:tr>
    </w:tbl>
    <w:p w14:paraId="08C2685B" w14:textId="77777777" w:rsidR="00DD44D5" w:rsidRPr="000869FB" w:rsidRDefault="00DD44D5" w:rsidP="000C620B"/>
    <w:p w14:paraId="0967CDE9" w14:textId="77777777" w:rsidR="00DD44D5" w:rsidRDefault="00DD44D5" w:rsidP="000C620B"/>
    <w:p w14:paraId="046B94C8" w14:textId="77777777" w:rsidR="00DD44D5" w:rsidRDefault="00DD44D5" w:rsidP="000C620B">
      <w:pPr>
        <w:rPr>
          <w:lang w:eastAsia="lv-LV"/>
        </w:rPr>
      </w:pPr>
    </w:p>
    <w:p w14:paraId="7F6318AD" w14:textId="6E531578" w:rsidR="00DD44D5" w:rsidRPr="00DD44D5" w:rsidRDefault="00DD44D5" w:rsidP="000C620B">
      <w:pPr>
        <w:rPr>
          <w:lang w:eastAsia="lv-LV"/>
        </w:rPr>
        <w:sectPr w:rsidR="00DD44D5" w:rsidRPr="00DD44D5" w:rsidSect="00DD44D5">
          <w:pgSz w:w="11906" w:h="16838" w:code="9"/>
          <w:pgMar w:top="1418" w:right="1134" w:bottom="1134" w:left="1701" w:header="567" w:footer="567" w:gutter="0"/>
          <w:cols w:space="708"/>
          <w:docGrid w:linePitch="360"/>
        </w:sectPr>
      </w:pPr>
    </w:p>
    <w:p w14:paraId="432301D0" w14:textId="5E019FFA" w:rsidR="00DD44D5" w:rsidRPr="00FC0711" w:rsidRDefault="00DD44D5" w:rsidP="001E38CE">
      <w:pPr>
        <w:pStyle w:val="Heading1"/>
        <w:numPr>
          <w:ilvl w:val="0"/>
          <w:numId w:val="0"/>
        </w:numPr>
        <w:ind w:left="709"/>
      </w:pPr>
      <w:bookmarkStart w:id="14" w:name="_Toc23245733"/>
      <w:bookmarkStart w:id="15" w:name="_Toc23245972"/>
      <w:bookmarkStart w:id="16" w:name="_Toc24407984"/>
      <w:bookmarkStart w:id="17" w:name="_Toc24408092"/>
      <w:r w:rsidRPr="00FC0711">
        <w:t>IEVADS</w:t>
      </w:r>
      <w:bookmarkEnd w:id="6"/>
      <w:bookmarkEnd w:id="14"/>
      <w:bookmarkEnd w:id="15"/>
      <w:bookmarkEnd w:id="16"/>
      <w:bookmarkEnd w:id="17"/>
    </w:p>
    <w:p w14:paraId="31094FBF" w14:textId="77777777" w:rsidR="00DD44D5" w:rsidRPr="00FC0711" w:rsidRDefault="00DD44D5" w:rsidP="00DD44D5">
      <w:pPr>
        <w:spacing w:before="120" w:after="120" w:line="240" w:lineRule="auto"/>
        <w:jc w:val="both"/>
        <w:rPr>
          <w:rFonts w:cstheme="minorHAnsi"/>
        </w:rPr>
      </w:pPr>
      <w:r w:rsidRPr="00FC0711">
        <w:rPr>
          <w:rFonts w:cstheme="minorHAnsi"/>
          <w:szCs w:val="24"/>
        </w:rPr>
        <w:t>Nacionālais enerģētikas un klimata plāns 2021.–2030.gadam (turpmāk – Plāns) ir dokuments ilgtermiņa enerģētikas un klimata politikas plānošanai, kas nosaka Latvijas valsts enerģētikas un klimata politikas pamatprincipus, mērķus un rīcības virzienus turpmākajiem desmit gadiem, ņemot vērā ieskicētos ilgtermiņa attīstības virzienus.</w:t>
      </w:r>
      <w:r w:rsidRPr="00FC0711">
        <w:rPr>
          <w:rFonts w:cstheme="minorHAnsi"/>
        </w:rPr>
        <w:t xml:space="preserve"> </w:t>
      </w:r>
    </w:p>
    <w:p w14:paraId="4D451B4B" w14:textId="16E6248D" w:rsidR="00DD44D5" w:rsidRPr="00FC0711" w:rsidRDefault="00DD44D5" w:rsidP="00DD44D5">
      <w:pPr>
        <w:spacing w:before="120" w:after="120" w:line="240" w:lineRule="auto"/>
        <w:jc w:val="both"/>
        <w:rPr>
          <w:rFonts w:cstheme="minorHAnsi"/>
        </w:rPr>
      </w:pPr>
      <w:bookmarkStart w:id="18" w:name="_Hlk21087238"/>
      <w:r w:rsidRPr="00FC0711">
        <w:rPr>
          <w:rFonts w:cstheme="minorHAnsi"/>
        </w:rPr>
        <w:t xml:space="preserve">Kopējā Plāna ilgtermiņa </w:t>
      </w:r>
      <w:r>
        <w:rPr>
          <w:rFonts w:cstheme="minorHAnsi"/>
        </w:rPr>
        <w:t>mērķis</w:t>
      </w:r>
      <w:r w:rsidRPr="00FC0711">
        <w:rPr>
          <w:rFonts w:cstheme="minorHAnsi"/>
        </w:rPr>
        <w:t xml:space="preserve"> ir</w:t>
      </w:r>
      <w:r>
        <w:rPr>
          <w:rFonts w:cstheme="minorHAnsi"/>
        </w:rPr>
        <w:t>,</w:t>
      </w:r>
      <w:r w:rsidRPr="00FC0711">
        <w:rPr>
          <w:rFonts w:cstheme="minorHAnsi"/>
        </w:rPr>
        <w:t xml:space="preserve"> </w:t>
      </w:r>
      <w:r w:rsidR="001E6837" w:rsidRPr="001E6837">
        <w:rPr>
          <w:rFonts w:cstheme="minorHAnsi"/>
          <w:b/>
          <w:bCs/>
          <w:u w:val="single"/>
        </w:rPr>
        <w:t xml:space="preserve">pēc iespējas samazinot </w:t>
      </w:r>
      <w:r w:rsidRPr="001E6837">
        <w:rPr>
          <w:rFonts w:cstheme="minorHAnsi"/>
          <w:b/>
          <w:bCs/>
          <w:u w:val="single"/>
        </w:rPr>
        <w:t xml:space="preserve">enerģētisko </w:t>
      </w:r>
      <w:r w:rsidRPr="000B2B97">
        <w:rPr>
          <w:rFonts w:cstheme="minorHAnsi"/>
          <w:b/>
          <w:u w:val="single"/>
        </w:rPr>
        <w:t xml:space="preserve">atkarību, </w:t>
      </w:r>
      <w:r w:rsidR="001E7B1A">
        <w:rPr>
          <w:rFonts w:cstheme="minorHAnsi"/>
          <w:b/>
          <w:u w:val="single"/>
        </w:rPr>
        <w:t xml:space="preserve">uzlabojot </w:t>
      </w:r>
      <w:r w:rsidRPr="000B2B97">
        <w:rPr>
          <w:rFonts w:cstheme="minorHAnsi"/>
          <w:b/>
          <w:u w:val="single"/>
        </w:rPr>
        <w:t>sabiedrības labklājību</w:t>
      </w:r>
      <w:r>
        <w:rPr>
          <w:rFonts w:cstheme="minorHAnsi"/>
          <w:b/>
          <w:u w:val="single"/>
        </w:rPr>
        <w:t>, tai skaitā mazinot enerģētisko nabadzību,</w:t>
      </w:r>
      <w:r w:rsidRPr="000B2B97">
        <w:rPr>
          <w:rFonts w:cstheme="minorHAnsi"/>
          <w:b/>
          <w:u w:val="single"/>
        </w:rPr>
        <w:t xml:space="preserve"> un</w:t>
      </w:r>
      <w:r w:rsidR="001E7B1A">
        <w:rPr>
          <w:rFonts w:cstheme="minorHAnsi"/>
          <w:b/>
          <w:u w:val="single"/>
        </w:rPr>
        <w:t xml:space="preserve"> nodrošinot</w:t>
      </w:r>
      <w:r w:rsidRPr="000B2B97">
        <w:rPr>
          <w:rFonts w:cstheme="minorHAnsi"/>
          <w:b/>
          <w:u w:val="single"/>
        </w:rPr>
        <w:t xml:space="preserve"> ekonomikas konkurēt</w:t>
      </w:r>
      <w:r>
        <w:rPr>
          <w:rFonts w:cstheme="minorHAnsi"/>
          <w:b/>
          <w:u w:val="single"/>
        </w:rPr>
        <w:t>s</w:t>
      </w:r>
      <w:r w:rsidRPr="000B2B97">
        <w:rPr>
          <w:rFonts w:cstheme="minorHAnsi"/>
          <w:b/>
          <w:u w:val="single"/>
        </w:rPr>
        <w:t>pēju reģionā un pasaulē</w:t>
      </w:r>
      <w:r>
        <w:rPr>
          <w:rFonts w:cstheme="minorHAnsi"/>
          <w:b/>
          <w:u w:val="single"/>
        </w:rPr>
        <w:t>,</w:t>
      </w:r>
      <w:r w:rsidRPr="00FC0711">
        <w:rPr>
          <w:rFonts w:cstheme="minorHAnsi"/>
          <w:b/>
          <w:u w:val="single"/>
        </w:rPr>
        <w:t xml:space="preserve"> ilgtspējīgā, konkurētspējīgā</w:t>
      </w:r>
      <w:r>
        <w:rPr>
          <w:rFonts w:cstheme="minorHAnsi"/>
          <w:b/>
          <w:u w:val="single"/>
        </w:rPr>
        <w:t xml:space="preserve">, izmaksu efektīvā, </w:t>
      </w:r>
      <w:r w:rsidRPr="00FC0711">
        <w:rPr>
          <w:rFonts w:cstheme="minorHAnsi"/>
          <w:b/>
          <w:u w:val="single"/>
        </w:rPr>
        <w:t>drošā</w:t>
      </w:r>
      <w:r>
        <w:rPr>
          <w:rFonts w:cstheme="minorHAnsi"/>
          <w:b/>
          <w:u w:val="single"/>
        </w:rPr>
        <w:t xml:space="preserve"> un uz tirgus principiem balstītā</w:t>
      </w:r>
      <w:r w:rsidRPr="00FC0711">
        <w:rPr>
          <w:rFonts w:cstheme="minorHAnsi"/>
          <w:b/>
          <w:u w:val="single"/>
        </w:rPr>
        <w:t xml:space="preserve"> veidā veicināt klimatneitrālas tautsaimniecības attīstību.</w:t>
      </w:r>
      <w:r w:rsidRPr="00FC0711">
        <w:rPr>
          <w:rFonts w:cstheme="minorHAnsi"/>
        </w:rPr>
        <w:t xml:space="preserve"> </w:t>
      </w:r>
    </w:p>
    <w:bookmarkEnd w:id="18"/>
    <w:p w14:paraId="6F34DBF8" w14:textId="77777777" w:rsidR="00DD44D5" w:rsidRPr="00FC0711" w:rsidRDefault="00DD44D5" w:rsidP="00DD44D5">
      <w:pPr>
        <w:spacing w:before="120" w:after="120" w:line="240" w:lineRule="auto"/>
        <w:jc w:val="both"/>
        <w:rPr>
          <w:rFonts w:cstheme="minorHAnsi"/>
          <w:b/>
          <w:u w:val="single"/>
        </w:rPr>
      </w:pPr>
      <w:r>
        <w:rPr>
          <w:rFonts w:cstheme="minorHAnsi"/>
          <w:b/>
          <w:u w:val="single"/>
        </w:rPr>
        <w:t>Lai īstenotu vīziju ir nepieciešams</w:t>
      </w:r>
      <w:r w:rsidRPr="00FC0711">
        <w:rPr>
          <w:rFonts w:cstheme="minorHAnsi"/>
          <w:b/>
          <w:u w:val="single"/>
        </w:rPr>
        <w:t>:</w:t>
      </w:r>
    </w:p>
    <w:p w14:paraId="59E79D1F" w14:textId="77777777" w:rsidR="00DD44D5" w:rsidRPr="00FC0711" w:rsidRDefault="00DD44D5" w:rsidP="00DD44D5">
      <w:pPr>
        <w:pStyle w:val="ListParagraph"/>
        <w:numPr>
          <w:ilvl w:val="0"/>
          <w:numId w:val="2"/>
        </w:numPr>
        <w:spacing w:before="120" w:after="120" w:line="240" w:lineRule="auto"/>
        <w:ind w:left="397" w:hanging="397"/>
        <w:contextualSpacing w:val="0"/>
        <w:jc w:val="both"/>
        <w:rPr>
          <w:rFonts w:cstheme="minorHAnsi"/>
        </w:rPr>
      </w:pPr>
      <w:r w:rsidRPr="00FC0711">
        <w:rPr>
          <w:rFonts w:cstheme="minorHAnsi"/>
        </w:rPr>
        <w:t>Veicināt resursu efektīvu izmantošanu, kā arī to pašpietiekamību un dažādību;</w:t>
      </w:r>
    </w:p>
    <w:p w14:paraId="25839AFC" w14:textId="77777777" w:rsidR="00DD44D5" w:rsidRPr="00FC0711" w:rsidRDefault="00DD44D5" w:rsidP="00DD44D5">
      <w:pPr>
        <w:pStyle w:val="ListParagraph"/>
        <w:numPr>
          <w:ilvl w:val="0"/>
          <w:numId w:val="2"/>
        </w:numPr>
        <w:spacing w:before="120" w:after="120" w:line="240" w:lineRule="auto"/>
        <w:ind w:left="397" w:hanging="397"/>
        <w:contextualSpacing w:val="0"/>
        <w:jc w:val="both"/>
        <w:rPr>
          <w:rFonts w:cstheme="minorHAnsi"/>
        </w:rPr>
      </w:pPr>
      <w:r w:rsidRPr="00FC0711">
        <w:rPr>
          <w:rFonts w:cstheme="minorHAnsi"/>
        </w:rPr>
        <w:t>Nodrošināt  resursu, un it īpaši fosilu un neilgtspējīgu resursu, patēriņa būtisku samazināšanu un vienlaicīgu pāreju uz ilgtspējīgu, atjaunojamu un inovatīvu resursu izmantošanu;</w:t>
      </w:r>
    </w:p>
    <w:p w14:paraId="44DD7E87" w14:textId="77777777" w:rsidR="00DD44D5" w:rsidRPr="00FC0711" w:rsidRDefault="00DD44D5" w:rsidP="00DD44D5">
      <w:pPr>
        <w:pStyle w:val="ListParagraph"/>
        <w:numPr>
          <w:ilvl w:val="0"/>
          <w:numId w:val="2"/>
        </w:numPr>
        <w:spacing w:before="120" w:after="120" w:line="240" w:lineRule="auto"/>
        <w:ind w:left="397" w:hanging="397"/>
        <w:contextualSpacing w:val="0"/>
        <w:jc w:val="both"/>
        <w:rPr>
          <w:rFonts w:cstheme="minorHAnsi"/>
        </w:rPr>
      </w:pPr>
      <w:r w:rsidRPr="00FC0711">
        <w:rPr>
          <w:rFonts w:cstheme="minorHAnsi"/>
        </w:rPr>
        <w:t xml:space="preserve">Stimulēt tādas pētniecības un inovāciju attīstību, kas veicina ilgtspējīgas enerģētikas sektora attīstību un klimata pārmaiņu mazināšanu. </w:t>
      </w:r>
    </w:p>
    <w:p w14:paraId="004BD7BD" w14:textId="77777777" w:rsidR="00DD44D5" w:rsidRPr="00FC0711" w:rsidRDefault="00DD44D5" w:rsidP="00DD44D5">
      <w:pPr>
        <w:pStyle w:val="Caption"/>
        <w:rPr>
          <w:rFonts w:asciiTheme="minorHAnsi" w:hAnsiTheme="minorHAnsi" w:cstheme="minorHAnsi"/>
          <w:noProof/>
        </w:rPr>
      </w:pPr>
      <w:bookmarkStart w:id="19" w:name="_Hlk21087246"/>
      <w:r w:rsidRPr="00FC0711">
        <w:rPr>
          <w:rFonts w:asciiTheme="minorHAnsi" w:hAnsiTheme="minorHAnsi" w:cstheme="minorHAnsi"/>
          <w:b w:val="0"/>
          <w:iCs w:val="0"/>
          <w:noProof/>
        </w:rPr>
        <w:drawing>
          <wp:inline distT="0" distB="0" distL="0" distR="0" wp14:anchorId="64245E02" wp14:editId="6237660A">
            <wp:extent cx="5523501" cy="2081284"/>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_attels.png"/>
                    <pic:cNvPicPr/>
                  </pic:nvPicPr>
                  <pic:blipFill>
                    <a:blip r:embed="rId24">
                      <a:extLst>
                        <a:ext uri="{28A0092B-C50C-407E-A947-70E740481C1C}">
                          <a14:useLocalDpi xmlns:a14="http://schemas.microsoft.com/office/drawing/2010/main" val="0"/>
                        </a:ext>
                      </a:extLst>
                    </a:blip>
                    <a:stretch>
                      <a:fillRect/>
                    </a:stretch>
                  </pic:blipFill>
                  <pic:spPr>
                    <a:xfrm>
                      <a:off x="0" y="0"/>
                      <a:ext cx="5607772" cy="2113038"/>
                    </a:xfrm>
                    <a:prstGeom prst="rect">
                      <a:avLst/>
                    </a:prstGeom>
                  </pic:spPr>
                </pic:pic>
              </a:graphicData>
            </a:graphic>
          </wp:inline>
        </w:drawing>
      </w:r>
    </w:p>
    <w:bookmarkStart w:id="20" w:name="_Hlk24283847"/>
    <w:p w14:paraId="78A02734" w14:textId="16718682" w:rsidR="00DD44D5" w:rsidRPr="00FC0711" w:rsidRDefault="00DD44D5" w:rsidP="00DD44D5">
      <w:pPr>
        <w:pStyle w:val="Caption"/>
        <w:rPr>
          <w:rFonts w:asciiTheme="minorHAnsi" w:hAnsiTheme="minorHAnsi" w:cstheme="minorHAnsi"/>
        </w:rPr>
      </w:pPr>
      <w:r w:rsidRPr="00FC0711">
        <w:rPr>
          <w:rFonts w:asciiTheme="minorHAnsi" w:hAnsiTheme="minorHAnsi" w:cstheme="minorHAnsi"/>
          <w:noProof/>
        </w:rPr>
        <w:fldChar w:fldCharType="begin"/>
      </w:r>
      <w:r w:rsidRPr="00FC0711">
        <w:rPr>
          <w:rFonts w:asciiTheme="minorHAnsi" w:hAnsiTheme="minorHAnsi" w:cstheme="minorHAnsi"/>
          <w:noProof/>
        </w:rPr>
        <w:instrText xml:space="preserve"> SEQ Ilustrācija \* ARABIC </w:instrText>
      </w:r>
      <w:r w:rsidRPr="00FC0711">
        <w:rPr>
          <w:rFonts w:asciiTheme="minorHAnsi" w:hAnsiTheme="minorHAnsi" w:cstheme="minorHAnsi"/>
          <w:noProof/>
        </w:rPr>
        <w:fldChar w:fldCharType="separate"/>
      </w:r>
      <w:bookmarkStart w:id="21" w:name="_Toc23782681"/>
      <w:r w:rsidR="006E6675">
        <w:rPr>
          <w:rFonts w:asciiTheme="minorHAnsi" w:hAnsiTheme="minorHAnsi" w:cstheme="minorHAnsi"/>
          <w:noProof/>
        </w:rPr>
        <w:t>1</w:t>
      </w:r>
      <w:r w:rsidRPr="00FC0711">
        <w:rPr>
          <w:rFonts w:asciiTheme="minorHAnsi" w:hAnsiTheme="minorHAnsi" w:cstheme="minorHAnsi"/>
          <w:noProof/>
        </w:rPr>
        <w:fldChar w:fldCharType="end"/>
      </w:r>
      <w:r w:rsidRPr="00FC0711">
        <w:rPr>
          <w:rFonts w:asciiTheme="minorHAnsi" w:hAnsiTheme="minorHAnsi" w:cstheme="minorHAnsi"/>
        </w:rPr>
        <w:t>.attēls. Enerģētikas un klimata politikas virzieni līdz 2030.gadam</w:t>
      </w:r>
      <w:bookmarkEnd w:id="21"/>
    </w:p>
    <w:p w14:paraId="330CE2EA" w14:textId="77777777" w:rsidR="00DD44D5" w:rsidRPr="00FC0711" w:rsidRDefault="00DD44D5" w:rsidP="00DD44D5">
      <w:pPr>
        <w:spacing w:before="120" w:after="120" w:line="240" w:lineRule="auto"/>
        <w:jc w:val="both"/>
        <w:rPr>
          <w:rFonts w:cstheme="minorHAnsi"/>
          <w:b/>
          <w:u w:val="single"/>
        </w:rPr>
      </w:pPr>
      <w:bookmarkStart w:id="22" w:name="_Hlk23145170"/>
      <w:bookmarkEnd w:id="19"/>
      <w:bookmarkEnd w:id="20"/>
      <w:r w:rsidRPr="00FC0711">
        <w:rPr>
          <w:rFonts w:cstheme="minorHAnsi"/>
          <w:b/>
          <w:u w:val="single"/>
        </w:rPr>
        <w:t xml:space="preserve">Plāna mērķu sasniegšanai noteikti šādi rīcības virzieni:  </w:t>
      </w:r>
    </w:p>
    <w:p w14:paraId="1069F7F6"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FC0711">
        <w:rPr>
          <w:rFonts w:cstheme="minorHAnsi"/>
          <w:b/>
        </w:rPr>
        <w:t>Ēku</w:t>
      </w:r>
      <w:r w:rsidRPr="00FC0711">
        <w:rPr>
          <w:rFonts w:cstheme="minorHAnsi"/>
        </w:rPr>
        <w:t xml:space="preserve"> energoefektivitātes uzlabošana;</w:t>
      </w:r>
    </w:p>
    <w:p w14:paraId="4C5A60BF"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FC0711">
        <w:rPr>
          <w:rFonts w:cstheme="minorHAnsi"/>
        </w:rPr>
        <w:t xml:space="preserve">Energoefektivitātes uzlabošana un AER tehnoloģiju izmantošanas veicināšana </w:t>
      </w:r>
      <w:r w:rsidRPr="00FC0711">
        <w:rPr>
          <w:rFonts w:cstheme="minorHAnsi"/>
          <w:b/>
        </w:rPr>
        <w:t>siltumapgādē un aukstumapgādē</w:t>
      </w:r>
      <w:r w:rsidRPr="00FC0711">
        <w:rPr>
          <w:rFonts w:cstheme="minorHAnsi"/>
        </w:rPr>
        <w:t xml:space="preserve"> un </w:t>
      </w:r>
      <w:r w:rsidRPr="00FC0711">
        <w:rPr>
          <w:rFonts w:cstheme="minorHAnsi"/>
          <w:b/>
        </w:rPr>
        <w:t>rūpniecībā</w:t>
      </w:r>
      <w:r w:rsidRPr="00FC0711">
        <w:rPr>
          <w:rFonts w:cstheme="minorHAnsi"/>
        </w:rPr>
        <w:t>;</w:t>
      </w:r>
    </w:p>
    <w:p w14:paraId="423E6B0F"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b/>
        </w:rPr>
      </w:pPr>
      <w:bookmarkStart w:id="23" w:name="_Hlk9245258"/>
      <w:r w:rsidRPr="00FC0711">
        <w:rPr>
          <w:rFonts w:cstheme="minorHAnsi"/>
        </w:rPr>
        <w:t xml:space="preserve">Ne-emisiju tehnoloģiju izmantošanas veicināšana </w:t>
      </w:r>
      <w:r w:rsidRPr="00FC0711">
        <w:rPr>
          <w:rFonts w:cstheme="minorHAnsi"/>
          <w:b/>
        </w:rPr>
        <w:t>elektroenerģijās ražošanā</w:t>
      </w:r>
      <w:r w:rsidRPr="00FC0711">
        <w:rPr>
          <w:rFonts w:cstheme="minorHAnsi"/>
        </w:rPr>
        <w:t>;</w:t>
      </w:r>
    </w:p>
    <w:p w14:paraId="6F9DF8F6"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rPr>
      </w:pPr>
      <w:bookmarkStart w:id="24" w:name="_Hlk23491622"/>
      <w:r>
        <w:rPr>
          <w:rFonts w:cstheme="minorHAnsi"/>
          <w:b/>
        </w:rPr>
        <w:t>Ekonomiski pamatotas e</w:t>
      </w:r>
      <w:r w:rsidRPr="005E0800">
        <w:rPr>
          <w:rFonts w:cstheme="minorHAnsi"/>
          <w:b/>
        </w:rPr>
        <w:t xml:space="preserve">nerģijas </w:t>
      </w:r>
      <w:r w:rsidRPr="00FC0711">
        <w:rPr>
          <w:rFonts w:cstheme="minorHAnsi"/>
          <w:b/>
        </w:rPr>
        <w:t>pašražošanas</w:t>
      </w:r>
      <w:r w:rsidRPr="00FC0711">
        <w:rPr>
          <w:rFonts w:cstheme="minorHAnsi"/>
        </w:rPr>
        <w:t xml:space="preserve"> un </w:t>
      </w:r>
      <w:r w:rsidRPr="00FC0711">
        <w:rPr>
          <w:rFonts w:cstheme="minorHAnsi"/>
          <w:b/>
        </w:rPr>
        <w:t xml:space="preserve">pašpatēriņa </w:t>
      </w:r>
      <w:r w:rsidRPr="00FC0711">
        <w:rPr>
          <w:rFonts w:cstheme="minorHAnsi"/>
        </w:rPr>
        <w:t>veicināšana</w:t>
      </w:r>
      <w:bookmarkEnd w:id="24"/>
      <w:r w:rsidRPr="00FC0711">
        <w:rPr>
          <w:rFonts w:cstheme="minorHAnsi"/>
        </w:rPr>
        <w:t>;</w:t>
      </w:r>
    </w:p>
    <w:p w14:paraId="1A64DF65"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FC0711">
        <w:rPr>
          <w:rFonts w:cstheme="minorHAnsi"/>
        </w:rPr>
        <w:t xml:space="preserve">Energoefektivitātes uzlabošana, alternatīvo degvielu  un AER tehnoloģiju izmantošanas veicināšana </w:t>
      </w:r>
      <w:r w:rsidRPr="00FC0711">
        <w:rPr>
          <w:rFonts w:cstheme="minorHAnsi"/>
          <w:b/>
          <w:bCs/>
        </w:rPr>
        <w:t>transportā</w:t>
      </w:r>
      <w:r w:rsidRPr="00FC0711">
        <w:rPr>
          <w:rFonts w:cstheme="minorHAnsi"/>
        </w:rPr>
        <w:t>;</w:t>
      </w:r>
    </w:p>
    <w:bookmarkEnd w:id="23"/>
    <w:p w14:paraId="2ADADA11" w14:textId="1897B1EF"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FC0711">
        <w:rPr>
          <w:rFonts w:cstheme="minorHAnsi"/>
        </w:rPr>
        <w:t xml:space="preserve">Enerģētiskā </w:t>
      </w:r>
      <w:r w:rsidRPr="00FC0711">
        <w:rPr>
          <w:rFonts w:cstheme="minorHAnsi"/>
          <w:b/>
        </w:rPr>
        <w:t>drošība</w:t>
      </w:r>
      <w:r w:rsidR="00065E4F">
        <w:rPr>
          <w:rFonts w:cstheme="minorHAnsi"/>
          <w:b/>
        </w:rPr>
        <w:t xml:space="preserve">, </w:t>
      </w:r>
      <w:r w:rsidR="00065E4F" w:rsidRPr="00065E4F">
        <w:rPr>
          <w:rFonts w:cstheme="minorHAnsi"/>
          <w:bCs/>
        </w:rPr>
        <w:t xml:space="preserve">enerģētiskās </w:t>
      </w:r>
      <w:r w:rsidR="00065E4F">
        <w:rPr>
          <w:rFonts w:cstheme="minorHAnsi"/>
          <w:b/>
        </w:rPr>
        <w:t>atkarības mazināšana</w:t>
      </w:r>
      <w:r w:rsidRPr="00FC0711">
        <w:rPr>
          <w:rFonts w:cstheme="minorHAnsi"/>
        </w:rPr>
        <w:t xml:space="preserve">, pilnīga </w:t>
      </w:r>
      <w:r w:rsidRPr="00065E4F">
        <w:rPr>
          <w:rFonts w:cstheme="minorHAnsi"/>
          <w:bCs/>
        </w:rPr>
        <w:t>enerģijas</w:t>
      </w:r>
      <w:r w:rsidRPr="00FC0711">
        <w:rPr>
          <w:rFonts w:cstheme="minorHAnsi"/>
          <w:b/>
        </w:rPr>
        <w:t xml:space="preserve"> tirgu</w:t>
      </w:r>
      <w:r w:rsidRPr="00FC0711">
        <w:rPr>
          <w:rFonts w:cstheme="minorHAnsi"/>
        </w:rPr>
        <w:t xml:space="preserve"> integrācija</w:t>
      </w:r>
      <w:r w:rsidR="00170697">
        <w:rPr>
          <w:rFonts w:cstheme="minorHAnsi"/>
        </w:rPr>
        <w:t xml:space="preserve"> un</w:t>
      </w:r>
      <w:r w:rsidRPr="00FC0711">
        <w:rPr>
          <w:rFonts w:cstheme="minorHAnsi"/>
        </w:rPr>
        <w:t xml:space="preserve"> </w:t>
      </w:r>
      <w:r w:rsidRPr="00FC0711">
        <w:rPr>
          <w:rFonts w:cstheme="minorHAnsi"/>
          <w:b/>
        </w:rPr>
        <w:t>infrastruktūras</w:t>
      </w:r>
      <w:r w:rsidRPr="00FC0711">
        <w:rPr>
          <w:rFonts w:cstheme="minorHAnsi"/>
        </w:rPr>
        <w:t xml:space="preserve"> modernizācija;</w:t>
      </w:r>
    </w:p>
    <w:p w14:paraId="28EC96BE"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FC0711">
        <w:rPr>
          <w:rFonts w:cstheme="minorHAnsi"/>
          <w:b/>
        </w:rPr>
        <w:t xml:space="preserve">Atkritumu </w:t>
      </w:r>
      <w:r w:rsidRPr="00FC0711">
        <w:rPr>
          <w:rFonts w:cstheme="minorHAnsi"/>
        </w:rPr>
        <w:t>un</w:t>
      </w:r>
      <w:r w:rsidRPr="00FC0711">
        <w:rPr>
          <w:rFonts w:cstheme="minorHAnsi"/>
          <w:b/>
        </w:rPr>
        <w:t xml:space="preserve"> notekūdeņu apsaimniekošanas </w:t>
      </w:r>
      <w:r w:rsidRPr="00FC0711">
        <w:rPr>
          <w:rFonts w:cstheme="minorHAnsi"/>
        </w:rPr>
        <w:t>efektivitātes uzlabošana un SEG emisiju samazināšana</w:t>
      </w:r>
    </w:p>
    <w:p w14:paraId="175FC554"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rPr>
      </w:pPr>
      <w:r w:rsidRPr="00FC0711">
        <w:rPr>
          <w:rFonts w:cstheme="minorHAnsi"/>
        </w:rPr>
        <w:t xml:space="preserve">Resursu efektīva izmantošana un SEG emisiju samazināšana </w:t>
      </w:r>
      <w:r w:rsidRPr="00FC0711">
        <w:rPr>
          <w:rFonts w:cstheme="minorHAnsi"/>
          <w:b/>
        </w:rPr>
        <w:t>lauksaimniecībā</w:t>
      </w:r>
      <w:r w:rsidRPr="00FC0711">
        <w:rPr>
          <w:rFonts w:cstheme="minorHAnsi"/>
        </w:rPr>
        <w:t>;</w:t>
      </w:r>
    </w:p>
    <w:p w14:paraId="5021D3DF"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szCs w:val="24"/>
        </w:rPr>
      </w:pPr>
      <w:r w:rsidRPr="00FC0711">
        <w:rPr>
          <w:rFonts w:cstheme="minorHAnsi"/>
        </w:rPr>
        <w:t>Ilgtspējīga resursu izmantošana un SEG emisiju samazināšana un CO</w:t>
      </w:r>
      <w:r w:rsidRPr="00FC0711">
        <w:rPr>
          <w:rFonts w:cstheme="minorHAnsi"/>
          <w:vertAlign w:val="subscript"/>
        </w:rPr>
        <w:t>2</w:t>
      </w:r>
      <w:r w:rsidRPr="00FC0711">
        <w:rPr>
          <w:rFonts w:cstheme="minorHAnsi"/>
        </w:rPr>
        <w:t xml:space="preserve"> piesaistes </w:t>
      </w:r>
      <w:r w:rsidRPr="00FC0711">
        <w:rPr>
          <w:rFonts w:cstheme="minorHAnsi"/>
          <w:b/>
          <w:bCs/>
        </w:rPr>
        <w:t>palielināšana zemes izmantošanas, zemes izmantošanas maiņas un mežsaimniecības sektorā</w:t>
      </w:r>
      <w:r w:rsidRPr="00FC0711">
        <w:rPr>
          <w:rFonts w:cstheme="minorHAnsi"/>
        </w:rPr>
        <w:t xml:space="preserve">; </w:t>
      </w:r>
    </w:p>
    <w:p w14:paraId="3CCA003B"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szCs w:val="24"/>
        </w:rPr>
      </w:pPr>
      <w:r w:rsidRPr="00FC0711">
        <w:rPr>
          <w:rFonts w:cstheme="minorHAnsi"/>
          <w:b/>
        </w:rPr>
        <w:t>Fluorēto siltumnīcefekta gāzu (F-gāzu) izmantošanas samazināšanas veicināšana</w:t>
      </w:r>
    </w:p>
    <w:p w14:paraId="2C77B8B1"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szCs w:val="24"/>
        </w:rPr>
      </w:pPr>
      <w:r w:rsidRPr="00FC0711">
        <w:rPr>
          <w:rFonts w:cstheme="minorHAnsi"/>
          <w:b/>
          <w:bCs/>
          <w:szCs w:val="24"/>
        </w:rPr>
        <w:t>Nodokļu sistēmas</w:t>
      </w:r>
      <w:r w:rsidRPr="00FC0711">
        <w:rPr>
          <w:rFonts w:cstheme="minorHAnsi"/>
          <w:szCs w:val="24"/>
        </w:rPr>
        <w:t xml:space="preserve"> “zaļināšana” un draudzīguma pievilcīguma energoefektivitātei un AER tehnoloģijām uzlabošana;</w:t>
      </w:r>
    </w:p>
    <w:p w14:paraId="07F52F4D" w14:textId="77777777" w:rsidR="00DD44D5" w:rsidRPr="00FC0711" w:rsidRDefault="00DD44D5" w:rsidP="00DD44D5">
      <w:pPr>
        <w:pStyle w:val="ListParagraph"/>
        <w:numPr>
          <w:ilvl w:val="0"/>
          <w:numId w:val="3"/>
        </w:numPr>
        <w:spacing w:before="120" w:after="120" w:line="240" w:lineRule="auto"/>
        <w:ind w:left="397" w:hanging="397"/>
        <w:contextualSpacing w:val="0"/>
        <w:jc w:val="both"/>
        <w:rPr>
          <w:rFonts w:cstheme="minorHAnsi"/>
          <w:szCs w:val="24"/>
        </w:rPr>
      </w:pPr>
      <w:r w:rsidRPr="00FC0711">
        <w:rPr>
          <w:rFonts w:cstheme="minorHAnsi"/>
          <w:b/>
        </w:rPr>
        <w:t>Sabiedrības informēšana</w:t>
      </w:r>
      <w:r w:rsidRPr="00FC0711">
        <w:rPr>
          <w:rFonts w:cstheme="minorHAnsi"/>
        </w:rPr>
        <w:t>, izglītošana un izpratnes veicināšana.</w:t>
      </w:r>
    </w:p>
    <w:bookmarkEnd w:id="22"/>
    <w:p w14:paraId="242AE83D" w14:textId="3AC4835B" w:rsidR="00DD44D5" w:rsidRDefault="00DD44D5" w:rsidP="00991264">
      <w:r>
        <w:br w:type="page"/>
      </w:r>
    </w:p>
    <w:p w14:paraId="3F2B1012" w14:textId="77777777" w:rsidR="00DD44D5" w:rsidRPr="001E38CE" w:rsidRDefault="00DD44D5" w:rsidP="001E38CE">
      <w:pPr>
        <w:pStyle w:val="Heading1"/>
        <w:rPr>
          <w:rStyle w:val="normaltextrun"/>
          <w:rFonts w:eastAsiaTheme="minorHAnsi"/>
        </w:rPr>
      </w:pPr>
      <w:bookmarkStart w:id="25" w:name="_Hlk10617350"/>
      <w:bookmarkStart w:id="26" w:name="_Toc10527191"/>
      <w:bookmarkStart w:id="27" w:name="_Toc23245734"/>
      <w:bookmarkStart w:id="28" w:name="_Toc23245973"/>
      <w:bookmarkStart w:id="29" w:name="_Toc24407985"/>
      <w:bookmarkStart w:id="30" w:name="_Toc24408093"/>
      <w:bookmarkStart w:id="31" w:name="_Toc520978793"/>
      <w:bookmarkStart w:id="32" w:name="_Toc527529414"/>
      <w:bookmarkEnd w:id="25"/>
      <w:r w:rsidRPr="001E38CE">
        <w:rPr>
          <w:rStyle w:val="normaltextrun"/>
        </w:rPr>
        <w:t>PĀRSKATS UN PLĀNA IZVEIDES PROCESS</w:t>
      </w:r>
      <w:bookmarkEnd w:id="26"/>
      <w:bookmarkEnd w:id="27"/>
      <w:bookmarkEnd w:id="28"/>
      <w:bookmarkEnd w:id="29"/>
      <w:bookmarkEnd w:id="30"/>
      <w:r w:rsidRPr="001E38CE">
        <w:rPr>
          <w:rStyle w:val="normaltextrun"/>
        </w:rPr>
        <w:t xml:space="preserve"> </w:t>
      </w:r>
    </w:p>
    <w:p w14:paraId="72145E79" w14:textId="77777777" w:rsidR="00DD44D5" w:rsidRPr="0007326F" w:rsidRDefault="00DD44D5" w:rsidP="0007326F">
      <w:pPr>
        <w:pStyle w:val="Heading20"/>
        <w:rPr>
          <w:rStyle w:val="normaltextrun"/>
        </w:rPr>
      </w:pPr>
      <w:bookmarkStart w:id="33" w:name="_Toc10527192"/>
      <w:bookmarkStart w:id="34" w:name="_Toc23245735"/>
      <w:bookmarkStart w:id="35" w:name="_Toc23245974"/>
      <w:bookmarkStart w:id="36" w:name="_Toc24407986"/>
      <w:bookmarkStart w:id="37" w:name="_Toc24408094"/>
      <w:r w:rsidRPr="00817C15">
        <w:rPr>
          <w:rStyle w:val="normaltextrun"/>
        </w:rPr>
        <w:t>Kopsavilkums</w:t>
      </w:r>
      <w:bookmarkEnd w:id="33"/>
      <w:bookmarkEnd w:id="34"/>
      <w:bookmarkEnd w:id="35"/>
      <w:bookmarkEnd w:id="36"/>
      <w:bookmarkEnd w:id="37"/>
    </w:p>
    <w:p w14:paraId="1279434B" w14:textId="77777777" w:rsidR="00DD44D5" w:rsidRPr="001E38CE" w:rsidRDefault="00DD44D5" w:rsidP="0007326F">
      <w:pPr>
        <w:pStyle w:val="Heading30"/>
      </w:pPr>
      <w:bookmarkStart w:id="38" w:name="_Toc23245736"/>
      <w:bookmarkStart w:id="39" w:name="_Toc23245975"/>
      <w:bookmarkStart w:id="40" w:name="_Toc24407987"/>
      <w:r w:rsidRPr="001E38CE">
        <w:rPr>
          <w:rStyle w:val="normaltextrun"/>
        </w:rPr>
        <w:t>Plāna politiskais, ekonomiskais, </w:t>
      </w:r>
      <w:r w:rsidRPr="001E38CE">
        <w:rPr>
          <w:rStyle w:val="spellingerror"/>
        </w:rPr>
        <w:t>vides aizsardzības</w:t>
      </w:r>
      <w:r w:rsidRPr="001E38CE">
        <w:rPr>
          <w:rStyle w:val="normaltextrun"/>
        </w:rPr>
        <w:t> un sociālais konteksts</w:t>
      </w:r>
      <w:bookmarkEnd w:id="31"/>
      <w:bookmarkEnd w:id="32"/>
      <w:bookmarkEnd w:id="38"/>
      <w:bookmarkEnd w:id="39"/>
      <w:bookmarkEnd w:id="40"/>
      <w:r w:rsidRPr="001E38CE">
        <w:rPr>
          <w:rStyle w:val="eop"/>
        </w:rPr>
        <w:t> </w:t>
      </w:r>
    </w:p>
    <w:p w14:paraId="5117471F" w14:textId="5C16A695" w:rsidR="00DD44D5" w:rsidRPr="00D61280" w:rsidRDefault="00DD44D5" w:rsidP="00DD44D5">
      <w:pPr>
        <w:spacing w:before="120" w:after="120" w:line="240" w:lineRule="auto"/>
        <w:jc w:val="both"/>
        <w:rPr>
          <w:rFonts w:cstheme="minorHAnsi"/>
          <w:szCs w:val="24"/>
        </w:rPr>
      </w:pPr>
      <w:bookmarkStart w:id="41" w:name="_Hlk524704878"/>
      <w:r w:rsidRPr="00D61280">
        <w:rPr>
          <w:rFonts w:cstheme="minorHAnsi"/>
          <w:szCs w:val="24"/>
        </w:rPr>
        <w:t xml:space="preserve">Plāns ir dokuments ilgtermiņa politikas plānošanai, kas izstrādāts saskaņā ar </w:t>
      </w:r>
      <w:r w:rsidR="0028675B">
        <w:rPr>
          <w:rFonts w:cstheme="minorHAnsi"/>
          <w:szCs w:val="24"/>
        </w:rPr>
        <w:t xml:space="preserve">MK </w:t>
      </w:r>
      <w:r w:rsidRPr="00D61280">
        <w:rPr>
          <w:rFonts w:cstheme="minorHAnsi"/>
          <w:szCs w:val="24"/>
        </w:rPr>
        <w:t>2016.gada 3.maija rīkojumu Nr.275 “Par Valdības rīcības plānu Deklarācijas par Māra Kučinska vadītā Ministru kabineta iecerēto darbību īstenošanai”</w:t>
      </w:r>
      <w:r w:rsidRPr="00D61280">
        <w:rPr>
          <w:rStyle w:val="FootnoteReference"/>
          <w:rFonts w:cstheme="minorHAnsi"/>
          <w:szCs w:val="24"/>
        </w:rPr>
        <w:footnoteReference w:id="1"/>
      </w:r>
      <w:r w:rsidRPr="00D61280">
        <w:rPr>
          <w:rFonts w:cstheme="minorHAnsi"/>
          <w:szCs w:val="24"/>
        </w:rPr>
        <w:t xml:space="preserve"> (deklarācijā dotā uzdevuma numurs 013, Pasākuma numurs 13.2) un </w:t>
      </w:r>
      <w:r w:rsidR="0028675B">
        <w:rPr>
          <w:rFonts w:cstheme="minorHAnsi"/>
          <w:szCs w:val="24"/>
        </w:rPr>
        <w:t xml:space="preserve">MK </w:t>
      </w:r>
      <w:r w:rsidRPr="00D61280">
        <w:rPr>
          <w:rFonts w:cstheme="minorHAnsi"/>
          <w:szCs w:val="24"/>
        </w:rPr>
        <w:t>2019. gada 7.maija rīkojumu Nr. 210 “Par Valdības rīcības plānu Deklarācijas par Artura Krišjāņa Kariņa vadītā Ministru kabineta iecerēto darbību īstenošanai”</w:t>
      </w:r>
      <w:r w:rsidRPr="00D61280">
        <w:rPr>
          <w:rStyle w:val="FootnoteReference"/>
          <w:rFonts w:cstheme="minorHAnsi"/>
          <w:szCs w:val="24"/>
        </w:rPr>
        <w:footnoteReference w:id="2"/>
      </w:r>
      <w:r w:rsidRPr="00D61280">
        <w:rPr>
          <w:rFonts w:cstheme="minorHAnsi"/>
          <w:szCs w:val="24"/>
        </w:rPr>
        <w:t xml:space="preserve"> (deklarācijā dotā uzdevuma numurs 062, Pasākuma numurs 62.1).</w:t>
      </w:r>
      <w:r w:rsidR="00987728">
        <w:rPr>
          <w:rFonts w:cstheme="minorHAnsi"/>
          <w:szCs w:val="24"/>
        </w:rPr>
        <w:t xml:space="preserve"> </w:t>
      </w:r>
      <w:r w:rsidR="00987728" w:rsidRPr="00D61280">
        <w:rPr>
          <w:rFonts w:cstheme="minorHAnsi"/>
        </w:rPr>
        <w:t>Plāns ir jāievieš, primāri ievērojot tautsaimniecības attīstības un enerģētikas un klimata mērķus.</w:t>
      </w:r>
    </w:p>
    <w:p w14:paraId="051056EB" w14:textId="46537BCE" w:rsidR="00DD44D5" w:rsidRPr="00D61280" w:rsidRDefault="00DD44D5" w:rsidP="00DD44D5">
      <w:pPr>
        <w:pStyle w:val="Default"/>
        <w:spacing w:before="120" w:after="120"/>
        <w:jc w:val="both"/>
        <w:rPr>
          <w:rFonts w:asciiTheme="minorHAnsi" w:hAnsiTheme="minorHAnsi" w:cstheme="minorHAnsi"/>
          <w:color w:val="auto"/>
        </w:rPr>
      </w:pPr>
      <w:r w:rsidRPr="00D61280">
        <w:rPr>
          <w:rFonts w:asciiTheme="minorHAnsi" w:hAnsiTheme="minorHAnsi" w:cstheme="minorHAnsi"/>
          <w:color w:val="auto"/>
        </w:rPr>
        <w:t>ES līmenī Plāna izstrādi, kā arī Plāna saturu, tajā iekļaujamos nacionālos mērķrādītājus, mērķus un devumus ES mērķu sasniegšanā, informāciju un datus, kā arī rezultatīvos rādītājus nosaka:</w:t>
      </w:r>
    </w:p>
    <w:p w14:paraId="5EE32300" w14:textId="17C6F199" w:rsidR="00DD44D5" w:rsidRPr="00D61280" w:rsidRDefault="00DD44D5" w:rsidP="00DD44D5">
      <w:pPr>
        <w:pStyle w:val="Default"/>
        <w:numPr>
          <w:ilvl w:val="0"/>
          <w:numId w:val="7"/>
        </w:numPr>
        <w:spacing w:before="120" w:after="120"/>
        <w:ind w:left="397" w:hanging="397"/>
        <w:jc w:val="both"/>
        <w:rPr>
          <w:rFonts w:asciiTheme="minorHAnsi" w:hAnsiTheme="minorHAnsi" w:cstheme="minorHAnsi"/>
          <w:color w:val="auto"/>
        </w:rPr>
      </w:pPr>
      <w:r w:rsidRPr="00D61280">
        <w:rPr>
          <w:rFonts w:asciiTheme="minorHAnsi" w:hAnsiTheme="minorHAnsi" w:cstheme="minorHAnsi"/>
          <w:color w:val="auto"/>
        </w:rPr>
        <w:t>KEPS2030</w:t>
      </w:r>
      <w:r w:rsidRPr="00D61280">
        <w:rPr>
          <w:rStyle w:val="FootnoteReference"/>
          <w:rFonts w:asciiTheme="minorHAnsi" w:hAnsiTheme="minorHAnsi" w:cstheme="minorHAnsi"/>
          <w:color w:val="auto"/>
        </w:rPr>
        <w:footnoteReference w:id="3"/>
      </w:r>
      <w:r w:rsidRPr="00D61280">
        <w:rPr>
          <w:rFonts w:asciiTheme="minorHAnsi" w:hAnsiTheme="minorHAnsi" w:cstheme="minorHAnsi"/>
          <w:color w:val="auto"/>
        </w:rPr>
        <w:t>;</w:t>
      </w:r>
    </w:p>
    <w:p w14:paraId="4AC2A897" w14:textId="77777777" w:rsidR="00DD44D5" w:rsidRPr="00D61280" w:rsidRDefault="00DD44D5" w:rsidP="00DD44D5">
      <w:pPr>
        <w:pStyle w:val="Default"/>
        <w:numPr>
          <w:ilvl w:val="0"/>
          <w:numId w:val="7"/>
        </w:numPr>
        <w:spacing w:before="120" w:after="120"/>
        <w:ind w:left="397" w:hanging="397"/>
        <w:jc w:val="both"/>
        <w:rPr>
          <w:rFonts w:asciiTheme="minorHAnsi" w:hAnsiTheme="minorHAnsi" w:cstheme="minorHAnsi"/>
          <w:color w:val="auto"/>
        </w:rPr>
      </w:pPr>
      <w:r w:rsidRPr="00D61280">
        <w:rPr>
          <w:rFonts w:asciiTheme="minorHAnsi" w:hAnsiTheme="minorHAnsi" w:cstheme="minorHAnsi"/>
          <w:color w:val="auto"/>
        </w:rPr>
        <w:t>Transporta, telekomunikāciju un enerģētikas padomes 2015.gada 26.novembra secinājumi “Enerģētikas Savienības pārvaldības sistēma”</w:t>
      </w:r>
      <w:r w:rsidRPr="00D61280">
        <w:rPr>
          <w:rStyle w:val="FootnoteReference"/>
          <w:rFonts w:asciiTheme="minorHAnsi" w:hAnsiTheme="minorHAnsi" w:cstheme="minorHAnsi"/>
          <w:color w:val="auto"/>
        </w:rPr>
        <w:footnoteReference w:id="4"/>
      </w:r>
      <w:r w:rsidRPr="00D61280">
        <w:rPr>
          <w:rFonts w:asciiTheme="minorHAnsi" w:hAnsiTheme="minorHAnsi" w:cstheme="minorHAnsi"/>
          <w:color w:val="auto"/>
        </w:rPr>
        <w:t>;</w:t>
      </w:r>
    </w:p>
    <w:p w14:paraId="28CA90C8" w14:textId="77777777" w:rsidR="00DD44D5" w:rsidRPr="00D61280" w:rsidRDefault="00DD44D5" w:rsidP="00DD44D5">
      <w:pPr>
        <w:pStyle w:val="Default"/>
        <w:numPr>
          <w:ilvl w:val="0"/>
          <w:numId w:val="7"/>
        </w:numPr>
        <w:spacing w:before="120" w:after="120"/>
        <w:ind w:left="397" w:hanging="397"/>
        <w:jc w:val="both"/>
        <w:rPr>
          <w:rFonts w:asciiTheme="minorHAnsi" w:hAnsiTheme="minorHAnsi" w:cstheme="minorHAnsi"/>
          <w:color w:val="auto"/>
        </w:rPr>
      </w:pPr>
      <w:r w:rsidRPr="00D61280">
        <w:rPr>
          <w:rFonts w:asciiTheme="minorHAnsi" w:eastAsia="Calibri" w:hAnsiTheme="minorHAnsi" w:cstheme="minorHAnsi"/>
        </w:rPr>
        <w:t>Eiropas Parlamenta un Padomes 2018.gada 11.decembra regula Nr.2018/1999 par enerģētikas savienības un rīcības klimata politikas jomā pārvaldību un ar ko groza Eiropas Parlamenta un Padomes Regulas (EK) Nr. 663/2009 un (EK) Nr. 715/2009, Eiropas Parlamenta un Padomes Direktīvas 94/22/EK, 98/70/EK, 2009/31/EK, 2009/73/EK, 2010/31/ES, 2012/27/ES un 2013/30/ES, Padomes Direktīvas 2009/119/EK un (ES) 2015/652 un atceļ Eiropas Parlamenta un Padomes Regulu (ES) Nr. 525/2013 (turpmāk – Regula 2018/1999)</w:t>
      </w:r>
      <w:r w:rsidRPr="00D61280">
        <w:rPr>
          <w:rStyle w:val="FootnoteReference"/>
          <w:rFonts w:asciiTheme="minorHAnsi" w:eastAsia="Calibri" w:hAnsiTheme="minorHAnsi" w:cstheme="minorHAnsi"/>
        </w:rPr>
        <w:footnoteReference w:id="5"/>
      </w:r>
      <w:r w:rsidRPr="00D61280">
        <w:rPr>
          <w:rFonts w:asciiTheme="minorHAnsi" w:hAnsiTheme="minorHAnsi" w:cstheme="minorHAnsi"/>
          <w:color w:val="auto"/>
        </w:rPr>
        <w:t>.</w:t>
      </w:r>
    </w:p>
    <w:bookmarkEnd w:id="41"/>
    <w:p w14:paraId="7E212005" w14:textId="77777777" w:rsidR="00DD44D5" w:rsidRPr="00D61280" w:rsidRDefault="00DD44D5" w:rsidP="00DD44D5">
      <w:pPr>
        <w:pStyle w:val="Default"/>
        <w:spacing w:before="120" w:after="120"/>
        <w:jc w:val="both"/>
        <w:rPr>
          <w:rFonts w:asciiTheme="minorHAnsi" w:hAnsiTheme="minorHAnsi" w:cstheme="minorHAnsi"/>
          <w:color w:val="auto"/>
        </w:rPr>
      </w:pPr>
      <w:r w:rsidRPr="00D61280">
        <w:rPr>
          <w:rFonts w:asciiTheme="minorHAnsi" w:hAnsiTheme="minorHAnsi" w:cstheme="minorHAnsi"/>
          <w:color w:val="auto"/>
        </w:rPr>
        <w:t>Katrā dalībvalstī un arī Latvijā Plāns tiek izstrādāts, lai sasniegtu ES noteiktos mērķus vai izteiktās starptautiskās apņemšanās:</w:t>
      </w:r>
    </w:p>
    <w:p w14:paraId="57D65813" w14:textId="77777777" w:rsidR="00DD44D5" w:rsidRPr="00D61280" w:rsidRDefault="00DD44D5" w:rsidP="00DD44D5">
      <w:pPr>
        <w:pStyle w:val="Default"/>
        <w:numPr>
          <w:ilvl w:val="0"/>
          <w:numId w:val="8"/>
        </w:numPr>
        <w:spacing w:before="120" w:after="120"/>
        <w:ind w:left="397" w:hanging="397"/>
        <w:jc w:val="both"/>
        <w:rPr>
          <w:rFonts w:asciiTheme="minorHAnsi" w:hAnsiTheme="minorHAnsi" w:cstheme="minorHAnsi"/>
          <w:color w:val="auto"/>
        </w:rPr>
      </w:pPr>
      <w:r w:rsidRPr="00D61280">
        <w:rPr>
          <w:rFonts w:asciiTheme="minorHAnsi" w:hAnsiTheme="minorHAnsi" w:cstheme="minorHAnsi"/>
          <w:color w:val="auto"/>
        </w:rPr>
        <w:t>ANO Vispārējās konvencijas par klimata pārmaiņām (turpmāk – Konvencija) Parīzes nolīguma ietvaros izteiktās apņemšanās 2030.gadam attiecībā uz klimata pārmaiņu mazināšanu –</w:t>
      </w:r>
      <w:r>
        <w:rPr>
          <w:rFonts w:asciiTheme="minorHAnsi" w:hAnsiTheme="minorHAnsi" w:cstheme="minorHAnsi"/>
          <w:color w:val="auto"/>
        </w:rPr>
        <w:t xml:space="preserve"> SEG</w:t>
      </w:r>
      <w:r w:rsidRPr="00D61280">
        <w:rPr>
          <w:rFonts w:asciiTheme="minorHAnsi" w:hAnsiTheme="minorHAnsi" w:cstheme="minorHAnsi"/>
          <w:color w:val="auto"/>
        </w:rPr>
        <w:t xml:space="preserve"> emisiju samazināšana un lielāka CO</w:t>
      </w:r>
      <w:r w:rsidRPr="00D61280">
        <w:rPr>
          <w:rFonts w:asciiTheme="minorHAnsi" w:hAnsiTheme="minorHAnsi" w:cstheme="minorHAnsi"/>
          <w:color w:val="auto"/>
          <w:vertAlign w:val="subscript"/>
        </w:rPr>
        <w:t>2</w:t>
      </w:r>
      <w:r w:rsidRPr="00D61280">
        <w:rPr>
          <w:rFonts w:asciiTheme="minorHAnsi" w:hAnsiTheme="minorHAnsi" w:cstheme="minorHAnsi"/>
          <w:color w:val="auto"/>
        </w:rPr>
        <w:t xml:space="preserve"> piesaiste visās nozarēs – izmaksu ziņā efektīvā veidā līdz 2030.gadam samazināt kopējās visu ES dalībvalstu SEG emisijas par vismaz 40% salīdzinot ar 1990.gadu.</w:t>
      </w:r>
    </w:p>
    <w:p w14:paraId="54FDBF45" w14:textId="77777777" w:rsidR="00DD44D5" w:rsidRPr="00D61280" w:rsidRDefault="00DD44D5" w:rsidP="00DD44D5">
      <w:pPr>
        <w:pStyle w:val="Default"/>
        <w:numPr>
          <w:ilvl w:val="0"/>
          <w:numId w:val="8"/>
        </w:numPr>
        <w:spacing w:before="120" w:after="120"/>
        <w:ind w:left="397" w:hanging="397"/>
        <w:jc w:val="both"/>
        <w:rPr>
          <w:rFonts w:asciiTheme="minorHAnsi" w:hAnsiTheme="minorHAnsi" w:cstheme="minorHAnsi"/>
          <w:color w:val="auto"/>
        </w:rPr>
      </w:pPr>
      <w:r w:rsidRPr="00D61280">
        <w:rPr>
          <w:rFonts w:asciiTheme="minorHAnsi" w:hAnsiTheme="minorHAnsi" w:cstheme="minorHAnsi"/>
          <w:color w:val="auto"/>
        </w:rPr>
        <w:t>ES “Ceļvedis virzībai uz konkurētspējīgu ekonomiku ar zemu oglekļa dioksīda emisiju līmeni 2050. g.”</w:t>
      </w:r>
      <w:r w:rsidRPr="00D61280">
        <w:rPr>
          <w:rStyle w:val="FootnoteReference"/>
          <w:rFonts w:asciiTheme="minorHAnsi" w:hAnsiTheme="minorHAnsi" w:cstheme="minorHAnsi"/>
          <w:color w:val="auto"/>
        </w:rPr>
        <w:footnoteReference w:id="6"/>
      </w:r>
      <w:r w:rsidRPr="00D61280">
        <w:rPr>
          <w:rFonts w:asciiTheme="minorHAnsi" w:hAnsiTheme="minorHAnsi" w:cstheme="minorHAnsi"/>
          <w:color w:val="auto"/>
        </w:rPr>
        <w:t xml:space="preserve"> – ES 2050.gadā ir gatava savā iekšienē samazināt kopējās ES dalībvalstu emisijas par 80-95% salīdzinājumā ar 1990.g</w:t>
      </w:r>
      <w:r>
        <w:rPr>
          <w:rFonts w:asciiTheme="minorHAnsi" w:hAnsiTheme="minorHAnsi" w:cstheme="minorHAnsi"/>
          <w:color w:val="auto"/>
        </w:rPr>
        <w:t>ada</w:t>
      </w:r>
      <w:r w:rsidRPr="00D61280">
        <w:rPr>
          <w:rFonts w:asciiTheme="minorHAnsi" w:hAnsiTheme="minorHAnsi" w:cstheme="minorHAnsi"/>
          <w:color w:val="auto"/>
        </w:rPr>
        <w:t xml:space="preserve"> līmeni, lai pārietu uz konkurētspējīgu ekonomiku ar zemu oglekļa dioksīda emisiju līmeni. </w:t>
      </w:r>
    </w:p>
    <w:p w14:paraId="259FA943" w14:textId="77777777" w:rsidR="00DD44D5" w:rsidRPr="00D61280" w:rsidRDefault="00DD44D5" w:rsidP="00DD44D5">
      <w:pPr>
        <w:pStyle w:val="Default"/>
        <w:numPr>
          <w:ilvl w:val="0"/>
          <w:numId w:val="8"/>
        </w:numPr>
        <w:spacing w:before="120" w:after="120"/>
        <w:ind w:left="397" w:hanging="397"/>
        <w:jc w:val="both"/>
        <w:rPr>
          <w:rFonts w:asciiTheme="minorHAnsi" w:hAnsiTheme="minorHAnsi" w:cstheme="minorHAnsi"/>
          <w:color w:val="auto"/>
        </w:rPr>
      </w:pPr>
      <w:r w:rsidRPr="00D61280">
        <w:rPr>
          <w:rFonts w:asciiTheme="minorHAnsi" w:hAnsiTheme="minorHAnsi" w:cstheme="minorHAnsi"/>
          <w:color w:val="auto"/>
        </w:rPr>
        <w:t>ES “Tīra planēta visiem – Eiropas stratēģisks ilgtermiņa redzējums uz pārtikušu, modernu, konkurētspējīgu un klimatam neitrālu ekonomiku” – ES 2050.gadā ir gatava panākt “klimata neitralitāti”</w:t>
      </w:r>
      <w:r w:rsidRPr="00D61280">
        <w:rPr>
          <w:rStyle w:val="FootnoteReference"/>
          <w:rFonts w:asciiTheme="minorHAnsi" w:hAnsiTheme="minorHAnsi" w:cstheme="minorHAnsi"/>
          <w:color w:val="auto"/>
        </w:rPr>
        <w:footnoteReference w:id="7"/>
      </w:r>
      <w:r w:rsidRPr="00D61280">
        <w:rPr>
          <w:rFonts w:asciiTheme="minorHAnsi" w:hAnsiTheme="minorHAnsi" w:cstheme="minorHAnsi"/>
          <w:color w:val="auto"/>
        </w:rPr>
        <w:t xml:space="preserve">, kas nosaka ES kopējo SEG emisiju apjoma </w:t>
      </w:r>
      <w:r w:rsidRPr="00D61280">
        <w:rPr>
          <w:rFonts w:asciiTheme="minorHAnsi" w:hAnsiTheme="minorHAnsi" w:cstheme="minorHAnsi"/>
          <w:i/>
          <w:color w:val="auto"/>
        </w:rPr>
        <w:t>net-zero</w:t>
      </w:r>
      <w:r w:rsidRPr="00D61280">
        <w:rPr>
          <w:rFonts w:asciiTheme="minorHAnsi" w:hAnsiTheme="minorHAnsi" w:cstheme="minorHAnsi"/>
          <w:color w:val="auto"/>
        </w:rPr>
        <w:t xml:space="preserve"> principu, kur kopumā radītais SEG emisiju apjoms tiek pilnībā nosegts ar radīto CO</w:t>
      </w:r>
      <w:r w:rsidRPr="00D61280">
        <w:rPr>
          <w:rFonts w:asciiTheme="minorHAnsi" w:hAnsiTheme="minorHAnsi" w:cstheme="minorHAnsi"/>
          <w:color w:val="auto"/>
          <w:vertAlign w:val="subscript"/>
        </w:rPr>
        <w:t>2</w:t>
      </w:r>
      <w:r w:rsidRPr="00D61280">
        <w:rPr>
          <w:rFonts w:asciiTheme="minorHAnsi" w:hAnsiTheme="minorHAnsi" w:cstheme="minorHAnsi"/>
          <w:color w:val="auto"/>
        </w:rPr>
        <w:t xml:space="preserve"> piesaisti vai, izmantojot noteiktas tehnoloģijas, netiek pieļauta radītā SEG emisiju apjoma izlaide.</w:t>
      </w:r>
    </w:p>
    <w:p w14:paraId="792D3818" w14:textId="77777777" w:rsidR="00DD44D5" w:rsidRPr="00D61280" w:rsidRDefault="00DD44D5" w:rsidP="00DD44D5">
      <w:pPr>
        <w:pStyle w:val="Default"/>
        <w:numPr>
          <w:ilvl w:val="0"/>
          <w:numId w:val="8"/>
        </w:numPr>
        <w:spacing w:before="120" w:after="120"/>
        <w:ind w:left="397" w:hanging="397"/>
        <w:jc w:val="both"/>
        <w:rPr>
          <w:rFonts w:asciiTheme="minorHAnsi" w:hAnsiTheme="minorHAnsi" w:cstheme="minorHAnsi"/>
          <w:color w:val="auto"/>
        </w:rPr>
      </w:pPr>
      <w:r w:rsidRPr="00D61280">
        <w:rPr>
          <w:rFonts w:asciiTheme="minorHAnsi" w:hAnsiTheme="minorHAnsi" w:cstheme="minorHAnsi"/>
          <w:color w:val="auto"/>
        </w:rPr>
        <w:t>KEPS2030.</w:t>
      </w:r>
    </w:p>
    <w:p w14:paraId="56CDD8DE" w14:textId="5213041A" w:rsidR="00DD44D5" w:rsidRPr="00D61280" w:rsidRDefault="00DD44D5" w:rsidP="00DD44D5">
      <w:pPr>
        <w:spacing w:before="120" w:after="120" w:line="240" w:lineRule="auto"/>
        <w:jc w:val="both"/>
        <w:rPr>
          <w:rFonts w:eastAsia="Calibri" w:cstheme="minorHAnsi"/>
          <w:color w:val="000000"/>
          <w:szCs w:val="24"/>
        </w:rPr>
      </w:pPr>
      <w:r w:rsidRPr="00D61280">
        <w:rPr>
          <w:rFonts w:eastAsia="Calibri" w:cstheme="minorHAnsi"/>
          <w:bCs/>
          <w:szCs w:val="24"/>
        </w:rPr>
        <w:t>Tā kā Plāna izstrādi nosaka ES līmeņa dokuments – Regula Nr.2018/1999</w:t>
      </w:r>
      <w:r w:rsidRPr="00D61280">
        <w:rPr>
          <w:rFonts w:eastAsia="Calibri" w:cstheme="minorHAnsi"/>
          <w:color w:val="000000"/>
          <w:szCs w:val="24"/>
        </w:rPr>
        <w:t xml:space="preserve">, tad šis politikas plānošanas dokuments ir sagatavots, ievērojot </w:t>
      </w:r>
      <w:r w:rsidR="0028675B">
        <w:rPr>
          <w:rFonts w:eastAsia="Calibri" w:cstheme="minorHAnsi"/>
          <w:color w:val="000000"/>
          <w:szCs w:val="24"/>
        </w:rPr>
        <w:t xml:space="preserve">MK </w:t>
      </w:r>
      <w:r w:rsidRPr="00D61280">
        <w:rPr>
          <w:rFonts w:eastAsia="Calibri" w:cstheme="minorHAnsi"/>
          <w:color w:val="000000"/>
          <w:szCs w:val="24"/>
        </w:rPr>
        <w:t xml:space="preserve">2014. gada 2. decembra noteikumu Nr.737 “Attīstības plānošanas dokumentu izstrādes un ietekmes izvērtēšanas noteikumi” 6.punktu, pēc iespējas Plānu izstrādājot atbilstoši šajos </w:t>
      </w:r>
      <w:r w:rsidR="0028675B">
        <w:rPr>
          <w:rFonts w:eastAsia="Calibri" w:cstheme="minorHAnsi"/>
          <w:color w:val="000000"/>
          <w:szCs w:val="24"/>
        </w:rPr>
        <w:t xml:space="preserve">MK </w:t>
      </w:r>
      <w:r w:rsidRPr="00D61280">
        <w:rPr>
          <w:rFonts w:eastAsia="Calibri" w:cstheme="minorHAnsi"/>
          <w:color w:val="000000"/>
          <w:szCs w:val="24"/>
        </w:rPr>
        <w:t>noteikumos noteiktajiem nosacījumiem politikas plānošanas dokumenta veidam – plāns.</w:t>
      </w:r>
    </w:p>
    <w:p w14:paraId="3205A912" w14:textId="77777777" w:rsidR="00DD44D5" w:rsidRPr="00D61280" w:rsidRDefault="00DD44D5" w:rsidP="0007326F">
      <w:pPr>
        <w:pStyle w:val="Heading30"/>
        <w:rPr>
          <w:rStyle w:val="eop"/>
          <w:rFonts w:eastAsiaTheme="minorHAnsi" w:cstheme="minorBidi"/>
          <w:szCs w:val="22"/>
          <w:u w:val="none"/>
          <w:lang w:eastAsia="en-US"/>
        </w:rPr>
      </w:pPr>
      <w:bookmarkStart w:id="42" w:name="_Toc520978794"/>
      <w:bookmarkStart w:id="43" w:name="_Toc527529415"/>
      <w:bookmarkStart w:id="44" w:name="_Toc23245737"/>
      <w:bookmarkStart w:id="45" w:name="_Toc23245976"/>
      <w:bookmarkStart w:id="46" w:name="_Toc24407988"/>
      <w:r w:rsidRPr="00D61280">
        <w:rPr>
          <w:rStyle w:val="normaltextrun"/>
        </w:rPr>
        <w:t>Stratēģija attiecībā uz visām enerģētikas savienības dimensijām</w:t>
      </w:r>
      <w:bookmarkEnd w:id="42"/>
      <w:bookmarkEnd w:id="43"/>
      <w:bookmarkEnd w:id="44"/>
      <w:bookmarkEnd w:id="45"/>
      <w:bookmarkEnd w:id="46"/>
    </w:p>
    <w:p w14:paraId="1E33EB03" w14:textId="77777777" w:rsidR="00DD44D5" w:rsidRPr="00D61280" w:rsidRDefault="00DD44D5" w:rsidP="00DD44D5">
      <w:pPr>
        <w:spacing w:before="120" w:after="120" w:line="240" w:lineRule="auto"/>
        <w:jc w:val="both"/>
        <w:rPr>
          <w:rFonts w:cstheme="minorHAnsi"/>
          <w:color w:val="000000" w:themeColor="text1"/>
          <w:szCs w:val="24"/>
          <w:shd w:val="clear" w:color="auto" w:fill="FFFFFF"/>
        </w:rPr>
      </w:pPr>
      <w:r w:rsidRPr="00D61280">
        <w:rPr>
          <w:rFonts w:cstheme="minorHAnsi"/>
          <w:szCs w:val="24"/>
        </w:rPr>
        <w:t xml:space="preserve">Plānā ir iekļauti visu EnS dimensiju mērķi un to sasniegšanai nepieciešamās rīcībpolitikas un pasākumi. </w:t>
      </w:r>
      <w:r w:rsidRPr="00D61280">
        <w:rPr>
          <w:rFonts w:cstheme="minorHAnsi"/>
          <w:color w:val="000000" w:themeColor="text1"/>
          <w:szCs w:val="24"/>
          <w:shd w:val="clear" w:color="auto" w:fill="FFFFFF"/>
        </w:rPr>
        <w:t>Joprojām turpinās diskusijas par ES dalībvalstīm pieejamo ES fondu apjomu, tai skaitā par KF finansējumu 2021.-2027.gada plānošanas periodam un atbalsta tvērumu. Latvijā Kohēzijas politikas finansējuma sadalījumu 2021.-2027.gada plānošanas periodam tiek plānots balstīt uz L</w:t>
      </w:r>
      <w:r>
        <w:rPr>
          <w:rFonts w:cstheme="minorHAnsi"/>
          <w:color w:val="000000" w:themeColor="text1"/>
          <w:szCs w:val="24"/>
          <w:shd w:val="clear" w:color="auto" w:fill="FFFFFF"/>
        </w:rPr>
        <w:t>NAP2027</w:t>
      </w:r>
      <w:r w:rsidRPr="00D61280">
        <w:rPr>
          <w:rFonts w:cstheme="minorHAnsi"/>
          <w:color w:val="000000" w:themeColor="text1"/>
          <w:szCs w:val="24"/>
          <w:shd w:val="clear" w:color="auto" w:fill="FFFFFF"/>
        </w:rPr>
        <w:t xml:space="preserve"> noteikto. Tāpēc Plānā minētais finansējuma avots atbalsta programmām, kuru īstenošanai plānots piesaistīt Kohēzijas politikas finansējumu ir indikatīvs.</w:t>
      </w:r>
    </w:p>
    <w:p w14:paraId="48CB92E7" w14:textId="77777777" w:rsidR="00DD44D5" w:rsidRPr="00D61280" w:rsidRDefault="00DD44D5" w:rsidP="0007326F">
      <w:pPr>
        <w:pStyle w:val="Heading30"/>
        <w:rPr>
          <w:shd w:val="clear" w:color="auto" w:fill="FFFFFF"/>
        </w:rPr>
      </w:pPr>
      <w:bookmarkStart w:id="47" w:name="_Toc23245738"/>
      <w:bookmarkStart w:id="48" w:name="_Toc23245977"/>
      <w:bookmarkStart w:id="49" w:name="_Toc24407989"/>
      <w:r>
        <w:t>P</w:t>
      </w:r>
      <w:r w:rsidRPr="00D61280">
        <w:t>lāna galvenie mērķi</w:t>
      </w:r>
      <w:bookmarkEnd w:id="47"/>
      <w:bookmarkEnd w:id="48"/>
      <w:bookmarkEnd w:id="49"/>
    </w:p>
    <w:bookmarkStart w:id="50" w:name="_Hlk519784759"/>
    <w:bookmarkStart w:id="51" w:name="_Hlk531553230"/>
    <w:p w14:paraId="44CF8654" w14:textId="01BC56F4" w:rsidR="00DD44D5" w:rsidRPr="00D61280" w:rsidRDefault="00DD44D5" w:rsidP="00DD44D5">
      <w:pPr>
        <w:pStyle w:val="Caption"/>
        <w:rPr>
          <w:rFonts w:asciiTheme="minorHAnsi" w:hAnsiTheme="minorHAnsi" w:cstheme="minorHAnsi"/>
        </w:rPr>
      </w:pPr>
      <w:r w:rsidRPr="00D61280">
        <w:rPr>
          <w:rFonts w:asciiTheme="minorHAnsi" w:hAnsiTheme="minorHAnsi" w:cstheme="minorHAnsi"/>
        </w:rPr>
        <w:fldChar w:fldCharType="begin"/>
      </w:r>
      <w:r w:rsidRPr="00D61280">
        <w:rPr>
          <w:rFonts w:asciiTheme="minorHAnsi" w:hAnsiTheme="minorHAnsi" w:cstheme="minorHAnsi"/>
        </w:rPr>
        <w:instrText xml:space="preserve"> SEQ Tabula \* ARABIC </w:instrText>
      </w:r>
      <w:r w:rsidRPr="00D61280">
        <w:rPr>
          <w:rFonts w:asciiTheme="minorHAnsi" w:hAnsiTheme="minorHAnsi" w:cstheme="minorHAnsi"/>
        </w:rPr>
        <w:fldChar w:fldCharType="separate"/>
      </w:r>
      <w:bookmarkStart w:id="52" w:name="_Toc531333141"/>
      <w:r w:rsidR="006E6675">
        <w:rPr>
          <w:rFonts w:asciiTheme="minorHAnsi" w:hAnsiTheme="minorHAnsi" w:cstheme="minorHAnsi"/>
          <w:noProof/>
        </w:rPr>
        <w:t>1</w:t>
      </w:r>
      <w:r w:rsidRPr="00D61280">
        <w:rPr>
          <w:rFonts w:asciiTheme="minorHAnsi" w:hAnsiTheme="minorHAnsi" w:cstheme="minorHAnsi"/>
        </w:rPr>
        <w:fldChar w:fldCharType="end"/>
      </w:r>
      <w:r w:rsidRPr="00D61280">
        <w:rPr>
          <w:rFonts w:asciiTheme="minorHAnsi" w:hAnsiTheme="minorHAnsi" w:cstheme="minorHAnsi"/>
        </w:rPr>
        <w:t>. tabula. ES un Latvijas EnS dimensiju politikas rezultāti un to galvenie rezultatīvie radītāji</w:t>
      </w:r>
      <w:bookmarkEnd w:id="52"/>
    </w:p>
    <w:tbl>
      <w:tblPr>
        <w:tblW w:w="98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75"/>
        <w:gridCol w:w="999"/>
        <w:gridCol w:w="967"/>
        <w:gridCol w:w="1057"/>
        <w:gridCol w:w="1100"/>
        <w:gridCol w:w="1009"/>
      </w:tblGrid>
      <w:tr w:rsidR="00DD44D5" w:rsidRPr="00D61280" w14:paraId="28859DAB" w14:textId="77777777" w:rsidTr="00560FA1">
        <w:trPr>
          <w:tblHeader/>
          <w:jc w:val="center"/>
        </w:trPr>
        <w:tc>
          <w:tcPr>
            <w:tcW w:w="4675" w:type="dxa"/>
            <w:vMerge w:val="restart"/>
            <w:shd w:val="clear" w:color="auto" w:fill="F2F2F2" w:themeFill="background1" w:themeFillShade="F2"/>
            <w:vAlign w:val="center"/>
          </w:tcPr>
          <w:p w14:paraId="68611942" w14:textId="77777777" w:rsidR="00DD44D5" w:rsidRPr="00D61280" w:rsidRDefault="00DD44D5" w:rsidP="00560FA1">
            <w:pPr>
              <w:spacing w:after="0" w:line="240" w:lineRule="auto"/>
              <w:rPr>
                <w:rFonts w:cstheme="minorHAnsi"/>
                <w:b/>
                <w:color w:val="000000" w:themeColor="text1"/>
                <w:sz w:val="22"/>
              </w:rPr>
            </w:pPr>
            <w:bookmarkStart w:id="53" w:name="_Hlk531876169"/>
            <w:bookmarkStart w:id="54" w:name="_Hlk522202425"/>
            <w:bookmarkEnd w:id="50"/>
            <w:r w:rsidRPr="00D61280">
              <w:rPr>
                <w:rFonts w:cstheme="minorHAnsi"/>
                <w:b/>
                <w:color w:val="000000" w:themeColor="text1"/>
                <w:sz w:val="22"/>
              </w:rPr>
              <w:t>Politikas rezultāts katrā Plāna dimensijā</w:t>
            </w:r>
          </w:p>
        </w:tc>
        <w:tc>
          <w:tcPr>
            <w:tcW w:w="1966" w:type="dxa"/>
            <w:gridSpan w:val="2"/>
            <w:shd w:val="clear" w:color="auto" w:fill="F2F2F2" w:themeFill="background1" w:themeFillShade="F2"/>
            <w:vAlign w:val="center"/>
          </w:tcPr>
          <w:p w14:paraId="7012E386"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ES</w:t>
            </w:r>
          </w:p>
        </w:tc>
        <w:tc>
          <w:tcPr>
            <w:tcW w:w="3166" w:type="dxa"/>
            <w:gridSpan w:val="3"/>
            <w:shd w:val="clear" w:color="auto" w:fill="F2F2F2" w:themeFill="background1" w:themeFillShade="F2"/>
            <w:vAlign w:val="center"/>
          </w:tcPr>
          <w:p w14:paraId="1FAF70C3"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Latvija</w:t>
            </w:r>
          </w:p>
        </w:tc>
      </w:tr>
      <w:tr w:rsidR="00DD44D5" w:rsidRPr="00D61280" w14:paraId="6717DC4F" w14:textId="77777777" w:rsidTr="00560FA1">
        <w:trPr>
          <w:tblHeader/>
          <w:jc w:val="center"/>
        </w:trPr>
        <w:tc>
          <w:tcPr>
            <w:tcW w:w="4675" w:type="dxa"/>
            <w:vMerge/>
            <w:shd w:val="clear" w:color="auto" w:fill="F2F2F2" w:themeFill="background1" w:themeFillShade="F2"/>
            <w:vAlign w:val="center"/>
          </w:tcPr>
          <w:p w14:paraId="28FE5EC6" w14:textId="77777777" w:rsidR="00DD44D5" w:rsidRPr="00D61280" w:rsidRDefault="00DD44D5" w:rsidP="00560FA1">
            <w:pPr>
              <w:spacing w:after="0" w:line="240" w:lineRule="auto"/>
              <w:rPr>
                <w:rFonts w:cstheme="minorHAnsi"/>
                <w:b/>
                <w:color w:val="000000" w:themeColor="text1"/>
                <w:sz w:val="22"/>
              </w:rPr>
            </w:pPr>
          </w:p>
        </w:tc>
        <w:tc>
          <w:tcPr>
            <w:tcW w:w="1966" w:type="dxa"/>
            <w:gridSpan w:val="2"/>
            <w:shd w:val="clear" w:color="auto" w:fill="F2F2F2" w:themeFill="background1" w:themeFillShade="F2"/>
            <w:vAlign w:val="center"/>
          </w:tcPr>
          <w:p w14:paraId="41868781"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mērķa vērtība</w:t>
            </w:r>
          </w:p>
        </w:tc>
        <w:tc>
          <w:tcPr>
            <w:tcW w:w="1057" w:type="dxa"/>
            <w:shd w:val="clear" w:color="auto" w:fill="F2F2F2" w:themeFill="background1" w:themeFillShade="F2"/>
            <w:vAlign w:val="center"/>
          </w:tcPr>
          <w:p w14:paraId="610934D5"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faktiskā vērtība</w:t>
            </w:r>
          </w:p>
        </w:tc>
        <w:tc>
          <w:tcPr>
            <w:tcW w:w="2109" w:type="dxa"/>
            <w:gridSpan w:val="2"/>
            <w:shd w:val="clear" w:color="auto" w:fill="F2F2F2" w:themeFill="background1" w:themeFillShade="F2"/>
            <w:vAlign w:val="center"/>
          </w:tcPr>
          <w:p w14:paraId="393CA878"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mērķa vērtība</w:t>
            </w:r>
            <w:r w:rsidRPr="00D61280">
              <w:rPr>
                <w:rStyle w:val="FootnoteReference"/>
                <w:rFonts w:cstheme="minorHAnsi"/>
                <w:b/>
                <w:bCs/>
                <w:sz w:val="22"/>
              </w:rPr>
              <w:footnoteReference w:id="8"/>
            </w:r>
          </w:p>
        </w:tc>
      </w:tr>
      <w:tr w:rsidR="00DD44D5" w:rsidRPr="00D61280" w14:paraId="44CF76AA" w14:textId="77777777" w:rsidTr="00560FA1">
        <w:trPr>
          <w:tblHeader/>
          <w:jc w:val="center"/>
        </w:trPr>
        <w:tc>
          <w:tcPr>
            <w:tcW w:w="4675" w:type="dxa"/>
            <w:vMerge/>
            <w:shd w:val="clear" w:color="auto" w:fill="F2F2F2" w:themeFill="background1" w:themeFillShade="F2"/>
            <w:vAlign w:val="center"/>
          </w:tcPr>
          <w:p w14:paraId="196B9EF0" w14:textId="77777777" w:rsidR="00DD44D5" w:rsidRPr="00D61280" w:rsidRDefault="00DD44D5" w:rsidP="00560FA1">
            <w:pPr>
              <w:spacing w:after="0" w:line="240" w:lineRule="auto"/>
              <w:rPr>
                <w:rFonts w:cstheme="minorHAnsi"/>
                <w:b/>
                <w:color w:val="000000" w:themeColor="text1"/>
                <w:sz w:val="22"/>
              </w:rPr>
            </w:pPr>
          </w:p>
        </w:tc>
        <w:tc>
          <w:tcPr>
            <w:tcW w:w="999" w:type="dxa"/>
            <w:shd w:val="clear" w:color="auto" w:fill="F2F2F2" w:themeFill="background1" w:themeFillShade="F2"/>
            <w:vAlign w:val="center"/>
          </w:tcPr>
          <w:p w14:paraId="50BD27AA" w14:textId="77777777" w:rsidR="00DD44D5" w:rsidRPr="00D61280" w:rsidRDefault="00DD44D5" w:rsidP="00560FA1">
            <w:pPr>
              <w:pStyle w:val="ListParagraph"/>
              <w:spacing w:after="0" w:line="240" w:lineRule="auto"/>
              <w:ind w:left="0"/>
              <w:contextualSpacing w:val="0"/>
              <w:jc w:val="center"/>
              <w:rPr>
                <w:rFonts w:cstheme="minorHAnsi"/>
                <w:b/>
                <w:color w:val="000000" w:themeColor="text1"/>
                <w:sz w:val="22"/>
              </w:rPr>
            </w:pPr>
            <w:r w:rsidRPr="00D61280">
              <w:rPr>
                <w:rFonts w:cstheme="minorHAnsi"/>
                <w:b/>
                <w:color w:val="000000" w:themeColor="text1"/>
                <w:sz w:val="22"/>
              </w:rPr>
              <w:t>2020</w:t>
            </w:r>
            <w:r w:rsidRPr="00D61280">
              <w:rPr>
                <w:rStyle w:val="FootnoteReference"/>
                <w:rFonts w:cstheme="minorHAnsi"/>
                <w:b/>
                <w:color w:val="000000" w:themeColor="text1"/>
                <w:sz w:val="22"/>
              </w:rPr>
              <w:footnoteReference w:id="9"/>
            </w:r>
          </w:p>
        </w:tc>
        <w:tc>
          <w:tcPr>
            <w:tcW w:w="967" w:type="dxa"/>
            <w:shd w:val="clear" w:color="auto" w:fill="F2F2F2" w:themeFill="background1" w:themeFillShade="F2"/>
            <w:vAlign w:val="center"/>
          </w:tcPr>
          <w:p w14:paraId="03A793BB" w14:textId="77777777" w:rsidR="00DD44D5" w:rsidRPr="00D61280" w:rsidRDefault="00DD44D5" w:rsidP="00560FA1">
            <w:pPr>
              <w:pStyle w:val="ListParagraph"/>
              <w:spacing w:after="0" w:line="240" w:lineRule="auto"/>
              <w:ind w:left="0"/>
              <w:contextualSpacing w:val="0"/>
              <w:jc w:val="center"/>
              <w:rPr>
                <w:rFonts w:cstheme="minorHAnsi"/>
                <w:b/>
                <w:color w:val="000000" w:themeColor="text1"/>
                <w:sz w:val="22"/>
              </w:rPr>
            </w:pPr>
            <w:r w:rsidRPr="00D61280">
              <w:rPr>
                <w:rFonts w:cstheme="minorHAnsi"/>
                <w:b/>
                <w:color w:val="000000" w:themeColor="text1"/>
                <w:sz w:val="22"/>
              </w:rPr>
              <w:t>2030</w:t>
            </w:r>
            <w:r w:rsidRPr="00D61280">
              <w:rPr>
                <w:rStyle w:val="FootnoteReference"/>
                <w:rFonts w:cstheme="minorHAnsi"/>
                <w:b/>
                <w:color w:val="000000" w:themeColor="text1"/>
                <w:sz w:val="22"/>
              </w:rPr>
              <w:footnoteReference w:id="10"/>
            </w:r>
          </w:p>
        </w:tc>
        <w:tc>
          <w:tcPr>
            <w:tcW w:w="1057" w:type="dxa"/>
            <w:shd w:val="clear" w:color="auto" w:fill="F2F2F2" w:themeFill="background1" w:themeFillShade="F2"/>
            <w:vAlign w:val="center"/>
          </w:tcPr>
          <w:p w14:paraId="4EDB20C9"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2017</w:t>
            </w:r>
          </w:p>
        </w:tc>
        <w:tc>
          <w:tcPr>
            <w:tcW w:w="1100" w:type="dxa"/>
            <w:shd w:val="clear" w:color="auto" w:fill="F2F2F2" w:themeFill="background1" w:themeFillShade="F2"/>
            <w:vAlign w:val="center"/>
          </w:tcPr>
          <w:p w14:paraId="47858D2B"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2020</w:t>
            </w:r>
          </w:p>
        </w:tc>
        <w:tc>
          <w:tcPr>
            <w:tcW w:w="1009" w:type="dxa"/>
            <w:shd w:val="clear" w:color="auto" w:fill="F2F2F2" w:themeFill="background1" w:themeFillShade="F2"/>
            <w:vAlign w:val="center"/>
          </w:tcPr>
          <w:p w14:paraId="698595C4" w14:textId="77777777" w:rsidR="00DD44D5" w:rsidRPr="00D61280" w:rsidRDefault="00DD44D5" w:rsidP="00560FA1">
            <w:pPr>
              <w:spacing w:after="0" w:line="240" w:lineRule="auto"/>
              <w:jc w:val="center"/>
              <w:rPr>
                <w:rFonts w:cstheme="minorHAnsi"/>
                <w:b/>
                <w:color w:val="000000" w:themeColor="text1"/>
                <w:sz w:val="22"/>
              </w:rPr>
            </w:pPr>
            <w:r w:rsidRPr="00D61280">
              <w:rPr>
                <w:rFonts w:cstheme="minorHAnsi"/>
                <w:b/>
                <w:color w:val="000000" w:themeColor="text1"/>
                <w:sz w:val="22"/>
              </w:rPr>
              <w:t>2030</w:t>
            </w:r>
          </w:p>
        </w:tc>
      </w:tr>
      <w:tr w:rsidR="00DD44D5" w:rsidRPr="00D61280" w14:paraId="459FFDEF" w14:textId="77777777" w:rsidTr="00560FA1">
        <w:trPr>
          <w:jc w:val="center"/>
        </w:trPr>
        <w:tc>
          <w:tcPr>
            <w:tcW w:w="4675" w:type="dxa"/>
            <w:vAlign w:val="center"/>
          </w:tcPr>
          <w:p w14:paraId="66083843" w14:textId="77777777" w:rsidR="00DD44D5" w:rsidRPr="00D61280" w:rsidRDefault="00DD44D5" w:rsidP="00560FA1">
            <w:pPr>
              <w:spacing w:after="0" w:line="240" w:lineRule="auto"/>
              <w:rPr>
                <w:rFonts w:cstheme="minorHAnsi"/>
                <w:color w:val="000000" w:themeColor="text1"/>
                <w:szCs w:val="24"/>
              </w:rPr>
            </w:pPr>
            <w:r w:rsidRPr="00D61280">
              <w:rPr>
                <w:rFonts w:cstheme="minorHAnsi"/>
                <w:color w:val="000000" w:themeColor="text1"/>
                <w:szCs w:val="24"/>
              </w:rPr>
              <w:t>1.1. SEG emisiju samazināšanas mērķis (% pret 1990.g.)</w:t>
            </w:r>
          </w:p>
        </w:tc>
        <w:tc>
          <w:tcPr>
            <w:tcW w:w="999" w:type="dxa"/>
            <w:vAlign w:val="center"/>
          </w:tcPr>
          <w:p w14:paraId="646360BE"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-20</w:t>
            </w:r>
          </w:p>
        </w:tc>
        <w:tc>
          <w:tcPr>
            <w:tcW w:w="967" w:type="dxa"/>
            <w:vAlign w:val="center"/>
          </w:tcPr>
          <w:p w14:paraId="53834345"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-40</w:t>
            </w:r>
          </w:p>
        </w:tc>
        <w:tc>
          <w:tcPr>
            <w:tcW w:w="1057" w:type="dxa"/>
            <w:vAlign w:val="center"/>
          </w:tcPr>
          <w:p w14:paraId="6DB89DA2"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-57</w:t>
            </w:r>
          </w:p>
        </w:tc>
        <w:tc>
          <w:tcPr>
            <w:tcW w:w="1100" w:type="dxa"/>
            <w:vAlign w:val="center"/>
          </w:tcPr>
          <w:p w14:paraId="5E843B72"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w:t>
            </w:r>
          </w:p>
        </w:tc>
        <w:tc>
          <w:tcPr>
            <w:tcW w:w="1009" w:type="dxa"/>
            <w:shd w:val="clear" w:color="auto" w:fill="auto"/>
            <w:vAlign w:val="center"/>
          </w:tcPr>
          <w:p w14:paraId="11E97E53" w14:textId="77777777" w:rsidR="00DD44D5" w:rsidRPr="00D61280" w:rsidRDefault="00DD44D5" w:rsidP="00560FA1">
            <w:pPr>
              <w:spacing w:after="0" w:line="240" w:lineRule="auto"/>
              <w:jc w:val="center"/>
              <w:rPr>
                <w:rFonts w:cstheme="minorHAnsi"/>
                <w:bCs/>
                <w:iCs/>
                <w:color w:val="000000" w:themeColor="text1"/>
                <w:szCs w:val="24"/>
              </w:rPr>
            </w:pPr>
            <w:r w:rsidRPr="00D61280">
              <w:rPr>
                <w:rFonts w:cstheme="minorHAnsi"/>
                <w:bCs/>
                <w:iCs/>
                <w:color w:val="000000" w:themeColor="text1"/>
                <w:szCs w:val="24"/>
              </w:rPr>
              <w:t>-55</w:t>
            </w:r>
          </w:p>
        </w:tc>
      </w:tr>
      <w:tr w:rsidR="00DD44D5" w:rsidRPr="00D61280" w14:paraId="7841F4A4" w14:textId="77777777" w:rsidTr="00560FA1">
        <w:trPr>
          <w:jc w:val="center"/>
        </w:trPr>
        <w:tc>
          <w:tcPr>
            <w:tcW w:w="4675" w:type="dxa"/>
            <w:vAlign w:val="center"/>
          </w:tcPr>
          <w:p w14:paraId="25DD941D" w14:textId="77777777" w:rsidR="00DD44D5" w:rsidRPr="00D61280" w:rsidRDefault="00DD44D5" w:rsidP="00560FA1">
            <w:pPr>
              <w:spacing w:after="0" w:line="240" w:lineRule="auto"/>
              <w:rPr>
                <w:rFonts w:cstheme="minorHAnsi"/>
                <w:color w:val="000000" w:themeColor="text1"/>
                <w:szCs w:val="24"/>
              </w:rPr>
            </w:pPr>
            <w:r w:rsidRPr="00D61280">
              <w:rPr>
                <w:rFonts w:cstheme="minorHAnsi"/>
                <w:color w:val="000000" w:themeColor="text1"/>
                <w:szCs w:val="24"/>
              </w:rPr>
              <w:t>1.1.1. Ne-ETS darbības (% pret 2005.g.)</w:t>
            </w:r>
          </w:p>
        </w:tc>
        <w:tc>
          <w:tcPr>
            <w:tcW w:w="999" w:type="dxa"/>
            <w:vAlign w:val="center"/>
          </w:tcPr>
          <w:p w14:paraId="4087F1A7"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-10</w:t>
            </w:r>
          </w:p>
        </w:tc>
        <w:tc>
          <w:tcPr>
            <w:tcW w:w="967" w:type="dxa"/>
            <w:vAlign w:val="center"/>
          </w:tcPr>
          <w:p w14:paraId="3A4E7AB2"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-30</w:t>
            </w:r>
          </w:p>
        </w:tc>
        <w:tc>
          <w:tcPr>
            <w:tcW w:w="1057" w:type="dxa"/>
            <w:vAlign w:val="center"/>
          </w:tcPr>
          <w:p w14:paraId="6FC5CF22"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+7</w:t>
            </w:r>
          </w:p>
        </w:tc>
        <w:tc>
          <w:tcPr>
            <w:tcW w:w="1100" w:type="dxa"/>
            <w:vAlign w:val="center"/>
          </w:tcPr>
          <w:p w14:paraId="12A84EB4"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+17</w:t>
            </w:r>
          </w:p>
        </w:tc>
        <w:tc>
          <w:tcPr>
            <w:tcW w:w="1009" w:type="dxa"/>
            <w:shd w:val="clear" w:color="auto" w:fill="auto"/>
            <w:vAlign w:val="center"/>
          </w:tcPr>
          <w:p w14:paraId="5DE012E6"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-6</w:t>
            </w:r>
          </w:p>
        </w:tc>
      </w:tr>
      <w:tr w:rsidR="00DD44D5" w:rsidRPr="00D61280" w14:paraId="01943DB0" w14:textId="77777777" w:rsidTr="00560FA1">
        <w:trPr>
          <w:jc w:val="center"/>
        </w:trPr>
        <w:tc>
          <w:tcPr>
            <w:tcW w:w="4675" w:type="dxa"/>
            <w:vAlign w:val="center"/>
          </w:tcPr>
          <w:p w14:paraId="155337C9" w14:textId="77777777" w:rsidR="00DD44D5" w:rsidRPr="00D61280" w:rsidRDefault="00DD44D5" w:rsidP="00560FA1">
            <w:pPr>
              <w:spacing w:after="0" w:line="240" w:lineRule="auto"/>
              <w:rPr>
                <w:rFonts w:cstheme="minorHAnsi"/>
                <w:color w:val="000000" w:themeColor="text1"/>
                <w:szCs w:val="24"/>
              </w:rPr>
            </w:pPr>
            <w:r w:rsidRPr="00D61280">
              <w:rPr>
                <w:rFonts w:cstheme="minorHAnsi"/>
                <w:color w:val="000000" w:themeColor="text1"/>
                <w:szCs w:val="24"/>
              </w:rPr>
              <w:t>1.1.2. ZIZIMM uzskaites kategorijas (milj.t.)</w:t>
            </w:r>
          </w:p>
        </w:tc>
        <w:tc>
          <w:tcPr>
            <w:tcW w:w="999" w:type="dxa"/>
            <w:vAlign w:val="center"/>
          </w:tcPr>
          <w:p w14:paraId="348FC567"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967" w:type="dxa"/>
            <w:vAlign w:val="center"/>
          </w:tcPr>
          <w:p w14:paraId="0A94E0C8"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0</w:t>
            </w:r>
          </w:p>
        </w:tc>
        <w:tc>
          <w:tcPr>
            <w:tcW w:w="1057" w:type="dxa"/>
            <w:vAlign w:val="center"/>
          </w:tcPr>
          <w:p w14:paraId="0C7FFC67"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w:t>
            </w:r>
          </w:p>
        </w:tc>
        <w:tc>
          <w:tcPr>
            <w:tcW w:w="1100" w:type="dxa"/>
            <w:vAlign w:val="center"/>
          </w:tcPr>
          <w:p w14:paraId="2502A12F"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0</w:t>
            </w:r>
          </w:p>
        </w:tc>
        <w:tc>
          <w:tcPr>
            <w:tcW w:w="1009" w:type="dxa"/>
            <w:shd w:val="clear" w:color="auto" w:fill="auto"/>
            <w:vAlign w:val="center"/>
          </w:tcPr>
          <w:p w14:paraId="70EE5087" w14:textId="77777777" w:rsidR="00DD44D5" w:rsidRPr="00D61280" w:rsidRDefault="00DD44D5" w:rsidP="00560FA1">
            <w:pPr>
              <w:spacing w:after="0" w:line="240" w:lineRule="auto"/>
              <w:jc w:val="center"/>
              <w:rPr>
                <w:rFonts w:cstheme="minorHAnsi"/>
                <w:b/>
                <w:color w:val="000000" w:themeColor="text1"/>
                <w:szCs w:val="24"/>
              </w:rPr>
            </w:pPr>
            <w:r w:rsidRPr="00D61280">
              <w:rPr>
                <w:rFonts w:cstheme="minorHAnsi"/>
                <w:b/>
                <w:color w:val="000000" w:themeColor="text1"/>
                <w:szCs w:val="24"/>
              </w:rPr>
              <w:t>-3,1</w:t>
            </w:r>
          </w:p>
        </w:tc>
      </w:tr>
      <w:tr w:rsidR="00DD44D5" w:rsidRPr="00D61280" w14:paraId="174AA340" w14:textId="77777777" w:rsidTr="00560FA1">
        <w:trPr>
          <w:jc w:val="center"/>
        </w:trPr>
        <w:tc>
          <w:tcPr>
            <w:tcW w:w="4675" w:type="dxa"/>
            <w:vAlign w:val="center"/>
          </w:tcPr>
          <w:p w14:paraId="2F0F391E" w14:textId="77777777" w:rsidR="00DD44D5" w:rsidRPr="00D61280" w:rsidRDefault="00DD44D5" w:rsidP="00560FA1">
            <w:pPr>
              <w:pStyle w:val="ListParagraph"/>
              <w:spacing w:after="0" w:line="240" w:lineRule="auto"/>
              <w:ind w:left="0"/>
              <w:contextualSpacing w:val="0"/>
              <w:rPr>
                <w:rFonts w:cstheme="minorHAnsi"/>
                <w:bCs/>
                <w:color w:val="000000" w:themeColor="text1"/>
                <w:szCs w:val="24"/>
              </w:rPr>
            </w:pPr>
            <w:r w:rsidRPr="00D61280">
              <w:rPr>
                <w:rFonts w:cstheme="minorHAnsi"/>
                <w:bCs/>
                <w:color w:val="000000" w:themeColor="text1"/>
                <w:szCs w:val="24"/>
              </w:rPr>
              <w:t xml:space="preserve">1.2. Enerģijas, kas ražota no AER īpatsvars </w:t>
            </w:r>
            <w:r w:rsidRPr="00D61280">
              <w:rPr>
                <w:rFonts w:cstheme="minorHAnsi"/>
                <w:color w:val="000000" w:themeColor="text1"/>
                <w:szCs w:val="24"/>
              </w:rPr>
              <w:t xml:space="preserve">enerģijas </w:t>
            </w:r>
            <w:r w:rsidRPr="00D61280">
              <w:rPr>
                <w:rFonts w:cstheme="minorHAnsi"/>
                <w:bCs/>
                <w:color w:val="000000" w:themeColor="text1"/>
                <w:szCs w:val="24"/>
              </w:rPr>
              <w:t xml:space="preserve">bruto </w:t>
            </w:r>
            <w:r w:rsidRPr="00D61280">
              <w:rPr>
                <w:rFonts w:cstheme="minorHAnsi"/>
                <w:color w:val="000000" w:themeColor="text1"/>
                <w:szCs w:val="24"/>
              </w:rPr>
              <w:t>gala patēriņā (%)</w:t>
            </w:r>
          </w:p>
        </w:tc>
        <w:tc>
          <w:tcPr>
            <w:tcW w:w="999" w:type="dxa"/>
            <w:vAlign w:val="center"/>
          </w:tcPr>
          <w:p w14:paraId="760F05DE"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20</w:t>
            </w:r>
          </w:p>
        </w:tc>
        <w:tc>
          <w:tcPr>
            <w:tcW w:w="967" w:type="dxa"/>
            <w:vAlign w:val="center"/>
          </w:tcPr>
          <w:p w14:paraId="3961166A"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32</w:t>
            </w:r>
          </w:p>
        </w:tc>
        <w:tc>
          <w:tcPr>
            <w:tcW w:w="1057" w:type="dxa"/>
            <w:vAlign w:val="center"/>
          </w:tcPr>
          <w:p w14:paraId="5CA5AD02"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39</w:t>
            </w:r>
          </w:p>
        </w:tc>
        <w:tc>
          <w:tcPr>
            <w:tcW w:w="1100" w:type="dxa"/>
            <w:vAlign w:val="center"/>
          </w:tcPr>
          <w:p w14:paraId="5AEB1106"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40</w:t>
            </w:r>
          </w:p>
        </w:tc>
        <w:tc>
          <w:tcPr>
            <w:tcW w:w="1009" w:type="dxa"/>
            <w:shd w:val="clear" w:color="auto" w:fill="auto"/>
            <w:vAlign w:val="center"/>
          </w:tcPr>
          <w:p w14:paraId="06F8F138" w14:textId="77777777" w:rsidR="00DD44D5" w:rsidRPr="00D61280" w:rsidRDefault="00DD44D5" w:rsidP="00560FA1">
            <w:pPr>
              <w:spacing w:after="0" w:line="240" w:lineRule="auto"/>
              <w:jc w:val="center"/>
              <w:rPr>
                <w:rFonts w:cstheme="minorHAnsi"/>
                <w:b/>
                <w:iCs/>
                <w:color w:val="000000" w:themeColor="text1"/>
                <w:szCs w:val="24"/>
              </w:rPr>
            </w:pPr>
            <w:r w:rsidRPr="00D61280">
              <w:rPr>
                <w:rFonts w:cstheme="minorHAnsi"/>
                <w:b/>
                <w:iCs/>
                <w:color w:val="000000" w:themeColor="text1"/>
                <w:szCs w:val="24"/>
              </w:rPr>
              <w:t>50</w:t>
            </w:r>
          </w:p>
        </w:tc>
      </w:tr>
      <w:tr w:rsidR="00DD44D5" w:rsidRPr="00D61280" w14:paraId="2EA35140" w14:textId="77777777" w:rsidTr="00560FA1">
        <w:trPr>
          <w:jc w:val="center"/>
        </w:trPr>
        <w:tc>
          <w:tcPr>
            <w:tcW w:w="4675" w:type="dxa"/>
            <w:vAlign w:val="center"/>
          </w:tcPr>
          <w:p w14:paraId="256580AE" w14:textId="77777777" w:rsidR="00DD44D5" w:rsidRPr="00D61280" w:rsidRDefault="00DD44D5" w:rsidP="00560FA1">
            <w:pPr>
              <w:pStyle w:val="ListParagraph"/>
              <w:spacing w:after="0" w:line="240" w:lineRule="auto"/>
              <w:ind w:left="0"/>
              <w:contextualSpacing w:val="0"/>
              <w:rPr>
                <w:rFonts w:cstheme="minorHAnsi"/>
                <w:bCs/>
                <w:color w:val="000000" w:themeColor="text1"/>
                <w:szCs w:val="24"/>
              </w:rPr>
            </w:pPr>
            <w:bookmarkStart w:id="55" w:name="_Hlk531876153"/>
            <w:r w:rsidRPr="00D61280">
              <w:rPr>
                <w:rFonts w:cstheme="minorHAnsi"/>
                <w:bCs/>
                <w:color w:val="000000" w:themeColor="text1"/>
                <w:szCs w:val="24"/>
              </w:rPr>
              <w:t xml:space="preserve">1.3. Enerģijas, kas ražota no AER, īpatsvars </w:t>
            </w:r>
            <w:r w:rsidRPr="00D61280">
              <w:rPr>
                <w:rFonts w:cstheme="minorHAnsi"/>
                <w:color w:val="000000" w:themeColor="text1"/>
                <w:szCs w:val="24"/>
              </w:rPr>
              <w:t xml:space="preserve">enerģijas </w:t>
            </w:r>
            <w:r w:rsidRPr="00D61280">
              <w:rPr>
                <w:rFonts w:cstheme="minorHAnsi"/>
                <w:bCs/>
                <w:color w:val="000000" w:themeColor="text1"/>
                <w:szCs w:val="24"/>
              </w:rPr>
              <w:t xml:space="preserve">bruto </w:t>
            </w:r>
            <w:r w:rsidRPr="00D61280">
              <w:rPr>
                <w:rFonts w:cstheme="minorHAnsi"/>
                <w:color w:val="000000" w:themeColor="text1"/>
                <w:szCs w:val="24"/>
              </w:rPr>
              <w:t>galapatēriņā transportā (%)</w:t>
            </w:r>
          </w:p>
        </w:tc>
        <w:tc>
          <w:tcPr>
            <w:tcW w:w="999" w:type="dxa"/>
            <w:vAlign w:val="center"/>
          </w:tcPr>
          <w:p w14:paraId="4206500E"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10</w:t>
            </w:r>
          </w:p>
        </w:tc>
        <w:tc>
          <w:tcPr>
            <w:tcW w:w="967" w:type="dxa"/>
            <w:vAlign w:val="center"/>
          </w:tcPr>
          <w:p w14:paraId="0739EF73"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14</w:t>
            </w:r>
          </w:p>
        </w:tc>
        <w:tc>
          <w:tcPr>
            <w:tcW w:w="1057" w:type="dxa"/>
            <w:vAlign w:val="center"/>
          </w:tcPr>
          <w:p w14:paraId="54A3B165"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2,5</w:t>
            </w:r>
          </w:p>
        </w:tc>
        <w:tc>
          <w:tcPr>
            <w:tcW w:w="1100" w:type="dxa"/>
            <w:vAlign w:val="center"/>
          </w:tcPr>
          <w:p w14:paraId="26D94663"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10</w:t>
            </w:r>
          </w:p>
        </w:tc>
        <w:tc>
          <w:tcPr>
            <w:tcW w:w="1009" w:type="dxa"/>
            <w:shd w:val="clear" w:color="auto" w:fill="auto"/>
            <w:vAlign w:val="center"/>
          </w:tcPr>
          <w:p w14:paraId="786DFD82" w14:textId="64BDA3FB" w:rsidR="00DD44D5" w:rsidRPr="00D61280" w:rsidRDefault="00DD44D5" w:rsidP="00560FA1">
            <w:pPr>
              <w:spacing w:after="0" w:line="240" w:lineRule="auto"/>
              <w:jc w:val="center"/>
              <w:rPr>
                <w:rFonts w:cstheme="minorHAnsi"/>
                <w:b/>
                <w:color w:val="000000" w:themeColor="text1"/>
                <w:szCs w:val="24"/>
              </w:rPr>
            </w:pPr>
            <w:r w:rsidRPr="00D61280">
              <w:rPr>
                <w:rFonts w:cstheme="minorHAnsi"/>
                <w:b/>
                <w:color w:val="000000" w:themeColor="text1"/>
                <w:szCs w:val="24"/>
              </w:rPr>
              <w:t>7</w:t>
            </w:r>
            <w:r w:rsidR="00FD28DE">
              <w:rPr>
                <w:rStyle w:val="FootnoteReference"/>
                <w:rFonts w:cstheme="minorHAnsi"/>
                <w:b/>
                <w:color w:val="000000" w:themeColor="text1"/>
                <w:szCs w:val="24"/>
              </w:rPr>
              <w:footnoteReference w:id="11"/>
            </w:r>
          </w:p>
        </w:tc>
      </w:tr>
      <w:tr w:rsidR="00DD44D5" w:rsidRPr="00D61280" w14:paraId="59BD3045" w14:textId="77777777" w:rsidTr="00560FA1">
        <w:trPr>
          <w:jc w:val="center"/>
        </w:trPr>
        <w:tc>
          <w:tcPr>
            <w:tcW w:w="4675" w:type="dxa"/>
            <w:vAlign w:val="center"/>
          </w:tcPr>
          <w:p w14:paraId="4A70C2D1" w14:textId="77777777" w:rsidR="00DD44D5" w:rsidRPr="00D61280" w:rsidRDefault="00DD44D5" w:rsidP="00560FA1">
            <w:pPr>
              <w:pStyle w:val="ListParagraph"/>
              <w:spacing w:after="0" w:line="240" w:lineRule="auto"/>
              <w:ind w:left="0"/>
              <w:contextualSpacing w:val="0"/>
              <w:rPr>
                <w:rFonts w:cstheme="minorHAnsi"/>
                <w:bCs/>
                <w:color w:val="000000" w:themeColor="text1"/>
                <w:szCs w:val="24"/>
              </w:rPr>
            </w:pPr>
            <w:r w:rsidRPr="00D61280">
              <w:rPr>
                <w:rFonts w:cstheme="minorHAnsi"/>
                <w:bCs/>
                <w:color w:val="000000" w:themeColor="text1"/>
                <w:szCs w:val="24"/>
              </w:rPr>
              <w:t>1.4. Moderno biodegvielu īpatsvars enerģijas bruto galapatēriņā transportā (%)</w:t>
            </w:r>
          </w:p>
        </w:tc>
        <w:tc>
          <w:tcPr>
            <w:tcW w:w="999" w:type="dxa"/>
            <w:vAlign w:val="center"/>
          </w:tcPr>
          <w:p w14:paraId="62EE991A"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967" w:type="dxa"/>
            <w:vAlign w:val="center"/>
          </w:tcPr>
          <w:p w14:paraId="767457BA"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3,5</w:t>
            </w:r>
          </w:p>
        </w:tc>
        <w:tc>
          <w:tcPr>
            <w:tcW w:w="1057" w:type="dxa"/>
            <w:vAlign w:val="center"/>
          </w:tcPr>
          <w:p w14:paraId="6856803E"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0</w:t>
            </w:r>
          </w:p>
        </w:tc>
        <w:tc>
          <w:tcPr>
            <w:tcW w:w="1100" w:type="dxa"/>
            <w:vAlign w:val="center"/>
          </w:tcPr>
          <w:p w14:paraId="5982A629"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w:t>
            </w:r>
          </w:p>
        </w:tc>
        <w:tc>
          <w:tcPr>
            <w:tcW w:w="1009" w:type="dxa"/>
            <w:shd w:val="clear" w:color="auto" w:fill="auto"/>
            <w:vAlign w:val="center"/>
          </w:tcPr>
          <w:p w14:paraId="042D525B"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3,5</w:t>
            </w:r>
          </w:p>
        </w:tc>
      </w:tr>
      <w:tr w:rsidR="00DD44D5" w:rsidRPr="00D61280" w14:paraId="5BD9F97F" w14:textId="77777777" w:rsidTr="00560FA1">
        <w:trPr>
          <w:jc w:val="center"/>
        </w:trPr>
        <w:tc>
          <w:tcPr>
            <w:tcW w:w="4675" w:type="dxa"/>
            <w:vAlign w:val="center"/>
          </w:tcPr>
          <w:p w14:paraId="49F19E48" w14:textId="77777777" w:rsidR="00DD44D5" w:rsidRPr="00D61280" w:rsidRDefault="00DD44D5" w:rsidP="00560FA1">
            <w:pPr>
              <w:pStyle w:val="ListParagraph"/>
              <w:spacing w:after="0" w:line="240" w:lineRule="auto"/>
              <w:ind w:left="0"/>
              <w:contextualSpacing w:val="0"/>
              <w:rPr>
                <w:rFonts w:cstheme="minorHAnsi"/>
                <w:bCs/>
                <w:color w:val="000000" w:themeColor="text1"/>
                <w:szCs w:val="24"/>
              </w:rPr>
            </w:pPr>
            <w:r w:rsidRPr="00D61280">
              <w:rPr>
                <w:rFonts w:cstheme="minorHAnsi"/>
                <w:bCs/>
                <w:color w:val="000000" w:themeColor="text1"/>
                <w:szCs w:val="24"/>
              </w:rPr>
              <w:t>2. Energoefektivitātes pieaugums (%)</w:t>
            </w:r>
          </w:p>
        </w:tc>
        <w:tc>
          <w:tcPr>
            <w:tcW w:w="999" w:type="dxa"/>
            <w:vAlign w:val="center"/>
          </w:tcPr>
          <w:p w14:paraId="55521A7B"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20</w:t>
            </w:r>
          </w:p>
        </w:tc>
        <w:tc>
          <w:tcPr>
            <w:tcW w:w="967" w:type="dxa"/>
            <w:vAlign w:val="center"/>
          </w:tcPr>
          <w:p w14:paraId="49CEB0DB"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32,5</w:t>
            </w:r>
          </w:p>
        </w:tc>
        <w:tc>
          <w:tcPr>
            <w:tcW w:w="1057" w:type="dxa"/>
            <w:vAlign w:val="center"/>
          </w:tcPr>
          <w:p w14:paraId="1963A90A"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w:t>
            </w:r>
          </w:p>
        </w:tc>
        <w:tc>
          <w:tcPr>
            <w:tcW w:w="1100" w:type="dxa"/>
            <w:vAlign w:val="center"/>
          </w:tcPr>
          <w:p w14:paraId="1F589231"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w:t>
            </w:r>
          </w:p>
        </w:tc>
        <w:tc>
          <w:tcPr>
            <w:tcW w:w="1009" w:type="dxa"/>
            <w:shd w:val="clear" w:color="auto" w:fill="auto"/>
            <w:vAlign w:val="center"/>
          </w:tcPr>
          <w:p w14:paraId="23ED2610" w14:textId="77777777" w:rsidR="00DD44D5" w:rsidRPr="00D61280" w:rsidRDefault="00DD44D5" w:rsidP="00560FA1">
            <w:pPr>
              <w:spacing w:after="0" w:line="240" w:lineRule="auto"/>
              <w:jc w:val="center"/>
              <w:rPr>
                <w:rFonts w:cstheme="minorHAnsi"/>
                <w:b/>
                <w:color w:val="000000" w:themeColor="text1"/>
                <w:szCs w:val="24"/>
              </w:rPr>
            </w:pPr>
            <w:r w:rsidRPr="00D61280">
              <w:rPr>
                <w:rFonts w:cstheme="minorHAnsi"/>
                <w:b/>
                <w:color w:val="000000" w:themeColor="text1"/>
                <w:szCs w:val="24"/>
              </w:rPr>
              <w:t>-</w:t>
            </w:r>
          </w:p>
        </w:tc>
      </w:tr>
      <w:tr w:rsidR="00DD44D5" w:rsidRPr="00D61280" w14:paraId="1E821D3A" w14:textId="77777777" w:rsidTr="00560FA1">
        <w:trPr>
          <w:jc w:val="center"/>
        </w:trPr>
        <w:tc>
          <w:tcPr>
            <w:tcW w:w="4675" w:type="dxa"/>
            <w:vAlign w:val="center"/>
          </w:tcPr>
          <w:p w14:paraId="54455421" w14:textId="77777777" w:rsidR="00DD44D5" w:rsidRPr="00D61280" w:rsidRDefault="00DD44D5" w:rsidP="00560FA1">
            <w:pPr>
              <w:pStyle w:val="ListParagraph"/>
              <w:spacing w:after="0" w:line="240" w:lineRule="auto"/>
              <w:ind w:left="0"/>
              <w:contextualSpacing w:val="0"/>
              <w:rPr>
                <w:rFonts w:cstheme="minorHAnsi"/>
                <w:color w:val="000000" w:themeColor="text1"/>
                <w:szCs w:val="24"/>
              </w:rPr>
            </w:pPr>
            <w:r w:rsidRPr="00D61280">
              <w:rPr>
                <w:rFonts w:cstheme="minorHAnsi"/>
                <w:color w:val="000000" w:themeColor="text1"/>
                <w:szCs w:val="24"/>
              </w:rPr>
              <w:t>2.1. Valsts obligātais mērķis – uzkrātais gala enerģijas ietaupījums (Mtoe)</w:t>
            </w:r>
          </w:p>
        </w:tc>
        <w:tc>
          <w:tcPr>
            <w:tcW w:w="999" w:type="dxa"/>
            <w:vAlign w:val="center"/>
          </w:tcPr>
          <w:p w14:paraId="02B94B69"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967" w:type="dxa"/>
            <w:vAlign w:val="center"/>
          </w:tcPr>
          <w:p w14:paraId="198EB152"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1057" w:type="dxa"/>
            <w:vAlign w:val="center"/>
          </w:tcPr>
          <w:p w14:paraId="123556C9"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0,45</w:t>
            </w:r>
          </w:p>
        </w:tc>
        <w:tc>
          <w:tcPr>
            <w:tcW w:w="1100" w:type="dxa"/>
            <w:vAlign w:val="center"/>
          </w:tcPr>
          <w:p w14:paraId="234F05C8"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0,85</w:t>
            </w:r>
          </w:p>
        </w:tc>
        <w:tc>
          <w:tcPr>
            <w:tcW w:w="1009" w:type="dxa"/>
            <w:shd w:val="clear" w:color="auto" w:fill="auto"/>
            <w:vAlign w:val="center"/>
          </w:tcPr>
          <w:p w14:paraId="299D9C4E" w14:textId="77777777" w:rsidR="00DD44D5" w:rsidRPr="00D61280" w:rsidRDefault="00DD44D5" w:rsidP="00560FA1">
            <w:pPr>
              <w:spacing w:after="0" w:line="240" w:lineRule="auto"/>
              <w:jc w:val="center"/>
              <w:rPr>
                <w:rFonts w:cstheme="minorHAnsi"/>
                <w:b/>
                <w:iCs/>
                <w:color w:val="000000" w:themeColor="text1"/>
                <w:szCs w:val="24"/>
              </w:rPr>
            </w:pPr>
            <w:r w:rsidRPr="00D61280">
              <w:rPr>
                <w:rFonts w:cstheme="minorHAnsi"/>
                <w:b/>
                <w:iCs/>
                <w:szCs w:val="24"/>
              </w:rPr>
              <w:t>1,76</w:t>
            </w:r>
          </w:p>
        </w:tc>
      </w:tr>
      <w:bookmarkEnd w:id="53"/>
      <w:bookmarkEnd w:id="55"/>
      <w:tr w:rsidR="00DD44D5" w:rsidRPr="00D61280" w14:paraId="2A0E81BB" w14:textId="77777777" w:rsidTr="00560FA1">
        <w:trPr>
          <w:jc w:val="center"/>
        </w:trPr>
        <w:tc>
          <w:tcPr>
            <w:tcW w:w="4675" w:type="dxa"/>
            <w:vAlign w:val="center"/>
          </w:tcPr>
          <w:p w14:paraId="00A7F917" w14:textId="77777777" w:rsidR="00DD44D5" w:rsidRPr="00D61280" w:rsidRDefault="00DD44D5" w:rsidP="00560FA1">
            <w:pPr>
              <w:pStyle w:val="ListParagraph"/>
              <w:spacing w:after="0" w:line="240" w:lineRule="auto"/>
              <w:ind w:left="0"/>
              <w:contextualSpacing w:val="0"/>
              <w:rPr>
                <w:rFonts w:cstheme="minorHAnsi"/>
                <w:color w:val="000000" w:themeColor="text1"/>
                <w:szCs w:val="24"/>
              </w:rPr>
            </w:pPr>
            <w:r w:rsidRPr="00D61280">
              <w:rPr>
                <w:rFonts w:eastAsia="Calibri" w:cstheme="minorHAnsi"/>
                <w:color w:val="000000" w:themeColor="text1"/>
                <w:szCs w:val="24"/>
              </w:rPr>
              <w:t xml:space="preserve">2.2. Ēku atjaunošanas mērķis (kopā renovēti, </w:t>
            </w:r>
            <w:r w:rsidRPr="00D61280">
              <w:rPr>
                <w:rFonts w:cstheme="minorHAnsi"/>
                <w:color w:val="000000" w:themeColor="text1"/>
                <w:szCs w:val="24"/>
              </w:rPr>
              <w:t>m</w:t>
            </w:r>
            <w:r w:rsidRPr="00D61280">
              <w:rPr>
                <w:rFonts w:cstheme="minorHAnsi"/>
                <w:color w:val="000000" w:themeColor="text1"/>
                <w:szCs w:val="24"/>
                <w:vertAlign w:val="superscript"/>
              </w:rPr>
              <w:t>2</w:t>
            </w:r>
            <w:r w:rsidRPr="00D61280">
              <w:rPr>
                <w:rFonts w:cstheme="minorHAnsi"/>
                <w:color w:val="000000" w:themeColor="text1"/>
                <w:szCs w:val="24"/>
              </w:rPr>
              <w:t>)</w:t>
            </w:r>
          </w:p>
        </w:tc>
        <w:tc>
          <w:tcPr>
            <w:tcW w:w="999" w:type="dxa"/>
            <w:vAlign w:val="center"/>
          </w:tcPr>
          <w:p w14:paraId="470B919D"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967" w:type="dxa"/>
            <w:vAlign w:val="center"/>
          </w:tcPr>
          <w:p w14:paraId="21DE1EF6"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1057" w:type="dxa"/>
            <w:vAlign w:val="center"/>
          </w:tcPr>
          <w:p w14:paraId="61568A06"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color w:val="000000" w:themeColor="text1"/>
                <w:szCs w:val="24"/>
              </w:rPr>
              <w:t>398 707</w:t>
            </w:r>
          </w:p>
        </w:tc>
        <w:tc>
          <w:tcPr>
            <w:tcW w:w="1100" w:type="dxa"/>
            <w:vAlign w:val="center"/>
          </w:tcPr>
          <w:p w14:paraId="4FF9ED08"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678 460</w:t>
            </w:r>
          </w:p>
        </w:tc>
        <w:tc>
          <w:tcPr>
            <w:tcW w:w="1009" w:type="dxa"/>
            <w:shd w:val="clear" w:color="auto" w:fill="auto"/>
            <w:vAlign w:val="center"/>
          </w:tcPr>
          <w:p w14:paraId="4207387A" w14:textId="77777777" w:rsidR="00DD44D5" w:rsidRPr="00D61280" w:rsidRDefault="00DD44D5" w:rsidP="00560FA1">
            <w:pPr>
              <w:spacing w:after="0" w:line="240" w:lineRule="auto"/>
              <w:jc w:val="center"/>
              <w:rPr>
                <w:rFonts w:cstheme="minorHAnsi"/>
                <w:b/>
                <w:iCs/>
                <w:color w:val="000000" w:themeColor="text1"/>
                <w:szCs w:val="24"/>
              </w:rPr>
            </w:pPr>
            <w:r w:rsidRPr="00D61280">
              <w:rPr>
                <w:rFonts w:cstheme="minorHAnsi"/>
                <w:b/>
                <w:iCs/>
                <w:color w:val="000000" w:themeColor="text1"/>
                <w:szCs w:val="24"/>
              </w:rPr>
              <w:t>500 000</w:t>
            </w:r>
          </w:p>
        </w:tc>
      </w:tr>
      <w:tr w:rsidR="00DD44D5" w:rsidRPr="00D61280" w14:paraId="0ACE6349" w14:textId="77777777" w:rsidTr="00560FA1">
        <w:trPr>
          <w:jc w:val="center"/>
        </w:trPr>
        <w:tc>
          <w:tcPr>
            <w:tcW w:w="4675" w:type="dxa"/>
            <w:vAlign w:val="center"/>
          </w:tcPr>
          <w:p w14:paraId="09939B82" w14:textId="77777777" w:rsidR="00DD44D5" w:rsidRPr="00D61280" w:rsidRDefault="00DD44D5" w:rsidP="00560FA1">
            <w:pPr>
              <w:pStyle w:val="ListParagraph"/>
              <w:spacing w:after="0" w:line="240" w:lineRule="auto"/>
              <w:ind w:left="0"/>
              <w:contextualSpacing w:val="0"/>
              <w:rPr>
                <w:rFonts w:cstheme="minorHAnsi"/>
                <w:b/>
                <w:color w:val="000000" w:themeColor="text1"/>
                <w:szCs w:val="24"/>
              </w:rPr>
            </w:pPr>
            <w:r w:rsidRPr="00D61280">
              <w:rPr>
                <w:rFonts w:cstheme="minorHAnsi"/>
                <w:color w:val="000000" w:themeColor="text1"/>
                <w:szCs w:val="24"/>
              </w:rPr>
              <w:t>3. Importa īpatsvars bruto iekšzemes enerģijas patēriņā (t.sk. bunkurēšana) (%)</w:t>
            </w:r>
          </w:p>
        </w:tc>
        <w:tc>
          <w:tcPr>
            <w:tcW w:w="999" w:type="dxa"/>
            <w:vAlign w:val="center"/>
          </w:tcPr>
          <w:p w14:paraId="7EC18305"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967" w:type="dxa"/>
            <w:vAlign w:val="center"/>
          </w:tcPr>
          <w:p w14:paraId="60CC4AE1"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w:t>
            </w:r>
          </w:p>
        </w:tc>
        <w:tc>
          <w:tcPr>
            <w:tcW w:w="1057" w:type="dxa"/>
            <w:vAlign w:val="center"/>
          </w:tcPr>
          <w:p w14:paraId="18618184"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44,1</w:t>
            </w:r>
          </w:p>
        </w:tc>
        <w:tc>
          <w:tcPr>
            <w:tcW w:w="1100" w:type="dxa"/>
            <w:vAlign w:val="center"/>
          </w:tcPr>
          <w:p w14:paraId="6FB26E61"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44,1</w:t>
            </w:r>
          </w:p>
        </w:tc>
        <w:tc>
          <w:tcPr>
            <w:tcW w:w="1009" w:type="dxa"/>
            <w:shd w:val="clear" w:color="auto" w:fill="auto"/>
            <w:vAlign w:val="center"/>
          </w:tcPr>
          <w:p w14:paraId="2B417FBE" w14:textId="77777777" w:rsidR="00DD44D5" w:rsidRPr="00D61280" w:rsidRDefault="00DD44D5" w:rsidP="00560FA1">
            <w:pPr>
              <w:spacing w:after="0" w:line="240" w:lineRule="auto"/>
              <w:jc w:val="center"/>
              <w:rPr>
                <w:rFonts w:cstheme="minorHAnsi"/>
                <w:b/>
                <w:iCs/>
                <w:color w:val="000000" w:themeColor="text1"/>
                <w:szCs w:val="24"/>
              </w:rPr>
            </w:pPr>
            <w:r w:rsidRPr="00D61280">
              <w:rPr>
                <w:rFonts w:cstheme="minorHAnsi"/>
                <w:b/>
                <w:iCs/>
                <w:color w:val="000000" w:themeColor="text1"/>
                <w:szCs w:val="24"/>
              </w:rPr>
              <w:t>30-40</w:t>
            </w:r>
          </w:p>
        </w:tc>
      </w:tr>
      <w:tr w:rsidR="00DD44D5" w:rsidRPr="00D61280" w14:paraId="0F95465A" w14:textId="77777777" w:rsidTr="00560FA1">
        <w:trPr>
          <w:jc w:val="center"/>
        </w:trPr>
        <w:tc>
          <w:tcPr>
            <w:tcW w:w="4675" w:type="dxa"/>
            <w:vAlign w:val="center"/>
          </w:tcPr>
          <w:p w14:paraId="2AC39108" w14:textId="77777777" w:rsidR="00DD44D5" w:rsidRPr="00D61280" w:rsidRDefault="00DD44D5" w:rsidP="00560FA1">
            <w:pPr>
              <w:pStyle w:val="ListParagraph"/>
              <w:spacing w:after="0" w:line="240" w:lineRule="auto"/>
              <w:ind w:left="0"/>
              <w:contextualSpacing w:val="0"/>
              <w:rPr>
                <w:rFonts w:cstheme="minorHAnsi"/>
                <w:color w:val="000000" w:themeColor="text1"/>
                <w:szCs w:val="24"/>
              </w:rPr>
            </w:pPr>
            <w:r w:rsidRPr="00D61280">
              <w:rPr>
                <w:rFonts w:cstheme="minorHAnsi"/>
                <w:color w:val="000000" w:themeColor="text1"/>
                <w:szCs w:val="24"/>
              </w:rPr>
              <w:t>4. Starpsavienojumu jauda (% pret uzstādīto ģenerējošo jaudu)</w:t>
            </w:r>
          </w:p>
        </w:tc>
        <w:tc>
          <w:tcPr>
            <w:tcW w:w="999" w:type="dxa"/>
            <w:vAlign w:val="center"/>
          </w:tcPr>
          <w:p w14:paraId="2B9FAB83"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10</w:t>
            </w:r>
          </w:p>
        </w:tc>
        <w:tc>
          <w:tcPr>
            <w:tcW w:w="967" w:type="dxa"/>
            <w:vAlign w:val="center"/>
          </w:tcPr>
          <w:p w14:paraId="27837EA2" w14:textId="77777777" w:rsidR="00DD44D5" w:rsidRPr="00D61280" w:rsidRDefault="00DD44D5" w:rsidP="00560FA1">
            <w:pPr>
              <w:pStyle w:val="ListParagraph"/>
              <w:spacing w:after="0" w:line="240" w:lineRule="auto"/>
              <w:ind w:left="0"/>
              <w:contextualSpacing w:val="0"/>
              <w:jc w:val="center"/>
              <w:rPr>
                <w:rFonts w:cstheme="minorHAnsi"/>
                <w:bCs/>
                <w:color w:val="000000" w:themeColor="text1"/>
                <w:szCs w:val="24"/>
              </w:rPr>
            </w:pPr>
            <w:r w:rsidRPr="00D61280">
              <w:rPr>
                <w:rFonts w:cstheme="minorHAnsi"/>
                <w:bCs/>
                <w:color w:val="000000" w:themeColor="text1"/>
                <w:szCs w:val="24"/>
              </w:rPr>
              <w:t>15</w:t>
            </w:r>
          </w:p>
        </w:tc>
        <w:tc>
          <w:tcPr>
            <w:tcW w:w="1057" w:type="dxa"/>
            <w:vAlign w:val="center"/>
          </w:tcPr>
          <w:p w14:paraId="7A9DCF9C" w14:textId="77777777" w:rsidR="00DD44D5" w:rsidRPr="00D61280" w:rsidRDefault="00DD44D5" w:rsidP="00560FA1">
            <w:pPr>
              <w:spacing w:after="0" w:line="240" w:lineRule="auto"/>
              <w:jc w:val="center"/>
              <w:rPr>
                <w:rFonts w:cstheme="minorHAnsi"/>
                <w:b/>
                <w:color w:val="000000" w:themeColor="text1"/>
                <w:szCs w:val="24"/>
              </w:rPr>
            </w:pPr>
            <w:r w:rsidRPr="00D61280">
              <w:rPr>
                <w:rFonts w:cstheme="minorHAnsi"/>
                <w:b/>
                <w:color w:val="000000" w:themeColor="text1"/>
                <w:szCs w:val="24"/>
              </w:rPr>
              <w:t>60</w:t>
            </w:r>
          </w:p>
        </w:tc>
        <w:tc>
          <w:tcPr>
            <w:tcW w:w="1100" w:type="dxa"/>
            <w:vAlign w:val="center"/>
          </w:tcPr>
          <w:p w14:paraId="13328DCF"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10</w:t>
            </w:r>
          </w:p>
        </w:tc>
        <w:tc>
          <w:tcPr>
            <w:tcW w:w="1009" w:type="dxa"/>
            <w:shd w:val="clear" w:color="auto" w:fill="auto"/>
            <w:vAlign w:val="center"/>
          </w:tcPr>
          <w:p w14:paraId="1576F4AD" w14:textId="77777777" w:rsidR="00DD44D5" w:rsidRPr="00D61280" w:rsidRDefault="00DD44D5" w:rsidP="00560FA1">
            <w:pPr>
              <w:spacing w:after="0" w:line="240" w:lineRule="auto"/>
              <w:jc w:val="center"/>
              <w:rPr>
                <w:rFonts w:cstheme="minorHAnsi"/>
                <w:b/>
                <w:color w:val="000000" w:themeColor="text1"/>
                <w:szCs w:val="24"/>
              </w:rPr>
            </w:pPr>
            <w:r w:rsidRPr="00D61280">
              <w:rPr>
                <w:rFonts w:cstheme="minorHAnsi"/>
                <w:b/>
                <w:color w:val="000000" w:themeColor="text1"/>
                <w:szCs w:val="24"/>
              </w:rPr>
              <w:t>60</w:t>
            </w:r>
          </w:p>
        </w:tc>
      </w:tr>
      <w:tr w:rsidR="00DD44D5" w:rsidRPr="00D61280" w14:paraId="13B7F258" w14:textId="77777777" w:rsidTr="00560FA1">
        <w:trPr>
          <w:jc w:val="center"/>
        </w:trPr>
        <w:tc>
          <w:tcPr>
            <w:tcW w:w="4675" w:type="dxa"/>
            <w:vAlign w:val="center"/>
          </w:tcPr>
          <w:p w14:paraId="6CB89254" w14:textId="77777777" w:rsidR="00DD44D5" w:rsidRPr="00D61280" w:rsidRDefault="00DD44D5" w:rsidP="00560FA1">
            <w:pPr>
              <w:pStyle w:val="ListParagraph"/>
              <w:spacing w:after="0" w:line="240" w:lineRule="auto"/>
              <w:ind w:left="0"/>
              <w:contextualSpacing w:val="0"/>
              <w:rPr>
                <w:rFonts w:cstheme="minorHAnsi"/>
                <w:color w:val="000000" w:themeColor="text1"/>
                <w:szCs w:val="24"/>
              </w:rPr>
            </w:pPr>
            <w:r w:rsidRPr="00D61280">
              <w:rPr>
                <w:rFonts w:cstheme="minorHAnsi"/>
                <w:color w:val="000000" w:themeColor="text1"/>
                <w:szCs w:val="24"/>
              </w:rPr>
              <w:t>5.1. Ieguldījumi P&amp;A (% no IKP)</w:t>
            </w:r>
          </w:p>
        </w:tc>
        <w:tc>
          <w:tcPr>
            <w:tcW w:w="999" w:type="dxa"/>
            <w:vAlign w:val="center"/>
          </w:tcPr>
          <w:p w14:paraId="7FD2A416"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967" w:type="dxa"/>
            <w:vAlign w:val="center"/>
          </w:tcPr>
          <w:p w14:paraId="4EEDDEB2"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1057" w:type="dxa"/>
            <w:vAlign w:val="center"/>
          </w:tcPr>
          <w:p w14:paraId="16853280" w14:textId="77777777" w:rsidR="00DD44D5" w:rsidRPr="00D61280" w:rsidRDefault="00DD44D5" w:rsidP="00560FA1">
            <w:pPr>
              <w:spacing w:after="0" w:line="240" w:lineRule="auto"/>
              <w:jc w:val="center"/>
              <w:rPr>
                <w:rFonts w:cstheme="minorHAnsi"/>
                <w:szCs w:val="24"/>
              </w:rPr>
            </w:pPr>
            <w:r w:rsidRPr="00D61280">
              <w:rPr>
                <w:rFonts w:cstheme="minorHAnsi"/>
                <w:szCs w:val="24"/>
              </w:rPr>
              <w:t>0,51</w:t>
            </w:r>
          </w:p>
        </w:tc>
        <w:tc>
          <w:tcPr>
            <w:tcW w:w="1100" w:type="dxa"/>
            <w:vAlign w:val="center"/>
          </w:tcPr>
          <w:p w14:paraId="0EEF1831" w14:textId="77777777" w:rsidR="00DD44D5" w:rsidRPr="00D61280" w:rsidRDefault="00DD44D5" w:rsidP="00560FA1">
            <w:pPr>
              <w:spacing w:after="0" w:line="240" w:lineRule="auto"/>
              <w:jc w:val="center"/>
              <w:rPr>
                <w:rFonts w:cstheme="minorHAnsi"/>
                <w:bCs/>
                <w:color w:val="000000" w:themeColor="text1"/>
                <w:szCs w:val="24"/>
              </w:rPr>
            </w:pPr>
            <w:r w:rsidRPr="00D61280">
              <w:rPr>
                <w:rFonts w:cstheme="minorHAnsi"/>
                <w:bCs/>
                <w:color w:val="000000" w:themeColor="text1"/>
                <w:szCs w:val="24"/>
              </w:rPr>
              <w:t>1,5</w:t>
            </w:r>
          </w:p>
        </w:tc>
        <w:tc>
          <w:tcPr>
            <w:tcW w:w="1009" w:type="dxa"/>
            <w:shd w:val="clear" w:color="auto" w:fill="auto"/>
            <w:vAlign w:val="center"/>
          </w:tcPr>
          <w:p w14:paraId="057FD26A" w14:textId="77777777" w:rsidR="00DD44D5" w:rsidRPr="00C062AA" w:rsidRDefault="00DD44D5" w:rsidP="00560FA1">
            <w:pPr>
              <w:spacing w:after="0" w:line="240" w:lineRule="auto"/>
              <w:jc w:val="center"/>
              <w:rPr>
                <w:rFonts w:cstheme="minorHAnsi"/>
                <w:b/>
                <w:iCs/>
                <w:color w:val="000000" w:themeColor="text1"/>
                <w:szCs w:val="24"/>
              </w:rPr>
            </w:pPr>
            <w:r w:rsidRPr="00C062AA">
              <w:rPr>
                <w:rFonts w:cstheme="minorHAnsi"/>
                <w:b/>
                <w:iCs/>
                <w:color w:val="000000" w:themeColor="text1"/>
                <w:szCs w:val="24"/>
              </w:rPr>
              <w:t>&gt;3</w:t>
            </w:r>
          </w:p>
        </w:tc>
      </w:tr>
      <w:tr w:rsidR="00DD44D5" w:rsidRPr="00D61280" w14:paraId="6624CF3C" w14:textId="77777777" w:rsidTr="00560FA1">
        <w:trPr>
          <w:jc w:val="center"/>
        </w:trPr>
        <w:tc>
          <w:tcPr>
            <w:tcW w:w="4675" w:type="dxa"/>
            <w:vAlign w:val="center"/>
          </w:tcPr>
          <w:p w14:paraId="12D8D889" w14:textId="77777777" w:rsidR="00DD44D5" w:rsidRPr="00D61280" w:rsidRDefault="00DD44D5" w:rsidP="00560FA1">
            <w:pPr>
              <w:pStyle w:val="ListParagraph"/>
              <w:spacing w:after="0" w:line="240" w:lineRule="auto"/>
              <w:ind w:left="0"/>
              <w:contextualSpacing w:val="0"/>
              <w:rPr>
                <w:rFonts w:cstheme="minorHAnsi"/>
                <w:color w:val="000000" w:themeColor="text1"/>
                <w:szCs w:val="24"/>
              </w:rPr>
            </w:pPr>
            <w:r>
              <w:rPr>
                <w:rFonts w:cstheme="minorHAnsi"/>
                <w:color w:val="000000" w:themeColor="text1"/>
                <w:szCs w:val="24"/>
              </w:rPr>
              <w:t xml:space="preserve">5.1.1. </w:t>
            </w:r>
            <w:r w:rsidRPr="00AC142E">
              <w:rPr>
                <w:rFonts w:cstheme="minorHAnsi"/>
                <w:color w:val="000000" w:themeColor="text1"/>
                <w:szCs w:val="24"/>
              </w:rPr>
              <w:t>Ieguldījumi P&amp;A</w:t>
            </w:r>
            <w:r>
              <w:rPr>
                <w:rFonts w:cstheme="minorHAnsi"/>
                <w:color w:val="000000" w:themeColor="text1"/>
                <w:szCs w:val="24"/>
              </w:rPr>
              <w:t xml:space="preserve"> Plāna </w:t>
            </w:r>
            <w:r w:rsidRPr="00AC142E">
              <w:rPr>
                <w:rFonts w:cstheme="minorHAnsi"/>
                <w:color w:val="000000" w:themeColor="text1"/>
                <w:szCs w:val="24"/>
              </w:rPr>
              <w:t>mērķu sasniegšanai  (% no kopējiem ieguldījumiem P&amp;A)</w:t>
            </w:r>
          </w:p>
        </w:tc>
        <w:tc>
          <w:tcPr>
            <w:tcW w:w="999" w:type="dxa"/>
            <w:vAlign w:val="center"/>
          </w:tcPr>
          <w:p w14:paraId="23F7CCF3"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967" w:type="dxa"/>
            <w:vAlign w:val="center"/>
          </w:tcPr>
          <w:p w14:paraId="747E3D32"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1057" w:type="dxa"/>
            <w:vAlign w:val="center"/>
          </w:tcPr>
          <w:p w14:paraId="29FEACD6" w14:textId="77777777" w:rsidR="00DD44D5" w:rsidRPr="00D61280" w:rsidRDefault="00DD44D5" w:rsidP="00560FA1">
            <w:pPr>
              <w:spacing w:after="0" w:line="240" w:lineRule="auto"/>
              <w:jc w:val="center"/>
              <w:rPr>
                <w:rFonts w:cstheme="minorHAnsi"/>
                <w:szCs w:val="24"/>
              </w:rPr>
            </w:pPr>
            <w:r>
              <w:rPr>
                <w:rFonts w:cstheme="minorHAnsi"/>
                <w:szCs w:val="24"/>
              </w:rPr>
              <w:t>-</w:t>
            </w:r>
          </w:p>
        </w:tc>
        <w:tc>
          <w:tcPr>
            <w:tcW w:w="1100" w:type="dxa"/>
            <w:vAlign w:val="center"/>
          </w:tcPr>
          <w:p w14:paraId="2A396962" w14:textId="77777777" w:rsidR="00DD44D5" w:rsidRPr="00D61280" w:rsidRDefault="00DD44D5" w:rsidP="00560FA1">
            <w:pPr>
              <w:spacing w:after="0" w:line="240" w:lineRule="auto"/>
              <w:jc w:val="center"/>
              <w:rPr>
                <w:rFonts w:cstheme="minorHAnsi"/>
                <w:bCs/>
                <w:color w:val="000000" w:themeColor="text1"/>
                <w:szCs w:val="24"/>
              </w:rPr>
            </w:pPr>
            <w:r>
              <w:rPr>
                <w:rFonts w:cstheme="minorHAnsi"/>
                <w:bCs/>
                <w:color w:val="000000" w:themeColor="text1"/>
                <w:szCs w:val="24"/>
              </w:rPr>
              <w:t>-</w:t>
            </w:r>
          </w:p>
        </w:tc>
        <w:tc>
          <w:tcPr>
            <w:tcW w:w="1009" w:type="dxa"/>
            <w:shd w:val="clear" w:color="auto" w:fill="auto"/>
            <w:vAlign w:val="center"/>
          </w:tcPr>
          <w:p w14:paraId="778C8DB2" w14:textId="77777777" w:rsidR="00DD44D5" w:rsidRPr="00C062AA" w:rsidRDefault="00DD44D5" w:rsidP="00560FA1">
            <w:pPr>
              <w:spacing w:after="0" w:line="240" w:lineRule="auto"/>
              <w:jc w:val="center"/>
              <w:rPr>
                <w:rFonts w:cstheme="minorHAnsi"/>
                <w:b/>
                <w:iCs/>
                <w:color w:val="000000" w:themeColor="text1"/>
                <w:szCs w:val="24"/>
              </w:rPr>
            </w:pPr>
            <w:r>
              <w:rPr>
                <w:rFonts w:cstheme="minorHAnsi"/>
                <w:b/>
                <w:iCs/>
                <w:color w:val="000000" w:themeColor="text1"/>
                <w:szCs w:val="24"/>
              </w:rPr>
              <w:t>&gt;25%</w:t>
            </w:r>
          </w:p>
        </w:tc>
      </w:tr>
      <w:tr w:rsidR="00DD44D5" w:rsidRPr="00D61280" w14:paraId="097D4BFF" w14:textId="77777777" w:rsidTr="00560FA1">
        <w:trPr>
          <w:jc w:val="center"/>
        </w:trPr>
        <w:tc>
          <w:tcPr>
            <w:tcW w:w="4675" w:type="dxa"/>
            <w:vAlign w:val="center"/>
          </w:tcPr>
          <w:p w14:paraId="2D2F2E74" w14:textId="77777777" w:rsidR="00DD44D5" w:rsidRPr="00D61280" w:rsidRDefault="00DD44D5" w:rsidP="00560FA1">
            <w:pPr>
              <w:pStyle w:val="ListParagraph"/>
              <w:spacing w:after="0" w:line="240" w:lineRule="auto"/>
              <w:ind w:left="0"/>
              <w:contextualSpacing w:val="0"/>
              <w:rPr>
                <w:rFonts w:cstheme="minorHAnsi"/>
                <w:color w:val="000000" w:themeColor="text1"/>
                <w:szCs w:val="24"/>
              </w:rPr>
            </w:pPr>
            <w:r w:rsidRPr="00D61280">
              <w:rPr>
                <w:rFonts w:cstheme="minorHAnsi"/>
                <w:color w:val="000000" w:themeColor="text1"/>
                <w:szCs w:val="24"/>
              </w:rPr>
              <w:t>5.2. Inovatīvu produktu apgrozījums (% no kopējā apgrozījuma)</w:t>
            </w:r>
          </w:p>
        </w:tc>
        <w:tc>
          <w:tcPr>
            <w:tcW w:w="999" w:type="dxa"/>
            <w:vAlign w:val="center"/>
          </w:tcPr>
          <w:p w14:paraId="0615E313"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967" w:type="dxa"/>
            <w:vAlign w:val="center"/>
          </w:tcPr>
          <w:p w14:paraId="10B4F598"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1057" w:type="dxa"/>
            <w:vAlign w:val="center"/>
          </w:tcPr>
          <w:p w14:paraId="093E89B6" w14:textId="77777777" w:rsidR="00DD44D5" w:rsidRPr="00D61280" w:rsidRDefault="00DD44D5" w:rsidP="00560FA1">
            <w:pPr>
              <w:spacing w:after="0" w:line="240" w:lineRule="auto"/>
              <w:jc w:val="center"/>
              <w:rPr>
                <w:rFonts w:cstheme="minorHAnsi"/>
                <w:i/>
                <w:color w:val="000000" w:themeColor="text1"/>
                <w:szCs w:val="24"/>
              </w:rPr>
            </w:pPr>
            <w:r w:rsidRPr="00D61280">
              <w:rPr>
                <w:rFonts w:cstheme="minorHAnsi"/>
                <w:szCs w:val="24"/>
              </w:rPr>
              <w:t>46,5</w:t>
            </w:r>
            <w:r w:rsidRPr="00D61280">
              <w:rPr>
                <w:rStyle w:val="FootnoteReference"/>
                <w:rFonts w:cstheme="minorHAnsi"/>
                <w:szCs w:val="24"/>
              </w:rPr>
              <w:footnoteReference w:id="12"/>
            </w:r>
          </w:p>
        </w:tc>
        <w:tc>
          <w:tcPr>
            <w:tcW w:w="1100" w:type="dxa"/>
            <w:vAlign w:val="center"/>
          </w:tcPr>
          <w:p w14:paraId="3F35B527" w14:textId="77777777" w:rsidR="00DD44D5" w:rsidRPr="00D61280" w:rsidRDefault="00DD44D5" w:rsidP="00560FA1">
            <w:pPr>
              <w:spacing w:after="0" w:line="240" w:lineRule="auto"/>
              <w:jc w:val="center"/>
              <w:rPr>
                <w:rFonts w:cstheme="minorHAnsi"/>
                <w:b/>
                <w:color w:val="000000" w:themeColor="text1"/>
                <w:szCs w:val="24"/>
              </w:rPr>
            </w:pPr>
            <w:r w:rsidRPr="00D61280">
              <w:rPr>
                <w:rFonts w:cstheme="minorHAnsi"/>
                <w:b/>
                <w:color w:val="000000" w:themeColor="text1"/>
                <w:szCs w:val="24"/>
              </w:rPr>
              <w:t>-</w:t>
            </w:r>
          </w:p>
        </w:tc>
        <w:tc>
          <w:tcPr>
            <w:tcW w:w="1009" w:type="dxa"/>
            <w:shd w:val="clear" w:color="auto" w:fill="auto"/>
            <w:vAlign w:val="center"/>
          </w:tcPr>
          <w:p w14:paraId="0A736F30" w14:textId="77777777" w:rsidR="00DD44D5" w:rsidRPr="00D61280" w:rsidRDefault="00DD44D5" w:rsidP="00560FA1">
            <w:pPr>
              <w:spacing w:after="0" w:line="240" w:lineRule="auto"/>
              <w:jc w:val="center"/>
              <w:rPr>
                <w:rFonts w:cstheme="minorHAnsi"/>
                <w:bCs/>
                <w:iCs/>
                <w:color w:val="000000" w:themeColor="text1"/>
                <w:szCs w:val="24"/>
              </w:rPr>
            </w:pPr>
            <w:r w:rsidRPr="00D61280">
              <w:rPr>
                <w:rFonts w:cstheme="minorHAnsi"/>
                <w:bCs/>
                <w:iCs/>
                <w:color w:val="000000" w:themeColor="text1"/>
                <w:szCs w:val="24"/>
              </w:rPr>
              <w:t>&gt;14</w:t>
            </w:r>
          </w:p>
        </w:tc>
      </w:tr>
      <w:tr w:rsidR="00DD44D5" w:rsidRPr="00D61280" w14:paraId="48E000FE" w14:textId="77777777" w:rsidTr="00560FA1">
        <w:trPr>
          <w:jc w:val="center"/>
        </w:trPr>
        <w:tc>
          <w:tcPr>
            <w:tcW w:w="4675" w:type="dxa"/>
            <w:vAlign w:val="center"/>
          </w:tcPr>
          <w:p w14:paraId="26D93B06" w14:textId="77777777" w:rsidR="00DD44D5" w:rsidRPr="00D61280" w:rsidRDefault="00DD44D5" w:rsidP="00560FA1">
            <w:pPr>
              <w:pStyle w:val="ListParagraph"/>
              <w:spacing w:after="0" w:line="240" w:lineRule="auto"/>
              <w:ind w:left="0"/>
              <w:contextualSpacing w:val="0"/>
              <w:rPr>
                <w:rFonts w:cstheme="minorHAnsi"/>
                <w:color w:val="000000" w:themeColor="text1"/>
                <w:szCs w:val="24"/>
              </w:rPr>
            </w:pPr>
            <w:r w:rsidRPr="00D61280">
              <w:rPr>
                <w:rFonts w:cstheme="minorHAnsi"/>
                <w:color w:val="000000" w:themeColor="text1"/>
                <w:szCs w:val="24"/>
              </w:rPr>
              <w:t>5.3. Globālās konkurētspējas indekss (vieta pasaulē)</w:t>
            </w:r>
          </w:p>
        </w:tc>
        <w:tc>
          <w:tcPr>
            <w:tcW w:w="999" w:type="dxa"/>
            <w:vAlign w:val="center"/>
          </w:tcPr>
          <w:p w14:paraId="76BA104C"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967" w:type="dxa"/>
            <w:vAlign w:val="center"/>
          </w:tcPr>
          <w:p w14:paraId="5B101983" w14:textId="77777777" w:rsidR="00DD44D5" w:rsidRPr="00AC142E" w:rsidRDefault="00DD44D5" w:rsidP="00560FA1">
            <w:pPr>
              <w:pStyle w:val="ListParagraph"/>
              <w:spacing w:after="0" w:line="240" w:lineRule="auto"/>
              <w:ind w:left="0"/>
              <w:contextualSpacing w:val="0"/>
              <w:jc w:val="center"/>
              <w:rPr>
                <w:rFonts w:cstheme="minorHAnsi"/>
                <w:bCs/>
                <w:color w:val="000000" w:themeColor="text1"/>
                <w:szCs w:val="24"/>
              </w:rPr>
            </w:pPr>
            <w:r w:rsidRPr="00AC142E">
              <w:rPr>
                <w:rFonts w:cstheme="minorHAnsi"/>
                <w:bCs/>
                <w:color w:val="000000" w:themeColor="text1"/>
                <w:szCs w:val="24"/>
              </w:rPr>
              <w:t>-</w:t>
            </w:r>
          </w:p>
        </w:tc>
        <w:tc>
          <w:tcPr>
            <w:tcW w:w="1057" w:type="dxa"/>
            <w:vAlign w:val="center"/>
          </w:tcPr>
          <w:p w14:paraId="13AF91A1" w14:textId="77777777" w:rsidR="00DD44D5" w:rsidRPr="00D61280" w:rsidRDefault="00DD44D5" w:rsidP="00560FA1">
            <w:pPr>
              <w:spacing w:after="0" w:line="240" w:lineRule="auto"/>
              <w:jc w:val="center"/>
              <w:rPr>
                <w:rFonts w:cstheme="minorHAnsi"/>
                <w:iCs/>
                <w:color w:val="000000" w:themeColor="text1"/>
                <w:szCs w:val="24"/>
              </w:rPr>
            </w:pPr>
            <w:r w:rsidRPr="00D61280">
              <w:rPr>
                <w:rFonts w:cstheme="minorHAnsi"/>
                <w:iCs/>
                <w:color w:val="000000" w:themeColor="text1"/>
                <w:szCs w:val="24"/>
              </w:rPr>
              <w:t>42</w:t>
            </w:r>
          </w:p>
        </w:tc>
        <w:tc>
          <w:tcPr>
            <w:tcW w:w="1100" w:type="dxa"/>
            <w:vAlign w:val="center"/>
          </w:tcPr>
          <w:p w14:paraId="51729B90" w14:textId="77777777" w:rsidR="00DD44D5" w:rsidRPr="00D61280" w:rsidRDefault="00DD44D5" w:rsidP="00560FA1">
            <w:pPr>
              <w:spacing w:after="0" w:line="240" w:lineRule="auto"/>
              <w:jc w:val="center"/>
              <w:rPr>
                <w:rFonts w:cstheme="minorHAnsi"/>
                <w:b/>
                <w:color w:val="000000" w:themeColor="text1"/>
                <w:szCs w:val="24"/>
              </w:rPr>
            </w:pPr>
            <w:r w:rsidRPr="00D61280">
              <w:rPr>
                <w:rFonts w:cstheme="minorHAnsi"/>
                <w:b/>
                <w:color w:val="000000" w:themeColor="text1"/>
                <w:szCs w:val="24"/>
              </w:rPr>
              <w:t>-</w:t>
            </w:r>
          </w:p>
        </w:tc>
        <w:tc>
          <w:tcPr>
            <w:tcW w:w="1009" w:type="dxa"/>
            <w:shd w:val="clear" w:color="auto" w:fill="auto"/>
            <w:vAlign w:val="center"/>
          </w:tcPr>
          <w:p w14:paraId="34C6C77E" w14:textId="394D6901" w:rsidR="00DD44D5" w:rsidRPr="00D61280" w:rsidRDefault="00037A05" w:rsidP="00560FA1">
            <w:pPr>
              <w:spacing w:after="0" w:line="240" w:lineRule="auto"/>
              <w:jc w:val="center"/>
              <w:rPr>
                <w:rFonts w:cstheme="minorHAnsi"/>
                <w:bCs/>
                <w:iCs/>
                <w:color w:val="000000" w:themeColor="text1"/>
                <w:szCs w:val="24"/>
              </w:rPr>
            </w:pPr>
            <w:r>
              <w:rPr>
                <w:rFonts w:cstheme="minorHAnsi"/>
                <w:bCs/>
                <w:iCs/>
                <w:color w:val="000000" w:themeColor="text1"/>
                <w:szCs w:val="24"/>
              </w:rPr>
              <w:t xml:space="preserve">augstāk par </w:t>
            </w:r>
            <w:r w:rsidR="00DD44D5" w:rsidRPr="00D61280">
              <w:rPr>
                <w:rFonts w:cstheme="minorHAnsi"/>
                <w:bCs/>
                <w:iCs/>
                <w:color w:val="000000" w:themeColor="text1"/>
                <w:szCs w:val="24"/>
              </w:rPr>
              <w:t>42</w:t>
            </w:r>
          </w:p>
        </w:tc>
      </w:tr>
    </w:tbl>
    <w:p w14:paraId="5492F068" w14:textId="77777777" w:rsidR="00DD44D5" w:rsidRDefault="00DD44D5" w:rsidP="00DD44D5">
      <w:pPr>
        <w:pStyle w:val="Default"/>
        <w:spacing w:before="120" w:after="120"/>
        <w:jc w:val="both"/>
        <w:rPr>
          <w:rFonts w:asciiTheme="minorHAnsi" w:hAnsiTheme="minorHAnsi" w:cstheme="minorHAnsi"/>
          <w:color w:val="auto"/>
        </w:rPr>
      </w:pPr>
      <w:bookmarkStart w:id="56" w:name="_Toc520978796"/>
      <w:bookmarkStart w:id="57" w:name="_Toc527529417"/>
      <w:bookmarkStart w:id="58" w:name="_Toc532909996"/>
      <w:bookmarkStart w:id="59" w:name="_Toc10527193"/>
      <w:bookmarkEnd w:id="51"/>
      <w:bookmarkEnd w:id="54"/>
      <w:r w:rsidRPr="00D61280">
        <w:rPr>
          <w:rFonts w:asciiTheme="minorHAnsi" w:hAnsiTheme="minorHAnsi" w:cstheme="minorHAnsi"/>
          <w:color w:val="auto"/>
        </w:rPr>
        <w:t>Plānā iekļautie pasākumi un tajā noteiktie principi tiek balstīti uz Līgumā par ES darbību noteiktā principa “piesārņotājs maksā” pilnīgu ieviešanu un īstenošanu.</w:t>
      </w:r>
      <w:r>
        <w:rPr>
          <w:rFonts w:asciiTheme="minorHAnsi" w:hAnsiTheme="minorHAnsi" w:cstheme="minorHAnsi"/>
          <w:color w:val="auto"/>
        </w:rPr>
        <w:t xml:space="preserve"> “Piesārņotājs maksā” princips nozīmē praksi, ka tiem, kas rada piesārņojumu, ir arī </w:t>
      </w:r>
      <w:r w:rsidRPr="00CE27CD">
        <w:rPr>
          <w:rFonts w:asciiTheme="minorHAnsi" w:hAnsiTheme="minorHAnsi" w:cstheme="minorHAnsi"/>
          <w:color w:val="auto"/>
        </w:rPr>
        <w:t xml:space="preserve">jāsedz tā apsaimniekošanas izmaksas, lai novērstu kaitējumu cilvēku veselībai vai videi. </w:t>
      </w:r>
      <w:r>
        <w:rPr>
          <w:rFonts w:asciiTheme="minorHAnsi" w:hAnsiTheme="minorHAnsi" w:cstheme="minorHAnsi"/>
          <w:color w:val="auto"/>
        </w:rPr>
        <w:t>Pēc būtības piesārņojumu rada galapatērētājs, jo patēriņa pieprasījums nodrošina un veicina piedāvājuma ražošanu. Līdz ar to tieši patērētājiem ir jābūt atbildīgiem par piesārņojuma administrēšanas – ierobežošana, mazināšana un kaitējuma cilvēka veselībai vai videi novēršana, izmaksām. Tomēr patērētājiem ir arī jābūt tiesīgiem saņemt precīzu informāciju par ar piesārņojuma administrēšanu saistītām izmaksām. Tādējādi “piesārņotājs maksā” princips nozīmē, ka ikviens resursa, tai skaitā, enerģijas, patērētājs un ražotājs, neatkarīgi no tā juridiskā statusa, sociālā stāvokļa, ir atbildīgs par jebkura veida emisijām vai piesārņojumu, kas radies patērējot konkrēto resursu vai no šī resursa ražojot produktu pašpatēriņam vai realizācijai citiem patērētājiem, kā arī ir tiesīgs zināt, kādā veidā minētās administrēšanas izmaksas tiek piemērotas un izlietotas.</w:t>
      </w:r>
    </w:p>
    <w:p w14:paraId="241DA158" w14:textId="77777777" w:rsidR="00DD44D5" w:rsidRPr="0007326F" w:rsidRDefault="00DD44D5" w:rsidP="0007326F">
      <w:pPr>
        <w:pStyle w:val="Heading20"/>
      </w:pPr>
      <w:bookmarkStart w:id="60" w:name="_Toc23245739"/>
      <w:bookmarkStart w:id="61" w:name="_Toc23245978"/>
      <w:bookmarkStart w:id="62" w:name="_Toc24407990"/>
      <w:bookmarkStart w:id="63" w:name="_Toc24408095"/>
      <w:r w:rsidRPr="0007326F">
        <w:t>Pašreizējā rīcībpolitikas stāvokļa apskats</w:t>
      </w:r>
      <w:bookmarkEnd w:id="56"/>
      <w:bookmarkEnd w:id="57"/>
      <w:bookmarkEnd w:id="58"/>
      <w:bookmarkEnd w:id="59"/>
      <w:bookmarkEnd w:id="60"/>
      <w:bookmarkEnd w:id="61"/>
      <w:bookmarkEnd w:id="62"/>
      <w:bookmarkEnd w:id="63"/>
      <w:r w:rsidRPr="0007326F">
        <w:t xml:space="preserve"> </w:t>
      </w:r>
    </w:p>
    <w:p w14:paraId="1FC38576" w14:textId="77777777" w:rsidR="00DD44D5" w:rsidRPr="00D61280" w:rsidRDefault="00DD44D5" w:rsidP="0007326F">
      <w:pPr>
        <w:pStyle w:val="Heading30"/>
        <w:rPr>
          <w:rStyle w:val="eop"/>
          <w:b/>
          <w:sz w:val="26"/>
          <w:szCs w:val="26"/>
          <w:u w:val="none"/>
          <w:lang w:eastAsia="en-US"/>
        </w:rPr>
      </w:pPr>
      <w:bookmarkStart w:id="64" w:name="_Toc520978797"/>
      <w:bookmarkStart w:id="65" w:name="_Toc527529418"/>
      <w:bookmarkStart w:id="66" w:name="_Toc23245740"/>
      <w:bookmarkStart w:id="67" w:name="_Toc23245979"/>
      <w:bookmarkStart w:id="68" w:name="_Toc24407991"/>
      <w:r w:rsidRPr="00D61280">
        <w:rPr>
          <w:rStyle w:val="normaltextrun"/>
        </w:rPr>
        <w:t>Latvijas  energosistēmas un rīcībpolitikas konteksts</w:t>
      </w:r>
      <w:bookmarkEnd w:id="64"/>
      <w:bookmarkEnd w:id="65"/>
      <w:bookmarkEnd w:id="66"/>
      <w:bookmarkEnd w:id="67"/>
      <w:bookmarkEnd w:id="68"/>
      <w:r w:rsidRPr="00D61280">
        <w:rPr>
          <w:rStyle w:val="normaltextrun"/>
        </w:rPr>
        <w:t xml:space="preserve"> </w:t>
      </w:r>
    </w:p>
    <w:p w14:paraId="2AE3C733" w14:textId="77777777" w:rsidR="00DD44D5" w:rsidRPr="00D61280" w:rsidRDefault="00DD44D5" w:rsidP="00DD44D5">
      <w:pPr>
        <w:autoSpaceDE w:val="0"/>
        <w:autoSpaceDN w:val="0"/>
        <w:adjustRightInd w:val="0"/>
        <w:spacing w:before="120" w:after="120" w:line="240" w:lineRule="auto"/>
        <w:jc w:val="both"/>
        <w:rPr>
          <w:rFonts w:cstheme="minorHAnsi"/>
          <w:szCs w:val="24"/>
        </w:rPr>
      </w:pPr>
      <w:r w:rsidRPr="00D61280">
        <w:rPr>
          <w:rFonts w:cstheme="minorHAnsi"/>
          <w:szCs w:val="24"/>
        </w:rPr>
        <w:t>ES mērogā enerģētikas politika periodam līdz 2050.gadam ir noteikta EK paziņojumā “Ceļvedis virzībai uz konkurētspējīgu ekonomiku ar zemu oglekļa dioksīda emisiju līmeni 2050. g.”</w:t>
      </w:r>
      <w:r w:rsidRPr="00D61280">
        <w:rPr>
          <w:rStyle w:val="FootnoteReference"/>
          <w:rFonts w:cstheme="minorHAnsi"/>
          <w:szCs w:val="24"/>
        </w:rPr>
        <w:footnoteReference w:id="13"/>
      </w:r>
      <w:r w:rsidRPr="00D61280">
        <w:rPr>
          <w:rStyle w:val="Heading2Char"/>
          <w:b w:val="0"/>
          <w:sz w:val="24"/>
          <w:szCs w:val="24"/>
        </w:rPr>
        <w:t xml:space="preserve">. </w:t>
      </w:r>
      <w:r w:rsidRPr="00D61280">
        <w:rPr>
          <w:rFonts w:cstheme="minorHAnsi"/>
          <w:szCs w:val="24"/>
        </w:rPr>
        <w:t>Savukārt periodam līdz 2030.gadam enerģētikas politika ir noteikta EK paziņojumā “Tīru enerģiju ikvienam Eiropā”</w:t>
      </w:r>
      <w:r w:rsidRPr="00D61280">
        <w:rPr>
          <w:rStyle w:val="FootnoteReference"/>
          <w:rFonts w:cstheme="minorHAnsi"/>
          <w:szCs w:val="24"/>
        </w:rPr>
        <w:footnoteReference w:id="14"/>
      </w:r>
      <w:r w:rsidRPr="00D61280">
        <w:rPr>
          <w:rFonts w:cstheme="minorHAnsi"/>
          <w:szCs w:val="24"/>
        </w:rPr>
        <w:t>. Plāns Latvijas attīstības sistēmas plānošanas ietvarā ir pakārtojams LIAS2030</w:t>
      </w:r>
      <w:r w:rsidRPr="00D61280">
        <w:rPr>
          <w:rStyle w:val="FootnoteReference"/>
          <w:rFonts w:cstheme="minorHAnsi"/>
          <w:szCs w:val="24"/>
        </w:rPr>
        <w:footnoteReference w:id="15"/>
      </w:r>
      <w:r w:rsidRPr="00D61280">
        <w:rPr>
          <w:rFonts w:cstheme="minorHAnsi"/>
          <w:szCs w:val="24"/>
        </w:rPr>
        <w:t xml:space="preserve"> un </w:t>
      </w:r>
      <w:r>
        <w:rPr>
          <w:rFonts w:cstheme="minorHAnsi"/>
          <w:szCs w:val="24"/>
        </w:rPr>
        <w:t>L</w:t>
      </w:r>
      <w:r w:rsidRPr="00D61280">
        <w:rPr>
          <w:rFonts w:cstheme="minorHAnsi"/>
          <w:szCs w:val="24"/>
        </w:rPr>
        <w:t>NAP2027.</w:t>
      </w:r>
    </w:p>
    <w:p w14:paraId="7F5DC65E" w14:textId="77777777" w:rsidR="00DD44D5" w:rsidRPr="00D61280" w:rsidRDefault="00DD44D5" w:rsidP="00DD44D5">
      <w:pPr>
        <w:autoSpaceDE w:val="0"/>
        <w:autoSpaceDN w:val="0"/>
        <w:adjustRightInd w:val="0"/>
        <w:spacing w:before="120" w:after="120" w:line="240" w:lineRule="auto"/>
        <w:jc w:val="both"/>
        <w:rPr>
          <w:rFonts w:cstheme="minorHAnsi"/>
          <w:szCs w:val="24"/>
        </w:rPr>
      </w:pPr>
      <w:r w:rsidRPr="00D61280">
        <w:rPr>
          <w:rFonts w:cstheme="minorHAnsi"/>
          <w:szCs w:val="24"/>
        </w:rPr>
        <w:t xml:space="preserve">Enerģētika ir viens no sektoriem, kas tieši ietekmē valsts ekonomikas izaugsmi un atsevišķās nozarēs, īpaši apstrādes rūpniecībā, veido ievērojamu daļu kopējās izmaksās. Rūpniecības izaugsmei svarīgākais faktors ir un būs ilgtspējīgi zemākā iespējamā enerģijas cena, kas ietver arī drošumu un kvalitāti. Enerģijas sektora attīstībai ir nepieciešamas ievērojamas investīcijas, kuru piesaistei vajadzīga stabila un prognozējama investīciju vide. </w:t>
      </w:r>
      <w:r>
        <w:rPr>
          <w:rFonts w:cstheme="minorHAnsi"/>
          <w:szCs w:val="24"/>
        </w:rPr>
        <w:t>Vienlaikus enerģētika, tai skaitā, rūpniecība un transports, ir viens no sektoriem, kuru pilnībā ietekmē patērētāja pieprasījums, kā arī patērētājam ir atbildība nozares izmaksu konkurētspējas nodrošināšanā.</w:t>
      </w:r>
    </w:p>
    <w:p w14:paraId="4B8FF1FE" w14:textId="77777777" w:rsidR="00DD44D5" w:rsidRPr="00D61280" w:rsidRDefault="00DD44D5" w:rsidP="00DD44D5">
      <w:pPr>
        <w:spacing w:before="120" w:after="120" w:line="240" w:lineRule="auto"/>
        <w:jc w:val="center"/>
        <w:rPr>
          <w:rFonts w:cstheme="minorHAnsi"/>
          <w:szCs w:val="24"/>
        </w:rPr>
      </w:pPr>
      <w:r w:rsidRPr="00D61280">
        <w:rPr>
          <w:rFonts w:cstheme="minorHAnsi"/>
          <w:noProof/>
          <w:szCs w:val="24"/>
        </w:rPr>
        <w:drawing>
          <wp:inline distT="0" distB="0" distL="0" distR="0" wp14:anchorId="121338C7" wp14:editId="0675DA7A">
            <wp:extent cx="4537075" cy="260139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61549" cy="2615427"/>
                    </a:xfrm>
                    <a:prstGeom prst="rect">
                      <a:avLst/>
                    </a:prstGeom>
                    <a:noFill/>
                  </pic:spPr>
                </pic:pic>
              </a:graphicData>
            </a:graphic>
          </wp:inline>
        </w:drawing>
      </w:r>
    </w:p>
    <w:p w14:paraId="6C438233" w14:textId="5F648E1D" w:rsidR="00DD44D5" w:rsidRPr="00D61280" w:rsidRDefault="00DD44D5" w:rsidP="00DD44D5">
      <w:pPr>
        <w:pStyle w:val="Caption"/>
        <w:rPr>
          <w:rFonts w:asciiTheme="minorHAnsi" w:hAnsiTheme="minorHAnsi" w:cstheme="minorHAnsi"/>
        </w:rPr>
      </w:pPr>
      <w:r w:rsidRPr="00D61280">
        <w:rPr>
          <w:rFonts w:asciiTheme="minorHAnsi" w:hAnsiTheme="minorHAnsi" w:cstheme="minorHAnsi"/>
          <w:noProof/>
        </w:rPr>
        <w:fldChar w:fldCharType="begin"/>
      </w:r>
      <w:r w:rsidRPr="00D61280">
        <w:rPr>
          <w:rFonts w:asciiTheme="minorHAnsi" w:hAnsiTheme="minorHAnsi" w:cstheme="minorHAnsi"/>
          <w:noProof/>
        </w:rPr>
        <w:instrText xml:space="preserve"> SEQ Ilustrācija \* ARABIC </w:instrText>
      </w:r>
      <w:r w:rsidRPr="00D61280">
        <w:rPr>
          <w:rFonts w:asciiTheme="minorHAnsi" w:hAnsiTheme="minorHAnsi" w:cstheme="minorHAnsi"/>
          <w:noProof/>
        </w:rPr>
        <w:fldChar w:fldCharType="separate"/>
      </w:r>
      <w:bookmarkStart w:id="69" w:name="_Toc531333083"/>
      <w:bookmarkStart w:id="70" w:name="_Toc23782682"/>
      <w:r w:rsidR="006E6675">
        <w:rPr>
          <w:rFonts w:asciiTheme="minorHAnsi" w:hAnsiTheme="minorHAnsi" w:cstheme="minorHAnsi"/>
          <w:noProof/>
        </w:rPr>
        <w:t>2</w:t>
      </w:r>
      <w:r w:rsidRPr="00D61280">
        <w:rPr>
          <w:rFonts w:asciiTheme="minorHAnsi" w:hAnsiTheme="minorHAnsi" w:cstheme="minorHAnsi"/>
          <w:noProof/>
        </w:rPr>
        <w:fldChar w:fldCharType="end"/>
      </w:r>
      <w:r w:rsidRPr="00D61280">
        <w:rPr>
          <w:rFonts w:asciiTheme="minorHAnsi" w:hAnsiTheme="minorHAnsi" w:cstheme="minorHAnsi"/>
        </w:rPr>
        <w:t>. attēls. Kopējā energoresursu patēriņa un enerģijas galapatēriņa izmaiņas ES un Latvijā (1990=1)</w:t>
      </w:r>
      <w:r w:rsidRPr="00D61280">
        <w:rPr>
          <w:rStyle w:val="FootnoteReference"/>
          <w:rFonts w:asciiTheme="minorHAnsi" w:hAnsiTheme="minorHAnsi" w:cstheme="minorHAnsi"/>
          <w:b w:val="0"/>
        </w:rPr>
        <w:footnoteReference w:id="16"/>
      </w:r>
      <w:bookmarkEnd w:id="69"/>
      <w:bookmarkEnd w:id="70"/>
    </w:p>
    <w:p w14:paraId="74E6D210" w14:textId="77777777" w:rsidR="00DD44D5" w:rsidRPr="00D61280" w:rsidRDefault="00DD44D5" w:rsidP="00DD44D5">
      <w:pPr>
        <w:spacing w:before="120" w:after="120" w:line="240" w:lineRule="auto"/>
        <w:jc w:val="both"/>
        <w:rPr>
          <w:rFonts w:cstheme="minorHAnsi"/>
          <w:szCs w:val="24"/>
        </w:rPr>
      </w:pPr>
      <w:r w:rsidRPr="00D61280">
        <w:rPr>
          <w:rFonts w:cstheme="minorHAnsi"/>
          <w:szCs w:val="24"/>
        </w:rPr>
        <w:t>Kopējais energoresursu patēriņš 2017.gadā Latvijā bija 194,9 PJ, kas ir par 5,5 % vairāk nekā 2016.gadā</w:t>
      </w:r>
      <w:r w:rsidRPr="00D61280">
        <w:rPr>
          <w:rStyle w:val="FootnoteReference"/>
          <w:rFonts w:cstheme="minorHAnsi"/>
          <w:szCs w:val="24"/>
        </w:rPr>
        <w:footnoteReference w:id="17"/>
      </w:r>
      <w:r w:rsidRPr="00D61280">
        <w:rPr>
          <w:rFonts w:cstheme="minorHAnsi"/>
          <w:szCs w:val="24"/>
        </w:rPr>
        <w:t>. Pēdējos gados novērotas kopējā energoresursu patēriņa struktūras izmaiņas – samazinoties dabasgāzes patēriņa īpatsvaram, palielinās AER īpatsvars kopējā energoresursu patēriņā, kur desmit gadu laikā dabasgāzes patēriņa īpatsvars samazinājās par 4,2 %, un 2017. gadā tas bija 23,4 %. Latvijā izmantojamie AER ir vietējie energoresursi, tāpēc, palielinoties AER kopējam patēriņam, ir samazinājusies Latvijas enerģētiskā atkarība</w:t>
      </w:r>
      <w:r w:rsidRPr="00D61280">
        <w:rPr>
          <w:rStyle w:val="FootnoteReference"/>
          <w:rFonts w:cstheme="minorHAnsi"/>
          <w:szCs w:val="24"/>
        </w:rPr>
        <w:footnoteReference w:id="18"/>
      </w:r>
      <w:r w:rsidRPr="00D61280">
        <w:rPr>
          <w:rFonts w:cstheme="minorHAnsi"/>
          <w:szCs w:val="24"/>
        </w:rPr>
        <w:t xml:space="preserve"> no importētiem energoresursiem no 63,9 % 2005. gadā līdz 44,1 % 2017.gadā</w:t>
      </w:r>
      <w:r w:rsidRPr="00D61280">
        <w:rPr>
          <w:rStyle w:val="FootnoteReference"/>
          <w:rFonts w:cstheme="minorHAnsi"/>
          <w:szCs w:val="24"/>
        </w:rPr>
        <w:footnoteReference w:id="19"/>
      </w:r>
      <w:r w:rsidRPr="00D61280">
        <w:rPr>
          <w:rFonts w:cstheme="minorHAnsi"/>
          <w:szCs w:val="24"/>
        </w:rPr>
        <w:t>.</w:t>
      </w:r>
    </w:p>
    <w:p w14:paraId="5615B39C" w14:textId="77777777" w:rsidR="00DD44D5" w:rsidRPr="00D61280" w:rsidRDefault="00DD44D5" w:rsidP="00DD44D5">
      <w:pPr>
        <w:spacing w:before="120" w:after="120" w:line="240" w:lineRule="auto"/>
        <w:jc w:val="center"/>
        <w:rPr>
          <w:rFonts w:cstheme="minorHAnsi"/>
          <w:szCs w:val="24"/>
        </w:rPr>
      </w:pPr>
      <w:r>
        <w:rPr>
          <w:rFonts w:cstheme="minorHAnsi"/>
          <w:noProof/>
          <w:szCs w:val="24"/>
        </w:rPr>
        <w:drawing>
          <wp:inline distT="0" distB="0" distL="0" distR="0" wp14:anchorId="724B25ED" wp14:editId="47FAEA5C">
            <wp:extent cx="4533900" cy="24651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48266" cy="2472974"/>
                    </a:xfrm>
                    <a:prstGeom prst="rect">
                      <a:avLst/>
                    </a:prstGeom>
                    <a:noFill/>
                  </pic:spPr>
                </pic:pic>
              </a:graphicData>
            </a:graphic>
          </wp:inline>
        </w:drawing>
      </w:r>
    </w:p>
    <w:p w14:paraId="199854FF" w14:textId="1C31B827" w:rsidR="00DD44D5" w:rsidRPr="00D61280" w:rsidRDefault="00DD44D5" w:rsidP="00DD44D5">
      <w:pPr>
        <w:pStyle w:val="Caption"/>
        <w:rPr>
          <w:rFonts w:asciiTheme="minorHAnsi" w:hAnsiTheme="minorHAnsi" w:cstheme="minorHAnsi"/>
        </w:rPr>
      </w:pPr>
      <w:r w:rsidRPr="00D61280">
        <w:rPr>
          <w:rFonts w:asciiTheme="minorHAnsi" w:hAnsiTheme="minorHAnsi" w:cstheme="minorHAnsi"/>
          <w:noProof/>
        </w:rPr>
        <w:fldChar w:fldCharType="begin"/>
      </w:r>
      <w:r w:rsidRPr="00D61280">
        <w:rPr>
          <w:rFonts w:asciiTheme="minorHAnsi" w:hAnsiTheme="minorHAnsi" w:cstheme="minorHAnsi"/>
          <w:noProof/>
        </w:rPr>
        <w:instrText xml:space="preserve"> SEQ Ilustrācija \* ARABIC </w:instrText>
      </w:r>
      <w:r w:rsidRPr="00D61280">
        <w:rPr>
          <w:rFonts w:asciiTheme="minorHAnsi" w:hAnsiTheme="minorHAnsi" w:cstheme="minorHAnsi"/>
          <w:noProof/>
        </w:rPr>
        <w:fldChar w:fldCharType="separate"/>
      </w:r>
      <w:bookmarkStart w:id="71" w:name="_Toc23782683"/>
      <w:r w:rsidR="006E6675">
        <w:rPr>
          <w:rFonts w:asciiTheme="minorHAnsi" w:hAnsiTheme="minorHAnsi" w:cstheme="minorHAnsi"/>
          <w:noProof/>
        </w:rPr>
        <w:t>3</w:t>
      </w:r>
      <w:r w:rsidRPr="00D61280">
        <w:rPr>
          <w:rFonts w:asciiTheme="minorHAnsi" w:hAnsiTheme="minorHAnsi" w:cstheme="minorHAnsi"/>
          <w:noProof/>
        </w:rPr>
        <w:fldChar w:fldCharType="end"/>
      </w:r>
      <w:r w:rsidRPr="00D61280">
        <w:rPr>
          <w:rFonts w:asciiTheme="minorHAnsi" w:hAnsiTheme="minorHAnsi" w:cstheme="minorHAnsi"/>
        </w:rPr>
        <w:t xml:space="preserve">. attēls. Latvijas un ES kopējais energoresursu patēriņš un enerģijas galapatēriņš, </w:t>
      </w:r>
      <w:bookmarkStart w:id="72" w:name="_Toc531333085"/>
      <w:r w:rsidRPr="00D61280">
        <w:rPr>
          <w:rFonts w:asciiTheme="minorHAnsi" w:hAnsiTheme="minorHAnsi" w:cstheme="minorHAnsi"/>
        </w:rPr>
        <w:t>Latvijas un ES enerģijas galapatēriņš nozarēs 2017.g. (%)</w:t>
      </w:r>
      <w:r w:rsidRPr="00D61280">
        <w:rPr>
          <w:rStyle w:val="FootnoteReference"/>
          <w:rFonts w:asciiTheme="minorHAnsi" w:hAnsiTheme="minorHAnsi" w:cstheme="minorHAnsi"/>
        </w:rPr>
        <w:footnoteReference w:id="20"/>
      </w:r>
      <w:bookmarkEnd w:id="71"/>
      <w:bookmarkEnd w:id="72"/>
    </w:p>
    <w:p w14:paraId="04016EA4" w14:textId="77777777" w:rsidR="00DD44D5" w:rsidRPr="00D61280" w:rsidRDefault="00DD44D5" w:rsidP="00DD44D5">
      <w:pPr>
        <w:spacing w:before="120" w:after="120" w:line="240" w:lineRule="auto"/>
        <w:jc w:val="both"/>
        <w:rPr>
          <w:rFonts w:cstheme="minorHAnsi"/>
          <w:szCs w:val="24"/>
        </w:rPr>
      </w:pPr>
      <w:r w:rsidRPr="00D61280">
        <w:rPr>
          <w:rFonts w:cstheme="minorHAnsi"/>
          <w:szCs w:val="24"/>
        </w:rPr>
        <w:t>Enerģijas galapatēriņš 2017.gadā ir diezgan būtiski palielinājies, salīdzinot ar 2015.gadu – 168 PJ, kas ir par 5,1 % vairāk nekā 2016.gadā. Lielākais enerģijas patērētājs 2016. un 2017.gadā ir transports, kas patērēja attiecīgi 30,4 % un 30 %, tad mājsaimniecības – 29 % un 29,2 % patēriņš, un rūpniecība – 20,8 % un 21 % patēriņš. Salīdzinot ar 2016. gadu, enerģijas galapatēriņa pieaugums 2017.gadā ir vērojams visos sektoros, kur vislielākais pieaugums 2017. gadā salīdzinot ar 2016.gadu – +11,9 %, bija lauksaimniecībā un mežsaimniecībā.</w:t>
      </w:r>
    </w:p>
    <w:p w14:paraId="45FE3F4D" w14:textId="77777777" w:rsidR="00DD44D5" w:rsidRPr="00D61280" w:rsidRDefault="00DD44D5" w:rsidP="0007326F">
      <w:pPr>
        <w:pStyle w:val="Heading30"/>
      </w:pPr>
      <w:bookmarkStart w:id="73" w:name="_Toc520978798"/>
      <w:bookmarkStart w:id="74" w:name="_Toc527529421"/>
      <w:bookmarkStart w:id="75" w:name="_Toc24407992"/>
      <w:bookmarkStart w:id="76" w:name="_Toc23245741"/>
      <w:bookmarkStart w:id="77" w:name="_Toc23245980"/>
      <w:r w:rsidRPr="00D61280">
        <w:rPr>
          <w:rStyle w:val="normaltextrun"/>
        </w:rPr>
        <w:t>Pašreizējās enerģētikas un klimata </w:t>
      </w:r>
      <w:r w:rsidRPr="00D61280">
        <w:rPr>
          <w:rStyle w:val="spellingerror"/>
        </w:rPr>
        <w:t>rīcībpolitikas</w:t>
      </w:r>
      <w:r w:rsidRPr="00D61280">
        <w:rPr>
          <w:rStyle w:val="normaltextrun"/>
        </w:rPr>
        <w:t> un pasākumi</w:t>
      </w:r>
      <w:bookmarkEnd w:id="73"/>
      <w:bookmarkEnd w:id="74"/>
      <w:bookmarkEnd w:id="75"/>
      <w:r w:rsidRPr="00D61280">
        <w:rPr>
          <w:rStyle w:val="eop"/>
        </w:rPr>
        <w:t> </w:t>
      </w:r>
      <w:bookmarkEnd w:id="76"/>
      <w:bookmarkEnd w:id="77"/>
    </w:p>
    <w:p w14:paraId="45CF4FE1" w14:textId="77777777" w:rsidR="00DD44D5" w:rsidRPr="00D61280" w:rsidRDefault="00DD44D5" w:rsidP="00560FA1">
      <w:pPr>
        <w:spacing w:before="120" w:after="120" w:line="240" w:lineRule="auto"/>
        <w:jc w:val="both"/>
        <w:rPr>
          <w:rFonts w:cstheme="minorHAnsi"/>
        </w:rPr>
      </w:pPr>
      <w:r w:rsidRPr="00D61280">
        <w:rPr>
          <w:rFonts w:cstheme="minorHAnsi"/>
        </w:rPr>
        <w:t xml:space="preserve">Plāna izstrādes un tajā iekļauto politiku un pasākumu kontekstu nosaka liels daudzums ES tiesību aktu, no kuriem galvenie ir: </w:t>
      </w:r>
    </w:p>
    <w:p w14:paraId="3D383B96"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rPr>
        <w:t>Regula 2018/1999;</w:t>
      </w:r>
    </w:p>
    <w:p w14:paraId="3152C2F5"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2003. gada 13.oktobra direktīva Nr. 2003/87/EK, ar kuru nosaka sistēmu siltumnīcas efektu izraisošo gāzu emisijas kvotu tirdzniecībai Kopienā un groza Padomes Direktīvu 96/61/EK (turpmāk – Direktīva 2003/87/EK);</w:t>
      </w:r>
    </w:p>
    <w:p w14:paraId="4F0E0632"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2009. gada 23. aprīļa lēmums Nr. 406/2009/EK par dalībvalstu pasākumiem siltumnīcas efektu izraisošu gāzu emisiju samazināšanai, lai izpildītu Kopienas saistības siltumnīcas efektu izraisošu gāzu emisiju samazināšanas jomā līdz 2020. gadam (turpmāk – Lēmums 406/2009/EK);</w:t>
      </w:r>
    </w:p>
    <w:p w14:paraId="68109A28"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2018.gada 30.maija regula Nr.2018/842 par saistošiem ikgadējiem siltumnīcefekta gāzu emisiju samazinājumiem, kas dalībvalstīm jāpanāk no 2021. līdz 2030. gadam un kas dod ieguldījumu rīcībā klimata politikas jomā, lai izpildītu Parīzes nolīgumā paredzētās saistības, un ar ko groza Regulu (ES) Nr. 525/2013 (turpmāk – Regula 2018/842);</w:t>
      </w:r>
    </w:p>
    <w:p w14:paraId="5FF6E33F"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2018.gada 30.maija regula Nr. 2018/841 par zemes izmantošanā, zemes izmantošanas maiņā un mežsaimniecībā radušos siltumnīcefekta gāzu emisiju un piesaistes iekļaušanu klimata un enerģētikas politikas satvarā laikposmam līdz 2030. gadam un ar ko groza Regulu (ES) Nr. 525/2013 un Lēmumu Nr. 529/2013/ES (turpmāk – Regula 2018/841);</w:t>
      </w:r>
    </w:p>
    <w:p w14:paraId="1D78C540"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2009. gada 23. aprīļa direktīva Nr. 2009/28/EK par atjaunojamo energoresursu izmantošanas veicināšanu un ar ko groza un sekojoši atceļ Direktīvas 2001/77/EK un 2003/30/EK (turpmāk – Direktīva 2009/28/EK);</w:t>
      </w:r>
    </w:p>
    <w:p w14:paraId="3D33E82A"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2018.gada 11.decembra direktīva Nr.2018/2001 par atjaunojamo energoresursu enerģijas izmantošanas veicināšanu (pārstrādāta redakcija)</w:t>
      </w:r>
      <w:r w:rsidRPr="00D61280">
        <w:rPr>
          <w:rStyle w:val="FootnoteReference"/>
          <w:rFonts w:eastAsia="Calibri" w:cstheme="minorHAnsi"/>
          <w:szCs w:val="24"/>
        </w:rPr>
        <w:footnoteReference w:id="21"/>
      </w:r>
      <w:r w:rsidRPr="00D61280">
        <w:rPr>
          <w:rFonts w:eastAsia="Calibri" w:cstheme="minorHAnsi"/>
          <w:szCs w:val="24"/>
        </w:rPr>
        <w:t xml:space="preserve"> (turpmāk – Direktīva 2018/2001);</w:t>
      </w:r>
    </w:p>
    <w:p w14:paraId="0B5E6AC7"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2012. gada 25.oktobra direktīva Nr. 2012/27/ES par energoefektivitāti, ar ko groza Direktīvas 2009/125/EK un 2010/30/ES un atceļ Direktīvas 2004/8/EK un 2006/32/EK (turpmāk – Direktīva 2012/27/ES);</w:t>
      </w:r>
    </w:p>
    <w:p w14:paraId="40330DC3"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2018.gada 11.decembra direktīva Nr.2018/2002, ar ko groza Direktīvu 2012/27/ES par energoefektivitāti</w:t>
      </w:r>
      <w:r w:rsidRPr="00D61280">
        <w:rPr>
          <w:rStyle w:val="FootnoteReference"/>
          <w:rFonts w:eastAsia="Calibri" w:cstheme="minorHAnsi"/>
          <w:szCs w:val="24"/>
        </w:rPr>
        <w:footnoteReference w:id="22"/>
      </w:r>
      <w:r w:rsidRPr="00D61280">
        <w:rPr>
          <w:rFonts w:eastAsia="Calibri" w:cstheme="minorHAnsi"/>
          <w:szCs w:val="24"/>
        </w:rPr>
        <w:t xml:space="preserve"> (turpmāk – Direktīva 2018/2002);</w:t>
      </w:r>
    </w:p>
    <w:p w14:paraId="01A3D7E5" w14:textId="77777777" w:rsidR="00DD44D5" w:rsidRPr="00D61280" w:rsidRDefault="00DD44D5" w:rsidP="00560FA1">
      <w:pPr>
        <w:pStyle w:val="ListParagraph"/>
        <w:numPr>
          <w:ilvl w:val="0"/>
          <w:numId w:val="6"/>
        </w:numPr>
        <w:spacing w:before="120" w:after="120" w:line="240" w:lineRule="auto"/>
        <w:ind w:left="397" w:hanging="397"/>
        <w:contextualSpacing w:val="0"/>
        <w:jc w:val="both"/>
        <w:rPr>
          <w:rFonts w:cstheme="minorHAnsi"/>
        </w:rPr>
      </w:pPr>
      <w:r w:rsidRPr="00D61280">
        <w:rPr>
          <w:rFonts w:eastAsia="Calibri" w:cstheme="minorHAnsi"/>
          <w:szCs w:val="24"/>
        </w:rPr>
        <w:t>Eiropas Parlamenta un Padomes 2010. gada 19. maija direktīva Nr. 2010/31/ES par ēku energoefektivitāti (pārstrādāta versija) (turpmāk – Direktīva 2010/31/ES);</w:t>
      </w:r>
    </w:p>
    <w:p w14:paraId="059E2ECE" w14:textId="77777777" w:rsidR="00DD44D5" w:rsidRPr="00D61280" w:rsidRDefault="00DD44D5" w:rsidP="00560FA1">
      <w:pPr>
        <w:autoSpaceDE w:val="0"/>
        <w:autoSpaceDN w:val="0"/>
        <w:adjustRightInd w:val="0"/>
        <w:spacing w:before="120" w:after="120" w:line="240" w:lineRule="auto"/>
        <w:jc w:val="both"/>
        <w:rPr>
          <w:rFonts w:cstheme="minorHAnsi"/>
          <w:szCs w:val="24"/>
        </w:rPr>
      </w:pPr>
      <w:r w:rsidRPr="00D61280">
        <w:rPr>
          <w:rFonts w:cstheme="minorHAnsi"/>
          <w:szCs w:val="24"/>
        </w:rPr>
        <w:t>Latvijā pašlaik ir spēkā vairāki politikas plānošanas dokumenti (tai skaitā informatīvie ziņojumi), kas skar enerģētikas sektora attīstību un klimata pārmaiņu mazināšanas jautājumus, kuros ir noteikti enerģētikas sektora un klimata pārmaiņu mazināšanas mērķi un arī noteikta rīcībpolitika šo mērķu sasniegšanai.</w:t>
      </w:r>
    </w:p>
    <w:p w14:paraId="20765AAC" w14:textId="77777777" w:rsidR="00DD44D5" w:rsidRPr="00D61280" w:rsidRDefault="00DD44D5" w:rsidP="00560FA1">
      <w:pPr>
        <w:autoSpaceDE w:val="0"/>
        <w:autoSpaceDN w:val="0"/>
        <w:adjustRightInd w:val="0"/>
        <w:spacing w:before="120" w:after="120" w:line="240" w:lineRule="auto"/>
        <w:jc w:val="both"/>
        <w:rPr>
          <w:rFonts w:cstheme="minorHAnsi"/>
          <w:szCs w:val="24"/>
        </w:rPr>
      </w:pPr>
      <w:r w:rsidRPr="00D61280">
        <w:rPr>
          <w:rFonts w:cstheme="minorHAnsi"/>
          <w:szCs w:val="24"/>
        </w:rPr>
        <w:t>1) LIAS2030 ir noteikti šādi Plāna konteksta mērķi:</w:t>
      </w:r>
    </w:p>
    <w:p w14:paraId="7781428B" w14:textId="77777777" w:rsidR="00DD44D5" w:rsidRPr="00D61280" w:rsidRDefault="00DD44D5" w:rsidP="00560FA1">
      <w:pPr>
        <w:pStyle w:val="ListParagraph"/>
        <w:numPr>
          <w:ilvl w:val="0"/>
          <w:numId w:val="4"/>
        </w:numPr>
        <w:autoSpaceDE w:val="0"/>
        <w:autoSpaceDN w:val="0"/>
        <w:adjustRightInd w:val="0"/>
        <w:spacing w:before="120" w:after="120" w:line="240" w:lineRule="auto"/>
        <w:ind w:left="397" w:hanging="397"/>
        <w:contextualSpacing w:val="0"/>
        <w:jc w:val="both"/>
        <w:rPr>
          <w:rFonts w:cstheme="minorHAnsi"/>
          <w:szCs w:val="24"/>
        </w:rPr>
      </w:pPr>
      <w:r w:rsidRPr="00D61280">
        <w:rPr>
          <w:rFonts w:cstheme="minorHAnsi"/>
          <w:szCs w:val="24"/>
        </w:rPr>
        <w:t>Nodrošināt valsts enerģētisko neatkarību, palielinot energoresursu pašnodrošinājumu un integrējoties ES enerģijas tīklos;</w:t>
      </w:r>
    </w:p>
    <w:p w14:paraId="34E2C90B" w14:textId="77777777" w:rsidR="00DD44D5" w:rsidRPr="00D61280" w:rsidRDefault="00DD44D5" w:rsidP="00560FA1">
      <w:pPr>
        <w:pStyle w:val="ListParagraph"/>
        <w:numPr>
          <w:ilvl w:val="0"/>
          <w:numId w:val="4"/>
        </w:numPr>
        <w:spacing w:before="120" w:after="120" w:line="240" w:lineRule="auto"/>
        <w:ind w:left="397" w:hanging="397"/>
        <w:contextualSpacing w:val="0"/>
        <w:jc w:val="both"/>
        <w:rPr>
          <w:rFonts w:cstheme="minorHAnsi"/>
          <w:szCs w:val="24"/>
        </w:rPr>
      </w:pPr>
      <w:r w:rsidRPr="00D61280">
        <w:rPr>
          <w:rFonts w:cstheme="minorHAnsi"/>
          <w:szCs w:val="24"/>
        </w:rPr>
        <w:t>Būt ES līderei dabas kapitāla saglabāšanā, palielināšanā un ilgtspējīgā izmantošanā;</w:t>
      </w:r>
    </w:p>
    <w:p w14:paraId="7B47747F" w14:textId="77777777" w:rsidR="00DD44D5" w:rsidRPr="00D61280" w:rsidRDefault="00DD44D5" w:rsidP="00560FA1">
      <w:pPr>
        <w:pStyle w:val="ListParagraph"/>
        <w:numPr>
          <w:ilvl w:val="0"/>
          <w:numId w:val="4"/>
        </w:numPr>
        <w:autoSpaceDE w:val="0"/>
        <w:autoSpaceDN w:val="0"/>
        <w:adjustRightInd w:val="0"/>
        <w:spacing w:before="120" w:after="120" w:line="240" w:lineRule="auto"/>
        <w:ind w:left="397" w:hanging="397"/>
        <w:contextualSpacing w:val="0"/>
        <w:jc w:val="both"/>
        <w:rPr>
          <w:rFonts w:cstheme="minorHAnsi"/>
          <w:szCs w:val="24"/>
        </w:rPr>
      </w:pPr>
      <w:r w:rsidRPr="00D61280">
        <w:rPr>
          <w:rFonts w:cstheme="minorHAnsi"/>
          <w:szCs w:val="24"/>
        </w:rPr>
        <w:t>Saglabāt Latvijas savdabību – daudzveidīgo dabas un kultūras mantojumu, tipiskās un unikālās ainavas.</w:t>
      </w:r>
    </w:p>
    <w:p w14:paraId="7F4D339B" w14:textId="77777777" w:rsidR="00DD44D5" w:rsidRPr="00D61280" w:rsidRDefault="00DD44D5" w:rsidP="00560FA1">
      <w:pPr>
        <w:autoSpaceDE w:val="0"/>
        <w:autoSpaceDN w:val="0"/>
        <w:adjustRightInd w:val="0"/>
        <w:spacing w:before="120" w:after="120" w:line="240" w:lineRule="auto"/>
        <w:jc w:val="both"/>
        <w:rPr>
          <w:rFonts w:cstheme="minorHAnsi"/>
          <w:szCs w:val="24"/>
        </w:rPr>
      </w:pPr>
      <w:r w:rsidRPr="00D61280">
        <w:rPr>
          <w:rFonts w:cstheme="minorHAnsi"/>
          <w:szCs w:val="24"/>
        </w:rPr>
        <w:t>LIAS2030 ir noteikti skaitliski SEG emisiju samazināšanas, AER īpatsvara un energointenstitātes mērķi, kā arī inovāciju mērķi 2030.gadam.</w:t>
      </w:r>
    </w:p>
    <w:p w14:paraId="4FC1AABB" w14:textId="77777777" w:rsidR="00DD44D5" w:rsidRPr="00D61280" w:rsidRDefault="00DD44D5" w:rsidP="00560FA1">
      <w:pPr>
        <w:autoSpaceDE w:val="0"/>
        <w:autoSpaceDN w:val="0"/>
        <w:adjustRightInd w:val="0"/>
        <w:spacing w:before="120" w:after="120" w:line="240" w:lineRule="auto"/>
        <w:jc w:val="both"/>
        <w:rPr>
          <w:rFonts w:cstheme="minorHAnsi"/>
          <w:szCs w:val="24"/>
        </w:rPr>
      </w:pPr>
      <w:r w:rsidRPr="00D61280">
        <w:rPr>
          <w:rFonts w:cstheme="minorHAnsi"/>
          <w:szCs w:val="24"/>
        </w:rPr>
        <w:t>2) LNAP2020</w:t>
      </w:r>
      <w:r>
        <w:rPr>
          <w:rStyle w:val="FootnoteReference"/>
          <w:rFonts w:cstheme="minorHAnsi"/>
          <w:szCs w:val="24"/>
        </w:rPr>
        <w:footnoteReference w:id="23"/>
      </w:r>
      <w:r w:rsidRPr="00D61280">
        <w:rPr>
          <w:rFonts w:cstheme="minorHAnsi"/>
          <w:szCs w:val="24"/>
        </w:rPr>
        <w:t xml:space="preserve"> ir noteikti šādi Plāna konteksta mērķi:</w:t>
      </w:r>
    </w:p>
    <w:p w14:paraId="53BFB7A7" w14:textId="77777777" w:rsidR="00DD44D5" w:rsidRPr="00D61280" w:rsidRDefault="00DD44D5" w:rsidP="00560FA1">
      <w:pPr>
        <w:pStyle w:val="Default"/>
        <w:numPr>
          <w:ilvl w:val="0"/>
          <w:numId w:val="5"/>
        </w:numPr>
        <w:spacing w:before="120" w:after="120"/>
        <w:ind w:left="397" w:hanging="397"/>
        <w:jc w:val="both"/>
        <w:rPr>
          <w:rFonts w:asciiTheme="minorHAnsi" w:hAnsiTheme="minorHAnsi" w:cstheme="minorHAnsi"/>
          <w:iCs/>
        </w:rPr>
      </w:pPr>
      <w:r w:rsidRPr="00D61280">
        <w:rPr>
          <w:rFonts w:asciiTheme="minorHAnsi" w:hAnsiTheme="minorHAnsi" w:cstheme="minorHAnsi"/>
          <w:iCs/>
        </w:rPr>
        <w:t>Nodrošināt tautas saimniecībai nepieciešamo energoresursu ilgtspējīgu izmantošanu, veicinot resursu tirgu pieejamību, sektoru energointensitātes un emisiju intensitātes samazināšanos un vietējo AER īpatsvara palielināšanos kopējā patērētajā apjomā, fokusējoties uz konkurētspējīgām enerģijas cenām.</w:t>
      </w:r>
    </w:p>
    <w:p w14:paraId="7CF554D6" w14:textId="77777777" w:rsidR="00DD44D5" w:rsidRPr="00D61280" w:rsidRDefault="00DD44D5" w:rsidP="00560FA1">
      <w:pPr>
        <w:pStyle w:val="Default"/>
        <w:numPr>
          <w:ilvl w:val="0"/>
          <w:numId w:val="5"/>
        </w:numPr>
        <w:spacing w:before="120" w:after="120"/>
        <w:ind w:left="397" w:hanging="397"/>
        <w:jc w:val="both"/>
        <w:rPr>
          <w:rFonts w:asciiTheme="minorHAnsi" w:hAnsiTheme="minorHAnsi" w:cstheme="minorHAnsi"/>
          <w:iCs/>
        </w:rPr>
      </w:pPr>
      <w:r w:rsidRPr="00D61280">
        <w:rPr>
          <w:rFonts w:asciiTheme="minorHAnsi" w:hAnsiTheme="minorHAnsi" w:cstheme="minorHAnsi"/>
          <w:iCs/>
        </w:rPr>
        <w:t>Saglabāt dabas kapitālu kā bāzi ilgtspējīgai ekonomiskajai izaugsmei un sekmēt tā ilgtspējīgu izmantošanu, mazinot dabas un cilvēka darbības radītos riskus vides kvalitātei.</w:t>
      </w:r>
    </w:p>
    <w:p w14:paraId="6AC48768" w14:textId="77777777" w:rsidR="00DD44D5" w:rsidRPr="00D61280" w:rsidRDefault="00DD44D5" w:rsidP="00560FA1">
      <w:pPr>
        <w:autoSpaceDE w:val="0"/>
        <w:autoSpaceDN w:val="0"/>
        <w:adjustRightInd w:val="0"/>
        <w:spacing w:before="120" w:after="120" w:line="240" w:lineRule="auto"/>
        <w:jc w:val="both"/>
        <w:rPr>
          <w:rFonts w:cstheme="minorHAnsi"/>
          <w:szCs w:val="24"/>
        </w:rPr>
      </w:pPr>
      <w:r w:rsidRPr="00D61280">
        <w:rPr>
          <w:rFonts w:cstheme="minorHAnsi"/>
          <w:szCs w:val="24"/>
        </w:rPr>
        <w:t>LNAP2020 ir noteikti skaitliski tautsaimniecības SEG emisiju intensitātes, AER īpatsvara un enerģijas patēriņa un energoneatkarības mērķi, kā arī lauksaimniecības, mežsaimniecības un atkritumu apsaimniekošanas mērķi 2020.gadam.</w:t>
      </w:r>
    </w:p>
    <w:p w14:paraId="108B8FC1" w14:textId="77777777" w:rsidR="00DD44D5" w:rsidRPr="00D61280" w:rsidRDefault="00DD44D5" w:rsidP="00560FA1">
      <w:pPr>
        <w:autoSpaceDE w:val="0"/>
        <w:autoSpaceDN w:val="0"/>
        <w:adjustRightInd w:val="0"/>
        <w:spacing w:before="120" w:after="120" w:line="240" w:lineRule="auto"/>
        <w:jc w:val="both"/>
        <w:rPr>
          <w:rFonts w:cstheme="minorHAnsi"/>
          <w:szCs w:val="24"/>
        </w:rPr>
      </w:pPr>
      <w:r w:rsidRPr="00D61280">
        <w:rPr>
          <w:rFonts w:cstheme="minorHAnsi"/>
          <w:szCs w:val="24"/>
        </w:rPr>
        <w:t>3) LEIS2030</w:t>
      </w:r>
      <w:r w:rsidRPr="00D61280">
        <w:rPr>
          <w:rStyle w:val="FootnoteReference"/>
          <w:rFonts w:cstheme="minorHAnsi"/>
          <w:szCs w:val="24"/>
        </w:rPr>
        <w:footnoteReference w:id="24"/>
      </w:r>
      <w:r w:rsidRPr="00D61280">
        <w:rPr>
          <w:rFonts w:cstheme="minorHAnsi"/>
          <w:szCs w:val="24"/>
        </w:rPr>
        <w:t xml:space="preserve"> ir noteikts šāds Plāna konteksta mērķis:</w:t>
      </w:r>
    </w:p>
    <w:p w14:paraId="5516930A" w14:textId="77777777" w:rsidR="00DD44D5" w:rsidRPr="00D61280" w:rsidRDefault="00DD44D5" w:rsidP="00560FA1">
      <w:pPr>
        <w:pStyle w:val="Default"/>
        <w:numPr>
          <w:ilvl w:val="0"/>
          <w:numId w:val="5"/>
        </w:numPr>
        <w:spacing w:before="120" w:after="120"/>
        <w:ind w:left="397" w:hanging="397"/>
        <w:jc w:val="both"/>
        <w:rPr>
          <w:rFonts w:asciiTheme="minorHAnsi" w:hAnsiTheme="minorHAnsi" w:cstheme="minorHAnsi"/>
          <w:iCs/>
        </w:rPr>
      </w:pPr>
      <w:r w:rsidRPr="00D61280">
        <w:rPr>
          <w:rFonts w:asciiTheme="minorHAnsi" w:hAnsiTheme="minorHAnsi" w:cstheme="minorHAnsi"/>
          <w:iCs/>
        </w:rPr>
        <w:t>Konkurētspējīga ekonomika ar ilgtspējīgu enerģētiku un energoapgādes drošības paaugstināšanu.</w:t>
      </w:r>
    </w:p>
    <w:p w14:paraId="5E13BBC0" w14:textId="77777777" w:rsidR="00DD44D5" w:rsidRPr="00D61280" w:rsidRDefault="00DD44D5" w:rsidP="00560FA1">
      <w:pPr>
        <w:autoSpaceDE w:val="0"/>
        <w:autoSpaceDN w:val="0"/>
        <w:adjustRightInd w:val="0"/>
        <w:spacing w:before="120" w:after="120" w:line="240" w:lineRule="auto"/>
        <w:jc w:val="both"/>
        <w:rPr>
          <w:rFonts w:cstheme="minorHAnsi"/>
          <w:szCs w:val="24"/>
        </w:rPr>
      </w:pPr>
      <w:r w:rsidRPr="00D61280">
        <w:rPr>
          <w:rFonts w:cstheme="minorHAnsi"/>
          <w:szCs w:val="24"/>
        </w:rPr>
        <w:t>LEIS2030 ir noteikti skaitliski AER izmantošanas, enerģijas un energoresursu izmantošanas un importa īpatsvara neobligāti un nesaistoši mērķi 2030.gadam.</w:t>
      </w:r>
    </w:p>
    <w:p w14:paraId="36169BC7" w14:textId="77777777" w:rsidR="00DD44D5" w:rsidRPr="00D61280" w:rsidRDefault="00DD44D5" w:rsidP="00560FA1">
      <w:pPr>
        <w:autoSpaceDE w:val="0"/>
        <w:autoSpaceDN w:val="0"/>
        <w:adjustRightInd w:val="0"/>
        <w:spacing w:before="120" w:after="120" w:line="240" w:lineRule="auto"/>
        <w:jc w:val="both"/>
        <w:rPr>
          <w:rFonts w:cstheme="minorHAnsi"/>
          <w:color w:val="000000" w:themeColor="text1"/>
          <w:szCs w:val="24"/>
        </w:rPr>
      </w:pPr>
      <w:r w:rsidRPr="00D61280">
        <w:rPr>
          <w:rFonts w:cstheme="minorHAnsi"/>
          <w:color w:val="000000" w:themeColor="text1"/>
          <w:szCs w:val="24"/>
        </w:rPr>
        <w:t>Plāna 1. pielikumā ir iekļauta detāla informācija par Plāna sasaisti ar Latvijas politikas plānošanas dokumentiem (tai skaitā, Informatīvajiem ziņojumiem) un ir sniegta detāla informācija par tajos noteiktajiem Plāna rīcībpolitikas konteksta mērķiem un galvenajiem rīcības virzieniem šo mērķu sasniegšanai.</w:t>
      </w:r>
      <w:bookmarkStart w:id="78" w:name="_Toc520978799"/>
    </w:p>
    <w:p w14:paraId="1C62F1C5" w14:textId="77777777" w:rsidR="00DD44D5" w:rsidRPr="00D61280" w:rsidRDefault="00DD44D5" w:rsidP="0007326F">
      <w:pPr>
        <w:pStyle w:val="Heading30"/>
        <w:rPr>
          <w:rStyle w:val="eop"/>
          <w:rFonts w:eastAsiaTheme="minorHAnsi" w:cstheme="minorBidi"/>
          <w:color w:val="000000" w:themeColor="text1"/>
          <w:szCs w:val="22"/>
          <w:u w:val="none"/>
          <w:lang w:eastAsia="en-US"/>
        </w:rPr>
      </w:pPr>
      <w:bookmarkStart w:id="79" w:name="_Toc527529424"/>
      <w:bookmarkStart w:id="80" w:name="_Toc23245742"/>
      <w:bookmarkStart w:id="81" w:name="_Toc23245981"/>
      <w:bookmarkStart w:id="82" w:name="_Toc24407993"/>
      <w:r w:rsidRPr="00D61280">
        <w:rPr>
          <w:rStyle w:val="normaltextrun"/>
          <w:color w:val="000000" w:themeColor="text1"/>
        </w:rPr>
        <w:t>Pārrobežu kontekstā svarīgie jautājumi</w:t>
      </w:r>
      <w:bookmarkEnd w:id="78"/>
      <w:bookmarkEnd w:id="79"/>
      <w:bookmarkEnd w:id="80"/>
      <w:bookmarkEnd w:id="81"/>
      <w:bookmarkEnd w:id="82"/>
      <w:r w:rsidRPr="00D61280">
        <w:rPr>
          <w:rStyle w:val="eop"/>
          <w:color w:val="000000" w:themeColor="text1"/>
        </w:rPr>
        <w:t> </w:t>
      </w:r>
    </w:p>
    <w:p w14:paraId="1AE1C931" w14:textId="4F883FA3" w:rsidR="00DD44D5" w:rsidRPr="00D61280" w:rsidRDefault="00DD44D5" w:rsidP="00560FA1">
      <w:pPr>
        <w:spacing w:before="120" w:after="120" w:line="240" w:lineRule="auto"/>
        <w:jc w:val="both"/>
        <w:rPr>
          <w:rFonts w:cstheme="minorHAnsi"/>
          <w:color w:val="000000" w:themeColor="text1"/>
          <w:szCs w:val="24"/>
        </w:rPr>
      </w:pPr>
      <w:r w:rsidRPr="00D61280">
        <w:rPr>
          <w:rFonts w:cstheme="minorHAnsi"/>
          <w:color w:val="000000" w:themeColor="text1"/>
          <w:szCs w:val="24"/>
        </w:rPr>
        <w:t>Plāna kontekstā svarīgākie īstenotie pasākumi attiecas uz Baltijas enerģijas tirgus starpsavienojumiem</w:t>
      </w:r>
      <w:r w:rsidR="00217066">
        <w:rPr>
          <w:rFonts w:cstheme="minorHAnsi"/>
          <w:color w:val="000000" w:themeColor="text1"/>
          <w:szCs w:val="24"/>
        </w:rPr>
        <w:t>, kopējo enerģijas tirgu</w:t>
      </w:r>
      <w:r w:rsidRPr="00D61280">
        <w:rPr>
          <w:rFonts w:cstheme="minorHAnsi"/>
          <w:color w:val="000000" w:themeColor="text1"/>
          <w:szCs w:val="24"/>
        </w:rPr>
        <w:t xml:space="preserve"> un enerģētiskās drošības jautājumiem.</w:t>
      </w:r>
    </w:p>
    <w:p w14:paraId="62F0203C" w14:textId="77777777" w:rsidR="00DD44D5" w:rsidRPr="00D61280" w:rsidRDefault="00DD44D5" w:rsidP="00560FA1">
      <w:pPr>
        <w:spacing w:before="120" w:after="120" w:line="240" w:lineRule="auto"/>
        <w:jc w:val="both"/>
        <w:rPr>
          <w:rFonts w:cstheme="minorHAnsi"/>
          <w:color w:val="000000" w:themeColor="text1"/>
          <w:szCs w:val="24"/>
        </w:rPr>
      </w:pPr>
      <w:r w:rsidRPr="00D61280">
        <w:rPr>
          <w:rFonts w:cstheme="minorHAnsi"/>
          <w:color w:val="000000" w:themeColor="text1"/>
          <w:szCs w:val="24"/>
        </w:rPr>
        <w:t xml:space="preserve">Pārrobežu kontekstā ir arī svarīgi Baltijas valstu starpā saskaņot tādus pasākumus, kas ietekmē ne tikai infrastruktūru un elektroenerģijas savienojamību, bet arī energoresursu </w:t>
      </w:r>
      <w:bookmarkStart w:id="83" w:name="_Hlk520283543"/>
      <w:r w:rsidRPr="00D61280">
        <w:rPr>
          <w:rFonts w:cstheme="minorHAnsi"/>
          <w:color w:val="000000" w:themeColor="text1"/>
          <w:szCs w:val="24"/>
        </w:rPr>
        <w:t>(gan fosilo energoresursu, gan biomasas un biodegvielas)</w:t>
      </w:r>
      <w:bookmarkEnd w:id="83"/>
      <w:r w:rsidRPr="00D61280">
        <w:rPr>
          <w:rFonts w:cstheme="minorHAnsi"/>
          <w:color w:val="000000" w:themeColor="text1"/>
          <w:szCs w:val="24"/>
        </w:rPr>
        <w:t xml:space="preserve"> plūsmu starp Baltijas valstīm.</w:t>
      </w:r>
    </w:p>
    <w:p w14:paraId="311189EB" w14:textId="77777777" w:rsidR="00DD44D5" w:rsidRPr="00D61280" w:rsidRDefault="00DD44D5" w:rsidP="00560FA1">
      <w:pPr>
        <w:spacing w:before="120" w:after="120" w:line="240" w:lineRule="auto"/>
        <w:jc w:val="both"/>
        <w:rPr>
          <w:rFonts w:cstheme="minorHAnsi"/>
          <w:color w:val="000000" w:themeColor="text1"/>
          <w:szCs w:val="24"/>
        </w:rPr>
      </w:pPr>
      <w:r w:rsidRPr="00D61280">
        <w:rPr>
          <w:rFonts w:cstheme="minorHAnsi"/>
          <w:color w:val="000000" w:themeColor="text1"/>
          <w:szCs w:val="24"/>
        </w:rPr>
        <w:t xml:space="preserve">Dekarbonizācijas kontekstā ir ļoti svarīgi izveidot un uzturēt vienotu (harmonizētu) skatījumu uz dekarbonizācijas iespējām Baltijas valstīs un uz vienotu pieeju dekarbonizācijas pasākumu īstenošanā. Tomēr vienotās pieejas dekarbonizācijas pasākumu īstenošanai piemērošana varētu būt apgrūtināta dalībvalstu dažādās situācijas īpaši attiecībā uz enerģētikas struktūru un SEG emisiju galvenajiem avotiem, kur Latvijā ir vislielākais no visām Baltijas valstīm ne-ETS darbību SEG emisiju īpatsvars (2.lielākais ES dalībvalstīs) un ne-ETS darbību SEG emisiju apjomā dominē lauksaimniecības un transporta darbības, savukārt Igaunijā ne-ETS darbību SEG emisiju īpatsvars ir viens no zemākajiem ES dalībvalstu vidū ar dominējošām transporta emisijām. Lietuvas ne-ETS darbību SEG emisiju īpatsvars un to struktūra, kurā dominē transporta un lauksaimniecības sektori, ir vairāk līdzīga Latvijai kā Igaunijas. Tomēr visās trīs Baltijas valstīs transports ir viens no lielākajiem ne-ETS darbību SEG emisiju avotiem un līdz ar to būtu ieteicams veikt saskaņotas darbības tieši transporta sektora emisiju samazināšanai. </w:t>
      </w:r>
    </w:p>
    <w:p w14:paraId="08E4DA56" w14:textId="77777777" w:rsidR="00DD44D5" w:rsidRPr="00D61280" w:rsidRDefault="00DD44D5" w:rsidP="0007326F">
      <w:pPr>
        <w:pStyle w:val="Heading30"/>
        <w:rPr>
          <w:rStyle w:val="normaltextrun"/>
          <w:rFonts w:eastAsiaTheme="minorHAnsi" w:cstheme="minorBidi"/>
          <w:szCs w:val="22"/>
          <w:u w:val="none"/>
          <w:lang w:eastAsia="en-US"/>
        </w:rPr>
      </w:pPr>
      <w:bookmarkStart w:id="84" w:name="_Toc520978800"/>
      <w:bookmarkStart w:id="85" w:name="_Toc527529425"/>
      <w:bookmarkStart w:id="86" w:name="_Toc23245743"/>
      <w:bookmarkStart w:id="87" w:name="_Toc23245982"/>
      <w:bookmarkStart w:id="88" w:name="_Toc24407994"/>
      <w:r w:rsidRPr="00D61280">
        <w:rPr>
          <w:rStyle w:val="normaltextrun"/>
        </w:rPr>
        <w:t>Nacionālo enerģētikas un klimata rīcībpolitiku īstenošanas administratīvā struktūra</w:t>
      </w:r>
      <w:bookmarkEnd w:id="84"/>
      <w:bookmarkEnd w:id="85"/>
      <w:bookmarkEnd w:id="86"/>
      <w:bookmarkEnd w:id="87"/>
      <w:bookmarkEnd w:id="88"/>
      <w:r w:rsidRPr="00D61280">
        <w:rPr>
          <w:rStyle w:val="normaltextrun"/>
        </w:rPr>
        <w:t> </w:t>
      </w:r>
    </w:p>
    <w:p w14:paraId="4E98C02D" w14:textId="3FC47965" w:rsidR="00DD44D5" w:rsidRPr="00D61280" w:rsidRDefault="00DD44D5" w:rsidP="00560FA1">
      <w:pPr>
        <w:spacing w:before="120" w:after="120" w:line="240" w:lineRule="auto"/>
        <w:jc w:val="both"/>
        <w:rPr>
          <w:rFonts w:cstheme="minorHAnsi"/>
          <w:szCs w:val="24"/>
        </w:rPr>
      </w:pPr>
      <w:r w:rsidRPr="00D61280">
        <w:rPr>
          <w:rFonts w:cstheme="minorHAnsi"/>
          <w:szCs w:val="24"/>
        </w:rPr>
        <w:t>Nozaru ministriju kompetences tiek atrunātas ministriju nolikumos</w:t>
      </w:r>
      <w:r w:rsidRPr="00D61280">
        <w:rPr>
          <w:rStyle w:val="FootnoteReference"/>
          <w:rFonts w:cstheme="minorHAnsi"/>
          <w:szCs w:val="24"/>
        </w:rPr>
        <w:footnoteReference w:id="25"/>
      </w:r>
      <w:r w:rsidRPr="00D61280">
        <w:rPr>
          <w:rFonts w:cstheme="minorHAnsi"/>
          <w:szCs w:val="24"/>
        </w:rPr>
        <w:t xml:space="preserve">, kas tiek apstiprināti </w:t>
      </w:r>
      <w:r w:rsidR="0028675B">
        <w:rPr>
          <w:rFonts w:cstheme="minorHAnsi"/>
          <w:szCs w:val="24"/>
        </w:rPr>
        <w:t xml:space="preserve">MK </w:t>
      </w:r>
      <w:r w:rsidRPr="00D61280">
        <w:rPr>
          <w:rFonts w:cstheme="minorHAnsi"/>
          <w:szCs w:val="24"/>
        </w:rPr>
        <w:t xml:space="preserve">(kā </w:t>
      </w:r>
      <w:r w:rsidR="0028675B">
        <w:rPr>
          <w:rFonts w:cstheme="minorHAnsi"/>
          <w:szCs w:val="24"/>
        </w:rPr>
        <w:t xml:space="preserve">MK </w:t>
      </w:r>
      <w:r w:rsidRPr="00D61280">
        <w:rPr>
          <w:rFonts w:cstheme="minorHAnsi"/>
          <w:szCs w:val="24"/>
        </w:rPr>
        <w:t>noteikumi).</w:t>
      </w:r>
    </w:p>
    <w:p w14:paraId="55115B42" w14:textId="4D5E6ECD" w:rsidR="00DD44D5" w:rsidRPr="00D61280" w:rsidRDefault="00DD44D5" w:rsidP="00560FA1">
      <w:pPr>
        <w:spacing w:before="120" w:after="120" w:line="240" w:lineRule="auto"/>
        <w:jc w:val="both"/>
        <w:rPr>
          <w:rFonts w:cstheme="minorHAnsi"/>
          <w:szCs w:val="24"/>
        </w:rPr>
      </w:pPr>
      <w:r w:rsidRPr="00D61280">
        <w:rPr>
          <w:rFonts w:cstheme="minorHAnsi"/>
          <w:szCs w:val="24"/>
        </w:rPr>
        <w:t>AER izmantošanas, energoefektivitātes veicināšanas</w:t>
      </w:r>
      <w:r w:rsidR="00217066">
        <w:rPr>
          <w:rFonts w:cstheme="minorHAnsi"/>
          <w:szCs w:val="24"/>
        </w:rPr>
        <w:t>, transporta enerģijas jautājumi,</w:t>
      </w:r>
      <w:r w:rsidRPr="00D61280">
        <w:rPr>
          <w:rFonts w:cstheme="minorHAnsi"/>
          <w:szCs w:val="24"/>
        </w:rPr>
        <w:t xml:space="preserve"> kā arī enerģētiskās drošības un iekšējā enerģijas tirgus politikas izstrāde kopumā ir EM kompetence</w:t>
      </w:r>
      <w:r w:rsidR="00217066">
        <w:rPr>
          <w:rFonts w:cstheme="minorHAnsi"/>
          <w:szCs w:val="24"/>
        </w:rPr>
        <w:t>, tomēr arī nozaru ministrijas īsteno resursefektivitātes uzlabošanas veicināšanas pasākumi savās nozarēs</w:t>
      </w:r>
      <w:r w:rsidRPr="00D61280">
        <w:rPr>
          <w:rFonts w:cstheme="minorHAnsi"/>
          <w:szCs w:val="24"/>
        </w:rPr>
        <w:t>. SEG emisiju samazināšanas t.sk. CO</w:t>
      </w:r>
      <w:r w:rsidRPr="00D61280">
        <w:rPr>
          <w:rFonts w:cstheme="minorHAnsi"/>
          <w:szCs w:val="24"/>
          <w:vertAlign w:val="subscript"/>
        </w:rPr>
        <w:t>2</w:t>
      </w:r>
      <w:r w:rsidRPr="00D61280">
        <w:rPr>
          <w:rFonts w:cstheme="minorHAnsi"/>
          <w:szCs w:val="24"/>
        </w:rPr>
        <w:t>, apjoma nodrošināšanai politiku izstrādā VARAM</w:t>
      </w:r>
      <w:r w:rsidR="00560FA1">
        <w:rPr>
          <w:rFonts w:cstheme="minorHAnsi"/>
          <w:szCs w:val="24"/>
        </w:rPr>
        <w:t xml:space="preserve"> sadarbībā ar EM, SM, ZM un citām nozaru ministrijām, kā arī VARAM koordinē šīs politikas īstenošanu</w:t>
      </w:r>
      <w:r w:rsidRPr="00D61280">
        <w:rPr>
          <w:rFonts w:cstheme="minorHAnsi"/>
          <w:szCs w:val="24"/>
        </w:rPr>
        <w:t>. Savukārt izglītības un zinātnes jomā kompetentā iestāde Latvijā ir IZM, bet inovāciju un konkurētspējas jautājumi ir EM un VARAM kompetencē.</w:t>
      </w:r>
    </w:p>
    <w:p w14:paraId="15E6D5CF" w14:textId="77777777" w:rsidR="00DD44D5" w:rsidRPr="00D61280" w:rsidRDefault="00DD44D5">
      <w:pPr>
        <w:pStyle w:val="Heading2"/>
      </w:pPr>
      <w:bookmarkStart w:id="89" w:name="_Toc520978801"/>
      <w:bookmarkStart w:id="90" w:name="_Toc527529426"/>
      <w:bookmarkStart w:id="91" w:name="_Toc532909997"/>
      <w:bookmarkStart w:id="92" w:name="_Toc10527194"/>
      <w:bookmarkStart w:id="93" w:name="_Toc23245744"/>
      <w:bookmarkStart w:id="94" w:name="_Toc23245983"/>
      <w:bookmarkStart w:id="95" w:name="_Toc24407995"/>
      <w:bookmarkStart w:id="96" w:name="_Toc24408096"/>
      <w:bookmarkStart w:id="97" w:name="_Hlk531554403"/>
      <w:r w:rsidRPr="00D61280">
        <w:t>Apspriede ar valsts un ES struktūrām, to iesaiste un attiecīgie rezultāti</w:t>
      </w:r>
      <w:bookmarkEnd w:id="89"/>
      <w:bookmarkEnd w:id="90"/>
      <w:bookmarkEnd w:id="91"/>
      <w:bookmarkEnd w:id="92"/>
      <w:bookmarkEnd w:id="93"/>
      <w:bookmarkEnd w:id="94"/>
      <w:bookmarkEnd w:id="95"/>
      <w:bookmarkEnd w:id="96"/>
      <w:r w:rsidRPr="00D61280">
        <w:t xml:space="preserve"> </w:t>
      </w:r>
    </w:p>
    <w:p w14:paraId="53A53014" w14:textId="7632BBE4" w:rsidR="00DD44D5" w:rsidRPr="00D61280" w:rsidRDefault="00DD44D5" w:rsidP="00560FA1">
      <w:pPr>
        <w:spacing w:before="120" w:after="120" w:line="240" w:lineRule="auto"/>
        <w:jc w:val="both"/>
        <w:rPr>
          <w:rFonts w:cstheme="minorHAnsi"/>
        </w:rPr>
      </w:pPr>
      <w:r w:rsidRPr="00D61280">
        <w:rPr>
          <w:rFonts w:cstheme="minorHAnsi"/>
        </w:rPr>
        <w:t>Plāna projekta un Plāna galaversijas izstrādes laikā Plānā iekļautie nosacījumi – Plāna ilgtermiņa vīzija, mērķi, rīcības virzieni un pasākumi tika efektīvi apspriesti ar sabiedrību vairāk</w:t>
      </w:r>
      <w:r w:rsidR="00217066">
        <w:rPr>
          <w:rFonts w:cstheme="minorHAnsi"/>
        </w:rPr>
        <w:t>o</w:t>
      </w:r>
      <w:r w:rsidRPr="00D61280">
        <w:rPr>
          <w:rFonts w:cstheme="minorHAnsi"/>
        </w:rPr>
        <w:t>s Plānā iekļauto rīcības virzienu un pasākumu, kā arī Plānam kopumā veltītajos pasākumos</w:t>
      </w:r>
      <w:r w:rsidR="00217066">
        <w:rPr>
          <w:rFonts w:cstheme="minorHAnsi"/>
        </w:rPr>
        <w:t xml:space="preserve">, </w:t>
      </w:r>
      <w:r w:rsidRPr="00D61280">
        <w:rPr>
          <w:rFonts w:cstheme="minorHAnsi"/>
        </w:rPr>
        <w:t xml:space="preserve">ar plānošanas reģioniem un pašvaldībām, kā arī nozaru un nevalstisko organizāciju pārstāvjiem. Saņemtie komentāri un ieteikumi iespēju robežās visām ministrijām sadarbojoties ir izvērtēti un iestrādāti Plānā. </w:t>
      </w:r>
    </w:p>
    <w:p w14:paraId="03324CDB" w14:textId="77777777" w:rsidR="00DD44D5" w:rsidRPr="00D61280" w:rsidRDefault="00DD44D5" w:rsidP="00560FA1">
      <w:pPr>
        <w:spacing w:before="120" w:after="120" w:line="240" w:lineRule="auto"/>
        <w:jc w:val="both"/>
        <w:rPr>
          <w:rFonts w:cstheme="minorHAnsi"/>
        </w:rPr>
      </w:pPr>
      <w:r w:rsidRPr="00D61280">
        <w:rPr>
          <w:rFonts w:cstheme="minorHAnsi"/>
        </w:rPr>
        <w:t>Tāpat Plāna projektu izvērtēja vairākas nevalstiskās organizācijas. CEE Bankwatch Network</w:t>
      </w:r>
      <w:r w:rsidRPr="00D61280">
        <w:rPr>
          <w:rStyle w:val="FootnoteReference"/>
          <w:rFonts w:cstheme="minorHAnsi"/>
        </w:rPr>
        <w:footnoteReference w:id="26"/>
      </w:r>
      <w:r w:rsidRPr="00D61280">
        <w:rPr>
          <w:rFonts w:cstheme="minorHAnsi"/>
        </w:rPr>
        <w:t xml:space="preserve"> ierosināja paaugstināt </w:t>
      </w:r>
      <w:r>
        <w:rPr>
          <w:rFonts w:cstheme="minorHAnsi"/>
        </w:rPr>
        <w:t>AER</w:t>
      </w:r>
      <w:r w:rsidRPr="00D61280">
        <w:rPr>
          <w:rFonts w:cstheme="minorHAnsi"/>
        </w:rPr>
        <w:t xml:space="preserve"> izmantošanas un energoefektivitātes uzlabošanas ambīcijas, kā arī izstrādāt atbilstošas politikas un pasākumus šo ambīciju sasniegšanai</w:t>
      </w:r>
      <w:r>
        <w:rPr>
          <w:rFonts w:cstheme="minorHAnsi"/>
        </w:rPr>
        <w:t>. T</w:t>
      </w:r>
      <w:r w:rsidRPr="00D61280">
        <w:rPr>
          <w:rFonts w:cstheme="minorHAnsi"/>
        </w:rPr>
        <w:t xml:space="preserve">āpat </w:t>
      </w:r>
      <w:r>
        <w:rPr>
          <w:rFonts w:cstheme="minorHAnsi"/>
        </w:rPr>
        <w:t>ir i</w:t>
      </w:r>
      <w:r w:rsidRPr="00D61280">
        <w:rPr>
          <w:rFonts w:cstheme="minorHAnsi"/>
        </w:rPr>
        <w:t>erosināts pārskatīt SEG emisiju samazināšanas pasākumus, kur nebūtu atbalstāma atkritumu sadedzināšana</w:t>
      </w:r>
      <w:r>
        <w:rPr>
          <w:rFonts w:cstheme="minorHAnsi"/>
        </w:rPr>
        <w:t>, un ir norādīts</w:t>
      </w:r>
      <w:r w:rsidRPr="00D61280">
        <w:rPr>
          <w:rFonts w:cstheme="minorHAnsi"/>
        </w:rPr>
        <w:t>,</w:t>
      </w:r>
      <w:r>
        <w:rPr>
          <w:rFonts w:cstheme="minorHAnsi"/>
        </w:rPr>
        <w:t xml:space="preserve"> lai arī paredzēts pakāpenisks dabasgāzes galapatēriņa samazinājums, nav noteikta mērķa pakāpeniski pārtraukt fosilas izcelsmes kurināmā izmantošanu</w:t>
      </w:r>
      <w:r w:rsidRPr="00D61280">
        <w:rPr>
          <w:rFonts w:cstheme="minorHAnsi"/>
        </w:rPr>
        <w:t>. “Ecologic Institute un Climact for the European Climate Foundation” izvērtējumā</w:t>
      </w:r>
      <w:r w:rsidRPr="00D61280">
        <w:rPr>
          <w:rStyle w:val="FootnoteReference"/>
          <w:rFonts w:cstheme="minorHAnsi"/>
        </w:rPr>
        <w:footnoteReference w:id="27"/>
      </w:r>
      <w:r w:rsidRPr="00D61280">
        <w:rPr>
          <w:rFonts w:cstheme="minorHAnsi"/>
        </w:rPr>
        <w:t xml:space="preserve"> Latvija tika ierindota 11.vietā no 28 ES dalībvalstīm, kur tika uzteikta sabiedrības iesaistes procesa norise, tāpat arī Plāna projektā iekļautā detālā informācija par rīcībpolitikām un pasākumiem un Plānā noteiktais 2030.gada kopējais Latvijas SEG emisiju samazināšanas mērķis. Tomēr negatīvi tika novērtēts 2030.gada ne-ETS darbību SEG emisiju samazināšanas minimālais līmenis, kā arī informācijas trūkums par enerģijas subsīdiju izslēgšanas trūkumu un fosilās enerģijas izmantošanas beigšanu. CAN Europe izvērtējumā</w:t>
      </w:r>
      <w:r w:rsidRPr="00D61280">
        <w:rPr>
          <w:rStyle w:val="FootnoteReference"/>
          <w:rFonts w:cstheme="minorHAnsi"/>
        </w:rPr>
        <w:footnoteReference w:id="28"/>
      </w:r>
      <w:r w:rsidRPr="00D61280">
        <w:rPr>
          <w:rFonts w:cstheme="minorHAnsi"/>
        </w:rPr>
        <w:t xml:space="preserve"> </w:t>
      </w:r>
      <w:r>
        <w:rPr>
          <w:rFonts w:cstheme="minorHAnsi"/>
        </w:rPr>
        <w:t xml:space="preserve">it </w:t>
      </w:r>
      <w:r w:rsidRPr="00D61280">
        <w:rPr>
          <w:rFonts w:cstheme="minorHAnsi"/>
        </w:rPr>
        <w:t xml:space="preserve">norādīts, ka Latvijai nav izstrādāta un netiek īstenota caurspīdīga un sistemātiska AER izmantošanas veicināšanas atbalsta politika, </w:t>
      </w:r>
      <w:r>
        <w:rPr>
          <w:rFonts w:cstheme="minorHAnsi"/>
        </w:rPr>
        <w:t>kā arī norādīts, ka Plānā ir mērķis izmantot ne-fosilas izcelsmes gāzi, bet tajā pašā laikā nav mērķu neizmantot fosilas izcelsmes gāzi, kā arī nav iekļauta analīze par ne-fosilas izcelsmes gāzes potenciālu, tās ieguves izmaksām un investīciju apjomu infrastruktūrā tās uzglabāšanai un transportēšanai</w:t>
      </w:r>
      <w:r w:rsidRPr="00D61280">
        <w:rPr>
          <w:rFonts w:cstheme="minorHAnsi"/>
        </w:rPr>
        <w:t>.</w:t>
      </w:r>
    </w:p>
    <w:p w14:paraId="3BBB1C04" w14:textId="6B53DA27" w:rsidR="00DD44D5" w:rsidRPr="00D61280" w:rsidRDefault="00DD44D5" w:rsidP="0007326F">
      <w:pPr>
        <w:pStyle w:val="Heading30"/>
      </w:pPr>
      <w:bookmarkStart w:id="98" w:name="_Toc520978802"/>
      <w:bookmarkStart w:id="99" w:name="_Toc527529427"/>
      <w:bookmarkStart w:id="100" w:name="_Toc23245745"/>
      <w:bookmarkStart w:id="101" w:name="_Toc23245984"/>
      <w:bookmarkStart w:id="102" w:name="_Toc24407996"/>
      <w:r w:rsidRPr="00D61280">
        <w:t xml:space="preserve">Latvijas Republikas Saeimas un </w:t>
      </w:r>
      <w:r w:rsidR="0028675B">
        <w:t xml:space="preserve">MK </w:t>
      </w:r>
      <w:r w:rsidRPr="00D61280">
        <w:t>iesaiste</w:t>
      </w:r>
      <w:bookmarkEnd w:id="98"/>
      <w:bookmarkEnd w:id="99"/>
      <w:bookmarkEnd w:id="100"/>
      <w:bookmarkEnd w:id="101"/>
      <w:bookmarkEnd w:id="102"/>
      <w:r w:rsidRPr="00D61280">
        <w:t xml:space="preserve"> </w:t>
      </w:r>
    </w:p>
    <w:p w14:paraId="142E909D" w14:textId="11FDD54B" w:rsidR="00DD44D5" w:rsidRPr="00D61280" w:rsidRDefault="00DD44D5" w:rsidP="00560FA1">
      <w:pPr>
        <w:spacing w:before="120" w:after="120" w:line="240" w:lineRule="auto"/>
        <w:jc w:val="both"/>
        <w:rPr>
          <w:rFonts w:cstheme="minorHAnsi"/>
        </w:rPr>
      </w:pPr>
      <w:r w:rsidRPr="00D61280">
        <w:rPr>
          <w:rFonts w:cstheme="minorHAnsi"/>
        </w:rPr>
        <w:t xml:space="preserve">2018.gada 26.jūnijā </w:t>
      </w:r>
      <w:r w:rsidR="0028675B">
        <w:rPr>
          <w:rFonts w:cstheme="minorHAnsi"/>
        </w:rPr>
        <w:t xml:space="preserve">MK </w:t>
      </w:r>
      <w:r w:rsidRPr="00D61280">
        <w:rPr>
          <w:rFonts w:cstheme="minorHAnsi"/>
        </w:rPr>
        <w:t>tika apstiprināts informatīvais ziņojums “Par Nacionālā enerģētikas un klimata plāna izstrādi”</w:t>
      </w:r>
      <w:r w:rsidR="004948DF">
        <w:rPr>
          <w:rStyle w:val="FootnoteReference"/>
          <w:rFonts w:cstheme="minorHAnsi"/>
        </w:rPr>
        <w:footnoteReference w:id="29"/>
      </w:r>
      <w:r w:rsidR="004948DF">
        <w:rPr>
          <w:rFonts w:cstheme="minorHAnsi"/>
        </w:rPr>
        <w:t>,</w:t>
      </w:r>
      <w:r w:rsidRPr="00D61280">
        <w:rPr>
          <w:rFonts w:cstheme="minorHAnsi"/>
        </w:rPr>
        <w:t xml:space="preserve"> kas noteica Plāna saturiskos elementus un laika ietvaru, kā arī Plāna izstrādes principus un informācijas sagatavošanas atbildības. Plāna izstrādes galvenie koordinatori ir E</w:t>
      </w:r>
      <w:r w:rsidR="004948DF">
        <w:rPr>
          <w:rFonts w:cstheme="minorHAnsi"/>
        </w:rPr>
        <w:t>M un VARAM</w:t>
      </w:r>
      <w:r w:rsidRPr="00D61280">
        <w:rPr>
          <w:rFonts w:cstheme="minorHAnsi"/>
        </w:rPr>
        <w:t>, un iesaistītas ir arī Ārlietu ministrija, F</w:t>
      </w:r>
      <w:r w:rsidR="004948DF">
        <w:rPr>
          <w:rFonts w:cstheme="minorHAnsi"/>
        </w:rPr>
        <w:t>M</w:t>
      </w:r>
      <w:r w:rsidRPr="00D61280">
        <w:rPr>
          <w:rFonts w:cstheme="minorHAnsi"/>
        </w:rPr>
        <w:t>, I</w:t>
      </w:r>
      <w:r w:rsidR="004948DF">
        <w:rPr>
          <w:rFonts w:cstheme="minorHAnsi"/>
        </w:rPr>
        <w:t>ZM</w:t>
      </w:r>
      <w:r w:rsidRPr="00D61280">
        <w:rPr>
          <w:rFonts w:cstheme="minorHAnsi"/>
        </w:rPr>
        <w:t>, L</w:t>
      </w:r>
      <w:r w:rsidR="004948DF">
        <w:rPr>
          <w:rFonts w:cstheme="minorHAnsi"/>
        </w:rPr>
        <w:t>M</w:t>
      </w:r>
      <w:r w:rsidRPr="00D61280">
        <w:rPr>
          <w:rFonts w:cstheme="minorHAnsi"/>
        </w:rPr>
        <w:t>, S</w:t>
      </w:r>
      <w:r w:rsidR="004948DF">
        <w:rPr>
          <w:rFonts w:cstheme="minorHAnsi"/>
        </w:rPr>
        <w:t>M</w:t>
      </w:r>
      <w:r w:rsidRPr="00D61280">
        <w:rPr>
          <w:rFonts w:cstheme="minorHAnsi"/>
        </w:rPr>
        <w:t>, Z</w:t>
      </w:r>
      <w:r w:rsidR="004948DF">
        <w:rPr>
          <w:rFonts w:cstheme="minorHAnsi"/>
        </w:rPr>
        <w:t>M</w:t>
      </w:r>
      <w:r w:rsidRPr="00D61280">
        <w:rPr>
          <w:rFonts w:cstheme="minorHAnsi"/>
        </w:rPr>
        <w:t xml:space="preserve"> un P</w:t>
      </w:r>
      <w:r w:rsidR="004948DF">
        <w:rPr>
          <w:rFonts w:cstheme="minorHAnsi"/>
        </w:rPr>
        <w:t>KC</w:t>
      </w:r>
      <w:r w:rsidRPr="00D61280">
        <w:rPr>
          <w:rFonts w:cstheme="minorHAnsi"/>
        </w:rPr>
        <w:t>.</w:t>
      </w:r>
    </w:p>
    <w:p w14:paraId="596E8244" w14:textId="6A1F0C99" w:rsidR="00DD44D5" w:rsidRPr="00D61280" w:rsidRDefault="00DD44D5" w:rsidP="00560FA1">
      <w:pPr>
        <w:spacing w:before="120" w:after="120" w:line="240" w:lineRule="auto"/>
        <w:jc w:val="both"/>
        <w:rPr>
          <w:rFonts w:cstheme="minorHAnsi"/>
        </w:rPr>
      </w:pPr>
      <w:r w:rsidRPr="00D61280">
        <w:rPr>
          <w:rFonts w:cstheme="minorHAnsi"/>
        </w:rPr>
        <w:t>Plāna projekta iesniegšana E</w:t>
      </w:r>
      <w:r w:rsidR="007D5452">
        <w:rPr>
          <w:rFonts w:cstheme="minorHAnsi"/>
        </w:rPr>
        <w:t>K</w:t>
      </w:r>
      <w:r w:rsidRPr="00D61280">
        <w:rPr>
          <w:rFonts w:cstheme="minorHAnsi"/>
        </w:rPr>
        <w:t xml:space="preserve"> tika apstiprināta </w:t>
      </w:r>
      <w:r w:rsidR="0028675B">
        <w:rPr>
          <w:rFonts w:cstheme="minorHAnsi"/>
        </w:rPr>
        <w:t xml:space="preserve">MK </w:t>
      </w:r>
      <w:r w:rsidRPr="00D61280">
        <w:rPr>
          <w:rFonts w:cstheme="minorHAnsi"/>
        </w:rPr>
        <w:t xml:space="preserve">2018.gada 18.decembra sēdē (sēdes protokola Nr.60 96.§). Saskaņā ar Latvijas attīstības plānošanas sistēmu Plāna projektu ir nepieciešams izsludināt Valsts sekretāru sanāksmē un apstiprināt </w:t>
      </w:r>
      <w:r w:rsidR="0028675B">
        <w:rPr>
          <w:rFonts w:cstheme="minorHAnsi"/>
        </w:rPr>
        <w:t>MK</w:t>
      </w:r>
      <w:r w:rsidRPr="00D61280">
        <w:rPr>
          <w:rFonts w:cstheme="minorHAnsi"/>
        </w:rPr>
        <w:t>. Plāna projekta apstiprināšana Latvijas Republikas Saeimā nav paredzēta Latvijas attīstības plānošanas sistēmā un Latvijas normatīvajā regulējumā.</w:t>
      </w:r>
    </w:p>
    <w:p w14:paraId="7F88637C" w14:textId="054AC9EA" w:rsidR="00DD44D5" w:rsidRPr="00D61280" w:rsidRDefault="00DD44D5" w:rsidP="00560FA1">
      <w:pPr>
        <w:spacing w:before="120" w:after="120" w:line="240" w:lineRule="auto"/>
        <w:jc w:val="both"/>
        <w:rPr>
          <w:rFonts w:cstheme="minorHAnsi"/>
        </w:rPr>
      </w:pPr>
      <w:r w:rsidRPr="00D61280">
        <w:rPr>
          <w:rFonts w:cstheme="minorHAnsi"/>
        </w:rPr>
        <w:t>Plāna projekts 2019.gadā ir skatīts vairākās Latvijas Republikas Saeimas komisijās – Saeimas Ilgtspējīgas attīstības komisijā un Saeimas Eiropas lietu komisijā. Saeimas Eiropas lietu komisija ierosināja primāri izstrādāt nodokļu sloga samazinājuma risinājumus tiem iedzīvotājiem, kuri ir veikuši energoefektivitātes uzlabošanas pasākumus, kā arī kuri ir veicinājuši pašpatēriņu, tāpat tika lūgts iesniegt konkrētus un detalizētus risinājumus par ierosināto nodokļu palielināšanu, ja tāda tiek ierosināta, tāpat tika sniegts viedoklis, ka prioritāte ir energoefektivitātei un energoresursu cenu konkurētspējai, ka ir jānovērš likumdošanas šķēršļi atkrastes vēja parku attīstīšanai, ka ir aktīvāk jāatbalsta ESKO sistēma un Plānā ir jāiekļauj nosacījumi, kā mazināt augstā atkarība no Krievijas gāzes piegādēm, kas būtu izdarāms veidojot reģionālās nozīmes sašķidrinātās gāzes termināli, kas būtu savienots ar Inčukalna pazemes gāzes krātuvi. Saeimas Ilgtspējīgas attīstības komisijā tika sniegts viedoklis, ka Latvijas noteikti AER mērķi nav sasniedzami, ņemot vērā pieņemtos lēmumus par</w:t>
      </w:r>
      <w:r w:rsidR="003172C5">
        <w:rPr>
          <w:rFonts w:cstheme="minorHAnsi"/>
        </w:rPr>
        <w:t xml:space="preserve"> OIK</w:t>
      </w:r>
      <w:r w:rsidRPr="00D61280">
        <w:rPr>
          <w:rFonts w:cstheme="minorHAnsi"/>
        </w:rPr>
        <w:t xml:space="preserve"> sistēmas atcelšanu, un tika ierosināts Plānā iekļaut konkrētus nosacījumus, kā tiek plānots sasniegt Latvijas AER mērķus bez spēkā esošajām atbalsta mehānismiem (attīstot citus AER veidus), un iekļaut šo pasākumu ietekmes izvērtējumu, tāpat tika norādīts, ka Plāna projektā nav skaidri definēti mērķi attiecībā uz elektroenerģijas cenas konkurētspējas nodrošināšanu un tika ierosināts iekļaut cenas konkurētspējas definīciju un novērtēt visu piedāvāto pasākumu ietekmi uz elektroenerģijas cenu visā Plāna periodā.</w:t>
      </w:r>
    </w:p>
    <w:p w14:paraId="2E5D84C2" w14:textId="77777777" w:rsidR="00DD44D5" w:rsidRPr="00D61280" w:rsidRDefault="00DD44D5" w:rsidP="0007326F">
      <w:pPr>
        <w:pStyle w:val="Heading30"/>
      </w:pPr>
      <w:bookmarkStart w:id="103" w:name="_Toc520978803"/>
      <w:bookmarkStart w:id="104" w:name="_Toc527529428"/>
      <w:bookmarkStart w:id="105" w:name="_Toc23245746"/>
      <w:bookmarkStart w:id="106" w:name="_Toc23245985"/>
      <w:bookmarkStart w:id="107" w:name="_Toc24407997"/>
      <w:r w:rsidRPr="00D61280">
        <w:t>Vietējo un reģionālo iestāžu iesaiste</w:t>
      </w:r>
      <w:bookmarkEnd w:id="103"/>
      <w:bookmarkEnd w:id="104"/>
      <w:bookmarkEnd w:id="105"/>
      <w:bookmarkEnd w:id="106"/>
      <w:bookmarkEnd w:id="107"/>
      <w:r w:rsidRPr="00D61280">
        <w:t xml:space="preserve">  </w:t>
      </w:r>
    </w:p>
    <w:p w14:paraId="1E146DEE" w14:textId="313553FE" w:rsidR="00DD44D5" w:rsidRPr="00D61280" w:rsidRDefault="00DD44D5" w:rsidP="00560FA1">
      <w:pPr>
        <w:spacing w:before="120" w:after="120" w:line="240" w:lineRule="auto"/>
        <w:jc w:val="both"/>
        <w:rPr>
          <w:rFonts w:cstheme="minorHAnsi"/>
        </w:rPr>
      </w:pPr>
      <w:r w:rsidRPr="00D61280">
        <w:rPr>
          <w:rFonts w:cstheme="minorHAnsi"/>
        </w:rPr>
        <w:t>2018.gadā tika nodrošināta aktīva sadarbība ar Rīgas plānošanas reģionu projekta “Nodrošināt neitrālu oglekļa emisiju reģionos līdz 2050. gadam” (C -TRACK-50) ietvaros.</w:t>
      </w:r>
      <w:r w:rsidR="003172C5">
        <w:rPr>
          <w:rFonts w:cstheme="minorHAnsi"/>
        </w:rPr>
        <w:t xml:space="preserve"> </w:t>
      </w:r>
      <w:r w:rsidRPr="00D61280">
        <w:rPr>
          <w:rFonts w:cstheme="minorHAnsi"/>
        </w:rPr>
        <w:t>Tāpat Plāna izstrādes aktualitātes un tajā iekļaujamo nosacījumu īstenošanā nepieciešamā pašvaldību iesaiste tika pārrunāta ar Latvijas plānošanas reģionu pārstāvjiem.</w:t>
      </w:r>
    </w:p>
    <w:p w14:paraId="10CA0E78" w14:textId="0D4BE447" w:rsidR="00DD44D5" w:rsidRPr="00D61280" w:rsidRDefault="00DD44D5" w:rsidP="00560FA1">
      <w:pPr>
        <w:spacing w:before="120" w:after="120" w:line="240" w:lineRule="auto"/>
        <w:jc w:val="both"/>
        <w:rPr>
          <w:rFonts w:cstheme="minorHAnsi"/>
        </w:rPr>
      </w:pPr>
      <w:r w:rsidRPr="00D61280">
        <w:rPr>
          <w:rFonts w:cstheme="minorHAnsi"/>
        </w:rPr>
        <w:t>Plānā iekļautie nosacījumi, rīcības virzieni un pasākumi tika prezentēti Latvijas pašvaldību savienībā, Rīgas plānošana reģiona Interreg Baltijas jūras reģiona programmas 2014.-2020.gadam projekta “Co2mmunity” partneru sanāksmē</w:t>
      </w:r>
      <w:r w:rsidR="003172C5">
        <w:rPr>
          <w:rFonts w:cstheme="minorHAnsi"/>
        </w:rPr>
        <w:t xml:space="preserve">, </w:t>
      </w:r>
      <w:r w:rsidR="003172C5" w:rsidRPr="003172C5">
        <w:rPr>
          <w:rFonts w:cstheme="minorHAnsi"/>
        </w:rPr>
        <w:t xml:space="preserve">Interreg Europe projekta „Finanšu instrumenti atjaunojamās enerģijas izmantošanas veicināšanai (FIRESPOL)” </w:t>
      </w:r>
      <w:r w:rsidR="003172C5">
        <w:rPr>
          <w:rFonts w:cstheme="minorHAnsi"/>
        </w:rPr>
        <w:t>rīcības grupas sanāksmē</w:t>
      </w:r>
    </w:p>
    <w:p w14:paraId="3299BE41" w14:textId="77777777" w:rsidR="00DD44D5" w:rsidRPr="00D61280" w:rsidRDefault="00DD44D5" w:rsidP="0007326F">
      <w:pPr>
        <w:pStyle w:val="Heading30"/>
      </w:pPr>
      <w:bookmarkStart w:id="108" w:name="_Toc520978804"/>
      <w:bookmarkStart w:id="109" w:name="_Toc527529429"/>
      <w:bookmarkStart w:id="110" w:name="_Toc23245747"/>
      <w:bookmarkStart w:id="111" w:name="_Toc23245986"/>
      <w:bookmarkStart w:id="112" w:name="_Toc24407998"/>
      <w:r w:rsidRPr="00D61280">
        <w:t>Apspriedes ar ieinteresētajām personām, sociālajiem partneriem, pilsoniskās sabiedrības iesaistīšana</w:t>
      </w:r>
      <w:bookmarkEnd w:id="108"/>
      <w:bookmarkEnd w:id="109"/>
      <w:bookmarkEnd w:id="110"/>
      <w:bookmarkEnd w:id="111"/>
      <w:bookmarkEnd w:id="112"/>
      <w:r w:rsidRPr="00D61280">
        <w:t xml:space="preserve"> </w:t>
      </w:r>
    </w:p>
    <w:p w14:paraId="0ED9A281" w14:textId="26088944" w:rsidR="00DD44D5" w:rsidRPr="00D61280" w:rsidRDefault="00DD44D5" w:rsidP="00560FA1">
      <w:pPr>
        <w:spacing w:before="120" w:after="120" w:line="240" w:lineRule="auto"/>
        <w:jc w:val="both"/>
        <w:rPr>
          <w:rFonts w:cstheme="minorHAnsi"/>
        </w:rPr>
      </w:pPr>
      <w:r w:rsidRPr="00D61280">
        <w:rPr>
          <w:rFonts w:cstheme="minorHAnsi"/>
        </w:rPr>
        <w:t>Plāna izstrādes aktualitātes 2018.gada 31.augustā un 2018.gada 31.oktobrī tika prezentētas Ekonomikas ministrijas izveidotajā Tautsaimniecības padomes Enerģētikas komitejā</w:t>
      </w:r>
      <w:r w:rsidRPr="00D61280">
        <w:rPr>
          <w:rStyle w:val="FootnoteReference"/>
          <w:rFonts w:cstheme="minorHAnsi"/>
        </w:rPr>
        <w:footnoteReference w:id="30"/>
      </w:r>
      <w:r w:rsidRPr="00D61280">
        <w:rPr>
          <w:rFonts w:cstheme="minorHAnsi"/>
        </w:rPr>
        <w:t>.</w:t>
      </w:r>
      <w:r w:rsidR="003172C5">
        <w:rPr>
          <w:rFonts w:cstheme="minorHAnsi"/>
        </w:rPr>
        <w:t xml:space="preserve"> </w:t>
      </w:r>
      <w:r w:rsidRPr="00D61280">
        <w:rPr>
          <w:rFonts w:cstheme="minorHAnsi"/>
        </w:rPr>
        <w:t>Tāpat 2018.gada laikā tika nodrošinātas konsultācijas ar dažādu nozaru komersantiem un nozaru asociācijām par Plāna projektā piedāvātajiem mērķu sasniegšanas pasākumiem, kur kopumā no nozares netika saņemti kritiska pasākumu neatbalstīšana, savukārt ieteiktie pasākumu uzlabojumi un priekšlikumi papildu pasākumiem iespēju robežās tika ņemti vērā.</w:t>
      </w:r>
      <w:r w:rsidR="003172C5">
        <w:rPr>
          <w:rFonts w:cstheme="minorHAnsi"/>
        </w:rPr>
        <w:t xml:space="preserve"> </w:t>
      </w:r>
      <w:r w:rsidRPr="00D61280">
        <w:rPr>
          <w:rFonts w:cstheme="minorHAnsi"/>
        </w:rPr>
        <w:t>Plāna projekts 2018.gadā tika prezentēts vairākās konferencēs – “Enerģētika 2018”, “Siltuma ražošanas ekonomika ilgtspējīgā valstī” un “Ziemeļvalstu un Baltijas valstu enerģētikas un klimata izaicinājumi. Mobilitāte un aprites ekonomika”.</w:t>
      </w:r>
    </w:p>
    <w:p w14:paraId="4E3BE1D0" w14:textId="77777777" w:rsidR="00DD44D5" w:rsidRPr="00D61280" w:rsidRDefault="00DD44D5" w:rsidP="00560FA1">
      <w:pPr>
        <w:spacing w:before="120" w:after="120" w:line="240" w:lineRule="auto"/>
        <w:jc w:val="both"/>
        <w:rPr>
          <w:rFonts w:cstheme="minorHAnsi"/>
        </w:rPr>
      </w:pPr>
      <w:r w:rsidRPr="00D61280">
        <w:rPr>
          <w:rFonts w:cstheme="minorHAnsi"/>
        </w:rPr>
        <w:t>2018.gada 26.novembrī Ekonomikas ministrija organizēja plašu konferenci “Nacionālais enerģētikas un klimata plāns 2021.-2030.gadam – enerģētikas attīstība un klimata pārmaiņu mazināšana” plašākai sabiedrībai (apmēram 100 dalībnieku), kur diskusija notika par visām Plāna dimensijām un konferences dalībniekiem bija iespēja izteikt savus priekšlikumus, viedokli un komentārus. Konferences prezentācijas un video tiešraides ieraksts ir pieejams Ekonomikas ministrijas tīmekļa vietnē</w:t>
      </w:r>
      <w:r w:rsidRPr="00D61280">
        <w:rPr>
          <w:rStyle w:val="FootnoteReference"/>
          <w:rFonts w:cstheme="minorHAnsi"/>
        </w:rPr>
        <w:footnoteReference w:id="31"/>
      </w:r>
      <w:r w:rsidRPr="00D61280">
        <w:rPr>
          <w:rFonts w:cstheme="minorHAnsi"/>
        </w:rPr>
        <w:t>.</w:t>
      </w:r>
    </w:p>
    <w:p w14:paraId="6A52D62E" w14:textId="69800F7E" w:rsidR="00DD44D5" w:rsidRDefault="00DD44D5" w:rsidP="00560FA1">
      <w:pPr>
        <w:spacing w:before="120" w:after="120" w:line="240" w:lineRule="auto"/>
        <w:jc w:val="both"/>
        <w:rPr>
          <w:rFonts w:cstheme="minorHAnsi"/>
        </w:rPr>
      </w:pPr>
      <w:r w:rsidRPr="00D61280">
        <w:rPr>
          <w:rFonts w:cstheme="minorHAnsi"/>
        </w:rPr>
        <w:t>2018.gada 17.septembrī Plāna projekta 1.redakcija tika publicēta Ekonomikas ministrijas tīmekļa vietnē sabiedrības līdzdalības nodrošināšanai. Savukārt Plāna projekta 2.redakcija tika publicēta Ekonomikas ministrijas tīmekļa vietnē 2018.gada 5.novembrī.</w:t>
      </w:r>
    </w:p>
    <w:p w14:paraId="70DF4DB4" w14:textId="6A9634AB" w:rsidR="003172C5" w:rsidRDefault="003172C5" w:rsidP="00560FA1">
      <w:pPr>
        <w:spacing w:before="120" w:after="120" w:line="240" w:lineRule="auto"/>
        <w:jc w:val="both"/>
        <w:rPr>
          <w:rFonts w:cstheme="minorHAnsi"/>
        </w:rPr>
      </w:pPr>
      <w:r>
        <w:rPr>
          <w:rFonts w:cstheme="minorHAnsi"/>
        </w:rPr>
        <w:t>2019.gada turpinājās plaši informēšanas pasākumi par Plāna aktualizēto projektu, kopumā nesaņemot kritisku nostāju par Plānā iekļauto pasākumu virzienu</w:t>
      </w:r>
      <w:r w:rsidR="009F32EE">
        <w:rPr>
          <w:rFonts w:cstheme="minorHAnsi"/>
        </w:rPr>
        <w:t xml:space="preserve">, tai skaitā prezentējot Plānu </w:t>
      </w:r>
      <w:r>
        <w:rPr>
          <w:rFonts w:cstheme="minorHAnsi"/>
        </w:rPr>
        <w:t xml:space="preserve">Latvijas pašvaldību savienībai, </w:t>
      </w:r>
      <w:r w:rsidRPr="003172C5">
        <w:rPr>
          <w:rFonts w:cstheme="minorHAnsi"/>
        </w:rPr>
        <w:t>Lauksaimnieku organizāciju sadarbības padome</w:t>
      </w:r>
      <w:r>
        <w:rPr>
          <w:rFonts w:cstheme="minorHAnsi"/>
        </w:rPr>
        <w:t>i</w:t>
      </w:r>
      <w:r w:rsidR="008F7A23">
        <w:rPr>
          <w:rFonts w:cstheme="minorHAnsi"/>
        </w:rPr>
        <w:t>, Vidzemes plānošanas reģiona paneļdiskusijā “No saules līdz elektrībai”, sarunu festivālā “Lampa”,</w:t>
      </w:r>
      <w:r w:rsidR="004B309E">
        <w:rPr>
          <w:rFonts w:cstheme="minorHAnsi"/>
        </w:rPr>
        <w:t xml:space="preserve"> konferencē “</w:t>
      </w:r>
      <w:r w:rsidR="006179BB" w:rsidRPr="006179BB">
        <w:rPr>
          <w:rFonts w:cstheme="minorHAnsi"/>
        </w:rPr>
        <w:t>Vai bizness šodien var atļauties NEbūt energoefektīvs</w:t>
      </w:r>
      <w:r w:rsidR="004B309E">
        <w:rPr>
          <w:rFonts w:cstheme="minorHAnsi"/>
        </w:rPr>
        <w:t>?”</w:t>
      </w:r>
      <w:r w:rsidR="008F7A23">
        <w:rPr>
          <w:rFonts w:cstheme="minorHAnsi"/>
        </w:rPr>
        <w:t xml:space="preserve"> </w:t>
      </w:r>
    </w:p>
    <w:p w14:paraId="06EF98F4" w14:textId="446F39AB" w:rsidR="00DD44D5" w:rsidRPr="00D61280" w:rsidRDefault="00DD44D5" w:rsidP="00560FA1">
      <w:pPr>
        <w:spacing w:before="120" w:after="120" w:line="240" w:lineRule="auto"/>
        <w:jc w:val="both"/>
        <w:rPr>
          <w:rFonts w:cstheme="minorHAnsi"/>
        </w:rPr>
      </w:pPr>
      <w:r w:rsidRPr="00D61280">
        <w:rPr>
          <w:rFonts w:cstheme="minorHAnsi"/>
        </w:rPr>
        <w:t>Aktualizētā katras Plāna nodaļas redakcija tika publicēta Ekonomikas ministrijas mājas lapā 2019.gada jūnijā un septembrī, dodot sabiedrībai pietiekami daudz laika viedokļa sagatavošanai un iesniegšanai.</w:t>
      </w:r>
      <w:r w:rsidR="006179BB">
        <w:rPr>
          <w:rFonts w:cstheme="minorHAnsi"/>
        </w:rPr>
        <w:t xml:space="preserve"> Sabiedrības viedokļu saņemšana tika slēgta 2019.gada 20.oktobrī. </w:t>
      </w:r>
      <w:r w:rsidRPr="00D61280">
        <w:rPr>
          <w:rFonts w:cstheme="minorHAnsi"/>
        </w:rPr>
        <w:t xml:space="preserve"> Tāpat 2019.gadā tika organizēta konference Plāna plašākai prezentēšanai.</w:t>
      </w:r>
    </w:p>
    <w:p w14:paraId="30CB6DE2" w14:textId="77777777" w:rsidR="00DD44D5" w:rsidRPr="00D61280" w:rsidRDefault="00DD44D5" w:rsidP="00560FA1">
      <w:pPr>
        <w:spacing w:before="120" w:after="120" w:line="240" w:lineRule="auto"/>
        <w:jc w:val="both"/>
        <w:rPr>
          <w:rFonts w:cstheme="minorHAnsi"/>
        </w:rPr>
      </w:pPr>
      <w:r w:rsidRPr="00D61280">
        <w:rPr>
          <w:rFonts w:cstheme="minorHAnsi"/>
        </w:rPr>
        <w:t>Sabiedrības viedoklis ir apkopots un publicēts Ekonomikas ministrijas mājas lapā</w:t>
      </w:r>
      <w:r w:rsidRPr="00D61280">
        <w:rPr>
          <w:rStyle w:val="FootnoteReference"/>
          <w:rFonts w:cstheme="minorHAnsi"/>
        </w:rPr>
        <w:footnoteReference w:id="32"/>
      </w:r>
      <w:r w:rsidRPr="00D61280">
        <w:rPr>
          <w:rFonts w:cstheme="minorHAnsi"/>
        </w:rPr>
        <w:t>, kur arī ir sniegts viedoklis, kā sabiedrības izteiktie komentāri ir ņemti vērā Plānā.</w:t>
      </w:r>
    </w:p>
    <w:p w14:paraId="07433525" w14:textId="77777777" w:rsidR="00DD44D5" w:rsidRPr="00D61280" w:rsidRDefault="00DD44D5" w:rsidP="0007326F">
      <w:pPr>
        <w:pStyle w:val="Heading30"/>
      </w:pPr>
      <w:bookmarkStart w:id="113" w:name="_Toc520978805"/>
      <w:bookmarkStart w:id="114" w:name="_Toc527529430"/>
      <w:bookmarkStart w:id="115" w:name="_Toc23245748"/>
      <w:bookmarkStart w:id="116" w:name="_Toc23245987"/>
      <w:bookmarkStart w:id="117" w:name="_Toc24407999"/>
      <w:r w:rsidRPr="00D61280">
        <w:t>Apspriedes ar citām dalībvalstīm</w:t>
      </w:r>
      <w:bookmarkEnd w:id="113"/>
      <w:bookmarkEnd w:id="114"/>
      <w:bookmarkEnd w:id="115"/>
      <w:bookmarkEnd w:id="116"/>
      <w:bookmarkEnd w:id="117"/>
      <w:r w:rsidRPr="00D61280">
        <w:t xml:space="preserve"> </w:t>
      </w:r>
    </w:p>
    <w:p w14:paraId="7EAFE986" w14:textId="5D39F1F0" w:rsidR="008A2B5F" w:rsidRDefault="008A2B5F" w:rsidP="00560FA1">
      <w:pPr>
        <w:spacing w:before="120" w:after="120" w:line="240" w:lineRule="auto"/>
        <w:jc w:val="both"/>
        <w:rPr>
          <w:rFonts w:cstheme="minorHAnsi"/>
        </w:rPr>
      </w:pPr>
      <w:r>
        <w:rPr>
          <w:rFonts w:cstheme="minorHAnsi"/>
        </w:rPr>
        <w:t>Attiecībā uz Plāna sagatavošanu un Plānā iekļauto pasākumu definēšanu Latvija galvenokārt ir veikusi apspriedes gan ar citām Baltijas valstīm, gan Baltijas jūras valstīm.</w:t>
      </w:r>
    </w:p>
    <w:p w14:paraId="385A8F34" w14:textId="73C599F3" w:rsidR="00DD44D5" w:rsidRPr="00D61280" w:rsidRDefault="00DD44D5" w:rsidP="00560FA1">
      <w:pPr>
        <w:spacing w:before="120" w:after="120" w:line="240" w:lineRule="auto"/>
        <w:jc w:val="both"/>
        <w:rPr>
          <w:rFonts w:cstheme="minorHAnsi"/>
        </w:rPr>
      </w:pPr>
      <w:r w:rsidRPr="00D61280">
        <w:rPr>
          <w:rFonts w:cstheme="minorHAnsi"/>
        </w:rPr>
        <w:t>2018.gada 23.-24.maijā Baltijas vides ministru sanāksmē Baltijas vides ministri un eksperti apmainījās ar viedokļiem un dalījās pieredzē par Plāna izstrādi un tajā iekļautās dekarbonizācijas klimata pārmaiņu mazināšanas nosacījumiem.</w:t>
      </w:r>
      <w:r w:rsidR="001E7AE9">
        <w:rPr>
          <w:rFonts w:cstheme="minorHAnsi"/>
        </w:rPr>
        <w:t xml:space="preserve"> 2019.gada 30.oktobrī Baltijas vides ministru sanāksmē </w:t>
      </w:r>
      <w:r w:rsidR="001E7AE9" w:rsidRPr="001E7AE9">
        <w:rPr>
          <w:rFonts w:cstheme="minorHAnsi"/>
        </w:rPr>
        <w:t>trīs valstu delegāciju pārstāvji sanāksmē dalī</w:t>
      </w:r>
      <w:r w:rsidR="001E7AE9">
        <w:rPr>
          <w:rFonts w:cstheme="minorHAnsi"/>
        </w:rPr>
        <w:t>jās</w:t>
      </w:r>
      <w:r w:rsidR="001E7AE9" w:rsidRPr="001E7AE9">
        <w:rPr>
          <w:rFonts w:cstheme="minorHAnsi"/>
        </w:rPr>
        <w:t xml:space="preserve"> pieredzē par </w:t>
      </w:r>
      <w:r w:rsidR="001E7AE9">
        <w:rPr>
          <w:rFonts w:cstheme="minorHAnsi"/>
        </w:rPr>
        <w:t xml:space="preserve">Plānu izstrādi, tāpat </w:t>
      </w:r>
      <w:r w:rsidR="001E7AE9" w:rsidRPr="001E7AE9">
        <w:rPr>
          <w:rFonts w:cstheme="minorHAnsi"/>
        </w:rPr>
        <w:t>diskusijas dalībnieki pārrunā</w:t>
      </w:r>
      <w:r w:rsidR="001E7AE9">
        <w:rPr>
          <w:rFonts w:cstheme="minorHAnsi"/>
        </w:rPr>
        <w:t>ja</w:t>
      </w:r>
      <w:r w:rsidR="001E7AE9" w:rsidRPr="001E7AE9">
        <w:rPr>
          <w:rFonts w:cstheme="minorHAnsi"/>
        </w:rPr>
        <w:t xml:space="preserve"> </w:t>
      </w:r>
      <w:r w:rsidR="0026004A">
        <w:rPr>
          <w:rFonts w:cstheme="minorHAnsi"/>
        </w:rPr>
        <w:t>ilgtermiņa stratēģijas SEG emisiju samazināšana</w:t>
      </w:r>
      <w:r w:rsidR="008A2B5F">
        <w:rPr>
          <w:rFonts w:cstheme="minorHAnsi"/>
        </w:rPr>
        <w:t xml:space="preserve"> un iespējamos </w:t>
      </w:r>
      <w:r w:rsidR="001E7AE9" w:rsidRPr="001E7AE9">
        <w:rPr>
          <w:rFonts w:cstheme="minorHAnsi"/>
        </w:rPr>
        <w:t>mērķus</w:t>
      </w:r>
      <w:r w:rsidR="008A2B5F">
        <w:rPr>
          <w:rFonts w:cstheme="minorHAnsi"/>
        </w:rPr>
        <w:t xml:space="preserve"> virzībai </w:t>
      </w:r>
      <w:r w:rsidR="001E7AE9" w:rsidRPr="001E7AE9">
        <w:rPr>
          <w:rFonts w:cstheme="minorHAnsi"/>
        </w:rPr>
        <w:t>uz klimatneitralitāti 2050.gadā.</w:t>
      </w:r>
    </w:p>
    <w:p w14:paraId="053491AA" w14:textId="6100B8FD" w:rsidR="00DD44D5" w:rsidRPr="00D61280" w:rsidRDefault="00DD44D5" w:rsidP="00560FA1">
      <w:pPr>
        <w:spacing w:before="120" w:after="120" w:line="240" w:lineRule="auto"/>
        <w:jc w:val="both"/>
        <w:rPr>
          <w:rFonts w:cstheme="minorHAnsi"/>
        </w:rPr>
      </w:pPr>
      <w:r w:rsidRPr="00D61280">
        <w:rPr>
          <w:rFonts w:cstheme="minorHAnsi"/>
        </w:rPr>
        <w:t xml:space="preserve">2018.gada </w:t>
      </w:r>
      <w:r w:rsidR="008A2B5F">
        <w:rPr>
          <w:rFonts w:cstheme="minorHAnsi"/>
        </w:rPr>
        <w:t>laikā enerģētikas jautājumi tika pārrunāti</w:t>
      </w:r>
      <w:r w:rsidRPr="00D61280">
        <w:rPr>
          <w:rFonts w:cstheme="minorHAnsi"/>
        </w:rPr>
        <w:t xml:space="preserve"> Baltijas ministru padomes vecāko amatpersonu enerģētikas komitejas ietvaros</w:t>
      </w:r>
      <w:r w:rsidR="008A2B5F">
        <w:rPr>
          <w:rFonts w:cstheme="minorHAnsi"/>
        </w:rPr>
        <w:t xml:space="preserve">, kur </w:t>
      </w:r>
      <w:r w:rsidRPr="00D61280">
        <w:rPr>
          <w:rFonts w:cstheme="minorHAnsi"/>
        </w:rPr>
        <w:t>eksperti pārrunāja pārrobežu sadarbības jautājumus enerģētikas nozarē un apmainījās ar viedokļiem par nosacījumiem turpmākai reģionālajai sadarbībai Plāna izstrādes laikā un arī Plāna īstenošanas ietvaros</w:t>
      </w:r>
      <w:r w:rsidR="008A2B5F">
        <w:rPr>
          <w:rFonts w:cstheme="minorHAnsi"/>
        </w:rPr>
        <w:t xml:space="preserve">, lai </w:t>
      </w:r>
      <w:r w:rsidRPr="00D61280">
        <w:rPr>
          <w:rFonts w:cstheme="minorHAnsi"/>
        </w:rPr>
        <w:t>pārrunātu Plāna reģionālās konsultācijas un turpmākās sadarbības iespējas Plāna aptvēruma dimensijās</w:t>
      </w:r>
      <w:r w:rsidR="008A2B5F">
        <w:rPr>
          <w:rFonts w:cstheme="minorHAnsi"/>
        </w:rPr>
        <w:t xml:space="preserve">, kā arī lai </w:t>
      </w:r>
      <w:r w:rsidRPr="00D61280">
        <w:rPr>
          <w:rFonts w:cstheme="minorHAnsi"/>
        </w:rPr>
        <w:t>pārrunā</w:t>
      </w:r>
      <w:r w:rsidR="008A2B5F">
        <w:rPr>
          <w:rFonts w:cstheme="minorHAnsi"/>
        </w:rPr>
        <w:t>tu</w:t>
      </w:r>
      <w:r w:rsidRPr="00D61280">
        <w:rPr>
          <w:rFonts w:cstheme="minorHAnsi"/>
        </w:rPr>
        <w:t xml:space="preserve"> jau konkrētos Plānā iekļautos pasākumus, kuru īstenošanai ir reģionāla ietekme. 2019.gada laikā vairākkārtīgi (piemēram, 6.februāris, 18.aprīlis, 29.augusts</w:t>
      </w:r>
      <w:r w:rsidR="006179BB">
        <w:rPr>
          <w:rFonts w:cstheme="minorHAnsi"/>
        </w:rPr>
        <w:t>, 30.oktobris</w:t>
      </w:r>
      <w:r w:rsidRPr="00D61280">
        <w:rPr>
          <w:rFonts w:cstheme="minorHAnsi"/>
        </w:rPr>
        <w:t xml:space="preserve">) Baltijas ministru padomes vecāko amatpersonu enerģētikas komitejas ietvaros Latvijas, Lietuvas un Igaunijas eksperti apmainījās ar viedokļiem par Plāna aktualizāciju un tajā iekļautajiem rīcības virzieniem un pasākumiem. Baltijas valstu eksperti arī vairākkārtīgi tikās, lai pārrunātu iespējamos starpvalstu pasākumus AER jomā, piemēram, vēja enerģijas attīstība vai transporta enerģijas jautājumi. </w:t>
      </w:r>
    </w:p>
    <w:p w14:paraId="4CC4DD15" w14:textId="77777777" w:rsidR="00DD44D5" w:rsidRPr="00D61280" w:rsidRDefault="00DD44D5" w:rsidP="0007326F">
      <w:pPr>
        <w:pStyle w:val="Heading30"/>
      </w:pPr>
      <w:bookmarkStart w:id="118" w:name="_Toc520978806"/>
      <w:bookmarkStart w:id="119" w:name="_Toc527529431"/>
      <w:bookmarkStart w:id="120" w:name="_Toc23245749"/>
      <w:bookmarkStart w:id="121" w:name="_Toc23245988"/>
      <w:bookmarkStart w:id="122" w:name="_Toc24408000"/>
      <w:bookmarkEnd w:id="97"/>
      <w:r w:rsidRPr="00D61280">
        <w:t xml:space="preserve">Iteratīvs process ar </w:t>
      </w:r>
      <w:bookmarkEnd w:id="118"/>
      <w:r w:rsidRPr="00D61280">
        <w:t>EK</w:t>
      </w:r>
      <w:bookmarkEnd w:id="119"/>
      <w:bookmarkEnd w:id="120"/>
      <w:bookmarkEnd w:id="121"/>
      <w:bookmarkEnd w:id="122"/>
      <w:r w:rsidRPr="00D61280">
        <w:t xml:space="preserve"> </w:t>
      </w:r>
    </w:p>
    <w:p w14:paraId="37623C8E" w14:textId="77777777" w:rsidR="00DD44D5" w:rsidRPr="00D61280" w:rsidRDefault="00DD44D5">
      <w:pPr>
        <w:spacing w:before="120" w:after="120" w:line="240" w:lineRule="auto"/>
        <w:jc w:val="both"/>
        <w:rPr>
          <w:rFonts w:cstheme="minorHAnsi"/>
        </w:rPr>
      </w:pPr>
      <w:r w:rsidRPr="00D61280">
        <w:rPr>
          <w:rFonts w:cstheme="minorHAnsi"/>
        </w:rPr>
        <w:t>Latvija Plāna projektu iesniedza EK 2018.gada 28.decembrī. 2019.gada janvārī Latvijas pārstāvji tikās ar EK par EK sākotnējām rekomendācijām attiecībā uz Plāna projektu un tā uzlabošanas iespējām, ko Latvija ir pilnībā ņēmusi vērā.</w:t>
      </w:r>
    </w:p>
    <w:p w14:paraId="4EB9E9D4" w14:textId="542D5DF4" w:rsidR="00DD44D5" w:rsidRPr="006E6675" w:rsidRDefault="00DD44D5">
      <w:pPr>
        <w:spacing w:before="120" w:after="120" w:line="240" w:lineRule="auto"/>
        <w:jc w:val="both"/>
        <w:rPr>
          <w:rFonts w:cstheme="minorHAnsi"/>
        </w:rPr>
      </w:pPr>
      <w:r w:rsidRPr="006E6675">
        <w:rPr>
          <w:rFonts w:cstheme="minorHAnsi"/>
        </w:rPr>
        <w:t>Latvijas eksperti arī strādā kopā ar EK ekspertiem AER un energoefektivitātes mērķu izpildei nepieciešamo rīcībpolitiku un pasākumu jautājumos.</w:t>
      </w:r>
    </w:p>
    <w:p w14:paraId="4D4C467A" w14:textId="77777777" w:rsidR="00DD44D5" w:rsidRPr="006E6675" w:rsidRDefault="00DD44D5" w:rsidP="0007326F">
      <w:pPr>
        <w:pStyle w:val="Heading20"/>
      </w:pPr>
      <w:bookmarkStart w:id="123" w:name="_Toc520978807"/>
      <w:bookmarkStart w:id="124" w:name="_Toc527529432"/>
      <w:bookmarkStart w:id="125" w:name="_Toc532909998"/>
      <w:bookmarkStart w:id="126" w:name="_Toc10527195"/>
      <w:bookmarkStart w:id="127" w:name="_Toc23245750"/>
      <w:bookmarkStart w:id="128" w:name="_Toc23245989"/>
      <w:bookmarkStart w:id="129" w:name="_Toc24408001"/>
      <w:bookmarkStart w:id="130" w:name="_Toc24408097"/>
      <w:r w:rsidRPr="006E6675">
        <w:t>Reģionālā sadarbība plāna sagatavošanā</w:t>
      </w:r>
      <w:bookmarkEnd w:id="123"/>
      <w:bookmarkEnd w:id="124"/>
      <w:bookmarkEnd w:id="125"/>
      <w:bookmarkEnd w:id="126"/>
      <w:bookmarkEnd w:id="127"/>
      <w:bookmarkEnd w:id="128"/>
      <w:bookmarkEnd w:id="129"/>
      <w:bookmarkEnd w:id="130"/>
      <w:r w:rsidRPr="006E6675">
        <w:t xml:space="preserve"> </w:t>
      </w:r>
    </w:p>
    <w:p w14:paraId="61EC8B23" w14:textId="638E1973" w:rsidR="001A39C3" w:rsidRPr="0007326F" w:rsidRDefault="001A39C3" w:rsidP="0007326F">
      <w:pPr>
        <w:pStyle w:val="Heading30"/>
      </w:pPr>
      <w:bookmarkStart w:id="131" w:name="_Toc24314579"/>
      <w:bookmarkStart w:id="132" w:name="_Toc24408002"/>
      <w:bookmarkEnd w:id="131"/>
      <w:r w:rsidRPr="0007326F">
        <w:t>Reģionālā sadarbība plāna sagatavošanā</w:t>
      </w:r>
      <w:bookmarkEnd w:id="132"/>
    </w:p>
    <w:p w14:paraId="4AA2B47A" w14:textId="154C78C3" w:rsidR="001A39C3" w:rsidRPr="0007326F" w:rsidRDefault="001A39C3">
      <w:pPr>
        <w:spacing w:before="120" w:after="120" w:line="240" w:lineRule="auto"/>
        <w:jc w:val="both"/>
        <w:rPr>
          <w:rFonts w:cstheme="minorHAnsi"/>
          <w:szCs w:val="24"/>
        </w:rPr>
      </w:pPr>
      <w:r w:rsidRPr="004910BB">
        <w:rPr>
          <w:rFonts w:cstheme="minorHAnsi"/>
          <w:szCs w:val="24"/>
        </w:rPr>
        <w:t>Latvija piedalās dažādos reģionālās sadarbības formātos klimata un enerģētikas jomā (Parīzes nolīguma un klimata un enerģētikas politikas kontekstā), tostarp:</w:t>
      </w:r>
    </w:p>
    <w:p w14:paraId="388C1658" w14:textId="77777777" w:rsidR="001A39C3" w:rsidRPr="004910BB" w:rsidRDefault="001A39C3" w:rsidP="0007326F">
      <w:pPr>
        <w:pStyle w:val="ListParagraph"/>
        <w:numPr>
          <w:ilvl w:val="0"/>
          <w:numId w:val="81"/>
        </w:numPr>
        <w:spacing w:before="120" w:after="120" w:line="240" w:lineRule="auto"/>
        <w:ind w:left="397" w:hanging="397"/>
        <w:contextualSpacing w:val="0"/>
        <w:jc w:val="both"/>
        <w:rPr>
          <w:rFonts w:cstheme="minorHAnsi"/>
          <w:szCs w:val="24"/>
        </w:rPr>
      </w:pPr>
      <w:r w:rsidRPr="0007326F">
        <w:rPr>
          <w:rFonts w:cstheme="minorHAnsi"/>
          <w:szCs w:val="24"/>
        </w:rPr>
        <w:t>Baltijas Asambleja</w:t>
      </w:r>
      <w:r w:rsidRPr="0007326F">
        <w:rPr>
          <w:rStyle w:val="FootnoteReference"/>
          <w:rFonts w:cstheme="minorHAnsi"/>
          <w:szCs w:val="24"/>
        </w:rPr>
        <w:footnoteReference w:id="33"/>
      </w:r>
      <w:r w:rsidRPr="004910BB">
        <w:rPr>
          <w:rFonts w:cstheme="minorHAnsi"/>
          <w:szCs w:val="24"/>
        </w:rPr>
        <w:t>;</w:t>
      </w:r>
    </w:p>
    <w:p w14:paraId="187F0B2A" w14:textId="16A0F963" w:rsidR="001A39C3" w:rsidRPr="004910BB" w:rsidRDefault="001A39C3" w:rsidP="0007326F">
      <w:pPr>
        <w:pStyle w:val="ListParagraph"/>
        <w:numPr>
          <w:ilvl w:val="0"/>
          <w:numId w:val="81"/>
        </w:numPr>
        <w:spacing w:before="120" w:after="120" w:line="240" w:lineRule="auto"/>
        <w:ind w:left="397" w:hanging="397"/>
        <w:contextualSpacing w:val="0"/>
        <w:jc w:val="both"/>
        <w:rPr>
          <w:rFonts w:cstheme="minorHAnsi"/>
          <w:szCs w:val="24"/>
        </w:rPr>
      </w:pPr>
      <w:r w:rsidRPr="004910BB">
        <w:rPr>
          <w:rFonts w:cstheme="minorHAnsi"/>
          <w:szCs w:val="24"/>
        </w:rPr>
        <w:t>Baltijas valstu premjerministru augstākā līmeņa sanāksmes;</w:t>
      </w:r>
    </w:p>
    <w:p w14:paraId="5CDC0FA4" w14:textId="1E9D48F8" w:rsidR="001A39C3" w:rsidRPr="0007326F" w:rsidRDefault="001A39C3" w:rsidP="0007326F">
      <w:pPr>
        <w:pStyle w:val="ListParagraph"/>
        <w:numPr>
          <w:ilvl w:val="0"/>
          <w:numId w:val="81"/>
        </w:numPr>
        <w:spacing w:before="120" w:after="120" w:line="240" w:lineRule="auto"/>
        <w:ind w:left="397" w:hanging="397"/>
        <w:contextualSpacing w:val="0"/>
        <w:jc w:val="both"/>
        <w:rPr>
          <w:rFonts w:cstheme="minorHAnsi"/>
          <w:szCs w:val="24"/>
        </w:rPr>
      </w:pPr>
      <w:r w:rsidRPr="0007326F">
        <w:rPr>
          <w:rFonts w:cstheme="minorHAnsi"/>
          <w:szCs w:val="24"/>
        </w:rPr>
        <w:t>Baltijas Ministru padome (BCM);</w:t>
      </w:r>
    </w:p>
    <w:p w14:paraId="0150E810" w14:textId="557FCC46" w:rsidR="001A39C3" w:rsidRPr="0007326F" w:rsidRDefault="001A39C3" w:rsidP="0007326F">
      <w:pPr>
        <w:pStyle w:val="ListParagraph"/>
        <w:numPr>
          <w:ilvl w:val="0"/>
          <w:numId w:val="81"/>
        </w:numPr>
        <w:spacing w:before="120" w:after="120" w:line="240" w:lineRule="auto"/>
        <w:ind w:left="397" w:hanging="397"/>
        <w:contextualSpacing w:val="0"/>
        <w:jc w:val="both"/>
        <w:rPr>
          <w:rFonts w:cstheme="minorHAnsi"/>
          <w:szCs w:val="24"/>
        </w:rPr>
      </w:pPr>
      <w:r w:rsidRPr="0007326F">
        <w:rPr>
          <w:rFonts w:cstheme="minorHAnsi"/>
          <w:szCs w:val="24"/>
        </w:rPr>
        <w:t>ES stratēģija Baltijas jūras reģionam (EUSBSR) un Baltijas enerģētikas tirgus starpsavienojuma plāns (BEMIP);</w:t>
      </w:r>
    </w:p>
    <w:p w14:paraId="17E36D5B" w14:textId="5F0CDEEC" w:rsidR="001A39C3" w:rsidRPr="0007326F" w:rsidRDefault="001A39C3" w:rsidP="0007326F">
      <w:pPr>
        <w:pStyle w:val="ListParagraph"/>
        <w:numPr>
          <w:ilvl w:val="0"/>
          <w:numId w:val="81"/>
        </w:numPr>
        <w:spacing w:before="120" w:after="120" w:line="240" w:lineRule="auto"/>
        <w:ind w:left="397" w:hanging="397"/>
        <w:contextualSpacing w:val="0"/>
        <w:jc w:val="both"/>
        <w:rPr>
          <w:rFonts w:cstheme="minorHAnsi"/>
          <w:szCs w:val="24"/>
        </w:rPr>
      </w:pPr>
      <w:r w:rsidRPr="0007326F">
        <w:rPr>
          <w:rFonts w:cstheme="minorHAnsi"/>
          <w:szCs w:val="24"/>
        </w:rPr>
        <w:t>Ziemeļvalstu enerģētikas pētniecības programma.</w:t>
      </w:r>
    </w:p>
    <w:p w14:paraId="0AE6F0BD" w14:textId="77777777" w:rsidR="001A39C3" w:rsidRPr="006E6675" w:rsidRDefault="001A39C3">
      <w:pPr>
        <w:spacing w:before="120" w:after="120" w:line="240" w:lineRule="auto"/>
        <w:jc w:val="both"/>
        <w:rPr>
          <w:rStyle w:val="word"/>
          <w:rFonts w:eastAsia="Times New Roman" w:cstheme="minorHAnsi"/>
        </w:rPr>
      </w:pPr>
      <w:r w:rsidRPr="006E6675">
        <w:rPr>
          <w:rStyle w:val="word"/>
          <w:rFonts w:eastAsia="Times New Roman" w:cstheme="minorHAnsi"/>
          <w:szCs w:val="24"/>
        </w:rPr>
        <w:t>Lai gan intensīva koordinācija enerģētikas politikas jautājumos Baltijas valstīs notiek BCM vecāko amatpersonu līmenī, plašāka reģionālā sadarbība ir saistīta arī ar tādām valstīm kā Somija, Zviedrija, Polija, Dānija un Vācija.</w:t>
      </w:r>
    </w:p>
    <w:p w14:paraId="58AE35DF" w14:textId="27EEAEB1" w:rsidR="001A39C3" w:rsidRPr="006E6675" w:rsidRDefault="001A39C3">
      <w:pPr>
        <w:spacing w:before="120" w:after="120" w:line="240" w:lineRule="auto"/>
        <w:jc w:val="both"/>
        <w:rPr>
          <w:rStyle w:val="word"/>
          <w:rFonts w:eastAsia="Times New Roman" w:cstheme="minorHAnsi"/>
          <w:szCs w:val="24"/>
        </w:rPr>
      </w:pPr>
      <w:r w:rsidRPr="006E6675">
        <w:rPr>
          <w:rStyle w:val="word"/>
          <w:rFonts w:eastAsia="Times New Roman" w:cstheme="minorHAnsi"/>
          <w:szCs w:val="24"/>
        </w:rPr>
        <w:t xml:space="preserve">Es kontekstā reģionālā sadarbība notiek BEMIP formātā, aptverot infrastruktūras plānošanu un palīdzot palielināt un efektīvi izmantot finanšu resursus, tostarp Eiropas infrastruktūras savienošanas instrumentu, kas atbalsta </w:t>
      </w:r>
      <w:r w:rsidR="00A45809">
        <w:rPr>
          <w:rStyle w:val="word"/>
          <w:rFonts w:eastAsia="Times New Roman" w:cstheme="minorHAnsi"/>
          <w:szCs w:val="24"/>
        </w:rPr>
        <w:t>p</w:t>
      </w:r>
      <w:r w:rsidRPr="006E6675">
        <w:rPr>
          <w:rStyle w:val="word"/>
          <w:rFonts w:eastAsia="Times New Roman" w:cstheme="minorHAnsi"/>
          <w:szCs w:val="24"/>
        </w:rPr>
        <w:t>ārrobežu enerģētikas projektus, tādējādi vēl vairāk uzlabojot sadarbību Baltijas jūras reģionā. Tiek īstenoti vairāki projekti, lai uzlabotu elektroenerģijas un gāzes piegādes drošību Baltijas reģionā un nodrošinātu efektīvu tirgus attīstību. Svarīgākais reģionālais projekts ir Baltijas elektrotīkla sinhronizācija ar Eiropas elektrotīklu. Pagaidām ir vairāki citi būtiski projekti, lai nodrošinātu efektīvu tirgus darbību, piemēram, kopīgi starpsavienojumi, kā arī Inčukalns pazemes gāzes krātuves modernizācija u.c.</w:t>
      </w:r>
    </w:p>
    <w:p w14:paraId="2E559ED7" w14:textId="0C564932" w:rsidR="001A39C3" w:rsidRPr="006E6675" w:rsidRDefault="001A39C3">
      <w:pPr>
        <w:spacing w:before="120" w:after="120" w:line="240" w:lineRule="auto"/>
        <w:jc w:val="both"/>
        <w:rPr>
          <w:rStyle w:val="word"/>
          <w:rFonts w:eastAsia="Times New Roman" w:cstheme="minorHAnsi"/>
          <w:szCs w:val="24"/>
        </w:rPr>
      </w:pPr>
      <w:r w:rsidRPr="006E6675">
        <w:rPr>
          <w:rStyle w:val="word"/>
          <w:rFonts w:eastAsia="Times New Roman" w:cstheme="minorHAnsi"/>
          <w:szCs w:val="24"/>
        </w:rPr>
        <w:t>Baltijas valstis BCM ietvaros savstarpēji apspriedās par savu Plānu sagatavošanu. Vairākas augstāko amatpersonu sanāksmes notika 2018. gada otrajā pusē un 2019. gadā attiecībā uz Plānu kopumā un attiecībā uz iespējamiem politikas pasākumiem, ko varētu īstenot kopīgi:</w:t>
      </w:r>
    </w:p>
    <w:p w14:paraId="25BB72C7" w14:textId="77777777" w:rsidR="001A39C3" w:rsidRPr="004910BB" w:rsidRDefault="001A39C3" w:rsidP="0007326F">
      <w:pPr>
        <w:pStyle w:val="ListParagraph"/>
        <w:numPr>
          <w:ilvl w:val="0"/>
          <w:numId w:val="75"/>
        </w:numPr>
        <w:spacing w:before="120" w:after="120" w:line="240" w:lineRule="auto"/>
        <w:ind w:left="397" w:hanging="397"/>
        <w:contextualSpacing w:val="0"/>
        <w:jc w:val="both"/>
        <w:rPr>
          <w:rFonts w:cstheme="minorHAnsi"/>
        </w:rPr>
      </w:pPr>
      <w:r w:rsidRPr="006E6675">
        <w:rPr>
          <w:rFonts w:cstheme="minorHAnsi"/>
          <w:szCs w:val="24"/>
        </w:rPr>
        <w:t>Vides augstāko amatpersonu komitejas sanāksme Viļņas 26.04.2018, klimata pasākumu ieviešana</w:t>
      </w:r>
    </w:p>
    <w:p w14:paraId="232EF983" w14:textId="0495EB11" w:rsidR="001A39C3" w:rsidRPr="006E6675" w:rsidRDefault="001A39C3" w:rsidP="0007326F">
      <w:pPr>
        <w:pStyle w:val="ListParagraph"/>
        <w:numPr>
          <w:ilvl w:val="0"/>
          <w:numId w:val="75"/>
        </w:numPr>
        <w:spacing w:before="120" w:after="120" w:line="240" w:lineRule="auto"/>
        <w:ind w:left="397" w:hanging="397"/>
        <w:contextualSpacing w:val="0"/>
        <w:jc w:val="both"/>
        <w:rPr>
          <w:rFonts w:cstheme="minorHAnsi"/>
          <w:szCs w:val="24"/>
        </w:rPr>
      </w:pPr>
      <w:r w:rsidRPr="006E6675">
        <w:rPr>
          <w:rFonts w:cstheme="minorHAnsi"/>
          <w:szCs w:val="24"/>
        </w:rPr>
        <w:t>Vides ministru BCM sanāksme Viļņā 23</w:t>
      </w:r>
      <w:r w:rsidR="006E6675" w:rsidRPr="006E6675">
        <w:rPr>
          <w:rFonts w:cstheme="minorHAnsi"/>
          <w:szCs w:val="24"/>
        </w:rPr>
        <w:t>.</w:t>
      </w:r>
      <w:r w:rsidRPr="006E6675">
        <w:rPr>
          <w:rFonts w:cstheme="minorHAnsi"/>
          <w:szCs w:val="24"/>
        </w:rPr>
        <w:t>-24.05.2018, klimata pasākumu ieviešana</w:t>
      </w:r>
    </w:p>
    <w:p w14:paraId="5C26D96D" w14:textId="3958BC65" w:rsidR="001A39C3" w:rsidRPr="006E6675" w:rsidRDefault="001A39C3" w:rsidP="0007326F">
      <w:pPr>
        <w:pStyle w:val="ListParagraph"/>
        <w:numPr>
          <w:ilvl w:val="0"/>
          <w:numId w:val="75"/>
        </w:numPr>
        <w:spacing w:before="120" w:after="120" w:line="240" w:lineRule="auto"/>
        <w:ind w:left="397" w:hanging="397"/>
        <w:contextualSpacing w:val="0"/>
        <w:jc w:val="both"/>
        <w:rPr>
          <w:rFonts w:cstheme="minorHAnsi"/>
          <w:szCs w:val="24"/>
        </w:rPr>
      </w:pPr>
      <w:r w:rsidRPr="006E6675">
        <w:rPr>
          <w:rFonts w:cstheme="minorHAnsi"/>
          <w:szCs w:val="24"/>
        </w:rPr>
        <w:t>Ziemeļvalstu un Baltijas enerģētikas konference 2018. gad</w:t>
      </w:r>
      <w:r w:rsidR="006E6675" w:rsidRPr="006E6675">
        <w:rPr>
          <w:rFonts w:cstheme="minorHAnsi"/>
          <w:szCs w:val="24"/>
        </w:rPr>
        <w:t>a 29.septembrī</w:t>
      </w:r>
    </w:p>
    <w:p w14:paraId="59700556" w14:textId="77777777" w:rsidR="001A39C3" w:rsidRPr="006E6675" w:rsidRDefault="001A39C3" w:rsidP="0007326F">
      <w:pPr>
        <w:pStyle w:val="ListParagraph"/>
        <w:numPr>
          <w:ilvl w:val="0"/>
          <w:numId w:val="75"/>
        </w:numPr>
        <w:spacing w:before="120" w:after="120" w:line="240" w:lineRule="auto"/>
        <w:ind w:left="397" w:hanging="397"/>
        <w:contextualSpacing w:val="0"/>
        <w:jc w:val="both"/>
        <w:rPr>
          <w:rFonts w:cstheme="minorHAnsi"/>
          <w:szCs w:val="24"/>
        </w:rPr>
      </w:pPr>
      <w:r w:rsidRPr="006E6675">
        <w:rPr>
          <w:rFonts w:cstheme="minorHAnsi"/>
          <w:szCs w:val="24"/>
        </w:rPr>
        <w:t>Enerģētikas augstāko amatpersonu 30.10.2018 un 29.08.2019 BKN sanāksme</w:t>
      </w:r>
    </w:p>
    <w:p w14:paraId="39898CCF" w14:textId="2779BEB5" w:rsidR="001A39C3" w:rsidRPr="004910BB" w:rsidRDefault="001A39C3" w:rsidP="0007326F">
      <w:pPr>
        <w:pStyle w:val="ListParagraph"/>
        <w:numPr>
          <w:ilvl w:val="0"/>
          <w:numId w:val="75"/>
        </w:numPr>
        <w:spacing w:before="120" w:after="120" w:line="240" w:lineRule="auto"/>
        <w:ind w:left="397" w:hanging="397"/>
        <w:contextualSpacing w:val="0"/>
        <w:jc w:val="both"/>
        <w:rPr>
          <w:rStyle w:val="word"/>
          <w:rFonts w:cstheme="minorHAnsi"/>
        </w:rPr>
      </w:pPr>
      <w:r w:rsidRPr="006E6675">
        <w:rPr>
          <w:rFonts w:eastAsia="Times New Roman" w:cstheme="minorHAnsi"/>
          <w:szCs w:val="24"/>
        </w:rPr>
        <w:t>Ziemeļvalstu un Baltijas enerģētikas konference no 2019. gada 24</w:t>
      </w:r>
      <w:r w:rsidRPr="006E6675">
        <w:rPr>
          <w:rStyle w:val="word"/>
          <w:rFonts w:eastAsia="Times New Roman" w:cstheme="minorHAnsi"/>
          <w:szCs w:val="24"/>
        </w:rPr>
        <w:t>.</w:t>
      </w:r>
      <w:r w:rsidRPr="006E6675">
        <w:rPr>
          <w:rFonts w:eastAsia="Times New Roman" w:cstheme="minorHAnsi"/>
          <w:szCs w:val="24"/>
        </w:rPr>
        <w:t xml:space="preserve"> līdz 25</w:t>
      </w:r>
      <w:r w:rsidR="006E6675" w:rsidRPr="006E6675">
        <w:rPr>
          <w:rFonts w:eastAsia="Times New Roman" w:cstheme="minorHAnsi"/>
          <w:szCs w:val="24"/>
        </w:rPr>
        <w:t>.oktobrim.</w:t>
      </w:r>
    </w:p>
    <w:p w14:paraId="28B89439" w14:textId="7AEBF43B" w:rsidR="001A39C3" w:rsidRPr="006E6675" w:rsidRDefault="001A39C3">
      <w:pPr>
        <w:spacing w:before="120" w:after="120" w:line="240" w:lineRule="auto"/>
        <w:jc w:val="both"/>
        <w:rPr>
          <w:rStyle w:val="word"/>
          <w:rFonts w:eastAsia="Times New Roman" w:cstheme="minorHAnsi"/>
          <w:szCs w:val="24"/>
        </w:rPr>
      </w:pPr>
      <w:r w:rsidRPr="006E6675">
        <w:rPr>
          <w:rStyle w:val="word"/>
          <w:rFonts w:eastAsia="Times New Roman" w:cstheme="minorHAnsi"/>
          <w:szCs w:val="24"/>
        </w:rPr>
        <w:t xml:space="preserve">Reģionālajās konsultācijās tika apzinātas reģionālās sadarbības iespējas </w:t>
      </w:r>
      <w:r w:rsidR="006E6675" w:rsidRPr="006E6675">
        <w:rPr>
          <w:rStyle w:val="word"/>
          <w:rFonts w:eastAsia="Times New Roman" w:cstheme="minorHAnsi"/>
          <w:szCs w:val="24"/>
        </w:rPr>
        <w:t xml:space="preserve">AER </w:t>
      </w:r>
      <w:r w:rsidRPr="006E6675">
        <w:rPr>
          <w:rStyle w:val="word"/>
          <w:rFonts w:eastAsia="Times New Roman" w:cstheme="minorHAnsi"/>
          <w:szCs w:val="24"/>
        </w:rPr>
        <w:t xml:space="preserve">un to tehnoloģiju jomā, īpaši attiecībā uz iespējamu kopīgu jūras </w:t>
      </w:r>
      <w:r w:rsidR="006E6675" w:rsidRPr="006E6675">
        <w:rPr>
          <w:rStyle w:val="word"/>
          <w:rFonts w:eastAsia="Times New Roman" w:cstheme="minorHAnsi"/>
          <w:szCs w:val="24"/>
        </w:rPr>
        <w:t>VES</w:t>
      </w:r>
      <w:r w:rsidRPr="006E6675">
        <w:rPr>
          <w:rStyle w:val="word"/>
          <w:rFonts w:eastAsia="Times New Roman" w:cstheme="minorHAnsi"/>
          <w:szCs w:val="24"/>
        </w:rPr>
        <w:t xml:space="preserve"> attīstību, ņemot vērā jūras telpiskās plānošanas apsvērumus, kas ļauj izstrādāt kopīgus projektus uz Latvijas-Igaunijas robežas un Latvijas-Lietuvas robežas. Baltijas valstis kā pasākumu īstenojamo politiku un pasākumu sarakstā ir iekļāvušas reģionāli īstenotos jūras vēja parkus ar maksimālo jaudu 800 MW. Pēdējā laikā Baltijas jūras vēja enerģijas potenciāla pētījumā tiek lēsts, ka Baltijas jūrā identificētās kopējās jūras vēja enerģijas jaudas</w:t>
      </w:r>
      <w:r w:rsidRPr="006E6675">
        <w:rPr>
          <w:rStyle w:val="FootnoteReference"/>
          <w:rFonts w:eastAsia="Times New Roman" w:cstheme="minorHAnsi"/>
          <w:szCs w:val="24"/>
        </w:rPr>
        <w:footnoteReference w:id="34"/>
      </w:r>
      <w:r w:rsidRPr="006E6675">
        <w:rPr>
          <w:rStyle w:val="word"/>
          <w:rFonts w:eastAsia="Times New Roman" w:cstheme="minorHAnsi"/>
          <w:szCs w:val="24"/>
        </w:rPr>
        <w:t xml:space="preserve"> pārsniedz 93 GW. Kopējā jauda Baltijas jūrā ir 187 vēja elektrostaciju bloki, katrs ar jaudu 500 MW, to skaitā attiecīgi:</w:t>
      </w:r>
    </w:p>
    <w:p w14:paraId="4C1B1690" w14:textId="77777777" w:rsidR="001A39C3" w:rsidRPr="006E6675" w:rsidRDefault="001A39C3" w:rsidP="0007326F">
      <w:pPr>
        <w:pStyle w:val="ListParagraph"/>
        <w:numPr>
          <w:ilvl w:val="0"/>
          <w:numId w:val="83"/>
        </w:numPr>
        <w:spacing w:before="120" w:after="120" w:line="240" w:lineRule="auto"/>
        <w:ind w:left="397" w:hanging="397"/>
        <w:contextualSpacing w:val="0"/>
        <w:jc w:val="both"/>
        <w:rPr>
          <w:rStyle w:val="word"/>
          <w:rFonts w:eastAsia="Times New Roman" w:cstheme="minorHAnsi"/>
          <w:szCs w:val="24"/>
        </w:rPr>
      </w:pPr>
      <w:r w:rsidRPr="006E6675">
        <w:rPr>
          <w:rStyle w:val="word"/>
          <w:rFonts w:eastAsia="Times New Roman" w:cstheme="minorHAnsi"/>
          <w:szCs w:val="24"/>
        </w:rPr>
        <w:t>Igaunija 14 vēja parki ar jaudu 7 GW un gada enerģijas ražošanu 26 TWh</w:t>
      </w:r>
    </w:p>
    <w:p w14:paraId="463D7392" w14:textId="77777777" w:rsidR="001A39C3" w:rsidRPr="006E6675" w:rsidRDefault="001A39C3" w:rsidP="0007326F">
      <w:pPr>
        <w:pStyle w:val="ListParagraph"/>
        <w:numPr>
          <w:ilvl w:val="0"/>
          <w:numId w:val="83"/>
        </w:numPr>
        <w:spacing w:before="120" w:after="120" w:line="240" w:lineRule="auto"/>
        <w:ind w:left="397" w:hanging="397"/>
        <w:contextualSpacing w:val="0"/>
        <w:jc w:val="both"/>
        <w:rPr>
          <w:rStyle w:val="word"/>
          <w:rFonts w:eastAsia="Times New Roman" w:cstheme="minorHAnsi"/>
          <w:szCs w:val="24"/>
        </w:rPr>
      </w:pPr>
      <w:r w:rsidRPr="006E6675">
        <w:rPr>
          <w:rStyle w:val="word"/>
          <w:rFonts w:eastAsia="Times New Roman" w:cstheme="minorHAnsi"/>
          <w:szCs w:val="24"/>
        </w:rPr>
        <w:t>Latvija 29 vēja parki ar jaudu 15,5 GW un gada enerģijas ražošanu 49,2 TWh</w:t>
      </w:r>
    </w:p>
    <w:p w14:paraId="3E877909" w14:textId="77777777" w:rsidR="001A39C3" w:rsidRPr="006E6675" w:rsidRDefault="001A39C3" w:rsidP="0007326F">
      <w:pPr>
        <w:pStyle w:val="ListParagraph"/>
        <w:numPr>
          <w:ilvl w:val="0"/>
          <w:numId w:val="83"/>
        </w:numPr>
        <w:spacing w:before="120" w:after="120" w:line="240" w:lineRule="auto"/>
        <w:ind w:left="397" w:hanging="397"/>
        <w:contextualSpacing w:val="0"/>
        <w:jc w:val="both"/>
        <w:rPr>
          <w:rStyle w:val="word"/>
          <w:rFonts w:eastAsia="Times New Roman" w:cstheme="minorHAnsi"/>
          <w:szCs w:val="24"/>
        </w:rPr>
      </w:pPr>
      <w:r w:rsidRPr="006E6675">
        <w:rPr>
          <w:rStyle w:val="word"/>
          <w:rFonts w:eastAsia="Times New Roman" w:cstheme="minorHAnsi"/>
          <w:szCs w:val="24"/>
        </w:rPr>
        <w:t>Lietuva 9 vēja parki ar jaudu 4,5 GW un gada enerģijas ražošanu 15,5 TWh.</w:t>
      </w:r>
    </w:p>
    <w:p w14:paraId="7086D46F" w14:textId="1E2CEF05" w:rsidR="001A39C3" w:rsidRPr="0007326F" w:rsidRDefault="001A39C3" w:rsidP="0007326F">
      <w:pPr>
        <w:pStyle w:val="Heading3"/>
        <w:ind w:left="851" w:hanging="624"/>
      </w:pPr>
      <w:bookmarkStart w:id="133" w:name="_Toc24408003"/>
      <w:r w:rsidRPr="0007326F">
        <w:t>Reģionālā sadarbība plāna īstenošanā</w:t>
      </w:r>
      <w:bookmarkEnd w:id="133"/>
    </w:p>
    <w:p w14:paraId="3B44E12F" w14:textId="00D438E5" w:rsidR="001A39C3" w:rsidRPr="0007326F" w:rsidRDefault="001A39C3">
      <w:pPr>
        <w:spacing w:before="120" w:after="120" w:line="240" w:lineRule="auto"/>
        <w:jc w:val="both"/>
        <w:rPr>
          <w:rStyle w:val="word"/>
          <w:rFonts w:eastAsia="Times New Roman" w:cstheme="minorHAnsi"/>
          <w:szCs w:val="24"/>
        </w:rPr>
      </w:pPr>
      <w:r w:rsidRPr="006E6675">
        <w:rPr>
          <w:rStyle w:val="word"/>
          <w:rFonts w:eastAsia="Times New Roman" w:cstheme="minorHAnsi"/>
          <w:szCs w:val="24"/>
        </w:rPr>
        <w:t>Šobrīd reģionālā sadarbība tiek īstenota attiecībā uz reģionālo gāzes tirgu, sinhronizāciju ar Eiropas kontinentālo elektrotīklu, elektroenerģijas un gāzes starpsavienojumu projektiem, kā arī Latvijas pazemes gāzes glabātavu.</w:t>
      </w:r>
      <w:r w:rsidR="006E6675" w:rsidRPr="006E6675">
        <w:rPr>
          <w:rStyle w:val="word"/>
          <w:rFonts w:eastAsia="Times New Roman" w:cstheme="minorHAnsi"/>
          <w:szCs w:val="24"/>
        </w:rPr>
        <w:t xml:space="preserve"> </w:t>
      </w:r>
      <w:r w:rsidRPr="006E6675">
        <w:rPr>
          <w:rStyle w:val="word"/>
          <w:rFonts w:eastAsia="Times New Roman" w:cstheme="minorHAnsi"/>
          <w:szCs w:val="24"/>
        </w:rPr>
        <w:t xml:space="preserve">Transporta nozarē tiek veikta reģionālā sadarbība attiecībā uz </w:t>
      </w:r>
      <w:r w:rsidRPr="0007326F">
        <w:rPr>
          <w:rStyle w:val="word"/>
          <w:rFonts w:eastAsia="Times New Roman" w:cstheme="minorHAnsi"/>
          <w:szCs w:val="24"/>
        </w:rPr>
        <w:t>Rail Baltic projekta īstenošanu</w:t>
      </w:r>
      <w:r w:rsidRPr="006E6675">
        <w:rPr>
          <w:rStyle w:val="word"/>
          <w:rFonts w:eastAsia="Times New Roman" w:cstheme="minorHAnsi"/>
          <w:szCs w:val="24"/>
        </w:rPr>
        <w:t>.</w:t>
      </w:r>
      <w:r w:rsidR="006E6675" w:rsidRPr="006E6675">
        <w:rPr>
          <w:rStyle w:val="word"/>
          <w:rFonts w:eastAsia="Times New Roman" w:cstheme="minorHAnsi"/>
          <w:szCs w:val="24"/>
        </w:rPr>
        <w:t xml:space="preserve"> </w:t>
      </w:r>
      <w:r w:rsidRPr="006E6675">
        <w:rPr>
          <w:rStyle w:val="word"/>
          <w:rFonts w:eastAsia="Times New Roman" w:cstheme="minorHAnsi"/>
          <w:szCs w:val="24"/>
        </w:rPr>
        <w:t>Tāpat reģionālā sadarbība lauksaimniecības SEG emisiju samazināšanai tiek veikta saskaņā ar Direktīvu 91/676/EEK</w:t>
      </w:r>
      <w:r w:rsidR="006E6675" w:rsidRPr="006E6675">
        <w:rPr>
          <w:rStyle w:val="FootnoteReference"/>
          <w:rFonts w:eastAsia="Times New Roman" w:cstheme="minorHAnsi"/>
          <w:szCs w:val="24"/>
        </w:rPr>
        <w:footnoteReference w:id="35"/>
      </w:r>
      <w:r w:rsidRPr="006E6675">
        <w:rPr>
          <w:rStyle w:val="word"/>
          <w:rFonts w:eastAsia="Times New Roman" w:cstheme="minorHAnsi"/>
          <w:szCs w:val="24"/>
        </w:rPr>
        <w:t xml:space="preserve"> (par slāpekļa emisijām) vai Gaisa piesārņojuma samazināšanas rīcības plānu (par amonjaka emisijām).</w:t>
      </w:r>
    </w:p>
    <w:p w14:paraId="5C7F8EF4" w14:textId="4F7591FC" w:rsidR="001A39C3" w:rsidRPr="006E6675" w:rsidRDefault="001A39C3">
      <w:pPr>
        <w:spacing w:before="120" w:after="120" w:line="240" w:lineRule="auto"/>
        <w:jc w:val="both"/>
        <w:rPr>
          <w:rStyle w:val="word"/>
          <w:rFonts w:eastAsia="Times New Roman" w:cstheme="minorHAnsi"/>
          <w:szCs w:val="24"/>
        </w:rPr>
      </w:pPr>
      <w:r w:rsidRPr="006E6675">
        <w:rPr>
          <w:rStyle w:val="word"/>
          <w:rFonts w:eastAsia="Times New Roman" w:cstheme="minorHAnsi"/>
          <w:szCs w:val="24"/>
        </w:rPr>
        <w:t xml:space="preserve">Baltijas valstis vienojās, ka reģionālo sadarbību </w:t>
      </w:r>
      <w:r w:rsidR="006E6675" w:rsidRPr="006E6675">
        <w:rPr>
          <w:rStyle w:val="word"/>
          <w:rFonts w:eastAsia="Times New Roman" w:cstheme="minorHAnsi"/>
          <w:szCs w:val="24"/>
        </w:rPr>
        <w:t xml:space="preserve">varētu paplašināt </w:t>
      </w:r>
      <w:r w:rsidRPr="006E6675">
        <w:rPr>
          <w:rStyle w:val="word"/>
          <w:rFonts w:eastAsia="Times New Roman" w:cstheme="minorHAnsi"/>
          <w:szCs w:val="24"/>
        </w:rPr>
        <w:t xml:space="preserve">attiecībā uz energoefektivitātes un </w:t>
      </w:r>
      <w:r w:rsidR="006E6675" w:rsidRPr="006E6675">
        <w:rPr>
          <w:rStyle w:val="word"/>
          <w:rFonts w:eastAsia="Times New Roman" w:cstheme="minorHAnsi"/>
          <w:szCs w:val="24"/>
        </w:rPr>
        <w:t>AER</w:t>
      </w:r>
      <w:r w:rsidRPr="006E6675">
        <w:rPr>
          <w:rStyle w:val="word"/>
          <w:rFonts w:eastAsia="Times New Roman" w:cstheme="minorHAnsi"/>
          <w:szCs w:val="24"/>
        </w:rPr>
        <w:t xml:space="preserve"> attīstības jomām, kas īpaši attiecas uz transporta nozari, tostarp:</w:t>
      </w:r>
    </w:p>
    <w:p w14:paraId="249C2067" w14:textId="5D90307D" w:rsidR="001A39C3" w:rsidRPr="0007326F" w:rsidRDefault="006E6675" w:rsidP="0007326F">
      <w:pPr>
        <w:pStyle w:val="ListParagraph"/>
        <w:numPr>
          <w:ilvl w:val="0"/>
          <w:numId w:val="84"/>
        </w:numPr>
        <w:spacing w:before="120" w:after="120" w:line="240" w:lineRule="auto"/>
        <w:ind w:left="397" w:hanging="397"/>
        <w:contextualSpacing w:val="0"/>
        <w:jc w:val="both"/>
        <w:rPr>
          <w:rStyle w:val="word"/>
          <w:rFonts w:eastAsia="Times New Roman" w:cstheme="minorHAnsi"/>
          <w:szCs w:val="24"/>
        </w:rPr>
      </w:pPr>
      <w:r w:rsidRPr="006E6675">
        <w:rPr>
          <w:rStyle w:val="word"/>
          <w:rFonts w:eastAsia="Times New Roman" w:cstheme="minorHAnsi"/>
          <w:szCs w:val="24"/>
        </w:rPr>
        <w:t>b</w:t>
      </w:r>
      <w:r w:rsidR="001A39C3" w:rsidRPr="0007326F">
        <w:rPr>
          <w:rStyle w:val="word"/>
          <w:rFonts w:eastAsia="Times New Roman" w:cstheme="minorHAnsi"/>
          <w:szCs w:val="24"/>
        </w:rPr>
        <w:t>iometāna ražošanas un tirgus attīstība;</w:t>
      </w:r>
    </w:p>
    <w:p w14:paraId="1493C944" w14:textId="0AB07F24" w:rsidR="001A39C3" w:rsidRPr="0007326F" w:rsidRDefault="006E6675" w:rsidP="0007326F">
      <w:pPr>
        <w:pStyle w:val="ListParagraph"/>
        <w:numPr>
          <w:ilvl w:val="0"/>
          <w:numId w:val="84"/>
        </w:numPr>
        <w:spacing w:before="120" w:after="120" w:line="240" w:lineRule="auto"/>
        <w:ind w:left="397" w:hanging="397"/>
        <w:contextualSpacing w:val="0"/>
        <w:jc w:val="both"/>
        <w:rPr>
          <w:rStyle w:val="word"/>
          <w:rFonts w:eastAsia="Times New Roman" w:cstheme="minorHAnsi"/>
          <w:szCs w:val="24"/>
        </w:rPr>
      </w:pPr>
      <w:r w:rsidRPr="006E6675">
        <w:rPr>
          <w:rStyle w:val="word"/>
          <w:rFonts w:eastAsia="Times New Roman" w:cstheme="minorHAnsi"/>
          <w:szCs w:val="24"/>
        </w:rPr>
        <w:t>k</w:t>
      </w:r>
      <w:r w:rsidR="001A39C3" w:rsidRPr="0007326F">
        <w:rPr>
          <w:rStyle w:val="word"/>
          <w:rFonts w:eastAsia="Times New Roman" w:cstheme="minorHAnsi"/>
          <w:szCs w:val="24"/>
        </w:rPr>
        <w:t>oordinācija attiecībā uz biodegvielas prasībām (</w:t>
      </w:r>
      <w:r w:rsidRPr="006E6675">
        <w:rPr>
          <w:rStyle w:val="word"/>
          <w:rFonts w:eastAsia="Times New Roman" w:cstheme="minorHAnsi"/>
          <w:szCs w:val="24"/>
        </w:rPr>
        <w:t>bio</w:t>
      </w:r>
      <w:r w:rsidR="00A45809">
        <w:rPr>
          <w:rStyle w:val="word"/>
          <w:rFonts w:eastAsia="Times New Roman" w:cstheme="minorHAnsi"/>
          <w:szCs w:val="24"/>
        </w:rPr>
        <w:t>d</w:t>
      </w:r>
      <w:r w:rsidRPr="006E6675">
        <w:rPr>
          <w:rStyle w:val="word"/>
          <w:rFonts w:eastAsia="Times New Roman" w:cstheme="minorHAnsi"/>
          <w:szCs w:val="24"/>
        </w:rPr>
        <w:t>egvielu piejaukums</w:t>
      </w:r>
      <w:r w:rsidR="001A39C3" w:rsidRPr="0007326F">
        <w:rPr>
          <w:rStyle w:val="word"/>
          <w:rFonts w:eastAsia="Times New Roman" w:cstheme="minorHAnsi"/>
          <w:szCs w:val="24"/>
        </w:rPr>
        <w:t xml:space="preserve"> un ar nodokļiem saistīti jautājumi);</w:t>
      </w:r>
    </w:p>
    <w:p w14:paraId="049CF1E0" w14:textId="2F17F296" w:rsidR="001A39C3" w:rsidRPr="0007326F" w:rsidRDefault="006E6675" w:rsidP="0007326F">
      <w:pPr>
        <w:pStyle w:val="ListParagraph"/>
        <w:numPr>
          <w:ilvl w:val="0"/>
          <w:numId w:val="84"/>
        </w:numPr>
        <w:spacing w:before="120" w:after="120" w:line="240" w:lineRule="auto"/>
        <w:ind w:left="397" w:hanging="397"/>
        <w:contextualSpacing w:val="0"/>
        <w:jc w:val="both"/>
        <w:rPr>
          <w:rStyle w:val="word"/>
          <w:rFonts w:eastAsia="Times New Roman" w:cstheme="minorHAnsi"/>
          <w:szCs w:val="24"/>
        </w:rPr>
      </w:pPr>
      <w:r w:rsidRPr="006E6675">
        <w:rPr>
          <w:rStyle w:val="word"/>
          <w:rFonts w:eastAsia="Times New Roman" w:cstheme="minorHAnsi"/>
          <w:szCs w:val="24"/>
        </w:rPr>
        <w:t>k</w:t>
      </w:r>
      <w:r w:rsidR="001A39C3" w:rsidRPr="0007326F">
        <w:rPr>
          <w:rStyle w:val="word"/>
          <w:rFonts w:eastAsia="Times New Roman" w:cstheme="minorHAnsi"/>
          <w:szCs w:val="24"/>
        </w:rPr>
        <w:t xml:space="preserve">oordinācija attiecībā uz iespējamām ceļu nodevām vai ceļu nodevām </w:t>
      </w:r>
      <w:r w:rsidRPr="006E6675">
        <w:rPr>
          <w:rStyle w:val="word"/>
          <w:rFonts w:eastAsia="Times New Roman" w:cstheme="minorHAnsi"/>
          <w:szCs w:val="24"/>
        </w:rPr>
        <w:t>kravas transportlīdzekļiem</w:t>
      </w:r>
      <w:r w:rsidR="001A39C3" w:rsidRPr="0007326F">
        <w:rPr>
          <w:rStyle w:val="word"/>
          <w:rFonts w:eastAsia="Times New Roman" w:cstheme="minorHAnsi"/>
          <w:szCs w:val="24"/>
        </w:rPr>
        <w:t>.</w:t>
      </w:r>
    </w:p>
    <w:p w14:paraId="13F7CC62" w14:textId="77777777" w:rsidR="001A39C3" w:rsidRPr="006E6675" w:rsidRDefault="001A39C3">
      <w:pPr>
        <w:spacing w:before="120" w:after="120" w:line="240" w:lineRule="auto"/>
        <w:jc w:val="both"/>
        <w:rPr>
          <w:rStyle w:val="word"/>
          <w:rFonts w:eastAsia="Times New Roman" w:cstheme="minorHAnsi"/>
          <w:szCs w:val="24"/>
        </w:rPr>
      </w:pPr>
      <w:r w:rsidRPr="006E6675">
        <w:rPr>
          <w:rStyle w:val="word"/>
          <w:rFonts w:eastAsia="Times New Roman" w:cstheme="minorHAnsi"/>
          <w:szCs w:val="24"/>
        </w:rPr>
        <w:t>Turklāt iespējamo reģionālo sadarbību varētu paplašināt, ietverot lauksaimniecības un mežsaimniecības nozares (piemēram, meliorācijas, augsnes kvalitātes pasākumus utt.), ņemot vērā lauksaimniecības, mežsaimniecības vai zivsaimniecības darbību iespējamo pārrobežu ietekmi.</w:t>
      </w:r>
    </w:p>
    <w:p w14:paraId="2468934F" w14:textId="77777777" w:rsidR="001A39C3" w:rsidRPr="006E6675" w:rsidRDefault="001A39C3">
      <w:pPr>
        <w:spacing w:before="120" w:after="120" w:line="240" w:lineRule="auto"/>
        <w:jc w:val="both"/>
        <w:rPr>
          <w:rStyle w:val="word"/>
          <w:rFonts w:eastAsia="Times New Roman" w:cstheme="minorHAnsi"/>
          <w:szCs w:val="24"/>
        </w:rPr>
      </w:pPr>
      <w:r w:rsidRPr="006E6675">
        <w:rPr>
          <w:rStyle w:val="word"/>
          <w:rFonts w:eastAsia="Times New Roman" w:cstheme="minorHAnsi"/>
          <w:szCs w:val="24"/>
        </w:rPr>
        <w:t>Ilgtermiņa (līdz 2030. vai 2050. gadam) enerģētikas un klimata politikas un pasākumu plānošanu un īstenošanu varētu uzlabot vai īstenot vajadzīgajā kvalitātē, izmantojot iespēju dalīties pieredzē un zināšanās, jo īpaši oglekļa emisiju samazināšanas jomā un savstarpēji veicināt energoefektivitāti, jo tas varētu palīdzēt izvēlēties piemērotus instrumentus un darbības konkrētu mērķu sasniegšanai.</w:t>
      </w:r>
    </w:p>
    <w:p w14:paraId="5AE81105" w14:textId="367AFACD" w:rsidR="001A39C3" w:rsidRPr="004910BB" w:rsidRDefault="001A39C3" w:rsidP="0007326F">
      <w:pPr>
        <w:pStyle w:val="CommentText"/>
        <w:spacing w:before="120" w:after="120"/>
        <w:jc w:val="both"/>
        <w:rPr>
          <w:rFonts w:cstheme="minorHAnsi"/>
        </w:rPr>
      </w:pPr>
      <w:r w:rsidRPr="006E6675">
        <w:rPr>
          <w:rFonts w:cstheme="minorHAnsi"/>
          <w:sz w:val="24"/>
          <w:szCs w:val="24"/>
        </w:rPr>
        <w:t xml:space="preserve">Lai plānotu un īstenotu pasākumus </w:t>
      </w:r>
      <w:r w:rsidR="006E6675" w:rsidRPr="006E6675">
        <w:rPr>
          <w:rFonts w:cstheme="minorHAnsi"/>
          <w:sz w:val="24"/>
          <w:szCs w:val="24"/>
        </w:rPr>
        <w:t>AE</w:t>
      </w:r>
      <w:r w:rsidRPr="006E6675">
        <w:rPr>
          <w:rFonts w:cstheme="minorHAnsi"/>
          <w:sz w:val="24"/>
          <w:szCs w:val="24"/>
        </w:rPr>
        <w:t>, energoefektivitātes un klimata jomā, Baltijas valstis ir un arī turpmāk sadarbosies:</w:t>
      </w:r>
    </w:p>
    <w:p w14:paraId="699D6E79" w14:textId="77777777" w:rsidR="006E6675" w:rsidRPr="006E6675" w:rsidRDefault="001A39C3" w:rsidP="0007326F">
      <w:pPr>
        <w:pStyle w:val="CommentText"/>
        <w:numPr>
          <w:ilvl w:val="0"/>
          <w:numId w:val="89"/>
        </w:numPr>
        <w:spacing w:before="120" w:after="120"/>
        <w:ind w:left="397" w:hanging="397"/>
        <w:jc w:val="both"/>
        <w:rPr>
          <w:rFonts w:cstheme="minorHAnsi"/>
          <w:sz w:val="24"/>
          <w:szCs w:val="24"/>
        </w:rPr>
      </w:pPr>
      <w:r w:rsidRPr="006E6675">
        <w:rPr>
          <w:rFonts w:cstheme="minorHAnsi"/>
          <w:sz w:val="24"/>
          <w:szCs w:val="24"/>
        </w:rPr>
        <w:t>Baltijas reģiona sadarbība drošības jomā, ko uzsākuši Baltijas TSO (Elering, AST, Litgrid)</w:t>
      </w:r>
    </w:p>
    <w:p w14:paraId="667A20BB" w14:textId="77777777" w:rsidR="006E6675" w:rsidRPr="006E6675" w:rsidRDefault="001A39C3" w:rsidP="0007326F">
      <w:pPr>
        <w:pStyle w:val="CommentText"/>
        <w:numPr>
          <w:ilvl w:val="0"/>
          <w:numId w:val="89"/>
        </w:numPr>
        <w:spacing w:before="120" w:after="120"/>
        <w:ind w:left="397" w:hanging="397"/>
        <w:jc w:val="both"/>
        <w:rPr>
          <w:rFonts w:cstheme="minorHAnsi"/>
          <w:sz w:val="24"/>
          <w:szCs w:val="24"/>
        </w:rPr>
      </w:pPr>
      <w:r w:rsidRPr="0007326F">
        <w:rPr>
          <w:rFonts w:cstheme="minorHAnsi"/>
          <w:sz w:val="24"/>
          <w:szCs w:val="24"/>
        </w:rPr>
        <w:t>BRELL (Baltkrievija, Krievija, Igaunija, Latvija un Lietuva) sistēma</w:t>
      </w:r>
    </w:p>
    <w:p w14:paraId="44646A2C" w14:textId="77777777" w:rsidR="006E6675" w:rsidRPr="006E6675" w:rsidRDefault="001A39C3" w:rsidP="0007326F">
      <w:pPr>
        <w:pStyle w:val="CommentText"/>
        <w:numPr>
          <w:ilvl w:val="0"/>
          <w:numId w:val="89"/>
        </w:numPr>
        <w:spacing w:before="120" w:after="120"/>
        <w:ind w:left="397" w:hanging="397"/>
        <w:jc w:val="both"/>
        <w:rPr>
          <w:rFonts w:cstheme="minorHAnsi"/>
          <w:sz w:val="24"/>
          <w:szCs w:val="24"/>
        </w:rPr>
      </w:pPr>
      <w:r w:rsidRPr="006E6675">
        <w:rPr>
          <w:rFonts w:cstheme="minorHAnsi"/>
          <w:sz w:val="24"/>
          <w:szCs w:val="24"/>
        </w:rPr>
        <w:t>OSCE Gas Market Coordination Group and UAB GET Baltic</w:t>
      </w:r>
    </w:p>
    <w:p w14:paraId="21BAF892" w14:textId="77777777" w:rsidR="006E6675" w:rsidRPr="006E6675" w:rsidRDefault="001A39C3" w:rsidP="0007326F">
      <w:pPr>
        <w:pStyle w:val="CommentText"/>
        <w:numPr>
          <w:ilvl w:val="0"/>
          <w:numId w:val="89"/>
        </w:numPr>
        <w:spacing w:before="120" w:after="120"/>
        <w:ind w:left="397" w:hanging="397"/>
        <w:jc w:val="both"/>
        <w:rPr>
          <w:rFonts w:cstheme="minorHAnsi"/>
          <w:sz w:val="24"/>
          <w:szCs w:val="24"/>
        </w:rPr>
      </w:pPr>
      <w:r w:rsidRPr="006E6675">
        <w:rPr>
          <w:rFonts w:cstheme="minorHAnsi"/>
          <w:sz w:val="24"/>
          <w:szCs w:val="24"/>
        </w:rPr>
        <w:t>Starptautiskās Enerģētikas aģentūras darbība (Igaunija ir IEA locekle, Lietuva ir IEA pievienošanās valsts);</w:t>
      </w:r>
    </w:p>
    <w:p w14:paraId="668E5AE6" w14:textId="44E86016" w:rsidR="001A39C3" w:rsidRPr="0007326F" w:rsidRDefault="001A39C3" w:rsidP="0007326F">
      <w:pPr>
        <w:pStyle w:val="CommentText"/>
        <w:numPr>
          <w:ilvl w:val="0"/>
          <w:numId w:val="89"/>
        </w:numPr>
        <w:spacing w:before="120" w:after="120"/>
        <w:ind w:left="397" w:hanging="397"/>
        <w:jc w:val="both"/>
        <w:rPr>
          <w:rStyle w:val="word"/>
          <w:rFonts w:cstheme="minorHAnsi"/>
          <w:sz w:val="24"/>
          <w:szCs w:val="24"/>
        </w:rPr>
      </w:pPr>
      <w:r w:rsidRPr="006E6675">
        <w:rPr>
          <w:rFonts w:cstheme="minorHAnsi"/>
          <w:sz w:val="24"/>
          <w:szCs w:val="24"/>
        </w:rPr>
        <w:t>Ziemeļu enerģētikas pētniecības programma Baltijas zinātnes sadarbības projektiem un PhD apmaiņai.</w:t>
      </w:r>
    </w:p>
    <w:p w14:paraId="21D8FB3F" w14:textId="77777777" w:rsidR="007A7EAC" w:rsidRPr="0007326F" w:rsidRDefault="007A7EAC" w:rsidP="0007326F">
      <w:pPr>
        <w:spacing w:before="120" w:after="120" w:line="240" w:lineRule="auto"/>
        <w:ind w:left="397" w:hanging="397"/>
        <w:jc w:val="both"/>
        <w:rPr>
          <w:rFonts w:cstheme="minorHAnsi"/>
          <w:szCs w:val="24"/>
        </w:rPr>
        <w:sectPr w:rsidR="007A7EAC" w:rsidRPr="0007326F" w:rsidSect="00DD44D5">
          <w:pgSz w:w="11906" w:h="16838" w:code="9"/>
          <w:pgMar w:top="1418" w:right="1134" w:bottom="1134" w:left="1701" w:header="567" w:footer="567" w:gutter="0"/>
          <w:cols w:space="708"/>
          <w:docGrid w:linePitch="360"/>
        </w:sectPr>
      </w:pPr>
    </w:p>
    <w:p w14:paraId="014A5941" w14:textId="77777777" w:rsidR="006179BB" w:rsidRDefault="006179BB" w:rsidP="001E38CE">
      <w:pPr>
        <w:pStyle w:val="Heading1"/>
      </w:pPr>
      <w:bookmarkStart w:id="134" w:name="_Toc17878289"/>
      <w:bookmarkStart w:id="135" w:name="_Toc23245751"/>
      <w:bookmarkStart w:id="136" w:name="_Toc23245990"/>
      <w:bookmarkStart w:id="137" w:name="_Toc24408004"/>
      <w:bookmarkStart w:id="138" w:name="_Toc24408098"/>
      <w:bookmarkStart w:id="139" w:name="_Hlk20223482"/>
      <w:r w:rsidRPr="00C15715">
        <w:t>PAŠREIZĒJĀ SITUĀCIJA UN PROGNOZES</w:t>
      </w:r>
      <w:bookmarkEnd w:id="134"/>
      <w:bookmarkEnd w:id="135"/>
      <w:bookmarkEnd w:id="136"/>
      <w:bookmarkEnd w:id="137"/>
      <w:bookmarkEnd w:id="138"/>
    </w:p>
    <w:p w14:paraId="1C4EBA41" w14:textId="77777777" w:rsidR="006179BB" w:rsidRDefault="006179BB" w:rsidP="0007326F">
      <w:pPr>
        <w:pStyle w:val="Heading20"/>
      </w:pPr>
      <w:bookmarkStart w:id="140" w:name="_Toc23245752"/>
      <w:bookmarkStart w:id="141" w:name="_Toc23245991"/>
      <w:bookmarkStart w:id="142" w:name="_Toc24408005"/>
      <w:bookmarkStart w:id="143" w:name="_Toc24408099"/>
      <w:r>
        <w:t>Makroekonomika</w:t>
      </w:r>
      <w:bookmarkEnd w:id="140"/>
      <w:bookmarkEnd w:id="141"/>
      <w:bookmarkEnd w:id="142"/>
      <w:bookmarkEnd w:id="143"/>
      <w:r w:rsidRPr="008B628A">
        <w:t xml:space="preserve"> </w:t>
      </w:r>
    </w:p>
    <w:p w14:paraId="134C0677" w14:textId="77777777" w:rsidR="006179BB" w:rsidRDefault="006179BB">
      <w:pPr>
        <w:pStyle w:val="Heading30"/>
      </w:pPr>
      <w:bookmarkStart w:id="144" w:name="_Toc23245753"/>
      <w:bookmarkStart w:id="145" w:name="_Toc23245992"/>
      <w:bookmarkStart w:id="146" w:name="_Toc24408006"/>
      <w:r>
        <w:t>Esošā situācija</w:t>
      </w:r>
      <w:bookmarkEnd w:id="144"/>
      <w:bookmarkEnd w:id="145"/>
      <w:bookmarkEnd w:id="146"/>
    </w:p>
    <w:p w14:paraId="66A0C0B5" w14:textId="77777777" w:rsidR="006179BB" w:rsidRDefault="006179BB" w:rsidP="006179BB">
      <w:pPr>
        <w:spacing w:before="120" w:after="120" w:line="240" w:lineRule="auto"/>
        <w:jc w:val="both"/>
      </w:pPr>
      <w:r>
        <w:t>Iedzīvotāju skaits Latvijā turpina samazināties. Kopš 2010.gada sākuma iedzīvotāju skaits ir samazinājies par 200 tūkstošiem, un 2019.gada sākumā atbilstoši provizoriskiem aprēķiniem tas bija 1 miljons 920 tūkstoši. Iedzīvotāju skaita samazinājuma temps 2018. gadā bija 0,7 % salīdzinājumā ar 2,2% 2010.gadā. Latvijā iedzīvotāju blīvums ir tikai 30 cilvēku uz 1 km2 . 2018. gadā, mirušo skaitam pārsniedzot dzimušo skaitu (dabiskā kustība), valsts iedzīvotāju skaits samazinājās par 9,4 tūkstošiem, bet ilgtermiņa migrācijas rezultātā – par 4,9 tūkstošiem cilvēku. Kopš 1991.gada iedzīvotāju dabiskais pieaugums Latvijā ir negatīvs. 2018. gadā pilsētu iedzīvotāju īpatsvars nedaudz pārsniedz 68 %r .</w:t>
      </w:r>
    </w:p>
    <w:p w14:paraId="400DCE29" w14:textId="79D23525" w:rsidR="006179BB" w:rsidRDefault="006179BB" w:rsidP="006179BB">
      <w:pPr>
        <w:spacing w:before="120" w:after="120" w:line="240" w:lineRule="auto"/>
        <w:jc w:val="both"/>
      </w:pPr>
      <w:r>
        <w:t>2018.gadā IKP faktiskajās cenās palielinājās līdz 29,5 m</w:t>
      </w:r>
      <w:r w:rsidR="00A45809">
        <w:t>ljrd.EUR</w:t>
      </w:r>
      <w:r>
        <w:t>, bet 2010.gada salīdzināmajās cenās – 23,9 m</w:t>
      </w:r>
      <w:r w:rsidR="00A45809">
        <w:t>ljrd.EUR</w:t>
      </w:r>
      <w:r>
        <w:t>, ekonomikas izaugsmes temps salīdzinot ar 2017.gadu bija 4,8 %.</w:t>
      </w:r>
    </w:p>
    <w:p w14:paraId="6CAADA5A" w14:textId="486ABF22" w:rsidR="006179BB" w:rsidRDefault="006179BB" w:rsidP="006179BB">
      <w:pPr>
        <w:pStyle w:val="Caption"/>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Tabula \* ARABIC </w:instrText>
      </w:r>
      <w:r w:rsidRPr="00C15715">
        <w:rPr>
          <w:rFonts w:asciiTheme="minorHAnsi" w:hAnsiTheme="minorHAnsi" w:cstheme="minorHAnsi"/>
          <w:szCs w:val="24"/>
        </w:rPr>
        <w:fldChar w:fldCharType="separate"/>
      </w:r>
      <w:r w:rsidR="006E6675">
        <w:rPr>
          <w:rFonts w:asciiTheme="minorHAnsi" w:hAnsiTheme="minorHAnsi" w:cstheme="minorHAnsi"/>
          <w:noProof/>
          <w:szCs w:val="24"/>
        </w:rPr>
        <w:t>2</w:t>
      </w:r>
      <w:r w:rsidRPr="00C15715">
        <w:rPr>
          <w:rFonts w:asciiTheme="minorHAnsi" w:hAnsiTheme="minorHAnsi" w:cstheme="minorHAnsi"/>
          <w:szCs w:val="24"/>
        </w:rPr>
        <w:fldChar w:fldCharType="end"/>
      </w:r>
      <w:r w:rsidRPr="00C15715">
        <w:rPr>
          <w:rFonts w:asciiTheme="minorHAnsi" w:hAnsiTheme="minorHAnsi" w:cstheme="minorHAnsi"/>
        </w:rPr>
        <w:t>.tabula. Latvijas</w:t>
      </w:r>
      <w:r>
        <w:rPr>
          <w:rFonts w:asciiTheme="minorHAnsi" w:hAnsiTheme="minorHAnsi" w:cstheme="minorHAnsi"/>
        </w:rPr>
        <w:t xml:space="preserve"> IKP un pievienotās vērtības rādītāji</w:t>
      </w:r>
      <w:r>
        <w:rPr>
          <w:rStyle w:val="FootnoteReference"/>
          <w:rFonts w:asciiTheme="minorHAnsi" w:hAnsiTheme="minorHAnsi" w:cstheme="minorHAnsi"/>
        </w:rPr>
        <w:footnoteReference w:id="36"/>
      </w:r>
    </w:p>
    <w:tbl>
      <w:tblPr>
        <w:tblStyle w:val="TableGrid"/>
        <w:tblW w:w="0" w:type="auto"/>
        <w:jc w:val="center"/>
        <w:tblLook w:val="04A0" w:firstRow="1" w:lastRow="0" w:firstColumn="1" w:lastColumn="0" w:noHBand="0" w:noVBand="1"/>
      </w:tblPr>
      <w:tblGrid>
        <w:gridCol w:w="4551"/>
        <w:gridCol w:w="2076"/>
        <w:gridCol w:w="2434"/>
      </w:tblGrid>
      <w:tr w:rsidR="006179BB" w:rsidRPr="00760EA8" w14:paraId="79E9665B" w14:textId="77777777" w:rsidTr="006179BB">
        <w:trPr>
          <w:jc w:val="center"/>
        </w:trPr>
        <w:tc>
          <w:tcPr>
            <w:tcW w:w="9296" w:type="dxa"/>
            <w:gridSpan w:val="3"/>
            <w:vAlign w:val="center"/>
          </w:tcPr>
          <w:p w14:paraId="71879844" w14:textId="77777777" w:rsidR="006179BB" w:rsidRPr="00760EA8" w:rsidRDefault="006179BB" w:rsidP="006179BB">
            <w:pPr>
              <w:jc w:val="center"/>
              <w:rPr>
                <w:rFonts w:cstheme="minorHAnsi"/>
                <w:b/>
                <w:bCs/>
                <w:szCs w:val="24"/>
              </w:rPr>
            </w:pPr>
            <w:r w:rsidRPr="00760EA8">
              <w:rPr>
                <w:rFonts w:cstheme="minorHAnsi"/>
                <w:b/>
                <w:bCs/>
                <w:szCs w:val="24"/>
              </w:rPr>
              <w:t>Iekšzemes kopprodukts faktiskajās un salīdzināmajās cenās</w:t>
            </w:r>
          </w:p>
        </w:tc>
      </w:tr>
      <w:tr w:rsidR="006179BB" w:rsidRPr="006E6675" w14:paraId="724E6BA6" w14:textId="77777777" w:rsidTr="006179BB">
        <w:trPr>
          <w:jc w:val="center"/>
        </w:trPr>
        <w:tc>
          <w:tcPr>
            <w:tcW w:w="4689" w:type="dxa"/>
            <w:vAlign w:val="center"/>
          </w:tcPr>
          <w:p w14:paraId="0A08A26E" w14:textId="77777777" w:rsidR="006179BB" w:rsidRPr="0007326F" w:rsidRDefault="006179BB" w:rsidP="006179BB">
            <w:pPr>
              <w:rPr>
                <w:rFonts w:cstheme="minorHAnsi"/>
                <w:sz w:val="22"/>
              </w:rPr>
            </w:pPr>
          </w:p>
        </w:tc>
        <w:tc>
          <w:tcPr>
            <w:tcW w:w="2126" w:type="dxa"/>
            <w:vAlign w:val="center"/>
          </w:tcPr>
          <w:p w14:paraId="084C02B2" w14:textId="77777777" w:rsidR="006179BB" w:rsidRPr="0007326F" w:rsidRDefault="006179BB" w:rsidP="006179BB">
            <w:pPr>
              <w:jc w:val="center"/>
              <w:rPr>
                <w:rFonts w:cstheme="minorHAnsi"/>
                <w:sz w:val="22"/>
              </w:rPr>
            </w:pPr>
            <w:r w:rsidRPr="0007326F">
              <w:rPr>
                <w:rFonts w:cstheme="minorHAnsi"/>
                <w:sz w:val="22"/>
              </w:rPr>
              <w:t>2017.g.</w:t>
            </w:r>
          </w:p>
        </w:tc>
        <w:tc>
          <w:tcPr>
            <w:tcW w:w="2481" w:type="dxa"/>
            <w:vAlign w:val="center"/>
          </w:tcPr>
          <w:p w14:paraId="67102AFF" w14:textId="77777777" w:rsidR="006179BB" w:rsidRPr="0007326F" w:rsidRDefault="006179BB" w:rsidP="006179BB">
            <w:pPr>
              <w:jc w:val="center"/>
              <w:rPr>
                <w:rFonts w:cstheme="minorHAnsi"/>
                <w:sz w:val="22"/>
              </w:rPr>
            </w:pPr>
            <w:r w:rsidRPr="0007326F">
              <w:rPr>
                <w:rFonts w:cstheme="minorHAnsi"/>
                <w:sz w:val="22"/>
              </w:rPr>
              <w:t>2018.g.</w:t>
            </w:r>
          </w:p>
        </w:tc>
      </w:tr>
      <w:tr w:rsidR="006179BB" w:rsidRPr="00760EA8" w14:paraId="0FA85C14" w14:textId="77777777" w:rsidTr="006179BB">
        <w:trPr>
          <w:jc w:val="center"/>
        </w:trPr>
        <w:tc>
          <w:tcPr>
            <w:tcW w:w="9296" w:type="dxa"/>
            <w:gridSpan w:val="3"/>
            <w:vAlign w:val="center"/>
          </w:tcPr>
          <w:p w14:paraId="4584B88A" w14:textId="667A6247" w:rsidR="006179BB" w:rsidRPr="00760EA8" w:rsidRDefault="006179BB" w:rsidP="006179BB">
            <w:pPr>
              <w:rPr>
                <w:rFonts w:cstheme="minorHAnsi"/>
                <w:szCs w:val="24"/>
              </w:rPr>
            </w:pPr>
            <w:r w:rsidRPr="00760EA8">
              <w:rPr>
                <w:rFonts w:cstheme="minorHAnsi"/>
                <w:szCs w:val="24"/>
              </w:rPr>
              <w:t>Iekšzemes kopprodukts – pavisam</w:t>
            </w:r>
            <w:r w:rsidR="00A45809">
              <w:rPr>
                <w:rFonts w:cstheme="minorHAnsi"/>
                <w:szCs w:val="24"/>
              </w:rPr>
              <w:t xml:space="preserve"> (</w:t>
            </w:r>
            <w:r w:rsidRPr="00760EA8">
              <w:rPr>
                <w:rFonts w:cstheme="minorHAnsi"/>
                <w:szCs w:val="24"/>
              </w:rPr>
              <w:t xml:space="preserve">milj. </w:t>
            </w:r>
            <w:r w:rsidR="00A45809">
              <w:rPr>
                <w:rFonts w:cstheme="minorHAnsi"/>
                <w:szCs w:val="24"/>
              </w:rPr>
              <w:t>EUR)</w:t>
            </w:r>
          </w:p>
        </w:tc>
      </w:tr>
      <w:tr w:rsidR="006179BB" w:rsidRPr="00760EA8" w14:paraId="225C18CC" w14:textId="77777777" w:rsidTr="006179BB">
        <w:trPr>
          <w:jc w:val="center"/>
        </w:trPr>
        <w:tc>
          <w:tcPr>
            <w:tcW w:w="4689" w:type="dxa"/>
            <w:vAlign w:val="center"/>
          </w:tcPr>
          <w:p w14:paraId="48E12BDB" w14:textId="77777777" w:rsidR="006179BB" w:rsidRPr="00760EA8" w:rsidRDefault="006179BB" w:rsidP="006179BB">
            <w:pPr>
              <w:rPr>
                <w:rFonts w:cstheme="minorHAnsi"/>
                <w:szCs w:val="24"/>
              </w:rPr>
            </w:pPr>
            <w:r w:rsidRPr="00760EA8">
              <w:rPr>
                <w:rFonts w:cstheme="minorHAnsi"/>
                <w:szCs w:val="24"/>
              </w:rPr>
              <w:t>faktiskajās cenās</w:t>
            </w:r>
          </w:p>
        </w:tc>
        <w:tc>
          <w:tcPr>
            <w:tcW w:w="2126" w:type="dxa"/>
            <w:vAlign w:val="center"/>
          </w:tcPr>
          <w:p w14:paraId="015C3A11" w14:textId="77777777" w:rsidR="006179BB" w:rsidRPr="00760EA8" w:rsidRDefault="006179BB" w:rsidP="006179BB">
            <w:pPr>
              <w:jc w:val="center"/>
              <w:rPr>
                <w:rFonts w:cstheme="minorHAnsi"/>
                <w:szCs w:val="24"/>
              </w:rPr>
            </w:pPr>
            <w:r w:rsidRPr="00760EA8">
              <w:rPr>
                <w:rFonts w:cstheme="minorHAnsi"/>
                <w:szCs w:val="24"/>
              </w:rPr>
              <w:t>27 033</w:t>
            </w:r>
          </w:p>
        </w:tc>
        <w:tc>
          <w:tcPr>
            <w:tcW w:w="2481" w:type="dxa"/>
            <w:vAlign w:val="center"/>
          </w:tcPr>
          <w:p w14:paraId="4A2C58EB" w14:textId="77777777" w:rsidR="006179BB" w:rsidRPr="00760EA8" w:rsidRDefault="006179BB" w:rsidP="006179BB">
            <w:pPr>
              <w:jc w:val="center"/>
              <w:rPr>
                <w:rFonts w:cstheme="minorHAnsi"/>
                <w:szCs w:val="24"/>
              </w:rPr>
            </w:pPr>
            <w:r w:rsidRPr="00760EA8">
              <w:rPr>
                <w:rFonts w:cstheme="minorHAnsi"/>
                <w:szCs w:val="24"/>
              </w:rPr>
              <w:t>29 524</w:t>
            </w:r>
          </w:p>
        </w:tc>
      </w:tr>
      <w:tr w:rsidR="006179BB" w:rsidRPr="00760EA8" w14:paraId="6237798E" w14:textId="77777777" w:rsidTr="006179BB">
        <w:trPr>
          <w:jc w:val="center"/>
        </w:trPr>
        <w:tc>
          <w:tcPr>
            <w:tcW w:w="4689" w:type="dxa"/>
            <w:vAlign w:val="center"/>
          </w:tcPr>
          <w:p w14:paraId="42301EDA" w14:textId="77777777" w:rsidR="006179BB" w:rsidRPr="00760EA8" w:rsidRDefault="006179BB" w:rsidP="006179BB">
            <w:pPr>
              <w:rPr>
                <w:rFonts w:cstheme="minorHAnsi"/>
                <w:szCs w:val="24"/>
              </w:rPr>
            </w:pPr>
            <w:r w:rsidRPr="00760EA8">
              <w:rPr>
                <w:rFonts w:cstheme="minorHAnsi"/>
                <w:szCs w:val="24"/>
              </w:rPr>
              <w:t>2010. gada salīdzināmajās cenās</w:t>
            </w:r>
          </w:p>
        </w:tc>
        <w:tc>
          <w:tcPr>
            <w:tcW w:w="2126" w:type="dxa"/>
            <w:vAlign w:val="center"/>
          </w:tcPr>
          <w:p w14:paraId="4B1C7BBE" w14:textId="77777777" w:rsidR="006179BB" w:rsidRPr="00760EA8" w:rsidRDefault="006179BB" w:rsidP="006179BB">
            <w:pPr>
              <w:jc w:val="center"/>
              <w:rPr>
                <w:rFonts w:cstheme="minorHAnsi"/>
                <w:szCs w:val="24"/>
              </w:rPr>
            </w:pPr>
            <w:r w:rsidRPr="00760EA8">
              <w:rPr>
                <w:rFonts w:cstheme="minorHAnsi"/>
                <w:szCs w:val="24"/>
              </w:rPr>
              <w:t>22 778</w:t>
            </w:r>
          </w:p>
        </w:tc>
        <w:tc>
          <w:tcPr>
            <w:tcW w:w="2481" w:type="dxa"/>
            <w:vAlign w:val="center"/>
          </w:tcPr>
          <w:p w14:paraId="1EC40D1B" w14:textId="77777777" w:rsidR="006179BB" w:rsidRPr="00760EA8" w:rsidRDefault="006179BB" w:rsidP="006179BB">
            <w:pPr>
              <w:jc w:val="center"/>
              <w:rPr>
                <w:rFonts w:cstheme="minorHAnsi"/>
                <w:szCs w:val="24"/>
              </w:rPr>
            </w:pPr>
            <w:r w:rsidRPr="00760EA8">
              <w:rPr>
                <w:rFonts w:cstheme="minorHAnsi"/>
                <w:szCs w:val="24"/>
              </w:rPr>
              <w:t>23 864</w:t>
            </w:r>
          </w:p>
        </w:tc>
      </w:tr>
      <w:tr w:rsidR="006179BB" w:rsidRPr="00760EA8" w14:paraId="6553EB54" w14:textId="77777777" w:rsidTr="006179BB">
        <w:trPr>
          <w:jc w:val="center"/>
        </w:trPr>
        <w:tc>
          <w:tcPr>
            <w:tcW w:w="9296" w:type="dxa"/>
            <w:gridSpan w:val="3"/>
            <w:vAlign w:val="center"/>
          </w:tcPr>
          <w:p w14:paraId="053F37FF" w14:textId="0125044B" w:rsidR="006179BB" w:rsidRPr="00760EA8" w:rsidRDefault="006179BB" w:rsidP="006179BB">
            <w:pPr>
              <w:rPr>
                <w:rFonts w:cstheme="minorHAnsi"/>
                <w:szCs w:val="24"/>
              </w:rPr>
            </w:pPr>
            <w:r w:rsidRPr="00760EA8">
              <w:rPr>
                <w:rFonts w:cstheme="minorHAnsi"/>
                <w:szCs w:val="24"/>
              </w:rPr>
              <w:t>Uz vienu iedzīvotāju</w:t>
            </w:r>
            <w:r w:rsidR="00A45809">
              <w:rPr>
                <w:rFonts w:cstheme="minorHAnsi"/>
                <w:szCs w:val="24"/>
              </w:rPr>
              <w:t xml:space="preserve"> (EUR)</w:t>
            </w:r>
          </w:p>
        </w:tc>
      </w:tr>
      <w:tr w:rsidR="006179BB" w:rsidRPr="00760EA8" w14:paraId="2B46DA00" w14:textId="77777777" w:rsidTr="006179BB">
        <w:trPr>
          <w:jc w:val="center"/>
        </w:trPr>
        <w:tc>
          <w:tcPr>
            <w:tcW w:w="4689" w:type="dxa"/>
            <w:vAlign w:val="center"/>
          </w:tcPr>
          <w:p w14:paraId="5F77F079" w14:textId="77777777" w:rsidR="006179BB" w:rsidRPr="00760EA8" w:rsidRDefault="006179BB" w:rsidP="006179BB">
            <w:pPr>
              <w:rPr>
                <w:rFonts w:cstheme="minorHAnsi"/>
                <w:szCs w:val="24"/>
              </w:rPr>
            </w:pPr>
            <w:r w:rsidRPr="00760EA8">
              <w:rPr>
                <w:rFonts w:cstheme="minorHAnsi"/>
                <w:szCs w:val="24"/>
              </w:rPr>
              <w:t>faktiskajās cenās</w:t>
            </w:r>
          </w:p>
        </w:tc>
        <w:tc>
          <w:tcPr>
            <w:tcW w:w="2126" w:type="dxa"/>
            <w:vAlign w:val="center"/>
          </w:tcPr>
          <w:p w14:paraId="17512E92" w14:textId="77777777" w:rsidR="006179BB" w:rsidRPr="00760EA8" w:rsidRDefault="006179BB" w:rsidP="006179BB">
            <w:pPr>
              <w:jc w:val="center"/>
              <w:rPr>
                <w:rFonts w:cstheme="minorHAnsi"/>
                <w:szCs w:val="24"/>
              </w:rPr>
            </w:pPr>
            <w:r w:rsidRPr="00760EA8">
              <w:rPr>
                <w:rFonts w:cstheme="minorHAnsi"/>
                <w:szCs w:val="24"/>
              </w:rPr>
              <w:t>13 926</w:t>
            </w:r>
          </w:p>
        </w:tc>
        <w:tc>
          <w:tcPr>
            <w:tcW w:w="2481" w:type="dxa"/>
            <w:vAlign w:val="center"/>
          </w:tcPr>
          <w:p w14:paraId="20745E00" w14:textId="77777777" w:rsidR="006179BB" w:rsidRPr="00760EA8" w:rsidRDefault="006179BB" w:rsidP="006179BB">
            <w:pPr>
              <w:jc w:val="center"/>
              <w:rPr>
                <w:rFonts w:cstheme="minorHAnsi"/>
                <w:szCs w:val="24"/>
              </w:rPr>
            </w:pPr>
            <w:r w:rsidRPr="00760EA8">
              <w:rPr>
                <w:rFonts w:cstheme="minorHAnsi"/>
                <w:szCs w:val="24"/>
              </w:rPr>
              <w:t>15 328</w:t>
            </w:r>
          </w:p>
        </w:tc>
      </w:tr>
      <w:tr w:rsidR="006179BB" w:rsidRPr="00760EA8" w14:paraId="0151D4E3" w14:textId="77777777" w:rsidTr="006179BB">
        <w:trPr>
          <w:jc w:val="center"/>
        </w:trPr>
        <w:tc>
          <w:tcPr>
            <w:tcW w:w="4689" w:type="dxa"/>
            <w:vAlign w:val="center"/>
          </w:tcPr>
          <w:p w14:paraId="58260E16" w14:textId="77777777" w:rsidR="006179BB" w:rsidRPr="00760EA8" w:rsidRDefault="006179BB" w:rsidP="006179BB">
            <w:pPr>
              <w:rPr>
                <w:rFonts w:cstheme="minorHAnsi"/>
                <w:szCs w:val="24"/>
              </w:rPr>
            </w:pPr>
            <w:r w:rsidRPr="00760EA8">
              <w:rPr>
                <w:rFonts w:cstheme="minorHAnsi"/>
                <w:szCs w:val="24"/>
              </w:rPr>
              <w:t>2010. gada salīdzināmajās cenās</w:t>
            </w:r>
          </w:p>
        </w:tc>
        <w:tc>
          <w:tcPr>
            <w:tcW w:w="2126" w:type="dxa"/>
            <w:vAlign w:val="center"/>
          </w:tcPr>
          <w:p w14:paraId="46F744E6" w14:textId="77777777" w:rsidR="006179BB" w:rsidRPr="00760EA8" w:rsidRDefault="006179BB" w:rsidP="006179BB">
            <w:pPr>
              <w:jc w:val="center"/>
              <w:rPr>
                <w:rFonts w:cstheme="minorHAnsi"/>
                <w:szCs w:val="24"/>
              </w:rPr>
            </w:pPr>
            <w:r w:rsidRPr="00760EA8">
              <w:rPr>
                <w:rFonts w:cstheme="minorHAnsi"/>
                <w:szCs w:val="24"/>
              </w:rPr>
              <w:t>11 734</w:t>
            </w:r>
          </w:p>
        </w:tc>
        <w:tc>
          <w:tcPr>
            <w:tcW w:w="2481" w:type="dxa"/>
            <w:vAlign w:val="center"/>
          </w:tcPr>
          <w:p w14:paraId="171AFC68" w14:textId="77777777" w:rsidR="006179BB" w:rsidRPr="00760EA8" w:rsidRDefault="006179BB" w:rsidP="006179BB">
            <w:pPr>
              <w:jc w:val="center"/>
              <w:rPr>
                <w:rFonts w:cstheme="minorHAnsi"/>
                <w:szCs w:val="24"/>
              </w:rPr>
            </w:pPr>
            <w:r w:rsidRPr="00760EA8">
              <w:rPr>
                <w:rFonts w:cstheme="minorHAnsi"/>
                <w:szCs w:val="24"/>
              </w:rPr>
              <w:t>12 389</w:t>
            </w:r>
          </w:p>
        </w:tc>
      </w:tr>
      <w:tr w:rsidR="006179BB" w:rsidRPr="00760EA8" w14:paraId="0864A63F" w14:textId="77777777" w:rsidTr="006179BB">
        <w:trPr>
          <w:jc w:val="center"/>
        </w:trPr>
        <w:tc>
          <w:tcPr>
            <w:tcW w:w="9296" w:type="dxa"/>
            <w:gridSpan w:val="3"/>
            <w:vAlign w:val="center"/>
          </w:tcPr>
          <w:p w14:paraId="3B60B74C" w14:textId="77777777" w:rsidR="006179BB" w:rsidRPr="00760EA8" w:rsidRDefault="006179BB" w:rsidP="006179BB">
            <w:pPr>
              <w:jc w:val="center"/>
              <w:rPr>
                <w:rFonts w:cstheme="minorHAnsi"/>
                <w:b/>
                <w:bCs/>
                <w:szCs w:val="24"/>
              </w:rPr>
            </w:pPr>
            <w:r w:rsidRPr="00760EA8">
              <w:rPr>
                <w:rFonts w:cstheme="minorHAnsi"/>
                <w:b/>
                <w:bCs/>
                <w:szCs w:val="24"/>
              </w:rPr>
              <w:t>Pievienotās vērtības struktūra un pārmaiņas pa darbības veidiem 2018.g. (%)</w:t>
            </w:r>
          </w:p>
        </w:tc>
      </w:tr>
      <w:tr w:rsidR="006179BB" w:rsidRPr="006E6675" w14:paraId="183DE66A" w14:textId="77777777" w:rsidTr="006179BB">
        <w:trPr>
          <w:jc w:val="center"/>
        </w:trPr>
        <w:tc>
          <w:tcPr>
            <w:tcW w:w="4689" w:type="dxa"/>
            <w:vAlign w:val="center"/>
          </w:tcPr>
          <w:p w14:paraId="184A7058" w14:textId="77777777" w:rsidR="006179BB" w:rsidRPr="0007326F" w:rsidRDefault="006179BB" w:rsidP="006179BB">
            <w:pPr>
              <w:rPr>
                <w:rFonts w:cstheme="minorHAnsi"/>
                <w:sz w:val="22"/>
              </w:rPr>
            </w:pPr>
          </w:p>
        </w:tc>
        <w:tc>
          <w:tcPr>
            <w:tcW w:w="2126" w:type="dxa"/>
            <w:vAlign w:val="center"/>
          </w:tcPr>
          <w:p w14:paraId="7AC48EF2" w14:textId="77777777" w:rsidR="006179BB" w:rsidRPr="0007326F" w:rsidRDefault="006179BB" w:rsidP="006179BB">
            <w:pPr>
              <w:jc w:val="center"/>
              <w:rPr>
                <w:rFonts w:cstheme="minorHAnsi"/>
                <w:sz w:val="22"/>
              </w:rPr>
            </w:pPr>
            <w:r w:rsidRPr="0007326F">
              <w:rPr>
                <w:rFonts w:cstheme="minorHAnsi"/>
                <w:sz w:val="22"/>
              </w:rPr>
              <w:t>2018.g.</w:t>
            </w:r>
          </w:p>
          <w:p w14:paraId="61ACD5D8" w14:textId="77777777" w:rsidR="006179BB" w:rsidRPr="0007326F" w:rsidRDefault="006179BB" w:rsidP="006179BB">
            <w:pPr>
              <w:jc w:val="center"/>
              <w:rPr>
                <w:rFonts w:cstheme="minorHAnsi"/>
                <w:sz w:val="22"/>
              </w:rPr>
            </w:pPr>
            <w:r w:rsidRPr="0007326F">
              <w:rPr>
                <w:rFonts w:cstheme="minorHAnsi"/>
                <w:sz w:val="22"/>
              </w:rPr>
              <w:t>(faktiskajās cenās)</w:t>
            </w:r>
          </w:p>
        </w:tc>
        <w:tc>
          <w:tcPr>
            <w:tcW w:w="2481" w:type="dxa"/>
            <w:vAlign w:val="center"/>
          </w:tcPr>
          <w:p w14:paraId="3E94AA18" w14:textId="77777777" w:rsidR="006179BB" w:rsidRPr="0007326F" w:rsidRDefault="006179BB" w:rsidP="006179BB">
            <w:pPr>
              <w:jc w:val="center"/>
              <w:rPr>
                <w:rFonts w:cstheme="minorHAnsi"/>
                <w:sz w:val="22"/>
              </w:rPr>
            </w:pPr>
            <w:r w:rsidRPr="0007326F">
              <w:rPr>
                <w:rFonts w:cstheme="minorHAnsi"/>
                <w:sz w:val="22"/>
              </w:rPr>
              <w:t>2017.g./2018.g.</w:t>
            </w:r>
          </w:p>
          <w:p w14:paraId="684E2066" w14:textId="77777777" w:rsidR="006179BB" w:rsidRPr="0007326F" w:rsidRDefault="006179BB" w:rsidP="006179BB">
            <w:pPr>
              <w:jc w:val="center"/>
              <w:rPr>
                <w:rFonts w:cstheme="minorHAnsi"/>
                <w:sz w:val="22"/>
              </w:rPr>
            </w:pPr>
            <w:r w:rsidRPr="0007326F">
              <w:rPr>
                <w:rFonts w:cstheme="minorHAnsi"/>
                <w:sz w:val="22"/>
              </w:rPr>
              <w:t>(salīdzināmajās cenās)</w:t>
            </w:r>
          </w:p>
        </w:tc>
      </w:tr>
      <w:tr w:rsidR="006179BB" w:rsidRPr="00760EA8" w14:paraId="5119538F" w14:textId="77777777" w:rsidTr="006179BB">
        <w:trPr>
          <w:jc w:val="center"/>
        </w:trPr>
        <w:tc>
          <w:tcPr>
            <w:tcW w:w="4689" w:type="dxa"/>
            <w:vAlign w:val="center"/>
          </w:tcPr>
          <w:p w14:paraId="19BD1F91" w14:textId="77777777" w:rsidR="006179BB" w:rsidRPr="00760EA8" w:rsidRDefault="006179BB" w:rsidP="006179BB">
            <w:pPr>
              <w:rPr>
                <w:rFonts w:cstheme="minorHAnsi"/>
                <w:szCs w:val="24"/>
              </w:rPr>
            </w:pPr>
            <w:r w:rsidRPr="00760EA8">
              <w:rPr>
                <w:rFonts w:cstheme="minorHAnsi"/>
                <w:szCs w:val="24"/>
              </w:rPr>
              <w:t>Kopējā pievienotā vērtība</w:t>
            </w:r>
          </w:p>
        </w:tc>
        <w:tc>
          <w:tcPr>
            <w:tcW w:w="2126" w:type="dxa"/>
            <w:vAlign w:val="center"/>
          </w:tcPr>
          <w:p w14:paraId="0770B3DA" w14:textId="77777777" w:rsidR="006179BB" w:rsidRPr="00760EA8" w:rsidRDefault="006179BB" w:rsidP="006179BB">
            <w:pPr>
              <w:jc w:val="center"/>
              <w:rPr>
                <w:rFonts w:cstheme="minorHAnsi"/>
                <w:szCs w:val="24"/>
              </w:rPr>
            </w:pPr>
            <w:r w:rsidRPr="00760EA8">
              <w:rPr>
                <w:rFonts w:cstheme="minorHAnsi"/>
                <w:szCs w:val="24"/>
              </w:rPr>
              <w:t>100</w:t>
            </w:r>
          </w:p>
        </w:tc>
        <w:tc>
          <w:tcPr>
            <w:tcW w:w="2481" w:type="dxa"/>
            <w:vAlign w:val="center"/>
          </w:tcPr>
          <w:p w14:paraId="09B07230" w14:textId="77777777" w:rsidR="006179BB" w:rsidRPr="00760EA8" w:rsidRDefault="006179BB" w:rsidP="006179BB">
            <w:pPr>
              <w:jc w:val="center"/>
              <w:rPr>
                <w:rFonts w:cstheme="minorHAnsi"/>
                <w:szCs w:val="24"/>
              </w:rPr>
            </w:pPr>
            <w:r w:rsidRPr="00760EA8">
              <w:rPr>
                <w:rFonts w:cstheme="minorHAnsi"/>
                <w:szCs w:val="24"/>
              </w:rPr>
              <w:t>4,2</w:t>
            </w:r>
          </w:p>
        </w:tc>
      </w:tr>
      <w:tr w:rsidR="006179BB" w:rsidRPr="00760EA8" w14:paraId="61F20A9D" w14:textId="77777777" w:rsidTr="006179BB">
        <w:trPr>
          <w:jc w:val="center"/>
        </w:trPr>
        <w:tc>
          <w:tcPr>
            <w:tcW w:w="4689" w:type="dxa"/>
            <w:vAlign w:val="center"/>
          </w:tcPr>
          <w:p w14:paraId="53A770A9" w14:textId="77777777" w:rsidR="006179BB" w:rsidRPr="00760EA8" w:rsidRDefault="006179BB" w:rsidP="006179BB">
            <w:pPr>
              <w:rPr>
                <w:rFonts w:cstheme="minorHAnsi"/>
                <w:szCs w:val="24"/>
              </w:rPr>
            </w:pPr>
            <w:r w:rsidRPr="00760EA8">
              <w:rPr>
                <w:rFonts w:cstheme="minorHAnsi"/>
                <w:szCs w:val="24"/>
              </w:rPr>
              <w:t>Lauksaimniecība, mežsaimniecība un zivsaimniecība</w:t>
            </w:r>
          </w:p>
        </w:tc>
        <w:tc>
          <w:tcPr>
            <w:tcW w:w="2126" w:type="dxa"/>
            <w:vAlign w:val="center"/>
          </w:tcPr>
          <w:p w14:paraId="5999E9D2" w14:textId="77777777" w:rsidR="006179BB" w:rsidRPr="00760EA8" w:rsidRDefault="006179BB" w:rsidP="006179BB">
            <w:pPr>
              <w:jc w:val="center"/>
              <w:rPr>
                <w:rFonts w:cstheme="minorHAnsi"/>
                <w:szCs w:val="24"/>
              </w:rPr>
            </w:pPr>
            <w:r w:rsidRPr="00760EA8">
              <w:rPr>
                <w:rFonts w:cstheme="minorHAnsi"/>
                <w:szCs w:val="24"/>
              </w:rPr>
              <w:t>3,7</w:t>
            </w:r>
          </w:p>
        </w:tc>
        <w:tc>
          <w:tcPr>
            <w:tcW w:w="2481" w:type="dxa"/>
            <w:vAlign w:val="center"/>
          </w:tcPr>
          <w:p w14:paraId="00AC02BF" w14:textId="77777777" w:rsidR="006179BB" w:rsidRPr="00760EA8" w:rsidRDefault="006179BB" w:rsidP="006179BB">
            <w:pPr>
              <w:jc w:val="center"/>
              <w:rPr>
                <w:rFonts w:cstheme="minorHAnsi"/>
                <w:szCs w:val="24"/>
              </w:rPr>
            </w:pPr>
            <w:r w:rsidRPr="00760EA8">
              <w:rPr>
                <w:rFonts w:cstheme="minorHAnsi"/>
                <w:szCs w:val="24"/>
              </w:rPr>
              <w:t>3,4</w:t>
            </w:r>
          </w:p>
        </w:tc>
      </w:tr>
      <w:tr w:rsidR="006179BB" w:rsidRPr="00760EA8" w14:paraId="5D79C666" w14:textId="77777777" w:rsidTr="006179BB">
        <w:trPr>
          <w:jc w:val="center"/>
        </w:trPr>
        <w:tc>
          <w:tcPr>
            <w:tcW w:w="4689" w:type="dxa"/>
            <w:vAlign w:val="center"/>
          </w:tcPr>
          <w:p w14:paraId="1D8E0FD7" w14:textId="77777777" w:rsidR="006179BB" w:rsidRPr="00760EA8" w:rsidRDefault="006179BB" w:rsidP="006179BB">
            <w:pPr>
              <w:rPr>
                <w:rFonts w:cstheme="minorHAnsi"/>
                <w:szCs w:val="24"/>
              </w:rPr>
            </w:pPr>
            <w:r w:rsidRPr="00760EA8">
              <w:rPr>
                <w:rFonts w:cstheme="minorHAnsi"/>
                <w:szCs w:val="24"/>
              </w:rPr>
              <w:t>Ieguves rūpniecība un karjeru izstrāde; apstrādes rūpniecība; elektroenerģija, gāzes apgāde, siltumapgāde un gaisa kondicionēšana; ūdens apgāde, notekūdeņu, atkritumu apsaimniekošana un sanācija</w:t>
            </w:r>
          </w:p>
        </w:tc>
        <w:tc>
          <w:tcPr>
            <w:tcW w:w="2126" w:type="dxa"/>
            <w:vAlign w:val="center"/>
          </w:tcPr>
          <w:p w14:paraId="6E027223" w14:textId="77777777" w:rsidR="006179BB" w:rsidRPr="00760EA8" w:rsidRDefault="006179BB" w:rsidP="006179BB">
            <w:pPr>
              <w:jc w:val="center"/>
              <w:rPr>
                <w:rFonts w:cstheme="minorHAnsi"/>
                <w:szCs w:val="24"/>
              </w:rPr>
            </w:pPr>
            <w:r w:rsidRPr="00760EA8">
              <w:rPr>
                <w:rFonts w:cstheme="minorHAnsi"/>
                <w:szCs w:val="24"/>
              </w:rPr>
              <w:t>16,1</w:t>
            </w:r>
          </w:p>
        </w:tc>
        <w:tc>
          <w:tcPr>
            <w:tcW w:w="2481" w:type="dxa"/>
            <w:vAlign w:val="center"/>
          </w:tcPr>
          <w:p w14:paraId="6EE18A0B" w14:textId="77777777" w:rsidR="006179BB" w:rsidRPr="00760EA8" w:rsidRDefault="006179BB" w:rsidP="006179BB">
            <w:pPr>
              <w:jc w:val="center"/>
              <w:rPr>
                <w:rFonts w:cstheme="minorHAnsi"/>
                <w:szCs w:val="24"/>
              </w:rPr>
            </w:pPr>
            <w:r w:rsidRPr="00760EA8">
              <w:rPr>
                <w:rFonts w:cstheme="minorHAnsi"/>
                <w:szCs w:val="24"/>
              </w:rPr>
              <w:t>1,7</w:t>
            </w:r>
          </w:p>
        </w:tc>
      </w:tr>
      <w:tr w:rsidR="006179BB" w:rsidRPr="00760EA8" w14:paraId="3C6564AF" w14:textId="77777777" w:rsidTr="006179BB">
        <w:trPr>
          <w:jc w:val="center"/>
        </w:trPr>
        <w:tc>
          <w:tcPr>
            <w:tcW w:w="4689" w:type="dxa"/>
            <w:vAlign w:val="center"/>
          </w:tcPr>
          <w:p w14:paraId="23BD2161" w14:textId="77777777" w:rsidR="006179BB" w:rsidRPr="00760EA8" w:rsidRDefault="006179BB" w:rsidP="006179BB">
            <w:pPr>
              <w:rPr>
                <w:rFonts w:cstheme="minorHAnsi"/>
                <w:szCs w:val="24"/>
              </w:rPr>
            </w:pPr>
            <w:r w:rsidRPr="00760EA8">
              <w:rPr>
                <w:rFonts w:cstheme="minorHAnsi"/>
                <w:szCs w:val="24"/>
              </w:rPr>
              <w:t>Būvniecība</w:t>
            </w:r>
          </w:p>
        </w:tc>
        <w:tc>
          <w:tcPr>
            <w:tcW w:w="2126" w:type="dxa"/>
            <w:vAlign w:val="center"/>
          </w:tcPr>
          <w:p w14:paraId="29B6566A" w14:textId="77777777" w:rsidR="006179BB" w:rsidRPr="00760EA8" w:rsidRDefault="006179BB" w:rsidP="006179BB">
            <w:pPr>
              <w:jc w:val="center"/>
              <w:rPr>
                <w:rFonts w:cstheme="minorHAnsi"/>
                <w:szCs w:val="24"/>
              </w:rPr>
            </w:pPr>
            <w:r w:rsidRPr="00760EA8">
              <w:rPr>
                <w:rFonts w:cstheme="minorHAnsi"/>
                <w:szCs w:val="24"/>
              </w:rPr>
              <w:t>7,1</w:t>
            </w:r>
          </w:p>
        </w:tc>
        <w:tc>
          <w:tcPr>
            <w:tcW w:w="2481" w:type="dxa"/>
            <w:vAlign w:val="center"/>
          </w:tcPr>
          <w:p w14:paraId="531DE19F" w14:textId="77777777" w:rsidR="006179BB" w:rsidRPr="00760EA8" w:rsidRDefault="006179BB" w:rsidP="006179BB">
            <w:pPr>
              <w:jc w:val="center"/>
              <w:rPr>
                <w:rFonts w:cstheme="minorHAnsi"/>
                <w:szCs w:val="24"/>
              </w:rPr>
            </w:pPr>
            <w:r w:rsidRPr="00760EA8">
              <w:rPr>
                <w:rFonts w:cstheme="minorHAnsi"/>
                <w:szCs w:val="24"/>
              </w:rPr>
              <w:t>21,9</w:t>
            </w:r>
          </w:p>
        </w:tc>
      </w:tr>
      <w:tr w:rsidR="006179BB" w:rsidRPr="00760EA8" w14:paraId="41A1D646" w14:textId="77777777" w:rsidTr="006179BB">
        <w:trPr>
          <w:jc w:val="center"/>
        </w:trPr>
        <w:tc>
          <w:tcPr>
            <w:tcW w:w="4689" w:type="dxa"/>
            <w:vAlign w:val="center"/>
          </w:tcPr>
          <w:p w14:paraId="18D451D6" w14:textId="77777777" w:rsidR="006179BB" w:rsidRPr="00760EA8" w:rsidRDefault="006179BB" w:rsidP="006179BB">
            <w:pPr>
              <w:rPr>
                <w:rFonts w:cstheme="minorHAnsi"/>
                <w:szCs w:val="24"/>
              </w:rPr>
            </w:pPr>
            <w:r w:rsidRPr="00760EA8">
              <w:rPr>
                <w:rFonts w:cstheme="minorHAnsi"/>
                <w:szCs w:val="24"/>
              </w:rPr>
              <w:t>Vairumtirdzniecība un mazumtirdzniecība, automobiļu un motociklu remonts; transports un uzglabāšana; izmitināšana un ēdināšanas pakalpojumi</w:t>
            </w:r>
          </w:p>
        </w:tc>
        <w:tc>
          <w:tcPr>
            <w:tcW w:w="2126" w:type="dxa"/>
            <w:vAlign w:val="center"/>
          </w:tcPr>
          <w:p w14:paraId="2454446D" w14:textId="77777777" w:rsidR="006179BB" w:rsidRPr="00760EA8" w:rsidRDefault="006179BB" w:rsidP="006179BB">
            <w:pPr>
              <w:jc w:val="center"/>
              <w:rPr>
                <w:rFonts w:cstheme="minorHAnsi"/>
                <w:szCs w:val="24"/>
              </w:rPr>
            </w:pPr>
            <w:r w:rsidRPr="00760EA8">
              <w:rPr>
                <w:rFonts w:cstheme="minorHAnsi"/>
                <w:szCs w:val="24"/>
              </w:rPr>
              <w:t>25,4</w:t>
            </w:r>
          </w:p>
        </w:tc>
        <w:tc>
          <w:tcPr>
            <w:tcW w:w="2481" w:type="dxa"/>
            <w:vAlign w:val="center"/>
          </w:tcPr>
          <w:p w14:paraId="4FD1E097" w14:textId="77777777" w:rsidR="006179BB" w:rsidRPr="00760EA8" w:rsidRDefault="006179BB" w:rsidP="006179BB">
            <w:pPr>
              <w:jc w:val="center"/>
              <w:rPr>
                <w:rFonts w:cstheme="minorHAnsi"/>
                <w:szCs w:val="24"/>
              </w:rPr>
            </w:pPr>
            <w:r w:rsidRPr="00760EA8">
              <w:rPr>
                <w:rFonts w:cstheme="minorHAnsi"/>
                <w:szCs w:val="24"/>
              </w:rPr>
              <w:t>3,5</w:t>
            </w:r>
          </w:p>
        </w:tc>
      </w:tr>
      <w:tr w:rsidR="006179BB" w:rsidRPr="00760EA8" w14:paraId="2CA994FE" w14:textId="77777777" w:rsidTr="006179BB">
        <w:trPr>
          <w:jc w:val="center"/>
        </w:trPr>
        <w:tc>
          <w:tcPr>
            <w:tcW w:w="4689" w:type="dxa"/>
            <w:vAlign w:val="center"/>
          </w:tcPr>
          <w:p w14:paraId="78A617F7" w14:textId="77777777" w:rsidR="006179BB" w:rsidRPr="00760EA8" w:rsidRDefault="006179BB" w:rsidP="006179BB">
            <w:pPr>
              <w:rPr>
                <w:rFonts w:cstheme="minorHAnsi"/>
                <w:szCs w:val="24"/>
              </w:rPr>
            </w:pPr>
            <w:r w:rsidRPr="00760EA8">
              <w:rPr>
                <w:rFonts w:cstheme="minorHAnsi"/>
                <w:szCs w:val="24"/>
              </w:rPr>
              <w:t>Informācijas un komunikācijas pakalpojumi</w:t>
            </w:r>
          </w:p>
        </w:tc>
        <w:tc>
          <w:tcPr>
            <w:tcW w:w="2126" w:type="dxa"/>
            <w:vAlign w:val="center"/>
          </w:tcPr>
          <w:p w14:paraId="16F24516" w14:textId="77777777" w:rsidR="006179BB" w:rsidRPr="00760EA8" w:rsidRDefault="006179BB" w:rsidP="006179BB">
            <w:pPr>
              <w:jc w:val="center"/>
              <w:rPr>
                <w:rFonts w:cstheme="minorHAnsi"/>
                <w:szCs w:val="24"/>
              </w:rPr>
            </w:pPr>
            <w:r w:rsidRPr="00760EA8">
              <w:rPr>
                <w:rFonts w:cstheme="minorHAnsi"/>
                <w:szCs w:val="24"/>
              </w:rPr>
              <w:t>5,5</w:t>
            </w:r>
          </w:p>
        </w:tc>
        <w:tc>
          <w:tcPr>
            <w:tcW w:w="2481" w:type="dxa"/>
            <w:vAlign w:val="center"/>
          </w:tcPr>
          <w:p w14:paraId="67511543" w14:textId="77777777" w:rsidR="006179BB" w:rsidRPr="00760EA8" w:rsidRDefault="006179BB" w:rsidP="006179BB">
            <w:pPr>
              <w:jc w:val="center"/>
              <w:rPr>
                <w:rFonts w:cstheme="minorHAnsi"/>
                <w:szCs w:val="24"/>
              </w:rPr>
            </w:pPr>
            <w:r w:rsidRPr="00760EA8">
              <w:rPr>
                <w:rFonts w:cstheme="minorHAnsi"/>
                <w:szCs w:val="24"/>
              </w:rPr>
              <w:t>13,0</w:t>
            </w:r>
          </w:p>
        </w:tc>
      </w:tr>
      <w:tr w:rsidR="006179BB" w:rsidRPr="00760EA8" w14:paraId="4EA11993" w14:textId="77777777" w:rsidTr="006179BB">
        <w:trPr>
          <w:jc w:val="center"/>
        </w:trPr>
        <w:tc>
          <w:tcPr>
            <w:tcW w:w="4689" w:type="dxa"/>
            <w:vAlign w:val="center"/>
          </w:tcPr>
          <w:p w14:paraId="00C58C19" w14:textId="77777777" w:rsidR="006179BB" w:rsidRPr="00760EA8" w:rsidRDefault="006179BB" w:rsidP="006179BB">
            <w:pPr>
              <w:rPr>
                <w:rFonts w:cstheme="minorHAnsi"/>
                <w:szCs w:val="24"/>
              </w:rPr>
            </w:pPr>
            <w:r w:rsidRPr="00760EA8">
              <w:rPr>
                <w:rFonts w:cstheme="minorHAnsi"/>
                <w:szCs w:val="24"/>
              </w:rPr>
              <w:t>Finanšu un apdrošināšanas darbības</w:t>
            </w:r>
          </w:p>
        </w:tc>
        <w:tc>
          <w:tcPr>
            <w:tcW w:w="2126" w:type="dxa"/>
            <w:vAlign w:val="center"/>
          </w:tcPr>
          <w:p w14:paraId="359C5AEC" w14:textId="77777777" w:rsidR="006179BB" w:rsidRPr="00760EA8" w:rsidRDefault="006179BB" w:rsidP="006179BB">
            <w:pPr>
              <w:jc w:val="center"/>
              <w:rPr>
                <w:rFonts w:cstheme="minorHAnsi"/>
                <w:szCs w:val="24"/>
              </w:rPr>
            </w:pPr>
            <w:r w:rsidRPr="00760EA8">
              <w:rPr>
                <w:rFonts w:cstheme="minorHAnsi"/>
                <w:szCs w:val="24"/>
              </w:rPr>
              <w:t>3,7</w:t>
            </w:r>
          </w:p>
        </w:tc>
        <w:tc>
          <w:tcPr>
            <w:tcW w:w="2481" w:type="dxa"/>
            <w:vAlign w:val="center"/>
          </w:tcPr>
          <w:p w14:paraId="4A58E048" w14:textId="77777777" w:rsidR="006179BB" w:rsidRPr="00760EA8" w:rsidRDefault="006179BB" w:rsidP="006179BB">
            <w:pPr>
              <w:jc w:val="center"/>
              <w:rPr>
                <w:rFonts w:cstheme="minorHAnsi"/>
                <w:szCs w:val="24"/>
              </w:rPr>
            </w:pPr>
            <w:r w:rsidRPr="00760EA8">
              <w:rPr>
                <w:rFonts w:cstheme="minorHAnsi"/>
                <w:szCs w:val="24"/>
              </w:rPr>
              <w:t>-7,3</w:t>
            </w:r>
          </w:p>
        </w:tc>
      </w:tr>
      <w:tr w:rsidR="006179BB" w:rsidRPr="00760EA8" w14:paraId="76B67526" w14:textId="77777777" w:rsidTr="006179BB">
        <w:trPr>
          <w:jc w:val="center"/>
        </w:trPr>
        <w:tc>
          <w:tcPr>
            <w:tcW w:w="4689" w:type="dxa"/>
            <w:vAlign w:val="center"/>
          </w:tcPr>
          <w:p w14:paraId="155EFA11" w14:textId="77777777" w:rsidR="006179BB" w:rsidRPr="00760EA8" w:rsidRDefault="006179BB" w:rsidP="006179BB">
            <w:pPr>
              <w:rPr>
                <w:rFonts w:cstheme="minorHAnsi"/>
                <w:szCs w:val="24"/>
              </w:rPr>
            </w:pPr>
            <w:r w:rsidRPr="00760EA8">
              <w:rPr>
                <w:rFonts w:cstheme="minorHAnsi"/>
                <w:szCs w:val="24"/>
              </w:rPr>
              <w:t>Operācijas ar nekustamo īpašumu</w:t>
            </w:r>
          </w:p>
        </w:tc>
        <w:tc>
          <w:tcPr>
            <w:tcW w:w="2126" w:type="dxa"/>
            <w:vAlign w:val="center"/>
          </w:tcPr>
          <w:p w14:paraId="77AC1399" w14:textId="77777777" w:rsidR="006179BB" w:rsidRPr="00760EA8" w:rsidRDefault="006179BB" w:rsidP="006179BB">
            <w:pPr>
              <w:jc w:val="center"/>
              <w:rPr>
                <w:rFonts w:cstheme="minorHAnsi"/>
                <w:szCs w:val="24"/>
              </w:rPr>
            </w:pPr>
            <w:r w:rsidRPr="00760EA8">
              <w:rPr>
                <w:rFonts w:cstheme="minorHAnsi"/>
                <w:szCs w:val="24"/>
              </w:rPr>
              <w:t>12,0</w:t>
            </w:r>
          </w:p>
        </w:tc>
        <w:tc>
          <w:tcPr>
            <w:tcW w:w="2481" w:type="dxa"/>
            <w:vAlign w:val="center"/>
          </w:tcPr>
          <w:p w14:paraId="1F78C1FB" w14:textId="77777777" w:rsidR="006179BB" w:rsidRPr="00760EA8" w:rsidRDefault="006179BB" w:rsidP="006179BB">
            <w:pPr>
              <w:jc w:val="center"/>
              <w:rPr>
                <w:rFonts w:cstheme="minorHAnsi"/>
                <w:szCs w:val="24"/>
              </w:rPr>
            </w:pPr>
            <w:r w:rsidRPr="00760EA8">
              <w:rPr>
                <w:rFonts w:cstheme="minorHAnsi"/>
                <w:szCs w:val="24"/>
              </w:rPr>
              <w:t>2,9</w:t>
            </w:r>
          </w:p>
        </w:tc>
      </w:tr>
      <w:tr w:rsidR="006179BB" w:rsidRPr="00760EA8" w14:paraId="4663C980" w14:textId="77777777" w:rsidTr="006179BB">
        <w:trPr>
          <w:jc w:val="center"/>
        </w:trPr>
        <w:tc>
          <w:tcPr>
            <w:tcW w:w="4689" w:type="dxa"/>
            <w:vAlign w:val="center"/>
          </w:tcPr>
          <w:p w14:paraId="50B93122" w14:textId="77777777" w:rsidR="006179BB" w:rsidRPr="00760EA8" w:rsidRDefault="006179BB" w:rsidP="006179BB">
            <w:pPr>
              <w:rPr>
                <w:rFonts w:cstheme="minorHAnsi"/>
                <w:szCs w:val="24"/>
              </w:rPr>
            </w:pPr>
            <w:r w:rsidRPr="00760EA8">
              <w:rPr>
                <w:rFonts w:cstheme="minorHAnsi"/>
                <w:szCs w:val="24"/>
              </w:rPr>
              <w:t>Profesionālie, zinātniskie un tehniskie pakalpojumi; administratīvo un apkalpojošo dienestu darbība</w:t>
            </w:r>
          </w:p>
        </w:tc>
        <w:tc>
          <w:tcPr>
            <w:tcW w:w="2126" w:type="dxa"/>
            <w:vAlign w:val="center"/>
          </w:tcPr>
          <w:p w14:paraId="6B9EC8C7" w14:textId="77777777" w:rsidR="006179BB" w:rsidRPr="00760EA8" w:rsidRDefault="006179BB" w:rsidP="006179BB">
            <w:pPr>
              <w:jc w:val="center"/>
              <w:rPr>
                <w:rFonts w:cstheme="minorHAnsi"/>
                <w:szCs w:val="24"/>
              </w:rPr>
            </w:pPr>
            <w:r w:rsidRPr="00760EA8">
              <w:rPr>
                <w:rFonts w:cstheme="minorHAnsi"/>
                <w:szCs w:val="24"/>
              </w:rPr>
              <w:t>7,8</w:t>
            </w:r>
          </w:p>
        </w:tc>
        <w:tc>
          <w:tcPr>
            <w:tcW w:w="2481" w:type="dxa"/>
            <w:vAlign w:val="center"/>
          </w:tcPr>
          <w:p w14:paraId="45897BEB" w14:textId="77777777" w:rsidR="006179BB" w:rsidRPr="00760EA8" w:rsidRDefault="006179BB" w:rsidP="006179BB">
            <w:pPr>
              <w:jc w:val="center"/>
              <w:rPr>
                <w:rFonts w:cstheme="minorHAnsi"/>
                <w:szCs w:val="24"/>
              </w:rPr>
            </w:pPr>
            <w:r w:rsidRPr="00760EA8">
              <w:rPr>
                <w:rFonts w:cstheme="minorHAnsi"/>
                <w:szCs w:val="24"/>
              </w:rPr>
              <w:t>3,8</w:t>
            </w:r>
          </w:p>
        </w:tc>
      </w:tr>
      <w:tr w:rsidR="006179BB" w:rsidRPr="00760EA8" w14:paraId="21C52669" w14:textId="77777777" w:rsidTr="006179BB">
        <w:trPr>
          <w:jc w:val="center"/>
        </w:trPr>
        <w:tc>
          <w:tcPr>
            <w:tcW w:w="4689" w:type="dxa"/>
            <w:vAlign w:val="center"/>
          </w:tcPr>
          <w:p w14:paraId="7D361940" w14:textId="77777777" w:rsidR="006179BB" w:rsidRPr="00760EA8" w:rsidRDefault="006179BB" w:rsidP="006179BB">
            <w:pPr>
              <w:rPr>
                <w:rFonts w:cstheme="minorHAnsi"/>
                <w:szCs w:val="24"/>
              </w:rPr>
            </w:pPr>
            <w:r w:rsidRPr="00760EA8">
              <w:rPr>
                <w:rFonts w:cstheme="minorHAnsi"/>
                <w:szCs w:val="24"/>
              </w:rPr>
              <w:t>Valsts pārvalde un aizsardzība, obligātā sociālā apdrošināšana; izglītība; veselība un sociālā aprūpe</w:t>
            </w:r>
          </w:p>
        </w:tc>
        <w:tc>
          <w:tcPr>
            <w:tcW w:w="2126" w:type="dxa"/>
            <w:vAlign w:val="center"/>
          </w:tcPr>
          <w:p w14:paraId="1F739FB8" w14:textId="77777777" w:rsidR="006179BB" w:rsidRPr="00760EA8" w:rsidRDefault="006179BB" w:rsidP="006179BB">
            <w:pPr>
              <w:jc w:val="center"/>
              <w:rPr>
                <w:rFonts w:cstheme="minorHAnsi"/>
                <w:szCs w:val="24"/>
              </w:rPr>
            </w:pPr>
            <w:r w:rsidRPr="00760EA8">
              <w:rPr>
                <w:rFonts w:cstheme="minorHAnsi"/>
                <w:szCs w:val="24"/>
              </w:rPr>
              <w:t>15,7</w:t>
            </w:r>
          </w:p>
        </w:tc>
        <w:tc>
          <w:tcPr>
            <w:tcW w:w="2481" w:type="dxa"/>
            <w:vAlign w:val="center"/>
          </w:tcPr>
          <w:p w14:paraId="31C305E0" w14:textId="77777777" w:rsidR="006179BB" w:rsidRPr="00760EA8" w:rsidRDefault="006179BB" w:rsidP="006179BB">
            <w:pPr>
              <w:jc w:val="center"/>
              <w:rPr>
                <w:rFonts w:cstheme="minorHAnsi"/>
                <w:szCs w:val="24"/>
              </w:rPr>
            </w:pPr>
            <w:r w:rsidRPr="00760EA8">
              <w:rPr>
                <w:rFonts w:cstheme="minorHAnsi"/>
                <w:szCs w:val="24"/>
              </w:rPr>
              <w:t>3,3</w:t>
            </w:r>
          </w:p>
        </w:tc>
      </w:tr>
      <w:tr w:rsidR="006179BB" w:rsidRPr="00760EA8" w14:paraId="4F1FC839" w14:textId="77777777" w:rsidTr="006179BB">
        <w:trPr>
          <w:jc w:val="center"/>
        </w:trPr>
        <w:tc>
          <w:tcPr>
            <w:tcW w:w="4689" w:type="dxa"/>
            <w:vAlign w:val="center"/>
          </w:tcPr>
          <w:p w14:paraId="235F614A" w14:textId="77777777" w:rsidR="006179BB" w:rsidRPr="00760EA8" w:rsidRDefault="006179BB" w:rsidP="006179BB">
            <w:pPr>
              <w:rPr>
                <w:rFonts w:cstheme="minorHAnsi"/>
                <w:szCs w:val="24"/>
              </w:rPr>
            </w:pPr>
            <w:r w:rsidRPr="00760EA8">
              <w:rPr>
                <w:rFonts w:cstheme="minorHAnsi"/>
                <w:szCs w:val="24"/>
              </w:rPr>
              <w:t>Māksla, izklaide un atpūta; citi pakalpojumi; mājsaimniecību kā darba devēju darbība</w:t>
            </w:r>
          </w:p>
        </w:tc>
        <w:tc>
          <w:tcPr>
            <w:tcW w:w="2126" w:type="dxa"/>
            <w:vAlign w:val="center"/>
          </w:tcPr>
          <w:p w14:paraId="1D2410E0" w14:textId="77777777" w:rsidR="006179BB" w:rsidRPr="00760EA8" w:rsidRDefault="006179BB" w:rsidP="006179BB">
            <w:pPr>
              <w:jc w:val="center"/>
              <w:rPr>
                <w:rFonts w:cstheme="minorHAnsi"/>
                <w:szCs w:val="24"/>
              </w:rPr>
            </w:pPr>
            <w:r w:rsidRPr="00760EA8">
              <w:rPr>
                <w:rFonts w:cstheme="minorHAnsi"/>
                <w:szCs w:val="24"/>
              </w:rPr>
              <w:t>3,0</w:t>
            </w:r>
          </w:p>
        </w:tc>
        <w:tc>
          <w:tcPr>
            <w:tcW w:w="2481" w:type="dxa"/>
            <w:vAlign w:val="center"/>
          </w:tcPr>
          <w:p w14:paraId="0BA835AC" w14:textId="77777777" w:rsidR="006179BB" w:rsidRPr="00760EA8" w:rsidRDefault="006179BB" w:rsidP="006179BB">
            <w:pPr>
              <w:jc w:val="center"/>
              <w:rPr>
                <w:rFonts w:cstheme="minorHAnsi"/>
                <w:szCs w:val="24"/>
              </w:rPr>
            </w:pPr>
            <w:r w:rsidRPr="00760EA8">
              <w:rPr>
                <w:rFonts w:cstheme="minorHAnsi"/>
                <w:szCs w:val="24"/>
              </w:rPr>
              <w:t>2,3</w:t>
            </w:r>
          </w:p>
        </w:tc>
      </w:tr>
    </w:tbl>
    <w:p w14:paraId="11510A27" w14:textId="77777777" w:rsidR="006179BB" w:rsidRPr="006C1A81" w:rsidRDefault="006179BB" w:rsidP="00C03553">
      <w:pPr>
        <w:spacing w:before="120" w:after="120" w:line="240" w:lineRule="auto"/>
        <w:jc w:val="both"/>
        <w:rPr>
          <w:rFonts w:cstheme="minorHAnsi"/>
        </w:rPr>
      </w:pPr>
      <w:r w:rsidRPr="006C1A81">
        <w:rPr>
          <w:rFonts w:cstheme="minorHAnsi"/>
        </w:rPr>
        <w:t>2018. gada decembrī, salīdzinot ar 2017. gada decembri, patēriņa cenas palielinājās par 2,6 %, tai skaitā precēm cenas pieauga par 2,3 %, bet pakalpojumiem – par 3,1 %. Ražotāju cenas 2018. gada decembrī, salīdzinot ar 2017. gada decembri, palielinājās par 5,4 % 2018. gada decembrī, salīdzinot ar 2017. gada decembri, ražotāju cenu līmenis Latvijas rūpniecībā ir palielinājies par 5,4 %. Būtiskākā ietekme bija cenu pieaugumam koksnes, koka un korķa izstrādājumu ražošanā, izņemot mēbeles, kā arī elektroenerģijas tirdzniecībai un ražošanai, tvaika piegādei un gaisa kondicionēšanai, gāzes realizācijai pa cauruļvadiem. Lielākā pazeminošā ietekme bija elektrisko iekārtu ražošanā.</w:t>
      </w:r>
    </w:p>
    <w:p w14:paraId="6CFF2CAB" w14:textId="5024D5C2" w:rsidR="006179BB" w:rsidRPr="006C1A81" w:rsidRDefault="00276A9B">
      <w:pPr>
        <w:pStyle w:val="Heading30"/>
      </w:pPr>
      <w:bookmarkStart w:id="147" w:name="_Toc23245754"/>
      <w:bookmarkStart w:id="148" w:name="_Toc23245993"/>
      <w:bookmarkStart w:id="149" w:name="_Toc24408007"/>
      <w:r>
        <w:t>Indikatīvās a</w:t>
      </w:r>
      <w:r w:rsidR="006179BB" w:rsidRPr="006C1A81">
        <w:t>ttīstības prognozes</w:t>
      </w:r>
      <w:bookmarkEnd w:id="147"/>
      <w:bookmarkEnd w:id="148"/>
      <w:bookmarkEnd w:id="149"/>
    </w:p>
    <w:p w14:paraId="04EC192C" w14:textId="1D8460E9" w:rsidR="00C03553" w:rsidRPr="006C1A81" w:rsidRDefault="00C03553" w:rsidP="00C03553">
      <w:pPr>
        <w:spacing w:before="120" w:after="120" w:line="240" w:lineRule="auto"/>
        <w:jc w:val="both"/>
        <w:rPr>
          <w:rFonts w:cstheme="minorHAnsi"/>
          <w:szCs w:val="24"/>
        </w:rPr>
      </w:pPr>
      <w:r w:rsidRPr="00493E08">
        <w:rPr>
          <w:rFonts w:cstheme="minorHAnsi"/>
          <w:szCs w:val="24"/>
        </w:rPr>
        <w:t>Makroekonomisko rādītāju prognozes ir izstrādātas, balstoties uz konservatīviem pieņēmumiem un izvērtējot ārējās un iekšējās vides riskus. Galvenais izaugsmes dzinējs ir ienākumi no eksporta un eksporta iespēju paplašināšanās, spēja iekļauties starptautiskās</w:t>
      </w:r>
      <w:r w:rsidRPr="006C1A81">
        <w:rPr>
          <w:rFonts w:cstheme="minorHAnsi"/>
          <w:szCs w:val="24"/>
        </w:rPr>
        <w:t xml:space="preserve"> produktu ķēdēs ar augstākas pievienotās vērtības produkciju un vairāk radīt kvalitatīvu gala produkciju</w:t>
      </w:r>
      <w:r>
        <w:rPr>
          <w:rFonts w:cstheme="minorHAnsi"/>
          <w:szCs w:val="24"/>
        </w:rPr>
        <w:t>, tāpat būtisks aspekts ir importēto energoresursu apjoma samazināšana</w:t>
      </w:r>
      <w:r w:rsidRPr="006C1A81">
        <w:rPr>
          <w:rFonts w:cstheme="minorHAnsi"/>
          <w:szCs w:val="24"/>
        </w:rPr>
        <w:t>. Vienlaikus jāņem vērā, ka atvērta darba tirgus apstākļos vismaz vidējā termiņā saglabāsies salīdzinoši straujš darbaspēka izmaksu kāpums un turpinās samazināties darbaspēka izmaksu konkurētspējas priekšrocības. Vidējā un ilgtermiņā straujāka attīstība ir sagaidāma nozarēs, kas spēs palielināt produktivitāti, ko ietekmē tehnoloģiskās atpalicības pārvarēšana, ražošanas modernizēšana un investīcijas, ieguldījumi cilvēkkapitālā, pētniecībā un inovācijā u.c. piedāvājuma puses faktori. Ekonomikas attīstības tempus bāzes scenārijā</w:t>
      </w:r>
      <w:r>
        <w:rPr>
          <w:rStyle w:val="FootnoteReference"/>
          <w:rFonts w:cstheme="minorHAnsi"/>
          <w:szCs w:val="24"/>
        </w:rPr>
        <w:footnoteReference w:id="37"/>
      </w:r>
      <w:r w:rsidRPr="006C1A81">
        <w:rPr>
          <w:rFonts w:cstheme="minorHAnsi"/>
          <w:szCs w:val="24"/>
        </w:rPr>
        <w:t xml:space="preserve"> ietekmēs arī negatīvās demogrāfijas tendences.</w:t>
      </w:r>
      <w:r>
        <w:rPr>
          <w:rFonts w:cstheme="minorHAnsi"/>
          <w:szCs w:val="24"/>
        </w:rPr>
        <w:t xml:space="preserve"> </w:t>
      </w:r>
      <w:r w:rsidRPr="006C1A81">
        <w:rPr>
          <w:rFonts w:cstheme="minorHAnsi"/>
          <w:szCs w:val="24"/>
        </w:rPr>
        <w:t xml:space="preserve">Vidējā termiņā (2023.g) un ilgtermiņā (2030.g) ekonomikas izaugsmes tempi kļūs lēnāki. Atvērta darba tirgus apstākļos vidējā termiņā turpināsies algu konverģence ar Rietumeiropas valstīm. Rezultātā tas negatīvi ietekmēs uzņēmumu konkurētspēju zemas pievienotās vērtības segmentos. Savukārt pāreja uz augstākas pievienotās vērtības ekonomiku noritēs pakāpeniski. Iedzīvotāju skaita samazināšanās un lēnāki ienākuma pieauguma tempi ilgtermiņā ietekmēs </w:t>
      </w:r>
    </w:p>
    <w:p w14:paraId="5F9BC55B" w14:textId="187E1073" w:rsidR="00C03553" w:rsidRDefault="00C03553" w:rsidP="00C03553">
      <w:pPr>
        <w:spacing w:before="120" w:after="120" w:line="240" w:lineRule="auto"/>
        <w:jc w:val="both"/>
      </w:pPr>
      <w:r>
        <w:rPr>
          <w:rFonts w:cstheme="minorHAnsi"/>
        </w:rPr>
        <w:t xml:space="preserve">Pieprasījums pēc enerģijas ir tieši saistīts ar ekonomisko attīstību, tāpēc enerģijas pakalpojumu (lietderīgās enerģijas) nākotnes pieprasījums ir aprēķināts par izejas parametriem izmantojot prognozētos makroekonomikas attīstību raksturojošos parametrus – iedzīvotāju skaita, IKP, nozaru un apakšnozaru pievienotās vērtību, privātā patēriņa izmaiņu dinamikas. </w:t>
      </w:r>
      <w:r>
        <w:t>Enerģētikas attīstības scenāriju modelēšanai par pamatu izmantotas Ekonomikas ministrijas 2018.gadā izstrādātās makroekonomikas ilgtermiņa prognozes uz 2030. gadu.</w:t>
      </w:r>
    </w:p>
    <w:p w14:paraId="185C7D1E" w14:textId="048CFA7C" w:rsidR="00C03553" w:rsidRPr="00C03553" w:rsidRDefault="00C03553" w:rsidP="00C03553">
      <w:pPr>
        <w:spacing w:after="120" w:line="240" w:lineRule="auto"/>
        <w:jc w:val="center"/>
        <w:rPr>
          <w:b/>
          <w:bCs/>
          <w:sz w:val="20"/>
          <w:szCs w:val="20"/>
        </w:rPr>
      </w:pPr>
      <w:r w:rsidRPr="00C03553">
        <w:rPr>
          <w:rFonts w:cstheme="minorHAnsi"/>
          <w:b/>
          <w:bCs/>
          <w:noProof/>
          <w:sz w:val="20"/>
          <w:szCs w:val="20"/>
        </w:rPr>
        <w:fldChar w:fldCharType="begin"/>
      </w:r>
      <w:r w:rsidRPr="00C03553">
        <w:rPr>
          <w:rFonts w:cstheme="minorHAnsi"/>
          <w:b/>
          <w:bCs/>
          <w:noProof/>
          <w:sz w:val="20"/>
          <w:szCs w:val="20"/>
        </w:rPr>
        <w:instrText xml:space="preserve"> SEQ Tabula \* ARABIC </w:instrText>
      </w:r>
      <w:r w:rsidRPr="00C03553">
        <w:rPr>
          <w:rFonts w:cstheme="minorHAnsi"/>
          <w:b/>
          <w:bCs/>
          <w:noProof/>
          <w:sz w:val="20"/>
          <w:szCs w:val="20"/>
        </w:rPr>
        <w:fldChar w:fldCharType="separate"/>
      </w:r>
      <w:r w:rsidR="006E6675">
        <w:rPr>
          <w:rFonts w:cstheme="minorHAnsi"/>
          <w:b/>
          <w:bCs/>
          <w:noProof/>
          <w:sz w:val="20"/>
          <w:szCs w:val="20"/>
        </w:rPr>
        <w:t>3</w:t>
      </w:r>
      <w:r w:rsidRPr="00C03553">
        <w:rPr>
          <w:rFonts w:cstheme="minorHAnsi"/>
          <w:b/>
          <w:bCs/>
          <w:noProof/>
          <w:sz w:val="20"/>
          <w:szCs w:val="20"/>
        </w:rPr>
        <w:fldChar w:fldCharType="end"/>
      </w:r>
      <w:r w:rsidRPr="00C03553">
        <w:rPr>
          <w:rFonts w:cstheme="minorHAnsi"/>
          <w:b/>
          <w:bCs/>
          <w:sz w:val="20"/>
          <w:szCs w:val="20"/>
        </w:rPr>
        <w:t>.tabula. Makroekonomisko rādītāju izmaiņas (procentuāli, vidēji periodā) bāzes scenārijā periodā līdz 2030.gadam</w:t>
      </w:r>
      <w:r w:rsidRPr="00C03553">
        <w:rPr>
          <w:rStyle w:val="FootnoteReference"/>
          <w:rFonts w:cstheme="minorHAnsi"/>
          <w:b/>
          <w:bCs/>
          <w:sz w:val="20"/>
          <w:szCs w:val="20"/>
        </w:rPr>
        <w:footnoteReference w:id="38"/>
      </w:r>
    </w:p>
    <w:tbl>
      <w:tblPr>
        <w:tblStyle w:val="GridTable1Light-Accent61"/>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2"/>
        <w:gridCol w:w="885"/>
        <w:gridCol w:w="885"/>
        <w:gridCol w:w="885"/>
        <w:gridCol w:w="885"/>
      </w:tblGrid>
      <w:tr w:rsidR="00C03553" w:rsidRPr="00C03553" w14:paraId="1E516466" w14:textId="77777777" w:rsidTr="00C03553">
        <w:trPr>
          <w:cnfStyle w:val="100000000000" w:firstRow="1" w:lastRow="0" w:firstColumn="0" w:lastColumn="0" w:oddVBand="0" w:evenVBand="0" w:oddHBand="0"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5072" w:type="dxa"/>
            <w:tcBorders>
              <w:bottom w:val="none" w:sz="0" w:space="0" w:color="auto"/>
            </w:tcBorders>
            <w:shd w:val="clear" w:color="auto" w:fill="F2F2F2" w:themeFill="background1" w:themeFillShade="F2"/>
          </w:tcPr>
          <w:p w14:paraId="1DB24E6A" w14:textId="77777777" w:rsidR="00C03553" w:rsidRPr="00C03553" w:rsidRDefault="00C03553">
            <w:pPr>
              <w:pStyle w:val="NoSpacing"/>
              <w:rPr>
                <w:rFonts w:asciiTheme="minorHAnsi" w:hAnsiTheme="minorHAnsi" w:cstheme="minorHAnsi"/>
                <w:sz w:val="22"/>
                <w:lang w:val="lv-LV"/>
              </w:rPr>
            </w:pPr>
          </w:p>
        </w:tc>
        <w:tc>
          <w:tcPr>
            <w:tcW w:w="0" w:type="auto"/>
            <w:tcBorders>
              <w:bottom w:val="none" w:sz="0" w:space="0" w:color="auto"/>
            </w:tcBorders>
            <w:shd w:val="clear" w:color="auto" w:fill="F2F2F2" w:themeFill="background1" w:themeFillShade="F2"/>
            <w:vAlign w:val="center"/>
            <w:hideMark/>
          </w:tcPr>
          <w:p w14:paraId="5C76FC04" w14:textId="77777777" w:rsidR="00C03553" w:rsidRPr="00C03553" w:rsidRDefault="00C03553">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lang w:val="en-GB"/>
              </w:rPr>
            </w:pPr>
            <w:r w:rsidRPr="00C03553">
              <w:rPr>
                <w:rFonts w:asciiTheme="minorHAnsi" w:hAnsiTheme="minorHAnsi" w:cstheme="minorHAnsi"/>
                <w:b w:val="0"/>
                <w:sz w:val="22"/>
                <w:lang w:val="en-GB"/>
              </w:rPr>
              <w:t>2017</w:t>
            </w:r>
          </w:p>
        </w:tc>
        <w:tc>
          <w:tcPr>
            <w:tcW w:w="0" w:type="auto"/>
            <w:tcBorders>
              <w:bottom w:val="none" w:sz="0" w:space="0" w:color="auto"/>
            </w:tcBorders>
            <w:shd w:val="clear" w:color="auto" w:fill="F2F2F2" w:themeFill="background1" w:themeFillShade="F2"/>
            <w:vAlign w:val="center"/>
            <w:hideMark/>
          </w:tcPr>
          <w:p w14:paraId="5BAF188B" w14:textId="77777777" w:rsidR="00C03553" w:rsidRPr="00C03553" w:rsidRDefault="00C03553">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lang w:val="en-GB"/>
              </w:rPr>
            </w:pPr>
            <w:r w:rsidRPr="00C03553">
              <w:rPr>
                <w:rFonts w:asciiTheme="minorHAnsi" w:hAnsiTheme="minorHAnsi" w:cstheme="minorHAnsi"/>
                <w:b w:val="0"/>
                <w:sz w:val="22"/>
                <w:lang w:val="en-GB"/>
              </w:rPr>
              <w:t>2020</w:t>
            </w:r>
          </w:p>
        </w:tc>
        <w:tc>
          <w:tcPr>
            <w:tcW w:w="0" w:type="auto"/>
            <w:tcBorders>
              <w:bottom w:val="none" w:sz="0" w:space="0" w:color="auto"/>
            </w:tcBorders>
            <w:shd w:val="clear" w:color="auto" w:fill="F2F2F2" w:themeFill="background1" w:themeFillShade="F2"/>
            <w:vAlign w:val="center"/>
            <w:hideMark/>
          </w:tcPr>
          <w:p w14:paraId="674D6655" w14:textId="77777777" w:rsidR="00C03553" w:rsidRPr="00C03553" w:rsidRDefault="00C03553">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lang w:val="en-GB"/>
              </w:rPr>
            </w:pPr>
            <w:r w:rsidRPr="00C03553">
              <w:rPr>
                <w:rFonts w:asciiTheme="minorHAnsi" w:hAnsiTheme="minorHAnsi" w:cstheme="minorHAnsi"/>
                <w:b w:val="0"/>
                <w:sz w:val="22"/>
                <w:lang w:val="en-GB"/>
              </w:rPr>
              <w:t>2025</w:t>
            </w:r>
          </w:p>
        </w:tc>
        <w:tc>
          <w:tcPr>
            <w:tcW w:w="0" w:type="auto"/>
            <w:tcBorders>
              <w:bottom w:val="none" w:sz="0" w:space="0" w:color="auto"/>
            </w:tcBorders>
            <w:shd w:val="clear" w:color="auto" w:fill="F2F2F2" w:themeFill="background1" w:themeFillShade="F2"/>
            <w:vAlign w:val="center"/>
            <w:hideMark/>
          </w:tcPr>
          <w:p w14:paraId="1F5BC2EB" w14:textId="77777777" w:rsidR="00C03553" w:rsidRPr="00C03553" w:rsidRDefault="00C03553">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lang w:val="en-GB"/>
              </w:rPr>
            </w:pPr>
            <w:r w:rsidRPr="00C03553">
              <w:rPr>
                <w:rFonts w:asciiTheme="minorHAnsi" w:hAnsiTheme="minorHAnsi" w:cstheme="minorHAnsi"/>
                <w:b w:val="0"/>
                <w:sz w:val="22"/>
                <w:lang w:val="en-GB"/>
              </w:rPr>
              <w:t>2030</w:t>
            </w:r>
          </w:p>
        </w:tc>
      </w:tr>
      <w:tr w:rsidR="00C03553" w:rsidRPr="00C03553" w14:paraId="31F6B083" w14:textId="77777777" w:rsidTr="00C03553">
        <w:trPr>
          <w:trHeight w:val="98"/>
          <w:jc w:val="center"/>
        </w:trPr>
        <w:tc>
          <w:tcPr>
            <w:cnfStyle w:val="001000000000" w:firstRow="0" w:lastRow="0" w:firstColumn="1" w:lastColumn="0" w:oddVBand="0" w:evenVBand="0" w:oddHBand="0" w:evenHBand="0" w:firstRowFirstColumn="0" w:firstRowLastColumn="0" w:lastRowFirstColumn="0" w:lastRowLastColumn="0"/>
            <w:tcW w:w="5072" w:type="dxa"/>
            <w:hideMark/>
          </w:tcPr>
          <w:p w14:paraId="33856B48" w14:textId="646D081B" w:rsidR="00C03553" w:rsidRPr="0007326F" w:rsidRDefault="00C03553">
            <w:pPr>
              <w:pStyle w:val="NoSpacing"/>
              <w:rPr>
                <w:rFonts w:asciiTheme="minorHAnsi" w:hAnsiTheme="minorHAnsi" w:cstheme="minorHAnsi"/>
                <w:b w:val="0"/>
                <w:bCs w:val="0"/>
                <w:szCs w:val="24"/>
                <w:lang w:val="en-GB"/>
              </w:rPr>
            </w:pPr>
            <w:r w:rsidRPr="0007326F">
              <w:rPr>
                <w:rFonts w:asciiTheme="minorHAnsi" w:hAnsiTheme="minorHAnsi" w:cstheme="minorHAnsi"/>
                <w:b w:val="0"/>
                <w:bCs w:val="0"/>
                <w:szCs w:val="24"/>
                <w:lang w:val="en-GB"/>
              </w:rPr>
              <w:t>Iedzīvotāju skaits (miljons)</w:t>
            </w:r>
          </w:p>
        </w:tc>
        <w:tc>
          <w:tcPr>
            <w:tcW w:w="0" w:type="auto"/>
            <w:vAlign w:val="center"/>
            <w:hideMark/>
          </w:tcPr>
          <w:p w14:paraId="207174E9"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1,986</w:t>
            </w:r>
          </w:p>
        </w:tc>
        <w:tc>
          <w:tcPr>
            <w:tcW w:w="0" w:type="auto"/>
            <w:vAlign w:val="center"/>
            <w:hideMark/>
          </w:tcPr>
          <w:p w14:paraId="3B9EDA9F"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1,884</w:t>
            </w:r>
          </w:p>
        </w:tc>
        <w:tc>
          <w:tcPr>
            <w:tcW w:w="0" w:type="auto"/>
            <w:vAlign w:val="center"/>
            <w:hideMark/>
          </w:tcPr>
          <w:p w14:paraId="5835E6A5"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1,759</w:t>
            </w:r>
          </w:p>
        </w:tc>
        <w:tc>
          <w:tcPr>
            <w:tcW w:w="0" w:type="auto"/>
            <w:vAlign w:val="center"/>
            <w:hideMark/>
          </w:tcPr>
          <w:p w14:paraId="26DE1C76"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1,638</w:t>
            </w:r>
          </w:p>
        </w:tc>
      </w:tr>
      <w:tr w:rsidR="00C03553" w:rsidRPr="00C03553" w14:paraId="313CB546" w14:textId="77777777" w:rsidTr="00C03553">
        <w:trPr>
          <w:trHeight w:val="98"/>
          <w:jc w:val="center"/>
        </w:trPr>
        <w:tc>
          <w:tcPr>
            <w:cnfStyle w:val="001000000000" w:firstRow="0" w:lastRow="0" w:firstColumn="1" w:lastColumn="0" w:oddVBand="0" w:evenVBand="0" w:oddHBand="0" w:evenHBand="0" w:firstRowFirstColumn="0" w:firstRowLastColumn="0" w:lastRowFirstColumn="0" w:lastRowLastColumn="0"/>
            <w:tcW w:w="5072" w:type="dxa"/>
            <w:hideMark/>
          </w:tcPr>
          <w:p w14:paraId="5FDE5CAB" w14:textId="03406F6F" w:rsidR="00C03553" w:rsidRPr="0007326F" w:rsidRDefault="00C03553">
            <w:pPr>
              <w:pStyle w:val="NoSpacing"/>
              <w:rPr>
                <w:rFonts w:asciiTheme="minorHAnsi" w:hAnsiTheme="minorHAnsi" w:cstheme="minorHAnsi"/>
                <w:b w:val="0"/>
                <w:bCs w:val="0"/>
                <w:szCs w:val="24"/>
                <w:lang w:val="lv-LV"/>
              </w:rPr>
            </w:pPr>
            <w:r w:rsidRPr="0007326F">
              <w:rPr>
                <w:rFonts w:asciiTheme="minorHAnsi" w:hAnsiTheme="minorHAnsi" w:cstheme="minorHAnsi"/>
                <w:b w:val="0"/>
                <w:bCs w:val="0"/>
                <w:szCs w:val="24"/>
                <w:lang w:val="lv-LV"/>
              </w:rPr>
              <w:t>Privātais patēriņš (2010.gada salīdzināmās cenās) (mljrd.EUR)</w:t>
            </w:r>
          </w:p>
        </w:tc>
        <w:tc>
          <w:tcPr>
            <w:tcW w:w="0" w:type="auto"/>
            <w:vAlign w:val="center"/>
            <w:hideMark/>
          </w:tcPr>
          <w:p w14:paraId="7095E61B"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13,266</w:t>
            </w:r>
          </w:p>
        </w:tc>
        <w:tc>
          <w:tcPr>
            <w:tcW w:w="0" w:type="auto"/>
            <w:vAlign w:val="center"/>
            <w:hideMark/>
          </w:tcPr>
          <w:p w14:paraId="41A99FC8"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16,158</w:t>
            </w:r>
          </w:p>
        </w:tc>
        <w:tc>
          <w:tcPr>
            <w:tcW w:w="0" w:type="auto"/>
            <w:vAlign w:val="center"/>
            <w:hideMark/>
          </w:tcPr>
          <w:p w14:paraId="23638CCE"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18,386</w:t>
            </w:r>
          </w:p>
        </w:tc>
        <w:tc>
          <w:tcPr>
            <w:tcW w:w="0" w:type="auto"/>
            <w:vAlign w:val="center"/>
            <w:hideMark/>
          </w:tcPr>
          <w:p w14:paraId="3D1D89D0"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20,339</w:t>
            </w:r>
          </w:p>
        </w:tc>
      </w:tr>
      <w:tr w:rsidR="00C03553" w:rsidRPr="00C03553" w14:paraId="5C3983E8" w14:textId="77777777" w:rsidTr="00C03553">
        <w:trPr>
          <w:trHeight w:val="98"/>
          <w:jc w:val="center"/>
        </w:trPr>
        <w:tc>
          <w:tcPr>
            <w:cnfStyle w:val="001000000000" w:firstRow="0" w:lastRow="0" w:firstColumn="1" w:lastColumn="0" w:oddVBand="0" w:evenVBand="0" w:oddHBand="0" w:evenHBand="0" w:firstRowFirstColumn="0" w:firstRowLastColumn="0" w:lastRowFirstColumn="0" w:lastRowLastColumn="0"/>
            <w:tcW w:w="5072" w:type="dxa"/>
            <w:hideMark/>
          </w:tcPr>
          <w:p w14:paraId="01030790" w14:textId="3FE053B2" w:rsidR="00C03553" w:rsidRPr="0007326F" w:rsidRDefault="00C03553">
            <w:pPr>
              <w:pStyle w:val="NoSpacing"/>
              <w:rPr>
                <w:rFonts w:asciiTheme="minorHAnsi" w:hAnsiTheme="minorHAnsi" w:cstheme="minorHAnsi"/>
                <w:b w:val="0"/>
                <w:bCs w:val="0"/>
                <w:szCs w:val="24"/>
                <w:lang w:val="lv-LV"/>
              </w:rPr>
            </w:pPr>
            <w:r w:rsidRPr="0007326F">
              <w:rPr>
                <w:rFonts w:asciiTheme="minorHAnsi" w:hAnsiTheme="minorHAnsi" w:cstheme="minorHAnsi"/>
                <w:b w:val="0"/>
                <w:bCs w:val="0"/>
                <w:szCs w:val="24"/>
                <w:lang w:val="lv-LV"/>
              </w:rPr>
              <w:t>IKP (2010.gada salīdzināmās cenās) (mljrd.EUR)</w:t>
            </w:r>
          </w:p>
        </w:tc>
        <w:tc>
          <w:tcPr>
            <w:tcW w:w="0" w:type="auto"/>
            <w:vAlign w:val="center"/>
            <w:hideMark/>
          </w:tcPr>
          <w:p w14:paraId="6C45DD93"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21,328</w:t>
            </w:r>
          </w:p>
        </w:tc>
        <w:tc>
          <w:tcPr>
            <w:tcW w:w="0" w:type="auto"/>
            <w:vAlign w:val="center"/>
            <w:hideMark/>
          </w:tcPr>
          <w:p w14:paraId="4F524E6F"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25,230</w:t>
            </w:r>
          </w:p>
        </w:tc>
        <w:tc>
          <w:tcPr>
            <w:tcW w:w="0" w:type="auto"/>
            <w:vAlign w:val="center"/>
            <w:hideMark/>
          </w:tcPr>
          <w:p w14:paraId="2397CB46"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28,564</w:t>
            </w:r>
          </w:p>
        </w:tc>
        <w:tc>
          <w:tcPr>
            <w:tcW w:w="0" w:type="auto"/>
            <w:vAlign w:val="center"/>
            <w:hideMark/>
          </w:tcPr>
          <w:p w14:paraId="115DF2D5" w14:textId="77777777" w:rsidR="00C03553" w:rsidRPr="00C03553" w:rsidRDefault="00C03553">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GB"/>
              </w:rPr>
            </w:pPr>
            <w:r w:rsidRPr="00C03553">
              <w:rPr>
                <w:rFonts w:asciiTheme="minorHAnsi" w:hAnsiTheme="minorHAnsi" w:cstheme="minorHAnsi"/>
                <w:szCs w:val="24"/>
                <w:lang w:val="en-GB"/>
              </w:rPr>
              <w:t>31,599</w:t>
            </w:r>
          </w:p>
        </w:tc>
      </w:tr>
    </w:tbl>
    <w:p w14:paraId="2D48630A" w14:textId="77777777" w:rsidR="00C03553" w:rsidRDefault="00C03553" w:rsidP="00C03553">
      <w:pPr>
        <w:spacing w:before="120" w:after="120" w:line="240" w:lineRule="auto"/>
        <w:jc w:val="both"/>
        <w:rPr>
          <w:sz w:val="22"/>
          <w:szCs w:val="24"/>
        </w:rPr>
      </w:pPr>
      <w:r>
        <w:rPr>
          <w:szCs w:val="24"/>
        </w:rPr>
        <w:t xml:space="preserve">Saskaņā ar demogrāfijas prognozēm iedzīvotāju skaits Latvijā vidējā un ilgtermiņā turpinās samazināties, pie tam darbaspējas vecumā iedzīvotāju skaits samazināsies straujāk nekā kopējais iedzīvotāju skaits. Galvenais iedzīvotāju skaita samazināšanās iemesls gan vidējā, gan ilgtermiņā būs iedzīvotāju novecošanās, kā rezultātā turpināsies palielināties starpība starp dzimstības un mirstības rādītājiem.  Mājokļu skaita un platības prognoze ir aprēķināta, pamatojoties uz demogrāfijas prognozi, un sektoru raksturojošo parametru (vidējais iedzīvotāju skaits mājsaimniecībā, mājokļa vidējā dzīvojamā platība) prognozēm. </w:t>
      </w:r>
    </w:p>
    <w:p w14:paraId="4D0C527F" w14:textId="54FF4AD5" w:rsidR="00C03553" w:rsidRDefault="00EE6F52" w:rsidP="00C03553">
      <w:pPr>
        <w:spacing w:before="120" w:after="120" w:line="240" w:lineRule="auto"/>
        <w:jc w:val="both"/>
        <w:rPr>
          <w:szCs w:val="24"/>
        </w:rPr>
      </w:pPr>
      <w:r>
        <w:rPr>
          <w:szCs w:val="24"/>
        </w:rPr>
        <w:t>IKP</w:t>
      </w:r>
      <w:r w:rsidR="00C03553">
        <w:rPr>
          <w:szCs w:val="24"/>
        </w:rPr>
        <w:t xml:space="preserve"> līdz 2030.gadam neparedz ļoti būtisku tautsaimniecības nozaru struktūras maiņu, salīdzinājumā ar pašreizējo situāciju. Tā saglabāsies tuva esošajai. Komercpakalpojumu nozaru īpatsvars līdz 2030.gadam varētu palielināties par vienu procentpunktu. Pieaugums sagaidāms arī IT, būvniecības un rūpniecības nozaru īpatsvaram tautsaimniecībā. Savukārt lauksaimniecības, transporta, finanšu pakalpojumu un sabiedrisko pakalpojumu nozaru īpatsvars varētu nedaudz samazināties.</w:t>
      </w:r>
    </w:p>
    <w:p w14:paraId="6CC5A022" w14:textId="77777777" w:rsidR="00C03553" w:rsidRDefault="00C03553" w:rsidP="00C03553">
      <w:pPr>
        <w:spacing w:before="120" w:after="120" w:line="240" w:lineRule="auto"/>
        <w:jc w:val="both"/>
        <w:rPr>
          <w:szCs w:val="24"/>
        </w:rPr>
      </w:pPr>
      <w:r>
        <w:rPr>
          <w:szCs w:val="24"/>
        </w:rPr>
        <w:t>Vidējā un ilgtermiņā apstrādes rūpniecībai saglabājas straujāki pieauguma tempi, nekā vidēji tautsaimniecībā. Salīdzinoši strauji izaugsmes tempi tiek prognozēt arī lielākajā apstrādes rūpniecības nozarē – kokapstrādē. Vairāk uz iekšējo tirgu orientēto nozaru (piemēram, pārtikas rūpniecība, poligrāfija) attīstību galvenokārt ietekmēs iekšzemes pieprasījuma dinamika. Nemetālisko minerālu ražošanas nozare būs cieši saistīta ar būvniecības tendencēm.</w:t>
      </w:r>
    </w:p>
    <w:p w14:paraId="25EBB15E" w14:textId="77777777" w:rsidR="006179BB" w:rsidRPr="006C1A81" w:rsidRDefault="006179BB" w:rsidP="006179BB">
      <w:pPr>
        <w:spacing w:before="120" w:after="120" w:line="240" w:lineRule="auto"/>
        <w:jc w:val="both"/>
        <w:rPr>
          <w:rFonts w:cstheme="minorHAnsi"/>
          <w:szCs w:val="24"/>
        </w:rPr>
      </w:pPr>
      <w:r w:rsidRPr="006C1A81">
        <w:rPr>
          <w:rFonts w:cstheme="minorHAnsi"/>
          <w:szCs w:val="24"/>
        </w:rPr>
        <w:t>Bāzes scenārijā vidējā un ilgtermiņā apstrādes rūpniecībai saglabājas straujāki pieauguma tempi, nekā vidēji tautsaimniecībā. Vienlaikus izaugsme ne tik daudz būs saistīta ar ekstensīvu materiālietilpīgu ražošanas apjomu kāpināšanu, cik jaunāko tehnoloģisko procesu izmantošanu, digitalizāciju, procesu optimizēšanu utt. Straujāka attīstība iepriekšminēto faktoru dēļ ir sagaidāma augsto un vidēju augsto tehnoloģiju nozarēs – ķīmijā, farmācijā, elektronikā u.c. Salīdzinoši strauji izaugsmes tempi tiek prognozēt arī lielākajā apstrādes rūpniecības nozarē – kokapstrādē. Vairāk uz iekšējo tirgu orientēto nozaru (piemēram, pārtikas rūpniecība, poligrāfija) attīstību galvenokārt ietekmēs iekšzemes pieprasījuma dinamika. Nemetālisko minerālu ražošanas nozare būs cieši saistīta ar būvniecības tendencēm.</w:t>
      </w:r>
    </w:p>
    <w:p w14:paraId="5E002B4E" w14:textId="77777777" w:rsidR="006179BB" w:rsidRPr="00BB175F" w:rsidRDefault="006179BB" w:rsidP="006179BB">
      <w:pPr>
        <w:spacing w:before="120" w:after="120" w:line="240" w:lineRule="auto"/>
        <w:jc w:val="both"/>
        <w:rPr>
          <w:rFonts w:cstheme="minorHAnsi"/>
          <w:szCs w:val="24"/>
        </w:rPr>
      </w:pPr>
      <w:r w:rsidRPr="006C1A81">
        <w:rPr>
          <w:rFonts w:cstheme="minorHAnsi"/>
          <w:szCs w:val="24"/>
        </w:rPr>
        <w:t xml:space="preserve">Bāzes scenārijs līdz 2030.gadam neparedz ļoti būtisku tautsaimniecības nozaru struktūras maiņu, salīdzinājumā ar pašreizējo situāciju. Tā saglabāsies tuva esošajai. Lai arī eksports ir galvenais izaugsmes virzītājs, tas nenozīmē, ka īpaši pieaugs eksporta nozaru īpatsvars. Galvenais iemesls ir, ka pēdējos gados ir būtiski mainījies biznesa modelis. Jebkura nozare prasa apjomīgus citu nozaru pakalpojumus (piemēram, IT pakalpojumus, loģistikas un transporta, citus biznesa pakalpojumus, pat grāmatvedības uzskaiti tiešā veidā var neveikt pats uzņēmums u.tml.). Tādejādi jebkuras nozares izaugsme atbilstoši rada arī citu nozaru pieaugumu it īpaši biznesa pakalpojumos. Komercpakalpojumu nozaru īpatsvars līdz 2030.gadam varētu palielināties par 1 procentpunktu. Pieaugums sagaidāms arī IT, būvniecības un rūpniecības nozaru īpatsvaram tautsaimniecībā. Savukārt lauksaimniecības, transporta, finanšu pakalpojumu un sabiedrisko pakalpojumu nozaru īpatsvars varētu </w:t>
      </w:r>
      <w:r w:rsidRPr="00BB175F">
        <w:rPr>
          <w:rFonts w:cstheme="minorHAnsi"/>
          <w:szCs w:val="24"/>
        </w:rPr>
        <w:t>nedaudz samazināties.</w:t>
      </w:r>
    </w:p>
    <w:p w14:paraId="478A261A" w14:textId="6A206631" w:rsidR="006179BB" w:rsidRPr="00BB175F" w:rsidRDefault="006179BB" w:rsidP="006179BB">
      <w:pPr>
        <w:spacing w:before="120" w:after="120" w:line="240" w:lineRule="auto"/>
        <w:jc w:val="both"/>
        <w:rPr>
          <w:rFonts w:cstheme="minorHAnsi"/>
        </w:rPr>
      </w:pPr>
      <w:r w:rsidRPr="00BB175F">
        <w:rPr>
          <w:rFonts w:cstheme="minorHAnsi"/>
        </w:rPr>
        <w:t>Latvijā netiek plānotas būtiskas sektorālās izmaiņas, jo netiek prognozētas kāda no tautsaimniecības sektoriem būtiska samazināšanās vai cita sektora būtiski izaugsme. Prognozētās energosistēmas izmaiņas galvenokārt skar transporta sektoru, kur tiek prognozēta izmantotās enerģijas nomaiņa no fosilā kurināmā uz alternatīvajām degvielām. Tiek arī prognozēts elektroenerģijas ražošanas un izmantošanas pieaugums, gan dekarbonizācijas pasākumu īstenošanai, piemēram, transporta sektora elektromobilitāte, gan starpsavienojumu jaudas nodrošināšanai.</w:t>
      </w:r>
    </w:p>
    <w:p w14:paraId="77FD530B" w14:textId="4F6AF5CE" w:rsidR="008A2B5F" w:rsidRPr="00BB175F" w:rsidRDefault="008A2B5F" w:rsidP="006179BB">
      <w:pPr>
        <w:spacing w:before="120" w:after="120" w:line="240" w:lineRule="auto"/>
        <w:jc w:val="both"/>
        <w:rPr>
          <w:rFonts w:cstheme="minorHAnsi"/>
        </w:rPr>
      </w:pPr>
      <w:r w:rsidRPr="00BB175F">
        <w:rPr>
          <w:rFonts w:cstheme="minorHAnsi"/>
        </w:rPr>
        <w:t>Plāna 3.pielikumā ir iekļauta informācija par periodam līdz 2050.gada sagatavoto prognožu bāzes scenārijā ietvert</w:t>
      </w:r>
      <w:r w:rsidR="000F675F" w:rsidRPr="00BB175F">
        <w:rPr>
          <w:rFonts w:cstheme="minorHAnsi"/>
        </w:rPr>
        <w:t>ajām</w:t>
      </w:r>
      <w:r w:rsidRPr="00BB175F">
        <w:rPr>
          <w:rFonts w:cstheme="minorHAnsi"/>
        </w:rPr>
        <w:t xml:space="preserve"> galven</w:t>
      </w:r>
      <w:r w:rsidR="000F675F" w:rsidRPr="00BB175F">
        <w:rPr>
          <w:rFonts w:cstheme="minorHAnsi"/>
        </w:rPr>
        <w:t>ajām</w:t>
      </w:r>
      <w:r w:rsidRPr="00BB175F">
        <w:rPr>
          <w:rFonts w:cstheme="minorHAnsi"/>
        </w:rPr>
        <w:t xml:space="preserve"> īstenot</w:t>
      </w:r>
      <w:r w:rsidR="000F675F" w:rsidRPr="00BB175F">
        <w:rPr>
          <w:rFonts w:cstheme="minorHAnsi"/>
        </w:rPr>
        <w:t>ajām</w:t>
      </w:r>
      <w:r w:rsidRPr="00BB175F">
        <w:rPr>
          <w:rFonts w:cstheme="minorHAnsi"/>
        </w:rPr>
        <w:t xml:space="preserve"> rīcībpolitik</w:t>
      </w:r>
      <w:r w:rsidR="000F675F" w:rsidRPr="00BB175F">
        <w:rPr>
          <w:rFonts w:cstheme="minorHAnsi"/>
        </w:rPr>
        <w:t>ām</w:t>
      </w:r>
      <w:r w:rsidRPr="00BB175F">
        <w:rPr>
          <w:rFonts w:cstheme="minorHAnsi"/>
        </w:rPr>
        <w:t xml:space="preserve"> un galven</w:t>
      </w:r>
      <w:r w:rsidR="000F675F" w:rsidRPr="00BB175F">
        <w:rPr>
          <w:rFonts w:cstheme="minorHAnsi"/>
        </w:rPr>
        <w:t>ajiem</w:t>
      </w:r>
      <w:r w:rsidRPr="00BB175F">
        <w:rPr>
          <w:rFonts w:cstheme="minorHAnsi"/>
        </w:rPr>
        <w:t xml:space="preserve"> to īstenošanas pasākumi</w:t>
      </w:r>
      <w:r w:rsidR="000F675F" w:rsidRPr="00BB175F">
        <w:rPr>
          <w:rFonts w:cstheme="minorHAnsi"/>
        </w:rPr>
        <w:t>em.</w:t>
      </w:r>
    </w:p>
    <w:p w14:paraId="19E49A53" w14:textId="77777777" w:rsidR="006179BB" w:rsidRPr="006C1A81" w:rsidRDefault="006179BB">
      <w:pPr>
        <w:pStyle w:val="Heading30"/>
      </w:pPr>
      <w:bookmarkStart w:id="150" w:name="_Toc23245756"/>
      <w:bookmarkStart w:id="151" w:name="_Toc23245994"/>
      <w:bookmarkStart w:id="152" w:name="_Toc24408008"/>
      <w:r w:rsidRPr="00BB175F">
        <w:t>Globālās tendences enerģētikā, starptautiskās fosilā kurināmā cenas, emisijas</w:t>
      </w:r>
      <w:r w:rsidRPr="006C1A81">
        <w:t xml:space="preserve"> kvotas cena, izmaiņas tehnoloģiskajās izmaksās</w:t>
      </w:r>
      <w:bookmarkEnd w:id="150"/>
      <w:bookmarkEnd w:id="151"/>
      <w:bookmarkEnd w:id="152"/>
      <w:r w:rsidRPr="006C1A81">
        <w:t xml:space="preserve"> </w:t>
      </w:r>
    </w:p>
    <w:p w14:paraId="720124B0" w14:textId="77777777" w:rsidR="006179BB" w:rsidRPr="006C1A81" w:rsidRDefault="006179BB" w:rsidP="006179BB">
      <w:pPr>
        <w:spacing w:before="120" w:after="120" w:line="240" w:lineRule="auto"/>
        <w:jc w:val="both"/>
        <w:rPr>
          <w:rFonts w:cstheme="minorHAnsi"/>
          <w:szCs w:val="24"/>
          <w:lang w:eastAsia="lv-LV"/>
        </w:rPr>
      </w:pPr>
      <w:r w:rsidRPr="006C1A81">
        <w:rPr>
          <w:rFonts w:cstheme="minorHAnsi"/>
          <w:szCs w:val="24"/>
          <w:lang w:eastAsia="lv-LV"/>
        </w:rPr>
        <w:t>Enerģijas resursu cenu attīstība ir svarīgs faktors, kas ietekmē enerģijas patēriņa tendences, jo cena ko enerģijas lietotājs ir gatavs maksāt rāda, cik daudz enerģijas resursus viņi vēlas patērēt un cik daudz ir vērts ieguldīt tehnoloģiju efektivitātes uzlabošanā, lai nodrošinātu enerģijas pakalpojumu. Cenu prognozes ir ieejas parametrs modelī. Modelēšana tiek veikta ar pieņēmumu, ka katrs enerģijas resursa veids būs pieejams pietiekošā daudzumā, lai apmierinātu enerģijas pieprasījumu apskatāmajā laika periodā, bet iegūšanas un transportēšanas cena ir nenoteikta, tiek prognozēta.</w:t>
      </w:r>
    </w:p>
    <w:p w14:paraId="30E9592B" w14:textId="77777777" w:rsidR="006179BB" w:rsidRPr="006C1A81" w:rsidRDefault="006179BB" w:rsidP="006179BB">
      <w:pPr>
        <w:spacing w:before="120" w:after="120" w:line="240" w:lineRule="auto"/>
        <w:jc w:val="both"/>
        <w:rPr>
          <w:rFonts w:cstheme="minorHAnsi"/>
          <w:szCs w:val="24"/>
          <w:lang w:eastAsia="lv-LV"/>
        </w:rPr>
      </w:pPr>
      <w:r w:rsidRPr="006C1A81">
        <w:rPr>
          <w:rFonts w:cstheme="minorHAnsi"/>
          <w:szCs w:val="24"/>
          <w:lang w:eastAsia="lv-LV"/>
        </w:rPr>
        <w:t xml:space="preserve">Enerģijas resursu cenu prognozes sastādītas, izmantojot par pamatu starptautiskās Enerģētikas aģentūras (IEA WEO 2016) Pasaules enerģētikas pārskatā publicēto informāciju. Enerģijas resursu piegādes izmaksas jeb transportēšanas izmaksas modelī ir ņemtas vērā atsevišķi katram sektoram. Enerģijas resursu piegādes cenās ir iekļauti iekšzemes degvielas/enerģijas pārvadājumi, enerģijas resursu uzglabāšana, degvielas uzpildīšanas stacijas utt. </w:t>
      </w:r>
    </w:p>
    <w:p w14:paraId="030E8963" w14:textId="54B0F87F" w:rsidR="006179BB" w:rsidRPr="006C1A81" w:rsidRDefault="006179BB" w:rsidP="006179BB">
      <w:pPr>
        <w:spacing w:before="120" w:after="120" w:line="240" w:lineRule="auto"/>
        <w:jc w:val="both"/>
        <w:rPr>
          <w:rFonts w:cstheme="minorHAnsi"/>
          <w:szCs w:val="24"/>
          <w:lang w:eastAsia="lv-LV"/>
        </w:rPr>
      </w:pPr>
      <w:r w:rsidRPr="006C1A81">
        <w:rPr>
          <w:rFonts w:cstheme="minorHAnsi"/>
          <w:szCs w:val="24"/>
          <w:lang w:eastAsia="lv-LV"/>
        </w:rPr>
        <w:t xml:space="preserve">Modelējot enerģētikas sistēmu vērā tiek ņemti visi spēkā esošie nodokļi ar to likmēm un pieņēmumi par to attīstību nākotnē. Papildus prognožu aprēķināšanā tiek ņemts vērā arī EK prognozes par emisijas kvotu cenu ES ETS līdz 2050.gadam. </w:t>
      </w:r>
      <w:r w:rsidRPr="006C1A81">
        <w:rPr>
          <w:rFonts w:cstheme="minorHAnsi"/>
          <w:szCs w:val="24"/>
        </w:rPr>
        <w:t xml:space="preserve">EK aktualizējot emisijas kvotu cenas prognozes paredzēja, ka emisijas kvotu cena 2025.gadā būs 23,3 </w:t>
      </w:r>
      <w:r w:rsidR="00A45809">
        <w:rPr>
          <w:rFonts w:cstheme="minorHAnsi"/>
          <w:szCs w:val="24"/>
        </w:rPr>
        <w:t xml:space="preserve">EUR </w:t>
      </w:r>
      <w:r w:rsidRPr="006C1A81">
        <w:rPr>
          <w:rFonts w:cstheme="minorHAnsi"/>
          <w:szCs w:val="24"/>
        </w:rPr>
        <w:t xml:space="preserve">par kvotu, kas ir mazāk par 2019.gada cenu 24-25 </w:t>
      </w:r>
      <w:r w:rsidR="00A45809">
        <w:rPr>
          <w:rFonts w:cstheme="minorHAnsi"/>
          <w:szCs w:val="24"/>
        </w:rPr>
        <w:t>EUR</w:t>
      </w:r>
      <w:r w:rsidRPr="006C1A81">
        <w:rPr>
          <w:rFonts w:cstheme="minorHAnsi"/>
          <w:szCs w:val="24"/>
        </w:rPr>
        <w:t xml:space="preserve"> par kvotu, bet 2030.gadā – 34,7 </w:t>
      </w:r>
      <w:r w:rsidR="00A45809">
        <w:rPr>
          <w:rFonts w:cstheme="minorHAnsi"/>
          <w:szCs w:val="24"/>
        </w:rPr>
        <w:t>EUR</w:t>
      </w:r>
      <w:r w:rsidRPr="006C1A81">
        <w:rPr>
          <w:rFonts w:cstheme="minorHAnsi"/>
          <w:szCs w:val="24"/>
        </w:rPr>
        <w:t xml:space="preserve"> par kvotu.  </w:t>
      </w:r>
    </w:p>
    <w:p w14:paraId="5FB9485F" w14:textId="77777777" w:rsidR="006179BB" w:rsidRDefault="006179BB" w:rsidP="006179BB">
      <w:pPr>
        <w:rPr>
          <w:lang w:eastAsia="lv-LV"/>
        </w:rPr>
      </w:pPr>
    </w:p>
    <w:p w14:paraId="621A4133" w14:textId="77777777" w:rsidR="006179BB" w:rsidRPr="00C15715" w:rsidRDefault="006179BB" w:rsidP="0007326F">
      <w:pPr>
        <w:pStyle w:val="Heading20"/>
      </w:pPr>
      <w:bookmarkStart w:id="153" w:name="_Toc17878290"/>
      <w:bookmarkStart w:id="154" w:name="_Toc23245757"/>
      <w:bookmarkStart w:id="155" w:name="_Toc23245995"/>
      <w:bookmarkStart w:id="156" w:name="_Toc24408009"/>
      <w:bookmarkStart w:id="157" w:name="_Toc24408100"/>
      <w:bookmarkEnd w:id="139"/>
      <w:r w:rsidRPr="00C15715">
        <w:t>Dekarbonizācija</w:t>
      </w:r>
      <w:bookmarkEnd w:id="153"/>
      <w:bookmarkEnd w:id="154"/>
      <w:bookmarkEnd w:id="155"/>
      <w:bookmarkEnd w:id="156"/>
      <w:bookmarkEnd w:id="157"/>
    </w:p>
    <w:p w14:paraId="24442675" w14:textId="77777777" w:rsidR="006179BB" w:rsidRPr="006E6675" w:rsidRDefault="006179BB">
      <w:pPr>
        <w:pStyle w:val="Heading30"/>
      </w:pPr>
      <w:bookmarkStart w:id="158" w:name="_Toc23245758"/>
      <w:bookmarkStart w:id="159" w:name="_Toc23245996"/>
      <w:bookmarkStart w:id="160" w:name="_Toc24408010"/>
      <w:r w:rsidRPr="006E6675">
        <w:rPr>
          <w:rStyle w:val="normaltextrun"/>
        </w:rPr>
        <w:t>SEG emisijas un CO</w:t>
      </w:r>
      <w:r w:rsidRPr="006E6675">
        <w:rPr>
          <w:rStyle w:val="normaltextrun"/>
          <w:vertAlign w:val="subscript"/>
        </w:rPr>
        <w:t>2</w:t>
      </w:r>
      <w:r w:rsidRPr="006E6675">
        <w:rPr>
          <w:rStyle w:val="normaltextrun"/>
        </w:rPr>
        <w:t xml:space="preserve"> piesaiste</w:t>
      </w:r>
      <w:r w:rsidRPr="006E6675">
        <w:rPr>
          <w:rStyle w:val="FootnoteReference"/>
        </w:rPr>
        <w:footnoteReference w:id="39"/>
      </w:r>
      <w:bookmarkEnd w:id="158"/>
      <w:bookmarkEnd w:id="159"/>
      <w:bookmarkEnd w:id="160"/>
    </w:p>
    <w:p w14:paraId="658423AE" w14:textId="77777777" w:rsidR="006179BB" w:rsidRPr="00C15715" w:rsidRDefault="006179BB">
      <w:pPr>
        <w:pStyle w:val="Heading4"/>
      </w:pPr>
      <w:bookmarkStart w:id="161" w:name="_Toc23245759"/>
      <w:r w:rsidRPr="00C15715">
        <w:rPr>
          <w:rStyle w:val="normaltextrun"/>
        </w:rPr>
        <w:t>Esošā situācija</w:t>
      </w:r>
      <w:r w:rsidRPr="00C15715">
        <w:rPr>
          <w:rStyle w:val="eop"/>
        </w:rPr>
        <w:t> kopējā SEG emisiju apjomā</w:t>
      </w:r>
      <w:bookmarkEnd w:id="161"/>
      <w:r w:rsidRPr="00C15715">
        <w:rPr>
          <w:rStyle w:val="eop"/>
        </w:rPr>
        <w:t xml:space="preserve"> </w:t>
      </w:r>
    </w:p>
    <w:p w14:paraId="40769771" w14:textId="77777777" w:rsidR="00EA2D80" w:rsidRDefault="006179BB" w:rsidP="00EA2D80">
      <w:pPr>
        <w:spacing w:before="120" w:after="120" w:line="240" w:lineRule="auto"/>
        <w:jc w:val="both"/>
        <w:rPr>
          <w:rFonts w:cstheme="minorHAnsi"/>
          <w:szCs w:val="24"/>
        </w:rPr>
      </w:pPr>
      <w:r w:rsidRPr="00C15715">
        <w:rPr>
          <w:rFonts w:cstheme="minorHAnsi"/>
          <w:szCs w:val="24"/>
        </w:rPr>
        <w:t>Atbilstoši 2019. gada SEG inventarizācijai par 1990.-2017.gadu</w:t>
      </w:r>
      <w:r w:rsidRPr="00C15715">
        <w:rPr>
          <w:rStyle w:val="FootnoteReference"/>
          <w:rFonts w:cstheme="minorHAnsi"/>
          <w:szCs w:val="24"/>
        </w:rPr>
        <w:footnoteReference w:id="40"/>
      </w:r>
      <w:r w:rsidRPr="00C15715">
        <w:rPr>
          <w:rFonts w:cstheme="minorHAnsi"/>
          <w:szCs w:val="24"/>
        </w:rPr>
        <w:t xml:space="preserve"> (turpmāk – 2019. gada SEG inventarizācija) un aptuvenai SEG inventarizācijai par 2018.gadu</w:t>
      </w:r>
      <w:r w:rsidRPr="00C15715">
        <w:rPr>
          <w:rStyle w:val="FootnoteReference"/>
          <w:rFonts w:cstheme="minorHAnsi"/>
          <w:szCs w:val="24"/>
        </w:rPr>
        <w:footnoteReference w:id="41"/>
      </w:r>
      <w:r w:rsidRPr="00C15715">
        <w:rPr>
          <w:rFonts w:cstheme="minorHAnsi"/>
          <w:szCs w:val="24"/>
        </w:rPr>
        <w:t xml:space="preserve"> Latvijas kopējās SEG</w:t>
      </w:r>
      <w:r w:rsidRPr="00C15715">
        <w:rPr>
          <w:rFonts w:cstheme="minorHAnsi"/>
          <w:b/>
          <w:szCs w:val="24"/>
        </w:rPr>
        <w:t xml:space="preserve"> </w:t>
      </w:r>
      <w:r w:rsidRPr="00C15715">
        <w:rPr>
          <w:rFonts w:cstheme="minorHAnsi"/>
          <w:szCs w:val="24"/>
        </w:rPr>
        <w:t xml:space="preserve">emisijas no 1990.gada līdz 2017.gadam un līdz 2018. gadam ir samazinātas attiecīgi </w:t>
      </w:r>
      <w:r w:rsidR="00EA2D80">
        <w:rPr>
          <w:rFonts w:cstheme="minorHAnsi"/>
          <w:szCs w:val="24"/>
        </w:rPr>
        <w:t xml:space="preserve">par 56,9% un 55,1%, savukārt laika posmā no 2005.gada līdz 2017.gadam un 2018.gadam attiecīgi Latvijas kopējās SEG emisijas ir samazinātas par 0,7% un palielinātas par 3,4%. </w:t>
      </w:r>
    </w:p>
    <w:p w14:paraId="209C9834" w14:textId="77777777" w:rsidR="00EA2D80" w:rsidRDefault="00EA2D80" w:rsidP="00EA2D80">
      <w:pPr>
        <w:spacing w:before="120" w:after="120" w:line="240" w:lineRule="auto"/>
        <w:jc w:val="both"/>
        <w:rPr>
          <w:rFonts w:cstheme="minorHAnsi"/>
        </w:rPr>
      </w:pPr>
      <w:r>
        <w:rPr>
          <w:rFonts w:cstheme="minorHAnsi"/>
          <w:szCs w:val="24"/>
        </w:rPr>
        <w:t>Kopējās Latvijas SEG emisijas 2017. gadā bija 11 325,3 kt CO</w:t>
      </w:r>
      <w:r>
        <w:rPr>
          <w:rFonts w:cstheme="minorHAnsi"/>
          <w:szCs w:val="24"/>
          <w:vertAlign w:val="subscript"/>
        </w:rPr>
        <w:t>2</w:t>
      </w:r>
      <w:r>
        <w:rPr>
          <w:rFonts w:cstheme="minorHAnsi"/>
          <w:szCs w:val="24"/>
        </w:rPr>
        <w:t xml:space="preserve"> ekv., bet aptuvenās 2018. gada SEG emisijas – 11 800,2 kt CO</w:t>
      </w:r>
      <w:r>
        <w:rPr>
          <w:rFonts w:cstheme="minorHAnsi"/>
          <w:szCs w:val="24"/>
          <w:vertAlign w:val="subscript"/>
        </w:rPr>
        <w:t>2</w:t>
      </w:r>
      <w:r>
        <w:rPr>
          <w:rFonts w:cstheme="minorHAnsi"/>
          <w:szCs w:val="24"/>
        </w:rPr>
        <w:t xml:space="preserve"> ekv.</w:t>
      </w:r>
    </w:p>
    <w:p w14:paraId="62ADFB0D" w14:textId="6E3348A3" w:rsidR="006179BB" w:rsidRPr="00C15715" w:rsidRDefault="006179BB" w:rsidP="00EA2D80">
      <w:pPr>
        <w:spacing w:before="120" w:after="120" w:line="240" w:lineRule="auto"/>
        <w:jc w:val="both"/>
        <w:rPr>
          <w:rFonts w:cstheme="minorHAnsi"/>
        </w:rPr>
      </w:pPr>
      <w:r>
        <w:rPr>
          <w:rFonts w:cstheme="minorHAnsi"/>
          <w:noProof/>
        </w:rPr>
        <w:drawing>
          <wp:inline distT="0" distB="0" distL="0" distR="0" wp14:anchorId="177B9B00" wp14:editId="7BF5FD27">
            <wp:extent cx="5117017" cy="2774950"/>
            <wp:effectExtent l="0" t="0" r="762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4274" cy="2789731"/>
                    </a:xfrm>
                    <a:prstGeom prst="rect">
                      <a:avLst/>
                    </a:prstGeom>
                    <a:noFill/>
                  </pic:spPr>
                </pic:pic>
              </a:graphicData>
            </a:graphic>
          </wp:inline>
        </w:drawing>
      </w:r>
    </w:p>
    <w:p w14:paraId="4785012E" w14:textId="57586DBA"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162" w:name="_Toc23782684"/>
      <w:r w:rsidR="006E6675">
        <w:rPr>
          <w:rFonts w:asciiTheme="minorHAnsi" w:hAnsiTheme="minorHAnsi" w:cstheme="minorHAnsi"/>
          <w:noProof/>
        </w:rPr>
        <w:t>4</w:t>
      </w:r>
      <w:r w:rsidRPr="00C15715">
        <w:rPr>
          <w:rFonts w:asciiTheme="minorHAnsi" w:hAnsiTheme="minorHAnsi" w:cstheme="minorHAnsi"/>
          <w:noProof/>
        </w:rPr>
        <w:fldChar w:fldCharType="end"/>
      </w:r>
      <w:r w:rsidRPr="00C15715">
        <w:rPr>
          <w:rFonts w:asciiTheme="minorHAnsi" w:hAnsiTheme="minorHAnsi" w:cstheme="minorHAnsi"/>
        </w:rPr>
        <w:t>. attēls. Latvijas kopējās SEG emisijas (ieskaitot un neieskaitot ZIZIMM) 1990.-2018.gadā un ETS/ne-ETS SEG emisiju apjoma īpatsvars 2017. un 2018.gadā (kt CO</w:t>
      </w:r>
      <w:r w:rsidRPr="00C15715">
        <w:rPr>
          <w:rFonts w:asciiTheme="minorHAnsi" w:hAnsiTheme="minorHAnsi" w:cstheme="minorHAnsi"/>
          <w:vertAlign w:val="subscript"/>
        </w:rPr>
        <w:t>2</w:t>
      </w:r>
      <w:r w:rsidRPr="00C15715">
        <w:rPr>
          <w:rFonts w:asciiTheme="minorHAnsi" w:hAnsiTheme="minorHAnsi" w:cstheme="minorHAnsi"/>
        </w:rPr>
        <w:t xml:space="preserve"> ekv.)</w:t>
      </w:r>
      <w:bookmarkEnd w:id="162"/>
    </w:p>
    <w:p w14:paraId="548B2B49" w14:textId="77777777" w:rsidR="006179BB" w:rsidRPr="00EA2D80" w:rsidRDefault="006179BB">
      <w:pPr>
        <w:pStyle w:val="Heading4"/>
      </w:pPr>
      <w:bookmarkStart w:id="163" w:name="_Toc23245760"/>
      <w:r w:rsidRPr="00EA2D80">
        <w:t xml:space="preserve">Esošā situācija </w:t>
      </w:r>
      <w:r w:rsidRPr="00EA2D80">
        <w:rPr>
          <w:rStyle w:val="eop"/>
        </w:rPr>
        <w:t>ETS un ne-ETS darbību SEG emisiju samazināšanā</w:t>
      </w:r>
      <w:bookmarkEnd w:id="163"/>
    </w:p>
    <w:p w14:paraId="7A0866BC" w14:textId="591F84A9" w:rsidR="006179BB" w:rsidRPr="00EA2D80" w:rsidRDefault="00EA2D80" w:rsidP="00EA2D80">
      <w:pPr>
        <w:spacing w:before="120" w:after="120" w:line="240" w:lineRule="auto"/>
        <w:jc w:val="both"/>
        <w:rPr>
          <w:rFonts w:cstheme="minorHAnsi"/>
          <w:szCs w:val="24"/>
          <w:lang w:eastAsia="lv-LV"/>
        </w:rPr>
      </w:pPr>
      <w:r w:rsidRPr="00EA2D80">
        <w:rPr>
          <w:rFonts w:cstheme="minorHAnsi"/>
          <w:szCs w:val="24"/>
        </w:rPr>
        <w:t>Latvijas kopējā SEG emisiju apjomā 2017.gadā dominēja ne-ETS darbību SEG emisiju apjoms – 81,9 %</w:t>
      </w:r>
      <w:r w:rsidRPr="00EA2D80">
        <w:rPr>
          <w:rStyle w:val="FootnoteReference"/>
          <w:rFonts w:cstheme="minorHAnsi"/>
          <w:szCs w:val="24"/>
        </w:rPr>
        <w:footnoteReference w:id="42"/>
      </w:r>
      <w:r w:rsidRPr="00EA2D80">
        <w:rPr>
          <w:rFonts w:cstheme="minorHAnsi"/>
          <w:szCs w:val="24"/>
        </w:rPr>
        <w:t>. 2018. gada aptuvenais ne-ETS darbību SEG emisiju apjoma īpatsvars kopējā Latvijas SEG emisiju apjomā ir mazāks – 77,8%. Latvijas ETS operatoru radītais SEG emisiju apjoms 2017. gadā bija 2049,8 kt CO</w:t>
      </w:r>
      <w:r w:rsidRPr="00EA2D80">
        <w:rPr>
          <w:rFonts w:cstheme="minorHAnsi"/>
          <w:szCs w:val="24"/>
          <w:vertAlign w:val="subscript"/>
        </w:rPr>
        <w:t>2</w:t>
      </w:r>
      <w:r w:rsidRPr="00EA2D80">
        <w:rPr>
          <w:rFonts w:cstheme="minorHAnsi"/>
          <w:szCs w:val="24"/>
        </w:rPr>
        <w:t xml:space="preserve"> ekv., bet 2018. gadā – jau 2612,6 kt CO</w:t>
      </w:r>
      <w:r w:rsidRPr="00EA2D80">
        <w:rPr>
          <w:rFonts w:cstheme="minorHAnsi"/>
          <w:szCs w:val="24"/>
          <w:vertAlign w:val="subscript"/>
        </w:rPr>
        <w:t>2</w:t>
      </w:r>
      <w:r w:rsidRPr="00EA2D80">
        <w:rPr>
          <w:rFonts w:cstheme="minorHAnsi"/>
          <w:szCs w:val="24"/>
        </w:rPr>
        <w:t xml:space="preserve"> ekv. jeb attiecīgi 18,1% vai 22,1% no kopējā Latvijas SEG emisiju apjoma.</w:t>
      </w:r>
    </w:p>
    <w:p w14:paraId="2F5A249F" w14:textId="77777777" w:rsidR="006179BB" w:rsidRPr="00C15715" w:rsidRDefault="006179BB" w:rsidP="006179BB">
      <w:pPr>
        <w:spacing w:before="120" w:after="120" w:line="240" w:lineRule="auto"/>
        <w:jc w:val="center"/>
        <w:rPr>
          <w:rFonts w:cstheme="minorHAnsi"/>
          <w:szCs w:val="24"/>
        </w:rPr>
      </w:pPr>
      <w:r w:rsidRPr="00E85B28">
        <w:rPr>
          <w:rFonts w:cstheme="minorHAnsi"/>
          <w:noProof/>
          <w:color w:val="FF0000"/>
          <w:szCs w:val="24"/>
          <w:lang w:eastAsia="lv-LV"/>
        </w:rPr>
        <w:drawing>
          <wp:inline distT="0" distB="0" distL="0" distR="0" wp14:anchorId="26FDBD2D" wp14:editId="6F4F3280">
            <wp:extent cx="4815929" cy="2736850"/>
            <wp:effectExtent l="0" t="0" r="381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7104" cy="2743201"/>
                    </a:xfrm>
                    <a:prstGeom prst="rect">
                      <a:avLst/>
                    </a:prstGeom>
                    <a:noFill/>
                  </pic:spPr>
                </pic:pic>
              </a:graphicData>
            </a:graphic>
          </wp:inline>
        </w:drawing>
      </w:r>
    </w:p>
    <w:p w14:paraId="303BB803" w14:textId="2E8E927E"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164" w:name="_Toc23782685"/>
      <w:r w:rsidR="006E6675">
        <w:rPr>
          <w:rFonts w:asciiTheme="minorHAnsi" w:hAnsiTheme="minorHAnsi" w:cstheme="minorHAnsi"/>
          <w:noProof/>
        </w:rPr>
        <w:t>5</w:t>
      </w:r>
      <w:r w:rsidRPr="00C15715">
        <w:rPr>
          <w:rFonts w:asciiTheme="minorHAnsi" w:hAnsiTheme="minorHAnsi" w:cstheme="minorHAnsi"/>
          <w:noProof/>
        </w:rPr>
        <w:fldChar w:fldCharType="end"/>
      </w:r>
      <w:r w:rsidRPr="00C15715">
        <w:rPr>
          <w:rFonts w:asciiTheme="minorHAnsi" w:hAnsiTheme="minorHAnsi" w:cstheme="minorHAnsi"/>
        </w:rPr>
        <w:t>.attēls. Latvijas ne-ETS darbību un ETS SEG emisiju tendence 2005.-2018.gadā (kt CO</w:t>
      </w:r>
      <w:r w:rsidRPr="00C15715">
        <w:rPr>
          <w:rFonts w:asciiTheme="minorHAnsi" w:hAnsiTheme="minorHAnsi" w:cstheme="minorHAnsi"/>
          <w:vertAlign w:val="subscript"/>
        </w:rPr>
        <w:t>2</w:t>
      </w:r>
      <w:r w:rsidRPr="00C15715">
        <w:rPr>
          <w:rFonts w:asciiTheme="minorHAnsi" w:hAnsiTheme="minorHAnsi" w:cstheme="minorHAnsi"/>
        </w:rPr>
        <w:t xml:space="preserve"> ekv.)</w:t>
      </w:r>
      <w:bookmarkEnd w:id="164"/>
    </w:p>
    <w:p w14:paraId="7E0F132B"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Ne-ETS darbību SEG emisiju dinamika liecina par emisiju palielinājumu – 8,</w:t>
      </w:r>
      <w:r>
        <w:rPr>
          <w:rFonts w:cstheme="minorHAnsi"/>
          <w:szCs w:val="24"/>
        </w:rPr>
        <w:t>09</w:t>
      </w:r>
      <w:r w:rsidRPr="00C15715">
        <w:rPr>
          <w:rFonts w:cstheme="minorHAnsi"/>
          <w:szCs w:val="24"/>
        </w:rPr>
        <w:t>% palielinājums 2005.-2017. gadā un 7,</w:t>
      </w:r>
      <w:r>
        <w:rPr>
          <w:rFonts w:cstheme="minorHAnsi"/>
          <w:szCs w:val="24"/>
        </w:rPr>
        <w:t>38</w:t>
      </w:r>
      <w:r w:rsidRPr="00C15715">
        <w:rPr>
          <w:rFonts w:cstheme="minorHAnsi"/>
          <w:szCs w:val="24"/>
        </w:rPr>
        <w:t>% palielinājums 2005.-2018. gadā. Salīdzinot ar 2005.gadu</w:t>
      </w:r>
      <w:r>
        <w:rPr>
          <w:rFonts w:cstheme="minorHAnsi"/>
          <w:szCs w:val="24"/>
        </w:rPr>
        <w:t>,</w:t>
      </w:r>
      <w:r w:rsidRPr="00C15715">
        <w:rPr>
          <w:rFonts w:cstheme="minorHAnsi"/>
          <w:szCs w:val="24"/>
        </w:rPr>
        <w:t xml:space="preserve"> Latvijas ETS operatori līdz 2017. gadam bija samazinājuši savas SEG emisijas par 28,19%, savukārt līdz 2018. gadam – tikai par 8,47%.</w:t>
      </w:r>
    </w:p>
    <w:p w14:paraId="235F4EC9" w14:textId="0ECE1575" w:rsidR="006179BB" w:rsidRDefault="006179BB" w:rsidP="006179BB">
      <w:pPr>
        <w:pStyle w:val="Caption"/>
        <w:rPr>
          <w:rFonts w:asciiTheme="minorHAnsi" w:hAnsiTheme="minorHAnsi" w:cstheme="minorHAnsi"/>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Tabula \* ARABIC </w:instrText>
      </w:r>
      <w:r w:rsidRPr="00C15715">
        <w:rPr>
          <w:rFonts w:asciiTheme="minorHAnsi" w:hAnsiTheme="minorHAnsi" w:cstheme="minorHAnsi"/>
          <w:szCs w:val="24"/>
        </w:rPr>
        <w:fldChar w:fldCharType="separate"/>
      </w:r>
      <w:r w:rsidR="006E6675">
        <w:rPr>
          <w:rFonts w:asciiTheme="minorHAnsi" w:hAnsiTheme="minorHAnsi" w:cstheme="minorHAnsi"/>
          <w:noProof/>
          <w:szCs w:val="24"/>
        </w:rPr>
        <w:t>4</w:t>
      </w:r>
      <w:r w:rsidRPr="00C15715">
        <w:rPr>
          <w:rFonts w:asciiTheme="minorHAnsi" w:hAnsiTheme="minorHAnsi" w:cstheme="minorHAnsi"/>
          <w:szCs w:val="24"/>
        </w:rPr>
        <w:fldChar w:fldCharType="end"/>
      </w:r>
      <w:r w:rsidRPr="00C15715">
        <w:rPr>
          <w:rFonts w:asciiTheme="minorHAnsi" w:hAnsiTheme="minorHAnsi" w:cstheme="minorHAnsi"/>
        </w:rPr>
        <w:t>.tabula. Latvijas ne-ETS darbību SEG emisiju apjoma īpatsvars un izmaiņas 2017.gadā (%)</w:t>
      </w: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564"/>
        <w:gridCol w:w="1650"/>
        <w:gridCol w:w="1551"/>
        <w:gridCol w:w="1462"/>
      </w:tblGrid>
      <w:tr w:rsidR="006179BB" w:rsidRPr="006853D3" w14:paraId="34E44CB8" w14:textId="77777777" w:rsidTr="006179BB">
        <w:trPr>
          <w:trHeight w:val="334"/>
          <w:tblHeader/>
          <w:jc w:val="center"/>
        </w:trPr>
        <w:tc>
          <w:tcPr>
            <w:tcW w:w="3119" w:type="dxa"/>
            <w:vMerge w:val="restart"/>
            <w:shd w:val="clear" w:color="auto" w:fill="D9D9D9" w:themeFill="background1" w:themeFillShade="D9"/>
            <w:vAlign w:val="center"/>
          </w:tcPr>
          <w:p w14:paraId="1A5E39BB" w14:textId="77777777" w:rsidR="006179BB" w:rsidRPr="006853D3" w:rsidRDefault="006179BB" w:rsidP="006179BB">
            <w:pPr>
              <w:spacing w:after="0" w:line="240" w:lineRule="auto"/>
              <w:jc w:val="center"/>
              <w:rPr>
                <w:rFonts w:eastAsia="Times New Roman" w:cstheme="minorHAnsi"/>
                <w:b/>
                <w:bCs/>
                <w:color w:val="FF0000"/>
                <w:sz w:val="22"/>
                <w:lang w:eastAsia="lv-LV"/>
              </w:rPr>
            </w:pPr>
            <w:r w:rsidRPr="006853D3">
              <w:rPr>
                <w:rFonts w:eastAsia="Times New Roman" w:cstheme="minorHAnsi"/>
                <w:b/>
                <w:bCs/>
                <w:color w:val="FF0000"/>
                <w:sz w:val="22"/>
                <w:lang w:eastAsia="lv-LV"/>
              </w:rPr>
              <w:t> </w:t>
            </w:r>
          </w:p>
        </w:tc>
        <w:tc>
          <w:tcPr>
            <w:tcW w:w="3214" w:type="dxa"/>
            <w:gridSpan w:val="2"/>
            <w:shd w:val="clear" w:color="auto" w:fill="D9D9D9" w:themeFill="background1" w:themeFillShade="D9"/>
            <w:vAlign w:val="center"/>
          </w:tcPr>
          <w:p w14:paraId="2BD98411" w14:textId="77777777" w:rsidR="006179BB" w:rsidRPr="00026884" w:rsidRDefault="006179BB" w:rsidP="006179BB">
            <w:pPr>
              <w:spacing w:after="0" w:line="240" w:lineRule="auto"/>
              <w:jc w:val="center"/>
              <w:rPr>
                <w:rFonts w:cstheme="minorHAnsi"/>
                <w:b/>
                <w:bCs/>
                <w:sz w:val="22"/>
              </w:rPr>
            </w:pPr>
            <w:r w:rsidRPr="00026884">
              <w:rPr>
                <w:rFonts w:cstheme="minorHAnsi"/>
                <w:b/>
                <w:bCs/>
                <w:sz w:val="22"/>
              </w:rPr>
              <w:t>Īpatsvars 2017.g. (%)</w:t>
            </w:r>
          </w:p>
        </w:tc>
        <w:tc>
          <w:tcPr>
            <w:tcW w:w="3013" w:type="dxa"/>
            <w:gridSpan w:val="2"/>
            <w:shd w:val="clear" w:color="auto" w:fill="D9D9D9" w:themeFill="background1" w:themeFillShade="D9"/>
            <w:vAlign w:val="center"/>
          </w:tcPr>
          <w:p w14:paraId="52AC3E71" w14:textId="77777777" w:rsidR="006179BB" w:rsidRPr="00026884" w:rsidRDefault="006179BB" w:rsidP="006179BB">
            <w:pPr>
              <w:spacing w:after="0" w:line="240" w:lineRule="auto"/>
              <w:jc w:val="center"/>
              <w:rPr>
                <w:rFonts w:cstheme="minorHAnsi"/>
                <w:b/>
                <w:bCs/>
                <w:sz w:val="22"/>
              </w:rPr>
            </w:pPr>
            <w:r w:rsidRPr="00026884">
              <w:rPr>
                <w:rFonts w:cstheme="minorHAnsi"/>
                <w:b/>
                <w:bCs/>
                <w:sz w:val="22"/>
              </w:rPr>
              <w:t>Izmaiņas</w:t>
            </w:r>
            <w:r>
              <w:rPr>
                <w:rFonts w:cstheme="minorHAnsi"/>
                <w:b/>
                <w:bCs/>
                <w:sz w:val="22"/>
              </w:rPr>
              <w:t xml:space="preserve"> (%)</w:t>
            </w:r>
          </w:p>
        </w:tc>
      </w:tr>
      <w:tr w:rsidR="006179BB" w:rsidRPr="006853D3" w14:paraId="11523809" w14:textId="77777777" w:rsidTr="006179BB">
        <w:trPr>
          <w:trHeight w:val="645"/>
          <w:tblHeader/>
          <w:jc w:val="center"/>
        </w:trPr>
        <w:tc>
          <w:tcPr>
            <w:tcW w:w="3119" w:type="dxa"/>
            <w:vMerge/>
            <w:shd w:val="clear" w:color="auto" w:fill="D9D9D9" w:themeFill="background1" w:themeFillShade="D9"/>
            <w:vAlign w:val="center"/>
            <w:hideMark/>
          </w:tcPr>
          <w:p w14:paraId="355FF640" w14:textId="77777777" w:rsidR="006179BB" w:rsidRPr="006853D3" w:rsidRDefault="006179BB" w:rsidP="006179BB">
            <w:pPr>
              <w:spacing w:after="0" w:line="240" w:lineRule="auto"/>
              <w:jc w:val="center"/>
              <w:rPr>
                <w:rFonts w:eastAsia="Times New Roman" w:cstheme="minorHAnsi"/>
                <w:b/>
                <w:bCs/>
                <w:color w:val="FF0000"/>
                <w:sz w:val="22"/>
                <w:lang w:eastAsia="lv-LV"/>
              </w:rPr>
            </w:pPr>
          </w:p>
        </w:tc>
        <w:tc>
          <w:tcPr>
            <w:tcW w:w="1564" w:type="dxa"/>
            <w:shd w:val="clear" w:color="auto" w:fill="D9D9D9" w:themeFill="background1" w:themeFillShade="D9"/>
            <w:vAlign w:val="center"/>
          </w:tcPr>
          <w:p w14:paraId="3D76D310" w14:textId="77777777" w:rsidR="006179BB" w:rsidRPr="00026884" w:rsidRDefault="006179BB" w:rsidP="006179BB">
            <w:pPr>
              <w:spacing w:after="0" w:line="240" w:lineRule="auto"/>
              <w:jc w:val="center"/>
              <w:rPr>
                <w:rFonts w:cstheme="minorHAnsi"/>
                <w:b/>
                <w:bCs/>
                <w:sz w:val="22"/>
              </w:rPr>
            </w:pPr>
            <w:r w:rsidRPr="00026884">
              <w:rPr>
                <w:rFonts w:cstheme="minorHAnsi"/>
                <w:b/>
                <w:bCs/>
                <w:sz w:val="22"/>
              </w:rPr>
              <w:t>Kopējās SEG emisijās</w:t>
            </w:r>
          </w:p>
        </w:tc>
        <w:tc>
          <w:tcPr>
            <w:tcW w:w="1650" w:type="dxa"/>
            <w:shd w:val="clear" w:color="auto" w:fill="D9D9D9" w:themeFill="background1" w:themeFillShade="D9"/>
            <w:vAlign w:val="center"/>
          </w:tcPr>
          <w:p w14:paraId="128BD02D" w14:textId="77777777" w:rsidR="006179BB" w:rsidRPr="00026884" w:rsidRDefault="006179BB" w:rsidP="006179BB">
            <w:pPr>
              <w:spacing w:after="0" w:line="240" w:lineRule="auto"/>
              <w:jc w:val="center"/>
              <w:rPr>
                <w:rFonts w:cstheme="minorHAnsi"/>
                <w:b/>
                <w:bCs/>
                <w:sz w:val="22"/>
              </w:rPr>
            </w:pPr>
            <w:r w:rsidRPr="00026884">
              <w:rPr>
                <w:rFonts w:cstheme="minorHAnsi"/>
                <w:b/>
                <w:bCs/>
                <w:sz w:val="22"/>
              </w:rPr>
              <w:t>Ne-ETS darbību SEG emisijās</w:t>
            </w:r>
          </w:p>
        </w:tc>
        <w:tc>
          <w:tcPr>
            <w:tcW w:w="1551" w:type="dxa"/>
            <w:shd w:val="clear" w:color="auto" w:fill="D9D9D9" w:themeFill="background1" w:themeFillShade="D9"/>
            <w:vAlign w:val="center"/>
          </w:tcPr>
          <w:p w14:paraId="18BE0D24" w14:textId="77777777" w:rsidR="006179BB" w:rsidRPr="00026884" w:rsidRDefault="006179BB" w:rsidP="006179BB">
            <w:pPr>
              <w:spacing w:after="0" w:line="240" w:lineRule="auto"/>
              <w:jc w:val="center"/>
              <w:rPr>
                <w:rFonts w:eastAsia="Times New Roman" w:cstheme="minorHAnsi"/>
                <w:b/>
                <w:bCs/>
                <w:sz w:val="22"/>
                <w:lang w:eastAsia="lv-LV"/>
              </w:rPr>
            </w:pPr>
            <w:r w:rsidRPr="00026884">
              <w:rPr>
                <w:rFonts w:cstheme="minorHAnsi"/>
                <w:b/>
                <w:bCs/>
                <w:sz w:val="22"/>
              </w:rPr>
              <w:t>2005.-2017.g.</w:t>
            </w:r>
          </w:p>
        </w:tc>
        <w:tc>
          <w:tcPr>
            <w:tcW w:w="1462" w:type="dxa"/>
            <w:shd w:val="clear" w:color="auto" w:fill="D9D9D9" w:themeFill="background1" w:themeFillShade="D9"/>
            <w:vAlign w:val="center"/>
          </w:tcPr>
          <w:p w14:paraId="4E0AD9CC" w14:textId="77777777" w:rsidR="006179BB" w:rsidRPr="00026884" w:rsidRDefault="006179BB" w:rsidP="006179BB">
            <w:pPr>
              <w:spacing w:after="0" w:line="240" w:lineRule="auto"/>
              <w:jc w:val="center"/>
              <w:rPr>
                <w:rFonts w:eastAsia="Times New Roman" w:cstheme="minorHAnsi"/>
                <w:b/>
                <w:bCs/>
                <w:sz w:val="22"/>
                <w:lang w:eastAsia="lv-LV"/>
              </w:rPr>
            </w:pPr>
            <w:r w:rsidRPr="00026884">
              <w:rPr>
                <w:rFonts w:cstheme="minorHAnsi"/>
                <w:b/>
                <w:bCs/>
                <w:sz w:val="22"/>
              </w:rPr>
              <w:t>2016.-2017.g.</w:t>
            </w:r>
          </w:p>
        </w:tc>
      </w:tr>
      <w:tr w:rsidR="00EA2D80" w14:paraId="352245F6"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197CE2CC" w14:textId="77777777" w:rsidR="00EA2D80" w:rsidRDefault="00EA2D80">
            <w:pPr>
              <w:spacing w:after="0" w:line="240" w:lineRule="auto"/>
              <w:rPr>
                <w:rFonts w:eastAsia="Times New Roman" w:cstheme="minorHAnsi"/>
                <w:b/>
                <w:bCs/>
                <w:sz w:val="22"/>
                <w:lang w:eastAsia="lv-LV"/>
              </w:rPr>
            </w:pPr>
            <w:r>
              <w:rPr>
                <w:rFonts w:eastAsia="Times New Roman" w:cstheme="minorHAnsi"/>
                <w:b/>
                <w:bCs/>
                <w:sz w:val="22"/>
                <w:lang w:eastAsia="lv-LV"/>
              </w:rPr>
              <w:t>ETS sektors</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7157C95" w14:textId="77777777" w:rsidR="00EA2D80" w:rsidRDefault="00EA2D80">
            <w:pPr>
              <w:spacing w:after="0" w:line="240" w:lineRule="auto"/>
              <w:jc w:val="center"/>
              <w:rPr>
                <w:rFonts w:eastAsia="Times New Roman" w:cstheme="minorHAnsi"/>
                <w:b/>
                <w:bCs/>
                <w:color w:val="FF0000"/>
                <w:sz w:val="22"/>
                <w:lang w:eastAsia="lv-LV"/>
              </w:rPr>
            </w:pPr>
            <w:r>
              <w:rPr>
                <w:rFonts w:eastAsia="Times New Roman" w:cstheme="minorHAnsi"/>
                <w:b/>
                <w:bCs/>
                <w:sz w:val="22"/>
                <w:lang w:eastAsia="lv-LV"/>
              </w:rPr>
              <w:t>18,1</w:t>
            </w:r>
          </w:p>
        </w:tc>
        <w:tc>
          <w:tcPr>
            <w:tcW w:w="1650" w:type="dxa"/>
            <w:tcBorders>
              <w:top w:val="single" w:sz="4" w:space="0" w:color="auto"/>
              <w:left w:val="single" w:sz="4" w:space="0" w:color="auto"/>
              <w:bottom w:val="single" w:sz="4" w:space="0" w:color="auto"/>
              <w:right w:val="single" w:sz="4" w:space="0" w:color="auto"/>
            </w:tcBorders>
            <w:vAlign w:val="center"/>
            <w:hideMark/>
          </w:tcPr>
          <w:p w14:paraId="3E593D1E" w14:textId="77777777" w:rsidR="00EA2D80" w:rsidRDefault="00EA2D80">
            <w:pPr>
              <w:spacing w:after="0" w:line="240" w:lineRule="auto"/>
              <w:jc w:val="center"/>
              <w:rPr>
                <w:rFonts w:eastAsia="Times New Roman" w:cstheme="minorHAnsi"/>
                <w:b/>
                <w:bCs/>
                <w:sz w:val="22"/>
                <w:lang w:eastAsia="lv-LV"/>
              </w:rPr>
            </w:pPr>
            <w:r>
              <w:rPr>
                <w:rFonts w:eastAsia="Times New Roman" w:cstheme="minorHAnsi"/>
                <w:b/>
                <w:bCs/>
                <w:sz w:val="22"/>
                <w:lang w:eastAsia="lv-LV"/>
              </w:rPr>
              <w:t>-</w:t>
            </w:r>
          </w:p>
        </w:tc>
        <w:tc>
          <w:tcPr>
            <w:tcW w:w="1551" w:type="dxa"/>
            <w:tcBorders>
              <w:top w:val="single" w:sz="4" w:space="0" w:color="auto"/>
              <w:left w:val="single" w:sz="4" w:space="0" w:color="auto"/>
              <w:bottom w:val="single" w:sz="4" w:space="0" w:color="auto"/>
              <w:right w:val="single" w:sz="4" w:space="0" w:color="auto"/>
            </w:tcBorders>
            <w:hideMark/>
          </w:tcPr>
          <w:p w14:paraId="008A6B57"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-28,2</w:t>
            </w:r>
          </w:p>
        </w:tc>
        <w:tc>
          <w:tcPr>
            <w:tcW w:w="1462" w:type="dxa"/>
            <w:tcBorders>
              <w:top w:val="single" w:sz="4" w:space="0" w:color="auto"/>
              <w:left w:val="single" w:sz="4" w:space="0" w:color="auto"/>
              <w:bottom w:val="single" w:sz="4" w:space="0" w:color="auto"/>
              <w:right w:val="single" w:sz="4" w:space="0" w:color="auto"/>
            </w:tcBorders>
            <w:hideMark/>
          </w:tcPr>
          <w:p w14:paraId="59448800"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-6,7</w:t>
            </w:r>
          </w:p>
        </w:tc>
      </w:tr>
      <w:tr w:rsidR="00EA2D80" w14:paraId="743CBBB2"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7EE2CB20" w14:textId="77777777" w:rsidR="00EA2D80" w:rsidRDefault="00EA2D80">
            <w:pPr>
              <w:spacing w:after="0" w:line="240" w:lineRule="auto"/>
              <w:ind w:firstLine="179"/>
              <w:rPr>
                <w:rFonts w:eastAsia="Times New Roman" w:cstheme="minorHAnsi"/>
                <w:sz w:val="22"/>
                <w:lang w:eastAsia="lv-LV"/>
              </w:rPr>
            </w:pPr>
            <w:r>
              <w:rPr>
                <w:rFonts w:eastAsia="Times New Roman" w:cstheme="minorHAnsi"/>
                <w:sz w:val="22"/>
                <w:lang w:eastAsia="lv-LV"/>
              </w:rPr>
              <w:t>ETS enerģētika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5D9785E1" w14:textId="77777777" w:rsidR="00EA2D80" w:rsidRDefault="00EA2D80">
            <w:pPr>
              <w:spacing w:after="0" w:line="240" w:lineRule="auto"/>
              <w:jc w:val="center"/>
              <w:rPr>
                <w:rFonts w:cstheme="minorHAnsi"/>
                <w:sz w:val="22"/>
              </w:rPr>
            </w:pPr>
            <w:r>
              <w:rPr>
                <w:rFonts w:cstheme="minorHAnsi"/>
                <w:sz w:val="22"/>
              </w:rPr>
              <w:t>14,0</w:t>
            </w:r>
          </w:p>
        </w:tc>
        <w:tc>
          <w:tcPr>
            <w:tcW w:w="1650" w:type="dxa"/>
            <w:tcBorders>
              <w:top w:val="single" w:sz="4" w:space="0" w:color="auto"/>
              <w:left w:val="single" w:sz="4" w:space="0" w:color="auto"/>
              <w:bottom w:val="single" w:sz="4" w:space="0" w:color="auto"/>
              <w:right w:val="single" w:sz="4" w:space="0" w:color="auto"/>
            </w:tcBorders>
            <w:vAlign w:val="center"/>
            <w:hideMark/>
          </w:tcPr>
          <w:p w14:paraId="18F8014D" w14:textId="77777777" w:rsidR="00EA2D80" w:rsidRDefault="00EA2D80">
            <w:pPr>
              <w:spacing w:after="0" w:line="240" w:lineRule="auto"/>
              <w:jc w:val="center"/>
              <w:rPr>
                <w:rFonts w:eastAsia="Times New Roman" w:cstheme="minorHAnsi"/>
                <w:sz w:val="22"/>
                <w:lang w:eastAsia="lv-LV"/>
              </w:rPr>
            </w:pPr>
            <w:r>
              <w:rPr>
                <w:rFonts w:eastAsia="Times New Roman" w:cstheme="minorHAnsi"/>
                <w:sz w:val="22"/>
                <w:lang w:eastAsia="lv-LV"/>
              </w:rPr>
              <w:t>-</w:t>
            </w:r>
          </w:p>
        </w:tc>
        <w:tc>
          <w:tcPr>
            <w:tcW w:w="1551" w:type="dxa"/>
            <w:tcBorders>
              <w:top w:val="single" w:sz="4" w:space="0" w:color="auto"/>
              <w:left w:val="single" w:sz="4" w:space="0" w:color="auto"/>
              <w:bottom w:val="single" w:sz="4" w:space="0" w:color="auto"/>
              <w:right w:val="single" w:sz="4" w:space="0" w:color="auto"/>
            </w:tcBorders>
            <w:hideMark/>
          </w:tcPr>
          <w:p w14:paraId="7D56A469" w14:textId="77777777" w:rsidR="00EA2D80" w:rsidRDefault="00EA2D80">
            <w:pPr>
              <w:spacing w:after="0" w:line="240" w:lineRule="auto"/>
              <w:jc w:val="center"/>
              <w:rPr>
                <w:rFonts w:eastAsia="Times New Roman" w:cstheme="minorHAnsi"/>
                <w:color w:val="FF0000"/>
                <w:szCs w:val="24"/>
                <w:lang w:eastAsia="lv-LV"/>
              </w:rPr>
            </w:pPr>
            <w:r>
              <w:rPr>
                <w:rFonts w:cstheme="minorHAnsi"/>
                <w:szCs w:val="24"/>
              </w:rPr>
              <w:t>-39,6</w:t>
            </w:r>
          </w:p>
        </w:tc>
        <w:tc>
          <w:tcPr>
            <w:tcW w:w="1462" w:type="dxa"/>
            <w:tcBorders>
              <w:top w:val="single" w:sz="4" w:space="0" w:color="auto"/>
              <w:left w:val="single" w:sz="4" w:space="0" w:color="auto"/>
              <w:bottom w:val="single" w:sz="4" w:space="0" w:color="auto"/>
              <w:right w:val="single" w:sz="4" w:space="0" w:color="auto"/>
            </w:tcBorders>
            <w:hideMark/>
          </w:tcPr>
          <w:p w14:paraId="7FEE4E3F" w14:textId="77777777" w:rsidR="00EA2D80" w:rsidRDefault="00EA2D80">
            <w:pPr>
              <w:spacing w:after="0" w:line="240" w:lineRule="auto"/>
              <w:jc w:val="center"/>
              <w:rPr>
                <w:rFonts w:eastAsia="Times New Roman" w:cstheme="minorHAnsi"/>
                <w:color w:val="FF0000"/>
                <w:szCs w:val="24"/>
                <w:lang w:eastAsia="lv-LV"/>
              </w:rPr>
            </w:pPr>
            <w:r>
              <w:rPr>
                <w:rFonts w:cstheme="minorHAnsi"/>
                <w:szCs w:val="24"/>
              </w:rPr>
              <w:t>-13,2</w:t>
            </w:r>
          </w:p>
        </w:tc>
      </w:tr>
      <w:tr w:rsidR="00EA2D80" w14:paraId="41BA0012" w14:textId="77777777" w:rsidTr="00EA2D80">
        <w:trPr>
          <w:trHeight w:val="315"/>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58F9A2C2" w14:textId="77777777" w:rsidR="00EA2D80" w:rsidRDefault="00EA2D80">
            <w:pPr>
              <w:spacing w:after="0" w:line="240" w:lineRule="auto"/>
              <w:ind w:firstLine="179"/>
              <w:rPr>
                <w:rFonts w:eastAsia="Times New Roman" w:cstheme="minorHAnsi"/>
                <w:sz w:val="22"/>
                <w:lang w:eastAsia="lv-LV"/>
              </w:rPr>
            </w:pPr>
            <w:r>
              <w:rPr>
                <w:rFonts w:eastAsia="Times New Roman" w:cstheme="minorHAnsi"/>
                <w:sz w:val="22"/>
                <w:lang w:eastAsia="lv-LV"/>
              </w:rPr>
              <w:t>ETS rūpnieciskie procesi</w:t>
            </w:r>
          </w:p>
        </w:tc>
        <w:tc>
          <w:tcPr>
            <w:tcW w:w="1564" w:type="dxa"/>
            <w:tcBorders>
              <w:top w:val="single" w:sz="4" w:space="0" w:color="auto"/>
              <w:left w:val="single" w:sz="4" w:space="0" w:color="auto"/>
              <w:bottom w:val="single" w:sz="4" w:space="0" w:color="auto"/>
              <w:right w:val="single" w:sz="4" w:space="0" w:color="auto"/>
            </w:tcBorders>
            <w:vAlign w:val="center"/>
            <w:hideMark/>
          </w:tcPr>
          <w:p w14:paraId="7BE5D97E" w14:textId="77777777" w:rsidR="00EA2D80" w:rsidRDefault="00EA2D80">
            <w:pPr>
              <w:spacing w:after="0" w:line="240" w:lineRule="auto"/>
              <w:jc w:val="center"/>
              <w:rPr>
                <w:rFonts w:cstheme="minorHAnsi"/>
                <w:sz w:val="22"/>
              </w:rPr>
            </w:pPr>
            <w:r>
              <w:rPr>
                <w:rFonts w:cstheme="minorHAnsi"/>
                <w:sz w:val="22"/>
              </w:rPr>
              <w:t>4,1</w:t>
            </w:r>
          </w:p>
        </w:tc>
        <w:tc>
          <w:tcPr>
            <w:tcW w:w="1650" w:type="dxa"/>
            <w:tcBorders>
              <w:top w:val="single" w:sz="4" w:space="0" w:color="auto"/>
              <w:left w:val="single" w:sz="4" w:space="0" w:color="auto"/>
              <w:bottom w:val="single" w:sz="4" w:space="0" w:color="auto"/>
              <w:right w:val="single" w:sz="4" w:space="0" w:color="auto"/>
            </w:tcBorders>
            <w:vAlign w:val="center"/>
            <w:hideMark/>
          </w:tcPr>
          <w:p w14:paraId="3BD5C1FE" w14:textId="77777777" w:rsidR="00EA2D80" w:rsidRDefault="00EA2D80">
            <w:pPr>
              <w:spacing w:after="0" w:line="240" w:lineRule="auto"/>
              <w:jc w:val="center"/>
              <w:rPr>
                <w:rFonts w:eastAsia="Times New Roman" w:cstheme="minorHAnsi"/>
                <w:sz w:val="22"/>
                <w:lang w:eastAsia="lv-LV"/>
              </w:rPr>
            </w:pPr>
            <w:r>
              <w:rPr>
                <w:rFonts w:eastAsia="Times New Roman" w:cstheme="minorHAnsi"/>
                <w:sz w:val="22"/>
                <w:lang w:eastAsia="lv-LV"/>
              </w:rPr>
              <w:t>-</w:t>
            </w:r>
          </w:p>
        </w:tc>
        <w:tc>
          <w:tcPr>
            <w:tcW w:w="1551" w:type="dxa"/>
            <w:tcBorders>
              <w:top w:val="single" w:sz="4" w:space="0" w:color="auto"/>
              <w:left w:val="single" w:sz="4" w:space="0" w:color="auto"/>
              <w:bottom w:val="single" w:sz="4" w:space="0" w:color="auto"/>
              <w:right w:val="single" w:sz="4" w:space="0" w:color="auto"/>
            </w:tcBorders>
            <w:hideMark/>
          </w:tcPr>
          <w:p w14:paraId="127FF3A2" w14:textId="77777777" w:rsidR="00EA2D80" w:rsidRDefault="00EA2D80">
            <w:pPr>
              <w:spacing w:after="0" w:line="240" w:lineRule="auto"/>
              <w:jc w:val="center"/>
              <w:rPr>
                <w:rFonts w:eastAsia="Times New Roman" w:cstheme="minorHAnsi"/>
                <w:color w:val="FF0000"/>
                <w:szCs w:val="24"/>
                <w:lang w:eastAsia="lv-LV"/>
              </w:rPr>
            </w:pPr>
            <w:r>
              <w:rPr>
                <w:rFonts w:cstheme="minorHAnsi"/>
                <w:szCs w:val="24"/>
              </w:rPr>
              <w:t>104,1</w:t>
            </w:r>
          </w:p>
        </w:tc>
        <w:tc>
          <w:tcPr>
            <w:tcW w:w="1462" w:type="dxa"/>
            <w:tcBorders>
              <w:top w:val="single" w:sz="4" w:space="0" w:color="auto"/>
              <w:left w:val="single" w:sz="4" w:space="0" w:color="auto"/>
              <w:bottom w:val="single" w:sz="4" w:space="0" w:color="auto"/>
              <w:right w:val="single" w:sz="4" w:space="0" w:color="auto"/>
            </w:tcBorders>
            <w:hideMark/>
          </w:tcPr>
          <w:p w14:paraId="51B256D5" w14:textId="77777777" w:rsidR="00EA2D80" w:rsidRDefault="00EA2D80">
            <w:pPr>
              <w:spacing w:after="0" w:line="240" w:lineRule="auto"/>
              <w:jc w:val="center"/>
              <w:rPr>
                <w:rFonts w:eastAsia="Times New Roman" w:cstheme="minorHAnsi"/>
                <w:color w:val="FF0000"/>
                <w:szCs w:val="24"/>
                <w:lang w:eastAsia="lv-LV"/>
              </w:rPr>
            </w:pPr>
            <w:r>
              <w:rPr>
                <w:rFonts w:cstheme="minorHAnsi"/>
                <w:szCs w:val="24"/>
              </w:rPr>
              <w:t>25,2</w:t>
            </w:r>
          </w:p>
        </w:tc>
      </w:tr>
      <w:tr w:rsidR="00EA2D80" w14:paraId="544B523A"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17A19273" w14:textId="77777777" w:rsidR="00EA2D80" w:rsidRDefault="00EA2D80">
            <w:pPr>
              <w:spacing w:after="0" w:line="240" w:lineRule="auto"/>
              <w:rPr>
                <w:rFonts w:eastAsia="Times New Roman" w:cstheme="minorHAnsi"/>
                <w:b/>
                <w:bCs/>
                <w:color w:val="FF0000"/>
                <w:szCs w:val="24"/>
                <w:lang w:eastAsia="lv-LV"/>
              </w:rPr>
            </w:pPr>
            <w:r>
              <w:rPr>
                <w:rFonts w:eastAsia="Times New Roman" w:cstheme="minorHAnsi"/>
                <w:b/>
                <w:bCs/>
                <w:szCs w:val="24"/>
                <w:lang w:eastAsia="lv-LV"/>
              </w:rPr>
              <w:t>Ne-ETS darbības</w:t>
            </w:r>
            <w:r>
              <w:rPr>
                <w:rStyle w:val="FootnoteReference"/>
                <w:rFonts w:eastAsia="Times New Roman" w:cstheme="minorHAnsi"/>
                <w:b/>
                <w:bCs/>
                <w:szCs w:val="24"/>
                <w:lang w:eastAsia="lv-LV"/>
              </w:rPr>
              <w:footnoteReference w:id="43"/>
            </w:r>
          </w:p>
        </w:tc>
        <w:tc>
          <w:tcPr>
            <w:tcW w:w="1564" w:type="dxa"/>
            <w:tcBorders>
              <w:top w:val="single" w:sz="4" w:space="0" w:color="auto"/>
              <w:left w:val="single" w:sz="4" w:space="0" w:color="auto"/>
              <w:bottom w:val="single" w:sz="4" w:space="0" w:color="auto"/>
              <w:right w:val="single" w:sz="4" w:space="0" w:color="auto"/>
            </w:tcBorders>
            <w:vAlign w:val="center"/>
            <w:hideMark/>
          </w:tcPr>
          <w:p w14:paraId="2C7C0C70" w14:textId="77777777" w:rsidR="00EA2D80" w:rsidRDefault="00EA2D80">
            <w:pPr>
              <w:spacing w:after="0" w:line="240" w:lineRule="auto"/>
              <w:jc w:val="center"/>
              <w:rPr>
                <w:rFonts w:cstheme="minorHAnsi"/>
                <w:b/>
                <w:bCs/>
                <w:color w:val="FF0000"/>
                <w:szCs w:val="24"/>
              </w:rPr>
            </w:pPr>
            <w:r>
              <w:rPr>
                <w:rFonts w:cstheme="minorHAnsi"/>
                <w:b/>
                <w:bCs/>
                <w:szCs w:val="24"/>
              </w:rPr>
              <w:t>81,9</w:t>
            </w:r>
          </w:p>
        </w:tc>
        <w:tc>
          <w:tcPr>
            <w:tcW w:w="1650" w:type="dxa"/>
            <w:tcBorders>
              <w:top w:val="single" w:sz="4" w:space="0" w:color="auto"/>
              <w:left w:val="single" w:sz="4" w:space="0" w:color="auto"/>
              <w:bottom w:val="single" w:sz="4" w:space="0" w:color="auto"/>
              <w:right w:val="single" w:sz="4" w:space="0" w:color="auto"/>
            </w:tcBorders>
            <w:vAlign w:val="center"/>
            <w:hideMark/>
          </w:tcPr>
          <w:p w14:paraId="2DF5E32E" w14:textId="77777777" w:rsidR="00EA2D80" w:rsidRDefault="00EA2D80">
            <w:pPr>
              <w:spacing w:after="0" w:line="240" w:lineRule="auto"/>
              <w:jc w:val="center"/>
              <w:rPr>
                <w:rFonts w:cstheme="minorHAnsi"/>
                <w:b/>
                <w:bCs/>
                <w:color w:val="FF0000"/>
                <w:szCs w:val="24"/>
              </w:rPr>
            </w:pPr>
            <w:r>
              <w:rPr>
                <w:rFonts w:cstheme="minorHAnsi"/>
                <w:b/>
                <w:bCs/>
                <w:szCs w:val="24"/>
              </w:rPr>
              <w:t>100</w:t>
            </w:r>
          </w:p>
        </w:tc>
        <w:tc>
          <w:tcPr>
            <w:tcW w:w="1551" w:type="dxa"/>
            <w:tcBorders>
              <w:top w:val="single" w:sz="4" w:space="0" w:color="auto"/>
              <w:left w:val="single" w:sz="4" w:space="0" w:color="auto"/>
              <w:bottom w:val="single" w:sz="4" w:space="0" w:color="auto"/>
              <w:right w:val="single" w:sz="4" w:space="0" w:color="auto"/>
            </w:tcBorders>
            <w:vAlign w:val="center"/>
            <w:hideMark/>
          </w:tcPr>
          <w:p w14:paraId="4D1921EB" w14:textId="77777777" w:rsidR="00EA2D80" w:rsidRDefault="00EA2D80">
            <w:pPr>
              <w:spacing w:after="0" w:line="240" w:lineRule="auto"/>
              <w:jc w:val="center"/>
              <w:rPr>
                <w:rFonts w:cstheme="minorHAnsi"/>
                <w:b/>
                <w:bCs/>
                <w:szCs w:val="24"/>
              </w:rPr>
            </w:pPr>
            <w:r>
              <w:rPr>
                <w:rFonts w:cstheme="minorHAnsi"/>
                <w:b/>
                <w:bCs/>
                <w:szCs w:val="24"/>
              </w:rPr>
              <w:t>8,4</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83715C7" w14:textId="77777777" w:rsidR="00EA2D80" w:rsidRDefault="00EA2D80">
            <w:pPr>
              <w:spacing w:after="0" w:line="240" w:lineRule="auto"/>
              <w:jc w:val="center"/>
              <w:rPr>
                <w:rFonts w:cstheme="minorHAnsi"/>
                <w:b/>
                <w:bCs/>
                <w:szCs w:val="24"/>
              </w:rPr>
            </w:pPr>
            <w:r>
              <w:rPr>
                <w:rFonts w:cstheme="minorHAnsi"/>
                <w:b/>
                <w:bCs/>
                <w:szCs w:val="24"/>
              </w:rPr>
              <w:t>2,0</w:t>
            </w:r>
          </w:p>
        </w:tc>
      </w:tr>
      <w:tr w:rsidR="00EA2D80" w14:paraId="72063B11"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689E5A3A" w14:textId="77777777" w:rsidR="00EA2D80" w:rsidRDefault="00EA2D80">
            <w:pPr>
              <w:spacing w:after="0" w:line="240" w:lineRule="auto"/>
              <w:rPr>
                <w:rFonts w:eastAsia="Times New Roman" w:cstheme="minorHAnsi"/>
                <w:b/>
                <w:bCs/>
                <w:szCs w:val="24"/>
                <w:lang w:eastAsia="lv-LV"/>
              </w:rPr>
            </w:pPr>
            <w:r>
              <w:rPr>
                <w:rFonts w:eastAsia="Times New Roman" w:cstheme="minorHAnsi"/>
                <w:b/>
                <w:bCs/>
                <w:szCs w:val="24"/>
                <w:lang w:eastAsia="lv-LV"/>
              </w:rPr>
              <w:t>ne-ETS enerģētika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DF85723" w14:textId="77777777" w:rsidR="00EA2D80" w:rsidRDefault="00EA2D80">
            <w:pPr>
              <w:spacing w:after="0" w:line="240" w:lineRule="auto"/>
              <w:jc w:val="center"/>
              <w:rPr>
                <w:rFonts w:cstheme="minorHAnsi"/>
                <w:b/>
                <w:bCs/>
                <w:color w:val="FF0000"/>
                <w:szCs w:val="24"/>
              </w:rPr>
            </w:pPr>
            <w:r>
              <w:rPr>
                <w:rFonts w:cstheme="minorHAnsi"/>
                <w:b/>
                <w:bCs/>
                <w:szCs w:val="24"/>
              </w:rPr>
              <w:t>49,9</w:t>
            </w:r>
          </w:p>
        </w:tc>
        <w:tc>
          <w:tcPr>
            <w:tcW w:w="1650" w:type="dxa"/>
            <w:tcBorders>
              <w:top w:val="single" w:sz="4" w:space="0" w:color="auto"/>
              <w:left w:val="single" w:sz="4" w:space="0" w:color="auto"/>
              <w:bottom w:val="single" w:sz="4" w:space="0" w:color="auto"/>
              <w:right w:val="single" w:sz="4" w:space="0" w:color="auto"/>
            </w:tcBorders>
            <w:vAlign w:val="center"/>
            <w:hideMark/>
          </w:tcPr>
          <w:p w14:paraId="5B339B0D" w14:textId="77777777" w:rsidR="00EA2D80" w:rsidRDefault="00EA2D80">
            <w:pPr>
              <w:spacing w:after="0" w:line="240" w:lineRule="auto"/>
              <w:jc w:val="center"/>
              <w:rPr>
                <w:rFonts w:cstheme="minorHAnsi"/>
                <w:b/>
                <w:bCs/>
                <w:color w:val="FF0000"/>
                <w:szCs w:val="24"/>
              </w:rPr>
            </w:pPr>
            <w:r>
              <w:rPr>
                <w:rFonts w:cstheme="minorHAnsi"/>
                <w:b/>
                <w:bCs/>
                <w:szCs w:val="24"/>
              </w:rPr>
              <w:t>61,0</w:t>
            </w:r>
          </w:p>
        </w:tc>
        <w:tc>
          <w:tcPr>
            <w:tcW w:w="1551" w:type="dxa"/>
            <w:tcBorders>
              <w:top w:val="single" w:sz="4" w:space="0" w:color="auto"/>
              <w:left w:val="single" w:sz="4" w:space="0" w:color="auto"/>
              <w:bottom w:val="single" w:sz="4" w:space="0" w:color="auto"/>
              <w:right w:val="single" w:sz="4" w:space="0" w:color="auto"/>
            </w:tcBorders>
            <w:vAlign w:val="center"/>
            <w:hideMark/>
          </w:tcPr>
          <w:p w14:paraId="65D02A8C" w14:textId="77777777" w:rsidR="00EA2D80" w:rsidRDefault="00EA2D80">
            <w:pPr>
              <w:spacing w:after="0" w:line="240" w:lineRule="auto"/>
              <w:jc w:val="center"/>
              <w:rPr>
                <w:rFonts w:eastAsia="Times New Roman" w:cstheme="minorHAnsi"/>
                <w:b/>
                <w:bCs/>
                <w:szCs w:val="24"/>
                <w:lang w:eastAsia="lv-LV"/>
              </w:rPr>
            </w:pPr>
            <w:r>
              <w:rPr>
                <w:rFonts w:cstheme="minorHAnsi"/>
                <w:b/>
                <w:bCs/>
                <w:szCs w:val="24"/>
              </w:rPr>
              <w:t>3,8</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DFD1B1E" w14:textId="77777777" w:rsidR="00EA2D80" w:rsidRDefault="00EA2D80">
            <w:pPr>
              <w:spacing w:after="0" w:line="240" w:lineRule="auto"/>
              <w:jc w:val="center"/>
              <w:rPr>
                <w:rFonts w:eastAsia="Times New Roman" w:cstheme="minorHAnsi"/>
                <w:b/>
                <w:bCs/>
                <w:szCs w:val="24"/>
                <w:lang w:eastAsia="lv-LV"/>
              </w:rPr>
            </w:pPr>
            <w:r>
              <w:rPr>
                <w:rFonts w:cstheme="minorHAnsi"/>
                <w:b/>
                <w:bCs/>
                <w:szCs w:val="24"/>
              </w:rPr>
              <w:t>4,0</w:t>
            </w:r>
          </w:p>
        </w:tc>
      </w:tr>
      <w:tr w:rsidR="00EA2D80" w14:paraId="6D248C07"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noWrap/>
            <w:vAlign w:val="center"/>
            <w:hideMark/>
          </w:tcPr>
          <w:p w14:paraId="7414EE0A" w14:textId="77777777" w:rsidR="00EA2D80" w:rsidRDefault="00EA2D80">
            <w:pPr>
              <w:spacing w:after="0" w:line="240" w:lineRule="auto"/>
              <w:ind w:firstLine="179"/>
              <w:rPr>
                <w:rFonts w:eastAsia="Times New Roman" w:cstheme="minorHAnsi"/>
                <w:bCs/>
                <w:szCs w:val="24"/>
                <w:lang w:eastAsia="lv-LV"/>
              </w:rPr>
            </w:pPr>
            <w:r>
              <w:rPr>
                <w:rFonts w:eastAsia="Times New Roman" w:cstheme="minorHAnsi"/>
                <w:bCs/>
                <w:szCs w:val="24"/>
                <w:lang w:eastAsia="lv-LV"/>
              </w:rPr>
              <w:t>transports</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1FCE101" w14:textId="77777777" w:rsidR="00EA2D80" w:rsidRDefault="00EA2D80">
            <w:pPr>
              <w:spacing w:after="0" w:line="240" w:lineRule="auto"/>
              <w:jc w:val="center"/>
              <w:rPr>
                <w:rFonts w:cstheme="minorHAnsi"/>
                <w:color w:val="FF0000"/>
                <w:szCs w:val="24"/>
              </w:rPr>
            </w:pPr>
            <w:r>
              <w:rPr>
                <w:rFonts w:cstheme="minorHAnsi"/>
                <w:szCs w:val="24"/>
              </w:rPr>
              <w:t>29,3</w:t>
            </w:r>
          </w:p>
        </w:tc>
        <w:tc>
          <w:tcPr>
            <w:tcW w:w="1650" w:type="dxa"/>
            <w:tcBorders>
              <w:top w:val="single" w:sz="4" w:space="0" w:color="auto"/>
              <w:left w:val="single" w:sz="4" w:space="0" w:color="auto"/>
              <w:bottom w:val="single" w:sz="4" w:space="0" w:color="auto"/>
              <w:right w:val="single" w:sz="4" w:space="0" w:color="auto"/>
            </w:tcBorders>
            <w:vAlign w:val="center"/>
            <w:hideMark/>
          </w:tcPr>
          <w:p w14:paraId="3D50C871" w14:textId="77777777" w:rsidR="00EA2D80" w:rsidRDefault="00EA2D80">
            <w:pPr>
              <w:spacing w:after="0" w:line="240" w:lineRule="auto"/>
              <w:jc w:val="center"/>
              <w:rPr>
                <w:rFonts w:cstheme="minorHAnsi"/>
                <w:color w:val="FF0000"/>
                <w:szCs w:val="24"/>
              </w:rPr>
            </w:pPr>
            <w:r>
              <w:rPr>
                <w:rFonts w:cstheme="minorHAnsi"/>
                <w:szCs w:val="24"/>
              </w:rPr>
              <w:t>35,8</w:t>
            </w:r>
          </w:p>
        </w:tc>
        <w:tc>
          <w:tcPr>
            <w:tcW w:w="1551" w:type="dxa"/>
            <w:tcBorders>
              <w:top w:val="single" w:sz="4" w:space="0" w:color="auto"/>
              <w:left w:val="single" w:sz="4" w:space="0" w:color="auto"/>
              <w:bottom w:val="single" w:sz="4" w:space="0" w:color="auto"/>
              <w:right w:val="single" w:sz="4" w:space="0" w:color="auto"/>
            </w:tcBorders>
            <w:vAlign w:val="center"/>
            <w:hideMark/>
          </w:tcPr>
          <w:p w14:paraId="5F267229" w14:textId="77777777" w:rsidR="00EA2D80" w:rsidRDefault="00EA2D80">
            <w:pPr>
              <w:spacing w:after="0" w:line="240" w:lineRule="auto"/>
              <w:jc w:val="center"/>
              <w:rPr>
                <w:rFonts w:eastAsia="Times New Roman" w:cstheme="minorHAnsi"/>
                <w:b/>
                <w:bCs/>
                <w:color w:val="FF0000"/>
                <w:szCs w:val="24"/>
                <w:lang w:eastAsia="lv-LV"/>
              </w:rPr>
            </w:pPr>
            <w:r>
              <w:rPr>
                <w:rFonts w:cstheme="minorHAnsi"/>
                <w:szCs w:val="24"/>
              </w:rPr>
              <w:t>6,9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0F68A4D" w14:textId="77777777" w:rsidR="00EA2D80" w:rsidRDefault="00EA2D80">
            <w:pPr>
              <w:spacing w:after="0" w:line="240" w:lineRule="auto"/>
              <w:jc w:val="center"/>
              <w:rPr>
                <w:rFonts w:eastAsia="Times New Roman" w:cstheme="minorHAnsi"/>
                <w:b/>
                <w:bCs/>
                <w:color w:val="FF0000"/>
                <w:szCs w:val="24"/>
                <w:lang w:eastAsia="lv-LV"/>
              </w:rPr>
            </w:pPr>
            <w:r>
              <w:rPr>
                <w:rFonts w:cstheme="minorHAnsi"/>
                <w:szCs w:val="24"/>
              </w:rPr>
              <w:t>4,8</w:t>
            </w:r>
          </w:p>
        </w:tc>
      </w:tr>
      <w:tr w:rsidR="00EA2D80" w14:paraId="34883DBF"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2E1CE380" w14:textId="77777777" w:rsidR="00EA2D80" w:rsidRDefault="00EA2D80">
            <w:pPr>
              <w:spacing w:after="0" w:line="240" w:lineRule="auto"/>
              <w:ind w:firstLine="179"/>
              <w:rPr>
                <w:rFonts w:eastAsia="Times New Roman" w:cstheme="minorHAnsi"/>
                <w:szCs w:val="24"/>
                <w:lang w:eastAsia="lv-LV"/>
              </w:rPr>
            </w:pPr>
            <w:r>
              <w:rPr>
                <w:rFonts w:eastAsia="Times New Roman" w:cstheme="minorHAnsi"/>
                <w:szCs w:val="24"/>
                <w:lang w:eastAsia="lv-LV"/>
              </w:rPr>
              <w:t>mājsaimniecības</w:t>
            </w:r>
          </w:p>
        </w:tc>
        <w:tc>
          <w:tcPr>
            <w:tcW w:w="1564" w:type="dxa"/>
            <w:tcBorders>
              <w:top w:val="single" w:sz="4" w:space="0" w:color="auto"/>
              <w:left w:val="single" w:sz="4" w:space="0" w:color="auto"/>
              <w:bottom w:val="single" w:sz="4" w:space="0" w:color="auto"/>
              <w:right w:val="single" w:sz="4" w:space="0" w:color="auto"/>
            </w:tcBorders>
            <w:vAlign w:val="center"/>
            <w:hideMark/>
          </w:tcPr>
          <w:p w14:paraId="25508230" w14:textId="77777777" w:rsidR="00EA2D80" w:rsidRDefault="00EA2D80">
            <w:pPr>
              <w:spacing w:after="0" w:line="240" w:lineRule="auto"/>
              <w:jc w:val="center"/>
              <w:rPr>
                <w:rFonts w:cstheme="minorHAnsi"/>
                <w:color w:val="FF0000"/>
                <w:szCs w:val="24"/>
              </w:rPr>
            </w:pPr>
            <w:r>
              <w:rPr>
                <w:rFonts w:cstheme="minorHAnsi"/>
                <w:szCs w:val="24"/>
              </w:rPr>
              <w:t>5,1</w:t>
            </w:r>
          </w:p>
        </w:tc>
        <w:tc>
          <w:tcPr>
            <w:tcW w:w="1650" w:type="dxa"/>
            <w:tcBorders>
              <w:top w:val="single" w:sz="4" w:space="0" w:color="auto"/>
              <w:left w:val="single" w:sz="4" w:space="0" w:color="auto"/>
              <w:bottom w:val="single" w:sz="4" w:space="0" w:color="auto"/>
              <w:right w:val="single" w:sz="4" w:space="0" w:color="auto"/>
            </w:tcBorders>
            <w:vAlign w:val="center"/>
            <w:hideMark/>
          </w:tcPr>
          <w:p w14:paraId="1C9F395E" w14:textId="77777777" w:rsidR="00EA2D80" w:rsidRDefault="00EA2D80">
            <w:pPr>
              <w:spacing w:after="0" w:line="240" w:lineRule="auto"/>
              <w:jc w:val="center"/>
              <w:rPr>
                <w:rFonts w:cstheme="minorHAnsi"/>
                <w:color w:val="FF0000"/>
                <w:szCs w:val="24"/>
              </w:rPr>
            </w:pPr>
            <w:r>
              <w:rPr>
                <w:rFonts w:cstheme="minorHAnsi"/>
                <w:szCs w:val="24"/>
              </w:rPr>
              <w:t>6,3</w:t>
            </w:r>
          </w:p>
        </w:tc>
        <w:tc>
          <w:tcPr>
            <w:tcW w:w="1551" w:type="dxa"/>
            <w:tcBorders>
              <w:top w:val="single" w:sz="4" w:space="0" w:color="auto"/>
              <w:left w:val="single" w:sz="4" w:space="0" w:color="auto"/>
              <w:bottom w:val="single" w:sz="4" w:space="0" w:color="auto"/>
              <w:right w:val="single" w:sz="4" w:space="0" w:color="auto"/>
            </w:tcBorders>
            <w:vAlign w:val="center"/>
            <w:hideMark/>
          </w:tcPr>
          <w:p w14:paraId="23687B08" w14:textId="77777777" w:rsidR="00EA2D80" w:rsidRDefault="00EA2D80">
            <w:pPr>
              <w:spacing w:after="0" w:line="240" w:lineRule="auto"/>
              <w:jc w:val="center"/>
              <w:rPr>
                <w:rFonts w:eastAsia="Times New Roman" w:cstheme="minorHAnsi"/>
                <w:szCs w:val="24"/>
                <w:lang w:eastAsia="lv-LV"/>
              </w:rPr>
            </w:pPr>
            <w:r>
              <w:rPr>
                <w:rFonts w:cstheme="minorHAnsi"/>
                <w:szCs w:val="24"/>
              </w:rPr>
              <w:t>-1,6</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A449800" w14:textId="77777777" w:rsidR="00EA2D80" w:rsidRDefault="00EA2D80">
            <w:pPr>
              <w:spacing w:after="0" w:line="240" w:lineRule="auto"/>
              <w:jc w:val="center"/>
              <w:rPr>
                <w:rFonts w:eastAsia="Times New Roman" w:cstheme="minorHAnsi"/>
                <w:szCs w:val="24"/>
                <w:lang w:eastAsia="lv-LV"/>
              </w:rPr>
            </w:pPr>
            <w:r>
              <w:rPr>
                <w:rFonts w:cstheme="minorHAnsi"/>
                <w:szCs w:val="24"/>
              </w:rPr>
              <w:t>4,2</w:t>
            </w:r>
          </w:p>
        </w:tc>
      </w:tr>
      <w:tr w:rsidR="00EA2D80" w14:paraId="687DDD6B"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noWrap/>
            <w:vAlign w:val="center"/>
            <w:hideMark/>
          </w:tcPr>
          <w:p w14:paraId="69B5AB11" w14:textId="77777777" w:rsidR="00EA2D80" w:rsidRDefault="00EA2D80">
            <w:pPr>
              <w:spacing w:after="0" w:line="240" w:lineRule="auto"/>
              <w:ind w:firstLine="179"/>
              <w:rPr>
                <w:rFonts w:eastAsia="Times New Roman" w:cstheme="minorHAnsi"/>
                <w:bCs/>
                <w:szCs w:val="24"/>
                <w:lang w:eastAsia="lv-LV"/>
              </w:rPr>
            </w:pPr>
            <w:r>
              <w:rPr>
                <w:rFonts w:eastAsia="Times New Roman" w:cstheme="minorHAnsi"/>
                <w:szCs w:val="24"/>
                <w:lang w:eastAsia="lv-LV"/>
              </w:rPr>
              <w:t>cita</w:t>
            </w:r>
            <w:r>
              <w:rPr>
                <w:rFonts w:eastAsia="Times New Roman" w:cstheme="minorHAnsi"/>
                <w:bCs/>
                <w:szCs w:val="24"/>
                <w:lang w:eastAsia="lv-LV"/>
              </w:rPr>
              <w:t xml:space="preserve"> ne-ETS enerģētika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79708D7B" w14:textId="77777777" w:rsidR="00EA2D80" w:rsidRDefault="00EA2D80">
            <w:pPr>
              <w:spacing w:after="0" w:line="240" w:lineRule="auto"/>
              <w:jc w:val="center"/>
              <w:rPr>
                <w:rFonts w:cstheme="minorHAnsi"/>
                <w:color w:val="FF0000"/>
                <w:szCs w:val="24"/>
              </w:rPr>
            </w:pPr>
            <w:r>
              <w:rPr>
                <w:rFonts w:cstheme="minorHAnsi"/>
                <w:szCs w:val="24"/>
              </w:rPr>
              <w:t>15,5</w:t>
            </w:r>
          </w:p>
        </w:tc>
        <w:tc>
          <w:tcPr>
            <w:tcW w:w="1650" w:type="dxa"/>
            <w:tcBorders>
              <w:top w:val="single" w:sz="4" w:space="0" w:color="auto"/>
              <w:left w:val="single" w:sz="4" w:space="0" w:color="auto"/>
              <w:bottom w:val="single" w:sz="4" w:space="0" w:color="auto"/>
              <w:right w:val="single" w:sz="4" w:space="0" w:color="auto"/>
            </w:tcBorders>
            <w:vAlign w:val="center"/>
            <w:hideMark/>
          </w:tcPr>
          <w:p w14:paraId="6DF08D82" w14:textId="77777777" w:rsidR="00EA2D80" w:rsidRDefault="00EA2D80">
            <w:pPr>
              <w:spacing w:after="0" w:line="240" w:lineRule="auto"/>
              <w:jc w:val="center"/>
              <w:rPr>
                <w:rFonts w:cstheme="minorHAnsi"/>
                <w:color w:val="FF0000"/>
                <w:szCs w:val="24"/>
              </w:rPr>
            </w:pPr>
            <w:r>
              <w:rPr>
                <w:rFonts w:cstheme="minorHAnsi"/>
                <w:szCs w:val="24"/>
              </w:rPr>
              <w:t>18,9</w:t>
            </w:r>
          </w:p>
        </w:tc>
        <w:tc>
          <w:tcPr>
            <w:tcW w:w="1551" w:type="dxa"/>
            <w:tcBorders>
              <w:top w:val="single" w:sz="4" w:space="0" w:color="auto"/>
              <w:left w:val="single" w:sz="4" w:space="0" w:color="auto"/>
              <w:bottom w:val="single" w:sz="4" w:space="0" w:color="auto"/>
              <w:right w:val="single" w:sz="4" w:space="0" w:color="auto"/>
            </w:tcBorders>
            <w:vAlign w:val="center"/>
            <w:hideMark/>
          </w:tcPr>
          <w:p w14:paraId="4071AEBC" w14:textId="77777777" w:rsidR="00EA2D80" w:rsidRDefault="00EA2D80">
            <w:pPr>
              <w:spacing w:after="0" w:line="240" w:lineRule="auto"/>
              <w:jc w:val="center"/>
              <w:rPr>
                <w:rFonts w:eastAsia="Times New Roman" w:cstheme="minorHAnsi"/>
                <w:b/>
                <w:bCs/>
                <w:szCs w:val="24"/>
                <w:lang w:eastAsia="lv-LV"/>
              </w:rPr>
            </w:pPr>
            <w:r>
              <w:rPr>
                <w:rFonts w:cstheme="minorHAnsi"/>
                <w:szCs w:val="24"/>
              </w:rPr>
              <w:t>0,20</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4493B89" w14:textId="77777777" w:rsidR="00EA2D80" w:rsidRDefault="00EA2D80">
            <w:pPr>
              <w:spacing w:after="0" w:line="240" w:lineRule="auto"/>
              <w:jc w:val="center"/>
              <w:rPr>
                <w:rFonts w:eastAsia="Times New Roman" w:cstheme="minorHAnsi"/>
                <w:b/>
                <w:bCs/>
                <w:szCs w:val="24"/>
                <w:lang w:eastAsia="lv-LV"/>
              </w:rPr>
            </w:pPr>
            <w:r>
              <w:rPr>
                <w:rFonts w:cstheme="minorHAnsi"/>
                <w:szCs w:val="24"/>
              </w:rPr>
              <w:t>2,6</w:t>
            </w:r>
          </w:p>
        </w:tc>
      </w:tr>
      <w:tr w:rsidR="00EA2D80" w14:paraId="018381F9"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noWrap/>
            <w:vAlign w:val="center"/>
            <w:hideMark/>
          </w:tcPr>
          <w:p w14:paraId="3FA44C3B" w14:textId="77777777" w:rsidR="00EA2D80" w:rsidRDefault="00EA2D80">
            <w:pPr>
              <w:spacing w:after="0" w:line="240" w:lineRule="auto"/>
              <w:rPr>
                <w:rFonts w:eastAsia="Times New Roman" w:cstheme="minorHAnsi"/>
                <w:b/>
                <w:bCs/>
                <w:szCs w:val="24"/>
                <w:lang w:eastAsia="lv-LV"/>
              </w:rPr>
            </w:pPr>
            <w:r>
              <w:rPr>
                <w:rFonts w:eastAsia="Times New Roman" w:cstheme="minorHAnsi"/>
                <w:b/>
                <w:bCs/>
                <w:szCs w:val="24"/>
                <w:lang w:eastAsia="lv-LV"/>
              </w:rPr>
              <w:t>ne-ETS rūpnieciskie procesi un ķīmisko vielu izmantošana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D0D3EAA" w14:textId="77777777" w:rsidR="00EA2D80" w:rsidRDefault="00EA2D80">
            <w:pPr>
              <w:spacing w:after="0" w:line="240" w:lineRule="auto"/>
              <w:jc w:val="center"/>
              <w:rPr>
                <w:rFonts w:cstheme="minorHAnsi"/>
                <w:b/>
                <w:bCs/>
                <w:color w:val="FF0000"/>
                <w:szCs w:val="24"/>
              </w:rPr>
            </w:pPr>
            <w:r>
              <w:rPr>
                <w:rFonts w:cstheme="minorHAnsi"/>
                <w:b/>
                <w:bCs/>
                <w:szCs w:val="24"/>
              </w:rPr>
              <w:t>2,4</w:t>
            </w:r>
          </w:p>
        </w:tc>
        <w:tc>
          <w:tcPr>
            <w:tcW w:w="1650" w:type="dxa"/>
            <w:tcBorders>
              <w:top w:val="single" w:sz="4" w:space="0" w:color="auto"/>
              <w:left w:val="single" w:sz="4" w:space="0" w:color="auto"/>
              <w:bottom w:val="single" w:sz="4" w:space="0" w:color="auto"/>
              <w:right w:val="single" w:sz="4" w:space="0" w:color="auto"/>
            </w:tcBorders>
            <w:vAlign w:val="center"/>
            <w:hideMark/>
          </w:tcPr>
          <w:p w14:paraId="2029C153" w14:textId="77777777" w:rsidR="00EA2D80" w:rsidRDefault="00EA2D80">
            <w:pPr>
              <w:spacing w:after="0" w:line="240" w:lineRule="auto"/>
              <w:jc w:val="center"/>
              <w:rPr>
                <w:rFonts w:cstheme="minorHAnsi"/>
                <w:b/>
                <w:bCs/>
                <w:color w:val="FF0000"/>
                <w:szCs w:val="24"/>
              </w:rPr>
            </w:pPr>
            <w:r>
              <w:rPr>
                <w:rFonts w:cstheme="minorHAnsi"/>
                <w:b/>
                <w:bCs/>
                <w:szCs w:val="24"/>
              </w:rPr>
              <w:t>2,9</w:t>
            </w:r>
          </w:p>
        </w:tc>
        <w:tc>
          <w:tcPr>
            <w:tcW w:w="1551" w:type="dxa"/>
            <w:tcBorders>
              <w:top w:val="single" w:sz="4" w:space="0" w:color="auto"/>
              <w:left w:val="single" w:sz="4" w:space="0" w:color="auto"/>
              <w:bottom w:val="single" w:sz="4" w:space="0" w:color="auto"/>
              <w:right w:val="single" w:sz="4" w:space="0" w:color="auto"/>
            </w:tcBorders>
            <w:vAlign w:val="center"/>
            <w:hideMark/>
          </w:tcPr>
          <w:p w14:paraId="7CEA3E27" w14:textId="77777777" w:rsidR="00EA2D80" w:rsidRDefault="00EA2D80">
            <w:pPr>
              <w:spacing w:after="0" w:line="240" w:lineRule="auto"/>
              <w:jc w:val="center"/>
              <w:rPr>
                <w:rFonts w:eastAsia="Times New Roman" w:cstheme="minorHAnsi"/>
                <w:b/>
                <w:bCs/>
                <w:szCs w:val="24"/>
                <w:lang w:eastAsia="lv-LV"/>
              </w:rPr>
            </w:pPr>
            <w:r>
              <w:rPr>
                <w:rFonts w:cstheme="minorHAnsi"/>
                <w:b/>
                <w:bCs/>
                <w:szCs w:val="24"/>
              </w:rPr>
              <w:t>192,3</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15F566E" w14:textId="77777777" w:rsidR="00EA2D80" w:rsidRDefault="00EA2D80">
            <w:pPr>
              <w:spacing w:after="0" w:line="240" w:lineRule="auto"/>
              <w:jc w:val="center"/>
              <w:rPr>
                <w:rFonts w:eastAsia="Times New Roman" w:cstheme="minorHAnsi"/>
                <w:b/>
                <w:bCs/>
                <w:szCs w:val="24"/>
                <w:lang w:eastAsia="lv-LV"/>
              </w:rPr>
            </w:pPr>
            <w:r>
              <w:rPr>
                <w:rFonts w:cstheme="minorHAnsi"/>
                <w:b/>
                <w:bCs/>
                <w:szCs w:val="24"/>
              </w:rPr>
              <w:t>-5,6</w:t>
            </w:r>
          </w:p>
        </w:tc>
      </w:tr>
      <w:tr w:rsidR="00EA2D80" w14:paraId="635EAE93"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noWrap/>
            <w:vAlign w:val="center"/>
            <w:hideMark/>
          </w:tcPr>
          <w:p w14:paraId="2D1DCFED" w14:textId="77777777" w:rsidR="00EA2D80" w:rsidRDefault="00EA2D80">
            <w:pPr>
              <w:spacing w:after="0" w:line="240" w:lineRule="auto"/>
              <w:rPr>
                <w:rFonts w:eastAsia="Times New Roman" w:cstheme="minorHAnsi"/>
                <w:b/>
                <w:bCs/>
                <w:szCs w:val="24"/>
                <w:lang w:eastAsia="lv-LV"/>
              </w:rPr>
            </w:pPr>
            <w:r>
              <w:rPr>
                <w:rFonts w:eastAsia="Times New Roman" w:cstheme="minorHAnsi"/>
                <w:b/>
                <w:bCs/>
                <w:szCs w:val="24"/>
                <w:lang w:eastAsia="lv-LV"/>
              </w:rPr>
              <w:t>lauksaimniecība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BBE7FDA" w14:textId="77777777" w:rsidR="00EA2D80" w:rsidRDefault="00EA2D80">
            <w:pPr>
              <w:spacing w:after="0" w:line="240" w:lineRule="auto"/>
              <w:jc w:val="center"/>
              <w:rPr>
                <w:rFonts w:cstheme="minorHAnsi"/>
                <w:b/>
                <w:bCs/>
                <w:color w:val="FF0000"/>
                <w:szCs w:val="24"/>
              </w:rPr>
            </w:pPr>
            <w:r>
              <w:rPr>
                <w:rFonts w:cstheme="minorHAnsi"/>
                <w:b/>
                <w:bCs/>
                <w:szCs w:val="24"/>
              </w:rPr>
              <w:t>24,6</w:t>
            </w:r>
          </w:p>
        </w:tc>
        <w:tc>
          <w:tcPr>
            <w:tcW w:w="1650" w:type="dxa"/>
            <w:tcBorders>
              <w:top w:val="single" w:sz="4" w:space="0" w:color="auto"/>
              <w:left w:val="single" w:sz="4" w:space="0" w:color="auto"/>
              <w:bottom w:val="single" w:sz="4" w:space="0" w:color="auto"/>
              <w:right w:val="single" w:sz="4" w:space="0" w:color="auto"/>
            </w:tcBorders>
            <w:vAlign w:val="center"/>
            <w:hideMark/>
          </w:tcPr>
          <w:p w14:paraId="063BC1DA" w14:textId="77777777" w:rsidR="00EA2D80" w:rsidRDefault="00EA2D80">
            <w:pPr>
              <w:spacing w:after="0" w:line="240" w:lineRule="auto"/>
              <w:jc w:val="center"/>
              <w:rPr>
                <w:rFonts w:cstheme="minorHAnsi"/>
                <w:b/>
                <w:bCs/>
                <w:color w:val="FF0000"/>
                <w:szCs w:val="24"/>
              </w:rPr>
            </w:pPr>
            <w:r>
              <w:rPr>
                <w:rFonts w:cstheme="minorHAnsi"/>
                <w:b/>
                <w:bCs/>
                <w:szCs w:val="24"/>
              </w:rPr>
              <w:t>30,0</w:t>
            </w:r>
          </w:p>
        </w:tc>
        <w:tc>
          <w:tcPr>
            <w:tcW w:w="1551" w:type="dxa"/>
            <w:tcBorders>
              <w:top w:val="single" w:sz="4" w:space="0" w:color="auto"/>
              <w:left w:val="single" w:sz="4" w:space="0" w:color="auto"/>
              <w:bottom w:val="single" w:sz="4" w:space="0" w:color="auto"/>
              <w:right w:val="single" w:sz="4" w:space="0" w:color="auto"/>
            </w:tcBorders>
            <w:vAlign w:val="center"/>
            <w:hideMark/>
          </w:tcPr>
          <w:p w14:paraId="3D88766D"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16,7</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7341036"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0,6</w:t>
            </w:r>
          </w:p>
        </w:tc>
      </w:tr>
      <w:tr w:rsidR="00EA2D80" w14:paraId="72A1B59E" w14:textId="77777777" w:rsidTr="00EA2D80">
        <w:trPr>
          <w:trHeight w:val="300"/>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14:paraId="425C17C4" w14:textId="77777777" w:rsidR="00EA2D80" w:rsidRDefault="00EA2D80">
            <w:pPr>
              <w:spacing w:after="0" w:line="240" w:lineRule="auto"/>
              <w:rPr>
                <w:rFonts w:eastAsia="Times New Roman" w:cstheme="minorHAnsi"/>
                <w:b/>
                <w:bCs/>
                <w:szCs w:val="24"/>
                <w:lang w:eastAsia="lv-LV"/>
              </w:rPr>
            </w:pPr>
            <w:r>
              <w:rPr>
                <w:rFonts w:eastAsia="Times New Roman" w:cstheme="minorHAnsi"/>
                <w:b/>
                <w:bCs/>
                <w:szCs w:val="24"/>
                <w:lang w:eastAsia="lv-LV"/>
              </w:rPr>
              <w:t>atkritumu apsaimniekošana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208964A" w14:textId="77777777" w:rsidR="00EA2D80" w:rsidRDefault="00EA2D80">
            <w:pPr>
              <w:spacing w:after="0" w:line="240" w:lineRule="auto"/>
              <w:jc w:val="center"/>
              <w:rPr>
                <w:rFonts w:cstheme="minorHAnsi"/>
                <w:b/>
                <w:bCs/>
                <w:color w:val="FF0000"/>
                <w:szCs w:val="24"/>
              </w:rPr>
            </w:pPr>
            <w:r>
              <w:rPr>
                <w:rFonts w:cstheme="minorHAnsi"/>
                <w:b/>
                <w:bCs/>
                <w:szCs w:val="24"/>
              </w:rPr>
              <w:t>5,0</w:t>
            </w:r>
          </w:p>
        </w:tc>
        <w:tc>
          <w:tcPr>
            <w:tcW w:w="1650" w:type="dxa"/>
            <w:tcBorders>
              <w:top w:val="single" w:sz="4" w:space="0" w:color="auto"/>
              <w:left w:val="single" w:sz="4" w:space="0" w:color="auto"/>
              <w:bottom w:val="single" w:sz="4" w:space="0" w:color="auto"/>
              <w:right w:val="single" w:sz="4" w:space="0" w:color="auto"/>
            </w:tcBorders>
            <w:vAlign w:val="center"/>
            <w:hideMark/>
          </w:tcPr>
          <w:p w14:paraId="7E7A77C9" w14:textId="77777777" w:rsidR="00EA2D80" w:rsidRDefault="00EA2D80">
            <w:pPr>
              <w:spacing w:after="0" w:line="240" w:lineRule="auto"/>
              <w:jc w:val="center"/>
              <w:rPr>
                <w:rFonts w:cstheme="minorHAnsi"/>
                <w:b/>
                <w:bCs/>
                <w:color w:val="FF0000"/>
                <w:szCs w:val="24"/>
              </w:rPr>
            </w:pPr>
            <w:r>
              <w:rPr>
                <w:rFonts w:cstheme="minorHAnsi"/>
                <w:b/>
                <w:bCs/>
                <w:szCs w:val="24"/>
              </w:rPr>
              <w:t>6,1</w:t>
            </w:r>
          </w:p>
        </w:tc>
        <w:tc>
          <w:tcPr>
            <w:tcW w:w="1551" w:type="dxa"/>
            <w:tcBorders>
              <w:top w:val="single" w:sz="4" w:space="0" w:color="auto"/>
              <w:left w:val="single" w:sz="4" w:space="0" w:color="auto"/>
              <w:bottom w:val="single" w:sz="4" w:space="0" w:color="auto"/>
              <w:right w:val="single" w:sz="4" w:space="0" w:color="auto"/>
            </w:tcBorders>
            <w:vAlign w:val="center"/>
            <w:hideMark/>
          </w:tcPr>
          <w:p w14:paraId="3B52513B"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-10,2</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0031DF9"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-5,9</w:t>
            </w:r>
          </w:p>
        </w:tc>
      </w:tr>
      <w:tr w:rsidR="00EA2D80" w14:paraId="30BBC213" w14:textId="77777777" w:rsidTr="00EA2D80">
        <w:trPr>
          <w:trHeight w:val="315"/>
          <w:jc w:val="center"/>
        </w:trPr>
        <w:tc>
          <w:tcPr>
            <w:tcW w:w="6333" w:type="dxa"/>
            <w:gridSpan w:val="3"/>
            <w:tcBorders>
              <w:top w:val="single" w:sz="4" w:space="0" w:color="auto"/>
              <w:left w:val="single" w:sz="4" w:space="0" w:color="auto"/>
              <w:bottom w:val="single" w:sz="4" w:space="0" w:color="auto"/>
              <w:right w:val="single" w:sz="4" w:space="0" w:color="auto"/>
            </w:tcBorders>
            <w:vAlign w:val="center"/>
            <w:hideMark/>
          </w:tcPr>
          <w:p w14:paraId="40C15846" w14:textId="77777777" w:rsidR="00EA2D80" w:rsidRDefault="00EA2D80">
            <w:pPr>
              <w:spacing w:after="0" w:line="240" w:lineRule="auto"/>
              <w:rPr>
                <w:rFonts w:cstheme="minorHAnsi"/>
                <w:b/>
                <w:bCs/>
                <w:szCs w:val="24"/>
              </w:rPr>
            </w:pPr>
            <w:r>
              <w:rPr>
                <w:rFonts w:eastAsia="Times New Roman" w:cstheme="minorHAnsi"/>
                <w:b/>
                <w:bCs/>
                <w:szCs w:val="24"/>
                <w:lang w:eastAsia="lv-LV"/>
              </w:rPr>
              <w:t>KOPĀ</w:t>
            </w:r>
          </w:p>
        </w:tc>
        <w:tc>
          <w:tcPr>
            <w:tcW w:w="1551" w:type="dxa"/>
            <w:tcBorders>
              <w:top w:val="single" w:sz="4" w:space="0" w:color="auto"/>
              <w:left w:val="single" w:sz="4" w:space="0" w:color="auto"/>
              <w:bottom w:val="single" w:sz="4" w:space="0" w:color="auto"/>
              <w:right w:val="single" w:sz="4" w:space="0" w:color="auto"/>
            </w:tcBorders>
            <w:vAlign w:val="center"/>
            <w:hideMark/>
          </w:tcPr>
          <w:p w14:paraId="5464423B"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-0,7</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54DB23E" w14:textId="77777777" w:rsidR="00EA2D80" w:rsidRDefault="00EA2D80">
            <w:pPr>
              <w:spacing w:after="0" w:line="240" w:lineRule="auto"/>
              <w:jc w:val="center"/>
              <w:rPr>
                <w:rFonts w:eastAsia="Times New Roman" w:cstheme="minorHAnsi"/>
                <w:b/>
                <w:bCs/>
                <w:color w:val="FF0000"/>
                <w:szCs w:val="24"/>
                <w:lang w:eastAsia="lv-LV"/>
              </w:rPr>
            </w:pPr>
            <w:r>
              <w:rPr>
                <w:rFonts w:cstheme="minorHAnsi"/>
                <w:b/>
                <w:bCs/>
                <w:szCs w:val="24"/>
              </w:rPr>
              <w:t>0,3</w:t>
            </w:r>
          </w:p>
        </w:tc>
      </w:tr>
    </w:tbl>
    <w:p w14:paraId="458A7B6D" w14:textId="77777777" w:rsidR="006179BB" w:rsidRPr="00CC5D0A" w:rsidRDefault="006179BB">
      <w:pPr>
        <w:pStyle w:val="Heading4"/>
      </w:pPr>
      <w:bookmarkStart w:id="165" w:name="_Toc23245761"/>
      <w:r w:rsidRPr="00CC5D0A">
        <w:t>Esošā situācija CO</w:t>
      </w:r>
      <w:r w:rsidRPr="00CC5D0A">
        <w:rPr>
          <w:vertAlign w:val="subscript"/>
        </w:rPr>
        <w:t>2</w:t>
      </w:r>
      <w:r w:rsidRPr="00CC5D0A">
        <w:t xml:space="preserve"> piesaistes apjoma nodrošināšanā</w:t>
      </w:r>
      <w:bookmarkEnd w:id="165"/>
    </w:p>
    <w:p w14:paraId="6CADE794"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Saskaņā ar 2006. gada IPCC vadlīnijām ZIZIMM kategorij</w:t>
      </w:r>
      <w:r>
        <w:rPr>
          <w:rFonts w:cstheme="minorHAnsi"/>
          <w:szCs w:val="24"/>
        </w:rPr>
        <w:t>a</w:t>
      </w:r>
      <w:r w:rsidRPr="00C15715">
        <w:rPr>
          <w:rFonts w:cstheme="minorHAnsi"/>
          <w:szCs w:val="24"/>
        </w:rPr>
        <w:t xml:space="preserve"> tiek iedalīta sešās zemes lietojuma kategorijās – meža zeme, aramzeme, pļavas, mitrāji, apbūves un citas. Latvijā ZIZIMM sektors ietver emisijas un CO</w:t>
      </w:r>
      <w:r w:rsidRPr="00C15715">
        <w:rPr>
          <w:rFonts w:cstheme="minorHAnsi"/>
          <w:szCs w:val="24"/>
          <w:vertAlign w:val="subscript"/>
        </w:rPr>
        <w:t>2</w:t>
      </w:r>
      <w:r w:rsidRPr="00C15715">
        <w:rPr>
          <w:rFonts w:cstheme="minorHAnsi"/>
          <w:szCs w:val="24"/>
        </w:rPr>
        <w:t xml:space="preserve"> piesaisti no augstāk uzskaitītajām kategorijām, kas sadalītas sīkākās apakškategorijās “zemes, kas nav mainījušas zemes lietojuma veidu pēdējo 20 gadu laikā” un “zemes, kas ir mainījušas zemes lietojuma veidu pēdējo 20 gadu laikā”. Kategorijā “Citas” tiek ieskaitītas zemes, kas nav apsaimniekotas un nesatur ievērojamu organiskā oglekļa daudzumu, tādēļ emisijas no tām netiek ziņotas. ZIZIMM kategorijā tiek ierēķinātas arī emisijas no koksnes produktiem.</w:t>
      </w:r>
    </w:p>
    <w:p w14:paraId="6699FEF7" w14:textId="7C921098" w:rsidR="006179BB" w:rsidRPr="006853D3" w:rsidRDefault="006179BB" w:rsidP="006179BB">
      <w:pPr>
        <w:spacing w:before="120" w:after="120" w:line="240" w:lineRule="auto"/>
        <w:jc w:val="both"/>
        <w:rPr>
          <w:rFonts w:cstheme="minorHAnsi"/>
          <w:color w:val="FF0000"/>
          <w:szCs w:val="24"/>
        </w:rPr>
      </w:pPr>
      <w:r w:rsidRPr="00383E0B">
        <w:rPr>
          <w:rFonts w:cstheme="minorHAnsi"/>
          <w:szCs w:val="24"/>
        </w:rPr>
        <w:t>Saskaņā ar 201</w:t>
      </w:r>
      <w:r>
        <w:rPr>
          <w:rFonts w:cstheme="minorHAnsi"/>
          <w:szCs w:val="24"/>
        </w:rPr>
        <w:t>9</w:t>
      </w:r>
      <w:r w:rsidRPr="00383E0B">
        <w:rPr>
          <w:rFonts w:cstheme="minorHAnsi"/>
          <w:szCs w:val="24"/>
        </w:rPr>
        <w:t>. gada SEG inventarizāciju ZIZIMM sektors kopumā 201</w:t>
      </w:r>
      <w:r>
        <w:rPr>
          <w:rFonts w:cstheme="minorHAnsi"/>
          <w:szCs w:val="24"/>
        </w:rPr>
        <w:t>7</w:t>
      </w:r>
      <w:r w:rsidRPr="00383E0B">
        <w:rPr>
          <w:rFonts w:cstheme="minorHAnsi"/>
          <w:szCs w:val="24"/>
        </w:rPr>
        <w:t> gadā nav SEG emisiju avots (CO</w:t>
      </w:r>
      <w:r w:rsidRPr="00383E0B">
        <w:rPr>
          <w:rFonts w:cstheme="minorHAnsi"/>
          <w:szCs w:val="24"/>
          <w:vertAlign w:val="subscript"/>
        </w:rPr>
        <w:t xml:space="preserve">2 </w:t>
      </w:r>
      <w:r w:rsidRPr="00383E0B">
        <w:rPr>
          <w:rFonts w:cstheme="minorHAnsi"/>
          <w:szCs w:val="24"/>
        </w:rPr>
        <w:t>piesaiste ir lielāka nekā visā sektorā radītās SEG emisijas), kur kopējais ZIZIMM sektora radītais CO</w:t>
      </w:r>
      <w:r w:rsidRPr="00383E0B">
        <w:rPr>
          <w:rFonts w:cstheme="minorHAnsi"/>
          <w:szCs w:val="24"/>
          <w:vertAlign w:val="subscript"/>
        </w:rPr>
        <w:t>2</w:t>
      </w:r>
      <w:r w:rsidRPr="00383E0B">
        <w:rPr>
          <w:rFonts w:cstheme="minorHAnsi"/>
          <w:szCs w:val="24"/>
        </w:rPr>
        <w:t xml:space="preserve"> piesaistes apjoms 201</w:t>
      </w:r>
      <w:r>
        <w:rPr>
          <w:rFonts w:cstheme="minorHAnsi"/>
          <w:szCs w:val="24"/>
        </w:rPr>
        <w:t>7</w:t>
      </w:r>
      <w:r w:rsidRPr="00383E0B">
        <w:rPr>
          <w:rFonts w:cstheme="minorHAnsi"/>
          <w:szCs w:val="24"/>
        </w:rPr>
        <w:t xml:space="preserve">.gadā bija </w:t>
      </w:r>
      <w:r>
        <w:rPr>
          <w:rFonts w:cstheme="minorHAnsi"/>
          <w:szCs w:val="24"/>
        </w:rPr>
        <w:t>–1706,</w:t>
      </w:r>
      <w:r w:rsidRPr="004D3137">
        <w:rPr>
          <w:rFonts w:cstheme="minorHAnsi"/>
          <w:szCs w:val="24"/>
        </w:rPr>
        <w:t>8</w:t>
      </w:r>
      <w:r>
        <w:rPr>
          <w:rFonts w:cstheme="minorHAnsi"/>
          <w:szCs w:val="24"/>
        </w:rPr>
        <w:t xml:space="preserve"> </w:t>
      </w:r>
      <w:r w:rsidRPr="00B6475E">
        <w:rPr>
          <w:rFonts w:cstheme="minorHAnsi"/>
          <w:szCs w:val="24"/>
        </w:rPr>
        <w:t>kt CO</w:t>
      </w:r>
      <w:r w:rsidRPr="00B6475E">
        <w:rPr>
          <w:rFonts w:cstheme="minorHAnsi"/>
          <w:szCs w:val="24"/>
          <w:vertAlign w:val="subscript"/>
        </w:rPr>
        <w:t>2</w:t>
      </w:r>
      <w:r w:rsidRPr="00B6475E">
        <w:rPr>
          <w:rFonts w:cstheme="minorHAnsi"/>
          <w:szCs w:val="24"/>
        </w:rPr>
        <w:t xml:space="preserve"> ekv, </w:t>
      </w:r>
      <w:r w:rsidRPr="00383E0B">
        <w:rPr>
          <w:rFonts w:cstheme="minorHAnsi"/>
          <w:szCs w:val="24"/>
        </w:rPr>
        <w:t>salīdzinot ar -</w:t>
      </w:r>
      <w:r w:rsidRPr="004D3137">
        <w:rPr>
          <w:rFonts w:cstheme="minorHAnsi"/>
          <w:szCs w:val="24"/>
        </w:rPr>
        <w:t>9828</w:t>
      </w:r>
      <w:r w:rsidR="00EA2D80">
        <w:rPr>
          <w:rFonts w:cstheme="minorHAnsi"/>
          <w:szCs w:val="24"/>
        </w:rPr>
        <w:t>,</w:t>
      </w:r>
      <w:r w:rsidRPr="004D3137">
        <w:rPr>
          <w:rFonts w:cstheme="minorHAnsi"/>
          <w:szCs w:val="24"/>
        </w:rPr>
        <w:t>9</w:t>
      </w:r>
      <w:r>
        <w:rPr>
          <w:rFonts w:cstheme="minorHAnsi"/>
          <w:szCs w:val="24"/>
        </w:rPr>
        <w:t xml:space="preserve"> </w:t>
      </w:r>
      <w:r w:rsidRPr="00383E0B">
        <w:rPr>
          <w:rFonts w:cstheme="minorHAnsi"/>
          <w:szCs w:val="24"/>
        </w:rPr>
        <w:t>kt CO</w:t>
      </w:r>
      <w:r w:rsidRPr="00383E0B">
        <w:rPr>
          <w:rFonts w:cstheme="minorHAnsi"/>
          <w:szCs w:val="24"/>
          <w:vertAlign w:val="subscript"/>
        </w:rPr>
        <w:t xml:space="preserve">2  </w:t>
      </w:r>
      <w:r w:rsidRPr="00383E0B">
        <w:rPr>
          <w:rFonts w:cstheme="minorHAnsi"/>
          <w:szCs w:val="24"/>
        </w:rPr>
        <w:t>ekv. 1990.gadā. CO</w:t>
      </w:r>
      <w:r w:rsidRPr="00383E0B">
        <w:rPr>
          <w:rFonts w:cstheme="minorHAnsi"/>
          <w:szCs w:val="24"/>
          <w:vertAlign w:val="subscript"/>
        </w:rPr>
        <w:t>2</w:t>
      </w:r>
      <w:r w:rsidRPr="00383E0B">
        <w:rPr>
          <w:rFonts w:cstheme="minorHAnsi"/>
          <w:szCs w:val="24"/>
        </w:rPr>
        <w:t xml:space="preserve"> piesaistes samazinājums - saistāms ar mežistrādes pieaugumu, lielāku atmirumu un mazāku dzīvās biomasas pieaugumu meža zemēs, kas tiek noteikts saskaņā ar Nacionālā meža monitoringa datiem,</w:t>
      </w:r>
      <w:r w:rsidRPr="00383E0B">
        <w:rPr>
          <w:rFonts w:cstheme="minorHAnsi"/>
        </w:rPr>
        <w:t xml:space="preserve"> </w:t>
      </w:r>
      <w:r w:rsidRPr="00383E0B">
        <w:rPr>
          <w:rFonts w:cstheme="minorHAnsi"/>
          <w:szCs w:val="24"/>
        </w:rPr>
        <w:t>kurus apkopo Latvijas Valsts mežzinātnes institūts “Silava”. Kopējā CO</w:t>
      </w:r>
      <w:r w:rsidRPr="00383E0B">
        <w:rPr>
          <w:rFonts w:cstheme="minorHAnsi"/>
          <w:szCs w:val="24"/>
          <w:vertAlign w:val="subscript"/>
        </w:rPr>
        <w:t>2</w:t>
      </w:r>
      <w:r w:rsidRPr="00383E0B">
        <w:rPr>
          <w:rFonts w:cstheme="minorHAnsi"/>
          <w:szCs w:val="24"/>
        </w:rPr>
        <w:t xml:space="preserve"> piesaiste ir samazinājusies par </w:t>
      </w:r>
      <w:r>
        <w:rPr>
          <w:rFonts w:cstheme="minorHAnsi"/>
          <w:szCs w:val="24"/>
        </w:rPr>
        <w:t>82,63</w:t>
      </w:r>
      <w:r w:rsidRPr="00B6475E">
        <w:rPr>
          <w:rFonts w:cstheme="minorHAnsi"/>
          <w:szCs w:val="24"/>
        </w:rPr>
        <w:t xml:space="preserve">% </w:t>
      </w:r>
      <w:r w:rsidRPr="00383E0B">
        <w:rPr>
          <w:rFonts w:cstheme="minorHAnsi"/>
          <w:szCs w:val="24"/>
        </w:rPr>
        <w:t>1990.-201</w:t>
      </w:r>
      <w:r>
        <w:rPr>
          <w:rFonts w:cstheme="minorHAnsi"/>
          <w:szCs w:val="24"/>
        </w:rPr>
        <w:t>7.</w:t>
      </w:r>
      <w:r w:rsidRPr="00383E0B">
        <w:rPr>
          <w:rFonts w:cstheme="minorHAnsi"/>
          <w:szCs w:val="24"/>
        </w:rPr>
        <w:t>gadu periodā. CO</w:t>
      </w:r>
      <w:r w:rsidRPr="00383E0B">
        <w:rPr>
          <w:rFonts w:cstheme="minorHAnsi"/>
          <w:szCs w:val="24"/>
          <w:vertAlign w:val="subscript"/>
        </w:rPr>
        <w:t>2</w:t>
      </w:r>
      <w:r w:rsidRPr="00383E0B">
        <w:rPr>
          <w:rFonts w:cstheme="minorHAnsi"/>
          <w:szCs w:val="24"/>
        </w:rPr>
        <w:t xml:space="preserve"> piesaistes samazinājums ZIZIMM sektorā saistāms ar mežistrādes apjoma pieaugumu (vairāk nekā divas reizes)</w:t>
      </w:r>
      <w:r w:rsidR="004910BB">
        <w:rPr>
          <w:rFonts w:cstheme="minorHAnsi"/>
          <w:szCs w:val="24"/>
        </w:rPr>
        <w:t>, k</w:t>
      </w:r>
      <w:r w:rsidR="004910BB" w:rsidRPr="00984113">
        <w:rPr>
          <w:rFonts w:cstheme="minorHAnsi"/>
          <w:szCs w:val="24"/>
        </w:rPr>
        <w:t>as saistīts ar meža vecumstruktūru un pieaugušo un pāraugušo mežaudžu īpatsvara pieaugumu</w:t>
      </w:r>
      <w:r w:rsidRPr="00383E0B">
        <w:rPr>
          <w:rFonts w:cstheme="minorHAnsi"/>
          <w:szCs w:val="24"/>
        </w:rPr>
        <w:t>. Tāpat arī ievērojama nozīme SEG emisiju palielināšanā ir meža zemju transformēšanai par apdzīvotām vietām, kā arī dabiski apmežojušos zemju transformācijai par aramzemēm un pļavām, atgriežot tās lauksaimnieciskā apsaimniekošanā.</w:t>
      </w:r>
    </w:p>
    <w:p w14:paraId="3CD740A4" w14:textId="77777777" w:rsidR="006179BB" w:rsidRPr="00C15715" w:rsidRDefault="006179BB" w:rsidP="006179BB">
      <w:pPr>
        <w:spacing w:before="120" w:after="120" w:line="240" w:lineRule="auto"/>
        <w:jc w:val="center"/>
        <w:rPr>
          <w:rFonts w:cstheme="minorHAnsi"/>
          <w:szCs w:val="24"/>
        </w:rPr>
      </w:pPr>
      <w:r w:rsidRPr="00C15715">
        <w:rPr>
          <w:rFonts w:cstheme="minorHAnsi"/>
          <w:noProof/>
          <w:szCs w:val="24"/>
        </w:rPr>
        <w:drawing>
          <wp:inline distT="0" distB="0" distL="0" distR="0" wp14:anchorId="4C513975" wp14:editId="63161924">
            <wp:extent cx="4548861" cy="2711557"/>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9844" cy="2735987"/>
                    </a:xfrm>
                    <a:prstGeom prst="rect">
                      <a:avLst/>
                    </a:prstGeom>
                    <a:noFill/>
                  </pic:spPr>
                </pic:pic>
              </a:graphicData>
            </a:graphic>
          </wp:inline>
        </w:drawing>
      </w:r>
    </w:p>
    <w:p w14:paraId="28D7B789" w14:textId="56609C6E" w:rsidR="006179BB" w:rsidRPr="00C15715" w:rsidRDefault="006179BB" w:rsidP="006179BB">
      <w:pPr>
        <w:pStyle w:val="Caption"/>
        <w:rPr>
          <w:rFonts w:asciiTheme="minorHAnsi" w:hAnsiTheme="minorHAnsi" w:cstheme="minorHAnsi"/>
        </w:rPr>
      </w:pPr>
      <w:r w:rsidRPr="00662B99">
        <w:rPr>
          <w:rFonts w:asciiTheme="minorHAnsi" w:hAnsiTheme="minorHAnsi" w:cstheme="minorHAnsi"/>
          <w:noProof/>
        </w:rPr>
        <w:fldChar w:fldCharType="begin"/>
      </w:r>
      <w:r w:rsidRPr="00662B99">
        <w:rPr>
          <w:rFonts w:asciiTheme="minorHAnsi" w:hAnsiTheme="minorHAnsi" w:cstheme="minorHAnsi"/>
          <w:noProof/>
        </w:rPr>
        <w:instrText xml:space="preserve"> SEQ Ilustrācija \* ARABIC </w:instrText>
      </w:r>
      <w:r w:rsidRPr="00662B99">
        <w:rPr>
          <w:rFonts w:asciiTheme="minorHAnsi" w:hAnsiTheme="minorHAnsi" w:cstheme="minorHAnsi"/>
          <w:noProof/>
        </w:rPr>
        <w:fldChar w:fldCharType="separate"/>
      </w:r>
      <w:bookmarkStart w:id="166" w:name="_Toc23782686"/>
      <w:r w:rsidR="006E6675">
        <w:rPr>
          <w:rFonts w:asciiTheme="minorHAnsi" w:hAnsiTheme="minorHAnsi" w:cstheme="minorHAnsi"/>
          <w:noProof/>
        </w:rPr>
        <w:t>6</w:t>
      </w:r>
      <w:r w:rsidRPr="00662B99">
        <w:rPr>
          <w:rFonts w:asciiTheme="minorHAnsi" w:hAnsiTheme="minorHAnsi" w:cstheme="minorHAnsi"/>
          <w:noProof/>
        </w:rPr>
        <w:fldChar w:fldCharType="end"/>
      </w:r>
      <w:r w:rsidRPr="00662B99">
        <w:rPr>
          <w:rFonts w:asciiTheme="minorHAnsi" w:hAnsiTheme="minorHAnsi" w:cstheme="minorHAnsi"/>
        </w:rPr>
        <w:t>.attēls. Latvijas ZIZIMM faktiskais SEG emisiju un CO</w:t>
      </w:r>
      <w:r w:rsidRPr="00662B99">
        <w:rPr>
          <w:rFonts w:asciiTheme="minorHAnsi" w:hAnsiTheme="minorHAnsi" w:cstheme="minorHAnsi"/>
          <w:vertAlign w:val="subscript"/>
        </w:rPr>
        <w:t>2</w:t>
      </w:r>
      <w:r w:rsidRPr="00662B99">
        <w:rPr>
          <w:rFonts w:asciiTheme="minorHAnsi" w:hAnsiTheme="minorHAnsi" w:cstheme="minorHAnsi"/>
        </w:rPr>
        <w:t xml:space="preserve"> neto piesaistes apjoms 1990.-2017.gadā  (kt CO</w:t>
      </w:r>
      <w:r w:rsidRPr="00662B99">
        <w:rPr>
          <w:rFonts w:asciiTheme="minorHAnsi" w:hAnsiTheme="minorHAnsi" w:cstheme="minorHAnsi"/>
          <w:vertAlign w:val="subscript"/>
        </w:rPr>
        <w:t>2</w:t>
      </w:r>
      <w:r w:rsidRPr="00662B99">
        <w:rPr>
          <w:rFonts w:asciiTheme="minorHAnsi" w:hAnsiTheme="minorHAnsi" w:cstheme="minorHAnsi"/>
        </w:rPr>
        <w:t xml:space="preserve"> ekv.)</w:t>
      </w:r>
      <w:bookmarkEnd w:id="166"/>
    </w:p>
    <w:p w14:paraId="76A8C215"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Zemes lietojuma veida maiņa uz aramzemi ir galvenokārt saistīta ar kokaugu biomasas izvākšanu no dabiski ar kokiem aizaugušām  lauksaimniecības zemēm, kurās lauksaimnieciskās darbības izbeigtas  1980. un 1990.gados. Dzīvās biomasas pieaugums meža zemēs, kas nemaina lietojuma veidu, un apmežotās zemēs joprojām ir lielāks par oglekļa zudumiem komerciālās ciršanas un dabiskā atmiruma dēļ, līdz ar to kopējā dzīvās biomasas krāja meža zemēs joprojām pieaug.</w:t>
      </w:r>
    </w:p>
    <w:p w14:paraId="432A8C20" w14:textId="77777777" w:rsidR="006179BB" w:rsidRPr="00CB24A1" w:rsidRDefault="006179BB" w:rsidP="006179BB">
      <w:pPr>
        <w:autoSpaceDE w:val="0"/>
        <w:autoSpaceDN w:val="0"/>
        <w:adjustRightInd w:val="0"/>
        <w:spacing w:before="120" w:after="120" w:line="240" w:lineRule="auto"/>
        <w:jc w:val="both"/>
        <w:rPr>
          <w:rFonts w:cstheme="minorHAnsi"/>
          <w:szCs w:val="24"/>
        </w:rPr>
      </w:pPr>
      <w:r w:rsidRPr="00C15715">
        <w:rPr>
          <w:rFonts w:cstheme="minorHAnsi"/>
          <w:szCs w:val="24"/>
        </w:rPr>
        <w:t xml:space="preserve">Meža apsaimniekošana un meža produktu izmantošana dod būtisku ieguldījumu Latvijas kopējās klimata politikas īstenošanā un Latvijas starptautisko SEG emisiju samazināšanas  saistību izpildē, kā arī veicina efektīvu un videi draudzīgu vietējo energoresursu izmantošanas </w:t>
      </w:r>
      <w:r w:rsidRPr="00CB24A1">
        <w:rPr>
          <w:rFonts w:cstheme="minorHAnsi"/>
          <w:szCs w:val="24"/>
        </w:rPr>
        <w:t xml:space="preserve">izaugsmi. </w:t>
      </w:r>
    </w:p>
    <w:p w14:paraId="524E8210" w14:textId="3E9CE2F6" w:rsidR="006179BB" w:rsidRPr="00CB24A1" w:rsidRDefault="006179BB">
      <w:pPr>
        <w:pStyle w:val="Heading4"/>
      </w:pPr>
      <w:bookmarkStart w:id="167" w:name="_Toc23245762"/>
      <w:r w:rsidRPr="00CB24A1">
        <w:rPr>
          <w:rStyle w:val="normaltextrun"/>
        </w:rPr>
        <w:t>Indikatīvās attīstības prognozes</w:t>
      </w:r>
      <w:bookmarkEnd w:id="167"/>
      <w:r w:rsidRPr="00CB24A1">
        <w:rPr>
          <w:rStyle w:val="eop"/>
        </w:rPr>
        <w:t> </w:t>
      </w:r>
      <w:r w:rsidR="00CB24A1" w:rsidRPr="00CB24A1">
        <w:rPr>
          <w:rStyle w:val="FootnoteReference"/>
        </w:rPr>
        <w:footnoteReference w:id="44"/>
      </w:r>
    </w:p>
    <w:p w14:paraId="35759A7C" w14:textId="77777777" w:rsidR="00CB24A1" w:rsidRPr="0007326F" w:rsidRDefault="00CB24A1" w:rsidP="00CB24A1">
      <w:pPr>
        <w:spacing w:before="120" w:after="120" w:line="240" w:lineRule="auto"/>
        <w:jc w:val="both"/>
        <w:rPr>
          <w:rFonts w:cstheme="minorHAnsi"/>
          <w:color w:val="FF0000"/>
          <w:szCs w:val="24"/>
        </w:rPr>
      </w:pPr>
      <w:r w:rsidRPr="0007326F">
        <w:rPr>
          <w:rFonts w:cstheme="minorHAnsi"/>
          <w:szCs w:val="24"/>
        </w:rPr>
        <w:t>Tiek prognozēts, ka 2030.gadā ne-ETS darbību SEG emisiju apjoms samazināsies līdz 78% no kopējā SEG emisiju apjoma, salīdzinot ar 82% 2017.gadā. Laika periodā no 2005. līdz 2030.gadam tiek prognozēts 7% samazinājums kopējām ne–ETS SEG emisijām. Lielākā daļa no ne-ETS 2005. un 2030. gada emisijām rodas transporta (attiecīgi 36%; 31%), lauksaimniecības (attiecīgi 28%; 39%) un  ne-ETS enerģētikas (izņemot transportu) sektoros (attiecīgi 27%; 23%) (t.sk. rūpniecības, pakalpojumu, mājsaimniecībās, lauksaimniecībā, mežsaimniecībā).</w:t>
      </w:r>
    </w:p>
    <w:p w14:paraId="7BB446BC" w14:textId="77777777" w:rsidR="00CB24A1" w:rsidRPr="0007326F" w:rsidRDefault="00CB24A1" w:rsidP="00CB24A1">
      <w:pPr>
        <w:spacing w:before="120" w:after="120" w:line="240" w:lineRule="auto"/>
        <w:jc w:val="center"/>
        <w:rPr>
          <w:rFonts w:eastAsia="Calibri" w:cstheme="minorHAnsi"/>
          <w:color w:val="FF0000"/>
        </w:rPr>
      </w:pPr>
      <w:r w:rsidRPr="0007326F">
        <w:rPr>
          <w:rFonts w:eastAsia="Calibri" w:cstheme="minorHAnsi"/>
          <w:noProof/>
          <w:color w:val="FF0000"/>
          <w:lang w:eastAsia="lv-LV"/>
        </w:rPr>
        <w:drawing>
          <wp:inline distT="0" distB="0" distL="0" distR="0" wp14:anchorId="51FCBE55" wp14:editId="35F22716">
            <wp:extent cx="4674675" cy="2772986"/>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4355" cy="2778728"/>
                    </a:xfrm>
                    <a:prstGeom prst="rect">
                      <a:avLst/>
                    </a:prstGeom>
                    <a:noFill/>
                  </pic:spPr>
                </pic:pic>
              </a:graphicData>
            </a:graphic>
          </wp:inline>
        </w:drawing>
      </w:r>
    </w:p>
    <w:p w14:paraId="4E0A8345" w14:textId="77777777" w:rsidR="00CB24A1" w:rsidRPr="0007326F" w:rsidRDefault="00CB24A1" w:rsidP="00CB24A1">
      <w:pPr>
        <w:pStyle w:val="Caption"/>
        <w:rPr>
          <w:rFonts w:asciiTheme="minorHAnsi" w:eastAsia="Calibri" w:hAnsiTheme="minorHAnsi" w:cstheme="minorHAnsi"/>
        </w:rPr>
      </w:pPr>
      <w:r w:rsidRPr="0007326F">
        <w:rPr>
          <w:rFonts w:asciiTheme="minorHAnsi" w:eastAsia="Calibri" w:hAnsiTheme="minorHAnsi" w:cstheme="minorHAnsi"/>
        </w:rPr>
        <w:fldChar w:fldCharType="begin"/>
      </w:r>
      <w:r w:rsidRPr="0007326F">
        <w:rPr>
          <w:rFonts w:asciiTheme="minorHAnsi" w:eastAsia="Calibri" w:hAnsiTheme="minorHAnsi" w:cstheme="minorHAnsi"/>
        </w:rPr>
        <w:instrText xml:space="preserve"> SEQ Ilustrācija \* ARABIC </w:instrText>
      </w:r>
      <w:r w:rsidRPr="0007326F">
        <w:rPr>
          <w:rFonts w:asciiTheme="minorHAnsi" w:eastAsia="Calibri" w:hAnsiTheme="minorHAnsi" w:cstheme="minorHAnsi"/>
        </w:rPr>
        <w:fldChar w:fldCharType="separate"/>
      </w:r>
      <w:r w:rsidRPr="0007326F">
        <w:rPr>
          <w:rFonts w:asciiTheme="minorHAnsi" w:eastAsia="Calibri" w:hAnsiTheme="minorHAnsi" w:cstheme="minorHAnsi"/>
          <w:noProof/>
        </w:rPr>
        <w:t>19</w:t>
      </w:r>
      <w:r w:rsidRPr="0007326F">
        <w:rPr>
          <w:rFonts w:asciiTheme="minorHAnsi" w:eastAsia="Calibri" w:hAnsiTheme="minorHAnsi" w:cstheme="minorHAnsi"/>
        </w:rPr>
        <w:fldChar w:fldCharType="end"/>
      </w:r>
      <w:r w:rsidRPr="0007326F">
        <w:rPr>
          <w:rFonts w:asciiTheme="minorHAnsi" w:hAnsiTheme="minorHAnsi" w:cstheme="minorHAnsi"/>
        </w:rPr>
        <w:t xml:space="preserve">.attēls. </w:t>
      </w:r>
      <w:r w:rsidRPr="0007326F">
        <w:rPr>
          <w:rFonts w:asciiTheme="minorHAnsi" w:eastAsia="Calibri" w:hAnsiTheme="minorHAnsi" w:cstheme="minorHAnsi"/>
        </w:rPr>
        <w:t xml:space="preserve">Latvijas ne-ETS SEG emisiju indikatīvās prognozes līdz 2030.gadam </w:t>
      </w:r>
    </w:p>
    <w:p w14:paraId="045ADA57" w14:textId="77777777" w:rsidR="00CB24A1" w:rsidRPr="0007326F" w:rsidRDefault="00CB24A1">
      <w:pPr>
        <w:spacing w:before="120" w:after="120" w:line="240" w:lineRule="auto"/>
        <w:jc w:val="both"/>
        <w:rPr>
          <w:rFonts w:eastAsia="Calibri" w:cstheme="minorHAnsi"/>
          <w:color w:val="FF0000"/>
        </w:rPr>
      </w:pPr>
      <w:r w:rsidRPr="0007326F">
        <w:rPr>
          <w:rFonts w:eastAsia="Calibri" w:cstheme="minorHAnsi"/>
        </w:rPr>
        <w:t xml:space="preserve">Saskaņā ar Bāzes scenārija prognozēm </w:t>
      </w:r>
      <w:r w:rsidRPr="0007326F">
        <w:rPr>
          <w:rFonts w:eastAsia="Calibri" w:cstheme="minorHAnsi"/>
          <w:bCs/>
        </w:rPr>
        <w:t>2030.gadā Latvijas ne-ETS sektora SEG emisiju apjoms būs 7977,97 kt CO</w:t>
      </w:r>
      <w:r w:rsidRPr="0007326F">
        <w:rPr>
          <w:rFonts w:eastAsia="Calibri" w:cstheme="minorHAnsi"/>
          <w:bCs/>
          <w:vertAlign w:val="subscript"/>
        </w:rPr>
        <w:t>2</w:t>
      </w:r>
      <w:r w:rsidRPr="0007326F">
        <w:rPr>
          <w:rFonts w:eastAsia="Calibri" w:cstheme="minorHAnsi"/>
          <w:bCs/>
        </w:rPr>
        <w:t xml:space="preserve"> ekv</w:t>
      </w:r>
      <w:r w:rsidRPr="0007326F">
        <w:rPr>
          <w:rFonts w:eastAsia="Calibri" w:cstheme="minorHAnsi"/>
        </w:rPr>
        <w:t xml:space="preserve">., un tas ir </w:t>
      </w:r>
      <w:r w:rsidRPr="0007326F">
        <w:rPr>
          <w:rFonts w:eastAsia="Calibri" w:cstheme="minorHAnsi"/>
          <w:bCs/>
        </w:rPr>
        <w:t>par 60,48 kt CO</w:t>
      </w:r>
      <w:r w:rsidRPr="0007326F">
        <w:rPr>
          <w:rFonts w:eastAsia="Calibri" w:cstheme="minorHAnsi"/>
          <w:bCs/>
          <w:vertAlign w:val="subscript"/>
        </w:rPr>
        <w:t>2</w:t>
      </w:r>
      <w:r w:rsidRPr="0007326F">
        <w:rPr>
          <w:rFonts w:eastAsia="Calibri" w:cstheme="minorHAnsi"/>
          <w:bCs/>
        </w:rPr>
        <w:t xml:space="preserve"> ekv. jeb 0,8% mazāk</w:t>
      </w:r>
      <w:r w:rsidRPr="0007326F">
        <w:rPr>
          <w:rFonts w:eastAsia="Calibri" w:cstheme="minorHAnsi"/>
        </w:rPr>
        <w:t xml:space="preserve"> kā indikatīvais 2030. gada SEG mērķis (8038,45</w:t>
      </w:r>
      <w:r w:rsidRPr="0007326F">
        <w:rPr>
          <w:rFonts w:eastAsia="Calibri" w:cstheme="minorHAnsi"/>
          <w:bCs/>
        </w:rPr>
        <w:t xml:space="preserve"> </w:t>
      </w:r>
      <w:r w:rsidRPr="0007326F">
        <w:rPr>
          <w:rFonts w:eastAsia="Calibri" w:cstheme="minorHAnsi"/>
        </w:rPr>
        <w:t>kt CO</w:t>
      </w:r>
      <w:r w:rsidRPr="0007326F">
        <w:rPr>
          <w:rFonts w:eastAsia="Calibri" w:cstheme="minorHAnsi"/>
          <w:vertAlign w:val="subscript"/>
        </w:rPr>
        <w:t>2</w:t>
      </w:r>
      <w:r w:rsidRPr="0007326F">
        <w:rPr>
          <w:rFonts w:eastAsia="Calibri" w:cstheme="minorHAnsi"/>
        </w:rPr>
        <w:t xml:space="preserve"> ekv). </w:t>
      </w:r>
    </w:p>
    <w:p w14:paraId="2C770124" w14:textId="77777777" w:rsidR="00CB24A1" w:rsidRPr="0007326F" w:rsidRDefault="00CB24A1" w:rsidP="00CB24A1">
      <w:pPr>
        <w:spacing w:before="120" w:after="120" w:line="240" w:lineRule="auto"/>
        <w:jc w:val="center"/>
        <w:rPr>
          <w:rFonts w:eastAsia="Calibri" w:cstheme="minorHAnsi"/>
          <w:color w:val="FF0000"/>
        </w:rPr>
      </w:pPr>
      <w:r w:rsidRPr="0007326F">
        <w:rPr>
          <w:rFonts w:eastAsia="Calibri" w:cstheme="minorHAnsi"/>
          <w:noProof/>
          <w:color w:val="FF0000"/>
          <w:lang w:eastAsia="lv-LV"/>
        </w:rPr>
        <w:drawing>
          <wp:inline distT="0" distB="0" distL="0" distR="0" wp14:anchorId="7CE468AE" wp14:editId="5D73D0CD">
            <wp:extent cx="4681171" cy="2688982"/>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5902" cy="2703188"/>
                    </a:xfrm>
                    <a:prstGeom prst="rect">
                      <a:avLst/>
                    </a:prstGeom>
                    <a:noFill/>
                  </pic:spPr>
                </pic:pic>
              </a:graphicData>
            </a:graphic>
          </wp:inline>
        </w:drawing>
      </w:r>
    </w:p>
    <w:p w14:paraId="6C738B21" w14:textId="77777777" w:rsidR="00CB24A1" w:rsidRPr="0007326F" w:rsidRDefault="00CB24A1" w:rsidP="00CB24A1">
      <w:pPr>
        <w:pStyle w:val="Caption"/>
        <w:rPr>
          <w:rFonts w:asciiTheme="minorHAnsi" w:eastAsia="Calibri" w:hAnsiTheme="minorHAnsi" w:cstheme="minorHAnsi"/>
          <w:bCs/>
        </w:rPr>
      </w:pPr>
      <w:r w:rsidRPr="0007326F">
        <w:rPr>
          <w:rFonts w:asciiTheme="minorHAnsi" w:eastAsia="Calibri" w:hAnsiTheme="minorHAnsi" w:cstheme="minorHAnsi"/>
          <w:bCs/>
        </w:rPr>
        <w:fldChar w:fldCharType="begin"/>
      </w:r>
      <w:r w:rsidRPr="0007326F">
        <w:rPr>
          <w:rFonts w:asciiTheme="minorHAnsi" w:eastAsia="Calibri" w:hAnsiTheme="minorHAnsi" w:cstheme="minorHAnsi"/>
          <w:bCs/>
        </w:rPr>
        <w:instrText xml:space="preserve"> SEQ Ilustrācija \* ARABIC </w:instrText>
      </w:r>
      <w:r w:rsidRPr="0007326F">
        <w:rPr>
          <w:rFonts w:asciiTheme="minorHAnsi" w:eastAsia="Calibri" w:hAnsiTheme="minorHAnsi" w:cstheme="minorHAnsi"/>
          <w:bCs/>
        </w:rPr>
        <w:fldChar w:fldCharType="separate"/>
      </w:r>
      <w:r w:rsidRPr="0007326F">
        <w:rPr>
          <w:rFonts w:asciiTheme="minorHAnsi" w:eastAsia="Calibri" w:hAnsiTheme="minorHAnsi" w:cstheme="minorHAnsi"/>
          <w:bCs/>
          <w:noProof/>
        </w:rPr>
        <w:t>20</w:t>
      </w:r>
      <w:r w:rsidRPr="0007326F">
        <w:rPr>
          <w:rFonts w:asciiTheme="minorHAnsi" w:eastAsia="Calibri" w:hAnsiTheme="minorHAnsi" w:cstheme="minorHAnsi"/>
          <w:bCs/>
        </w:rPr>
        <w:fldChar w:fldCharType="end"/>
      </w:r>
      <w:r w:rsidRPr="0007326F">
        <w:rPr>
          <w:rFonts w:asciiTheme="minorHAnsi" w:hAnsiTheme="minorHAnsi" w:cstheme="minorHAnsi"/>
        </w:rPr>
        <w:t>.attēls.</w:t>
      </w:r>
      <w:r w:rsidRPr="0007326F">
        <w:rPr>
          <w:rFonts w:asciiTheme="minorHAnsi" w:eastAsia="Calibri" w:hAnsiTheme="minorHAnsi" w:cstheme="minorHAnsi"/>
          <w:bCs/>
        </w:rPr>
        <w:t xml:space="preserve"> Ne-ETS faktiskās SEG emisijas (līdz 2018.gadam) un SEG emisiju indikatīvā prognoze</w:t>
      </w:r>
    </w:p>
    <w:p w14:paraId="70E19033" w14:textId="77777777" w:rsidR="009766B1" w:rsidRPr="00384B68" w:rsidRDefault="00CB24A1" w:rsidP="009766B1">
      <w:pPr>
        <w:spacing w:before="120" w:after="120" w:line="240" w:lineRule="auto"/>
        <w:jc w:val="both"/>
        <w:rPr>
          <w:rFonts w:eastAsia="Calibri" w:cstheme="minorHAnsi"/>
        </w:rPr>
      </w:pPr>
      <w:r w:rsidRPr="0007326F">
        <w:rPr>
          <w:rFonts w:cstheme="minorHAnsi"/>
        </w:rPr>
        <w:t>Enerģētikas sektora kopējās SEG emisiju prognozes Bāzes scenārijā nosaka esošās politikas (AER politika un energoefektivitātes politika) iniciēto pasākumu turpināšana līdz 2030.gadam. SEG emisiju samazināšanos sektorā visvairāk ietekmē fosilā kurināmā aizvietošana ar biomasu centralizētā siltumapgādē, kā arī energoefektivitātes paaugstināšanas pasākumu (galvenokārt dzīvojamo un publisko ēku renovācija) īstenošana mājsaimniecībās un pakalpojumu sektorā. Pāreja no fosilā kurināmā uz biomasas izmantošanu enerģijas pārveidošanas sektorā samazinās emisijas par apmēram 120 kt CO</w:t>
      </w:r>
      <w:r w:rsidRPr="0007326F">
        <w:rPr>
          <w:rFonts w:cstheme="minorHAnsi"/>
          <w:vertAlign w:val="subscript"/>
        </w:rPr>
        <w:t>2</w:t>
      </w:r>
      <w:r w:rsidRPr="0007326F">
        <w:rPr>
          <w:rFonts w:cstheme="minorHAnsi"/>
        </w:rPr>
        <w:t xml:space="preserve"> ekv. uz 2030.gadu. Elektroenerģijas ražošanā nav paredzēti pasākumi plašākai AER izmantošanai.</w:t>
      </w:r>
      <w:r w:rsidR="009766B1">
        <w:rPr>
          <w:rFonts w:cstheme="minorHAnsi"/>
        </w:rPr>
        <w:t xml:space="preserve"> </w:t>
      </w:r>
      <w:r w:rsidR="009766B1" w:rsidRPr="00384B68">
        <w:rPr>
          <w:rFonts w:cstheme="minorHAnsi"/>
        </w:rPr>
        <w:t>Tiek prognozēts, ka Enerģētikas sektora ETS emisijas uz 2030.gadu varētu palielināties par apmēram 140 kt CO</w:t>
      </w:r>
      <w:r w:rsidR="009766B1" w:rsidRPr="00384B68">
        <w:rPr>
          <w:rFonts w:cstheme="minorHAnsi"/>
          <w:vertAlign w:val="subscript"/>
        </w:rPr>
        <w:t>2</w:t>
      </w:r>
      <w:r w:rsidR="009766B1" w:rsidRPr="00384B68">
        <w:rPr>
          <w:rFonts w:cstheme="minorHAnsi"/>
        </w:rPr>
        <w:t xml:space="preserve"> ekv., bet ne-ETS emisijas samazināties par apmēram 1300 kt CO</w:t>
      </w:r>
      <w:r w:rsidR="009766B1" w:rsidRPr="00384B68">
        <w:rPr>
          <w:rFonts w:cstheme="minorHAnsi"/>
          <w:vertAlign w:val="subscript"/>
        </w:rPr>
        <w:t>2</w:t>
      </w:r>
      <w:r w:rsidR="009766B1" w:rsidRPr="00384B68">
        <w:rPr>
          <w:rFonts w:cstheme="minorHAnsi"/>
        </w:rPr>
        <w:t xml:space="preserve"> ekv.</w:t>
      </w:r>
      <w:r w:rsidR="009766B1" w:rsidRPr="00384B68">
        <w:rPr>
          <w:rFonts w:eastAsia="Calibri" w:cstheme="minorHAnsi"/>
        </w:rPr>
        <w:t xml:space="preserve"> </w:t>
      </w:r>
    </w:p>
    <w:p w14:paraId="446ED007" w14:textId="77777777" w:rsidR="00CB24A1" w:rsidRPr="0007326F" w:rsidRDefault="00CB24A1" w:rsidP="00CB24A1">
      <w:pPr>
        <w:spacing w:before="120" w:after="120" w:line="240" w:lineRule="auto"/>
        <w:jc w:val="both"/>
        <w:rPr>
          <w:rFonts w:cstheme="minorHAnsi"/>
        </w:rPr>
      </w:pPr>
      <w:r w:rsidRPr="0007326F">
        <w:rPr>
          <w:rFonts w:cstheme="minorHAnsi"/>
        </w:rPr>
        <w:t>Galvenais SEG emisiju avots transportā ir autotransports – tā devums ir aptuveni 90% no kopējām emisijām sektorā. Neskatoties uz prognozēto mobilitātes rādītāju līdz 2030.gadam palielināšanos (pasažieru apgrozība un kravu apgrozība), degvielas patēriņš, pateicoties Latvijā izmantojamo pasažieru automašīnu nomaiņai uz efektīvākām, tajā pašā laikā samazinās. SEG emisiju samazināšanos, papildus vidējā degvielas patēriņa efektivitātes uzlabošanai iekšdedzes dzinēju automašīnās, nosaka arī alternatīvo (dabas gāzes un elektroautomašīnu) un atjaunojamo degvielu (biodegviela un biogāze) plašāka izmantošana. Papildus SEG emisiju samazināšanos transporta sektorā dod arī dzelzceļa elektrifikācijas projekta īstenošana. Kopējais prognozētais SEG emisiju samazinājums transporta sektorā uz 2030.gadu ir apmēram 800 kt CO</w:t>
      </w:r>
      <w:r w:rsidRPr="0007326F">
        <w:rPr>
          <w:rFonts w:cstheme="minorHAnsi"/>
          <w:vertAlign w:val="subscript"/>
        </w:rPr>
        <w:t>2</w:t>
      </w:r>
      <w:r w:rsidRPr="0007326F">
        <w:rPr>
          <w:rFonts w:cstheme="minorHAnsi"/>
        </w:rPr>
        <w:t xml:space="preserve"> ekv.</w:t>
      </w:r>
    </w:p>
    <w:p w14:paraId="392287AE" w14:textId="77777777" w:rsidR="00CB24A1" w:rsidRPr="0007326F" w:rsidRDefault="00CB24A1" w:rsidP="00CB24A1">
      <w:pPr>
        <w:spacing w:before="120" w:after="120" w:line="240" w:lineRule="auto"/>
        <w:jc w:val="both"/>
        <w:rPr>
          <w:rFonts w:eastAsia="Calibri" w:cstheme="minorHAnsi"/>
          <w:color w:val="FF0000"/>
        </w:rPr>
      </w:pPr>
      <w:r w:rsidRPr="0007326F">
        <w:rPr>
          <w:rFonts w:eastAsia="Calibri" w:cstheme="minorHAnsi"/>
        </w:rPr>
        <w:t>Tiek prognozēts, ka laika posmā no 2020. līdz 2030.gadam pieaugs kopējās SEG emisijas lauksaimniecības sektorā. Salīdzinot ar 2005. un 2016.gada emisijām 2030.gadā kopējās lauksaimniecības sektora SEG emisijas pieaugs par 30,1% un 11,5%. Salīdzinot ar 2005.gadu, 2030.gadā lielākais emisiju samazinājums ir kūtsmēslu apsaimniekošanas sektora N</w:t>
      </w:r>
      <w:r w:rsidRPr="0007326F">
        <w:rPr>
          <w:rFonts w:eastAsia="Calibri" w:cstheme="minorHAnsi"/>
          <w:vertAlign w:val="subscript"/>
        </w:rPr>
        <w:t>2</w:t>
      </w:r>
      <w:r w:rsidRPr="0007326F">
        <w:rPr>
          <w:rFonts w:eastAsia="Calibri" w:cstheme="minorHAnsi"/>
        </w:rPr>
        <w:t>O emisijās, šis samazinājums ir 12,2%.  Skatoties pret 2005.gadu visos lauksaimniecības sektoros ir pieaugušas emisijas. Ievērojams emisiju palielinājums 2030.gadā ir lauksaimniecības dzīvnieku zarnu fermentācijas procesos un lauksaimniecības augšņu sektoros.</w:t>
      </w:r>
    </w:p>
    <w:p w14:paraId="48095D6F" w14:textId="047CF161" w:rsidR="006179BB" w:rsidRPr="0007326F" w:rsidRDefault="00CB24A1" w:rsidP="0007326F">
      <w:pPr>
        <w:spacing w:before="120" w:after="120" w:line="240" w:lineRule="auto"/>
        <w:jc w:val="both"/>
        <w:rPr>
          <w:rFonts w:eastAsia="Calibri" w:cstheme="minorHAnsi"/>
        </w:rPr>
      </w:pPr>
      <w:r w:rsidRPr="0007326F">
        <w:rPr>
          <w:rFonts w:eastAsia="Calibri" w:cstheme="minorHAnsi"/>
          <w:szCs w:val="24"/>
        </w:rPr>
        <w:t>Atkritumu apsaimniekošanas sektorā ne-ETS SEG emisijas pakāpeniski samazinās no 565 (2016. gadā) līdz 326 kt CO</w:t>
      </w:r>
      <w:r w:rsidRPr="0007326F">
        <w:rPr>
          <w:rFonts w:eastAsia="Calibri" w:cstheme="minorHAnsi"/>
          <w:szCs w:val="24"/>
          <w:vertAlign w:val="subscript"/>
        </w:rPr>
        <w:t>2</w:t>
      </w:r>
      <w:r w:rsidRPr="0007326F">
        <w:rPr>
          <w:rFonts w:eastAsia="Calibri" w:cstheme="minorHAnsi"/>
          <w:szCs w:val="24"/>
        </w:rPr>
        <w:t xml:space="preserve"> ekv.  2030. gadā. Lielāko ieguldījumu SEG īpatsvarā perioda sākumā dod atkritumu apglabāšanas apakšsektors (prognozēts, ka pieaugs atkritumu kompostēšanas un pārstrādes apjomi), tomēr uz prognožu perioda beigām nozīmīgāka paliek notekūdeņu apsaimniekošanas joma, kurā, lai arī emisijas pakāpeniski samazinās, tas notiek ne tik strauji kā atkritumu apglabāšanā. Cieto atkritumu apglabāšanas sektorā tiek prognozēts, ka emisijas samazināsies par 61,9%, salīdzinot pret 2005.gadu. Tāpat ievērojams samazinājums tiek prognozēts arī notekūdeņu apsaimniekošanas sektorā, kas būtu par 43,1% mazāk kā 2005.gadā.</w:t>
      </w:r>
    </w:p>
    <w:p w14:paraId="2A523C8C" w14:textId="77777777" w:rsidR="006179BB" w:rsidRPr="0007326F" w:rsidRDefault="006179BB">
      <w:pPr>
        <w:pStyle w:val="Heading30"/>
        <w:rPr>
          <w:rStyle w:val="normaltextrun"/>
        </w:rPr>
      </w:pPr>
      <w:bookmarkStart w:id="168" w:name="_Toc23245763"/>
      <w:bookmarkStart w:id="169" w:name="_Toc23245997"/>
      <w:bookmarkStart w:id="170" w:name="_Toc24408011"/>
      <w:r w:rsidRPr="00815257">
        <w:rPr>
          <w:rStyle w:val="normaltextrun"/>
        </w:rPr>
        <w:t>AER enerģija</w:t>
      </w:r>
      <w:bookmarkEnd w:id="168"/>
      <w:bookmarkEnd w:id="169"/>
      <w:bookmarkEnd w:id="170"/>
    </w:p>
    <w:p w14:paraId="2FE99CCE" w14:textId="77777777" w:rsidR="006179BB" w:rsidRPr="00C15715" w:rsidRDefault="006179BB">
      <w:pPr>
        <w:pStyle w:val="Heading4"/>
        <w:rPr>
          <w:rStyle w:val="normaltextrun"/>
          <w:i w:val="0"/>
          <w:iCs w:val="0"/>
          <w:u w:val="single"/>
          <w:lang w:eastAsia="lv-LV"/>
        </w:rPr>
      </w:pPr>
      <w:bookmarkStart w:id="171" w:name="_Toc23245764"/>
      <w:r w:rsidRPr="00C15715">
        <w:rPr>
          <w:rStyle w:val="normaltextrun"/>
        </w:rPr>
        <w:t>Esošā situācija AER izmantošanā</w:t>
      </w:r>
      <w:bookmarkEnd w:id="171"/>
    </w:p>
    <w:p w14:paraId="30314B6D" w14:textId="77777777" w:rsidR="006179BB" w:rsidRPr="00C15715" w:rsidRDefault="006179BB" w:rsidP="006179BB">
      <w:pPr>
        <w:pStyle w:val="NormalWeb"/>
        <w:spacing w:before="120" w:beforeAutospacing="0" w:after="120" w:afterAutospacing="0"/>
        <w:jc w:val="both"/>
        <w:rPr>
          <w:rFonts w:asciiTheme="minorHAnsi" w:hAnsiTheme="minorHAnsi" w:cstheme="minorHAnsi"/>
          <w:color w:val="000000"/>
        </w:rPr>
      </w:pPr>
      <w:r w:rsidRPr="00C15715">
        <w:rPr>
          <w:rFonts w:asciiTheme="minorHAnsi" w:hAnsiTheme="minorHAnsi" w:cstheme="minorHAnsi"/>
          <w:color w:val="000000"/>
        </w:rPr>
        <w:t>2018.gadā kopējais AER patēriņš Latvijā bija apmēram 77 PJ, un, salīdzinot ar 2005.gadu, tas ir pieaudzis par 25,6%. Kurināmās koksnes kopējais patēriņš kopš 2005.gada ir palielinājies par 27%, un 2018.gadā tas bija 62,6 PJ.</w:t>
      </w:r>
      <w:r w:rsidRPr="00C15715">
        <w:rPr>
          <w:rFonts w:asciiTheme="minorHAnsi" w:hAnsiTheme="minorHAnsi" w:cstheme="minorHAnsi"/>
        </w:rPr>
        <w:t xml:space="preserve"> K</w:t>
      </w:r>
      <w:r w:rsidRPr="00C15715">
        <w:rPr>
          <w:rFonts w:asciiTheme="minorHAnsi" w:hAnsiTheme="minorHAnsi" w:cstheme="minorHAnsi"/>
          <w:color w:val="000000"/>
        </w:rPr>
        <w:t xml:space="preserve">urināmā koksne (malka, koksnes atlikumi, kurināmā šķelda, koksnes briketes, koksnes granulas) ir </w:t>
      </w:r>
      <w:r>
        <w:rPr>
          <w:rFonts w:asciiTheme="minorHAnsi" w:hAnsiTheme="minorHAnsi" w:cstheme="minorHAnsi"/>
          <w:color w:val="000000"/>
        </w:rPr>
        <w:t>visplašāk</w:t>
      </w:r>
      <w:r w:rsidRPr="00C15715">
        <w:rPr>
          <w:rFonts w:asciiTheme="minorHAnsi" w:hAnsiTheme="minorHAnsi" w:cstheme="minorHAnsi"/>
          <w:color w:val="000000"/>
        </w:rPr>
        <w:t xml:space="preserve"> izmantotais AER, un tā patēriņš turpina palielināties katru gadu, īpatsvaram 2018.gadā sasniedzot 80,4%</w:t>
      </w:r>
      <w:r w:rsidRPr="005B731C">
        <w:rPr>
          <w:rFonts w:asciiTheme="minorHAnsi" w:hAnsiTheme="minorHAnsi" w:cstheme="minorHAnsi"/>
        </w:rPr>
        <w:t xml:space="preserve"> </w:t>
      </w:r>
      <w:r>
        <w:rPr>
          <w:rFonts w:asciiTheme="minorHAnsi" w:hAnsiTheme="minorHAnsi" w:cstheme="minorHAnsi"/>
        </w:rPr>
        <w:t>no kopējā AER patēriņa</w:t>
      </w:r>
      <w:r w:rsidRPr="00C15715">
        <w:rPr>
          <w:rFonts w:asciiTheme="minorHAnsi" w:hAnsiTheme="minorHAnsi" w:cstheme="minorHAnsi"/>
          <w:color w:val="000000"/>
        </w:rPr>
        <w:t>. No 2017.gada uz 2018.gadu būtiski palielinājās biodegvielas patēriņš – par 198,6%, kā arī saules enerģijas un sadzīves atkritumu (to AER daļas) patēriņš.</w:t>
      </w:r>
    </w:p>
    <w:p w14:paraId="6E275E1A" w14:textId="77777777" w:rsidR="006179BB" w:rsidRPr="00C15715" w:rsidRDefault="006179BB" w:rsidP="006179BB">
      <w:pPr>
        <w:pStyle w:val="NormalWeb"/>
        <w:spacing w:before="120" w:beforeAutospacing="0" w:after="120" w:afterAutospacing="0"/>
        <w:jc w:val="both"/>
        <w:rPr>
          <w:rFonts w:asciiTheme="minorHAnsi" w:hAnsiTheme="minorHAnsi" w:cstheme="minorHAnsi"/>
          <w:color w:val="000000"/>
        </w:rPr>
      </w:pPr>
      <w:r w:rsidRPr="00C15715">
        <w:rPr>
          <w:rFonts w:asciiTheme="minorHAnsi" w:hAnsiTheme="minorHAnsi" w:cstheme="minorHAnsi"/>
          <w:color w:val="000000"/>
        </w:rPr>
        <w:t>2018.gadā Latvijā saražoja 6725 GWh elektroenerģijas, no tā 3499 GWh no AER, un salīdzinājumā ar 2017.gadu saražotais apjoms no AER samazinājās par 35,9 %. Koģenerācijas stacijās pērn tika saražotas 4170 GWh elektroenerģijas, no tā 22,6 % no AER (</w:t>
      </w:r>
      <w:r>
        <w:rPr>
          <w:rFonts w:asciiTheme="minorHAnsi" w:hAnsiTheme="minorHAnsi" w:cstheme="minorHAnsi"/>
          <w:color w:val="000000"/>
        </w:rPr>
        <w:t>gāzveida biomasas (</w:t>
      </w:r>
      <w:r w:rsidRPr="00C15715">
        <w:rPr>
          <w:rFonts w:asciiTheme="minorHAnsi" w:hAnsiTheme="minorHAnsi" w:cstheme="minorHAnsi"/>
          <w:color w:val="000000"/>
        </w:rPr>
        <w:t>biogāzes</w:t>
      </w:r>
      <w:r>
        <w:rPr>
          <w:rFonts w:asciiTheme="minorHAnsi" w:hAnsiTheme="minorHAnsi" w:cstheme="minorHAnsi"/>
          <w:color w:val="000000"/>
        </w:rPr>
        <w:t>)</w:t>
      </w:r>
      <w:r w:rsidRPr="00C15715">
        <w:rPr>
          <w:rFonts w:asciiTheme="minorHAnsi" w:hAnsiTheme="minorHAnsi" w:cstheme="minorHAnsi"/>
          <w:color w:val="000000"/>
        </w:rPr>
        <w:t xml:space="preserve"> un </w:t>
      </w:r>
      <w:r>
        <w:rPr>
          <w:rFonts w:asciiTheme="minorHAnsi" w:hAnsiTheme="minorHAnsi" w:cstheme="minorHAnsi"/>
          <w:color w:val="000000"/>
        </w:rPr>
        <w:t xml:space="preserve">cietās </w:t>
      </w:r>
      <w:r w:rsidRPr="00C15715">
        <w:rPr>
          <w:rFonts w:asciiTheme="minorHAnsi" w:hAnsiTheme="minorHAnsi" w:cstheme="minorHAnsi"/>
          <w:color w:val="000000"/>
        </w:rPr>
        <w:t xml:space="preserve">biomasas koģenerācijas stacijās). Pēdējo piecu gadu laikā saražotā elektroenerģija </w:t>
      </w:r>
      <w:r>
        <w:rPr>
          <w:rFonts w:asciiTheme="minorHAnsi" w:hAnsiTheme="minorHAnsi" w:cstheme="minorHAnsi"/>
          <w:color w:val="000000"/>
        </w:rPr>
        <w:t xml:space="preserve">cietās </w:t>
      </w:r>
      <w:r w:rsidRPr="00C15715">
        <w:rPr>
          <w:rFonts w:asciiTheme="minorHAnsi" w:hAnsiTheme="minorHAnsi" w:cstheme="minorHAnsi"/>
          <w:color w:val="000000"/>
        </w:rPr>
        <w:t xml:space="preserve">biomasas elektrostacijās un koģenerācijas stacijās pieauga no 319 līdz 570 GWh un </w:t>
      </w:r>
      <w:r>
        <w:rPr>
          <w:rFonts w:asciiTheme="minorHAnsi" w:hAnsiTheme="minorHAnsi" w:cstheme="minorHAnsi"/>
          <w:color w:val="000000"/>
        </w:rPr>
        <w:t>gāzveida biomasas (</w:t>
      </w:r>
      <w:r w:rsidRPr="00C15715">
        <w:rPr>
          <w:rFonts w:asciiTheme="minorHAnsi" w:hAnsiTheme="minorHAnsi" w:cstheme="minorHAnsi"/>
          <w:color w:val="000000"/>
        </w:rPr>
        <w:t>biogāzes</w:t>
      </w:r>
      <w:r>
        <w:rPr>
          <w:rFonts w:asciiTheme="minorHAnsi" w:hAnsiTheme="minorHAnsi" w:cstheme="minorHAnsi"/>
          <w:color w:val="000000"/>
        </w:rPr>
        <w:t>)</w:t>
      </w:r>
      <w:r w:rsidRPr="00C15715">
        <w:rPr>
          <w:rFonts w:asciiTheme="minorHAnsi" w:hAnsiTheme="minorHAnsi" w:cstheme="minorHAnsi"/>
          <w:color w:val="000000"/>
        </w:rPr>
        <w:t xml:space="preserve"> koģenerācijas stacijās – no 350 līdz 374 GWh. 2018.gadā, salīdzinot ar 2017.gadu, par 43,6 % samazinājās saražotā primārā elektroenerģija – no tā HES samazinājums par 44,5 % un VES – par 18,7 %. Pērn HES saražoja 2432 GWh un VES – 122 GWh VES. Elektroenerģijas ražošanas samazinājumu pērn visvairāk ietekmēja zemā izstrāde HES, kas skaidrojama ar netipiski sausu un garu vasaras periodu ar zemiem ūdenstilpju līmeņiem un zemu ūdens pieteci Daugavā.</w:t>
      </w:r>
    </w:p>
    <w:p w14:paraId="7751EC8D" w14:textId="77777777" w:rsidR="006179BB" w:rsidRPr="00C15715" w:rsidRDefault="006179BB" w:rsidP="006179BB">
      <w:pPr>
        <w:pStyle w:val="NormalWeb"/>
        <w:spacing w:before="120" w:beforeAutospacing="0" w:after="12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14:anchorId="61CF5989" wp14:editId="72B41805">
            <wp:extent cx="4722642" cy="2917536"/>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7074" cy="2944985"/>
                    </a:xfrm>
                    <a:prstGeom prst="rect">
                      <a:avLst/>
                    </a:prstGeom>
                    <a:noFill/>
                  </pic:spPr>
                </pic:pic>
              </a:graphicData>
            </a:graphic>
          </wp:inline>
        </w:drawing>
      </w:r>
    </w:p>
    <w:p w14:paraId="1CECC6A6" w14:textId="2FFA77EC" w:rsidR="006179BB" w:rsidRPr="00C15715" w:rsidRDefault="006179BB" w:rsidP="006179BB">
      <w:pPr>
        <w:pStyle w:val="Caption"/>
        <w:spacing w:before="0"/>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172" w:name="_Toc23782687"/>
      <w:r w:rsidR="006E6675">
        <w:rPr>
          <w:rFonts w:asciiTheme="minorHAnsi" w:hAnsiTheme="minorHAnsi" w:cstheme="minorHAnsi"/>
          <w:noProof/>
        </w:rPr>
        <w:t>7</w:t>
      </w:r>
      <w:r w:rsidRPr="00C15715">
        <w:rPr>
          <w:rFonts w:asciiTheme="minorHAnsi" w:hAnsiTheme="minorHAnsi" w:cstheme="minorHAnsi"/>
          <w:noProof/>
        </w:rPr>
        <w:fldChar w:fldCharType="end"/>
      </w:r>
      <w:r w:rsidRPr="00C15715">
        <w:rPr>
          <w:rFonts w:asciiTheme="minorHAnsi" w:hAnsiTheme="minorHAnsi" w:cstheme="minorHAnsi"/>
        </w:rPr>
        <w:t xml:space="preserve">.attēls. No AER </w:t>
      </w:r>
      <w:r>
        <w:rPr>
          <w:rFonts w:asciiTheme="minorHAnsi" w:hAnsiTheme="minorHAnsi" w:cstheme="minorHAnsi"/>
        </w:rPr>
        <w:t xml:space="preserve">(un fosilā kurināmā) </w:t>
      </w:r>
      <w:r w:rsidRPr="00C15715">
        <w:rPr>
          <w:rFonts w:asciiTheme="minorHAnsi" w:hAnsiTheme="minorHAnsi" w:cstheme="minorHAnsi"/>
        </w:rPr>
        <w:t>saražotās elektroenerģijas apjoms Latvijā 2006.-2018.g. (GWh)</w:t>
      </w:r>
      <w:r w:rsidRPr="00C15715">
        <w:rPr>
          <w:rStyle w:val="FootnoteReference"/>
          <w:rFonts w:asciiTheme="minorHAnsi" w:hAnsiTheme="minorHAnsi" w:cstheme="minorHAnsi"/>
        </w:rPr>
        <w:footnoteReference w:id="45"/>
      </w:r>
      <w:bookmarkEnd w:id="172"/>
    </w:p>
    <w:p w14:paraId="428D97A9" w14:textId="77777777" w:rsidR="006179BB" w:rsidRPr="00C15715" w:rsidRDefault="006179BB" w:rsidP="006179BB">
      <w:pPr>
        <w:spacing w:before="120" w:after="120" w:line="240" w:lineRule="auto"/>
        <w:jc w:val="both"/>
        <w:rPr>
          <w:rFonts w:cstheme="minorHAnsi"/>
        </w:rPr>
      </w:pPr>
      <w:r w:rsidRPr="00C15715">
        <w:rPr>
          <w:rFonts w:cstheme="minorHAnsi"/>
        </w:rPr>
        <w:t>2018.gadā Latvijā CSA un LSA saražoja 8247 GWh siltumenerģijas, no tā 46,7% ir saražots izmantojot AER, kur absolūti dominē cietā biomasa (kurināmā koksne) – 93,5% 2018.gadā. AER izmantošana CSA un LSA periodā no 2012.gada ir palielinājies gandrīz 3 reizes. Savukārt kurināmās koksnes patēriņš mājsaimniecībās (individuālajā siltumapgādē) 2018.gadā sasniedz gandrīz 80%.</w:t>
      </w:r>
    </w:p>
    <w:p w14:paraId="4D000191" w14:textId="77777777" w:rsidR="006179BB" w:rsidRPr="00C15715" w:rsidRDefault="006179BB" w:rsidP="006179BB">
      <w:pPr>
        <w:jc w:val="center"/>
        <w:rPr>
          <w:rFonts w:cstheme="minorHAnsi"/>
        </w:rPr>
      </w:pPr>
      <w:r>
        <w:rPr>
          <w:rFonts w:cstheme="minorHAnsi"/>
          <w:noProof/>
        </w:rPr>
        <w:drawing>
          <wp:inline distT="0" distB="0" distL="0" distR="0" wp14:anchorId="3487F530" wp14:editId="5ED5F665">
            <wp:extent cx="4548594" cy="3276493"/>
            <wp:effectExtent l="0" t="0" r="444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7720" cy="3297473"/>
                    </a:xfrm>
                    <a:prstGeom prst="rect">
                      <a:avLst/>
                    </a:prstGeom>
                    <a:noFill/>
                  </pic:spPr>
                </pic:pic>
              </a:graphicData>
            </a:graphic>
          </wp:inline>
        </w:drawing>
      </w:r>
    </w:p>
    <w:p w14:paraId="1448E2FB" w14:textId="0675B012" w:rsidR="006179BB" w:rsidRPr="00C15715" w:rsidRDefault="006179BB" w:rsidP="006179BB">
      <w:pPr>
        <w:pStyle w:val="Caption"/>
        <w:spacing w:before="0"/>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173" w:name="_Toc23782688"/>
      <w:r w:rsidR="006E6675">
        <w:rPr>
          <w:rFonts w:asciiTheme="minorHAnsi" w:hAnsiTheme="minorHAnsi" w:cstheme="minorHAnsi"/>
          <w:noProof/>
        </w:rPr>
        <w:t>8</w:t>
      </w:r>
      <w:r w:rsidRPr="00C15715">
        <w:rPr>
          <w:rFonts w:asciiTheme="minorHAnsi" w:hAnsiTheme="minorHAnsi" w:cstheme="minorHAnsi"/>
          <w:noProof/>
        </w:rPr>
        <w:fldChar w:fldCharType="end"/>
      </w:r>
      <w:r w:rsidRPr="00C15715">
        <w:rPr>
          <w:rFonts w:asciiTheme="minorHAnsi" w:hAnsiTheme="minorHAnsi" w:cstheme="minorHAnsi"/>
        </w:rPr>
        <w:t>.attēls. No AER</w:t>
      </w:r>
      <w:r>
        <w:rPr>
          <w:rFonts w:asciiTheme="minorHAnsi" w:hAnsiTheme="minorHAnsi" w:cstheme="minorHAnsi"/>
        </w:rPr>
        <w:t xml:space="preserve"> (un fosilā kurināmā)</w:t>
      </w:r>
      <w:r w:rsidRPr="00C15715">
        <w:rPr>
          <w:rFonts w:asciiTheme="minorHAnsi" w:hAnsiTheme="minorHAnsi" w:cstheme="minorHAnsi"/>
        </w:rPr>
        <w:t xml:space="preserve"> saražotās CSA un LSA siltumenerģijas apjoms Latvijā 2006.-2018.g. (</w:t>
      </w:r>
      <w:r>
        <w:rPr>
          <w:rFonts w:asciiTheme="minorHAnsi" w:hAnsiTheme="minorHAnsi" w:cstheme="minorHAnsi"/>
        </w:rPr>
        <w:t>TJ</w:t>
      </w:r>
      <w:r w:rsidRPr="00C15715">
        <w:rPr>
          <w:rFonts w:asciiTheme="minorHAnsi" w:hAnsiTheme="minorHAnsi" w:cstheme="minorHAnsi"/>
        </w:rPr>
        <w:t>)</w:t>
      </w:r>
      <w:r w:rsidRPr="00C15715">
        <w:rPr>
          <w:rStyle w:val="FootnoteReference"/>
          <w:rFonts w:asciiTheme="minorHAnsi" w:hAnsiTheme="minorHAnsi" w:cstheme="minorHAnsi"/>
        </w:rPr>
        <w:footnoteReference w:id="46"/>
      </w:r>
      <w:bookmarkEnd w:id="173"/>
    </w:p>
    <w:p w14:paraId="4B387FB7" w14:textId="77777777" w:rsidR="006179BB" w:rsidRPr="00C15715" w:rsidRDefault="006179BB" w:rsidP="006179BB">
      <w:pPr>
        <w:pStyle w:val="NoSpacing"/>
        <w:spacing w:before="120" w:after="120"/>
        <w:jc w:val="both"/>
        <w:rPr>
          <w:rFonts w:asciiTheme="minorHAnsi" w:hAnsiTheme="minorHAnsi" w:cstheme="minorHAnsi"/>
          <w:szCs w:val="24"/>
        </w:rPr>
      </w:pPr>
      <w:bookmarkStart w:id="174" w:name="_Hlk9233933"/>
      <w:r w:rsidRPr="00C15715">
        <w:rPr>
          <w:rFonts w:asciiTheme="minorHAnsi" w:hAnsiTheme="minorHAnsi" w:cstheme="minorHAnsi"/>
          <w:szCs w:val="24"/>
        </w:rPr>
        <w:t xml:space="preserve">AER un elektroenerģijas </w:t>
      </w:r>
      <w:r>
        <w:rPr>
          <w:rFonts w:asciiTheme="minorHAnsi" w:hAnsiTheme="minorHAnsi" w:cstheme="minorHAnsi"/>
          <w:szCs w:val="24"/>
        </w:rPr>
        <w:t xml:space="preserve">patēriņš </w:t>
      </w:r>
      <w:r w:rsidRPr="00C15715">
        <w:rPr>
          <w:rFonts w:asciiTheme="minorHAnsi" w:hAnsiTheme="minorHAnsi" w:cstheme="minorHAnsi"/>
          <w:szCs w:val="24"/>
        </w:rPr>
        <w:t>transporta sektorā 2018.gadā bija 1,65 PJ, kas ir tikai 3,06% no kopējā transportā izmantotās enerģijas apjoma. AER izmantojums transportā salīdzinot ar 2005.gadu ir palielinājies 2,5 reizes un</w:t>
      </w:r>
      <w:r>
        <w:rPr>
          <w:rFonts w:asciiTheme="minorHAnsi" w:hAnsiTheme="minorHAnsi" w:cstheme="minorHAnsi"/>
          <w:szCs w:val="24"/>
        </w:rPr>
        <w:t xml:space="preserve"> 2018.gadā pēc krasām svārstībām 2015.-2018.g. periodā ir sasniedzis augstāko patēriņa apjomu – 6% pieaugums salīdzinot ar 2010.gadu</w:t>
      </w:r>
      <w:r w:rsidRPr="00C15715">
        <w:rPr>
          <w:rFonts w:asciiTheme="minorHAnsi" w:hAnsiTheme="minorHAnsi" w:cstheme="minorHAnsi"/>
          <w:szCs w:val="24"/>
        </w:rPr>
        <w:t>.</w:t>
      </w:r>
    </w:p>
    <w:bookmarkEnd w:id="174"/>
    <w:p w14:paraId="518862BA" w14:textId="77777777" w:rsidR="006179BB" w:rsidRPr="00C15715" w:rsidRDefault="006179BB" w:rsidP="006179BB">
      <w:pPr>
        <w:pStyle w:val="NoSpacing"/>
        <w:spacing w:before="120" w:after="120"/>
        <w:jc w:val="both"/>
        <w:rPr>
          <w:rFonts w:asciiTheme="minorHAnsi" w:hAnsiTheme="minorHAnsi" w:cstheme="minorHAnsi"/>
          <w:szCs w:val="24"/>
        </w:rPr>
      </w:pPr>
      <w:r w:rsidRPr="00C15715">
        <w:rPr>
          <w:rFonts w:asciiTheme="minorHAnsi" w:hAnsiTheme="minorHAnsi" w:cstheme="minorHAnsi"/>
          <w:szCs w:val="24"/>
        </w:rPr>
        <w:t>Latvijā no 2009. gada 1. oktobra ir ieviests obligātais 5% biodegvielas piejaukums fosilajai degvielai. 95. markas benzīnu atļauts realizēt tikai ar bioetanola saturu 4,5–5 tilpumprocenti no kopējā benzīna tilpuma, taču šī prasība nav attiecināma uz benzīnu, kuru izmanto aviācijas transporta dzinējos, un 98. markas benzīnu. Dīzeļdegvielu atļauts realizēt tikai ar biodīzeļdegvielas, kas iegūta no rapšu sēklu eļļas saturu 4,5-7 tilpumprocenti no kopējā maisījuma tilpuma</w:t>
      </w:r>
      <w:r w:rsidRPr="00C15715" w:rsidDel="00BB5B88">
        <w:rPr>
          <w:rFonts w:asciiTheme="minorHAnsi" w:hAnsiTheme="minorHAnsi" w:cstheme="minorHAnsi"/>
          <w:szCs w:val="24"/>
        </w:rPr>
        <w:t xml:space="preserve"> </w:t>
      </w:r>
      <w:r w:rsidRPr="00C15715">
        <w:rPr>
          <w:rFonts w:asciiTheme="minorHAnsi" w:hAnsiTheme="minorHAnsi" w:cstheme="minorHAnsi"/>
          <w:szCs w:val="24"/>
        </w:rPr>
        <w:t>vai parafinizētu dīzeļdegvielu, kas iegūta no biomasas, vismaz 4,5 tilpumprocentu apjomā no kopējā maisījuma tilpuma. Šī prasība nav attiecināma uz dīzeļdegvielu, kuru realizē no 1. novembra līdz 15. aprīlim, kā arī dīzeļdegvielu, kuru izmanto jūras transporta flotes kuģu dzinējos un aviācijas transporta dzinējos.</w:t>
      </w:r>
    </w:p>
    <w:p w14:paraId="78404BD7" w14:textId="77777777" w:rsidR="006179BB" w:rsidRPr="00C15715" w:rsidRDefault="006179BB" w:rsidP="006179BB">
      <w:pPr>
        <w:spacing w:before="120" w:after="120" w:line="240" w:lineRule="auto"/>
        <w:jc w:val="center"/>
        <w:rPr>
          <w:rFonts w:cstheme="minorHAnsi"/>
          <w:szCs w:val="24"/>
        </w:rPr>
      </w:pPr>
      <w:r w:rsidRPr="00C15715">
        <w:rPr>
          <w:rFonts w:cstheme="minorHAnsi"/>
          <w:noProof/>
          <w:szCs w:val="24"/>
        </w:rPr>
        <w:drawing>
          <wp:inline distT="0" distB="0" distL="0" distR="0" wp14:anchorId="515A773A" wp14:editId="169CD38D">
            <wp:extent cx="4262353" cy="2689547"/>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89510" cy="2706683"/>
                    </a:xfrm>
                    <a:prstGeom prst="rect">
                      <a:avLst/>
                    </a:prstGeom>
                    <a:noFill/>
                  </pic:spPr>
                </pic:pic>
              </a:graphicData>
            </a:graphic>
          </wp:inline>
        </w:drawing>
      </w:r>
    </w:p>
    <w:p w14:paraId="55AA61E1" w14:textId="0C291513" w:rsidR="006179BB" w:rsidRPr="00C15715" w:rsidRDefault="006179BB" w:rsidP="006179BB">
      <w:pPr>
        <w:pStyle w:val="Caption"/>
        <w:rPr>
          <w:rFonts w:asciiTheme="minorHAnsi" w:hAnsiTheme="minorHAnsi" w:cstheme="minorHAnsi"/>
          <w:szCs w:val="24"/>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Ilustrācija \* ARABIC </w:instrText>
      </w:r>
      <w:r w:rsidRPr="00C15715">
        <w:rPr>
          <w:rFonts w:asciiTheme="minorHAnsi" w:hAnsiTheme="minorHAnsi" w:cstheme="minorHAnsi"/>
          <w:szCs w:val="24"/>
        </w:rPr>
        <w:fldChar w:fldCharType="separate"/>
      </w:r>
      <w:bookmarkStart w:id="175" w:name="_Toc23782689"/>
      <w:r w:rsidR="006E6675">
        <w:rPr>
          <w:rFonts w:asciiTheme="minorHAnsi" w:hAnsiTheme="minorHAnsi" w:cstheme="minorHAnsi"/>
          <w:noProof/>
          <w:szCs w:val="24"/>
        </w:rPr>
        <w:t>9</w:t>
      </w:r>
      <w:r w:rsidRPr="00C15715">
        <w:rPr>
          <w:rFonts w:asciiTheme="minorHAnsi" w:hAnsiTheme="minorHAnsi" w:cstheme="minorHAnsi"/>
          <w:szCs w:val="24"/>
        </w:rPr>
        <w:fldChar w:fldCharType="end"/>
      </w:r>
      <w:r w:rsidRPr="00C15715">
        <w:rPr>
          <w:rFonts w:asciiTheme="minorHAnsi" w:hAnsiTheme="minorHAnsi" w:cstheme="minorHAnsi"/>
        </w:rPr>
        <w:t>.attēls. AER izmantojums transportā 2005.-2018.g. (TJ)</w:t>
      </w:r>
      <w:r w:rsidRPr="00C15715">
        <w:rPr>
          <w:rStyle w:val="FootnoteReference"/>
          <w:rFonts w:asciiTheme="minorHAnsi" w:hAnsiTheme="minorHAnsi" w:cstheme="minorHAnsi"/>
        </w:rPr>
        <w:footnoteReference w:id="47"/>
      </w:r>
      <w:bookmarkEnd w:id="175"/>
    </w:p>
    <w:p w14:paraId="0479C870" w14:textId="77777777" w:rsidR="006179BB" w:rsidRPr="00C15715" w:rsidRDefault="006179BB" w:rsidP="006179BB">
      <w:pPr>
        <w:pStyle w:val="NoSpacing"/>
        <w:spacing w:before="120" w:after="120"/>
        <w:jc w:val="both"/>
        <w:rPr>
          <w:rFonts w:asciiTheme="minorHAnsi" w:hAnsiTheme="minorHAnsi" w:cstheme="minorHAnsi"/>
          <w:szCs w:val="24"/>
        </w:rPr>
      </w:pPr>
      <w:bookmarkStart w:id="176" w:name="_Hlk9236008"/>
      <w:r w:rsidRPr="00C15715">
        <w:rPr>
          <w:rFonts w:asciiTheme="minorHAnsi" w:hAnsiTheme="minorHAnsi" w:cstheme="minorHAnsi"/>
          <w:szCs w:val="24"/>
        </w:rPr>
        <w:t xml:space="preserve">Uz 2019.gada 1.jūliju </w:t>
      </w:r>
      <w:r w:rsidRPr="00C15715">
        <w:rPr>
          <w:rFonts w:asciiTheme="minorHAnsi" w:hAnsiTheme="minorHAnsi" w:cstheme="minorHAnsi"/>
        </w:rPr>
        <w:t>Latvijā tehniskā kārtībā ir vairāk nekā 658 ETL, no kuriem 518 ir vieglie ETL, bet 19 – autobusi vai kravas auto</w:t>
      </w:r>
      <w:bookmarkEnd w:id="176"/>
      <w:r w:rsidRPr="00C15715">
        <w:rPr>
          <w:rFonts w:asciiTheme="minorHAnsi" w:hAnsiTheme="minorHAnsi" w:cstheme="minorHAnsi"/>
          <w:szCs w:val="24"/>
        </w:rPr>
        <w:t>, un salīdzinot ar 2018.gada 1.jūliju šis skaits ir palielinājies par 37,4%.</w:t>
      </w:r>
    </w:p>
    <w:p w14:paraId="4F0B200B" w14:textId="77777777" w:rsidR="006179BB" w:rsidRPr="00C15715" w:rsidRDefault="006179BB">
      <w:pPr>
        <w:pStyle w:val="Heading4"/>
      </w:pPr>
      <w:bookmarkStart w:id="177" w:name="_Toc23245765"/>
      <w:r w:rsidRPr="00C15715">
        <w:t>Latvijas 2020.gada AER enerģijas īpatsvara mērķa izpilde</w:t>
      </w:r>
      <w:bookmarkEnd w:id="177"/>
    </w:p>
    <w:p w14:paraId="78D9180A" w14:textId="77777777" w:rsidR="006179BB" w:rsidRPr="00C15715" w:rsidRDefault="006179BB" w:rsidP="006179BB">
      <w:pPr>
        <w:pStyle w:val="NormalWeb"/>
        <w:spacing w:before="120" w:beforeAutospacing="0" w:after="120" w:afterAutospacing="0"/>
        <w:jc w:val="both"/>
        <w:rPr>
          <w:rFonts w:asciiTheme="minorHAnsi" w:hAnsiTheme="minorHAnsi" w:cstheme="minorHAnsi"/>
          <w:color w:val="000000"/>
        </w:rPr>
      </w:pPr>
      <w:r w:rsidRPr="00C15715">
        <w:rPr>
          <w:rFonts w:asciiTheme="minorHAnsi" w:hAnsiTheme="minorHAnsi" w:cstheme="minorHAnsi"/>
          <w:color w:val="000000"/>
        </w:rPr>
        <w:t xml:space="preserve">AE īpatsvars 2017.gadā kopējā enerģijas galapatēriņā veidoja 39% un šis īpatsvars ir palielinājies par 20,9% no 2005.gada. Ņemot vērā kopējā enerģijas galapatēriņa sarukumu, AE īpatsvars saglabājās virs indikatīvās līknes 2020.gada mērķa sasniegšanai. </w:t>
      </w:r>
    </w:p>
    <w:p w14:paraId="3B7C33DD" w14:textId="77777777" w:rsidR="006179BB" w:rsidRPr="00C15715" w:rsidRDefault="006179BB" w:rsidP="006179BB">
      <w:pPr>
        <w:pStyle w:val="NormalWeb"/>
        <w:spacing w:before="120" w:beforeAutospacing="0" w:after="120" w:afterAutospacing="0"/>
        <w:jc w:val="center"/>
        <w:rPr>
          <w:rFonts w:asciiTheme="minorHAnsi" w:hAnsiTheme="minorHAnsi" w:cstheme="minorHAnsi"/>
          <w:color w:val="000000"/>
        </w:rPr>
      </w:pPr>
      <w:r>
        <w:rPr>
          <w:rFonts w:asciiTheme="minorHAnsi" w:hAnsiTheme="minorHAnsi" w:cstheme="minorHAnsi"/>
          <w:noProof/>
          <w:color w:val="000000"/>
        </w:rPr>
        <w:drawing>
          <wp:inline distT="0" distB="0" distL="0" distR="0" wp14:anchorId="196C75C8" wp14:editId="50784423">
            <wp:extent cx="4664466" cy="2908201"/>
            <wp:effectExtent l="0" t="0" r="317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87148" cy="2922343"/>
                    </a:xfrm>
                    <a:prstGeom prst="rect">
                      <a:avLst/>
                    </a:prstGeom>
                    <a:noFill/>
                  </pic:spPr>
                </pic:pic>
              </a:graphicData>
            </a:graphic>
          </wp:inline>
        </w:drawing>
      </w:r>
    </w:p>
    <w:p w14:paraId="26DE856C" w14:textId="40354481"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178" w:name="_Toc23782690"/>
      <w:r w:rsidR="006E6675">
        <w:rPr>
          <w:rFonts w:asciiTheme="minorHAnsi" w:hAnsiTheme="minorHAnsi" w:cstheme="minorHAnsi"/>
          <w:noProof/>
        </w:rPr>
        <w:t>10</w:t>
      </w:r>
      <w:r w:rsidRPr="00C15715">
        <w:rPr>
          <w:rFonts w:asciiTheme="minorHAnsi" w:hAnsiTheme="minorHAnsi" w:cstheme="minorHAnsi"/>
          <w:noProof/>
        </w:rPr>
        <w:fldChar w:fldCharType="end"/>
      </w:r>
      <w:r w:rsidRPr="00C15715">
        <w:rPr>
          <w:rFonts w:asciiTheme="minorHAnsi" w:hAnsiTheme="minorHAnsi" w:cstheme="minorHAnsi"/>
        </w:rPr>
        <w:t xml:space="preserve">.attēls. Latvijas kopējais </w:t>
      </w:r>
      <w:r>
        <w:rPr>
          <w:rFonts w:asciiTheme="minorHAnsi" w:hAnsiTheme="minorHAnsi" w:cstheme="minorHAnsi"/>
        </w:rPr>
        <w:t xml:space="preserve">un sektorālais </w:t>
      </w:r>
      <w:r w:rsidRPr="00C15715">
        <w:rPr>
          <w:rFonts w:asciiTheme="minorHAnsi" w:hAnsiTheme="minorHAnsi" w:cstheme="minorHAnsi"/>
        </w:rPr>
        <w:t>AE īpatsvars</w:t>
      </w:r>
      <w:r>
        <w:rPr>
          <w:rFonts w:asciiTheme="minorHAnsi" w:hAnsiTheme="minorHAnsi" w:cstheme="minorHAnsi"/>
        </w:rPr>
        <w:t xml:space="preserve">, AE </w:t>
      </w:r>
      <w:r w:rsidRPr="00C15715">
        <w:rPr>
          <w:rFonts w:asciiTheme="minorHAnsi" w:hAnsiTheme="minorHAnsi" w:cstheme="minorHAnsi"/>
        </w:rPr>
        <w:t>mērķa izpilde</w:t>
      </w:r>
      <w:r w:rsidRPr="009A7189">
        <w:rPr>
          <w:rFonts w:asciiTheme="minorHAnsi" w:hAnsiTheme="minorHAnsi" w:cstheme="minorHAnsi"/>
        </w:rPr>
        <w:t xml:space="preserve"> </w:t>
      </w:r>
      <w:r w:rsidRPr="00C15715">
        <w:rPr>
          <w:rFonts w:asciiTheme="minorHAnsi" w:hAnsiTheme="minorHAnsi" w:cstheme="minorHAnsi"/>
        </w:rPr>
        <w:t>un AE indikatīvās attīstības līknes (2005.-2017.g.)</w:t>
      </w:r>
      <w:r w:rsidRPr="00C15715">
        <w:rPr>
          <w:rStyle w:val="FootnoteReference"/>
          <w:rFonts w:asciiTheme="minorHAnsi" w:hAnsiTheme="minorHAnsi" w:cstheme="minorHAnsi"/>
        </w:rPr>
        <w:footnoteReference w:id="48"/>
      </w:r>
      <w:bookmarkEnd w:id="178"/>
    </w:p>
    <w:p w14:paraId="41B1356F" w14:textId="77777777"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Attiecībā uz AE īpatsvara sektorālajiem mērķiem ir secināms, ka 2017.gadā Latvija ir pārsniegusi LRRAEJ</w:t>
      </w:r>
      <w:r w:rsidRPr="00C15715">
        <w:rPr>
          <w:rStyle w:val="FootnoteReference"/>
          <w:rFonts w:asciiTheme="minorHAnsi" w:hAnsiTheme="minorHAnsi" w:cstheme="minorHAnsi"/>
        </w:rPr>
        <w:footnoteReference w:id="49"/>
      </w:r>
      <w:r w:rsidRPr="00C15715">
        <w:rPr>
          <w:rFonts w:asciiTheme="minorHAnsi" w:hAnsiTheme="minorHAnsi" w:cstheme="minorHAnsi"/>
        </w:rPr>
        <w:t xml:space="preserve"> plānā noteiktos AE īpatsvara siltumapgādē un aukstumapgādē un AE īpatsvara elektroenerģijā indikatīvās attīstības līknes, kur 2017.gadā Latvija ir jau pārsniegusi arī 2020.gada LRRAEJ plānā noteikto AE īpatsvara siltumapgādē un aukstumapgādē mērķi 2020.gadam, bet AE īpatsvara elektroenerģijā 2020.gada mērķa sasniegšanai Latvijai ir nepieciešams palielināt šo īpatsvaru vēl par 5,5 procentpunktiem. Savukārt, lai izpildītu ES līmenī saistošo AE īpatsvara transportā mērķi, Latvijai vēl ir nepieciešams šī īpatsvara palielinājums par 7,5 procentpunktiem.</w:t>
      </w:r>
    </w:p>
    <w:p w14:paraId="465BBBD1" w14:textId="77777777" w:rsidR="006179BB" w:rsidRPr="00D00624" w:rsidRDefault="006179BB" w:rsidP="006179BB">
      <w:pPr>
        <w:autoSpaceDE w:val="0"/>
        <w:autoSpaceDN w:val="0"/>
        <w:spacing w:before="120" w:after="120" w:line="240" w:lineRule="auto"/>
        <w:jc w:val="both"/>
        <w:rPr>
          <w:rFonts w:cstheme="minorHAnsi"/>
          <w:szCs w:val="24"/>
        </w:rPr>
      </w:pPr>
      <w:r w:rsidRPr="00C15715">
        <w:rPr>
          <w:rFonts w:cstheme="minorHAnsi"/>
          <w:szCs w:val="24"/>
        </w:rPr>
        <w:t xml:space="preserve">Latvijai noteikto no AER saražotas enerģijas mērķu izpilde katrus divus gadus tiek novērtēta </w:t>
      </w:r>
      <w:r w:rsidRPr="00D00624">
        <w:rPr>
          <w:rFonts w:cstheme="minorHAnsi"/>
          <w:szCs w:val="24"/>
        </w:rPr>
        <w:t xml:space="preserve">saskaņā ar </w:t>
      </w:r>
      <w:r w:rsidRPr="00D00624">
        <w:rPr>
          <w:rFonts w:eastAsia="Calibri" w:cstheme="minorHAnsi"/>
          <w:szCs w:val="24"/>
        </w:rPr>
        <w:t>Direktīvas 2009/28/EK</w:t>
      </w:r>
      <w:r w:rsidRPr="00D00624">
        <w:rPr>
          <w:rStyle w:val="FootnoteReference"/>
          <w:rFonts w:cstheme="minorHAnsi"/>
          <w:szCs w:val="24"/>
        </w:rPr>
        <w:footnoteReference w:id="50"/>
      </w:r>
      <w:r w:rsidRPr="00D00624">
        <w:rPr>
          <w:rFonts w:cstheme="minorHAnsi"/>
          <w:szCs w:val="24"/>
        </w:rPr>
        <w:t xml:space="preserve">  22.panta pirmo daļu, sagatavojot ziņojumu EK par mērķu izpildi</w:t>
      </w:r>
      <w:r w:rsidRPr="00D00624">
        <w:rPr>
          <w:rStyle w:val="FootnoteReference"/>
          <w:rFonts w:cstheme="minorHAnsi"/>
          <w:szCs w:val="24"/>
        </w:rPr>
        <w:footnoteReference w:id="51"/>
      </w:r>
      <w:r w:rsidRPr="00D00624">
        <w:rPr>
          <w:rFonts w:cstheme="minorHAnsi"/>
          <w:szCs w:val="24"/>
        </w:rPr>
        <w:t xml:space="preserve">. </w:t>
      </w:r>
    </w:p>
    <w:p w14:paraId="48410842" w14:textId="77777777" w:rsidR="006179BB" w:rsidRPr="00D00624" w:rsidRDefault="006179BB">
      <w:pPr>
        <w:pStyle w:val="Heading4"/>
        <w:rPr>
          <w:rStyle w:val="normaltextrun"/>
          <w:rFonts w:eastAsiaTheme="minorHAnsi" w:cstheme="minorBidi"/>
          <w:i w:val="0"/>
          <w:iCs w:val="0"/>
          <w:szCs w:val="22"/>
        </w:rPr>
      </w:pPr>
      <w:bookmarkStart w:id="179" w:name="_Toc23245766"/>
      <w:r w:rsidRPr="00D00624">
        <w:rPr>
          <w:rStyle w:val="normaltextrun"/>
        </w:rPr>
        <w:t>Indikatīvās attīstības prognozes</w:t>
      </w:r>
      <w:bookmarkEnd w:id="179"/>
      <w:r w:rsidRPr="00D00624">
        <w:rPr>
          <w:rStyle w:val="normaltextrun"/>
        </w:rPr>
        <w:t> </w:t>
      </w:r>
    </w:p>
    <w:p w14:paraId="6A0F3FD9" w14:textId="06FEC6E6" w:rsidR="00276A9B" w:rsidRPr="00D00624" w:rsidRDefault="00276A9B" w:rsidP="00276A9B">
      <w:pPr>
        <w:spacing w:before="120" w:after="120" w:line="240" w:lineRule="auto"/>
        <w:jc w:val="both"/>
        <w:rPr>
          <w:rFonts w:cstheme="minorHAnsi"/>
          <w:szCs w:val="24"/>
        </w:rPr>
      </w:pPr>
      <w:r w:rsidRPr="00D00624">
        <w:rPr>
          <w:rFonts w:cstheme="minorHAnsi"/>
          <w:szCs w:val="24"/>
        </w:rPr>
        <w:t xml:space="preserve">Bāzes scenārijs paredz, ka, ņemot vērā patreizējo politiku, pamazām tiek samazināts esošā atbalsta lielums elektroenerģijas ražošanai no AER. Pie šāda nosacījuma un pieņēmumiem par fosilo energoresursu cenām un tehnoloģiju (AER izmantojošās un fosilo kurināmo izmantojošās) izmaksām līdz 2030.gadam, bāzes scenārijā aprēķinātā AER daļa periodā līdz 2030.gadam svārstās ap 40%. </w:t>
      </w:r>
    </w:p>
    <w:p w14:paraId="66114B09" w14:textId="1F87304F" w:rsidR="00276A9B" w:rsidRPr="009B05F4" w:rsidRDefault="000A3A42" w:rsidP="00D00624">
      <w:pPr>
        <w:spacing w:before="120" w:after="120" w:line="240" w:lineRule="auto"/>
        <w:jc w:val="center"/>
        <w:rPr>
          <w:rFonts w:cstheme="minorHAnsi"/>
          <w:szCs w:val="24"/>
        </w:rPr>
      </w:pPr>
      <w:r>
        <w:rPr>
          <w:rFonts w:cstheme="minorHAnsi"/>
          <w:noProof/>
          <w:szCs w:val="24"/>
        </w:rPr>
        <w:drawing>
          <wp:inline distT="0" distB="0" distL="0" distR="0" wp14:anchorId="36D26561" wp14:editId="55DD1171">
            <wp:extent cx="4439244" cy="2848366"/>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63556" cy="2863965"/>
                    </a:xfrm>
                    <a:prstGeom prst="rect">
                      <a:avLst/>
                    </a:prstGeom>
                    <a:noFill/>
                  </pic:spPr>
                </pic:pic>
              </a:graphicData>
            </a:graphic>
          </wp:inline>
        </w:drawing>
      </w:r>
    </w:p>
    <w:p w14:paraId="407884FE" w14:textId="19A6CDFC" w:rsidR="00276A9B" w:rsidRPr="009B05F4" w:rsidRDefault="00276A9B" w:rsidP="00276A9B">
      <w:pPr>
        <w:pStyle w:val="Caption"/>
        <w:rPr>
          <w:rFonts w:asciiTheme="minorHAnsi" w:hAnsiTheme="minorHAnsi" w:cstheme="minorHAnsi"/>
          <w:szCs w:val="24"/>
        </w:rPr>
      </w:pPr>
      <w:r w:rsidRPr="009B05F4">
        <w:rPr>
          <w:rFonts w:asciiTheme="minorHAnsi" w:hAnsiTheme="minorHAnsi" w:cstheme="minorHAnsi"/>
          <w:szCs w:val="24"/>
        </w:rPr>
        <w:fldChar w:fldCharType="begin"/>
      </w:r>
      <w:r w:rsidRPr="009B05F4">
        <w:rPr>
          <w:rFonts w:asciiTheme="minorHAnsi" w:hAnsiTheme="minorHAnsi" w:cstheme="minorHAnsi"/>
          <w:szCs w:val="24"/>
        </w:rPr>
        <w:instrText xml:space="preserve"> SEQ Ilustrācija \* ARABIC </w:instrText>
      </w:r>
      <w:r w:rsidRPr="009B05F4">
        <w:rPr>
          <w:rFonts w:asciiTheme="minorHAnsi" w:hAnsiTheme="minorHAnsi" w:cstheme="minorHAnsi"/>
          <w:szCs w:val="24"/>
        </w:rPr>
        <w:fldChar w:fldCharType="separate"/>
      </w:r>
      <w:bookmarkStart w:id="180" w:name="_Toc531333106"/>
      <w:bookmarkStart w:id="181" w:name="_Toc23782691"/>
      <w:r w:rsidR="006E6675">
        <w:rPr>
          <w:rFonts w:asciiTheme="minorHAnsi" w:hAnsiTheme="minorHAnsi" w:cstheme="minorHAnsi"/>
          <w:noProof/>
          <w:szCs w:val="24"/>
        </w:rPr>
        <w:t>11</w:t>
      </w:r>
      <w:r w:rsidRPr="009B05F4">
        <w:rPr>
          <w:rFonts w:asciiTheme="minorHAnsi" w:hAnsiTheme="minorHAnsi" w:cstheme="minorHAnsi"/>
          <w:szCs w:val="24"/>
        </w:rPr>
        <w:fldChar w:fldCharType="end"/>
      </w:r>
      <w:r w:rsidRPr="009B05F4">
        <w:rPr>
          <w:rFonts w:asciiTheme="minorHAnsi" w:hAnsiTheme="minorHAnsi" w:cstheme="minorHAnsi"/>
        </w:rPr>
        <w:t>.attēls. AER īpatsvars enerģijas galapatēriņā (</w:t>
      </w:r>
      <w:r w:rsidR="000A3A42">
        <w:rPr>
          <w:rFonts w:asciiTheme="minorHAnsi" w:hAnsiTheme="minorHAnsi" w:cstheme="minorHAnsi"/>
        </w:rPr>
        <w:t xml:space="preserve">labā ass </w:t>
      </w:r>
      <w:r w:rsidR="00F505BA">
        <w:rPr>
          <w:rFonts w:asciiTheme="minorHAnsi" w:hAnsiTheme="minorHAnsi" w:cstheme="minorHAnsi"/>
        </w:rPr>
        <w:t>–</w:t>
      </w:r>
      <w:r w:rsidR="000A3A42">
        <w:rPr>
          <w:rFonts w:asciiTheme="minorHAnsi" w:hAnsiTheme="minorHAnsi" w:cstheme="minorHAnsi"/>
        </w:rPr>
        <w:t xml:space="preserve"> </w:t>
      </w:r>
      <w:r w:rsidRPr="009B05F4">
        <w:rPr>
          <w:rFonts w:asciiTheme="minorHAnsi" w:hAnsiTheme="minorHAnsi" w:cstheme="minorHAnsi"/>
        </w:rPr>
        <w:t>%) un AER īpatsvara indikatīvās attīstības prognozes periodā līdz 2030.gadam (</w:t>
      </w:r>
      <w:r w:rsidR="000A3A42">
        <w:rPr>
          <w:rFonts w:asciiTheme="minorHAnsi" w:hAnsiTheme="minorHAnsi" w:cstheme="minorHAnsi"/>
        </w:rPr>
        <w:t xml:space="preserve">kreisā ass – </w:t>
      </w:r>
      <w:r w:rsidRPr="009B05F4">
        <w:rPr>
          <w:rFonts w:asciiTheme="minorHAnsi" w:hAnsiTheme="minorHAnsi" w:cstheme="minorHAnsi"/>
        </w:rPr>
        <w:t>PJ)</w:t>
      </w:r>
      <w:r w:rsidRPr="009B05F4">
        <w:rPr>
          <w:rStyle w:val="FootnoteReference"/>
          <w:rFonts w:asciiTheme="minorHAnsi" w:hAnsiTheme="minorHAnsi" w:cstheme="minorHAnsi"/>
        </w:rPr>
        <w:footnoteReference w:id="52"/>
      </w:r>
      <w:bookmarkEnd w:id="180"/>
      <w:bookmarkEnd w:id="181"/>
    </w:p>
    <w:p w14:paraId="1CD90D4F" w14:textId="50558D59" w:rsidR="00276A9B" w:rsidRPr="004162ED" w:rsidRDefault="00276A9B" w:rsidP="00276A9B">
      <w:pPr>
        <w:pStyle w:val="paragraph"/>
        <w:spacing w:before="120" w:beforeAutospacing="0" w:after="120" w:afterAutospacing="0"/>
        <w:jc w:val="both"/>
        <w:textAlignment w:val="baseline"/>
        <w:rPr>
          <w:rFonts w:asciiTheme="minorHAnsi" w:hAnsiTheme="minorHAnsi" w:cstheme="minorHAnsi"/>
        </w:rPr>
      </w:pPr>
      <w:r w:rsidRPr="009B05F4">
        <w:rPr>
          <w:rFonts w:asciiTheme="minorHAnsi" w:hAnsiTheme="minorHAnsi" w:cstheme="minorHAnsi"/>
        </w:rPr>
        <w:t>Ņemot vērā esošās rīcībpolitikas un īstenotos pasākumus, kā arī vēl nenoteikto un neskaidro politiku attiecībā uz AER izmantošanas veicināšanu bāzes scenārija prognozes liecina par to, ka kopējais AER īpatsvars Latvijas energobilancē 2020.gadā tiek sasniegts, savukārt periodā</w:t>
      </w:r>
      <w:r w:rsidRPr="004162ED">
        <w:rPr>
          <w:rFonts w:asciiTheme="minorHAnsi" w:hAnsiTheme="minorHAnsi" w:cstheme="minorHAnsi"/>
        </w:rPr>
        <w:t xml:space="preserve"> pēc 2020.gada paliks gandrīz nemainīgs – 2030.gadā būs 40%, kas ir par apmēram </w:t>
      </w:r>
      <w:r w:rsidR="004162ED" w:rsidRPr="004162ED">
        <w:rPr>
          <w:rFonts w:asciiTheme="minorHAnsi" w:hAnsiTheme="minorHAnsi" w:cstheme="minorHAnsi"/>
        </w:rPr>
        <w:t>0,5%-</w:t>
      </w:r>
      <w:r w:rsidRPr="004162ED">
        <w:rPr>
          <w:rFonts w:asciiTheme="minorHAnsi" w:hAnsiTheme="minorHAnsi" w:cstheme="minorHAnsi"/>
        </w:rPr>
        <w:t xml:space="preserve">1% vairāk nekā 2020.gadā. </w:t>
      </w:r>
    </w:p>
    <w:p w14:paraId="4DE0493E" w14:textId="6FE8C568" w:rsidR="00276A9B" w:rsidRPr="004162ED" w:rsidRDefault="000A3A42" w:rsidP="004162ED">
      <w:pPr>
        <w:pStyle w:val="paragraph"/>
        <w:spacing w:before="120" w:beforeAutospacing="0" w:after="120" w:afterAutospacing="0"/>
        <w:jc w:val="center"/>
        <w:textAlignment w:val="baseline"/>
        <w:rPr>
          <w:rFonts w:asciiTheme="minorHAnsi" w:hAnsiTheme="minorHAnsi" w:cstheme="minorHAnsi"/>
        </w:rPr>
      </w:pPr>
      <w:r>
        <w:rPr>
          <w:rFonts w:asciiTheme="minorHAnsi" w:hAnsiTheme="minorHAnsi" w:cstheme="minorHAnsi"/>
          <w:noProof/>
        </w:rPr>
        <w:drawing>
          <wp:inline distT="0" distB="0" distL="0" distR="0" wp14:anchorId="2DA66463" wp14:editId="6988AC30">
            <wp:extent cx="4463076" cy="26797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74729" cy="2686697"/>
                    </a:xfrm>
                    <a:prstGeom prst="rect">
                      <a:avLst/>
                    </a:prstGeom>
                    <a:noFill/>
                  </pic:spPr>
                </pic:pic>
              </a:graphicData>
            </a:graphic>
          </wp:inline>
        </w:drawing>
      </w:r>
    </w:p>
    <w:p w14:paraId="3066BC8C" w14:textId="4F8E0694" w:rsidR="00276A9B" w:rsidRPr="004162ED" w:rsidRDefault="00276A9B" w:rsidP="004162ED">
      <w:pPr>
        <w:pStyle w:val="Caption"/>
        <w:rPr>
          <w:rFonts w:asciiTheme="minorHAnsi" w:hAnsiTheme="minorHAnsi" w:cstheme="minorHAnsi"/>
        </w:rPr>
      </w:pPr>
      <w:r w:rsidRPr="004162ED">
        <w:rPr>
          <w:rFonts w:asciiTheme="minorHAnsi" w:hAnsiTheme="minorHAnsi" w:cstheme="minorHAnsi"/>
          <w:noProof/>
        </w:rPr>
        <w:fldChar w:fldCharType="begin"/>
      </w:r>
      <w:r w:rsidRPr="004162ED">
        <w:rPr>
          <w:rFonts w:asciiTheme="minorHAnsi" w:hAnsiTheme="minorHAnsi" w:cstheme="minorHAnsi"/>
          <w:noProof/>
        </w:rPr>
        <w:instrText xml:space="preserve"> SEQ Ilustrācija \* ARABIC </w:instrText>
      </w:r>
      <w:r w:rsidRPr="004162ED">
        <w:rPr>
          <w:rFonts w:asciiTheme="minorHAnsi" w:hAnsiTheme="minorHAnsi" w:cstheme="minorHAnsi"/>
          <w:noProof/>
        </w:rPr>
        <w:fldChar w:fldCharType="separate"/>
      </w:r>
      <w:bookmarkStart w:id="182" w:name="_Toc531333107"/>
      <w:bookmarkStart w:id="183" w:name="_Toc23782692"/>
      <w:r w:rsidR="006E6675">
        <w:rPr>
          <w:rFonts w:asciiTheme="minorHAnsi" w:hAnsiTheme="minorHAnsi" w:cstheme="minorHAnsi"/>
          <w:noProof/>
        </w:rPr>
        <w:t>12</w:t>
      </w:r>
      <w:r w:rsidRPr="004162ED">
        <w:rPr>
          <w:rFonts w:asciiTheme="minorHAnsi" w:hAnsiTheme="minorHAnsi" w:cstheme="minorHAnsi"/>
          <w:noProof/>
        </w:rPr>
        <w:fldChar w:fldCharType="end"/>
      </w:r>
      <w:r w:rsidRPr="004162ED">
        <w:rPr>
          <w:rFonts w:asciiTheme="minorHAnsi" w:hAnsiTheme="minorHAnsi" w:cstheme="minorHAnsi"/>
        </w:rPr>
        <w:t>.attēls. AER īpatsvara sadalījuma indikatīvās attīstības prognozes periodā līdz 2030.gadam</w:t>
      </w:r>
      <w:r w:rsidRPr="004162ED">
        <w:rPr>
          <w:rStyle w:val="FootnoteReference"/>
          <w:rFonts w:asciiTheme="minorHAnsi" w:hAnsiTheme="minorHAnsi" w:cstheme="minorHAnsi"/>
        </w:rPr>
        <w:footnoteReference w:id="53"/>
      </w:r>
      <w:r w:rsidRPr="004162ED">
        <w:rPr>
          <w:rFonts w:asciiTheme="minorHAnsi" w:hAnsiTheme="minorHAnsi" w:cstheme="minorHAnsi"/>
        </w:rPr>
        <w:t xml:space="preserve"> (%)</w:t>
      </w:r>
      <w:bookmarkEnd w:id="182"/>
      <w:bookmarkEnd w:id="183"/>
    </w:p>
    <w:p w14:paraId="705C0559" w14:textId="50893F7E" w:rsidR="00276A9B" w:rsidRPr="004162ED" w:rsidRDefault="00276A9B" w:rsidP="004162ED">
      <w:pPr>
        <w:spacing w:before="120" w:after="120" w:line="240" w:lineRule="auto"/>
        <w:jc w:val="both"/>
        <w:rPr>
          <w:rFonts w:cstheme="minorHAnsi"/>
          <w:szCs w:val="24"/>
        </w:rPr>
      </w:pPr>
      <w:r w:rsidRPr="004162ED">
        <w:rPr>
          <w:rFonts w:cstheme="minorHAnsi"/>
          <w:szCs w:val="24"/>
        </w:rPr>
        <w:t xml:space="preserve">Bāzes scenārijā pēc 2020.gada </w:t>
      </w:r>
      <w:r w:rsidR="004162ED" w:rsidRPr="004162ED">
        <w:rPr>
          <w:rFonts w:cstheme="minorHAnsi"/>
          <w:szCs w:val="24"/>
        </w:rPr>
        <w:t>minimāli</w:t>
      </w:r>
      <w:r w:rsidRPr="004162ED">
        <w:rPr>
          <w:rFonts w:cstheme="minorHAnsi"/>
          <w:szCs w:val="24"/>
        </w:rPr>
        <w:t xml:space="preserve"> pieaug AER elektroenerģijā un transportā devumi kopējā AER mērķī, bet</w:t>
      </w:r>
      <w:r w:rsidR="004162ED" w:rsidRPr="004162ED">
        <w:rPr>
          <w:rFonts w:cstheme="minorHAnsi"/>
          <w:szCs w:val="24"/>
        </w:rPr>
        <w:t xml:space="preserve"> būtiski pieaug AER CSA devums, lai gan</w:t>
      </w:r>
      <w:r w:rsidRPr="004162ED">
        <w:rPr>
          <w:rFonts w:cstheme="minorHAnsi"/>
          <w:szCs w:val="24"/>
        </w:rPr>
        <w:t xml:space="preserve"> samazinās AER LSA un individuālās siltumapgādes daļas devums. Iemesls šai tendencei ir tas, ka AER LSA un individuālās siltumapgādes lielumu galvenokārt nosaka biomasas un citu AER veidu patēriņš mājsaimniecībās, pakalpojumu sektorā un rūpniecībā. Bāzes scenārijā enerģijas galapatēriņš mājsaimniecībās un pakalpojumus samazinās, līdz ar to samazinās arī šīs daļas devums kopējā AER patēriņā.  </w:t>
      </w:r>
    </w:p>
    <w:p w14:paraId="2D467F59" w14:textId="77777777" w:rsidR="006179BB" w:rsidRPr="00C15715" w:rsidRDefault="006179BB" w:rsidP="0007326F">
      <w:pPr>
        <w:pStyle w:val="Heading20"/>
      </w:pPr>
      <w:bookmarkStart w:id="184" w:name="_Toc24314590"/>
      <w:bookmarkStart w:id="185" w:name="_Toc17878291"/>
      <w:bookmarkStart w:id="186" w:name="_Toc23245767"/>
      <w:bookmarkStart w:id="187" w:name="_Toc23245998"/>
      <w:bookmarkStart w:id="188" w:name="_Toc24408012"/>
      <w:bookmarkStart w:id="189" w:name="_Toc24408101"/>
      <w:bookmarkEnd w:id="184"/>
      <w:r w:rsidRPr="00C15715">
        <w:rPr>
          <w:rStyle w:val="normaltextrun"/>
        </w:rPr>
        <w:t>Energoefektivitāte</w:t>
      </w:r>
      <w:bookmarkEnd w:id="185"/>
      <w:bookmarkEnd w:id="186"/>
      <w:bookmarkEnd w:id="187"/>
      <w:bookmarkEnd w:id="188"/>
      <w:bookmarkEnd w:id="189"/>
      <w:r w:rsidRPr="00C15715">
        <w:rPr>
          <w:rStyle w:val="normaltextrun"/>
        </w:rPr>
        <w:t> </w:t>
      </w:r>
      <w:r w:rsidRPr="00C15715">
        <w:rPr>
          <w:rStyle w:val="eop"/>
        </w:rPr>
        <w:t> </w:t>
      </w:r>
    </w:p>
    <w:p w14:paraId="04904F92" w14:textId="77777777" w:rsidR="006179BB" w:rsidRPr="00C15715" w:rsidRDefault="006179BB">
      <w:pPr>
        <w:pStyle w:val="Heading30"/>
      </w:pPr>
      <w:bookmarkStart w:id="190" w:name="_Toc23245768"/>
      <w:bookmarkStart w:id="191" w:name="_Toc23245999"/>
      <w:bookmarkStart w:id="192" w:name="_Toc24408013"/>
      <w:r w:rsidRPr="00C15715">
        <w:rPr>
          <w:rStyle w:val="normaltextrun"/>
        </w:rPr>
        <w:t>Esošais enerģijas patēriņš</w:t>
      </w:r>
      <w:bookmarkEnd w:id="190"/>
      <w:bookmarkEnd w:id="191"/>
      <w:bookmarkEnd w:id="192"/>
      <w:r w:rsidRPr="00C15715">
        <w:rPr>
          <w:rStyle w:val="eop"/>
        </w:rPr>
        <w:t> </w:t>
      </w:r>
    </w:p>
    <w:p w14:paraId="2F493AE4" w14:textId="76CDCFE6" w:rsidR="006179BB" w:rsidRPr="00C15715" w:rsidRDefault="006179BB" w:rsidP="006179BB">
      <w:pPr>
        <w:pStyle w:val="paragraph"/>
        <w:spacing w:before="120" w:beforeAutospacing="0" w:after="120" w:afterAutospacing="0"/>
        <w:jc w:val="both"/>
        <w:textAlignment w:val="baseline"/>
        <w:rPr>
          <w:rStyle w:val="eop"/>
          <w:rFonts w:asciiTheme="minorHAnsi" w:eastAsiaTheme="majorEastAsia" w:hAnsiTheme="minorHAnsi" w:cstheme="minorHAnsi"/>
        </w:rPr>
      </w:pPr>
      <w:r w:rsidRPr="00C15715">
        <w:rPr>
          <w:rFonts w:asciiTheme="minorHAnsi" w:hAnsiTheme="minorHAnsi" w:cstheme="minorHAnsi"/>
          <w:bCs/>
          <w:color w:val="000000"/>
        </w:rPr>
        <w:t>Kopējais primārās enerģijas patēriņš</w:t>
      </w:r>
      <w:r w:rsidR="00F733D5">
        <w:rPr>
          <w:rStyle w:val="FootnoteReference"/>
          <w:rFonts w:asciiTheme="minorHAnsi" w:hAnsiTheme="minorHAnsi" w:cstheme="minorHAnsi"/>
          <w:bCs/>
          <w:color w:val="000000"/>
        </w:rPr>
        <w:footnoteReference w:id="54"/>
      </w:r>
      <w:r w:rsidRPr="00C15715">
        <w:rPr>
          <w:rFonts w:asciiTheme="minorHAnsi" w:hAnsiTheme="minorHAnsi" w:cstheme="minorHAnsi"/>
          <w:bCs/>
          <w:color w:val="000000"/>
        </w:rPr>
        <w:t xml:space="preserve"> 2018.gadā </w:t>
      </w:r>
      <w:r>
        <w:rPr>
          <w:rFonts w:asciiTheme="minorHAnsi" w:hAnsiTheme="minorHAnsi" w:cstheme="minorHAnsi"/>
          <w:bCs/>
          <w:color w:val="000000"/>
        </w:rPr>
        <w:t xml:space="preserve">bija </w:t>
      </w:r>
      <w:r w:rsidR="00954E08">
        <w:rPr>
          <w:rFonts w:asciiTheme="minorHAnsi" w:hAnsiTheme="minorHAnsi" w:cstheme="minorHAnsi"/>
          <w:bCs/>
          <w:color w:val="000000"/>
        </w:rPr>
        <w:t>196,9</w:t>
      </w:r>
      <w:r w:rsidRPr="00C15715">
        <w:rPr>
          <w:rFonts w:asciiTheme="minorHAnsi" w:hAnsiTheme="minorHAnsi" w:cstheme="minorHAnsi"/>
          <w:bCs/>
          <w:color w:val="000000"/>
        </w:rPr>
        <w:t xml:space="preserve"> PJ</w:t>
      </w:r>
      <w:r w:rsidRPr="00C15715">
        <w:rPr>
          <w:rStyle w:val="FootnoteReference"/>
          <w:rFonts w:asciiTheme="minorHAnsi" w:hAnsiTheme="minorHAnsi" w:cstheme="minorHAnsi"/>
          <w:bCs/>
          <w:color w:val="000000"/>
        </w:rPr>
        <w:footnoteReference w:id="55"/>
      </w:r>
      <w:r w:rsidRPr="00C15715">
        <w:rPr>
          <w:rFonts w:asciiTheme="minorHAnsi" w:hAnsiTheme="minorHAnsi" w:cstheme="minorHAnsi"/>
          <w:color w:val="000000"/>
        </w:rPr>
        <w:t xml:space="preserve">. Periodā no 2011.gada līdz 2016.gadam kopējais primārās enerģijas patēriņš </w:t>
      </w:r>
      <w:r w:rsidR="00F733D5">
        <w:rPr>
          <w:rFonts w:asciiTheme="minorHAnsi" w:hAnsiTheme="minorHAnsi" w:cstheme="minorHAnsi"/>
          <w:color w:val="000000"/>
        </w:rPr>
        <w:t>bija ar samazinošu tendenci</w:t>
      </w:r>
      <w:r w:rsidRPr="00C15715">
        <w:rPr>
          <w:rFonts w:asciiTheme="minorHAnsi" w:hAnsiTheme="minorHAnsi" w:cstheme="minorHAnsi"/>
          <w:color w:val="000000"/>
        </w:rPr>
        <w:t xml:space="preserve">, tomēr 2016.-2018.g. periodā </w:t>
      </w:r>
      <w:r>
        <w:rPr>
          <w:rFonts w:asciiTheme="minorHAnsi" w:hAnsiTheme="minorHAnsi" w:cstheme="minorHAnsi"/>
          <w:color w:val="000000"/>
        </w:rPr>
        <w:t xml:space="preserve">kopējais primārās enerģijas patēriņš nepārtraukti palielinās, un periodā palielinājums jau sasniedz </w:t>
      </w:r>
      <w:r w:rsidRPr="00C15715">
        <w:rPr>
          <w:rFonts w:asciiTheme="minorHAnsi" w:hAnsiTheme="minorHAnsi" w:cstheme="minorHAnsi"/>
          <w:color w:val="000000"/>
        </w:rPr>
        <w:t xml:space="preserve">apmēram </w:t>
      </w:r>
      <w:r w:rsidR="00954E08">
        <w:rPr>
          <w:rFonts w:asciiTheme="minorHAnsi" w:hAnsiTheme="minorHAnsi" w:cstheme="minorHAnsi"/>
          <w:color w:val="000000"/>
        </w:rPr>
        <w:t>9,5</w:t>
      </w:r>
      <w:r w:rsidRPr="00C15715">
        <w:rPr>
          <w:rFonts w:asciiTheme="minorHAnsi" w:hAnsiTheme="minorHAnsi" w:cstheme="minorHAnsi"/>
          <w:color w:val="000000"/>
        </w:rPr>
        <w:t>%.</w:t>
      </w:r>
    </w:p>
    <w:p w14:paraId="27650A6B" w14:textId="13B0F466" w:rsidR="006179BB" w:rsidRPr="00C15715" w:rsidRDefault="00954E08" w:rsidP="006179BB">
      <w:pPr>
        <w:autoSpaceDE w:val="0"/>
        <w:autoSpaceDN w:val="0"/>
        <w:adjustRightInd w:val="0"/>
        <w:spacing w:before="120" w:after="120" w:line="240" w:lineRule="auto"/>
        <w:jc w:val="center"/>
        <w:rPr>
          <w:rFonts w:cstheme="minorHAnsi"/>
          <w:szCs w:val="24"/>
        </w:rPr>
      </w:pPr>
      <w:r>
        <w:rPr>
          <w:rFonts w:cstheme="minorHAnsi"/>
          <w:noProof/>
          <w:szCs w:val="24"/>
        </w:rPr>
        <w:drawing>
          <wp:inline distT="0" distB="0" distL="0" distR="0" wp14:anchorId="15D49781" wp14:editId="5A489F4A">
            <wp:extent cx="4760559" cy="2917966"/>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77411" cy="2928295"/>
                    </a:xfrm>
                    <a:prstGeom prst="rect">
                      <a:avLst/>
                    </a:prstGeom>
                    <a:noFill/>
                  </pic:spPr>
                </pic:pic>
              </a:graphicData>
            </a:graphic>
          </wp:inline>
        </w:drawing>
      </w:r>
    </w:p>
    <w:p w14:paraId="6A4D74EF" w14:textId="1D0096DB"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193" w:name="_Toc23782693"/>
      <w:r w:rsidR="006E6675">
        <w:rPr>
          <w:rFonts w:asciiTheme="minorHAnsi" w:hAnsiTheme="minorHAnsi" w:cstheme="minorHAnsi"/>
          <w:noProof/>
        </w:rPr>
        <w:t>13</w:t>
      </w:r>
      <w:r w:rsidRPr="00C15715">
        <w:rPr>
          <w:rFonts w:asciiTheme="minorHAnsi" w:hAnsiTheme="minorHAnsi" w:cstheme="minorHAnsi"/>
          <w:noProof/>
        </w:rPr>
        <w:fldChar w:fldCharType="end"/>
      </w:r>
      <w:r w:rsidRPr="00C15715">
        <w:rPr>
          <w:rFonts w:asciiTheme="minorHAnsi" w:hAnsiTheme="minorHAnsi" w:cstheme="minorHAnsi"/>
        </w:rPr>
        <w:t>. attēls. Kopējais primārās enerģijas patēriņš un enerģijas galapatēriņš Latvijā 1990-2018.g. (PJ)</w:t>
      </w:r>
      <w:r w:rsidRPr="00C15715">
        <w:rPr>
          <w:rStyle w:val="FootnoteReference"/>
          <w:rFonts w:asciiTheme="minorHAnsi" w:hAnsiTheme="minorHAnsi" w:cstheme="minorHAnsi"/>
        </w:rPr>
        <w:footnoteReference w:id="56"/>
      </w:r>
      <w:bookmarkEnd w:id="193"/>
    </w:p>
    <w:p w14:paraId="388BF703" w14:textId="77777777" w:rsidR="006179BB" w:rsidRPr="00C15715" w:rsidRDefault="006179BB" w:rsidP="006179BB">
      <w:pPr>
        <w:spacing w:before="120" w:after="120" w:line="240" w:lineRule="auto"/>
        <w:jc w:val="both"/>
        <w:rPr>
          <w:rFonts w:cstheme="minorHAnsi"/>
          <w:color w:val="000000"/>
          <w:szCs w:val="24"/>
        </w:rPr>
      </w:pPr>
      <w:r w:rsidRPr="00C15715">
        <w:rPr>
          <w:rFonts w:cstheme="minorHAnsi"/>
          <w:color w:val="000000"/>
          <w:szCs w:val="24"/>
        </w:rPr>
        <w:t xml:space="preserve">Siltumenerģijas un elektroenerģijas ražošanai (pārveidošanas sektorā) 2018.gadā patērēja 58,1 PJ energoresursu un saražoja 44,7 PJ enerģijas (no tās 29,7 PJ siltumenerģijas un 15,0 PJ elektroenerģijas), kas ir par 9,6 % vairāk salīdzinājumā ar 2017. gadu. Karstais un sausais laiks būtiski ietekmēja iespēju HES saražot nepieciešamo elektroenerģijas apjomu, kas sekmēja dabasgāzes patēriņa pieaugumu pārveidošanas sektorā, kā rezultātā ir pieaudzis arī dabasgāzes īpatsvars sektorā par 5,2 procentpunktiem salīdzinājumā ar 2017. gadu. Siltumenerģijas un elektroenerģijas ražošanai </w:t>
      </w:r>
      <w:r>
        <w:rPr>
          <w:rFonts w:cstheme="minorHAnsi"/>
          <w:color w:val="000000"/>
          <w:szCs w:val="24"/>
        </w:rPr>
        <w:t xml:space="preserve">pārveidošanas sektorā (koģenerācijas iekārtās un katlu mājās) </w:t>
      </w:r>
      <w:r w:rsidRPr="00C15715">
        <w:rPr>
          <w:rFonts w:cstheme="minorHAnsi"/>
          <w:color w:val="000000"/>
          <w:szCs w:val="24"/>
        </w:rPr>
        <w:t>Latvijā pārsvarā izmanto fosilo energoresursu – dabasgāzi, kuras īpatsvars pārveidošanas sektorā pakāpeniski samazinās: 2010. gadā – 81 %, 2017. gadā – 53,7 %, 2018. gadā – 59,0 %. Piecu gadu laikā pārveidošanas sektorā patērēto AER īpatsvars pieaudzis par 5,4 procentpunktiem un 2017. gadā sasniedza 40,5 %. Tas ir svarīgs rādītājs, ņemot vērā, ka AER, kurus izmanto pārveidošanas sektorā, ir vietējie energoresursi: kurināmā koksne, biogāze un cita biomasa.</w:t>
      </w:r>
    </w:p>
    <w:p w14:paraId="6C900BBF" w14:textId="32E20156"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Energoresursu galapatēriņš 2018.gadā bija 17</w:t>
      </w:r>
      <w:r w:rsidR="00954E08">
        <w:rPr>
          <w:rFonts w:asciiTheme="minorHAnsi" w:hAnsiTheme="minorHAnsi" w:cstheme="minorHAnsi"/>
        </w:rPr>
        <w:t>4,55</w:t>
      </w:r>
      <w:r w:rsidRPr="00C15715">
        <w:rPr>
          <w:rFonts w:asciiTheme="minorHAnsi" w:hAnsiTheme="minorHAnsi" w:cstheme="minorHAnsi"/>
        </w:rPr>
        <w:t> PJ</w:t>
      </w:r>
      <w:r w:rsidR="00954E08">
        <w:rPr>
          <w:rStyle w:val="FootnoteReference"/>
          <w:rFonts w:asciiTheme="minorHAnsi" w:hAnsiTheme="minorHAnsi" w:cstheme="minorHAnsi"/>
          <w:bCs/>
          <w:color w:val="000000"/>
        </w:rPr>
        <w:footnoteReference w:id="57"/>
      </w:r>
      <w:r w:rsidRPr="00C15715">
        <w:rPr>
          <w:rFonts w:asciiTheme="minorHAnsi" w:hAnsiTheme="minorHAnsi" w:cstheme="minorHAnsi"/>
        </w:rPr>
        <w:t xml:space="preserve">, kas ir par </w:t>
      </w:r>
      <w:r w:rsidR="00954E08">
        <w:rPr>
          <w:rFonts w:asciiTheme="minorHAnsi" w:hAnsiTheme="minorHAnsi" w:cstheme="minorHAnsi"/>
        </w:rPr>
        <w:t>9,1</w:t>
      </w:r>
      <w:r w:rsidRPr="00C15715">
        <w:rPr>
          <w:rFonts w:asciiTheme="minorHAnsi" w:hAnsiTheme="minorHAnsi" w:cstheme="minorHAnsi"/>
        </w:rPr>
        <w:t>% vairāk nekā 2016.gadā. Lielākais energoresursu patērētājs 2018.gadā bija transports, kas patērēja 30,1 %, tad mājsaimniecības (28,8%) un rūpniecība (22,8%). Salīdzinot ar 2017. gadu, 2018.gadā energoresursu galapatēriņa pieaugums ir vērojams transportā (+3,</w:t>
      </w:r>
      <w:r w:rsidR="00954E08">
        <w:rPr>
          <w:rFonts w:asciiTheme="minorHAnsi" w:hAnsiTheme="minorHAnsi" w:cstheme="minorHAnsi"/>
        </w:rPr>
        <w:t>3</w:t>
      </w:r>
      <w:r w:rsidRPr="00C15715">
        <w:rPr>
          <w:rFonts w:asciiTheme="minorHAnsi" w:hAnsiTheme="minorHAnsi" w:cstheme="minorHAnsi"/>
        </w:rPr>
        <w:t> %), rūpniecībā (+13,3%) un mājsaimniecībās (+2,9%), savukārt energoresursu patēriņa samazinājums novērots lauksaimniecībā un mežsaimniecībā (-3,</w:t>
      </w:r>
      <w:r w:rsidR="00954E08">
        <w:rPr>
          <w:rFonts w:asciiTheme="minorHAnsi" w:hAnsiTheme="minorHAnsi" w:cstheme="minorHAnsi"/>
        </w:rPr>
        <w:t>6</w:t>
      </w:r>
      <w:r w:rsidRPr="00C15715">
        <w:rPr>
          <w:rFonts w:asciiTheme="minorHAnsi" w:hAnsiTheme="minorHAnsi" w:cstheme="minorHAnsi"/>
        </w:rPr>
        <w:t>%) un komerciālajā un sabiedriskajā sektorā (-2,7%).</w:t>
      </w:r>
    </w:p>
    <w:p w14:paraId="6D1FA089" w14:textId="7E9C0932" w:rsidR="006179BB" w:rsidRPr="00C15715" w:rsidRDefault="00954E08" w:rsidP="006179BB">
      <w:pPr>
        <w:pStyle w:val="paragraph"/>
        <w:spacing w:before="0" w:beforeAutospacing="0" w:after="0" w:afterAutospacing="0"/>
        <w:jc w:val="center"/>
        <w:textAlignment w:val="baseline"/>
        <w:rPr>
          <w:rStyle w:val="eop"/>
          <w:rFonts w:asciiTheme="minorHAnsi" w:eastAsiaTheme="majorEastAsia" w:hAnsiTheme="minorHAnsi" w:cstheme="minorHAnsi"/>
        </w:rPr>
      </w:pPr>
      <w:r>
        <w:rPr>
          <w:rStyle w:val="eop"/>
          <w:rFonts w:asciiTheme="minorHAnsi" w:eastAsiaTheme="majorEastAsia" w:hAnsiTheme="minorHAnsi" w:cstheme="minorHAnsi"/>
          <w:noProof/>
        </w:rPr>
        <w:drawing>
          <wp:inline distT="0" distB="0" distL="0" distR="0" wp14:anchorId="0BD9B098" wp14:editId="338899A8">
            <wp:extent cx="4366290" cy="2505426"/>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97277" cy="2523206"/>
                    </a:xfrm>
                    <a:prstGeom prst="rect">
                      <a:avLst/>
                    </a:prstGeom>
                    <a:noFill/>
                  </pic:spPr>
                </pic:pic>
              </a:graphicData>
            </a:graphic>
          </wp:inline>
        </w:drawing>
      </w:r>
    </w:p>
    <w:p w14:paraId="715E953D" w14:textId="3E52FA93" w:rsidR="006179BB" w:rsidRPr="00C15715" w:rsidRDefault="006179BB" w:rsidP="006179BB">
      <w:pPr>
        <w:pStyle w:val="Caption"/>
        <w:rPr>
          <w:rStyle w:val="eop"/>
          <w:rFonts w:asciiTheme="minorHAnsi" w:hAnsiTheme="minorHAnsi" w:cstheme="minorHAnsi"/>
        </w:rPr>
      </w:pPr>
      <w:r w:rsidRPr="00C15715">
        <w:rPr>
          <w:rStyle w:val="eop"/>
          <w:rFonts w:asciiTheme="minorHAnsi" w:hAnsiTheme="minorHAnsi" w:cstheme="minorHAnsi"/>
        </w:rPr>
        <w:fldChar w:fldCharType="begin"/>
      </w:r>
      <w:r w:rsidRPr="00C15715">
        <w:rPr>
          <w:rStyle w:val="eop"/>
          <w:rFonts w:asciiTheme="minorHAnsi" w:hAnsiTheme="minorHAnsi" w:cstheme="minorHAnsi"/>
        </w:rPr>
        <w:instrText xml:space="preserve"> SEQ Ilustrācija \* ARABIC </w:instrText>
      </w:r>
      <w:r w:rsidRPr="00C15715">
        <w:rPr>
          <w:rStyle w:val="eop"/>
          <w:rFonts w:asciiTheme="minorHAnsi" w:hAnsiTheme="minorHAnsi" w:cstheme="minorHAnsi"/>
        </w:rPr>
        <w:fldChar w:fldCharType="separate"/>
      </w:r>
      <w:bookmarkStart w:id="194" w:name="_Toc23782694"/>
      <w:r w:rsidR="006E6675">
        <w:rPr>
          <w:rStyle w:val="eop"/>
          <w:rFonts w:asciiTheme="minorHAnsi" w:hAnsiTheme="minorHAnsi" w:cstheme="minorHAnsi"/>
          <w:noProof/>
        </w:rPr>
        <w:t>14</w:t>
      </w:r>
      <w:r w:rsidRPr="00C15715">
        <w:rPr>
          <w:rStyle w:val="eop"/>
          <w:rFonts w:asciiTheme="minorHAnsi" w:hAnsiTheme="minorHAnsi" w:cstheme="minorHAnsi"/>
        </w:rPr>
        <w:fldChar w:fldCharType="end"/>
      </w:r>
      <w:r w:rsidRPr="00C15715">
        <w:rPr>
          <w:rFonts w:asciiTheme="minorHAnsi" w:hAnsiTheme="minorHAnsi" w:cstheme="minorHAnsi"/>
        </w:rPr>
        <w:t>.attēls. Latvijas enerģijas galapatēriņa sadalījums pa nozarēm 2008.-2018. gadā</w:t>
      </w:r>
      <w:r w:rsidRPr="00C15715">
        <w:rPr>
          <w:rStyle w:val="FootnoteReference"/>
          <w:rFonts w:asciiTheme="minorHAnsi" w:hAnsiTheme="minorHAnsi" w:cstheme="minorHAnsi"/>
        </w:rPr>
        <w:footnoteReference w:id="58"/>
      </w:r>
      <w:bookmarkEnd w:id="194"/>
      <w:r w:rsidRPr="00C15715">
        <w:rPr>
          <w:rFonts w:asciiTheme="minorHAnsi" w:hAnsiTheme="minorHAnsi" w:cstheme="minorHAnsi"/>
        </w:rPr>
        <w:t xml:space="preserve"> </w:t>
      </w:r>
    </w:p>
    <w:p w14:paraId="54902D89" w14:textId="48232939"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color w:val="000000"/>
        </w:rPr>
      </w:pPr>
      <w:r w:rsidRPr="00C15715">
        <w:rPr>
          <w:rFonts w:asciiTheme="minorHAnsi" w:hAnsiTheme="minorHAnsi" w:cstheme="minorHAnsi"/>
          <w:color w:val="000000"/>
        </w:rPr>
        <w:t xml:space="preserve">Energoresursu patēriņš rūpniecībā pēdējo piecu gadu laikā ir pieaudzis par 12,8% un 2018.gadā sasniedza </w:t>
      </w:r>
      <w:r w:rsidR="00954E08">
        <w:rPr>
          <w:rFonts w:asciiTheme="minorHAnsi" w:hAnsiTheme="minorHAnsi" w:cstheme="minorHAnsi"/>
          <w:color w:val="000000"/>
        </w:rPr>
        <w:t>37,6</w:t>
      </w:r>
      <w:r w:rsidRPr="00C15715">
        <w:rPr>
          <w:rFonts w:asciiTheme="minorHAnsi" w:hAnsiTheme="minorHAnsi" w:cstheme="minorHAnsi"/>
          <w:color w:val="000000"/>
        </w:rPr>
        <w:t xml:space="preserve"> PJ. Lielākais energoresursu patēriņš 2018.gadā bija koksnes, koka un korķu izstrādājumu ražošanas nozarē – 20,7 PJ jeb 50,4% no energoresursu galapatēriņa rūpniecībā. Salīdzinot ar 2017.gadu, šajā nozarē enerģijas patēriņš pieaudzis par 5,5%, ko sekmēja koksnes granulu patēriņa pieaugums. 2018.gadā metālu ražošanas nozarē bija vislielākais energoresursu patēriņa samazinājums (-7,9 %), salīdzinot ar 2017.gadu.</w:t>
      </w:r>
    </w:p>
    <w:p w14:paraId="3A2FBBA9" w14:textId="77777777" w:rsidR="006179BB" w:rsidRPr="00C15715" w:rsidRDefault="006179BB" w:rsidP="006179BB">
      <w:pPr>
        <w:spacing w:before="120" w:after="120" w:line="240" w:lineRule="auto"/>
        <w:jc w:val="both"/>
        <w:rPr>
          <w:rFonts w:cstheme="minorHAnsi"/>
        </w:rPr>
      </w:pPr>
      <w:r w:rsidRPr="00C15715">
        <w:rPr>
          <w:rFonts w:cstheme="minorHAnsi"/>
          <w:color w:val="000000"/>
        </w:rPr>
        <w:t>Energoresursu patēriņš mājsaimniecībās 2018. gadā bija 51,5 PJ, kas ir par 2,9% vairāk nekā 2017.gadā. Mājsaimniecībās energoresursu patēriņa struktūra pēdējos gados būtiski nemainās – pārsvarā ir izmantota kurināmā koksne. Salīdzinājumā ar 2017.gadu ievērojami pieauga dabasgāzes patēriņš mājsaimniecībās (+9,3%) un samazinājās ogļu patēriņš (-32,7%).</w:t>
      </w:r>
    </w:p>
    <w:p w14:paraId="543F0288" w14:textId="60597115" w:rsidR="006179BB" w:rsidRPr="0007326F" w:rsidRDefault="006179BB" w:rsidP="006179BB">
      <w:pPr>
        <w:pStyle w:val="paragraph"/>
        <w:spacing w:before="120" w:beforeAutospacing="0" w:after="120" w:afterAutospacing="0"/>
        <w:jc w:val="both"/>
        <w:textAlignment w:val="baseline"/>
        <w:rPr>
          <w:rFonts w:asciiTheme="minorHAnsi" w:hAnsiTheme="minorHAnsi" w:cstheme="minorHAnsi"/>
          <w:color w:val="000000"/>
        </w:rPr>
      </w:pPr>
      <w:r w:rsidRPr="00C15715">
        <w:rPr>
          <w:rFonts w:asciiTheme="minorHAnsi" w:hAnsiTheme="minorHAnsi" w:cstheme="minorHAnsi"/>
          <w:color w:val="000000"/>
        </w:rPr>
        <w:t>Piecu gadu laikā energoresursu patēriņš transportā ir pieaudzis par 16,4%, 2018.gadā sasniedzot 5</w:t>
      </w:r>
      <w:r w:rsidR="00954E08">
        <w:rPr>
          <w:rFonts w:asciiTheme="minorHAnsi" w:hAnsiTheme="minorHAnsi" w:cstheme="minorHAnsi"/>
          <w:color w:val="000000"/>
        </w:rPr>
        <w:t>2,8</w:t>
      </w:r>
      <w:r w:rsidRPr="00C15715">
        <w:rPr>
          <w:rFonts w:asciiTheme="minorHAnsi" w:hAnsiTheme="minorHAnsi" w:cstheme="minorHAnsi"/>
          <w:color w:val="000000"/>
        </w:rPr>
        <w:t xml:space="preserve"> PJ. Tas veido aptuveni trešo daļu no Latvijas energoresursu patēriņa, un gandrīz pilnībā balstās uz naftas produktu importu, jo elektroenerģijas un biodegvielas īpatsvars transportā ir salīdzinoši mazs. Dīzeļdegviela ir galvenais transportā izmantotais energoresurss, un tās īpatsvars 2018. gadā bija 64,3 %. </w:t>
      </w:r>
      <w:r w:rsidRPr="00C15715">
        <w:rPr>
          <w:rFonts w:asciiTheme="minorHAnsi" w:hAnsiTheme="minorHAnsi" w:cstheme="minorHAnsi"/>
        </w:rPr>
        <w:t>Dīzeļdegviela ir svarīgs resurss kravu pārvadājumiem, kas ir nozīmīgs ekonomikas sektors Latvijā, ņemot vērā Latvijas ģeogrāfisko novietojumu. Būtiski, ka dīzeļdegviela ir ļoti svarīgs resurss lauksaimniecības nozares attīstībai.</w:t>
      </w:r>
      <w:r w:rsidRPr="00C15715">
        <w:rPr>
          <w:rStyle w:val="A11"/>
          <w:rFonts w:asciiTheme="minorHAnsi" w:hAnsiTheme="minorHAnsi" w:cstheme="minorHAnsi"/>
        </w:rPr>
        <w:t xml:space="preserve"> </w:t>
      </w:r>
      <w:r w:rsidRPr="00C15715">
        <w:rPr>
          <w:rFonts w:asciiTheme="minorHAnsi" w:hAnsiTheme="minorHAnsi" w:cstheme="minorHAnsi"/>
          <w:color w:val="000000"/>
        </w:rPr>
        <w:t xml:space="preserve">Pēdējos gados transportā novērots sašķidrinātas naftas gāzes patēriņa īpatsvara pieaugums, tomēr salīdzinot ar 2017.gadu, sašķidrinātas naftas gāzes patēriņš ir samazinājies par 5,2%. Auto benzīna patēriņš transportā piecu gadu laikā samazinājies par 10,6 %, 2018. gadā sasniedzot 7,7 PJ, kas ir par 4,1 % mazāk nekā 2017. gadā. Galvenais iemesls degvielas patēriņa pieaugumam autotransportā bija </w:t>
      </w:r>
      <w:r w:rsidRPr="0007326F">
        <w:rPr>
          <w:rFonts w:asciiTheme="minorHAnsi" w:hAnsiTheme="minorHAnsi" w:cstheme="minorHAnsi"/>
          <w:color w:val="000000"/>
        </w:rPr>
        <w:t>pasažieru kilometru skaita pieaugums un pasažieru automašīnu skaita pieaugums 2014.-2018.gada periodā par apmēram 7%  gadā.</w:t>
      </w:r>
    </w:p>
    <w:p w14:paraId="62540A98" w14:textId="4D276380" w:rsidR="00817C15" w:rsidRPr="00C15715" w:rsidRDefault="00817C15" w:rsidP="006179BB">
      <w:pPr>
        <w:pStyle w:val="paragraph"/>
        <w:spacing w:before="120" w:beforeAutospacing="0" w:after="120" w:afterAutospacing="0"/>
        <w:jc w:val="both"/>
        <w:textAlignment w:val="baseline"/>
        <w:rPr>
          <w:rFonts w:asciiTheme="minorHAnsi" w:hAnsiTheme="minorHAnsi" w:cstheme="minorHAnsi"/>
          <w:color w:val="000000"/>
        </w:rPr>
      </w:pPr>
      <w:r w:rsidRPr="0007326F">
        <w:rPr>
          <w:rFonts w:asciiTheme="minorHAnsi" w:hAnsiTheme="minorHAnsi" w:cstheme="minorHAnsi"/>
          <w:color w:val="000000"/>
        </w:rPr>
        <w:t>2017.-2018.gadā vislielākais transporta enerģijas patēriņa pieaugums ir novērots iekšzemes kuģošanā – 42,2%, starptautiskajā gaisa transportā – 9,5% apkalpoto pasažieru skaita pieauguma dēļ, un dzelzceļa transportā – 7,8%, ko ir veicinājis pārvadāto kravu apjoma pieaugums par 12,5%, savukārt iekšzemes gaisa transportā un cauruļvadu transportā ir novērots transporta enerģijas patēriņa samazinājums.</w:t>
      </w:r>
    </w:p>
    <w:p w14:paraId="105107D5" w14:textId="77777777" w:rsidR="006179BB" w:rsidRPr="00C15715" w:rsidRDefault="006179BB" w:rsidP="006179BB">
      <w:pPr>
        <w:spacing w:before="120" w:after="120" w:line="240" w:lineRule="auto"/>
        <w:jc w:val="center"/>
        <w:rPr>
          <w:rFonts w:eastAsia="Times New Roman" w:cstheme="minorHAnsi"/>
          <w:color w:val="000000"/>
          <w:szCs w:val="24"/>
          <w:lang w:eastAsia="lv-LV"/>
        </w:rPr>
      </w:pPr>
      <w:bookmarkStart w:id="195" w:name="_Hlk9233990"/>
      <w:r>
        <w:rPr>
          <w:rFonts w:eastAsia="Times New Roman" w:cstheme="minorHAnsi"/>
          <w:noProof/>
          <w:color w:val="000000"/>
          <w:szCs w:val="24"/>
          <w:lang w:eastAsia="lv-LV"/>
        </w:rPr>
        <w:drawing>
          <wp:inline distT="0" distB="0" distL="0" distR="0" wp14:anchorId="3F1CE0EE" wp14:editId="48AB8485">
            <wp:extent cx="4328891" cy="2398542"/>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93149" cy="2434146"/>
                    </a:xfrm>
                    <a:prstGeom prst="rect">
                      <a:avLst/>
                    </a:prstGeom>
                    <a:noFill/>
                  </pic:spPr>
                </pic:pic>
              </a:graphicData>
            </a:graphic>
          </wp:inline>
        </w:drawing>
      </w:r>
    </w:p>
    <w:p w14:paraId="0FA6237D" w14:textId="6DABAFD8"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196" w:name="_Toc23782695"/>
      <w:r w:rsidR="006E6675">
        <w:rPr>
          <w:rFonts w:asciiTheme="minorHAnsi" w:hAnsiTheme="minorHAnsi" w:cstheme="minorHAnsi"/>
          <w:noProof/>
        </w:rPr>
        <w:t>15</w:t>
      </w:r>
      <w:r w:rsidRPr="00C15715">
        <w:rPr>
          <w:rFonts w:asciiTheme="minorHAnsi" w:hAnsiTheme="minorHAnsi" w:cstheme="minorHAnsi"/>
          <w:noProof/>
        </w:rPr>
        <w:fldChar w:fldCharType="end"/>
      </w:r>
      <w:r w:rsidRPr="00C15715">
        <w:rPr>
          <w:rFonts w:asciiTheme="minorHAnsi" w:hAnsiTheme="minorHAnsi" w:cstheme="minorHAnsi"/>
        </w:rPr>
        <w:t>.attēls. Transporta enerģijas patēriņa īpatsvars 2018.gadā (%)</w:t>
      </w:r>
      <w:r w:rsidRPr="00C15715">
        <w:rPr>
          <w:rStyle w:val="FootnoteReference"/>
          <w:rFonts w:asciiTheme="minorHAnsi" w:hAnsiTheme="minorHAnsi" w:cstheme="minorHAnsi"/>
          <w:b w:val="0"/>
        </w:rPr>
        <w:footnoteReference w:id="59"/>
      </w:r>
      <w:bookmarkEnd w:id="196"/>
    </w:p>
    <w:bookmarkEnd w:id="195"/>
    <w:p w14:paraId="73AC3338" w14:textId="12D2B37A" w:rsidR="006179BB" w:rsidRPr="00C15715" w:rsidRDefault="006179BB" w:rsidP="006179BB">
      <w:pPr>
        <w:spacing w:before="120" w:after="120" w:line="240" w:lineRule="auto"/>
        <w:jc w:val="both"/>
        <w:rPr>
          <w:rFonts w:cstheme="minorHAnsi"/>
          <w:szCs w:val="24"/>
        </w:rPr>
      </w:pPr>
      <w:r w:rsidRPr="00C15715">
        <w:rPr>
          <w:rFonts w:cstheme="minorHAnsi"/>
          <w:szCs w:val="24"/>
        </w:rPr>
        <w:t>Ņemot vērā nepārtraukto sektora attīstību</w:t>
      </w:r>
      <w:r w:rsidR="00817C15">
        <w:rPr>
          <w:rFonts w:cstheme="minorHAnsi"/>
          <w:szCs w:val="24"/>
        </w:rPr>
        <w:t>,</w:t>
      </w:r>
      <w:r w:rsidRPr="00C15715">
        <w:rPr>
          <w:rFonts w:cstheme="minorHAnsi"/>
          <w:szCs w:val="24"/>
        </w:rPr>
        <w:t xml:space="preserve"> starptautiskais gaisa transports 2018.gadā ir otrs lielākais transporta enerģijas patēriņš aiz autotransporta ar 11,9% īpatsvaru transporta enerģijas patēriņā, bet dzelzceļa transports ir trešais lielākais transporta enerģijas patērētājs ar 4,8% no kopējā enerģijas patēriņa transportā.</w:t>
      </w:r>
      <w:r>
        <w:rPr>
          <w:rFonts w:cstheme="minorHAnsi"/>
          <w:szCs w:val="24"/>
        </w:rPr>
        <w:t xml:space="preserve"> </w:t>
      </w:r>
      <w:r w:rsidRPr="00D52B34">
        <w:rPr>
          <w:rFonts w:cstheme="minorHAnsi"/>
          <w:szCs w:val="24"/>
        </w:rPr>
        <w:t>Īstenojot dzelzceļa elektrifikācijas projektu, tiks nodrošināta pāreja no dīzeļvilces uz elektrovilci, kas ļaus izmantot energoefektīvākas lokomotīves un  ievērojami samazināt fosilo energoresursu izmantošanu (aprēķinātais samazinājums – līdz 45 126 t CO2 gadā) un padarīt dzelzceļu videi draudzīgāku.</w:t>
      </w:r>
    </w:p>
    <w:p w14:paraId="3035F01E" w14:textId="77777777" w:rsidR="006179BB" w:rsidRPr="00C15715" w:rsidRDefault="006179BB">
      <w:pPr>
        <w:pStyle w:val="Heading30"/>
      </w:pPr>
      <w:bookmarkStart w:id="197" w:name="_Toc23245769"/>
      <w:bookmarkStart w:id="198" w:name="_Toc23246000"/>
      <w:bookmarkStart w:id="199" w:name="_Toc24408014"/>
      <w:r w:rsidRPr="00C15715">
        <w:t>Latvijas 2020.gada energoefektivitātes mērķu izpilde</w:t>
      </w:r>
      <w:bookmarkEnd w:id="197"/>
      <w:bookmarkEnd w:id="198"/>
      <w:bookmarkEnd w:id="199"/>
      <w:r w:rsidRPr="00C15715">
        <w:t xml:space="preserve"> </w:t>
      </w:r>
    </w:p>
    <w:p w14:paraId="204983A5"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 xml:space="preserve">Analizējot faktiskās primārās enerģijas patēriņa un enerģijas galapatēriņa tendences līdz 2017.gadam, var secināt, ka tās atbilst izvirzītā neobligātā mērķa 2020. gadam sasniegšanai.  </w:t>
      </w:r>
    </w:p>
    <w:p w14:paraId="3F4C1520" w14:textId="77777777" w:rsidR="006179BB" w:rsidRPr="00C15715" w:rsidRDefault="006179BB" w:rsidP="006179BB">
      <w:pPr>
        <w:spacing w:after="0" w:line="240" w:lineRule="auto"/>
        <w:jc w:val="center"/>
        <w:rPr>
          <w:rFonts w:cstheme="minorHAnsi"/>
          <w:b/>
          <w:szCs w:val="28"/>
          <w:lang w:bidi="en-US"/>
        </w:rPr>
      </w:pPr>
      <w:r>
        <w:rPr>
          <w:rFonts w:cstheme="minorHAnsi"/>
          <w:b/>
          <w:noProof/>
          <w:szCs w:val="28"/>
          <w:lang w:bidi="en-US"/>
        </w:rPr>
        <w:drawing>
          <wp:inline distT="0" distB="0" distL="0" distR="0" wp14:anchorId="2E0033C9" wp14:editId="5C31F7C2">
            <wp:extent cx="4507526" cy="2679896"/>
            <wp:effectExtent l="0" t="0" r="762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68238" cy="2715992"/>
                    </a:xfrm>
                    <a:prstGeom prst="rect">
                      <a:avLst/>
                    </a:prstGeom>
                    <a:noFill/>
                  </pic:spPr>
                </pic:pic>
              </a:graphicData>
            </a:graphic>
          </wp:inline>
        </w:drawing>
      </w:r>
    </w:p>
    <w:p w14:paraId="64D351B4" w14:textId="36D408E6"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200" w:name="_Toc23782696"/>
      <w:r w:rsidR="006E6675">
        <w:rPr>
          <w:rFonts w:asciiTheme="minorHAnsi" w:hAnsiTheme="minorHAnsi" w:cstheme="minorHAnsi"/>
          <w:noProof/>
        </w:rPr>
        <w:t>16</w:t>
      </w:r>
      <w:r w:rsidRPr="00C15715">
        <w:rPr>
          <w:rFonts w:asciiTheme="minorHAnsi" w:hAnsiTheme="minorHAnsi" w:cstheme="minorHAnsi"/>
          <w:noProof/>
        </w:rPr>
        <w:fldChar w:fldCharType="end"/>
      </w:r>
      <w:r w:rsidRPr="00C15715">
        <w:rPr>
          <w:rFonts w:asciiTheme="minorHAnsi" w:hAnsiTheme="minorHAnsi" w:cstheme="minorHAnsi"/>
        </w:rPr>
        <w:t>.attēls. Prognozētais un faktiskais primārās enerģijas patēriņš un enerģijas galapatēriņš (Direktīvas 2012/27/ES aptvērumā) 2012.-2020.gadam</w:t>
      </w:r>
      <w:r>
        <w:rPr>
          <w:rFonts w:asciiTheme="minorHAnsi" w:hAnsiTheme="minorHAnsi" w:cstheme="minorHAnsi"/>
        </w:rPr>
        <w:t xml:space="preserve"> (PJ)</w:t>
      </w:r>
      <w:r w:rsidRPr="00C15715">
        <w:rPr>
          <w:rStyle w:val="FootnoteReference"/>
          <w:rFonts w:asciiTheme="minorHAnsi" w:hAnsiTheme="minorHAnsi" w:cstheme="minorHAnsi"/>
          <w:b w:val="0"/>
        </w:rPr>
        <w:footnoteReference w:id="60"/>
      </w:r>
      <w:bookmarkEnd w:id="200"/>
    </w:p>
    <w:p w14:paraId="19F24182" w14:textId="383C172D" w:rsidR="006179BB" w:rsidRPr="00C15715" w:rsidRDefault="006179BB" w:rsidP="006179BB">
      <w:pPr>
        <w:autoSpaceDE w:val="0"/>
        <w:autoSpaceDN w:val="0"/>
        <w:adjustRightInd w:val="0"/>
        <w:spacing w:before="120" w:after="120" w:line="240" w:lineRule="auto"/>
        <w:jc w:val="both"/>
        <w:rPr>
          <w:rFonts w:cstheme="minorHAnsi"/>
          <w:szCs w:val="24"/>
        </w:rPr>
      </w:pPr>
      <w:r w:rsidRPr="00C15715">
        <w:rPr>
          <w:rFonts w:cstheme="minorHAnsi"/>
          <w:szCs w:val="24"/>
        </w:rPr>
        <w:t>No 2014.–2017 gadam alternatīvo enerģijas uzlabošanas pasākumu ieviešanas rezultātā iegūtais kumulatīvais enerģijas ietaupījums līdz 2020. gadam ir 5227 GWh, jeb 53 % no obligātā kumulatīvā mērķa (9896 GWh).</w:t>
      </w:r>
      <w:r w:rsidRPr="00C15715">
        <w:rPr>
          <w:rFonts w:cstheme="minorHAnsi"/>
          <w:iCs/>
          <w:szCs w:val="24"/>
        </w:rPr>
        <w:t xml:space="preserve"> </w:t>
      </w:r>
    </w:p>
    <w:p w14:paraId="7DC7C6E7" w14:textId="77777777" w:rsidR="006179BB" w:rsidRPr="00272B86" w:rsidRDefault="006179BB">
      <w:pPr>
        <w:pStyle w:val="Heading30"/>
      </w:pPr>
      <w:bookmarkStart w:id="201" w:name="_Toc23245770"/>
      <w:bookmarkStart w:id="202" w:name="_Toc23246001"/>
      <w:bookmarkStart w:id="203" w:name="_Toc24408015"/>
      <w:r w:rsidRPr="00272B86">
        <w:rPr>
          <w:rStyle w:val="normaltextrun"/>
        </w:rPr>
        <w:t>Pašreizējais augstas efektivitātes koģenerācijas izmantošanas un efektīvas CSA un aukstumapgādes potenciāls</w:t>
      </w:r>
      <w:bookmarkEnd w:id="201"/>
      <w:bookmarkEnd w:id="202"/>
      <w:bookmarkEnd w:id="203"/>
      <w:r w:rsidRPr="00272B86">
        <w:rPr>
          <w:rStyle w:val="eop"/>
        </w:rPr>
        <w:t> </w:t>
      </w:r>
    </w:p>
    <w:p w14:paraId="74269256" w14:textId="77777777" w:rsidR="006179BB" w:rsidRPr="00C15715" w:rsidRDefault="006179BB" w:rsidP="006179BB">
      <w:pPr>
        <w:pStyle w:val="Default"/>
        <w:spacing w:before="120" w:after="120"/>
        <w:jc w:val="both"/>
        <w:rPr>
          <w:rFonts w:asciiTheme="minorHAnsi" w:hAnsiTheme="minorHAnsi" w:cstheme="minorHAnsi"/>
          <w:bCs/>
          <w:iCs/>
          <w:color w:val="auto"/>
        </w:rPr>
      </w:pPr>
      <w:r w:rsidRPr="00C15715">
        <w:rPr>
          <w:rFonts w:asciiTheme="minorHAnsi" w:hAnsiTheme="minorHAnsi" w:cstheme="minorHAnsi"/>
          <w:color w:val="auto"/>
        </w:rPr>
        <w:t xml:space="preserve">Atbilstoši </w:t>
      </w:r>
      <w:r w:rsidRPr="00C15715">
        <w:rPr>
          <w:rFonts w:asciiTheme="minorHAnsi" w:eastAsia="Calibri" w:hAnsiTheme="minorHAnsi" w:cstheme="minorHAnsi"/>
        </w:rPr>
        <w:t>Direktīvas 2012/27/ES</w:t>
      </w:r>
      <w:r w:rsidRPr="00C15715">
        <w:rPr>
          <w:rFonts w:asciiTheme="minorHAnsi" w:hAnsiTheme="minorHAnsi" w:cstheme="minorHAnsi"/>
          <w:color w:val="auto"/>
        </w:rPr>
        <w:t xml:space="preserve"> 14. panta prasībām, Latvija ir veikusi “</w:t>
      </w:r>
      <w:r w:rsidRPr="00C15715">
        <w:rPr>
          <w:rFonts w:asciiTheme="minorHAnsi" w:hAnsiTheme="minorHAnsi" w:cstheme="minorHAnsi"/>
          <w:bCs/>
          <w:iCs/>
          <w:color w:val="auto"/>
        </w:rPr>
        <w:t>Augstas efektivitātes koģenerācijas un efektīvas centralizētās siltumapgādes un dzesēšanas izmantošanas potenciāla visaptverošs izvērtējums un izmaksu un ieguvumu analīze atbilstoši Direktīvas 2012/27/ES prasībām”</w:t>
      </w:r>
      <w:r w:rsidRPr="00C15715">
        <w:rPr>
          <w:rStyle w:val="FootnoteReference"/>
          <w:rFonts w:asciiTheme="minorHAnsi" w:hAnsiTheme="minorHAnsi" w:cstheme="minorHAnsi"/>
          <w:bCs/>
          <w:iCs/>
          <w:color w:val="auto"/>
        </w:rPr>
        <w:footnoteReference w:id="61"/>
      </w:r>
      <w:r w:rsidRPr="00C15715">
        <w:rPr>
          <w:rFonts w:asciiTheme="minorHAnsi" w:hAnsiTheme="minorHAnsi" w:cstheme="minorHAnsi"/>
          <w:bCs/>
          <w:iCs/>
          <w:color w:val="auto"/>
        </w:rPr>
        <w:t xml:space="preserve">. Izvērtējuma rezultātā ir iegūti sekojoši rezultāti: </w:t>
      </w:r>
    </w:p>
    <w:p w14:paraId="06C8E85A" w14:textId="77777777" w:rsidR="006179BB" w:rsidRPr="00C15715" w:rsidRDefault="006179BB" w:rsidP="006179BB">
      <w:pPr>
        <w:pStyle w:val="Default"/>
        <w:spacing w:before="120" w:after="120"/>
        <w:jc w:val="both"/>
        <w:rPr>
          <w:rFonts w:asciiTheme="minorHAnsi" w:hAnsiTheme="minorHAnsi" w:cstheme="minorHAnsi"/>
          <w:color w:val="auto"/>
        </w:rPr>
      </w:pPr>
      <w:r w:rsidRPr="00C15715">
        <w:rPr>
          <w:rFonts w:asciiTheme="minorHAnsi" w:hAnsiTheme="minorHAnsi" w:cstheme="minorHAnsi"/>
          <w:bCs/>
          <w:iCs/>
          <w:color w:val="auto"/>
        </w:rPr>
        <w:t>1</w:t>
      </w:r>
      <w:r w:rsidRPr="00C15715">
        <w:rPr>
          <w:rFonts w:asciiTheme="minorHAnsi" w:hAnsiTheme="minorHAnsi" w:cstheme="minorHAnsi"/>
          <w:color w:val="auto"/>
        </w:rPr>
        <w:t xml:space="preserve">) Kopumā koģenerācijas īpatsvars Latvijas CSA jau ir augsts – 72,6%, pie tam 2017.gadā dažās no Latvijas reģionālajām CSA sistēmām ir gandrīz maksimālais koģenerācijas īpatsvars siltuma ražošanā un augsta AER izmantošanas daļa to kurināmo struktūrā (piem., Jelgava ar 97% saražotu koģenerācijas režīmā un 85% no izmantotā kurināmā ir AER). Potenciāla analīzes rezultātā konstatēts, ka nav potenciāls AER īpatsvara palielināšanai valsts līmenī, toties tika identificēts un analizēts, ka dažās individuālās pilsētās (Daugavpilī, Liepājā un Jūrmalā) būtu iespējams potenciāls ieviest augstas efektivitātes koģenerāciju centralizētajā siltumapgādē, bet ir nepieciešama padziļinātākā konkrētā gadījumā finanšu analīze. Aprēķini balstīti uz elektroenerģijas un siltumenerģijas tirgus cenām. </w:t>
      </w:r>
    </w:p>
    <w:p w14:paraId="648688F4" w14:textId="77777777" w:rsidR="006179BB" w:rsidRPr="00C15715" w:rsidRDefault="006179BB" w:rsidP="006179BB">
      <w:pPr>
        <w:pStyle w:val="Default"/>
        <w:spacing w:before="120" w:after="120"/>
        <w:jc w:val="both"/>
        <w:rPr>
          <w:rFonts w:asciiTheme="minorHAnsi" w:hAnsiTheme="minorHAnsi" w:cstheme="minorHAnsi"/>
          <w:color w:val="auto"/>
        </w:rPr>
      </w:pPr>
      <w:r w:rsidRPr="00C15715">
        <w:rPr>
          <w:rFonts w:asciiTheme="minorHAnsi" w:hAnsiTheme="minorHAnsi" w:cstheme="minorHAnsi"/>
          <w:color w:val="auto"/>
        </w:rPr>
        <w:t xml:space="preserve">2) Salīdzinājumā ar individuālajiem apkures risinājumiem, CSA ir raksturojama ar augstāko efektivitātes līmeni, jo tajā ir lielāks efektīvās koģenerācijas īpatsvars. Tai pašā laikā, CSA ir nepieciešami nopietni ieguldījumi infrastruktūrā un augstas ekspluatācijas un uzturēšanas izmaksas. CSA efektivitāti samazina arī enerģijas zudumi tīklā. Šie nosacījumi padara CSA par ekonomiski dzīvotspējīgu tikai teritorijās ar salīdzinoši lielu siltumenerģijas pieprasījuma blīvumu. </w:t>
      </w:r>
    </w:p>
    <w:p w14:paraId="1840E4B1" w14:textId="77777777" w:rsidR="006179BB" w:rsidRPr="00C15715" w:rsidRDefault="006179BB" w:rsidP="006179BB">
      <w:pPr>
        <w:pStyle w:val="Default"/>
        <w:spacing w:before="120" w:after="120"/>
        <w:jc w:val="both"/>
        <w:rPr>
          <w:rFonts w:asciiTheme="minorHAnsi" w:hAnsiTheme="minorHAnsi" w:cstheme="minorHAnsi"/>
          <w:color w:val="auto"/>
        </w:rPr>
      </w:pPr>
      <w:r w:rsidRPr="00C15715">
        <w:rPr>
          <w:rFonts w:asciiTheme="minorHAnsi" w:hAnsiTheme="minorHAnsi" w:cstheme="minorHAnsi"/>
          <w:color w:val="auto"/>
        </w:rPr>
        <w:t>Siltuma blīvums analizētajās teritorijās pārsvarā parāda pietiekamu siltumenerģijas pieprasījumu, lai esošās CSA paplašināšanos būtu ekonomiski dzīvotspējīgi ekonomikai kopumā. Vislielākais centralizācijas potenciāls ir mājsaimniecību sektorā. Tomēr CSA siltuma pieprasījums no mājsaimniecībām un industrijām ir ierobežots, jo lielāka daļa dod priekšroku individuālajiem apkures risinājumiem ekonomisko iemeslu dēļ.</w:t>
      </w:r>
    </w:p>
    <w:p w14:paraId="0C920AEF" w14:textId="77777777" w:rsidR="006179BB" w:rsidRPr="00BB5B7E" w:rsidRDefault="006179BB" w:rsidP="00D226B0">
      <w:pPr>
        <w:pStyle w:val="Default"/>
        <w:spacing w:before="120" w:after="120"/>
        <w:jc w:val="both"/>
        <w:rPr>
          <w:rFonts w:asciiTheme="minorHAnsi" w:hAnsiTheme="minorHAnsi" w:cstheme="minorHAnsi"/>
          <w:bCs/>
          <w:color w:val="auto"/>
        </w:rPr>
      </w:pPr>
      <w:r w:rsidRPr="00C15715">
        <w:rPr>
          <w:rFonts w:asciiTheme="minorHAnsi" w:hAnsiTheme="minorHAnsi" w:cstheme="minorHAnsi"/>
          <w:color w:val="auto"/>
        </w:rPr>
        <w:t xml:space="preserve">3) Lai realizētu CSA centralizācijas potenciālu, ir nepieciešams attīstīt ekonomiskus stimulus gala patērētājiem, lai </w:t>
      </w:r>
      <w:r w:rsidRPr="00C15715">
        <w:rPr>
          <w:rFonts w:asciiTheme="minorHAnsi" w:hAnsiTheme="minorHAnsi" w:cstheme="minorHAnsi"/>
          <w:bCs/>
          <w:color w:val="auto"/>
        </w:rPr>
        <w:t>siltuma izmaksas no CSA nepārsniedz alternatīvas individuālās apkures izmaksas</w:t>
      </w:r>
      <w:r w:rsidRPr="00C15715">
        <w:rPr>
          <w:rFonts w:asciiTheme="minorHAnsi" w:hAnsiTheme="minorHAnsi" w:cstheme="minorHAnsi"/>
          <w:color w:val="auto"/>
        </w:rPr>
        <w:t>. Šādi stimuli pārsvarā pārstāv pasākumus lai sasniegtu kopēja siltumapgādes tarifa samazināšanos CSA sistēmā, tostarp, n</w:t>
      </w:r>
      <w:r w:rsidRPr="00C15715">
        <w:rPr>
          <w:rFonts w:asciiTheme="minorHAnsi" w:hAnsiTheme="minorHAnsi" w:cstheme="minorHAnsi"/>
          <w:bCs/>
          <w:color w:val="auto"/>
        </w:rPr>
        <w:t xml:space="preserve">epieciešams piesaistīt ES finanšu atbalstu investīcijām jaunu reģionālu CSA tīklu izveidē un esošo (veco) tīklu renovācijā pašvaldībās, kur esošā vai plānotā siltumtīkla intensitāte pārsniedz 2MWh/m. Kā arī papildus jāveic CSA operatoru ekspluatācijas un uzturēšanas procesu un saistīto izmaksu pārskatīšana un procesu </w:t>
      </w:r>
      <w:r w:rsidRPr="00BB5B7E">
        <w:rPr>
          <w:rFonts w:asciiTheme="minorHAnsi" w:hAnsiTheme="minorHAnsi" w:cstheme="minorHAnsi"/>
          <w:bCs/>
          <w:color w:val="auto"/>
        </w:rPr>
        <w:t>optimizācija.</w:t>
      </w:r>
    </w:p>
    <w:p w14:paraId="59BA21E1" w14:textId="46518851" w:rsidR="006179BB" w:rsidRPr="00D226B0" w:rsidRDefault="00276A9B">
      <w:pPr>
        <w:pStyle w:val="Heading30"/>
        <w:rPr>
          <w:rStyle w:val="normaltextrun"/>
          <w:rFonts w:ascii="Times New Roman" w:eastAsiaTheme="minorHAnsi" w:hAnsi="Times New Roman" w:cs="Times New Roman"/>
          <w:color w:val="000000"/>
          <w:u w:val="none"/>
          <w:lang w:eastAsia="en-US"/>
        </w:rPr>
      </w:pPr>
      <w:bookmarkStart w:id="204" w:name="_Toc24408016"/>
      <w:r>
        <w:rPr>
          <w:rStyle w:val="normaltextrun"/>
        </w:rPr>
        <w:t>Indikatīvās attīstības prognozes</w:t>
      </w:r>
      <w:bookmarkEnd w:id="204"/>
    </w:p>
    <w:p w14:paraId="06D14995" w14:textId="0C8DDC4F" w:rsidR="006D77F6" w:rsidRPr="00D226B0" w:rsidRDefault="006D77F6" w:rsidP="00D226B0">
      <w:pPr>
        <w:spacing w:before="120" w:after="120" w:line="240" w:lineRule="auto"/>
        <w:jc w:val="both"/>
        <w:rPr>
          <w:rFonts w:cstheme="minorHAnsi"/>
          <w:sz w:val="22"/>
          <w:lang w:eastAsia="lv-LV"/>
        </w:rPr>
      </w:pPr>
      <w:bookmarkStart w:id="205" w:name="_Toc23245772"/>
      <w:bookmarkStart w:id="206" w:name="_Toc23246003"/>
      <w:r w:rsidRPr="00D226B0">
        <w:rPr>
          <w:rFonts w:cstheme="minorHAnsi"/>
          <w:lang w:eastAsia="lv-LV"/>
        </w:rPr>
        <w:t>Izmantojot makroekonomisko prognozi</w:t>
      </w:r>
      <w:r w:rsidR="00905CC0" w:rsidRPr="00D226B0">
        <w:rPr>
          <w:rFonts w:cstheme="minorHAnsi"/>
          <w:lang w:eastAsia="lv-LV"/>
        </w:rPr>
        <w:t xml:space="preserve"> un modelēš</w:t>
      </w:r>
      <w:r w:rsidR="00842899" w:rsidRPr="00D226B0">
        <w:rPr>
          <w:rFonts w:cstheme="minorHAnsi"/>
          <w:lang w:eastAsia="lv-LV"/>
        </w:rPr>
        <w:t>a</w:t>
      </w:r>
      <w:r w:rsidR="00905CC0" w:rsidRPr="00D226B0">
        <w:rPr>
          <w:rFonts w:cstheme="minorHAnsi"/>
          <w:lang w:eastAsia="lv-LV"/>
        </w:rPr>
        <w:t>nā izmantotos pieņēmumus aprēķinātās enerģijas galapatēriņa prognozes, paredze, ka arī 2030.gadā galvenie enerģijas patēriņa sektori būs</w:t>
      </w:r>
      <w:r w:rsidR="00D226B0" w:rsidRPr="00D226B0">
        <w:rPr>
          <w:rFonts w:cstheme="minorHAnsi"/>
          <w:lang w:eastAsia="lv-LV"/>
        </w:rPr>
        <w:t xml:space="preserve"> rūpniecības un būvniecības, transporta</w:t>
      </w:r>
      <w:r w:rsidR="00905CC0" w:rsidRPr="00D226B0">
        <w:rPr>
          <w:rFonts w:cstheme="minorHAnsi"/>
          <w:lang w:eastAsia="lv-LV"/>
        </w:rPr>
        <w:t xml:space="preserve"> un mājsaimniecības</w:t>
      </w:r>
      <w:r w:rsidR="00D226B0" w:rsidRPr="00D226B0">
        <w:rPr>
          <w:rFonts w:cstheme="minorHAnsi"/>
          <w:lang w:eastAsia="lv-LV"/>
        </w:rPr>
        <w:t xml:space="preserve"> sektori</w:t>
      </w:r>
      <w:r w:rsidR="00905CC0" w:rsidRPr="00D226B0">
        <w:rPr>
          <w:rFonts w:cstheme="minorHAnsi"/>
          <w:lang w:eastAsia="lv-LV"/>
        </w:rPr>
        <w:t xml:space="preserve">, kas </w:t>
      </w:r>
      <w:r w:rsidR="00D226B0" w:rsidRPr="00D226B0">
        <w:rPr>
          <w:rFonts w:cstheme="minorHAnsi"/>
          <w:lang w:eastAsia="lv-LV"/>
        </w:rPr>
        <w:t xml:space="preserve">no kopējā enerģijas galapatēriņa </w:t>
      </w:r>
      <w:r w:rsidR="00905CC0" w:rsidRPr="00D226B0">
        <w:rPr>
          <w:rFonts w:cstheme="minorHAnsi"/>
          <w:lang w:eastAsia="lv-LV"/>
        </w:rPr>
        <w:t>patērēs 2</w:t>
      </w:r>
      <w:r w:rsidR="000A3A42">
        <w:rPr>
          <w:rFonts w:cstheme="minorHAnsi"/>
          <w:lang w:eastAsia="lv-LV"/>
        </w:rPr>
        <w:t>5</w:t>
      </w:r>
      <w:r w:rsidR="00905CC0" w:rsidRPr="00D226B0">
        <w:rPr>
          <w:rFonts w:cstheme="minorHAnsi"/>
          <w:lang w:eastAsia="lv-LV"/>
        </w:rPr>
        <w:t>%</w:t>
      </w:r>
      <w:r w:rsidR="00D226B0" w:rsidRPr="00D226B0">
        <w:rPr>
          <w:rFonts w:cstheme="minorHAnsi"/>
          <w:lang w:eastAsia="lv-LV"/>
        </w:rPr>
        <w:t>, 2</w:t>
      </w:r>
      <w:r w:rsidR="000A3A42">
        <w:rPr>
          <w:rFonts w:cstheme="minorHAnsi"/>
          <w:lang w:eastAsia="lv-LV"/>
        </w:rPr>
        <w:t>4,5%</w:t>
      </w:r>
      <w:r w:rsidR="00905CC0" w:rsidRPr="00D226B0">
        <w:rPr>
          <w:rFonts w:cstheme="minorHAnsi"/>
          <w:lang w:eastAsia="lv-LV"/>
        </w:rPr>
        <w:t xml:space="preserve"> un 27,</w:t>
      </w:r>
      <w:r w:rsidR="000A3A42">
        <w:rPr>
          <w:rFonts w:cstheme="minorHAnsi"/>
          <w:lang w:eastAsia="lv-LV"/>
        </w:rPr>
        <w:t>8</w:t>
      </w:r>
      <w:r w:rsidR="00905CC0" w:rsidRPr="00D226B0">
        <w:rPr>
          <w:rFonts w:cstheme="minorHAnsi"/>
          <w:lang w:eastAsia="lv-LV"/>
        </w:rPr>
        <w:t xml:space="preserve">% </w:t>
      </w:r>
      <w:r w:rsidR="00D226B0" w:rsidRPr="00D226B0">
        <w:rPr>
          <w:rFonts w:cstheme="minorHAnsi"/>
          <w:lang w:eastAsia="lv-LV"/>
        </w:rPr>
        <w:t>attiecīgi</w:t>
      </w:r>
      <w:r w:rsidR="00905CC0" w:rsidRPr="00D226B0">
        <w:rPr>
          <w:rFonts w:cstheme="minorHAnsi"/>
          <w:lang w:eastAsia="lv-LV"/>
        </w:rPr>
        <w:t xml:space="preserve">. </w:t>
      </w:r>
      <w:r w:rsidR="00D226B0" w:rsidRPr="00D226B0">
        <w:rPr>
          <w:rFonts w:cstheme="minorHAnsi"/>
          <w:lang w:eastAsia="lv-LV"/>
        </w:rPr>
        <w:t>Komerciālais un sabiedriskais sektors patērēs 16,</w:t>
      </w:r>
      <w:r w:rsidR="000A3A42">
        <w:rPr>
          <w:rFonts w:cstheme="minorHAnsi"/>
          <w:lang w:eastAsia="lv-LV"/>
        </w:rPr>
        <w:t>4</w:t>
      </w:r>
      <w:r w:rsidR="00D226B0" w:rsidRPr="00D226B0">
        <w:rPr>
          <w:rFonts w:cstheme="minorHAnsi"/>
          <w:lang w:eastAsia="lv-LV"/>
        </w:rPr>
        <w:t xml:space="preserve">%, bet </w:t>
      </w:r>
      <w:r w:rsidR="00905CC0" w:rsidRPr="00D226B0">
        <w:rPr>
          <w:rFonts w:cstheme="minorHAnsi"/>
          <w:lang w:eastAsia="lv-LV"/>
        </w:rPr>
        <w:t>atlikušo</w:t>
      </w:r>
      <w:r w:rsidR="00D226B0" w:rsidRPr="00D226B0">
        <w:rPr>
          <w:rFonts w:cstheme="minorHAnsi"/>
          <w:lang w:eastAsia="lv-LV"/>
        </w:rPr>
        <w:t xml:space="preserve"> – 6,</w:t>
      </w:r>
      <w:r w:rsidR="000A3A42">
        <w:rPr>
          <w:rFonts w:cstheme="minorHAnsi"/>
          <w:lang w:eastAsia="lv-LV"/>
        </w:rPr>
        <w:t>2</w:t>
      </w:r>
      <w:r w:rsidR="00D226B0" w:rsidRPr="00D226B0">
        <w:rPr>
          <w:rFonts w:cstheme="minorHAnsi"/>
          <w:lang w:eastAsia="lv-LV"/>
        </w:rPr>
        <w:t>%</w:t>
      </w:r>
      <w:r w:rsidR="000A3A42">
        <w:rPr>
          <w:rFonts w:cstheme="minorHAnsi"/>
          <w:lang w:eastAsia="lv-LV"/>
        </w:rPr>
        <w:t>,</w:t>
      </w:r>
      <w:r w:rsidR="00905CC0" w:rsidRPr="00D226B0">
        <w:rPr>
          <w:rFonts w:cstheme="minorHAnsi"/>
          <w:lang w:eastAsia="lv-LV"/>
        </w:rPr>
        <w:t xml:space="preserve"> patērēs lauksaimniecības</w:t>
      </w:r>
      <w:r w:rsidR="00D226B0" w:rsidRPr="00D226B0">
        <w:rPr>
          <w:rFonts w:cstheme="minorHAnsi"/>
          <w:lang w:eastAsia="lv-LV"/>
        </w:rPr>
        <w:t>, mežsaimniecības un zivsaimniecības</w:t>
      </w:r>
      <w:r w:rsidR="00905CC0" w:rsidRPr="00D226B0">
        <w:rPr>
          <w:rFonts w:cstheme="minorHAnsi"/>
          <w:lang w:eastAsia="lv-LV"/>
        </w:rPr>
        <w:t xml:space="preserve"> sektorā</w:t>
      </w:r>
      <w:r w:rsidRPr="00D226B0">
        <w:rPr>
          <w:rFonts w:cstheme="minorHAnsi"/>
          <w:lang w:eastAsia="lv-LV"/>
        </w:rPr>
        <w:t xml:space="preserve">. </w:t>
      </w:r>
      <w:bookmarkStart w:id="207" w:name="_Toc478630345"/>
    </w:p>
    <w:p w14:paraId="26008184" w14:textId="39498862" w:rsidR="006D77F6" w:rsidRPr="00D226B0" w:rsidRDefault="00F6571B" w:rsidP="00D226B0">
      <w:pPr>
        <w:spacing w:before="120" w:after="120" w:line="240" w:lineRule="auto"/>
        <w:jc w:val="center"/>
        <w:rPr>
          <w:rFonts w:cstheme="minorHAnsi"/>
          <w:szCs w:val="24"/>
          <w:lang w:eastAsia="lv-LV"/>
        </w:rPr>
      </w:pPr>
      <w:r>
        <w:rPr>
          <w:rFonts w:cstheme="minorHAnsi"/>
          <w:noProof/>
          <w:szCs w:val="24"/>
          <w:lang w:eastAsia="lv-LV"/>
        </w:rPr>
        <w:drawing>
          <wp:inline distT="0" distB="0" distL="0" distR="0" wp14:anchorId="1A0AE551" wp14:editId="62F6F9F7">
            <wp:extent cx="4329828" cy="25531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62142" cy="2572251"/>
                    </a:xfrm>
                    <a:prstGeom prst="rect">
                      <a:avLst/>
                    </a:prstGeom>
                    <a:noFill/>
                  </pic:spPr>
                </pic:pic>
              </a:graphicData>
            </a:graphic>
          </wp:inline>
        </w:drawing>
      </w:r>
    </w:p>
    <w:bookmarkEnd w:id="207"/>
    <w:p w14:paraId="3EAA1EC3" w14:textId="460D9AA5" w:rsidR="00D226B0" w:rsidRPr="00D226B0" w:rsidRDefault="00D226B0" w:rsidP="00D226B0">
      <w:pPr>
        <w:pStyle w:val="Caption"/>
        <w:rPr>
          <w:rFonts w:asciiTheme="minorHAnsi" w:hAnsiTheme="minorHAnsi" w:cstheme="minorHAnsi"/>
        </w:rPr>
      </w:pPr>
      <w:r w:rsidRPr="00D226B0">
        <w:rPr>
          <w:rFonts w:asciiTheme="minorHAnsi" w:hAnsiTheme="minorHAnsi" w:cstheme="minorHAnsi"/>
          <w:noProof/>
        </w:rPr>
        <w:fldChar w:fldCharType="begin"/>
      </w:r>
      <w:r w:rsidRPr="00D226B0">
        <w:rPr>
          <w:rFonts w:asciiTheme="minorHAnsi" w:hAnsiTheme="minorHAnsi" w:cstheme="minorHAnsi"/>
          <w:noProof/>
        </w:rPr>
        <w:instrText xml:space="preserve"> SEQ Ilustrācija \* ARABIC </w:instrText>
      </w:r>
      <w:r w:rsidRPr="00D226B0">
        <w:rPr>
          <w:rFonts w:asciiTheme="minorHAnsi" w:hAnsiTheme="minorHAnsi" w:cstheme="minorHAnsi"/>
          <w:noProof/>
        </w:rPr>
        <w:fldChar w:fldCharType="separate"/>
      </w:r>
      <w:bookmarkStart w:id="208" w:name="_Toc23782697"/>
      <w:r w:rsidR="006E6675">
        <w:rPr>
          <w:rFonts w:asciiTheme="minorHAnsi" w:hAnsiTheme="minorHAnsi" w:cstheme="minorHAnsi"/>
          <w:noProof/>
        </w:rPr>
        <w:t>17</w:t>
      </w:r>
      <w:r w:rsidRPr="00D226B0">
        <w:rPr>
          <w:rFonts w:asciiTheme="minorHAnsi" w:hAnsiTheme="minorHAnsi" w:cstheme="minorHAnsi"/>
          <w:noProof/>
        </w:rPr>
        <w:fldChar w:fldCharType="end"/>
      </w:r>
      <w:r w:rsidRPr="00D226B0">
        <w:rPr>
          <w:rFonts w:asciiTheme="minorHAnsi" w:hAnsiTheme="minorHAnsi" w:cstheme="minorHAnsi"/>
        </w:rPr>
        <w:t>.attēls. Enerģijas galapatēriņa prognozes dalījumā pa sektoriem līdz 2030.gadam</w:t>
      </w:r>
      <w:r w:rsidRPr="00D226B0">
        <w:rPr>
          <w:rStyle w:val="FootnoteReference"/>
          <w:rFonts w:asciiTheme="minorHAnsi" w:hAnsiTheme="minorHAnsi" w:cstheme="minorHAnsi"/>
        </w:rPr>
        <w:footnoteReference w:id="62"/>
      </w:r>
      <w:r w:rsidRPr="00D226B0">
        <w:rPr>
          <w:rFonts w:asciiTheme="minorHAnsi" w:hAnsiTheme="minorHAnsi" w:cstheme="minorHAnsi"/>
        </w:rPr>
        <w:t xml:space="preserve"> (PJ)</w:t>
      </w:r>
      <w:bookmarkEnd w:id="208"/>
    </w:p>
    <w:p w14:paraId="41ABB4B1" w14:textId="0A1D47EB" w:rsidR="006D77F6" w:rsidRPr="00D226B0" w:rsidRDefault="006D77F6" w:rsidP="00D226B0">
      <w:pPr>
        <w:spacing w:before="120" w:after="120" w:line="240" w:lineRule="auto"/>
        <w:jc w:val="both"/>
        <w:rPr>
          <w:rFonts w:cstheme="minorHAnsi"/>
          <w:lang w:eastAsia="lv-LV"/>
        </w:rPr>
      </w:pPr>
      <w:r w:rsidRPr="00D226B0">
        <w:rPr>
          <w:rFonts w:cstheme="minorHAnsi"/>
          <w:lang w:eastAsia="lv-LV"/>
        </w:rPr>
        <w:t>Būtiskāk</w:t>
      </w:r>
      <w:r w:rsidR="000A3A42">
        <w:rPr>
          <w:rFonts w:cstheme="minorHAnsi"/>
          <w:lang w:eastAsia="lv-LV"/>
        </w:rPr>
        <w:t>ais</w:t>
      </w:r>
      <w:r w:rsidRPr="00D226B0">
        <w:rPr>
          <w:rFonts w:cstheme="minorHAnsi"/>
          <w:lang w:eastAsia="lv-LV"/>
        </w:rPr>
        <w:t xml:space="preserve"> enerģijas </w:t>
      </w:r>
      <w:r w:rsidR="000A3A42">
        <w:rPr>
          <w:rFonts w:cstheme="minorHAnsi"/>
          <w:lang w:eastAsia="lv-LV"/>
        </w:rPr>
        <w:t>gala</w:t>
      </w:r>
      <w:r w:rsidRPr="00D226B0">
        <w:rPr>
          <w:rFonts w:cstheme="minorHAnsi"/>
          <w:lang w:eastAsia="lv-LV"/>
        </w:rPr>
        <w:t>patēriņa pieaugum</w:t>
      </w:r>
      <w:r w:rsidR="000A3A42">
        <w:rPr>
          <w:rFonts w:cstheme="minorHAnsi"/>
          <w:lang w:eastAsia="lv-LV"/>
        </w:rPr>
        <w:t>s</w:t>
      </w:r>
      <w:r w:rsidRPr="00D226B0">
        <w:rPr>
          <w:rFonts w:cstheme="minorHAnsi"/>
          <w:lang w:eastAsia="lv-LV"/>
        </w:rPr>
        <w:t xml:space="preserve"> 2030.gadā, salīdzinot ar 2017.gadu, </w:t>
      </w:r>
      <w:r w:rsidR="000A3A42">
        <w:rPr>
          <w:rFonts w:cstheme="minorHAnsi"/>
          <w:lang w:eastAsia="lv-LV"/>
        </w:rPr>
        <w:t xml:space="preserve">ir paredzams </w:t>
      </w:r>
      <w:r w:rsidRPr="00D226B0">
        <w:rPr>
          <w:rFonts w:cstheme="minorHAnsi"/>
          <w:lang w:eastAsia="lv-LV"/>
        </w:rPr>
        <w:t>rūpniecības</w:t>
      </w:r>
      <w:r w:rsidR="00D226B0" w:rsidRPr="00D226B0">
        <w:rPr>
          <w:rFonts w:cstheme="minorHAnsi"/>
          <w:lang w:eastAsia="lv-LV"/>
        </w:rPr>
        <w:t xml:space="preserve"> un būvniecības</w:t>
      </w:r>
      <w:r w:rsidRPr="00D226B0">
        <w:rPr>
          <w:rFonts w:cstheme="minorHAnsi"/>
          <w:lang w:eastAsia="lv-LV"/>
        </w:rPr>
        <w:t xml:space="preserve"> sektorā (apmēram </w:t>
      </w:r>
      <w:r w:rsidR="000A3A42">
        <w:rPr>
          <w:rFonts w:cstheme="minorHAnsi"/>
          <w:lang w:eastAsia="lv-LV"/>
        </w:rPr>
        <w:t>3</w:t>
      </w:r>
      <w:r w:rsidRPr="00D226B0">
        <w:rPr>
          <w:rFonts w:cstheme="minorHAnsi"/>
          <w:lang w:eastAsia="lv-LV"/>
        </w:rPr>
        <w:t>,5 PJ), ko nosaka pieņēmumi par ikgadējo pievienotās vērtības pieauguma tempu sektorā visā periodā. Tajā pašā laikā pārējos sektors, izņemot lauksaimniecību, tiek prognozēts enerģijas galapatēriņa samazinājums. Kopējais enerģijas galapatēriņs 2030.gadā ir par apmēram 10,</w:t>
      </w:r>
      <w:r w:rsidR="000A3A42">
        <w:rPr>
          <w:rFonts w:cstheme="minorHAnsi"/>
          <w:lang w:eastAsia="lv-LV"/>
        </w:rPr>
        <w:t>3</w:t>
      </w:r>
      <w:r w:rsidRPr="00D226B0">
        <w:rPr>
          <w:rFonts w:cstheme="minorHAnsi"/>
          <w:lang w:eastAsia="lv-LV"/>
        </w:rPr>
        <w:t>% mazāks nekā 2017.gadā.</w:t>
      </w:r>
    </w:p>
    <w:p w14:paraId="733FD37F" w14:textId="205CBA32" w:rsidR="006D77F6" w:rsidRPr="00D226B0" w:rsidRDefault="00F6571B" w:rsidP="00D226B0">
      <w:pPr>
        <w:spacing w:before="120" w:after="120" w:line="240" w:lineRule="auto"/>
        <w:jc w:val="center"/>
        <w:rPr>
          <w:rFonts w:cstheme="minorHAnsi"/>
          <w:szCs w:val="24"/>
          <w:lang w:eastAsia="lv-LV"/>
        </w:rPr>
      </w:pPr>
      <w:r>
        <w:rPr>
          <w:rFonts w:cstheme="minorHAnsi"/>
          <w:noProof/>
          <w:szCs w:val="24"/>
          <w:lang w:eastAsia="lv-LV"/>
        </w:rPr>
        <w:drawing>
          <wp:inline distT="0" distB="0" distL="0" distR="0" wp14:anchorId="28336099" wp14:editId="2C71AD19">
            <wp:extent cx="4386580" cy="273272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97922" cy="2739793"/>
                    </a:xfrm>
                    <a:prstGeom prst="rect">
                      <a:avLst/>
                    </a:prstGeom>
                    <a:noFill/>
                  </pic:spPr>
                </pic:pic>
              </a:graphicData>
            </a:graphic>
          </wp:inline>
        </w:drawing>
      </w:r>
    </w:p>
    <w:p w14:paraId="693E8F63" w14:textId="78AEA259" w:rsidR="00293AB8" w:rsidRPr="00D226B0" w:rsidRDefault="00293AB8" w:rsidP="00D226B0">
      <w:pPr>
        <w:pStyle w:val="Caption"/>
        <w:rPr>
          <w:rFonts w:asciiTheme="minorHAnsi" w:hAnsiTheme="minorHAnsi" w:cstheme="minorHAnsi"/>
        </w:rPr>
      </w:pPr>
      <w:r w:rsidRPr="00D226B0">
        <w:rPr>
          <w:rFonts w:asciiTheme="minorHAnsi" w:hAnsiTheme="minorHAnsi" w:cstheme="minorHAnsi"/>
          <w:noProof/>
        </w:rPr>
        <w:fldChar w:fldCharType="begin"/>
      </w:r>
      <w:r w:rsidRPr="00D226B0">
        <w:rPr>
          <w:rFonts w:asciiTheme="minorHAnsi" w:hAnsiTheme="minorHAnsi" w:cstheme="minorHAnsi"/>
          <w:noProof/>
        </w:rPr>
        <w:instrText xml:space="preserve"> SEQ Ilustrācija \* ARABIC </w:instrText>
      </w:r>
      <w:r w:rsidRPr="00D226B0">
        <w:rPr>
          <w:rFonts w:asciiTheme="minorHAnsi" w:hAnsiTheme="minorHAnsi" w:cstheme="minorHAnsi"/>
          <w:noProof/>
        </w:rPr>
        <w:fldChar w:fldCharType="separate"/>
      </w:r>
      <w:bookmarkStart w:id="209" w:name="_Toc23782698"/>
      <w:r w:rsidR="006E6675">
        <w:rPr>
          <w:rFonts w:asciiTheme="minorHAnsi" w:hAnsiTheme="minorHAnsi" w:cstheme="minorHAnsi"/>
          <w:noProof/>
        </w:rPr>
        <w:t>18</w:t>
      </w:r>
      <w:r w:rsidRPr="00D226B0">
        <w:rPr>
          <w:rFonts w:asciiTheme="minorHAnsi" w:hAnsiTheme="minorHAnsi" w:cstheme="minorHAnsi"/>
          <w:noProof/>
        </w:rPr>
        <w:fldChar w:fldCharType="end"/>
      </w:r>
      <w:r w:rsidRPr="00D226B0">
        <w:rPr>
          <w:rFonts w:asciiTheme="minorHAnsi" w:hAnsiTheme="minorHAnsi" w:cstheme="minorHAnsi"/>
        </w:rPr>
        <w:t>.attēls. Enerģijas galapatēriņa prognozes dalījumā pa enerģijas veidiem līdz 2030.gadam</w:t>
      </w:r>
      <w:r w:rsidRPr="00D226B0">
        <w:rPr>
          <w:rStyle w:val="FootnoteReference"/>
          <w:rFonts w:asciiTheme="minorHAnsi" w:hAnsiTheme="minorHAnsi" w:cstheme="minorHAnsi"/>
        </w:rPr>
        <w:footnoteReference w:id="63"/>
      </w:r>
      <w:r w:rsidRPr="00D226B0">
        <w:rPr>
          <w:rFonts w:asciiTheme="minorHAnsi" w:hAnsiTheme="minorHAnsi" w:cstheme="minorHAnsi"/>
        </w:rPr>
        <w:t xml:space="preserve"> (PJ)</w:t>
      </w:r>
      <w:bookmarkEnd w:id="209"/>
    </w:p>
    <w:p w14:paraId="3FF2ECCD" w14:textId="7111A365" w:rsidR="006D77F6" w:rsidRPr="00D226B0" w:rsidRDefault="006D77F6" w:rsidP="00D226B0">
      <w:pPr>
        <w:spacing w:before="120" w:after="120" w:line="240" w:lineRule="auto"/>
        <w:jc w:val="both"/>
        <w:rPr>
          <w:rFonts w:cstheme="minorHAnsi"/>
          <w:sz w:val="22"/>
          <w:lang w:eastAsia="lv-LV"/>
        </w:rPr>
      </w:pPr>
      <w:r w:rsidRPr="00D226B0">
        <w:rPr>
          <w:rFonts w:cstheme="minorHAnsi"/>
          <w:lang w:eastAsia="lv-LV"/>
        </w:rPr>
        <w:t xml:space="preserve">Jāatzīmē, ka līdz 2030.gadam elektroenerģijas un dabasgāzes daļa kopējā enerģijas gala patēriņā pieaug par apmēram 2% punktiem. Dabasgāzes patēriņa pieaugumu nosaka tās plašāka izmantošana autotransportā. Tajā pašā laikā, ņemot vērā automašīnu efektivitātes paaugstināšanos un elektrotransporta plašākas izmantošanu, </w:t>
      </w:r>
      <w:r w:rsidR="000A3A42">
        <w:rPr>
          <w:rFonts w:cstheme="minorHAnsi"/>
          <w:lang w:eastAsia="lv-LV"/>
        </w:rPr>
        <w:t xml:space="preserve">fosilā šķidrā kurināmā / degvielas </w:t>
      </w:r>
      <w:r w:rsidRPr="00D226B0">
        <w:rPr>
          <w:rFonts w:cstheme="minorHAnsi"/>
          <w:lang w:eastAsia="lv-LV"/>
        </w:rPr>
        <w:t xml:space="preserve">patēriņa daļa samazinās par apmēram 5% punktiem. </w:t>
      </w:r>
      <w:r w:rsidR="000A3A42">
        <w:rPr>
          <w:rFonts w:cstheme="minorHAnsi"/>
          <w:lang w:eastAsia="lv-LV"/>
        </w:rPr>
        <w:t xml:space="preserve">AER </w:t>
      </w:r>
      <w:r w:rsidRPr="00D226B0">
        <w:rPr>
          <w:rFonts w:cstheme="minorHAnsi"/>
          <w:lang w:eastAsia="lv-LV"/>
        </w:rPr>
        <w:t xml:space="preserve">2030.gadā sastāda apmēram 40% no kopējā energoresursu galapatēriņa. </w:t>
      </w:r>
    </w:p>
    <w:p w14:paraId="0EB120E9" w14:textId="029F3271" w:rsidR="00384E02" w:rsidRPr="00D226B0" w:rsidRDefault="00842899" w:rsidP="00D226B0">
      <w:pPr>
        <w:spacing w:before="120" w:after="120" w:line="240" w:lineRule="auto"/>
        <w:jc w:val="both"/>
        <w:rPr>
          <w:rFonts w:cstheme="minorHAnsi"/>
        </w:rPr>
      </w:pPr>
      <w:r w:rsidRPr="00D226B0">
        <w:rPr>
          <w:rFonts w:cstheme="minorHAnsi"/>
          <w:szCs w:val="24"/>
          <w:lang w:bidi="en-US"/>
        </w:rPr>
        <w:t>Pamatojoties uz aprēķināto enerģijas galapatēriņa prognozi, tiek noteikts galapatēriņam bāzes scenārijā optimālākais risinājums (minimālas sistēmas kopējās izmaksas), kur a</w:t>
      </w:r>
      <w:r w:rsidR="006D77F6" w:rsidRPr="00D226B0">
        <w:rPr>
          <w:rFonts w:cstheme="minorHAnsi"/>
          <w:szCs w:val="24"/>
          <w:lang w:eastAsia="lv-LV" w:bidi="en-US"/>
        </w:rPr>
        <w:t xml:space="preserve">prēķinātais primārās enerģijas patēriņš 2030.gadā ir par apmēram </w:t>
      </w:r>
      <w:r w:rsidR="000A3A42">
        <w:rPr>
          <w:rFonts w:cstheme="minorHAnsi"/>
          <w:szCs w:val="24"/>
          <w:lang w:eastAsia="lv-LV" w:bidi="en-US"/>
        </w:rPr>
        <w:t>9</w:t>
      </w:r>
      <w:r w:rsidR="006D77F6" w:rsidRPr="00D226B0">
        <w:rPr>
          <w:rFonts w:cstheme="minorHAnsi"/>
          <w:szCs w:val="24"/>
          <w:lang w:eastAsia="lv-LV" w:bidi="en-US"/>
        </w:rPr>
        <w:t>% mazāks nekā 2017.gadā</w:t>
      </w:r>
      <w:r w:rsidR="000A3A42">
        <w:rPr>
          <w:rFonts w:cstheme="minorHAnsi"/>
          <w:szCs w:val="24"/>
          <w:lang w:eastAsia="lv-LV" w:bidi="en-US"/>
        </w:rPr>
        <w:t>,</w:t>
      </w:r>
      <w:r w:rsidRPr="00D226B0">
        <w:rPr>
          <w:rFonts w:cstheme="minorHAnsi"/>
          <w:szCs w:val="24"/>
          <w:lang w:eastAsia="lv-LV" w:bidi="en-US"/>
        </w:rPr>
        <w:t xml:space="preserve"> un </w:t>
      </w:r>
      <w:r w:rsidR="006D77F6" w:rsidRPr="00D226B0">
        <w:rPr>
          <w:rFonts w:cstheme="minorHAnsi"/>
          <w:szCs w:val="24"/>
          <w:lang w:eastAsia="lv-LV" w:bidi="en-US"/>
        </w:rPr>
        <w:t xml:space="preserve">netiek paredzētas būtiskas izmaiņas primārās enerģijas veidu struktūrā 2030.gadā, salīdzinot ar 2017.gadu. Visvairāk samazinās cietās biomasas un </w:t>
      </w:r>
      <w:r w:rsidR="00A97DD0">
        <w:rPr>
          <w:rFonts w:cstheme="minorHAnsi"/>
          <w:szCs w:val="24"/>
          <w:lang w:eastAsia="lv-LV" w:bidi="en-US"/>
        </w:rPr>
        <w:t xml:space="preserve">šķidrā fosilā kurināmā / degvielas </w:t>
      </w:r>
      <w:r w:rsidR="006D77F6" w:rsidRPr="00D226B0">
        <w:rPr>
          <w:rFonts w:cstheme="minorHAnsi"/>
          <w:szCs w:val="24"/>
          <w:lang w:eastAsia="lv-LV" w:bidi="en-US"/>
        </w:rPr>
        <w:t>patēriņš, bet pieaug biodegvielas</w:t>
      </w:r>
      <w:r w:rsidR="00A97DD0">
        <w:rPr>
          <w:rFonts w:cstheme="minorHAnsi"/>
          <w:szCs w:val="24"/>
          <w:lang w:eastAsia="lv-LV" w:bidi="en-US"/>
        </w:rPr>
        <w:t>,</w:t>
      </w:r>
      <w:r w:rsidR="006D77F6" w:rsidRPr="00D226B0">
        <w:rPr>
          <w:rFonts w:cstheme="minorHAnsi"/>
          <w:szCs w:val="24"/>
          <w:lang w:eastAsia="lv-LV" w:bidi="en-US"/>
        </w:rPr>
        <w:t xml:space="preserve"> biogāzes</w:t>
      </w:r>
      <w:r w:rsidR="00A97DD0">
        <w:rPr>
          <w:rFonts w:cstheme="minorHAnsi"/>
          <w:szCs w:val="24"/>
          <w:lang w:eastAsia="lv-LV" w:bidi="en-US"/>
        </w:rPr>
        <w:t xml:space="preserve"> un pārējo AER</w:t>
      </w:r>
      <w:r w:rsidR="006D77F6" w:rsidRPr="00D226B0">
        <w:rPr>
          <w:rFonts w:cstheme="minorHAnsi"/>
          <w:szCs w:val="24"/>
          <w:lang w:eastAsia="lv-LV" w:bidi="en-US"/>
        </w:rPr>
        <w:t xml:space="preserve"> patēriņš.</w:t>
      </w:r>
      <w:r w:rsidR="00384E02" w:rsidRPr="00D226B0">
        <w:rPr>
          <w:rFonts w:cstheme="minorHAnsi"/>
          <w:szCs w:val="24"/>
          <w:lang w:eastAsia="lv-LV" w:bidi="en-US"/>
        </w:rPr>
        <w:t xml:space="preserve"> Galvenais iemesls šim samazinājumam ir enerģijas galapatēriņa samazināšanās mājsaimniecībās, pakalpojumu un komerciālajā / pakalpojumu sektorā un transportā. </w:t>
      </w:r>
      <w:r w:rsidR="00384E02" w:rsidRPr="00D226B0">
        <w:rPr>
          <w:rFonts w:cstheme="minorHAnsi"/>
        </w:rPr>
        <w:t>Lielākais samazinājums ir novērojams cietā fosilā kurināmā, cietās biomasas un fosilā šķidrā kurināmā / degvielas patēriņā – 3</w:t>
      </w:r>
      <w:r w:rsidR="00A97DD0">
        <w:rPr>
          <w:rFonts w:cstheme="minorHAnsi"/>
        </w:rPr>
        <w:t>4,7</w:t>
      </w:r>
      <w:r w:rsidR="00384E02" w:rsidRPr="00D226B0">
        <w:rPr>
          <w:rFonts w:cstheme="minorHAnsi"/>
        </w:rPr>
        <w:t>%, 2</w:t>
      </w:r>
      <w:r w:rsidR="00A97DD0">
        <w:rPr>
          <w:rFonts w:cstheme="minorHAnsi"/>
        </w:rPr>
        <w:t>6,2</w:t>
      </w:r>
      <w:r w:rsidR="00384E02" w:rsidRPr="00D226B0">
        <w:rPr>
          <w:rFonts w:cstheme="minorHAnsi"/>
        </w:rPr>
        <w:t>% un 1</w:t>
      </w:r>
      <w:r w:rsidR="00A97DD0">
        <w:rPr>
          <w:rFonts w:cstheme="minorHAnsi"/>
        </w:rPr>
        <w:t>4,1</w:t>
      </w:r>
      <w:r w:rsidR="00384E02" w:rsidRPr="00D226B0">
        <w:rPr>
          <w:rFonts w:cstheme="minorHAnsi"/>
        </w:rPr>
        <w:t>% attiecīgi, kas ir izskaidrojams ar kurināmā patēriņa samazinājumu rūpniecībā, mājsaimniecībās un transportā, bet lielākais patēriņa pieaugums būs dažādiem biomasas kurināmajiem / degvielai – šķidrai un gāzveida biomasai, kas tiek izmantota transportā, un pārējiem ne-biomasas AER, kas ir izskaidrojams ar pieaugošo ne-emisiju AER tehnoloģiju izmantošanu vietējā enerģijas ražošanā.</w:t>
      </w:r>
    </w:p>
    <w:p w14:paraId="3C483A26" w14:textId="305ECA0E" w:rsidR="00384E02" w:rsidRPr="00D226B0" w:rsidRDefault="00A97DD0" w:rsidP="00D226B0">
      <w:pPr>
        <w:spacing w:before="120" w:after="120" w:line="240" w:lineRule="auto"/>
        <w:jc w:val="both"/>
        <w:rPr>
          <w:rFonts w:cstheme="minorHAnsi"/>
          <w:szCs w:val="24"/>
          <w:lang w:eastAsia="lv-LV" w:bidi="en-US"/>
        </w:rPr>
      </w:pPr>
      <w:r>
        <w:rPr>
          <w:rFonts w:cstheme="minorHAnsi"/>
          <w:szCs w:val="24"/>
          <w:lang w:eastAsia="lv-LV" w:bidi="en-US"/>
        </w:rPr>
        <w:t>N</w:t>
      </w:r>
      <w:r w:rsidR="00384E02" w:rsidRPr="00D226B0">
        <w:rPr>
          <w:rFonts w:cstheme="minorHAnsi"/>
          <w:szCs w:val="24"/>
          <w:lang w:eastAsia="lv-LV" w:bidi="en-US"/>
        </w:rPr>
        <w:t>etiek paredzētas būtiskas izmaiņas primārās enerģijas veidu struktūrā, kur joprojām dominējošie kurināmā / degvielas veidi ir dabasgāze un šķidrais fosilais kurināmas / degviela</w:t>
      </w:r>
      <w:r w:rsidR="00293AB8" w:rsidRPr="00D226B0">
        <w:rPr>
          <w:rFonts w:cstheme="minorHAnsi"/>
          <w:szCs w:val="24"/>
          <w:lang w:eastAsia="lv-LV" w:bidi="en-US"/>
        </w:rPr>
        <w:t>. Cietās biomasas īpatsvars kopējā patēriņā samazināsies par 19% , bet elektroenerģijas importa īpatsvars – par 51%</w:t>
      </w:r>
      <w:r w:rsidR="00384E02" w:rsidRPr="00D226B0">
        <w:rPr>
          <w:rFonts w:cstheme="minorHAnsi"/>
          <w:szCs w:val="24"/>
          <w:lang w:eastAsia="lv-LV" w:bidi="en-US"/>
        </w:rPr>
        <w:t>.</w:t>
      </w:r>
    </w:p>
    <w:p w14:paraId="3444BF7E" w14:textId="3F7A4CFC" w:rsidR="00842899" w:rsidRPr="00D226B0" w:rsidRDefault="00F6571B" w:rsidP="00D226B0">
      <w:pPr>
        <w:tabs>
          <w:tab w:val="left" w:pos="567"/>
        </w:tabs>
        <w:spacing w:before="120" w:after="120" w:line="240" w:lineRule="auto"/>
        <w:jc w:val="center"/>
        <w:rPr>
          <w:rFonts w:cstheme="minorHAnsi"/>
          <w:szCs w:val="24"/>
          <w:lang w:eastAsia="lv-LV" w:bidi="en-US"/>
        </w:rPr>
      </w:pPr>
      <w:r>
        <w:rPr>
          <w:rFonts w:cstheme="minorHAnsi"/>
          <w:noProof/>
          <w:szCs w:val="24"/>
          <w:lang w:eastAsia="lv-LV" w:bidi="en-US"/>
        </w:rPr>
        <w:drawing>
          <wp:inline distT="0" distB="0" distL="0" distR="0" wp14:anchorId="1A0986C5" wp14:editId="428898B5">
            <wp:extent cx="4331841" cy="2444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52620" cy="2456477"/>
                    </a:xfrm>
                    <a:prstGeom prst="rect">
                      <a:avLst/>
                    </a:prstGeom>
                    <a:noFill/>
                  </pic:spPr>
                </pic:pic>
              </a:graphicData>
            </a:graphic>
          </wp:inline>
        </w:drawing>
      </w:r>
    </w:p>
    <w:p w14:paraId="06DC0520" w14:textId="74E8B01E" w:rsidR="00842899" w:rsidRPr="00384E02" w:rsidRDefault="00842899" w:rsidP="00D226B0">
      <w:pPr>
        <w:pStyle w:val="Caption"/>
        <w:rPr>
          <w:rFonts w:asciiTheme="minorHAnsi" w:hAnsiTheme="minorHAnsi" w:cstheme="minorHAnsi"/>
        </w:rPr>
      </w:pPr>
      <w:r w:rsidRPr="00D226B0">
        <w:rPr>
          <w:rFonts w:asciiTheme="minorHAnsi" w:hAnsiTheme="minorHAnsi" w:cstheme="minorHAnsi"/>
          <w:noProof/>
        </w:rPr>
        <w:fldChar w:fldCharType="begin"/>
      </w:r>
      <w:r w:rsidRPr="00D226B0">
        <w:rPr>
          <w:rFonts w:asciiTheme="minorHAnsi" w:hAnsiTheme="minorHAnsi" w:cstheme="minorHAnsi"/>
          <w:noProof/>
        </w:rPr>
        <w:instrText xml:space="preserve"> SEQ Ilustrācija \* ARABIC </w:instrText>
      </w:r>
      <w:r w:rsidRPr="00D226B0">
        <w:rPr>
          <w:rFonts w:asciiTheme="minorHAnsi" w:hAnsiTheme="minorHAnsi" w:cstheme="minorHAnsi"/>
          <w:noProof/>
        </w:rPr>
        <w:fldChar w:fldCharType="separate"/>
      </w:r>
      <w:bookmarkStart w:id="210" w:name="_Toc531333121"/>
      <w:bookmarkStart w:id="211" w:name="_Toc23782699"/>
      <w:r w:rsidR="006E6675">
        <w:rPr>
          <w:rFonts w:asciiTheme="minorHAnsi" w:hAnsiTheme="minorHAnsi" w:cstheme="minorHAnsi"/>
          <w:noProof/>
        </w:rPr>
        <w:t>19</w:t>
      </w:r>
      <w:r w:rsidRPr="00D226B0">
        <w:rPr>
          <w:rFonts w:asciiTheme="minorHAnsi" w:hAnsiTheme="minorHAnsi" w:cstheme="minorHAnsi"/>
          <w:noProof/>
        </w:rPr>
        <w:fldChar w:fldCharType="end"/>
      </w:r>
      <w:r w:rsidRPr="00D226B0">
        <w:rPr>
          <w:rFonts w:asciiTheme="minorHAnsi" w:hAnsiTheme="minorHAnsi" w:cstheme="minorHAnsi"/>
        </w:rPr>
        <w:t>.attēls. Primārās enerģijas patēriņ</w:t>
      </w:r>
      <w:r w:rsidR="007C7DE4">
        <w:rPr>
          <w:rFonts w:asciiTheme="minorHAnsi" w:hAnsiTheme="minorHAnsi" w:cstheme="minorHAnsi"/>
        </w:rPr>
        <w:t>a prognoze</w:t>
      </w:r>
      <w:r w:rsidRPr="00D226B0">
        <w:rPr>
          <w:rFonts w:asciiTheme="minorHAnsi" w:hAnsiTheme="minorHAnsi" w:cstheme="minorHAnsi"/>
        </w:rPr>
        <w:t xml:space="preserve"> periodā līdz 2030.gadam</w:t>
      </w:r>
      <w:r w:rsidRPr="00D226B0">
        <w:rPr>
          <w:rStyle w:val="FootnoteReference"/>
          <w:rFonts w:asciiTheme="minorHAnsi" w:hAnsiTheme="minorHAnsi" w:cstheme="minorHAnsi"/>
        </w:rPr>
        <w:footnoteReference w:id="64"/>
      </w:r>
      <w:r w:rsidRPr="00D226B0">
        <w:rPr>
          <w:rFonts w:asciiTheme="minorHAnsi" w:hAnsiTheme="minorHAnsi" w:cstheme="minorHAnsi"/>
        </w:rPr>
        <w:t xml:space="preserve"> (PJ)</w:t>
      </w:r>
      <w:bookmarkEnd w:id="210"/>
      <w:bookmarkEnd w:id="211"/>
    </w:p>
    <w:p w14:paraId="617C10C8" w14:textId="2F9801F2" w:rsidR="006179BB" w:rsidRPr="00BB5B7E" w:rsidRDefault="006179BB">
      <w:pPr>
        <w:pStyle w:val="Heading30"/>
      </w:pPr>
      <w:bookmarkStart w:id="212" w:name="_Toc24408017"/>
      <w:r w:rsidRPr="00BB5B7E">
        <w:rPr>
          <w:rStyle w:val="normaltextrun"/>
        </w:rPr>
        <w:t>Izmaksu efektīvs minimālais prasību līmenis</w:t>
      </w:r>
      <w:bookmarkEnd w:id="205"/>
      <w:bookmarkEnd w:id="206"/>
      <w:bookmarkEnd w:id="212"/>
      <w:r w:rsidRPr="00BB5B7E">
        <w:rPr>
          <w:rStyle w:val="eop"/>
        </w:rPr>
        <w:t> </w:t>
      </w:r>
    </w:p>
    <w:p w14:paraId="6F9CA723" w14:textId="77777777" w:rsidR="006179BB" w:rsidRPr="00BB5B7E" w:rsidRDefault="006179BB" w:rsidP="006179BB">
      <w:pPr>
        <w:pStyle w:val="ListParagraph"/>
        <w:spacing w:before="120" w:after="120" w:line="240" w:lineRule="auto"/>
        <w:ind w:left="0"/>
        <w:contextualSpacing w:val="0"/>
        <w:jc w:val="both"/>
        <w:rPr>
          <w:rFonts w:cstheme="minorHAnsi"/>
          <w:szCs w:val="24"/>
        </w:rPr>
      </w:pPr>
      <w:bookmarkStart w:id="213" w:name="_Toc17878292"/>
      <w:r w:rsidRPr="00BB5B7E">
        <w:rPr>
          <w:rFonts w:cstheme="minorHAnsi"/>
          <w:szCs w:val="24"/>
        </w:rPr>
        <w:t>Jau 2014.gadā Latvijā tika paaugstinātas minimālās energoefektivitātes prasības daļā no ēkām un būves elementiem.</w:t>
      </w:r>
    </w:p>
    <w:p w14:paraId="67C4EBCA" w14:textId="685689E2" w:rsidR="006179BB" w:rsidRPr="00BB5B7E" w:rsidRDefault="006179BB" w:rsidP="006179BB">
      <w:pPr>
        <w:pStyle w:val="ListParagraph"/>
        <w:keepNext/>
        <w:keepLines/>
        <w:spacing w:before="120" w:after="120" w:line="240" w:lineRule="auto"/>
        <w:ind w:left="0"/>
        <w:contextualSpacing w:val="0"/>
        <w:jc w:val="center"/>
        <w:rPr>
          <w:rFonts w:cstheme="minorHAnsi"/>
          <w:b/>
          <w:bCs/>
          <w:sz w:val="20"/>
          <w:szCs w:val="20"/>
        </w:rPr>
      </w:pPr>
      <w:r w:rsidRPr="00BB5B7E">
        <w:rPr>
          <w:rFonts w:cstheme="minorHAnsi"/>
          <w:b/>
          <w:bCs/>
          <w:sz w:val="20"/>
          <w:szCs w:val="20"/>
        </w:rPr>
        <w:fldChar w:fldCharType="begin"/>
      </w:r>
      <w:r w:rsidRPr="00BB5B7E">
        <w:rPr>
          <w:rFonts w:cstheme="minorHAnsi"/>
          <w:b/>
          <w:bCs/>
          <w:sz w:val="20"/>
          <w:szCs w:val="20"/>
        </w:rPr>
        <w:instrText xml:space="preserve"> SEQ Tabula \* ARABIC </w:instrText>
      </w:r>
      <w:r w:rsidRPr="00BB5B7E">
        <w:rPr>
          <w:rFonts w:cstheme="minorHAnsi"/>
          <w:b/>
          <w:bCs/>
          <w:sz w:val="20"/>
          <w:szCs w:val="20"/>
        </w:rPr>
        <w:fldChar w:fldCharType="separate"/>
      </w:r>
      <w:r w:rsidR="006E6675">
        <w:rPr>
          <w:rFonts w:cstheme="minorHAnsi"/>
          <w:b/>
          <w:bCs/>
          <w:noProof/>
          <w:sz w:val="20"/>
          <w:szCs w:val="20"/>
        </w:rPr>
        <w:t>5</w:t>
      </w:r>
      <w:r w:rsidRPr="00BB5B7E">
        <w:rPr>
          <w:rFonts w:cstheme="minorHAnsi"/>
          <w:b/>
          <w:bCs/>
          <w:sz w:val="20"/>
          <w:szCs w:val="20"/>
        </w:rPr>
        <w:fldChar w:fldCharType="end"/>
      </w:r>
      <w:r w:rsidRPr="00BB5B7E">
        <w:rPr>
          <w:rFonts w:cstheme="minorHAnsi"/>
          <w:b/>
          <w:bCs/>
          <w:sz w:val="20"/>
          <w:szCs w:val="20"/>
        </w:rPr>
        <w:t>.tabula Būvelementa un lineārā termiskā tilta siltuma caurlaidības koeficientu U</w:t>
      </w:r>
      <w:r w:rsidRPr="00BB5B7E">
        <w:rPr>
          <w:rFonts w:cstheme="minorHAnsi"/>
          <w:b/>
          <w:bCs/>
          <w:sz w:val="20"/>
          <w:szCs w:val="20"/>
          <w:vertAlign w:val="subscript"/>
        </w:rPr>
        <w:t>RN</w:t>
      </w:r>
      <w:r w:rsidRPr="00BB5B7E">
        <w:rPr>
          <w:rFonts w:cstheme="minorHAnsi"/>
          <w:b/>
          <w:bCs/>
          <w:sz w:val="20"/>
          <w:szCs w:val="20"/>
        </w:rPr>
        <w:t xml:space="preserve"> un U</w:t>
      </w:r>
      <w:r w:rsidRPr="00BB5B7E">
        <w:rPr>
          <w:rFonts w:cstheme="minorHAnsi"/>
          <w:b/>
          <w:bCs/>
          <w:sz w:val="20"/>
          <w:szCs w:val="20"/>
          <w:vertAlign w:val="subscript"/>
        </w:rPr>
        <w:t>RM</w:t>
      </w:r>
      <w:r w:rsidRPr="00BB5B7E">
        <w:rPr>
          <w:rFonts w:cstheme="minorHAnsi"/>
          <w:b/>
          <w:bCs/>
          <w:sz w:val="20"/>
          <w:szCs w:val="20"/>
        </w:rPr>
        <w:t xml:space="preserve"> W/(m</w:t>
      </w:r>
      <w:r w:rsidRPr="00BB5B7E">
        <w:rPr>
          <w:rFonts w:cstheme="minorHAnsi"/>
          <w:b/>
          <w:bCs/>
          <w:sz w:val="20"/>
          <w:szCs w:val="20"/>
          <w:vertAlign w:val="superscript"/>
        </w:rPr>
        <w:t>2</w:t>
      </w:r>
      <w:r w:rsidRPr="00BB5B7E">
        <w:rPr>
          <w:rFonts w:cstheme="minorHAnsi"/>
          <w:b/>
          <w:bCs/>
          <w:sz w:val="20"/>
          <w:szCs w:val="20"/>
        </w:rPr>
        <w:t xml:space="preserve"> x K), un </w:t>
      </w:r>
      <w:r w:rsidRPr="00BB5B7E">
        <w:rPr>
          <w:rFonts w:cstheme="minorHAnsi"/>
          <w:b/>
          <w:bCs/>
          <w:caps/>
          <w:sz w:val="20"/>
          <w:szCs w:val="20"/>
        </w:rPr>
        <w:t>ψ</w:t>
      </w:r>
      <w:r w:rsidRPr="00BB5B7E">
        <w:rPr>
          <w:rFonts w:cstheme="minorHAnsi"/>
          <w:b/>
          <w:bCs/>
          <w:sz w:val="20"/>
          <w:szCs w:val="20"/>
          <w:vertAlign w:val="subscript"/>
        </w:rPr>
        <w:t>RN</w:t>
      </w:r>
      <w:r w:rsidRPr="00BB5B7E">
        <w:rPr>
          <w:rFonts w:cstheme="minorHAnsi"/>
          <w:b/>
          <w:bCs/>
          <w:sz w:val="20"/>
          <w:szCs w:val="20"/>
        </w:rPr>
        <w:t xml:space="preserve"> un </w:t>
      </w:r>
      <w:r w:rsidRPr="00BB5B7E">
        <w:rPr>
          <w:rFonts w:cstheme="minorHAnsi"/>
          <w:b/>
          <w:bCs/>
          <w:caps/>
          <w:sz w:val="20"/>
          <w:szCs w:val="20"/>
        </w:rPr>
        <w:t>ψ</w:t>
      </w:r>
      <w:r w:rsidRPr="00BB5B7E">
        <w:rPr>
          <w:rFonts w:cstheme="minorHAnsi"/>
          <w:b/>
          <w:bCs/>
          <w:sz w:val="20"/>
          <w:szCs w:val="20"/>
          <w:vertAlign w:val="subscript"/>
        </w:rPr>
        <w:t>RM</w:t>
      </w:r>
      <w:r w:rsidRPr="00BB5B7E">
        <w:rPr>
          <w:rFonts w:cstheme="minorHAnsi"/>
          <w:b/>
          <w:bCs/>
          <w:sz w:val="20"/>
          <w:szCs w:val="20"/>
        </w:rPr>
        <w:t xml:space="preserve"> W/(m x K) normatīvās un maksimālo vērtību salīdzinājums ņemot vērā prasības 2003. gadā un prasības 2015.gadā, ņemot vērā izmaksu optimālos līmeņus</w:t>
      </w:r>
    </w:p>
    <w:tbl>
      <w:tblPr>
        <w:tblStyle w:val="TableGrid"/>
        <w:tblW w:w="10490" w:type="dxa"/>
        <w:jc w:val="center"/>
        <w:tblLayout w:type="fixed"/>
        <w:tblLook w:val="04A0" w:firstRow="1" w:lastRow="0" w:firstColumn="1" w:lastColumn="0" w:noHBand="0" w:noVBand="1"/>
      </w:tblPr>
      <w:tblGrid>
        <w:gridCol w:w="988"/>
        <w:gridCol w:w="2698"/>
        <w:gridCol w:w="567"/>
        <w:gridCol w:w="567"/>
        <w:gridCol w:w="567"/>
        <w:gridCol w:w="567"/>
        <w:gridCol w:w="567"/>
        <w:gridCol w:w="567"/>
        <w:gridCol w:w="567"/>
        <w:gridCol w:w="567"/>
        <w:gridCol w:w="567"/>
        <w:gridCol w:w="567"/>
        <w:gridCol w:w="567"/>
        <w:gridCol w:w="567"/>
      </w:tblGrid>
      <w:tr w:rsidR="006179BB" w:rsidRPr="00BB5B7E" w14:paraId="1C3A9422" w14:textId="77777777" w:rsidTr="006179BB">
        <w:trPr>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968AD0" w14:textId="77777777" w:rsidR="006179BB" w:rsidRPr="00BB5B7E" w:rsidRDefault="006179BB" w:rsidP="006179BB">
            <w:pPr>
              <w:keepNext/>
              <w:keepLines/>
              <w:jc w:val="center"/>
              <w:rPr>
                <w:rFonts w:cstheme="minorHAnsi"/>
                <w:sz w:val="22"/>
              </w:rPr>
            </w:pPr>
            <w:r w:rsidRPr="00BB5B7E">
              <w:rPr>
                <w:rFonts w:eastAsia="Times New Roman" w:cstheme="minorHAnsi"/>
                <w:sz w:val="22"/>
                <w:lang w:eastAsia="lv-LV"/>
              </w:rPr>
              <w:t>Nr.</w:t>
            </w:r>
            <w:r w:rsidRPr="00BB5B7E">
              <w:rPr>
                <w:rFonts w:eastAsia="Times New Roman" w:cstheme="minorHAnsi"/>
                <w:sz w:val="22"/>
                <w:lang w:eastAsia="lv-LV"/>
              </w:rPr>
              <w:br/>
              <w:t>p.k.</w:t>
            </w:r>
          </w:p>
        </w:tc>
        <w:tc>
          <w:tcPr>
            <w:tcW w:w="269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580CA8" w14:textId="77777777" w:rsidR="006179BB" w:rsidRPr="00BB5B7E" w:rsidRDefault="006179BB" w:rsidP="006179BB">
            <w:pPr>
              <w:pStyle w:val="ListParagraph"/>
              <w:ind w:left="-30" w:right="-48"/>
              <w:jc w:val="center"/>
              <w:rPr>
                <w:rFonts w:cstheme="minorHAnsi"/>
                <w:sz w:val="22"/>
              </w:rPr>
            </w:pPr>
            <w:r w:rsidRPr="00BB5B7E">
              <w:rPr>
                <w:rFonts w:eastAsia="Times New Roman" w:cstheme="minorHAnsi"/>
                <w:sz w:val="22"/>
                <w:lang w:eastAsia="lv-LV"/>
              </w:rPr>
              <w:t>Būvelementi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EA3A42" w14:textId="77777777" w:rsidR="006179BB" w:rsidRPr="00BB5B7E" w:rsidRDefault="006179BB" w:rsidP="006179BB">
            <w:pPr>
              <w:pStyle w:val="ListParagraph"/>
              <w:ind w:left="-30" w:right="-48"/>
              <w:jc w:val="center"/>
              <w:rPr>
                <w:rFonts w:cstheme="minorHAnsi"/>
                <w:sz w:val="22"/>
              </w:rPr>
            </w:pPr>
            <w:r w:rsidRPr="00BB5B7E">
              <w:rPr>
                <w:rFonts w:cstheme="minorHAnsi"/>
                <w:sz w:val="22"/>
              </w:rPr>
              <w:t>Dzīvojamās mājas, pansionāti, slimnīcas un bērnudārzi</w:t>
            </w:r>
          </w:p>
        </w:tc>
        <w:tc>
          <w:tcPr>
            <w:tcW w:w="226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C9DCC7" w14:textId="77777777" w:rsidR="006179BB" w:rsidRPr="00BB5B7E" w:rsidRDefault="006179BB" w:rsidP="006179BB">
            <w:pPr>
              <w:pStyle w:val="ListParagraph"/>
              <w:ind w:left="-30" w:right="-48"/>
              <w:jc w:val="center"/>
              <w:rPr>
                <w:rFonts w:cstheme="minorHAnsi"/>
                <w:sz w:val="22"/>
              </w:rPr>
            </w:pPr>
            <w:r w:rsidRPr="00BB5B7E">
              <w:rPr>
                <w:rFonts w:cstheme="minorHAnsi"/>
                <w:sz w:val="22"/>
              </w:rPr>
              <w:t>Publiskās ēkas, izņemot pansionātus, slimnīcas un bērnudārzus</w:t>
            </w:r>
          </w:p>
        </w:tc>
        <w:tc>
          <w:tcPr>
            <w:tcW w:w="226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27A039" w14:textId="77777777" w:rsidR="006179BB" w:rsidRPr="00BB5B7E" w:rsidRDefault="006179BB" w:rsidP="006179BB">
            <w:pPr>
              <w:pStyle w:val="ListParagraph"/>
              <w:ind w:left="-30" w:right="-48"/>
              <w:jc w:val="center"/>
              <w:rPr>
                <w:rFonts w:cstheme="minorHAnsi"/>
                <w:sz w:val="22"/>
              </w:rPr>
            </w:pPr>
            <w:r w:rsidRPr="00BB5B7E">
              <w:rPr>
                <w:rFonts w:cstheme="minorHAnsi"/>
                <w:sz w:val="22"/>
              </w:rPr>
              <w:t>Ražošanas ēkas</w:t>
            </w:r>
          </w:p>
        </w:tc>
      </w:tr>
      <w:tr w:rsidR="006179BB" w:rsidRPr="00BB5B7E" w14:paraId="0D44B9D1" w14:textId="77777777" w:rsidTr="006179BB">
        <w:trPr>
          <w:jc w:val="center"/>
        </w:trPr>
        <w:tc>
          <w:tcPr>
            <w:tcW w:w="98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51A5A3" w14:textId="77777777" w:rsidR="006179BB" w:rsidRPr="00BB5B7E" w:rsidRDefault="006179BB" w:rsidP="006179BB">
            <w:pPr>
              <w:rPr>
                <w:rFonts w:cstheme="minorHAnsi"/>
                <w:sz w:val="22"/>
              </w:rPr>
            </w:pPr>
          </w:p>
        </w:tc>
        <w:tc>
          <w:tcPr>
            <w:tcW w:w="269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4C040D" w14:textId="77777777" w:rsidR="006179BB" w:rsidRPr="00BB5B7E" w:rsidRDefault="006179BB" w:rsidP="006179BB">
            <w:pPr>
              <w:rPr>
                <w:rFonts w:cstheme="minorHAnsi"/>
                <w:sz w:val="22"/>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445C83" w14:textId="77777777" w:rsidR="006179BB" w:rsidRPr="00BB5B7E" w:rsidRDefault="006179BB" w:rsidP="006179BB">
            <w:pPr>
              <w:pStyle w:val="ListParagraph"/>
              <w:ind w:left="-30" w:right="-48"/>
              <w:jc w:val="center"/>
              <w:rPr>
                <w:rFonts w:cstheme="minorHAnsi"/>
                <w:sz w:val="22"/>
              </w:rPr>
            </w:pPr>
            <w:r w:rsidRPr="00BB5B7E">
              <w:rPr>
                <w:rFonts w:cstheme="minorHAnsi"/>
                <w:sz w:val="22"/>
              </w:rPr>
              <w:t>2003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9DD5C0" w14:textId="77777777" w:rsidR="006179BB" w:rsidRPr="00BB5B7E" w:rsidRDefault="006179BB" w:rsidP="006179BB">
            <w:pPr>
              <w:pStyle w:val="ListParagraph"/>
              <w:ind w:left="-30" w:right="-48"/>
              <w:jc w:val="center"/>
              <w:rPr>
                <w:rFonts w:cstheme="minorHAnsi"/>
                <w:sz w:val="22"/>
              </w:rPr>
            </w:pPr>
            <w:r w:rsidRPr="00BB5B7E">
              <w:rPr>
                <w:rFonts w:cstheme="minorHAnsi"/>
                <w:sz w:val="22"/>
              </w:rPr>
              <w:t>2015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1DD727" w14:textId="77777777" w:rsidR="006179BB" w:rsidRPr="00BB5B7E" w:rsidRDefault="006179BB" w:rsidP="006179BB">
            <w:pPr>
              <w:pStyle w:val="ListParagraph"/>
              <w:ind w:left="-30" w:right="-48"/>
              <w:jc w:val="center"/>
              <w:rPr>
                <w:rFonts w:cstheme="minorHAnsi"/>
                <w:sz w:val="22"/>
              </w:rPr>
            </w:pPr>
            <w:r w:rsidRPr="00BB5B7E">
              <w:rPr>
                <w:rFonts w:cstheme="minorHAnsi"/>
                <w:sz w:val="22"/>
              </w:rPr>
              <w:t>2003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D3DA0B" w14:textId="77777777" w:rsidR="006179BB" w:rsidRPr="00BB5B7E" w:rsidRDefault="006179BB" w:rsidP="006179BB">
            <w:pPr>
              <w:pStyle w:val="ListParagraph"/>
              <w:ind w:left="-30" w:right="-48"/>
              <w:jc w:val="center"/>
              <w:rPr>
                <w:rFonts w:cstheme="minorHAnsi"/>
                <w:sz w:val="22"/>
              </w:rPr>
            </w:pPr>
            <w:r w:rsidRPr="00BB5B7E">
              <w:rPr>
                <w:rFonts w:cstheme="minorHAnsi"/>
                <w:sz w:val="22"/>
              </w:rPr>
              <w:t>2015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60C0F8" w14:textId="77777777" w:rsidR="006179BB" w:rsidRPr="00BB5B7E" w:rsidRDefault="006179BB" w:rsidP="006179BB">
            <w:pPr>
              <w:pStyle w:val="ListParagraph"/>
              <w:ind w:left="-30" w:right="-48"/>
              <w:jc w:val="center"/>
              <w:rPr>
                <w:rFonts w:cstheme="minorHAnsi"/>
                <w:sz w:val="22"/>
              </w:rPr>
            </w:pPr>
            <w:r w:rsidRPr="00BB5B7E">
              <w:rPr>
                <w:rFonts w:cstheme="minorHAnsi"/>
                <w:sz w:val="22"/>
              </w:rPr>
              <w:t>2003</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D7D64A" w14:textId="77777777" w:rsidR="006179BB" w:rsidRPr="00BB5B7E" w:rsidRDefault="006179BB" w:rsidP="006179BB">
            <w:pPr>
              <w:pStyle w:val="ListParagraph"/>
              <w:ind w:left="-30" w:right="-48"/>
              <w:jc w:val="center"/>
              <w:rPr>
                <w:rFonts w:cstheme="minorHAnsi"/>
                <w:sz w:val="22"/>
              </w:rPr>
            </w:pPr>
            <w:r w:rsidRPr="00BB5B7E">
              <w:rPr>
                <w:rFonts w:cstheme="minorHAnsi"/>
                <w:sz w:val="22"/>
              </w:rPr>
              <w:t>2015</w:t>
            </w:r>
          </w:p>
        </w:tc>
      </w:tr>
      <w:tr w:rsidR="006179BB" w:rsidRPr="00BB5B7E" w14:paraId="55276A85" w14:textId="77777777" w:rsidTr="006179BB">
        <w:trPr>
          <w:jc w:val="center"/>
        </w:trPr>
        <w:tc>
          <w:tcPr>
            <w:tcW w:w="98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992DBE" w14:textId="77777777" w:rsidR="006179BB" w:rsidRPr="00BB5B7E" w:rsidRDefault="006179BB" w:rsidP="006179BB">
            <w:pPr>
              <w:rPr>
                <w:rFonts w:cstheme="minorHAnsi"/>
                <w:sz w:val="22"/>
              </w:rPr>
            </w:pPr>
          </w:p>
        </w:tc>
        <w:tc>
          <w:tcPr>
            <w:tcW w:w="269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7C88F2" w14:textId="77777777" w:rsidR="006179BB" w:rsidRPr="00BB5B7E" w:rsidRDefault="006179BB" w:rsidP="006179BB">
            <w:pP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79E8B39"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84FE557"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1E406E"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9A7F53"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1351F2"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3B6CA2"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FC353C6"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371B35D"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BFAC7EF"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ED4EACC"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9407F2E"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5BF735" w14:textId="77777777" w:rsidR="006179BB" w:rsidRPr="00BB5B7E" w:rsidRDefault="006179BB" w:rsidP="006179BB">
            <w:pPr>
              <w:pStyle w:val="ListParagraph"/>
              <w:ind w:left="-30" w:right="-48"/>
              <w:jc w:val="center"/>
              <w:rPr>
                <w:rFonts w:cstheme="minorHAnsi"/>
                <w:sz w:val="22"/>
              </w:rPr>
            </w:pPr>
            <w:r w:rsidRPr="00BB5B7E">
              <w:rPr>
                <w:rFonts w:cstheme="minorHAnsi"/>
                <w:sz w:val="22"/>
              </w:rPr>
              <w:t>U</w:t>
            </w:r>
            <w:r w:rsidRPr="00BB5B7E">
              <w:rPr>
                <w:rFonts w:cstheme="minorHAnsi"/>
                <w:sz w:val="22"/>
                <w:vertAlign w:val="subscript"/>
              </w:rPr>
              <w:t>RM</w:t>
            </w:r>
          </w:p>
        </w:tc>
      </w:tr>
      <w:tr w:rsidR="006179BB" w:rsidRPr="00BB5B7E" w14:paraId="4DBDC330"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642E47FB"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1.</w:t>
            </w:r>
          </w:p>
        </w:tc>
        <w:tc>
          <w:tcPr>
            <w:tcW w:w="2698" w:type="dxa"/>
            <w:tcBorders>
              <w:top w:val="single" w:sz="4" w:space="0" w:color="auto"/>
              <w:left w:val="single" w:sz="4" w:space="0" w:color="auto"/>
              <w:bottom w:val="single" w:sz="4" w:space="0" w:color="auto"/>
              <w:right w:val="single" w:sz="4" w:space="0" w:color="auto"/>
            </w:tcBorders>
            <w:hideMark/>
          </w:tcPr>
          <w:p w14:paraId="5E8C55F4" w14:textId="77777777" w:rsidR="006179BB" w:rsidRPr="00BB5B7E" w:rsidRDefault="006179BB" w:rsidP="006179BB">
            <w:pPr>
              <w:pStyle w:val="ListParagraph"/>
              <w:ind w:left="-30" w:right="-48"/>
              <w:jc w:val="center"/>
              <w:rPr>
                <w:rFonts w:cstheme="minorHAnsi"/>
                <w:sz w:val="22"/>
              </w:rPr>
            </w:pPr>
            <w:r w:rsidRPr="00BB5B7E">
              <w:rPr>
                <w:rFonts w:cstheme="minorHAnsi"/>
                <w:sz w:val="22"/>
              </w:rPr>
              <w:t>Jumti un pārsegumi, kas saskaras ar āra gaisu</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CA4F73"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56D881"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BC8BA7"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0.15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4667BF"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0701A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D803EB"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1B1F71"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92206C"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F29811"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C08CE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0.50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EB6E9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FF4318"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r>
      <w:tr w:rsidR="006179BB" w:rsidRPr="00BB5B7E" w14:paraId="7F8DEDD4"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03F5EF9E"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2.</w:t>
            </w:r>
          </w:p>
        </w:tc>
        <w:tc>
          <w:tcPr>
            <w:tcW w:w="2698" w:type="dxa"/>
            <w:tcBorders>
              <w:top w:val="single" w:sz="4" w:space="0" w:color="auto"/>
              <w:left w:val="single" w:sz="4" w:space="0" w:color="auto"/>
              <w:bottom w:val="single" w:sz="4" w:space="0" w:color="auto"/>
              <w:right w:val="single" w:sz="4" w:space="0" w:color="auto"/>
            </w:tcBorders>
            <w:hideMark/>
          </w:tcPr>
          <w:p w14:paraId="0CF63873" w14:textId="77777777" w:rsidR="006179BB" w:rsidRPr="00BB5B7E" w:rsidRDefault="006179BB" w:rsidP="006179BB">
            <w:pPr>
              <w:pStyle w:val="ListParagraph"/>
              <w:ind w:left="-30" w:right="-48"/>
              <w:jc w:val="center"/>
              <w:rPr>
                <w:rFonts w:cstheme="minorHAnsi"/>
                <w:sz w:val="22"/>
              </w:rPr>
            </w:pPr>
            <w:r w:rsidRPr="00BB5B7E">
              <w:rPr>
                <w:rFonts w:cstheme="minorHAnsi"/>
                <w:sz w:val="22"/>
              </w:rPr>
              <w:t>Grīdas uz grunts</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E04228"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56E315"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525B57"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0.15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871A15"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006CA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55E28B"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0.50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E0C318"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A925F7"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22620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0.50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186717"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0.70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379315"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12492C"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0.40 k</w:t>
            </w:r>
          </w:p>
        </w:tc>
      </w:tr>
      <w:tr w:rsidR="006179BB" w:rsidRPr="00BB5B7E" w14:paraId="736277BF"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02E9DDD9"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3.</w:t>
            </w:r>
          </w:p>
        </w:tc>
        <w:tc>
          <w:tcPr>
            <w:tcW w:w="2698" w:type="dxa"/>
            <w:tcBorders>
              <w:top w:val="single" w:sz="4" w:space="0" w:color="auto"/>
              <w:left w:val="single" w:sz="4" w:space="0" w:color="auto"/>
              <w:bottom w:val="single" w:sz="4" w:space="0" w:color="auto"/>
              <w:right w:val="single" w:sz="4" w:space="0" w:color="auto"/>
            </w:tcBorders>
            <w:hideMark/>
          </w:tcPr>
          <w:p w14:paraId="60F07CCF" w14:textId="77777777" w:rsidR="006179BB" w:rsidRPr="00BB5B7E" w:rsidRDefault="006179BB" w:rsidP="006179BB">
            <w:pPr>
              <w:pStyle w:val="ListParagraph"/>
              <w:ind w:left="-30" w:right="-48"/>
              <w:jc w:val="center"/>
              <w:rPr>
                <w:rFonts w:cstheme="minorHAnsi"/>
                <w:sz w:val="22"/>
              </w:rPr>
            </w:pPr>
            <w:r w:rsidRPr="00BB5B7E">
              <w:rPr>
                <w:rFonts w:cstheme="minorHAnsi"/>
                <w:sz w:val="22"/>
              </w:rPr>
              <w:t>Sienas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F10D23"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91AC77"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922647"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D32B7C"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382F02"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70160D"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0ABEA7"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40BC8C"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8E2353"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EDE02C"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BDDA97"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77AE31" w14:textId="77777777" w:rsidR="006179BB" w:rsidRPr="00BB5B7E" w:rsidRDefault="006179BB" w:rsidP="006179BB">
            <w:pPr>
              <w:pStyle w:val="ListParagraph"/>
              <w:ind w:left="-184" w:right="-142"/>
              <w:jc w:val="center"/>
              <w:rPr>
                <w:rFonts w:cstheme="minorHAnsi"/>
                <w:sz w:val="22"/>
              </w:rPr>
            </w:pPr>
          </w:p>
        </w:tc>
      </w:tr>
      <w:tr w:rsidR="006179BB" w:rsidRPr="00BB5B7E" w14:paraId="7FAA5411"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2398D499"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3.1.</w:t>
            </w:r>
          </w:p>
        </w:tc>
        <w:tc>
          <w:tcPr>
            <w:tcW w:w="2698" w:type="dxa"/>
            <w:tcBorders>
              <w:top w:val="single" w:sz="4" w:space="0" w:color="auto"/>
              <w:left w:val="single" w:sz="4" w:space="0" w:color="auto"/>
              <w:bottom w:val="single" w:sz="4" w:space="0" w:color="auto"/>
              <w:right w:val="single" w:sz="4" w:space="0" w:color="auto"/>
            </w:tcBorders>
            <w:hideMark/>
          </w:tcPr>
          <w:p w14:paraId="3920AEF3" w14:textId="77777777" w:rsidR="006179BB" w:rsidRPr="00BB5B7E" w:rsidRDefault="006179BB" w:rsidP="006179BB">
            <w:pPr>
              <w:pStyle w:val="ListParagraph"/>
              <w:ind w:left="-30" w:right="-48"/>
              <w:jc w:val="center"/>
              <w:rPr>
                <w:rFonts w:cstheme="minorHAnsi"/>
                <w:sz w:val="22"/>
              </w:rPr>
            </w:pPr>
            <w:r w:rsidRPr="00BB5B7E">
              <w:rPr>
                <w:rFonts w:cstheme="minorHAnsi"/>
                <w:sz w:val="22"/>
              </w:rPr>
              <w:t>ar masu, mazāku nekā 100 kg/m</w:t>
            </w:r>
            <w:r w:rsidRPr="00BB5B7E">
              <w:rPr>
                <w:rFonts w:cstheme="minorHAnsi"/>
                <w:sz w:val="22"/>
                <w:vertAlign w:val="superscript"/>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E4710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D1D239"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77A87A8"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0.18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2B325A6"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0.23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B8478C"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9D6B19"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0.40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3F22827C"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29F4B82C"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4A43C1"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0.45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161FC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0.50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43CEC966"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F11244B"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0.30 k</w:t>
            </w:r>
          </w:p>
        </w:tc>
      </w:tr>
      <w:tr w:rsidR="006179BB" w:rsidRPr="00BB5B7E" w14:paraId="1C4E4C75"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44681613"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3.2.</w:t>
            </w:r>
          </w:p>
        </w:tc>
        <w:tc>
          <w:tcPr>
            <w:tcW w:w="2698" w:type="dxa"/>
            <w:tcBorders>
              <w:top w:val="single" w:sz="4" w:space="0" w:color="auto"/>
              <w:left w:val="single" w:sz="4" w:space="0" w:color="auto"/>
              <w:bottom w:val="single" w:sz="4" w:space="0" w:color="auto"/>
              <w:right w:val="single" w:sz="4" w:space="0" w:color="auto"/>
            </w:tcBorders>
            <w:hideMark/>
          </w:tcPr>
          <w:p w14:paraId="6823A127" w14:textId="77777777" w:rsidR="006179BB" w:rsidRPr="00BB5B7E" w:rsidRDefault="006179BB" w:rsidP="006179BB">
            <w:pPr>
              <w:pStyle w:val="ListParagraph"/>
              <w:ind w:left="-30" w:right="-48"/>
              <w:jc w:val="center"/>
              <w:rPr>
                <w:rFonts w:cstheme="minorHAnsi"/>
                <w:sz w:val="22"/>
              </w:rPr>
            </w:pPr>
            <w:r w:rsidRPr="00BB5B7E">
              <w:rPr>
                <w:rFonts w:cstheme="minorHAnsi"/>
                <w:sz w:val="22"/>
              </w:rPr>
              <w:t>ar masu 100 kg/m</w:t>
            </w:r>
            <w:r w:rsidRPr="00BB5B7E">
              <w:rPr>
                <w:rFonts w:cstheme="minorHAnsi"/>
                <w:sz w:val="22"/>
                <w:vertAlign w:val="superscript"/>
              </w:rPr>
              <w:t>2</w:t>
            </w:r>
            <w:r w:rsidRPr="00BB5B7E">
              <w:rPr>
                <w:rFonts w:cstheme="minorHAnsi"/>
                <w:sz w:val="22"/>
              </w:rPr>
              <w:t xml:space="preserve"> un vairāk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EA5599"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E28ECB"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0.40 k</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78CF523" w14:textId="77777777" w:rsidR="006179BB" w:rsidRPr="00BB5B7E" w:rsidRDefault="006179BB" w:rsidP="006179BB">
            <w:pPr>
              <w:rPr>
                <w:rFonts w:cstheme="minorHAnsi"/>
                <w:sz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5A50F10" w14:textId="77777777" w:rsidR="006179BB" w:rsidRPr="00BB5B7E" w:rsidRDefault="006179BB" w:rsidP="006179BB">
            <w:pP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083FC05E"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0.40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C38AA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0.50 k</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8ABCEFD" w14:textId="77777777" w:rsidR="006179BB" w:rsidRPr="00BB5B7E" w:rsidRDefault="006179BB" w:rsidP="006179BB">
            <w:pPr>
              <w:rPr>
                <w:rFonts w:cstheme="minorHAnsi"/>
                <w:sz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23085F8" w14:textId="77777777" w:rsidR="006179BB" w:rsidRPr="00BB5B7E" w:rsidRDefault="006179BB" w:rsidP="006179BB">
            <w:pP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0A904E91"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0.50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22D17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0.60 k</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BCB86D3" w14:textId="77777777" w:rsidR="006179BB" w:rsidRPr="00BB5B7E" w:rsidRDefault="006179BB" w:rsidP="006179BB">
            <w:pPr>
              <w:rPr>
                <w:rFonts w:cstheme="minorHAnsi"/>
                <w:sz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9FFFB08" w14:textId="77777777" w:rsidR="006179BB" w:rsidRPr="00BB5B7E" w:rsidRDefault="006179BB" w:rsidP="006179BB">
            <w:pPr>
              <w:rPr>
                <w:rFonts w:cstheme="minorHAnsi"/>
                <w:sz w:val="22"/>
              </w:rPr>
            </w:pPr>
          </w:p>
        </w:tc>
      </w:tr>
      <w:tr w:rsidR="006179BB" w:rsidRPr="00BB5B7E" w14:paraId="2F4AF75D"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02D7E339"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3.3.</w:t>
            </w:r>
          </w:p>
        </w:tc>
        <w:tc>
          <w:tcPr>
            <w:tcW w:w="2698" w:type="dxa"/>
            <w:tcBorders>
              <w:top w:val="single" w:sz="4" w:space="0" w:color="auto"/>
              <w:left w:val="single" w:sz="4" w:space="0" w:color="auto"/>
              <w:bottom w:val="single" w:sz="4" w:space="0" w:color="auto"/>
              <w:right w:val="single" w:sz="4" w:space="0" w:color="auto"/>
            </w:tcBorders>
            <w:hideMark/>
          </w:tcPr>
          <w:p w14:paraId="2F34B675" w14:textId="77777777" w:rsidR="006179BB" w:rsidRPr="00BB5B7E" w:rsidRDefault="006179BB" w:rsidP="006179BB">
            <w:pPr>
              <w:pStyle w:val="ListParagraph"/>
              <w:ind w:left="-30" w:right="-48"/>
              <w:jc w:val="center"/>
              <w:rPr>
                <w:rFonts w:cstheme="minorHAnsi"/>
                <w:sz w:val="22"/>
              </w:rPr>
            </w:pPr>
            <w:r w:rsidRPr="00BB5B7E">
              <w:rPr>
                <w:rFonts w:cstheme="minorHAnsi"/>
                <w:sz w:val="22"/>
              </w:rPr>
              <w:t>Sienas tradicionālajās guļbūvēs bez siltumizolācijas slāņa iebūvēšanas sienā</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487B8E"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B8A0EC"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024943"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33C16CC7"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0.65 k</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76D52D"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DCF2BE"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59433B"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7D7510F6"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0.65 k</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18A81A"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F5B54D"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392C3B" w14:textId="77777777" w:rsidR="006179BB" w:rsidRPr="00BB5B7E" w:rsidRDefault="006179BB" w:rsidP="006179BB">
            <w:pPr>
              <w:pStyle w:val="ListParagraph"/>
              <w:ind w:left="-184" w:right="-142"/>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3C62A46E"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0.30 k</w:t>
            </w:r>
          </w:p>
        </w:tc>
      </w:tr>
      <w:tr w:rsidR="006179BB" w:rsidRPr="00BB5B7E" w14:paraId="3EADB127"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6A0077BC"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4.</w:t>
            </w:r>
          </w:p>
        </w:tc>
        <w:tc>
          <w:tcPr>
            <w:tcW w:w="2698" w:type="dxa"/>
            <w:tcBorders>
              <w:top w:val="single" w:sz="4" w:space="0" w:color="auto"/>
              <w:left w:val="single" w:sz="4" w:space="0" w:color="auto"/>
              <w:bottom w:val="single" w:sz="4" w:space="0" w:color="auto"/>
              <w:right w:val="single" w:sz="4" w:space="0" w:color="auto"/>
            </w:tcBorders>
            <w:hideMark/>
          </w:tcPr>
          <w:p w14:paraId="2EFE560B" w14:textId="77777777" w:rsidR="006179BB" w:rsidRPr="00BB5B7E" w:rsidRDefault="006179BB" w:rsidP="006179BB">
            <w:pPr>
              <w:pStyle w:val="ListParagraph"/>
              <w:ind w:left="-30" w:right="-48"/>
              <w:jc w:val="center"/>
              <w:rPr>
                <w:rFonts w:cstheme="minorHAnsi"/>
                <w:sz w:val="22"/>
              </w:rPr>
            </w:pPr>
            <w:r w:rsidRPr="00BB5B7E">
              <w:rPr>
                <w:rFonts w:cstheme="minorHAnsi"/>
                <w:sz w:val="22"/>
              </w:rPr>
              <w:t>Logi, durvis un citas stiklotās konstrukcijas:</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E37A94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1.80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6866EFD9"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2.70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0C41DB"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1.30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47493A"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1.80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26D0E14E"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2.20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36603FC2"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2.90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7AD354"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1.40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09F137"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1.80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3C77B18F"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2.40 k</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56E3880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2.90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E7310A"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1.60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513010"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1.80 k</w:t>
            </w:r>
          </w:p>
        </w:tc>
      </w:tr>
      <w:tr w:rsidR="006179BB" w:rsidRPr="00BB5B7E" w14:paraId="11B77E2A"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2871E8C1"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5.</w:t>
            </w:r>
          </w:p>
        </w:tc>
        <w:tc>
          <w:tcPr>
            <w:tcW w:w="2698" w:type="dxa"/>
            <w:tcBorders>
              <w:top w:val="single" w:sz="4" w:space="0" w:color="auto"/>
              <w:left w:val="single" w:sz="4" w:space="0" w:color="auto"/>
              <w:bottom w:val="single" w:sz="4" w:space="0" w:color="auto"/>
              <w:right w:val="single" w:sz="4" w:space="0" w:color="auto"/>
            </w:tcBorders>
            <w:hideMark/>
          </w:tcPr>
          <w:p w14:paraId="34FB07CF" w14:textId="77777777" w:rsidR="006179BB" w:rsidRPr="00BB5B7E" w:rsidRDefault="006179BB" w:rsidP="006179BB">
            <w:pPr>
              <w:pStyle w:val="ListParagraph"/>
              <w:ind w:left="-30" w:right="-48"/>
              <w:jc w:val="center"/>
              <w:rPr>
                <w:rFonts w:cstheme="minorHAnsi"/>
                <w:sz w:val="22"/>
              </w:rPr>
            </w:pPr>
            <w:r w:rsidRPr="00BB5B7E">
              <w:rPr>
                <w:rFonts w:cstheme="minorHAnsi"/>
                <w:sz w:val="22"/>
              </w:rPr>
              <w:t>ēku ārdurvis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D6765EB" w14:textId="77777777" w:rsidR="006179BB" w:rsidRPr="00BB5B7E" w:rsidRDefault="006179BB" w:rsidP="006179BB">
            <w:pPr>
              <w:rPr>
                <w:rFonts w:cstheme="minorHAnsi"/>
                <w:sz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2BDBA6B" w14:textId="77777777" w:rsidR="006179BB" w:rsidRPr="00BB5B7E" w:rsidRDefault="006179BB" w:rsidP="006179BB">
            <w:pP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63A570BD"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1.80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E2E2A4"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2.30 k</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71DA192" w14:textId="77777777" w:rsidR="006179BB" w:rsidRPr="00BB5B7E" w:rsidRDefault="006179BB" w:rsidP="006179BB">
            <w:pPr>
              <w:rPr>
                <w:rFonts w:cstheme="minorHAnsi"/>
                <w:sz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6CC1869" w14:textId="77777777" w:rsidR="006179BB" w:rsidRPr="00BB5B7E" w:rsidRDefault="006179BB" w:rsidP="006179BB">
            <w:pP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2ED13ABA"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2.00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C6CF75"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2.50 k</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51185D6" w14:textId="77777777" w:rsidR="006179BB" w:rsidRPr="00BB5B7E" w:rsidRDefault="006179BB" w:rsidP="006179BB">
            <w:pPr>
              <w:rPr>
                <w:rFonts w:cstheme="minorHAnsi"/>
                <w:sz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C481D6A" w14:textId="77777777" w:rsidR="006179BB" w:rsidRPr="00BB5B7E" w:rsidRDefault="006179BB" w:rsidP="006179BB">
            <w:pP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459D279A"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050C59"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2.70 k</w:t>
            </w:r>
          </w:p>
        </w:tc>
      </w:tr>
      <w:tr w:rsidR="006179BB" w:rsidRPr="00BB5B7E" w14:paraId="6E5111F8"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tcPr>
          <w:p w14:paraId="476FBDD7" w14:textId="77777777" w:rsidR="006179BB" w:rsidRPr="00BB5B7E" w:rsidRDefault="006179BB" w:rsidP="006179BB">
            <w:pPr>
              <w:pStyle w:val="ListParagraph"/>
              <w:ind w:left="0"/>
              <w:contextualSpacing w:val="0"/>
              <w:jc w:val="center"/>
              <w:rPr>
                <w:rFonts w:cstheme="minorHAnsi"/>
                <w:sz w:val="22"/>
              </w:rPr>
            </w:pPr>
          </w:p>
        </w:tc>
        <w:tc>
          <w:tcPr>
            <w:tcW w:w="2698" w:type="dxa"/>
            <w:tcBorders>
              <w:top w:val="single" w:sz="4" w:space="0" w:color="auto"/>
              <w:left w:val="single" w:sz="4" w:space="0" w:color="auto"/>
              <w:bottom w:val="single" w:sz="4" w:space="0" w:color="auto"/>
              <w:right w:val="single" w:sz="4" w:space="0" w:color="auto"/>
            </w:tcBorders>
          </w:tcPr>
          <w:p w14:paraId="24D2BDDE" w14:textId="77777777" w:rsidR="006179BB" w:rsidRPr="00BB5B7E" w:rsidRDefault="006179BB" w:rsidP="006179BB">
            <w:pPr>
              <w:pStyle w:val="ListParagraph"/>
              <w:ind w:left="-30" w:right="-48"/>
              <w:jc w:val="center"/>
              <w:rPr>
                <w:rFonts w:cstheme="minorHAnsi"/>
                <w:sz w:val="22"/>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43CAC28B"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96209E"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6E2A3D"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571BAA"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CCF065"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2F2FE7"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4D8943"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9788BC"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657361"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083D55"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RM</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25D1B3"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RN</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EAA88E" w14:textId="77777777" w:rsidR="006179BB" w:rsidRPr="00BB5B7E" w:rsidRDefault="006179BB" w:rsidP="006179BB">
            <w:pPr>
              <w:pStyle w:val="ListParagraph"/>
              <w:ind w:left="-184" w:right="-142"/>
              <w:jc w:val="center"/>
              <w:rPr>
                <w:rFonts w:cstheme="minorHAnsi"/>
                <w:sz w:val="22"/>
              </w:rPr>
            </w:pPr>
            <w:r w:rsidRPr="00BB5B7E">
              <w:rPr>
                <w:rFonts w:cstheme="minorHAnsi"/>
                <w:caps/>
                <w:sz w:val="22"/>
              </w:rPr>
              <w:t>ψ</w:t>
            </w:r>
            <w:r w:rsidRPr="00BB5B7E">
              <w:rPr>
                <w:rFonts w:cstheme="minorHAnsi"/>
                <w:sz w:val="22"/>
                <w:vertAlign w:val="subscript"/>
              </w:rPr>
              <w:t>RM</w:t>
            </w:r>
          </w:p>
        </w:tc>
      </w:tr>
      <w:tr w:rsidR="006179BB" w:rsidRPr="00BB5B7E" w14:paraId="4F6A8E1C" w14:textId="77777777" w:rsidTr="006179BB">
        <w:trPr>
          <w:jc w:val="center"/>
        </w:trPr>
        <w:tc>
          <w:tcPr>
            <w:tcW w:w="988" w:type="dxa"/>
            <w:tcBorders>
              <w:top w:val="single" w:sz="4" w:space="0" w:color="auto"/>
              <w:left w:val="single" w:sz="4" w:space="0" w:color="auto"/>
              <w:bottom w:val="single" w:sz="4" w:space="0" w:color="auto"/>
              <w:right w:val="single" w:sz="4" w:space="0" w:color="auto"/>
            </w:tcBorders>
            <w:hideMark/>
          </w:tcPr>
          <w:p w14:paraId="372B54C0" w14:textId="77777777" w:rsidR="006179BB" w:rsidRPr="00BB5B7E" w:rsidRDefault="006179BB" w:rsidP="006179BB">
            <w:pPr>
              <w:pStyle w:val="ListParagraph"/>
              <w:ind w:left="0"/>
              <w:contextualSpacing w:val="0"/>
              <w:jc w:val="center"/>
              <w:rPr>
                <w:rFonts w:cstheme="minorHAnsi"/>
                <w:sz w:val="22"/>
              </w:rPr>
            </w:pPr>
            <w:r w:rsidRPr="00BB5B7E">
              <w:rPr>
                <w:rFonts w:cstheme="minorHAnsi"/>
                <w:sz w:val="22"/>
              </w:rPr>
              <w:t>6.</w:t>
            </w:r>
          </w:p>
        </w:tc>
        <w:tc>
          <w:tcPr>
            <w:tcW w:w="2698" w:type="dxa"/>
            <w:tcBorders>
              <w:top w:val="single" w:sz="4" w:space="0" w:color="auto"/>
              <w:left w:val="single" w:sz="4" w:space="0" w:color="auto"/>
              <w:bottom w:val="single" w:sz="4" w:space="0" w:color="auto"/>
              <w:right w:val="single" w:sz="4" w:space="0" w:color="auto"/>
            </w:tcBorders>
            <w:hideMark/>
          </w:tcPr>
          <w:p w14:paraId="145F14C2" w14:textId="77777777" w:rsidR="006179BB" w:rsidRPr="00BB5B7E" w:rsidRDefault="006179BB" w:rsidP="006179BB">
            <w:pPr>
              <w:pStyle w:val="ListParagraph"/>
              <w:ind w:left="-30" w:right="-48"/>
              <w:jc w:val="center"/>
              <w:rPr>
                <w:rFonts w:cstheme="minorHAnsi"/>
                <w:sz w:val="22"/>
              </w:rPr>
            </w:pPr>
            <w:r w:rsidRPr="00BB5B7E">
              <w:rPr>
                <w:rFonts w:cstheme="minorHAnsi"/>
                <w:sz w:val="22"/>
              </w:rPr>
              <w:t>Termiskie tilti</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AC0323"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011315"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45DD66"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0.10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4B8AEA"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0.15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1D0C66"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717348"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605CE9"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0.15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D9229F"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0.20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120EA5"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C8A477"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0.50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5A1883"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0.30 k</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6B24AB" w14:textId="77777777" w:rsidR="006179BB" w:rsidRPr="00BB5B7E" w:rsidRDefault="006179BB" w:rsidP="006179BB">
            <w:pPr>
              <w:pStyle w:val="ListParagraph"/>
              <w:ind w:left="-184" w:right="-142"/>
              <w:jc w:val="center"/>
              <w:rPr>
                <w:rFonts w:cstheme="minorHAnsi"/>
                <w:sz w:val="22"/>
              </w:rPr>
            </w:pPr>
            <w:r w:rsidRPr="00BB5B7E">
              <w:rPr>
                <w:rFonts w:cstheme="minorHAnsi"/>
                <w:sz w:val="22"/>
              </w:rPr>
              <w:t>0.35 k</w:t>
            </w:r>
          </w:p>
        </w:tc>
      </w:tr>
    </w:tbl>
    <w:p w14:paraId="45DAA7C8" w14:textId="77777777" w:rsidR="006179BB" w:rsidRPr="00BB5B7E" w:rsidRDefault="006179BB" w:rsidP="006179BB">
      <w:pPr>
        <w:pStyle w:val="ListParagraph"/>
        <w:spacing w:before="120" w:after="120" w:line="240" w:lineRule="auto"/>
        <w:ind w:left="0"/>
        <w:contextualSpacing w:val="0"/>
        <w:jc w:val="both"/>
        <w:rPr>
          <w:rFonts w:cstheme="minorHAnsi"/>
          <w:szCs w:val="24"/>
        </w:rPr>
      </w:pPr>
      <w:r w:rsidRPr="00BB5B7E">
        <w:rPr>
          <w:rFonts w:cstheme="minorHAnsi"/>
          <w:szCs w:val="24"/>
        </w:rPr>
        <w:t xml:space="preserve">Ņemot vērā, ka būvnormatīvs LBN 002-15 nenosaka precīzu enerģijas novērtējuma vērtību, un katrai būvei atkarībā no tās formas, būvelementiem un projektētās ventilācijas sistēmas veidojas citādāks energoefektivitātes novērtējums, </w:t>
      </w:r>
      <w:r>
        <w:rPr>
          <w:rFonts w:cstheme="minorHAnsi"/>
          <w:szCs w:val="24"/>
        </w:rPr>
        <w:t xml:space="preserve">Latvija ir noteikusi </w:t>
      </w:r>
      <w:r w:rsidRPr="00BB5B7E">
        <w:rPr>
          <w:rFonts w:cstheme="minorHAnsi"/>
          <w:szCs w:val="24"/>
        </w:rPr>
        <w:t xml:space="preserve">jaunas prasības, kur ne tikai tika precizēta klasifikācijas sistēma, bet arī noteikts ēku energoefektivitātes minimālais pieļaujamais līmenis. </w:t>
      </w:r>
    </w:p>
    <w:p w14:paraId="706374CD" w14:textId="58A1EB67" w:rsidR="006179BB" w:rsidRPr="00BB5B7E" w:rsidRDefault="006179BB" w:rsidP="006179BB">
      <w:pPr>
        <w:pStyle w:val="ListParagraph"/>
        <w:spacing w:before="120" w:after="120" w:line="240" w:lineRule="auto"/>
        <w:ind w:left="0"/>
        <w:contextualSpacing w:val="0"/>
        <w:jc w:val="center"/>
        <w:rPr>
          <w:rFonts w:cstheme="minorHAnsi"/>
          <w:b/>
          <w:bCs/>
          <w:sz w:val="20"/>
          <w:szCs w:val="20"/>
        </w:rPr>
      </w:pPr>
      <w:r w:rsidRPr="00BB5B7E">
        <w:rPr>
          <w:rFonts w:cstheme="minorHAnsi"/>
          <w:b/>
          <w:bCs/>
          <w:sz w:val="20"/>
          <w:szCs w:val="20"/>
        </w:rPr>
        <w:fldChar w:fldCharType="begin"/>
      </w:r>
      <w:r w:rsidRPr="00BB5B7E">
        <w:rPr>
          <w:rFonts w:cstheme="minorHAnsi"/>
          <w:b/>
          <w:bCs/>
          <w:sz w:val="20"/>
          <w:szCs w:val="20"/>
        </w:rPr>
        <w:instrText xml:space="preserve"> SEQ Tabula \* ARABIC </w:instrText>
      </w:r>
      <w:r w:rsidRPr="00BB5B7E">
        <w:rPr>
          <w:rFonts w:cstheme="minorHAnsi"/>
          <w:b/>
          <w:bCs/>
          <w:sz w:val="20"/>
          <w:szCs w:val="20"/>
        </w:rPr>
        <w:fldChar w:fldCharType="separate"/>
      </w:r>
      <w:r w:rsidR="006E6675">
        <w:rPr>
          <w:rFonts w:cstheme="minorHAnsi"/>
          <w:b/>
          <w:bCs/>
          <w:noProof/>
          <w:sz w:val="20"/>
          <w:szCs w:val="20"/>
        </w:rPr>
        <w:t>6</w:t>
      </w:r>
      <w:r w:rsidRPr="00BB5B7E">
        <w:rPr>
          <w:rFonts w:cstheme="minorHAnsi"/>
          <w:b/>
          <w:bCs/>
          <w:sz w:val="20"/>
          <w:szCs w:val="20"/>
        </w:rPr>
        <w:fldChar w:fldCharType="end"/>
      </w:r>
      <w:r w:rsidRPr="00BB5B7E">
        <w:rPr>
          <w:rFonts w:cstheme="minorHAnsi"/>
          <w:b/>
          <w:bCs/>
          <w:sz w:val="20"/>
          <w:szCs w:val="20"/>
        </w:rPr>
        <w:t>.tabula Ēku energoefektivitātes minimālais pieļaujamais līmenis atjaunošanām, pārbūvēm un jaunbūvēm</w:t>
      </w:r>
    </w:p>
    <w:tbl>
      <w:tblPr>
        <w:tblStyle w:val="TableGrid"/>
        <w:tblW w:w="9924" w:type="dxa"/>
        <w:jc w:val="center"/>
        <w:tblLayout w:type="fixed"/>
        <w:tblLook w:val="04A0" w:firstRow="1" w:lastRow="0" w:firstColumn="1" w:lastColumn="0" w:noHBand="0" w:noVBand="1"/>
      </w:tblPr>
      <w:tblGrid>
        <w:gridCol w:w="1986"/>
        <w:gridCol w:w="2126"/>
        <w:gridCol w:w="2126"/>
        <w:gridCol w:w="2126"/>
        <w:gridCol w:w="1560"/>
      </w:tblGrid>
      <w:tr w:rsidR="006179BB" w:rsidRPr="00BB5B7E" w14:paraId="2C71DD6C" w14:textId="77777777" w:rsidTr="006179BB">
        <w:trPr>
          <w:jc w:val="center"/>
        </w:trPr>
        <w:tc>
          <w:tcPr>
            <w:tcW w:w="992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84D1D0" w14:textId="77777777" w:rsidR="006179BB" w:rsidRPr="00BB5B7E" w:rsidRDefault="006179BB" w:rsidP="006179BB">
            <w:pPr>
              <w:pStyle w:val="ListParagraph"/>
              <w:ind w:left="0"/>
              <w:jc w:val="center"/>
              <w:rPr>
                <w:rFonts w:cstheme="minorHAnsi"/>
                <w:sz w:val="22"/>
              </w:rPr>
            </w:pPr>
            <w:r w:rsidRPr="00BB5B7E">
              <w:rPr>
                <w:rFonts w:cstheme="minorHAnsi"/>
                <w:sz w:val="22"/>
              </w:rPr>
              <w:t>Ēku energoefektivitātes minimālais pieļaujamais līmenis, energoefektivitātes rādītājs apkurei, kWh/m</w:t>
            </w:r>
            <w:r w:rsidRPr="00BB5B7E">
              <w:rPr>
                <w:rFonts w:cstheme="minorHAnsi"/>
                <w:sz w:val="22"/>
                <w:vertAlign w:val="superscript"/>
              </w:rPr>
              <w:t>2</w:t>
            </w:r>
            <w:r w:rsidRPr="00BB5B7E">
              <w:rPr>
                <w:rFonts w:cstheme="minorHAnsi"/>
                <w:sz w:val="22"/>
              </w:rPr>
              <w:t xml:space="preserve"> gadā</w:t>
            </w:r>
          </w:p>
        </w:tc>
      </w:tr>
      <w:tr w:rsidR="006179BB" w:rsidRPr="00BB5B7E" w14:paraId="1C17195D" w14:textId="77777777" w:rsidTr="006179BB">
        <w:trPr>
          <w:jc w:val="center"/>
        </w:trPr>
        <w:tc>
          <w:tcPr>
            <w:tcW w:w="992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484F4E" w14:textId="77777777" w:rsidR="006179BB" w:rsidRPr="00BB5B7E" w:rsidRDefault="006179BB" w:rsidP="006179BB">
            <w:pPr>
              <w:pStyle w:val="ListParagraph"/>
              <w:ind w:left="0"/>
              <w:jc w:val="center"/>
              <w:rPr>
                <w:rFonts w:cstheme="minorHAnsi"/>
                <w:sz w:val="22"/>
              </w:rPr>
            </w:pPr>
            <w:r w:rsidRPr="00BB5B7E">
              <w:rPr>
                <w:rFonts w:cstheme="minorHAnsi"/>
                <w:sz w:val="22"/>
              </w:rPr>
              <w:t>Atjaunošanas vai pārbūves</w:t>
            </w:r>
          </w:p>
        </w:tc>
      </w:tr>
      <w:tr w:rsidR="006179BB" w:rsidRPr="00BB5B7E" w14:paraId="7CB8390E" w14:textId="77777777" w:rsidTr="006179BB">
        <w:trPr>
          <w:jc w:val="center"/>
        </w:trPr>
        <w:tc>
          <w:tcPr>
            <w:tcW w:w="198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34B6D6" w14:textId="77777777" w:rsidR="006179BB" w:rsidRPr="00BB5B7E" w:rsidRDefault="006179BB" w:rsidP="006179BB">
            <w:pPr>
              <w:pStyle w:val="ListParagraph"/>
              <w:ind w:left="0"/>
              <w:jc w:val="center"/>
              <w:rPr>
                <w:rFonts w:cstheme="minorHAnsi"/>
                <w:sz w:val="22"/>
              </w:rPr>
            </w:pPr>
            <w:r w:rsidRPr="00BB5B7E">
              <w:rPr>
                <w:rFonts w:cstheme="minorHAnsi"/>
                <w:sz w:val="22"/>
              </w:rPr>
              <w:t>Prasību piemērošanas periods</w:t>
            </w:r>
          </w:p>
        </w:tc>
        <w:tc>
          <w:tcPr>
            <w:tcW w:w="425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571678" w14:textId="77777777" w:rsidR="006179BB" w:rsidRPr="00BB5B7E" w:rsidRDefault="006179BB" w:rsidP="006179BB">
            <w:pPr>
              <w:pStyle w:val="ListParagraph"/>
              <w:ind w:left="0"/>
              <w:jc w:val="center"/>
              <w:rPr>
                <w:rFonts w:cstheme="minorHAnsi"/>
                <w:sz w:val="22"/>
              </w:rPr>
            </w:pPr>
            <w:r w:rsidRPr="00BB5B7E">
              <w:rPr>
                <w:rFonts w:cstheme="minorHAnsi"/>
                <w:sz w:val="22"/>
              </w:rPr>
              <w:t>Dzīvojamām ēkām</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05D48E" w14:textId="77777777" w:rsidR="006179BB" w:rsidRPr="00BB5B7E" w:rsidRDefault="006179BB" w:rsidP="006179BB">
            <w:pPr>
              <w:pStyle w:val="ListParagraph"/>
              <w:ind w:left="0"/>
              <w:jc w:val="center"/>
              <w:rPr>
                <w:rFonts w:cstheme="minorHAnsi"/>
                <w:sz w:val="22"/>
              </w:rPr>
            </w:pPr>
            <w:r w:rsidRPr="00BB5B7E">
              <w:rPr>
                <w:rFonts w:cstheme="minorHAnsi"/>
                <w:sz w:val="22"/>
              </w:rPr>
              <w:t>Nedzīvojamām ēkām</w:t>
            </w:r>
          </w:p>
        </w:tc>
      </w:tr>
      <w:tr w:rsidR="006179BB" w:rsidRPr="00BB5B7E" w14:paraId="3D17C84E" w14:textId="77777777" w:rsidTr="006179BB">
        <w:trPr>
          <w:jc w:val="center"/>
        </w:trPr>
        <w:tc>
          <w:tcPr>
            <w:tcW w:w="198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71B663" w14:textId="77777777" w:rsidR="006179BB" w:rsidRPr="00BB5B7E" w:rsidRDefault="006179BB" w:rsidP="006179BB">
            <w:pPr>
              <w:jc w:val="center"/>
              <w:rPr>
                <w:rFonts w:cstheme="minorHAnsi"/>
                <w:sz w:val="22"/>
              </w:rPr>
            </w:pP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6EC7D0" w14:textId="77777777" w:rsidR="006179BB" w:rsidRPr="00BB5B7E" w:rsidRDefault="006179BB" w:rsidP="006179BB">
            <w:pPr>
              <w:pStyle w:val="ListParagraph"/>
              <w:ind w:left="0"/>
              <w:jc w:val="center"/>
              <w:rPr>
                <w:rFonts w:cstheme="minorHAnsi"/>
                <w:sz w:val="22"/>
              </w:rPr>
            </w:pPr>
            <w:r w:rsidRPr="00BB5B7E">
              <w:rPr>
                <w:rFonts w:cstheme="minorHAnsi"/>
                <w:sz w:val="22"/>
              </w:rPr>
              <w:t>Daudzdzīvokļu mājām</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F433DA" w14:textId="77777777" w:rsidR="006179BB" w:rsidRPr="00BB5B7E" w:rsidRDefault="006179BB" w:rsidP="006179BB">
            <w:pPr>
              <w:pStyle w:val="ListParagraph"/>
              <w:ind w:left="0"/>
              <w:jc w:val="center"/>
              <w:rPr>
                <w:rFonts w:cstheme="minorHAnsi"/>
                <w:sz w:val="22"/>
              </w:rPr>
            </w:pPr>
            <w:r w:rsidRPr="00BB5B7E">
              <w:rPr>
                <w:rFonts w:cstheme="minorHAnsi"/>
                <w:sz w:val="22"/>
              </w:rPr>
              <w:t>Dažādu veidu viendzīvokļa un daudzīvokļu ēkām</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76225C" w14:textId="77777777" w:rsidR="006179BB" w:rsidRPr="00BB5B7E" w:rsidRDefault="006179BB" w:rsidP="006179BB">
            <w:pPr>
              <w:pStyle w:val="ListParagraph"/>
              <w:ind w:left="0"/>
              <w:jc w:val="center"/>
              <w:rPr>
                <w:rFonts w:cstheme="minorHAnsi"/>
                <w:sz w:val="22"/>
              </w:rPr>
            </w:pPr>
            <w:r w:rsidRPr="00BB5B7E">
              <w:rPr>
                <w:rFonts w:cstheme="minorHAnsi"/>
                <w:sz w:val="22"/>
              </w:rPr>
              <w:t>Ēkas, kuras ir valsts īpašumā un institūciju valdījumā un kurās atrodas valsts institūcijas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11207A" w14:textId="77777777" w:rsidR="006179BB" w:rsidRPr="00BB5B7E" w:rsidRDefault="006179BB" w:rsidP="006179BB">
            <w:pPr>
              <w:pStyle w:val="ListParagraph"/>
              <w:ind w:left="0"/>
              <w:jc w:val="center"/>
              <w:rPr>
                <w:rFonts w:cstheme="minorHAnsi"/>
                <w:sz w:val="22"/>
              </w:rPr>
            </w:pPr>
            <w:r w:rsidRPr="00BB5B7E">
              <w:rPr>
                <w:rFonts w:cstheme="minorHAnsi"/>
                <w:sz w:val="22"/>
              </w:rPr>
              <w:t>Pārējās nedzīvojamās ēkas</w:t>
            </w:r>
          </w:p>
        </w:tc>
      </w:tr>
      <w:tr w:rsidR="006179BB" w:rsidRPr="00BB5B7E" w14:paraId="68D8DAEA" w14:textId="77777777" w:rsidTr="006179BB">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14:paraId="546C25F6" w14:textId="77777777" w:rsidR="006179BB" w:rsidRPr="00BB5B7E" w:rsidRDefault="006179BB" w:rsidP="006179BB">
            <w:pPr>
              <w:pStyle w:val="ListParagraph"/>
              <w:ind w:left="0"/>
              <w:rPr>
                <w:rFonts w:cstheme="minorHAnsi"/>
                <w:sz w:val="22"/>
              </w:rPr>
            </w:pPr>
            <w:r w:rsidRPr="00BB5B7E">
              <w:rPr>
                <w:rFonts w:cstheme="minorHAnsi"/>
                <w:sz w:val="22"/>
              </w:rPr>
              <w:t>No 21.11.2015. un turpmāk</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3F92F19" w14:textId="77777777" w:rsidR="006179BB" w:rsidRPr="00BB5B7E" w:rsidRDefault="006179BB" w:rsidP="006179BB">
            <w:pPr>
              <w:pStyle w:val="ListParagraph"/>
              <w:ind w:left="0"/>
              <w:jc w:val="center"/>
              <w:rPr>
                <w:rFonts w:cstheme="minorHAnsi"/>
                <w:sz w:val="22"/>
              </w:rPr>
            </w:pPr>
            <w:r w:rsidRPr="00BB5B7E">
              <w:rPr>
                <w:rFonts w:cstheme="minorHAnsi"/>
                <w:sz w:val="22"/>
              </w:rPr>
              <w:t>≤ 90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990BF08" w14:textId="77777777" w:rsidR="006179BB" w:rsidRPr="00BB5B7E" w:rsidRDefault="006179BB" w:rsidP="006179BB">
            <w:pPr>
              <w:pStyle w:val="ListParagraph"/>
              <w:ind w:left="0"/>
              <w:jc w:val="center"/>
              <w:rPr>
                <w:rFonts w:cstheme="minorHAnsi"/>
                <w:sz w:val="22"/>
              </w:rPr>
            </w:pPr>
            <w:r w:rsidRPr="00BB5B7E">
              <w:rPr>
                <w:rFonts w:cstheme="minorHAnsi"/>
                <w:sz w:val="22"/>
              </w:rPr>
              <w:t>≤ 100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0FD4D6D" w14:textId="77777777" w:rsidR="006179BB" w:rsidRPr="00BB5B7E" w:rsidRDefault="006179BB" w:rsidP="006179BB">
            <w:pPr>
              <w:pStyle w:val="ListParagraph"/>
              <w:ind w:left="0"/>
              <w:jc w:val="center"/>
              <w:rPr>
                <w:rFonts w:cstheme="minorHAnsi"/>
                <w:sz w:val="22"/>
              </w:rPr>
            </w:pPr>
            <w:r w:rsidRPr="00BB5B7E">
              <w:rPr>
                <w:rFonts w:cstheme="minorHAnsi"/>
                <w:sz w:val="22"/>
              </w:rPr>
              <w:t>≤ 110 kWh/m</w:t>
            </w:r>
            <w:r w:rsidRPr="00BB5B7E">
              <w:rPr>
                <w:rFonts w:cstheme="minorHAnsi"/>
                <w:sz w:val="22"/>
                <w:vertAlign w:val="superscript"/>
              </w:rPr>
              <w:t>2</w:t>
            </w:r>
            <w:r w:rsidRPr="00BB5B7E">
              <w:rPr>
                <w:rFonts w:cstheme="minorHAnsi"/>
                <w:sz w:val="22"/>
              </w:rPr>
              <w:t xml:space="preserve"> gadā</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0903F4A" w14:textId="77777777" w:rsidR="006179BB" w:rsidRPr="00BB5B7E" w:rsidRDefault="006179BB" w:rsidP="006179BB">
            <w:pPr>
              <w:pStyle w:val="ListParagraph"/>
              <w:ind w:left="0"/>
              <w:jc w:val="center"/>
              <w:rPr>
                <w:rFonts w:cstheme="minorHAnsi"/>
                <w:sz w:val="22"/>
              </w:rPr>
            </w:pPr>
            <w:r w:rsidRPr="00BB5B7E">
              <w:rPr>
                <w:rFonts w:cstheme="minorHAnsi"/>
                <w:sz w:val="22"/>
              </w:rPr>
              <w:t>≤ 110 kWh/m</w:t>
            </w:r>
            <w:r w:rsidRPr="00BB5B7E">
              <w:rPr>
                <w:rFonts w:cstheme="minorHAnsi"/>
                <w:sz w:val="22"/>
                <w:vertAlign w:val="superscript"/>
              </w:rPr>
              <w:t>2</w:t>
            </w:r>
            <w:r w:rsidRPr="00BB5B7E">
              <w:rPr>
                <w:rFonts w:cstheme="minorHAnsi"/>
                <w:sz w:val="22"/>
              </w:rPr>
              <w:t xml:space="preserve"> gadā</w:t>
            </w:r>
          </w:p>
        </w:tc>
      </w:tr>
      <w:tr w:rsidR="006179BB" w:rsidRPr="00BB5B7E" w14:paraId="2AD3F381" w14:textId="77777777" w:rsidTr="006179BB">
        <w:trPr>
          <w:jc w:val="center"/>
        </w:trPr>
        <w:tc>
          <w:tcPr>
            <w:tcW w:w="9924" w:type="dxa"/>
            <w:gridSpan w:val="5"/>
            <w:tcBorders>
              <w:top w:val="single" w:sz="4" w:space="0" w:color="auto"/>
              <w:left w:val="single" w:sz="4" w:space="0" w:color="auto"/>
              <w:bottom w:val="single" w:sz="4" w:space="0" w:color="auto"/>
              <w:right w:val="single" w:sz="4" w:space="0" w:color="auto"/>
            </w:tcBorders>
            <w:vAlign w:val="center"/>
            <w:hideMark/>
          </w:tcPr>
          <w:p w14:paraId="62532589" w14:textId="77777777" w:rsidR="006179BB" w:rsidRPr="00BB5B7E" w:rsidRDefault="006179BB" w:rsidP="006179BB">
            <w:pPr>
              <w:pStyle w:val="ListParagraph"/>
              <w:ind w:left="0"/>
              <w:jc w:val="center"/>
              <w:rPr>
                <w:rFonts w:cstheme="minorHAnsi"/>
                <w:sz w:val="22"/>
              </w:rPr>
            </w:pPr>
            <w:r w:rsidRPr="00BB5B7E">
              <w:rPr>
                <w:rFonts w:cstheme="minorHAnsi"/>
                <w:sz w:val="22"/>
              </w:rPr>
              <w:t>Jaunbūves</w:t>
            </w:r>
          </w:p>
        </w:tc>
      </w:tr>
      <w:tr w:rsidR="006179BB" w:rsidRPr="00BB5B7E" w14:paraId="4142DD5D" w14:textId="77777777" w:rsidTr="006179BB">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14:paraId="20316392" w14:textId="77777777" w:rsidR="006179BB" w:rsidRPr="00BB5B7E" w:rsidRDefault="006179BB" w:rsidP="006179BB">
            <w:pPr>
              <w:pStyle w:val="ListParagraph"/>
              <w:ind w:left="0"/>
              <w:rPr>
                <w:rFonts w:cstheme="minorHAnsi"/>
                <w:sz w:val="22"/>
              </w:rPr>
            </w:pPr>
            <w:r w:rsidRPr="00BB5B7E">
              <w:rPr>
                <w:rFonts w:cstheme="minorHAnsi"/>
                <w:sz w:val="22"/>
              </w:rPr>
              <w:t>No 21.11.2015. līdz 31.12.2016.</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1C5AB5D" w14:textId="77777777" w:rsidR="006179BB" w:rsidRPr="00BB5B7E" w:rsidRDefault="006179BB" w:rsidP="006179BB">
            <w:pPr>
              <w:pStyle w:val="ListParagraph"/>
              <w:ind w:left="0"/>
              <w:jc w:val="center"/>
              <w:rPr>
                <w:rFonts w:cstheme="minorHAnsi"/>
                <w:sz w:val="22"/>
              </w:rPr>
            </w:pPr>
            <w:r w:rsidRPr="00BB5B7E">
              <w:rPr>
                <w:rFonts w:cstheme="minorHAnsi"/>
                <w:sz w:val="22"/>
              </w:rPr>
              <w:t>≤ 70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74BC1AA" w14:textId="77777777" w:rsidR="006179BB" w:rsidRPr="00BB5B7E" w:rsidRDefault="006179BB" w:rsidP="006179BB">
            <w:pPr>
              <w:pStyle w:val="ListParagraph"/>
              <w:ind w:left="0"/>
              <w:jc w:val="center"/>
              <w:rPr>
                <w:rFonts w:cstheme="minorHAnsi"/>
                <w:sz w:val="22"/>
              </w:rPr>
            </w:pPr>
            <w:r w:rsidRPr="00BB5B7E">
              <w:rPr>
                <w:rFonts w:cstheme="minorHAnsi"/>
                <w:sz w:val="22"/>
              </w:rPr>
              <w:t>≤ 80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051570B" w14:textId="77777777" w:rsidR="006179BB" w:rsidRPr="00BB5B7E" w:rsidRDefault="006179BB" w:rsidP="006179BB">
            <w:pPr>
              <w:pStyle w:val="ListParagraph"/>
              <w:ind w:left="0"/>
              <w:jc w:val="center"/>
              <w:rPr>
                <w:rFonts w:cstheme="minorHAnsi"/>
                <w:sz w:val="22"/>
              </w:rPr>
            </w:pPr>
            <w:r w:rsidRPr="00BB5B7E">
              <w:rPr>
                <w:rFonts w:cstheme="minorHAnsi"/>
                <w:sz w:val="22"/>
              </w:rPr>
              <w:t>≤ 100 kWh/m</w:t>
            </w:r>
            <w:r w:rsidRPr="00BB5B7E">
              <w:rPr>
                <w:rFonts w:cstheme="minorHAnsi"/>
                <w:sz w:val="22"/>
                <w:vertAlign w:val="superscript"/>
              </w:rPr>
              <w:t>2</w:t>
            </w:r>
            <w:r w:rsidRPr="00BB5B7E">
              <w:rPr>
                <w:rFonts w:cstheme="minorHAnsi"/>
                <w:sz w:val="22"/>
              </w:rPr>
              <w:t xml:space="preserve"> gadā</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B853B5A" w14:textId="77777777" w:rsidR="006179BB" w:rsidRPr="00BB5B7E" w:rsidRDefault="006179BB" w:rsidP="006179BB">
            <w:pPr>
              <w:pStyle w:val="ListParagraph"/>
              <w:ind w:left="0"/>
              <w:jc w:val="center"/>
              <w:rPr>
                <w:rFonts w:cstheme="minorHAnsi"/>
                <w:sz w:val="22"/>
              </w:rPr>
            </w:pPr>
            <w:r w:rsidRPr="00BB5B7E">
              <w:rPr>
                <w:rFonts w:cstheme="minorHAnsi"/>
                <w:sz w:val="22"/>
              </w:rPr>
              <w:t>≤ 100 kWh/m</w:t>
            </w:r>
            <w:r w:rsidRPr="00BB5B7E">
              <w:rPr>
                <w:rFonts w:cstheme="minorHAnsi"/>
                <w:sz w:val="22"/>
                <w:vertAlign w:val="superscript"/>
              </w:rPr>
              <w:t>2</w:t>
            </w:r>
            <w:r w:rsidRPr="00BB5B7E">
              <w:rPr>
                <w:rFonts w:cstheme="minorHAnsi"/>
                <w:sz w:val="22"/>
              </w:rPr>
              <w:t xml:space="preserve"> gadā</w:t>
            </w:r>
          </w:p>
        </w:tc>
      </w:tr>
      <w:tr w:rsidR="006179BB" w:rsidRPr="00BB5B7E" w14:paraId="443196A6" w14:textId="77777777" w:rsidTr="006179BB">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14:paraId="3D330164" w14:textId="77777777" w:rsidR="006179BB" w:rsidRPr="00BB5B7E" w:rsidRDefault="006179BB" w:rsidP="006179BB">
            <w:pPr>
              <w:pStyle w:val="ListParagraph"/>
              <w:ind w:left="0"/>
              <w:rPr>
                <w:rFonts w:cstheme="minorHAnsi"/>
                <w:sz w:val="22"/>
              </w:rPr>
            </w:pPr>
            <w:r w:rsidRPr="00BB5B7E">
              <w:rPr>
                <w:rFonts w:cstheme="minorHAnsi"/>
                <w:sz w:val="22"/>
              </w:rPr>
              <w:t>No 01.01.2017. līdz 31.12.2017.</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8C9338A" w14:textId="77777777" w:rsidR="006179BB" w:rsidRPr="00BB5B7E" w:rsidRDefault="006179BB" w:rsidP="006179BB">
            <w:pPr>
              <w:pStyle w:val="ListParagraph"/>
              <w:ind w:left="0"/>
              <w:jc w:val="center"/>
              <w:rPr>
                <w:rFonts w:cstheme="minorHAnsi"/>
                <w:sz w:val="22"/>
              </w:rPr>
            </w:pPr>
            <w:r w:rsidRPr="00BB5B7E">
              <w:rPr>
                <w:rFonts w:cstheme="minorHAnsi"/>
                <w:sz w:val="22"/>
              </w:rPr>
              <w:t>≤ 60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9CB29A6" w14:textId="77777777" w:rsidR="006179BB" w:rsidRPr="00BB5B7E" w:rsidRDefault="006179BB" w:rsidP="006179BB">
            <w:pPr>
              <w:pStyle w:val="ListParagraph"/>
              <w:ind w:left="0"/>
              <w:jc w:val="center"/>
              <w:rPr>
                <w:rFonts w:cstheme="minorHAnsi"/>
                <w:sz w:val="22"/>
              </w:rPr>
            </w:pPr>
            <w:r w:rsidRPr="00BB5B7E">
              <w:rPr>
                <w:rFonts w:cstheme="minorHAnsi"/>
                <w:sz w:val="22"/>
              </w:rPr>
              <w:t>≤ 70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2098A17" w14:textId="77777777" w:rsidR="006179BB" w:rsidRPr="00BB5B7E" w:rsidRDefault="006179BB" w:rsidP="006179BB">
            <w:pPr>
              <w:pStyle w:val="ListParagraph"/>
              <w:ind w:left="0"/>
              <w:jc w:val="center"/>
              <w:rPr>
                <w:rFonts w:cstheme="minorHAnsi"/>
                <w:sz w:val="22"/>
              </w:rPr>
            </w:pPr>
            <w:r w:rsidRPr="00BB5B7E">
              <w:rPr>
                <w:rFonts w:cstheme="minorHAnsi"/>
                <w:sz w:val="22"/>
              </w:rPr>
              <w:t>≤ 90 kWh/m</w:t>
            </w:r>
            <w:r w:rsidRPr="00BB5B7E">
              <w:rPr>
                <w:rFonts w:cstheme="minorHAnsi"/>
                <w:sz w:val="22"/>
                <w:vertAlign w:val="superscript"/>
              </w:rPr>
              <w:t>2</w:t>
            </w:r>
            <w:r w:rsidRPr="00BB5B7E">
              <w:rPr>
                <w:rFonts w:cstheme="minorHAnsi"/>
                <w:sz w:val="22"/>
              </w:rPr>
              <w:t xml:space="preserve"> gadā</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3036474" w14:textId="77777777" w:rsidR="006179BB" w:rsidRPr="00BB5B7E" w:rsidRDefault="006179BB" w:rsidP="006179BB">
            <w:pPr>
              <w:pStyle w:val="ListParagraph"/>
              <w:ind w:left="0"/>
              <w:jc w:val="center"/>
              <w:rPr>
                <w:rFonts w:cstheme="minorHAnsi"/>
                <w:sz w:val="22"/>
              </w:rPr>
            </w:pPr>
            <w:r w:rsidRPr="00BB5B7E">
              <w:rPr>
                <w:rFonts w:cstheme="minorHAnsi"/>
                <w:sz w:val="22"/>
              </w:rPr>
              <w:t>≤ 90 kWh/m</w:t>
            </w:r>
            <w:r w:rsidRPr="00BB5B7E">
              <w:rPr>
                <w:rFonts w:cstheme="minorHAnsi"/>
                <w:sz w:val="22"/>
                <w:vertAlign w:val="superscript"/>
              </w:rPr>
              <w:t>2</w:t>
            </w:r>
            <w:r w:rsidRPr="00BB5B7E">
              <w:rPr>
                <w:rFonts w:cstheme="minorHAnsi"/>
                <w:sz w:val="22"/>
              </w:rPr>
              <w:t xml:space="preserve"> gadā</w:t>
            </w:r>
          </w:p>
        </w:tc>
      </w:tr>
      <w:tr w:rsidR="006179BB" w:rsidRPr="00BB5B7E" w14:paraId="3543D581" w14:textId="77777777" w:rsidTr="006179BB">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14:paraId="3D6D3659" w14:textId="77777777" w:rsidR="006179BB" w:rsidRPr="00BB5B7E" w:rsidRDefault="006179BB" w:rsidP="006179BB">
            <w:pPr>
              <w:pStyle w:val="ListParagraph"/>
              <w:ind w:left="0"/>
              <w:rPr>
                <w:rFonts w:cstheme="minorHAnsi"/>
                <w:sz w:val="22"/>
              </w:rPr>
            </w:pPr>
            <w:r w:rsidRPr="00BB5B7E">
              <w:rPr>
                <w:rFonts w:cstheme="minorHAnsi"/>
                <w:sz w:val="22"/>
              </w:rPr>
              <w:t>No 01.01.2018. līdz 31.12.2018.</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1CAB838" w14:textId="77777777" w:rsidR="006179BB" w:rsidRPr="00BB5B7E" w:rsidRDefault="006179BB" w:rsidP="006179BB">
            <w:pPr>
              <w:pStyle w:val="ListParagraph"/>
              <w:ind w:left="0"/>
              <w:jc w:val="center"/>
              <w:rPr>
                <w:rFonts w:cstheme="minorHAnsi"/>
                <w:sz w:val="22"/>
              </w:rPr>
            </w:pPr>
            <w:r w:rsidRPr="00BB5B7E">
              <w:rPr>
                <w:rFonts w:cstheme="minorHAnsi"/>
                <w:sz w:val="22"/>
              </w:rPr>
              <w:t>≤ 60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90A058C" w14:textId="77777777" w:rsidR="006179BB" w:rsidRPr="00BB5B7E" w:rsidRDefault="006179BB" w:rsidP="006179BB">
            <w:pPr>
              <w:pStyle w:val="ListParagraph"/>
              <w:ind w:left="0"/>
              <w:jc w:val="center"/>
              <w:rPr>
                <w:rFonts w:cstheme="minorHAnsi"/>
                <w:sz w:val="22"/>
              </w:rPr>
            </w:pPr>
            <w:r w:rsidRPr="00BB5B7E">
              <w:rPr>
                <w:rFonts w:cstheme="minorHAnsi"/>
                <w:sz w:val="22"/>
              </w:rPr>
              <w:t>≤ 70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083B776" w14:textId="77777777" w:rsidR="006179BB" w:rsidRPr="00BB5B7E" w:rsidRDefault="006179BB" w:rsidP="006179BB">
            <w:pPr>
              <w:pStyle w:val="ListParagraph"/>
              <w:ind w:left="0"/>
              <w:jc w:val="center"/>
              <w:rPr>
                <w:rFonts w:cstheme="minorHAnsi"/>
                <w:sz w:val="22"/>
              </w:rPr>
            </w:pPr>
            <w:r w:rsidRPr="00BB5B7E">
              <w:rPr>
                <w:rFonts w:cstheme="minorHAnsi"/>
                <w:sz w:val="22"/>
              </w:rPr>
              <w:t>≤ 65 kWh/m</w:t>
            </w:r>
            <w:r w:rsidRPr="00BB5B7E">
              <w:rPr>
                <w:rFonts w:cstheme="minorHAnsi"/>
                <w:sz w:val="22"/>
                <w:vertAlign w:val="superscript"/>
              </w:rPr>
              <w:t>2</w:t>
            </w:r>
            <w:r w:rsidRPr="00BB5B7E">
              <w:rPr>
                <w:rFonts w:cstheme="minorHAnsi"/>
                <w:sz w:val="22"/>
              </w:rPr>
              <w:t xml:space="preserve"> gadā</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821D70D" w14:textId="77777777" w:rsidR="006179BB" w:rsidRPr="00BB5B7E" w:rsidRDefault="006179BB" w:rsidP="006179BB">
            <w:pPr>
              <w:pStyle w:val="ListParagraph"/>
              <w:ind w:left="0"/>
              <w:jc w:val="center"/>
              <w:rPr>
                <w:rFonts w:cstheme="minorHAnsi"/>
                <w:sz w:val="22"/>
              </w:rPr>
            </w:pPr>
            <w:r w:rsidRPr="00BB5B7E">
              <w:rPr>
                <w:rFonts w:cstheme="minorHAnsi"/>
                <w:sz w:val="22"/>
              </w:rPr>
              <w:t>≤ 90 kWh/m</w:t>
            </w:r>
            <w:r w:rsidRPr="00BB5B7E">
              <w:rPr>
                <w:rFonts w:cstheme="minorHAnsi"/>
                <w:sz w:val="22"/>
                <w:vertAlign w:val="superscript"/>
              </w:rPr>
              <w:t>2</w:t>
            </w:r>
            <w:r w:rsidRPr="00BB5B7E">
              <w:rPr>
                <w:rFonts w:cstheme="minorHAnsi"/>
                <w:sz w:val="22"/>
              </w:rPr>
              <w:t xml:space="preserve"> gadā</w:t>
            </w:r>
          </w:p>
        </w:tc>
      </w:tr>
      <w:tr w:rsidR="006179BB" w:rsidRPr="00BB5B7E" w14:paraId="2F9B9B02" w14:textId="77777777" w:rsidTr="006179BB">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14:paraId="06629028" w14:textId="77777777" w:rsidR="006179BB" w:rsidRPr="00BB5B7E" w:rsidRDefault="006179BB" w:rsidP="006179BB">
            <w:pPr>
              <w:pStyle w:val="ListParagraph"/>
              <w:ind w:left="0"/>
              <w:rPr>
                <w:rFonts w:cstheme="minorHAnsi"/>
                <w:sz w:val="22"/>
              </w:rPr>
            </w:pPr>
            <w:r w:rsidRPr="00BB5B7E">
              <w:rPr>
                <w:rFonts w:cstheme="minorHAnsi"/>
                <w:sz w:val="22"/>
              </w:rPr>
              <w:t>No 01.01.2019. līdz 31.12.2020.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E40FD4A" w14:textId="77777777" w:rsidR="006179BB" w:rsidRPr="00BB5B7E" w:rsidRDefault="006179BB" w:rsidP="006179BB">
            <w:pPr>
              <w:pStyle w:val="ListParagraph"/>
              <w:ind w:left="0"/>
              <w:jc w:val="center"/>
              <w:rPr>
                <w:rFonts w:cstheme="minorHAnsi"/>
                <w:sz w:val="22"/>
              </w:rPr>
            </w:pPr>
            <w:r w:rsidRPr="00BB5B7E">
              <w:rPr>
                <w:rFonts w:cstheme="minorHAnsi"/>
                <w:sz w:val="22"/>
              </w:rPr>
              <w:t>≤ 50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E41C08B" w14:textId="77777777" w:rsidR="006179BB" w:rsidRPr="00BB5B7E" w:rsidRDefault="006179BB" w:rsidP="006179BB">
            <w:pPr>
              <w:pStyle w:val="ListParagraph"/>
              <w:ind w:left="0"/>
              <w:jc w:val="center"/>
              <w:rPr>
                <w:rFonts w:cstheme="minorHAnsi"/>
                <w:sz w:val="22"/>
              </w:rPr>
            </w:pPr>
            <w:r w:rsidRPr="00BB5B7E">
              <w:rPr>
                <w:rFonts w:cstheme="minorHAnsi"/>
                <w:sz w:val="22"/>
              </w:rPr>
              <w:t>≤ 60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B848B54" w14:textId="77777777" w:rsidR="006179BB" w:rsidRPr="00BB5B7E" w:rsidRDefault="006179BB" w:rsidP="006179BB">
            <w:pPr>
              <w:pStyle w:val="ListParagraph"/>
              <w:ind w:left="0"/>
              <w:jc w:val="center"/>
              <w:rPr>
                <w:rFonts w:cstheme="minorHAnsi"/>
                <w:sz w:val="22"/>
              </w:rPr>
            </w:pPr>
            <w:r w:rsidRPr="00BB5B7E">
              <w:rPr>
                <w:rFonts w:cstheme="minorHAnsi"/>
                <w:sz w:val="22"/>
              </w:rPr>
              <w:t>Gandrīz nulles enerģijas ēka,</w:t>
            </w:r>
          </w:p>
          <w:p w14:paraId="56E21904" w14:textId="77777777" w:rsidR="006179BB" w:rsidRPr="00BB5B7E" w:rsidRDefault="006179BB" w:rsidP="006179BB">
            <w:pPr>
              <w:pStyle w:val="ListParagraph"/>
              <w:ind w:left="0"/>
              <w:jc w:val="center"/>
              <w:rPr>
                <w:rFonts w:cstheme="minorHAnsi"/>
                <w:sz w:val="22"/>
              </w:rPr>
            </w:pPr>
            <w:r w:rsidRPr="00BB5B7E">
              <w:rPr>
                <w:rFonts w:cstheme="minorHAnsi"/>
                <w:sz w:val="22"/>
              </w:rPr>
              <w:t>≤ 45 kWh/m</w:t>
            </w:r>
            <w:r w:rsidRPr="00BB5B7E">
              <w:rPr>
                <w:rFonts w:cstheme="minorHAnsi"/>
                <w:sz w:val="22"/>
                <w:vertAlign w:val="superscript"/>
              </w:rPr>
              <w:t>2</w:t>
            </w:r>
            <w:r w:rsidRPr="00BB5B7E">
              <w:rPr>
                <w:rFonts w:cstheme="minorHAnsi"/>
                <w:sz w:val="22"/>
              </w:rPr>
              <w:t xml:space="preserve"> gadā</w:t>
            </w:r>
          </w:p>
        </w:tc>
        <w:tc>
          <w:tcPr>
            <w:tcW w:w="1560" w:type="dxa"/>
            <w:tcBorders>
              <w:top w:val="single" w:sz="4" w:space="0" w:color="auto"/>
              <w:left w:val="single" w:sz="4" w:space="0" w:color="auto"/>
              <w:bottom w:val="single" w:sz="4" w:space="0" w:color="auto"/>
              <w:right w:val="single" w:sz="4" w:space="0" w:color="auto"/>
            </w:tcBorders>
            <w:vAlign w:val="center"/>
          </w:tcPr>
          <w:p w14:paraId="3AE67FE7" w14:textId="77777777" w:rsidR="006179BB" w:rsidRPr="00BB5B7E" w:rsidRDefault="006179BB" w:rsidP="006179BB">
            <w:pPr>
              <w:pStyle w:val="ListParagraph"/>
              <w:ind w:left="0"/>
              <w:jc w:val="center"/>
              <w:rPr>
                <w:rFonts w:cstheme="minorHAnsi"/>
                <w:sz w:val="22"/>
              </w:rPr>
            </w:pPr>
          </w:p>
          <w:p w14:paraId="37C58567" w14:textId="77777777" w:rsidR="006179BB" w:rsidRPr="00BB5B7E" w:rsidRDefault="006179BB" w:rsidP="006179BB">
            <w:pPr>
              <w:pStyle w:val="ListParagraph"/>
              <w:ind w:left="0"/>
              <w:jc w:val="center"/>
              <w:rPr>
                <w:rFonts w:cstheme="minorHAnsi"/>
                <w:sz w:val="22"/>
              </w:rPr>
            </w:pPr>
            <w:r w:rsidRPr="00BB5B7E">
              <w:rPr>
                <w:rFonts w:cstheme="minorHAnsi"/>
                <w:sz w:val="22"/>
              </w:rPr>
              <w:t>≤ 65 kWh/m</w:t>
            </w:r>
            <w:r w:rsidRPr="00BB5B7E">
              <w:rPr>
                <w:rFonts w:cstheme="minorHAnsi"/>
                <w:sz w:val="22"/>
                <w:vertAlign w:val="superscript"/>
              </w:rPr>
              <w:t>2</w:t>
            </w:r>
            <w:r w:rsidRPr="00BB5B7E">
              <w:rPr>
                <w:rFonts w:cstheme="minorHAnsi"/>
                <w:sz w:val="22"/>
              </w:rPr>
              <w:t xml:space="preserve"> gadā</w:t>
            </w:r>
          </w:p>
        </w:tc>
      </w:tr>
      <w:tr w:rsidR="006179BB" w:rsidRPr="00BB5B7E" w14:paraId="35C71435" w14:textId="77777777" w:rsidTr="006179BB">
        <w:trPr>
          <w:jc w:val="center"/>
        </w:trPr>
        <w:tc>
          <w:tcPr>
            <w:tcW w:w="1986" w:type="dxa"/>
            <w:tcBorders>
              <w:top w:val="single" w:sz="4" w:space="0" w:color="auto"/>
              <w:left w:val="single" w:sz="4" w:space="0" w:color="auto"/>
              <w:bottom w:val="single" w:sz="4" w:space="0" w:color="auto"/>
              <w:right w:val="single" w:sz="4" w:space="0" w:color="auto"/>
            </w:tcBorders>
            <w:vAlign w:val="center"/>
            <w:hideMark/>
          </w:tcPr>
          <w:p w14:paraId="7F96665A" w14:textId="77777777" w:rsidR="006179BB" w:rsidRPr="00BB5B7E" w:rsidRDefault="006179BB" w:rsidP="006179BB">
            <w:pPr>
              <w:pStyle w:val="ListParagraph"/>
              <w:ind w:left="0"/>
              <w:rPr>
                <w:rFonts w:cstheme="minorHAnsi"/>
                <w:sz w:val="22"/>
              </w:rPr>
            </w:pPr>
            <w:r w:rsidRPr="00BB5B7E">
              <w:rPr>
                <w:rFonts w:cstheme="minorHAnsi"/>
                <w:sz w:val="22"/>
              </w:rPr>
              <w:t>No 01.01.2021. un turpmāk</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7E1879A" w14:textId="77777777" w:rsidR="006179BB" w:rsidRPr="00BB5B7E" w:rsidRDefault="006179BB" w:rsidP="006179BB">
            <w:pPr>
              <w:pStyle w:val="ListParagraph"/>
              <w:ind w:left="0"/>
              <w:jc w:val="center"/>
              <w:rPr>
                <w:rFonts w:cstheme="minorHAnsi"/>
                <w:sz w:val="22"/>
              </w:rPr>
            </w:pPr>
            <w:r w:rsidRPr="00BB5B7E">
              <w:rPr>
                <w:rFonts w:cstheme="minorHAnsi"/>
                <w:sz w:val="22"/>
              </w:rPr>
              <w:t>Gandrīz nulles enerģijas ēka,</w:t>
            </w:r>
          </w:p>
          <w:p w14:paraId="321BF0FE" w14:textId="77777777" w:rsidR="006179BB" w:rsidRPr="00BB5B7E" w:rsidRDefault="006179BB" w:rsidP="006179BB">
            <w:pPr>
              <w:pStyle w:val="ListParagraph"/>
              <w:ind w:left="0"/>
              <w:jc w:val="center"/>
              <w:rPr>
                <w:rFonts w:cstheme="minorHAnsi"/>
                <w:sz w:val="22"/>
              </w:rPr>
            </w:pPr>
            <w:r w:rsidRPr="00BB5B7E">
              <w:rPr>
                <w:rFonts w:cstheme="minorHAnsi"/>
                <w:sz w:val="22"/>
              </w:rPr>
              <w:t>≤ 40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4F91623" w14:textId="77777777" w:rsidR="006179BB" w:rsidRPr="00BB5B7E" w:rsidRDefault="006179BB" w:rsidP="006179BB">
            <w:pPr>
              <w:pStyle w:val="ListParagraph"/>
              <w:ind w:left="0"/>
              <w:jc w:val="center"/>
              <w:rPr>
                <w:rFonts w:cstheme="minorHAnsi"/>
                <w:sz w:val="22"/>
              </w:rPr>
            </w:pPr>
            <w:r w:rsidRPr="00BB5B7E">
              <w:rPr>
                <w:rFonts w:cstheme="minorHAnsi"/>
                <w:sz w:val="22"/>
              </w:rPr>
              <w:t>Gandrīz nulles enerģijas ēka,</w:t>
            </w:r>
          </w:p>
          <w:p w14:paraId="12D34310" w14:textId="77777777" w:rsidR="006179BB" w:rsidRPr="00BB5B7E" w:rsidRDefault="006179BB" w:rsidP="006179BB">
            <w:pPr>
              <w:pStyle w:val="ListParagraph"/>
              <w:ind w:left="0"/>
              <w:jc w:val="center"/>
              <w:rPr>
                <w:rFonts w:cstheme="minorHAnsi"/>
                <w:sz w:val="22"/>
              </w:rPr>
            </w:pPr>
            <w:r w:rsidRPr="00BB5B7E">
              <w:rPr>
                <w:rFonts w:cstheme="minorHAnsi"/>
                <w:sz w:val="22"/>
              </w:rPr>
              <w:t>≤ 40 kWh/m</w:t>
            </w:r>
            <w:r w:rsidRPr="00BB5B7E">
              <w:rPr>
                <w:rFonts w:cstheme="minorHAnsi"/>
                <w:sz w:val="22"/>
                <w:vertAlign w:val="superscript"/>
              </w:rPr>
              <w:t>2</w:t>
            </w:r>
            <w:r w:rsidRPr="00BB5B7E">
              <w:rPr>
                <w:rFonts w:cstheme="minorHAnsi"/>
                <w:sz w:val="22"/>
              </w:rPr>
              <w:t xml:space="preserve"> gadā</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DC08A83" w14:textId="77777777" w:rsidR="006179BB" w:rsidRPr="00BB5B7E" w:rsidRDefault="006179BB" w:rsidP="006179BB">
            <w:pPr>
              <w:pStyle w:val="ListParagraph"/>
              <w:ind w:left="0"/>
              <w:jc w:val="center"/>
              <w:rPr>
                <w:rFonts w:cstheme="minorHAnsi"/>
                <w:sz w:val="22"/>
              </w:rPr>
            </w:pPr>
            <w:r w:rsidRPr="00BB5B7E">
              <w:rPr>
                <w:rFonts w:cstheme="minorHAnsi"/>
                <w:sz w:val="22"/>
              </w:rPr>
              <w:t>Gandrīz nulles enerģijas ēka,</w:t>
            </w:r>
          </w:p>
          <w:p w14:paraId="6E8EAB4A" w14:textId="77777777" w:rsidR="006179BB" w:rsidRPr="00BB5B7E" w:rsidRDefault="006179BB" w:rsidP="006179BB">
            <w:pPr>
              <w:pStyle w:val="ListParagraph"/>
              <w:ind w:left="0"/>
              <w:jc w:val="center"/>
              <w:rPr>
                <w:rFonts w:cstheme="minorHAnsi"/>
                <w:sz w:val="22"/>
              </w:rPr>
            </w:pPr>
            <w:r w:rsidRPr="00BB5B7E">
              <w:rPr>
                <w:rFonts w:cstheme="minorHAnsi"/>
                <w:sz w:val="22"/>
              </w:rPr>
              <w:t>≤ 45 kWh/m</w:t>
            </w:r>
            <w:r w:rsidRPr="00BB5B7E">
              <w:rPr>
                <w:rFonts w:cstheme="minorHAnsi"/>
                <w:sz w:val="22"/>
                <w:vertAlign w:val="superscript"/>
              </w:rPr>
              <w:t>2</w:t>
            </w:r>
            <w:r w:rsidRPr="00BB5B7E">
              <w:rPr>
                <w:rFonts w:cstheme="minorHAnsi"/>
                <w:sz w:val="22"/>
              </w:rPr>
              <w:t xml:space="preserve"> gadā</w:t>
            </w:r>
          </w:p>
        </w:tc>
        <w:tc>
          <w:tcPr>
            <w:tcW w:w="1560" w:type="dxa"/>
            <w:tcBorders>
              <w:top w:val="single" w:sz="4" w:space="0" w:color="auto"/>
              <w:left w:val="single" w:sz="4" w:space="0" w:color="auto"/>
              <w:bottom w:val="single" w:sz="4" w:space="0" w:color="auto"/>
              <w:right w:val="single" w:sz="4" w:space="0" w:color="auto"/>
            </w:tcBorders>
            <w:vAlign w:val="center"/>
          </w:tcPr>
          <w:p w14:paraId="724E1EB4" w14:textId="77777777" w:rsidR="006179BB" w:rsidRPr="00BB5B7E" w:rsidRDefault="006179BB" w:rsidP="006179BB">
            <w:pPr>
              <w:pStyle w:val="ListParagraph"/>
              <w:ind w:left="0"/>
              <w:jc w:val="center"/>
              <w:rPr>
                <w:rFonts w:cstheme="minorHAnsi"/>
                <w:sz w:val="22"/>
              </w:rPr>
            </w:pPr>
            <w:r w:rsidRPr="00BB5B7E">
              <w:rPr>
                <w:rFonts w:cstheme="minorHAnsi"/>
                <w:sz w:val="22"/>
              </w:rPr>
              <w:t>Gandrīz nulles enerģijas ēka,</w:t>
            </w:r>
          </w:p>
          <w:p w14:paraId="39FCE417" w14:textId="77777777" w:rsidR="006179BB" w:rsidRPr="00BB5B7E" w:rsidRDefault="006179BB" w:rsidP="006179BB">
            <w:pPr>
              <w:pStyle w:val="ListParagraph"/>
              <w:ind w:left="0"/>
              <w:jc w:val="center"/>
              <w:rPr>
                <w:rFonts w:cstheme="minorHAnsi"/>
                <w:sz w:val="22"/>
              </w:rPr>
            </w:pPr>
            <w:r w:rsidRPr="00BB5B7E">
              <w:rPr>
                <w:rFonts w:cstheme="minorHAnsi"/>
                <w:sz w:val="22"/>
              </w:rPr>
              <w:t>≤ 45 kWh/m</w:t>
            </w:r>
            <w:r w:rsidRPr="00BB5B7E">
              <w:rPr>
                <w:rFonts w:cstheme="minorHAnsi"/>
                <w:sz w:val="22"/>
                <w:vertAlign w:val="superscript"/>
              </w:rPr>
              <w:t>2</w:t>
            </w:r>
            <w:r w:rsidRPr="00BB5B7E">
              <w:rPr>
                <w:rFonts w:cstheme="minorHAnsi"/>
                <w:sz w:val="22"/>
              </w:rPr>
              <w:t xml:space="preserve"> gadā</w:t>
            </w:r>
          </w:p>
        </w:tc>
      </w:tr>
    </w:tbl>
    <w:p w14:paraId="315F0487" w14:textId="77777777" w:rsidR="006179BB" w:rsidRPr="00BB5B7E" w:rsidRDefault="006179BB" w:rsidP="006179BB">
      <w:pPr>
        <w:pStyle w:val="ListParagraph"/>
        <w:spacing w:before="120" w:after="120" w:line="240" w:lineRule="auto"/>
        <w:ind w:left="0"/>
        <w:contextualSpacing w:val="0"/>
        <w:jc w:val="both"/>
        <w:rPr>
          <w:rFonts w:cstheme="minorHAnsi"/>
          <w:szCs w:val="24"/>
        </w:rPr>
      </w:pPr>
      <w:r w:rsidRPr="00BB5B7E">
        <w:rPr>
          <w:rFonts w:cstheme="minorHAnsi"/>
          <w:szCs w:val="24"/>
        </w:rPr>
        <w:t>LBN 002-15 prasības paredz prasību piemērošanu atbilstoši klimatiskajiem apstākļiem (temperatūras faktors k, kas atkarīgs no iekštelpu vides temperatūras un ārējās vides temperatūras). Tādā veidā paredzot stingrākas prasības bargāka klimata zonai un maigākas prasības siltāka klimata zonām. Ārējās vides temperatūras noteiktas LBN 003-15 “Būvklimatoloģija”. Ņemot vērā pakāpeniskas klimata pārmaiņas (pēdējos gados ziemas ir kļuvušas siltākas), šajā būvnormatīvā noteiktie dati būtu periodiski jāpārskata.</w:t>
      </w:r>
      <w:r w:rsidRPr="00BB5B7E">
        <w:rPr>
          <w:rFonts w:cstheme="minorHAnsi"/>
          <w:szCs w:val="24"/>
        </w:rPr>
        <w:tab/>
      </w:r>
    </w:p>
    <w:p w14:paraId="253D8FA1" w14:textId="77777777" w:rsidR="006179BB" w:rsidRPr="00C15715" w:rsidRDefault="006179BB" w:rsidP="0007326F">
      <w:pPr>
        <w:pStyle w:val="Heading20"/>
      </w:pPr>
      <w:bookmarkStart w:id="214" w:name="_Toc23245773"/>
      <w:bookmarkStart w:id="215" w:name="_Toc23246004"/>
      <w:bookmarkStart w:id="216" w:name="_Toc24408018"/>
      <w:bookmarkStart w:id="217" w:name="_Toc24408102"/>
      <w:r w:rsidRPr="00C15715">
        <w:t>Enerģētiskā drošība</w:t>
      </w:r>
      <w:bookmarkEnd w:id="213"/>
      <w:bookmarkEnd w:id="214"/>
      <w:bookmarkEnd w:id="215"/>
      <w:bookmarkEnd w:id="216"/>
      <w:bookmarkEnd w:id="217"/>
      <w:r w:rsidRPr="00C15715">
        <w:t xml:space="preserve"> </w:t>
      </w:r>
    </w:p>
    <w:p w14:paraId="45BBCC22" w14:textId="77777777" w:rsidR="006179BB" w:rsidRPr="00C15715" w:rsidRDefault="006179BB">
      <w:pPr>
        <w:pStyle w:val="Heading30"/>
      </w:pPr>
      <w:bookmarkStart w:id="218" w:name="_Toc23245774"/>
      <w:bookmarkStart w:id="219" w:name="_Toc23246005"/>
      <w:bookmarkStart w:id="220" w:name="_Toc24408019"/>
      <w:r w:rsidRPr="00C15715">
        <w:t>Esošā situācija</w:t>
      </w:r>
      <w:bookmarkEnd w:id="218"/>
      <w:bookmarkEnd w:id="219"/>
      <w:bookmarkEnd w:id="220"/>
      <w:r w:rsidRPr="00C15715">
        <w:t xml:space="preserve"> </w:t>
      </w:r>
    </w:p>
    <w:p w14:paraId="50931A7A" w14:textId="513C0C96" w:rsidR="006179BB" w:rsidRPr="00C15715" w:rsidRDefault="006179BB" w:rsidP="006179BB">
      <w:pPr>
        <w:spacing w:before="120" w:after="120" w:line="240" w:lineRule="auto"/>
        <w:jc w:val="both"/>
        <w:rPr>
          <w:rFonts w:cstheme="minorHAnsi"/>
        </w:rPr>
      </w:pPr>
      <w:r w:rsidRPr="00C15715">
        <w:rPr>
          <w:rFonts w:cstheme="minorHAnsi"/>
        </w:rPr>
        <w:t>2018.gadā Latvijā energoresursu ražošanā dominēja dažādi biomasas kurināmie / degviela – cietā biomasa, gāzveida biomasas un šķidrā biomasas (biodegviela), kā arī elektroenerģija. Nelielā apjomā Latvijā tika saražots arī cietais kurināmais – kūdra, savukārt no naftas produktiem kā energoresurss tika saražotas smērvielas. Primārās enerģijas patēriņā 2018.gadā gandrīz vienādā apjomā tika patērēti naftas produkti un biomasa (cietā, šķidrā un gāz</w:t>
      </w:r>
      <w:r w:rsidR="00F82F85">
        <w:rPr>
          <w:rFonts w:cstheme="minorHAnsi"/>
        </w:rPr>
        <w:t>v</w:t>
      </w:r>
      <w:r w:rsidRPr="00C15715">
        <w:rPr>
          <w:rFonts w:cstheme="minorHAnsi"/>
        </w:rPr>
        <w:t>eida biomasa), savukārt gāzveida fosilais kurināmais / degviela tika patērēts par ceturtdaļu mazāk nekā biomasa. Enerģijas galapatēriņā 2018.gadā dominē naftas produkti (importētie naftas produkti transporta patēriņā), otrais lielākais patērētais kurināmais / degviela 2018.gadā Latvijā bija biomasa (cietā, šķidrā un gāz</w:t>
      </w:r>
      <w:r w:rsidR="00F82F85">
        <w:rPr>
          <w:rFonts w:cstheme="minorHAnsi"/>
        </w:rPr>
        <w:t>v</w:t>
      </w:r>
      <w:r w:rsidRPr="00C15715">
        <w:rPr>
          <w:rFonts w:cstheme="minorHAnsi"/>
        </w:rPr>
        <w:t>eida biomasa). Savukārt siltumenerģijas un elektroenerģijas galapatēriņš 2018.gadā Latvijā bija mazāks un gandrīz savstarpēji vienāds.</w:t>
      </w:r>
    </w:p>
    <w:p w14:paraId="366BAA44" w14:textId="77777777" w:rsidR="006179BB" w:rsidRPr="00C15715" w:rsidRDefault="006179BB" w:rsidP="006179BB">
      <w:pPr>
        <w:spacing w:before="120" w:after="120" w:line="240" w:lineRule="auto"/>
        <w:jc w:val="both"/>
        <w:rPr>
          <w:rFonts w:cstheme="minorHAnsi"/>
        </w:rPr>
      </w:pPr>
      <w:r w:rsidRPr="00C15715">
        <w:rPr>
          <w:rFonts w:cstheme="minorHAnsi"/>
        </w:rPr>
        <w:t>Enerģētiskās drošības nosacījuma izpildi vislabāk raksturo tas, cik daudz energoresursu Latvija spēj saražot pati (valstī iekšienē) un cik daudz energoresursu ir nepieciešams importēt, kā arī tas, no cik daudz dažādiem avotiem energoresursi tiek importēti.</w:t>
      </w:r>
    </w:p>
    <w:p w14:paraId="5B6FB46A" w14:textId="77777777" w:rsidR="006179BB" w:rsidRPr="00C15715" w:rsidRDefault="006179BB" w:rsidP="006179BB">
      <w:pPr>
        <w:spacing w:before="120" w:after="120" w:line="240" w:lineRule="auto"/>
        <w:jc w:val="center"/>
        <w:rPr>
          <w:rFonts w:cstheme="minorHAnsi"/>
        </w:rPr>
      </w:pPr>
      <w:r w:rsidRPr="00C15715">
        <w:rPr>
          <w:rFonts w:cstheme="minorHAnsi"/>
          <w:noProof/>
        </w:rPr>
        <w:drawing>
          <wp:inline distT="0" distB="0" distL="0" distR="0" wp14:anchorId="281BD29E" wp14:editId="4E6BC0C1">
            <wp:extent cx="4733029" cy="26706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77258" cy="2695576"/>
                    </a:xfrm>
                    <a:prstGeom prst="rect">
                      <a:avLst/>
                    </a:prstGeom>
                    <a:noFill/>
                  </pic:spPr>
                </pic:pic>
              </a:graphicData>
            </a:graphic>
          </wp:inline>
        </w:drawing>
      </w:r>
    </w:p>
    <w:p w14:paraId="67692BCF" w14:textId="1731707D" w:rsidR="006179BB" w:rsidRPr="00C15715" w:rsidRDefault="006179BB" w:rsidP="006179BB">
      <w:pPr>
        <w:pStyle w:val="Caption"/>
        <w:rPr>
          <w:rFonts w:asciiTheme="minorHAnsi" w:hAnsiTheme="minorHAnsi" w:cstheme="minorHAnsi"/>
        </w:rPr>
      </w:pPr>
      <w:r w:rsidRPr="00C15715">
        <w:rPr>
          <w:rFonts w:asciiTheme="minorHAnsi" w:hAnsiTheme="minorHAnsi" w:cstheme="minorHAnsi"/>
        </w:rPr>
        <w:fldChar w:fldCharType="begin"/>
      </w:r>
      <w:r w:rsidRPr="00C15715">
        <w:rPr>
          <w:rFonts w:asciiTheme="minorHAnsi" w:hAnsiTheme="minorHAnsi" w:cstheme="minorHAnsi"/>
        </w:rPr>
        <w:instrText xml:space="preserve"> SEQ Ilustrācija \* ARABIC </w:instrText>
      </w:r>
      <w:r w:rsidRPr="00C15715">
        <w:rPr>
          <w:rFonts w:asciiTheme="minorHAnsi" w:hAnsiTheme="minorHAnsi" w:cstheme="minorHAnsi"/>
        </w:rPr>
        <w:fldChar w:fldCharType="separate"/>
      </w:r>
      <w:bookmarkStart w:id="221" w:name="_Toc23782700"/>
      <w:r w:rsidR="006E6675">
        <w:rPr>
          <w:rFonts w:asciiTheme="minorHAnsi" w:hAnsiTheme="minorHAnsi" w:cstheme="minorHAnsi"/>
          <w:noProof/>
        </w:rPr>
        <w:t>20</w:t>
      </w:r>
      <w:r w:rsidRPr="00C15715">
        <w:rPr>
          <w:rFonts w:asciiTheme="minorHAnsi" w:hAnsiTheme="minorHAnsi" w:cstheme="minorHAnsi"/>
          <w:noProof/>
        </w:rPr>
        <w:fldChar w:fldCharType="end"/>
      </w:r>
      <w:r w:rsidRPr="00C15715">
        <w:rPr>
          <w:rFonts w:asciiTheme="minorHAnsi" w:hAnsiTheme="minorHAnsi" w:cstheme="minorHAnsi"/>
        </w:rPr>
        <w:t>.attēls. Latvijas energoresursu ražošanas un patēriņa struktūra, energoresursu imports un eksports 2017.gadā (TJ)</w:t>
      </w:r>
      <w:bookmarkEnd w:id="221"/>
    </w:p>
    <w:p w14:paraId="48C29438" w14:textId="77777777" w:rsidR="006179BB" w:rsidRPr="00C15715" w:rsidRDefault="006179BB" w:rsidP="006179BB">
      <w:pPr>
        <w:spacing w:before="120" w:after="120" w:line="240" w:lineRule="auto"/>
        <w:jc w:val="both"/>
        <w:rPr>
          <w:rFonts w:cstheme="minorHAnsi"/>
        </w:rPr>
      </w:pPr>
      <w:r w:rsidRPr="00C15715">
        <w:rPr>
          <w:rFonts w:cstheme="minorHAnsi"/>
        </w:rPr>
        <w:t>Latvija ir būtiski samazinājusi savu enerģētisko atkarību</w:t>
      </w:r>
      <w:r w:rsidRPr="00C15715">
        <w:rPr>
          <w:rStyle w:val="FootnoteReference"/>
          <w:rFonts w:cstheme="minorHAnsi"/>
        </w:rPr>
        <w:footnoteReference w:id="65"/>
      </w:r>
      <w:r w:rsidRPr="00C15715">
        <w:rPr>
          <w:rFonts w:cstheme="minorHAnsi"/>
        </w:rPr>
        <w:t xml:space="preserve"> periodā no 1990.gada līdz 2017.gadam – 50,4% (31% samazinājums 2005.-2017.g. periodā), kur 2017. gadā 44,1% no Latvijas primārā enerģijas patēriņa ir radīti no importētajiem energoresursiem. Šobrīd enerģētiskā atkarība Latvijā ir zemāka nekā ES kopumā, un enerģētiskā atkarība ir samazinājusies, neskatoties uz kopējo izmantotā primārās enerģijas apjoma palielinājumu pēdējos gados. Enerģētiskās atkarības uzlabošanos sekmēja lielais AER izmantotā apjom palielinājums, kā arī elektroenerģijas un gāzes tirgus atvēršana, tādējādi samazinot enerģētisko atkarību no Krievijas.</w:t>
      </w:r>
    </w:p>
    <w:p w14:paraId="6BBCF106" w14:textId="77777777" w:rsidR="006179BB" w:rsidRPr="00C15715" w:rsidRDefault="006179BB" w:rsidP="006179BB">
      <w:pPr>
        <w:spacing w:before="120" w:after="120" w:line="240" w:lineRule="auto"/>
        <w:jc w:val="center"/>
        <w:rPr>
          <w:rFonts w:cstheme="minorHAnsi"/>
        </w:rPr>
      </w:pPr>
      <w:r w:rsidRPr="00C15715">
        <w:rPr>
          <w:rFonts w:cstheme="minorHAnsi"/>
          <w:noProof/>
        </w:rPr>
        <w:drawing>
          <wp:inline distT="0" distB="0" distL="0" distR="0" wp14:anchorId="16CE7F49" wp14:editId="0AF5DED3">
            <wp:extent cx="4672883" cy="2621469"/>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01145" cy="2637324"/>
                    </a:xfrm>
                    <a:prstGeom prst="rect">
                      <a:avLst/>
                    </a:prstGeom>
                    <a:noFill/>
                  </pic:spPr>
                </pic:pic>
              </a:graphicData>
            </a:graphic>
          </wp:inline>
        </w:drawing>
      </w:r>
    </w:p>
    <w:p w14:paraId="4A77545D" w14:textId="1D70E37E"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222" w:name="_Toc23782701"/>
      <w:r w:rsidR="006E6675">
        <w:rPr>
          <w:rFonts w:asciiTheme="minorHAnsi" w:hAnsiTheme="minorHAnsi" w:cstheme="minorHAnsi"/>
          <w:noProof/>
        </w:rPr>
        <w:t>21</w:t>
      </w:r>
      <w:r w:rsidRPr="00C15715">
        <w:rPr>
          <w:rFonts w:asciiTheme="minorHAnsi" w:hAnsiTheme="minorHAnsi" w:cstheme="minorHAnsi"/>
          <w:noProof/>
        </w:rPr>
        <w:fldChar w:fldCharType="end"/>
      </w:r>
      <w:r w:rsidRPr="00C15715">
        <w:rPr>
          <w:rFonts w:asciiTheme="minorHAnsi" w:hAnsiTheme="minorHAnsi" w:cstheme="minorHAnsi"/>
        </w:rPr>
        <w:t>.attēls. Latvijas un ES energoimporta tendences 1990.-2017.gadā (%)</w:t>
      </w:r>
      <w:r w:rsidRPr="00C15715">
        <w:rPr>
          <w:rStyle w:val="FootnoteReference"/>
          <w:rFonts w:asciiTheme="minorHAnsi" w:hAnsiTheme="minorHAnsi" w:cstheme="minorHAnsi"/>
        </w:rPr>
        <w:footnoteReference w:id="66"/>
      </w:r>
      <w:bookmarkEnd w:id="222"/>
    </w:p>
    <w:p w14:paraId="5EEC3DE3" w14:textId="77777777" w:rsidR="006179BB" w:rsidRPr="00C15715" w:rsidRDefault="006179BB" w:rsidP="006179BB">
      <w:pPr>
        <w:spacing w:before="120" w:after="120" w:line="240" w:lineRule="auto"/>
        <w:jc w:val="both"/>
        <w:rPr>
          <w:rFonts w:cstheme="minorHAnsi"/>
        </w:rPr>
      </w:pPr>
      <w:r w:rsidRPr="00C15715">
        <w:rPr>
          <w:rFonts w:cstheme="minorHAnsi"/>
        </w:rPr>
        <w:t>2017.gadā Latvijas enerģētiskā atkarība cieto fosilo kurināmo apjomā bija 88,5%, naftas produktiem – 100,12%, un dabasgāzei – 101,9%, kas ir izskaidrojams ar to, ka Latvijā neiegūst gandrīz nevienu no šiem kurināmā veidiem</w:t>
      </w:r>
      <w:r>
        <w:rPr>
          <w:rFonts w:cstheme="minorHAnsi"/>
        </w:rPr>
        <w:t xml:space="preserve"> (izņemot smērvielas, kūdru un kūdras briketes)</w:t>
      </w:r>
      <w:r w:rsidRPr="00C15715">
        <w:rPr>
          <w:rFonts w:cstheme="minorHAnsi"/>
        </w:rPr>
        <w:t>, savukārt Latvija neizmanto visu importēto gāzi un daļa gāzes tiek uzglabāta Inčukalna pazemes gāzes krātuvē, kā arī Latvija neizmanto visu importēto šķidro naftas produktu apjomu, bet daļu eksportē.</w:t>
      </w:r>
    </w:p>
    <w:p w14:paraId="280F1FF5" w14:textId="5D33B0BE" w:rsidR="006179BB" w:rsidRPr="00C15715" w:rsidRDefault="006179BB" w:rsidP="006179BB">
      <w:pPr>
        <w:spacing w:before="120" w:after="120" w:line="240" w:lineRule="auto"/>
        <w:jc w:val="both"/>
        <w:rPr>
          <w:rFonts w:cstheme="minorHAnsi"/>
        </w:rPr>
      </w:pPr>
      <w:r w:rsidRPr="00C15715">
        <w:rPr>
          <w:rFonts w:cstheme="minorHAnsi"/>
        </w:rPr>
        <w:t xml:space="preserve">2017.gadā Latvija </w:t>
      </w:r>
      <w:r w:rsidR="00F82F85" w:rsidRPr="00F82F85">
        <w:rPr>
          <w:rFonts w:cstheme="minorHAnsi"/>
        </w:rPr>
        <w:t>dēļ neraksturīgi augsta ūdens daudzuma Daugavā un lielas HES izstrādes</w:t>
      </w:r>
      <w:r w:rsidR="00F82F85">
        <w:rPr>
          <w:rFonts w:cstheme="minorHAnsi"/>
        </w:rPr>
        <w:t xml:space="preserve"> </w:t>
      </w:r>
      <w:r w:rsidRPr="00C15715">
        <w:rPr>
          <w:rFonts w:cstheme="minorHAnsi"/>
        </w:rPr>
        <w:t>saražoja 101% no Latvijā nepieciešamās elektroenerģijas. Latvijas pārvades tīklā 2017.g. importēts par 16% mazāk elektroenerģijas, turpretī eksportēts par 9% vairāk nekā 2016.g. Tomēr, līdzīgi kā 2016.gadā Latvijas saražotās un patērētās elektroenerģijas saldo bija negatīvs ar būtisku Latvijas pārvades tīklā importētās elektroenerģijas pārsvaru pār no Latvijas pārvades tīkla eksportēto elektroenerģiju. Tāpat arī Latvijas elektroenerģijas patēriņa apjoms pārsniedz kopējo Latvijā saražotās elektroenerģijas apjomu, tāpēc 2018.gadā vietējie elektroenerģijas ražotāji Latvijas elektroenerģijas patēriņu nosedza nepilnu 88% apmērā.</w:t>
      </w:r>
    </w:p>
    <w:p w14:paraId="6749C275" w14:textId="10A4A31B" w:rsidR="006179BB" w:rsidRPr="00C15715" w:rsidRDefault="006179BB" w:rsidP="006179BB">
      <w:pPr>
        <w:pStyle w:val="Caption"/>
        <w:rPr>
          <w:rFonts w:asciiTheme="minorHAnsi" w:hAnsiTheme="minorHAnsi" w:cstheme="minorHAnsi"/>
          <w:szCs w:val="24"/>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Tabula \* ARABIC </w:instrText>
      </w:r>
      <w:r w:rsidRPr="00C15715">
        <w:rPr>
          <w:rFonts w:asciiTheme="minorHAnsi" w:hAnsiTheme="minorHAnsi" w:cstheme="minorHAnsi"/>
          <w:szCs w:val="24"/>
        </w:rPr>
        <w:fldChar w:fldCharType="separate"/>
      </w:r>
      <w:r w:rsidR="006E6675">
        <w:rPr>
          <w:rFonts w:asciiTheme="minorHAnsi" w:hAnsiTheme="minorHAnsi" w:cstheme="minorHAnsi"/>
          <w:noProof/>
          <w:szCs w:val="24"/>
        </w:rPr>
        <w:t>7</w:t>
      </w:r>
      <w:r w:rsidRPr="00C15715">
        <w:rPr>
          <w:rFonts w:asciiTheme="minorHAnsi" w:hAnsiTheme="minorHAnsi" w:cstheme="minorHAnsi"/>
          <w:szCs w:val="24"/>
        </w:rPr>
        <w:fldChar w:fldCharType="end"/>
      </w:r>
      <w:r w:rsidRPr="00C15715">
        <w:rPr>
          <w:rFonts w:asciiTheme="minorHAnsi" w:hAnsiTheme="minorHAnsi" w:cstheme="minorHAnsi"/>
        </w:rPr>
        <w:t>.tabula. Latvijas elektroenerģijas imports un eksports 2016.-2017.g. (MWh)</w:t>
      </w:r>
      <w:r w:rsidRPr="00C15715">
        <w:rPr>
          <w:rStyle w:val="FootnoteReference"/>
          <w:rFonts w:asciiTheme="minorHAnsi" w:hAnsiTheme="minorHAnsi" w:cstheme="minorHAnsi"/>
        </w:rPr>
        <w:footnoteReference w:id="67"/>
      </w:r>
    </w:p>
    <w:tbl>
      <w:tblPr>
        <w:tblW w:w="9956" w:type="dxa"/>
        <w:jc w:val="center"/>
        <w:tblLook w:val="04A0" w:firstRow="1" w:lastRow="0" w:firstColumn="1" w:lastColumn="0" w:noHBand="0" w:noVBand="1"/>
      </w:tblPr>
      <w:tblGrid>
        <w:gridCol w:w="4002"/>
        <w:gridCol w:w="1323"/>
        <w:gridCol w:w="1559"/>
        <w:gridCol w:w="1323"/>
        <w:gridCol w:w="1749"/>
      </w:tblGrid>
      <w:tr w:rsidR="006179BB" w:rsidRPr="00C15715" w14:paraId="1929800B" w14:textId="77777777" w:rsidTr="006179BB">
        <w:trPr>
          <w:trHeight w:val="56"/>
          <w:jc w:val="center"/>
        </w:trPr>
        <w:tc>
          <w:tcPr>
            <w:tcW w:w="42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3B5F526" w14:textId="77777777" w:rsidR="006179BB" w:rsidRPr="00C15715" w:rsidRDefault="006179BB" w:rsidP="006179BB">
            <w:pPr>
              <w:spacing w:after="0" w:line="240" w:lineRule="auto"/>
              <w:rPr>
                <w:rFonts w:eastAsia="Times New Roman" w:cstheme="minorHAnsi"/>
                <w:sz w:val="22"/>
                <w:lang w:eastAsia="lv-LV"/>
              </w:rPr>
            </w:pPr>
            <w:r w:rsidRPr="00C15715">
              <w:rPr>
                <w:rFonts w:eastAsia="Times New Roman" w:cstheme="minorHAnsi"/>
                <w:sz w:val="22"/>
                <w:lang w:eastAsia="lv-LV"/>
              </w:rPr>
              <w:t> </w:t>
            </w:r>
          </w:p>
        </w:tc>
        <w:tc>
          <w:tcPr>
            <w:tcW w:w="1323" w:type="dxa"/>
            <w:tcBorders>
              <w:top w:val="single" w:sz="4" w:space="0" w:color="auto"/>
              <w:left w:val="nil"/>
              <w:bottom w:val="single" w:sz="4" w:space="0" w:color="auto"/>
              <w:right w:val="single" w:sz="4" w:space="0" w:color="auto"/>
            </w:tcBorders>
            <w:shd w:val="clear" w:color="auto" w:fill="E7E6E6" w:themeFill="background2"/>
            <w:vAlign w:val="center"/>
            <w:hideMark/>
          </w:tcPr>
          <w:p w14:paraId="468A62D5" w14:textId="77777777" w:rsidR="006179BB" w:rsidRPr="00C15715" w:rsidRDefault="006179BB" w:rsidP="006179BB">
            <w:pPr>
              <w:spacing w:after="0" w:line="240" w:lineRule="auto"/>
              <w:jc w:val="center"/>
              <w:rPr>
                <w:rFonts w:eastAsia="Times New Roman" w:cstheme="minorHAnsi"/>
                <w:b/>
                <w:bCs/>
                <w:color w:val="000000"/>
                <w:sz w:val="22"/>
                <w:lang w:eastAsia="lv-LV"/>
              </w:rPr>
            </w:pPr>
            <w:r w:rsidRPr="00C15715">
              <w:rPr>
                <w:rFonts w:eastAsia="Times New Roman" w:cstheme="minorHAnsi"/>
                <w:b/>
                <w:bCs/>
                <w:color w:val="000000"/>
                <w:sz w:val="22"/>
                <w:lang w:eastAsia="lv-LV"/>
              </w:rPr>
              <w:t>2016</w:t>
            </w:r>
          </w:p>
          <w:p w14:paraId="45FE6FC7" w14:textId="77777777" w:rsidR="006179BB" w:rsidRPr="00C15715" w:rsidRDefault="006179BB" w:rsidP="006179BB">
            <w:pPr>
              <w:spacing w:after="0" w:line="240" w:lineRule="auto"/>
              <w:jc w:val="center"/>
              <w:rPr>
                <w:rFonts w:eastAsia="Times New Roman" w:cstheme="minorHAnsi"/>
                <w:b/>
                <w:bCs/>
                <w:color w:val="000000"/>
                <w:sz w:val="22"/>
                <w:lang w:eastAsia="lv-LV"/>
              </w:rPr>
            </w:pPr>
            <w:r w:rsidRPr="00C15715">
              <w:rPr>
                <w:rFonts w:eastAsia="Times New Roman" w:cstheme="minorHAnsi"/>
                <w:b/>
                <w:bCs/>
                <w:color w:val="000000"/>
                <w:sz w:val="22"/>
                <w:lang w:eastAsia="lv-LV"/>
              </w:rPr>
              <w:t>(GWh)</w:t>
            </w:r>
          </w:p>
        </w:tc>
        <w:tc>
          <w:tcPr>
            <w:tcW w:w="1559" w:type="dxa"/>
            <w:tcBorders>
              <w:top w:val="single" w:sz="4" w:space="0" w:color="auto"/>
              <w:left w:val="nil"/>
              <w:bottom w:val="single" w:sz="4" w:space="0" w:color="auto"/>
              <w:right w:val="single" w:sz="4" w:space="0" w:color="auto"/>
            </w:tcBorders>
            <w:shd w:val="clear" w:color="auto" w:fill="E7E6E6" w:themeFill="background2"/>
            <w:vAlign w:val="center"/>
            <w:hideMark/>
          </w:tcPr>
          <w:p w14:paraId="4D12FC6F" w14:textId="77777777" w:rsidR="006179BB" w:rsidRPr="00C15715" w:rsidRDefault="006179BB" w:rsidP="006179BB">
            <w:pPr>
              <w:spacing w:after="0" w:line="240" w:lineRule="auto"/>
              <w:jc w:val="center"/>
              <w:rPr>
                <w:rFonts w:eastAsia="Times New Roman" w:cstheme="minorHAnsi"/>
                <w:b/>
                <w:bCs/>
                <w:color w:val="000000"/>
                <w:sz w:val="22"/>
                <w:lang w:eastAsia="lv-LV"/>
              </w:rPr>
            </w:pPr>
            <w:r w:rsidRPr="00C15715">
              <w:rPr>
                <w:rFonts w:eastAsia="Times New Roman" w:cstheme="minorHAnsi"/>
                <w:b/>
                <w:bCs/>
                <w:color w:val="000000"/>
                <w:sz w:val="22"/>
                <w:lang w:eastAsia="lv-LV"/>
              </w:rPr>
              <w:t>2017</w:t>
            </w:r>
            <w:r w:rsidRPr="00C15715">
              <w:rPr>
                <w:rFonts w:eastAsia="Times New Roman" w:cstheme="minorHAnsi"/>
                <w:b/>
                <w:bCs/>
                <w:color w:val="000000"/>
                <w:sz w:val="22"/>
                <w:lang w:eastAsia="lv-LV"/>
              </w:rPr>
              <w:br/>
              <w:t>(GWh)</w:t>
            </w:r>
          </w:p>
        </w:tc>
        <w:tc>
          <w:tcPr>
            <w:tcW w:w="1231" w:type="dxa"/>
            <w:tcBorders>
              <w:top w:val="single" w:sz="4" w:space="0" w:color="auto"/>
              <w:left w:val="nil"/>
              <w:bottom w:val="single" w:sz="4" w:space="0" w:color="auto"/>
              <w:right w:val="single" w:sz="4" w:space="0" w:color="auto"/>
            </w:tcBorders>
            <w:shd w:val="clear" w:color="auto" w:fill="E7E6E6" w:themeFill="background2"/>
            <w:vAlign w:val="center"/>
            <w:hideMark/>
          </w:tcPr>
          <w:p w14:paraId="6C6B11AD" w14:textId="77777777" w:rsidR="006179BB" w:rsidRPr="00C15715" w:rsidRDefault="006179BB" w:rsidP="006179BB">
            <w:pPr>
              <w:spacing w:after="0" w:line="240" w:lineRule="auto"/>
              <w:jc w:val="center"/>
              <w:rPr>
                <w:rFonts w:eastAsia="Times New Roman" w:cstheme="minorHAnsi"/>
                <w:b/>
                <w:bCs/>
                <w:color w:val="000000"/>
                <w:sz w:val="22"/>
                <w:lang w:eastAsia="lv-LV"/>
              </w:rPr>
            </w:pPr>
            <w:r w:rsidRPr="00C15715">
              <w:rPr>
                <w:rFonts w:eastAsia="Times New Roman" w:cstheme="minorHAnsi"/>
                <w:b/>
                <w:bCs/>
                <w:color w:val="000000"/>
                <w:sz w:val="22"/>
                <w:lang w:eastAsia="lv-LV"/>
              </w:rPr>
              <w:t>2018</w:t>
            </w:r>
            <w:r w:rsidRPr="00C15715">
              <w:rPr>
                <w:rFonts w:eastAsia="Times New Roman" w:cstheme="minorHAnsi"/>
                <w:b/>
                <w:bCs/>
                <w:color w:val="000000"/>
                <w:sz w:val="22"/>
                <w:lang w:eastAsia="lv-LV"/>
              </w:rPr>
              <w:br/>
              <w:t>(GWh)</w:t>
            </w:r>
          </w:p>
        </w:tc>
        <w:tc>
          <w:tcPr>
            <w:tcW w:w="1623" w:type="dxa"/>
            <w:tcBorders>
              <w:top w:val="single" w:sz="4" w:space="0" w:color="auto"/>
              <w:left w:val="nil"/>
              <w:bottom w:val="single" w:sz="4" w:space="0" w:color="auto"/>
              <w:right w:val="single" w:sz="4" w:space="0" w:color="auto"/>
            </w:tcBorders>
            <w:shd w:val="clear" w:color="auto" w:fill="E7E6E6" w:themeFill="background2"/>
            <w:vAlign w:val="center"/>
            <w:hideMark/>
          </w:tcPr>
          <w:p w14:paraId="62921481" w14:textId="77777777" w:rsidR="006179BB" w:rsidRPr="00C15715" w:rsidRDefault="006179BB" w:rsidP="006179BB">
            <w:pPr>
              <w:spacing w:after="0" w:line="240" w:lineRule="auto"/>
              <w:jc w:val="center"/>
              <w:rPr>
                <w:rFonts w:eastAsia="Times New Roman" w:cstheme="minorHAnsi"/>
                <w:b/>
                <w:bCs/>
                <w:color w:val="000000"/>
                <w:sz w:val="22"/>
                <w:lang w:eastAsia="lv-LV"/>
              </w:rPr>
            </w:pPr>
            <w:r w:rsidRPr="00C15715">
              <w:rPr>
                <w:rFonts w:eastAsia="Times New Roman" w:cstheme="minorHAnsi"/>
                <w:b/>
                <w:bCs/>
                <w:color w:val="000000"/>
                <w:sz w:val="22"/>
                <w:lang w:eastAsia="lv-LV"/>
              </w:rPr>
              <w:t>Izmaiņas</w:t>
            </w:r>
            <w:r w:rsidRPr="00C15715">
              <w:rPr>
                <w:rFonts w:eastAsia="Times New Roman" w:cstheme="minorHAnsi"/>
                <w:b/>
                <w:bCs/>
                <w:color w:val="000000"/>
                <w:sz w:val="22"/>
                <w:lang w:eastAsia="lv-LV"/>
              </w:rPr>
              <w:br/>
              <w:t>(2017.-2018.)</w:t>
            </w:r>
          </w:p>
        </w:tc>
      </w:tr>
      <w:tr w:rsidR="006179BB" w:rsidRPr="00C15715" w14:paraId="4692CAF8" w14:textId="77777777" w:rsidTr="006179BB">
        <w:trPr>
          <w:trHeight w:val="56"/>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6821DE0A"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Latvijas pārvades tīklā importētā elektroenerģija</w:t>
            </w:r>
          </w:p>
        </w:tc>
        <w:tc>
          <w:tcPr>
            <w:tcW w:w="1323" w:type="dxa"/>
            <w:tcBorders>
              <w:top w:val="nil"/>
              <w:left w:val="nil"/>
              <w:bottom w:val="single" w:sz="4" w:space="0" w:color="auto"/>
              <w:right w:val="single" w:sz="4" w:space="0" w:color="auto"/>
            </w:tcBorders>
            <w:shd w:val="clear" w:color="auto" w:fill="auto"/>
            <w:vAlign w:val="center"/>
            <w:hideMark/>
          </w:tcPr>
          <w:p w14:paraId="765020BD"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4828,354</w:t>
            </w:r>
          </w:p>
        </w:tc>
        <w:tc>
          <w:tcPr>
            <w:tcW w:w="1559" w:type="dxa"/>
            <w:tcBorders>
              <w:top w:val="nil"/>
              <w:left w:val="nil"/>
              <w:bottom w:val="single" w:sz="4" w:space="0" w:color="auto"/>
              <w:right w:val="single" w:sz="4" w:space="0" w:color="auto"/>
            </w:tcBorders>
            <w:shd w:val="clear" w:color="auto" w:fill="auto"/>
            <w:vAlign w:val="center"/>
            <w:hideMark/>
          </w:tcPr>
          <w:p w14:paraId="7B04DD34"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4072,912</w:t>
            </w:r>
          </w:p>
        </w:tc>
        <w:tc>
          <w:tcPr>
            <w:tcW w:w="1231" w:type="dxa"/>
            <w:tcBorders>
              <w:top w:val="nil"/>
              <w:left w:val="nil"/>
              <w:bottom w:val="single" w:sz="4" w:space="0" w:color="auto"/>
              <w:right w:val="single" w:sz="4" w:space="0" w:color="auto"/>
            </w:tcBorders>
            <w:shd w:val="clear" w:color="auto" w:fill="auto"/>
            <w:vAlign w:val="center"/>
            <w:hideMark/>
          </w:tcPr>
          <w:p w14:paraId="04A71F7C"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5173,682</w:t>
            </w:r>
          </w:p>
        </w:tc>
        <w:tc>
          <w:tcPr>
            <w:tcW w:w="1623" w:type="dxa"/>
            <w:tcBorders>
              <w:top w:val="nil"/>
              <w:left w:val="nil"/>
              <w:bottom w:val="single" w:sz="4" w:space="0" w:color="auto"/>
              <w:right w:val="single" w:sz="4" w:space="0" w:color="auto"/>
            </w:tcBorders>
            <w:shd w:val="clear" w:color="auto" w:fill="auto"/>
            <w:vAlign w:val="center"/>
            <w:hideMark/>
          </w:tcPr>
          <w:p w14:paraId="1A6F9AD0"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27%</w:t>
            </w:r>
          </w:p>
        </w:tc>
      </w:tr>
      <w:tr w:rsidR="006179BB" w:rsidRPr="00C15715" w14:paraId="7AA2C5B5" w14:textId="77777777" w:rsidTr="006179BB">
        <w:trPr>
          <w:trHeight w:val="56"/>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088168C9"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No Latvijas pārvades tīkla eksportētā elektroenerģija</w:t>
            </w:r>
          </w:p>
        </w:tc>
        <w:tc>
          <w:tcPr>
            <w:tcW w:w="1323" w:type="dxa"/>
            <w:tcBorders>
              <w:top w:val="nil"/>
              <w:left w:val="nil"/>
              <w:bottom w:val="single" w:sz="4" w:space="0" w:color="auto"/>
              <w:right w:val="single" w:sz="4" w:space="0" w:color="auto"/>
            </w:tcBorders>
            <w:shd w:val="clear" w:color="auto" w:fill="auto"/>
            <w:vAlign w:val="center"/>
            <w:hideMark/>
          </w:tcPr>
          <w:p w14:paraId="679D8E94"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3794,883</w:t>
            </w:r>
          </w:p>
        </w:tc>
        <w:tc>
          <w:tcPr>
            <w:tcW w:w="1559" w:type="dxa"/>
            <w:tcBorders>
              <w:top w:val="nil"/>
              <w:left w:val="nil"/>
              <w:bottom w:val="single" w:sz="4" w:space="0" w:color="auto"/>
              <w:right w:val="single" w:sz="4" w:space="0" w:color="auto"/>
            </w:tcBorders>
            <w:shd w:val="clear" w:color="auto" w:fill="auto"/>
            <w:vAlign w:val="center"/>
            <w:hideMark/>
          </w:tcPr>
          <w:p w14:paraId="2273C060"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4137,077</w:t>
            </w:r>
          </w:p>
        </w:tc>
        <w:tc>
          <w:tcPr>
            <w:tcW w:w="1231" w:type="dxa"/>
            <w:tcBorders>
              <w:top w:val="nil"/>
              <w:left w:val="nil"/>
              <w:bottom w:val="single" w:sz="4" w:space="0" w:color="auto"/>
              <w:right w:val="single" w:sz="4" w:space="0" w:color="auto"/>
            </w:tcBorders>
            <w:shd w:val="clear" w:color="auto" w:fill="auto"/>
            <w:vAlign w:val="center"/>
            <w:hideMark/>
          </w:tcPr>
          <w:p w14:paraId="4DA7D8F9"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4264,801</w:t>
            </w:r>
          </w:p>
        </w:tc>
        <w:tc>
          <w:tcPr>
            <w:tcW w:w="1623" w:type="dxa"/>
            <w:tcBorders>
              <w:top w:val="nil"/>
              <w:left w:val="nil"/>
              <w:bottom w:val="single" w:sz="4" w:space="0" w:color="auto"/>
              <w:right w:val="single" w:sz="4" w:space="0" w:color="auto"/>
            </w:tcBorders>
            <w:shd w:val="clear" w:color="auto" w:fill="auto"/>
            <w:vAlign w:val="center"/>
            <w:hideMark/>
          </w:tcPr>
          <w:p w14:paraId="3B3BA7D7"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3,1%</w:t>
            </w:r>
          </w:p>
        </w:tc>
      </w:tr>
      <w:tr w:rsidR="006179BB" w:rsidRPr="00C15715" w14:paraId="6171EFED" w14:textId="77777777" w:rsidTr="006179BB">
        <w:trPr>
          <w:trHeight w:val="112"/>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5187B274"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Latvijas elektroenerģijas saldo</w:t>
            </w:r>
          </w:p>
        </w:tc>
        <w:tc>
          <w:tcPr>
            <w:tcW w:w="1323" w:type="dxa"/>
            <w:tcBorders>
              <w:top w:val="nil"/>
              <w:left w:val="nil"/>
              <w:bottom w:val="single" w:sz="4" w:space="0" w:color="auto"/>
              <w:right w:val="single" w:sz="4" w:space="0" w:color="auto"/>
            </w:tcBorders>
            <w:shd w:val="clear" w:color="auto" w:fill="auto"/>
            <w:vAlign w:val="center"/>
            <w:hideMark/>
          </w:tcPr>
          <w:p w14:paraId="5DD5F62A" w14:textId="77777777" w:rsidR="006179BB" w:rsidRPr="00C15715" w:rsidRDefault="006179BB" w:rsidP="006179BB">
            <w:pPr>
              <w:spacing w:after="0" w:line="240" w:lineRule="auto"/>
              <w:jc w:val="center"/>
              <w:rPr>
                <w:rFonts w:eastAsia="Times New Roman" w:cstheme="minorHAnsi"/>
                <w:szCs w:val="24"/>
                <w:lang w:eastAsia="lv-LV"/>
              </w:rPr>
            </w:pPr>
            <w:r>
              <w:rPr>
                <w:rFonts w:eastAsia="Times New Roman" w:cstheme="minorHAnsi"/>
                <w:szCs w:val="24"/>
                <w:lang w:eastAsia="lv-LV"/>
              </w:rPr>
              <w:t>-</w:t>
            </w:r>
            <w:r w:rsidRPr="00C15715">
              <w:rPr>
                <w:rFonts w:eastAsia="Times New Roman" w:cstheme="minorHAnsi"/>
                <w:szCs w:val="24"/>
                <w:lang w:eastAsia="lv-LV"/>
              </w:rPr>
              <w:t>1033,47 (iztrūkums)</w:t>
            </w:r>
          </w:p>
        </w:tc>
        <w:tc>
          <w:tcPr>
            <w:tcW w:w="1559" w:type="dxa"/>
            <w:tcBorders>
              <w:top w:val="nil"/>
              <w:left w:val="nil"/>
              <w:bottom w:val="single" w:sz="4" w:space="0" w:color="auto"/>
              <w:right w:val="single" w:sz="4" w:space="0" w:color="auto"/>
            </w:tcBorders>
            <w:shd w:val="clear" w:color="auto" w:fill="auto"/>
            <w:vAlign w:val="center"/>
            <w:hideMark/>
          </w:tcPr>
          <w:p w14:paraId="745183EB" w14:textId="77777777" w:rsidR="006179BB" w:rsidRPr="00C15715" w:rsidRDefault="006179BB" w:rsidP="006179BB">
            <w:pPr>
              <w:spacing w:after="0" w:line="240" w:lineRule="auto"/>
              <w:jc w:val="center"/>
              <w:rPr>
                <w:rFonts w:eastAsia="Times New Roman" w:cstheme="minorHAnsi"/>
                <w:szCs w:val="24"/>
                <w:lang w:eastAsia="lv-LV"/>
              </w:rPr>
            </w:pPr>
            <w:r>
              <w:rPr>
                <w:rFonts w:eastAsia="Times New Roman" w:cstheme="minorHAnsi"/>
                <w:szCs w:val="24"/>
                <w:lang w:eastAsia="lv-LV"/>
              </w:rPr>
              <w:t>+</w:t>
            </w:r>
            <w:r w:rsidRPr="00C15715">
              <w:rPr>
                <w:rFonts w:eastAsia="Times New Roman" w:cstheme="minorHAnsi"/>
                <w:szCs w:val="24"/>
                <w:lang w:eastAsia="lv-LV"/>
              </w:rPr>
              <w:t>641,66 (pārpalikums)</w:t>
            </w:r>
          </w:p>
        </w:tc>
        <w:tc>
          <w:tcPr>
            <w:tcW w:w="1231" w:type="dxa"/>
            <w:tcBorders>
              <w:top w:val="nil"/>
              <w:left w:val="nil"/>
              <w:bottom w:val="single" w:sz="4" w:space="0" w:color="auto"/>
              <w:right w:val="single" w:sz="4" w:space="0" w:color="auto"/>
            </w:tcBorders>
            <w:shd w:val="clear" w:color="auto" w:fill="auto"/>
            <w:vAlign w:val="center"/>
            <w:hideMark/>
          </w:tcPr>
          <w:p w14:paraId="763EC654" w14:textId="77777777" w:rsidR="006179BB" w:rsidRPr="00C15715" w:rsidRDefault="006179BB" w:rsidP="006179BB">
            <w:pPr>
              <w:spacing w:after="0" w:line="240" w:lineRule="auto"/>
              <w:jc w:val="center"/>
              <w:rPr>
                <w:rFonts w:eastAsia="Times New Roman" w:cstheme="minorHAnsi"/>
                <w:color w:val="000000"/>
                <w:szCs w:val="24"/>
                <w:lang w:eastAsia="lv-LV"/>
              </w:rPr>
            </w:pPr>
            <w:r>
              <w:rPr>
                <w:rFonts w:eastAsia="Times New Roman" w:cstheme="minorHAnsi"/>
                <w:color w:val="000000"/>
                <w:szCs w:val="24"/>
                <w:lang w:eastAsia="lv-LV"/>
              </w:rPr>
              <w:t>-</w:t>
            </w:r>
            <w:r w:rsidRPr="00C15715">
              <w:rPr>
                <w:rFonts w:eastAsia="Times New Roman" w:cstheme="minorHAnsi"/>
                <w:color w:val="000000"/>
                <w:szCs w:val="24"/>
                <w:lang w:eastAsia="lv-LV"/>
              </w:rPr>
              <w:t>908,88</w:t>
            </w:r>
          </w:p>
          <w:p w14:paraId="614B7D60"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(iztrūkums)</w:t>
            </w:r>
          </w:p>
        </w:tc>
        <w:tc>
          <w:tcPr>
            <w:tcW w:w="1623" w:type="dxa"/>
            <w:tcBorders>
              <w:top w:val="nil"/>
              <w:left w:val="nil"/>
              <w:bottom w:val="single" w:sz="4" w:space="0" w:color="auto"/>
              <w:right w:val="single" w:sz="4" w:space="0" w:color="auto"/>
            </w:tcBorders>
            <w:shd w:val="clear" w:color="auto" w:fill="auto"/>
            <w:vAlign w:val="center"/>
            <w:hideMark/>
          </w:tcPr>
          <w:p w14:paraId="2815A544"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1516,5 % (iztrūkums)</w:t>
            </w:r>
          </w:p>
        </w:tc>
      </w:tr>
      <w:tr w:rsidR="006179BB" w:rsidRPr="00C15715" w14:paraId="4094D149" w14:textId="77777777" w:rsidTr="006179BB">
        <w:trPr>
          <w:trHeight w:val="315"/>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6B0E4936" w14:textId="77777777" w:rsidR="006179BB" w:rsidRPr="00C15715" w:rsidRDefault="006179BB" w:rsidP="006179BB">
            <w:pPr>
              <w:spacing w:after="0" w:line="240" w:lineRule="auto"/>
              <w:rPr>
                <w:rFonts w:eastAsia="Times New Roman" w:cstheme="minorHAnsi"/>
                <w:szCs w:val="24"/>
                <w:lang w:eastAsia="lv-LV"/>
              </w:rPr>
            </w:pPr>
            <w:bookmarkStart w:id="223" w:name="RANGE!A23"/>
            <w:r w:rsidRPr="00C15715">
              <w:rPr>
                <w:rFonts w:eastAsia="Times New Roman" w:cstheme="minorHAnsi"/>
                <w:szCs w:val="24"/>
                <w:lang w:eastAsia="lv-LV"/>
              </w:rPr>
              <w:t>Latvijas elektroenerģijas patēriņš</w:t>
            </w:r>
            <w:bookmarkEnd w:id="223"/>
          </w:p>
        </w:tc>
        <w:tc>
          <w:tcPr>
            <w:tcW w:w="1323" w:type="dxa"/>
            <w:tcBorders>
              <w:top w:val="nil"/>
              <w:left w:val="nil"/>
              <w:bottom w:val="single" w:sz="4" w:space="0" w:color="auto"/>
              <w:right w:val="single" w:sz="4" w:space="0" w:color="auto"/>
            </w:tcBorders>
            <w:shd w:val="clear" w:color="auto" w:fill="auto"/>
            <w:vAlign w:val="center"/>
            <w:hideMark/>
          </w:tcPr>
          <w:p w14:paraId="1E1B8EF6"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7264,728</w:t>
            </w:r>
          </w:p>
        </w:tc>
        <w:tc>
          <w:tcPr>
            <w:tcW w:w="1559" w:type="dxa"/>
            <w:tcBorders>
              <w:top w:val="nil"/>
              <w:left w:val="nil"/>
              <w:bottom w:val="single" w:sz="4" w:space="0" w:color="auto"/>
              <w:right w:val="single" w:sz="4" w:space="0" w:color="auto"/>
            </w:tcBorders>
            <w:shd w:val="clear" w:color="auto" w:fill="auto"/>
            <w:vAlign w:val="center"/>
            <w:hideMark/>
          </w:tcPr>
          <w:p w14:paraId="22482E0A"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7282,17</w:t>
            </w:r>
          </w:p>
        </w:tc>
        <w:tc>
          <w:tcPr>
            <w:tcW w:w="1231" w:type="dxa"/>
            <w:tcBorders>
              <w:top w:val="nil"/>
              <w:left w:val="nil"/>
              <w:bottom w:val="single" w:sz="4" w:space="0" w:color="auto"/>
              <w:right w:val="single" w:sz="4" w:space="0" w:color="auto"/>
            </w:tcBorders>
            <w:shd w:val="clear" w:color="auto" w:fill="auto"/>
            <w:vAlign w:val="center"/>
            <w:hideMark/>
          </w:tcPr>
          <w:p w14:paraId="461AF1BA"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7410,215</w:t>
            </w:r>
          </w:p>
        </w:tc>
        <w:tc>
          <w:tcPr>
            <w:tcW w:w="1623" w:type="dxa"/>
            <w:tcBorders>
              <w:top w:val="nil"/>
              <w:left w:val="nil"/>
              <w:bottom w:val="single" w:sz="4" w:space="0" w:color="auto"/>
              <w:right w:val="single" w:sz="4" w:space="0" w:color="auto"/>
            </w:tcBorders>
            <w:shd w:val="clear" w:color="auto" w:fill="auto"/>
            <w:vAlign w:val="center"/>
            <w:hideMark/>
          </w:tcPr>
          <w:p w14:paraId="12B839F9"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1,8%</w:t>
            </w:r>
          </w:p>
        </w:tc>
      </w:tr>
      <w:tr w:rsidR="006179BB" w:rsidRPr="00C15715" w14:paraId="0864A3AE" w14:textId="77777777" w:rsidTr="006179BB">
        <w:trPr>
          <w:trHeight w:val="56"/>
          <w:jc w:val="center"/>
        </w:trPr>
        <w:tc>
          <w:tcPr>
            <w:tcW w:w="4220" w:type="dxa"/>
            <w:tcBorders>
              <w:top w:val="nil"/>
              <w:left w:val="single" w:sz="4" w:space="0" w:color="auto"/>
              <w:bottom w:val="single" w:sz="4" w:space="0" w:color="auto"/>
              <w:right w:val="single" w:sz="4" w:space="0" w:color="auto"/>
            </w:tcBorders>
            <w:shd w:val="clear" w:color="auto" w:fill="auto"/>
            <w:vAlign w:val="center"/>
          </w:tcPr>
          <w:p w14:paraId="282DB078"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Kopējais saražotās elektroenerģijas apjoms</w:t>
            </w:r>
          </w:p>
        </w:tc>
        <w:tc>
          <w:tcPr>
            <w:tcW w:w="1323" w:type="dxa"/>
            <w:tcBorders>
              <w:top w:val="nil"/>
              <w:left w:val="nil"/>
              <w:bottom w:val="single" w:sz="4" w:space="0" w:color="auto"/>
              <w:right w:val="single" w:sz="4" w:space="0" w:color="auto"/>
            </w:tcBorders>
            <w:shd w:val="clear" w:color="auto" w:fill="auto"/>
            <w:vAlign w:val="center"/>
          </w:tcPr>
          <w:p w14:paraId="7BD7A1FD"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6231,257</w:t>
            </w:r>
          </w:p>
        </w:tc>
        <w:tc>
          <w:tcPr>
            <w:tcW w:w="1559" w:type="dxa"/>
            <w:tcBorders>
              <w:top w:val="nil"/>
              <w:left w:val="nil"/>
              <w:bottom w:val="single" w:sz="4" w:space="0" w:color="auto"/>
              <w:right w:val="single" w:sz="4" w:space="0" w:color="auto"/>
            </w:tcBorders>
            <w:shd w:val="clear" w:color="auto" w:fill="auto"/>
            <w:vAlign w:val="center"/>
          </w:tcPr>
          <w:p w14:paraId="1A6E622B"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7346,336</w:t>
            </w:r>
          </w:p>
        </w:tc>
        <w:tc>
          <w:tcPr>
            <w:tcW w:w="1231" w:type="dxa"/>
            <w:tcBorders>
              <w:top w:val="nil"/>
              <w:left w:val="nil"/>
              <w:bottom w:val="single" w:sz="4" w:space="0" w:color="auto"/>
              <w:right w:val="single" w:sz="4" w:space="0" w:color="auto"/>
            </w:tcBorders>
            <w:shd w:val="clear" w:color="auto" w:fill="auto"/>
            <w:vAlign w:val="center"/>
          </w:tcPr>
          <w:p w14:paraId="17B8DDD2"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6501,335</w:t>
            </w:r>
          </w:p>
        </w:tc>
        <w:tc>
          <w:tcPr>
            <w:tcW w:w="1623" w:type="dxa"/>
            <w:tcBorders>
              <w:top w:val="nil"/>
              <w:left w:val="nil"/>
              <w:bottom w:val="single" w:sz="4" w:space="0" w:color="auto"/>
              <w:right w:val="single" w:sz="4" w:space="0" w:color="auto"/>
            </w:tcBorders>
            <w:shd w:val="clear" w:color="auto" w:fill="auto"/>
            <w:vAlign w:val="center"/>
          </w:tcPr>
          <w:p w14:paraId="2A227EBB"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-11,5%</w:t>
            </w:r>
          </w:p>
        </w:tc>
      </w:tr>
      <w:tr w:rsidR="006179BB" w:rsidRPr="00C15715" w14:paraId="38444E66" w14:textId="77777777" w:rsidTr="006179BB">
        <w:trPr>
          <w:trHeight w:val="56"/>
          <w:jc w:val="center"/>
        </w:trPr>
        <w:tc>
          <w:tcPr>
            <w:tcW w:w="9956" w:type="dxa"/>
            <w:gridSpan w:val="5"/>
            <w:tcBorders>
              <w:top w:val="nil"/>
              <w:left w:val="single" w:sz="4" w:space="0" w:color="auto"/>
              <w:bottom w:val="single" w:sz="4" w:space="0" w:color="auto"/>
              <w:right w:val="single" w:sz="4" w:space="0" w:color="auto"/>
            </w:tcBorders>
            <w:shd w:val="clear" w:color="auto" w:fill="auto"/>
            <w:vAlign w:val="bottom"/>
            <w:hideMark/>
          </w:tcPr>
          <w:p w14:paraId="17E7F23A" w14:textId="77777777" w:rsidR="006179BB" w:rsidRPr="00C15715" w:rsidRDefault="006179BB" w:rsidP="006179BB">
            <w:pPr>
              <w:spacing w:after="0" w:line="240" w:lineRule="auto"/>
              <w:rPr>
                <w:rFonts w:eastAsia="Times New Roman" w:cstheme="minorHAnsi"/>
                <w:color w:val="000000"/>
                <w:szCs w:val="24"/>
                <w:lang w:eastAsia="lv-LV"/>
              </w:rPr>
            </w:pPr>
            <w:r w:rsidRPr="00C15715">
              <w:rPr>
                <w:rFonts w:eastAsia="Times New Roman" w:cstheme="minorHAnsi"/>
                <w:color w:val="333333"/>
                <w:szCs w:val="24"/>
                <w:lang w:eastAsia="lv-LV"/>
              </w:rPr>
              <w:t> </w:t>
            </w:r>
          </w:p>
        </w:tc>
      </w:tr>
      <w:tr w:rsidR="006179BB" w:rsidRPr="00C15715" w14:paraId="6F6FC763" w14:textId="77777777" w:rsidTr="006179BB">
        <w:trPr>
          <w:trHeight w:val="56"/>
          <w:jc w:val="center"/>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2F8062CB"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Valsts patēriņa nosegšana, izmantojot vietējās ģenerācijas (%)</w:t>
            </w:r>
          </w:p>
        </w:tc>
        <w:tc>
          <w:tcPr>
            <w:tcW w:w="1323" w:type="dxa"/>
            <w:tcBorders>
              <w:top w:val="nil"/>
              <w:left w:val="nil"/>
              <w:bottom w:val="single" w:sz="4" w:space="0" w:color="auto"/>
              <w:right w:val="single" w:sz="4" w:space="0" w:color="auto"/>
            </w:tcBorders>
            <w:shd w:val="clear" w:color="auto" w:fill="auto"/>
            <w:vAlign w:val="center"/>
            <w:hideMark/>
          </w:tcPr>
          <w:p w14:paraId="6B5AC103"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85,77</w:t>
            </w:r>
          </w:p>
        </w:tc>
        <w:tc>
          <w:tcPr>
            <w:tcW w:w="1559" w:type="dxa"/>
            <w:tcBorders>
              <w:top w:val="nil"/>
              <w:left w:val="nil"/>
              <w:bottom w:val="single" w:sz="4" w:space="0" w:color="auto"/>
              <w:right w:val="single" w:sz="4" w:space="0" w:color="auto"/>
            </w:tcBorders>
            <w:shd w:val="clear" w:color="auto" w:fill="auto"/>
            <w:vAlign w:val="center"/>
            <w:hideMark/>
          </w:tcPr>
          <w:p w14:paraId="13AB83EF"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100,88</w:t>
            </w:r>
          </w:p>
        </w:tc>
        <w:tc>
          <w:tcPr>
            <w:tcW w:w="1231" w:type="dxa"/>
            <w:tcBorders>
              <w:top w:val="nil"/>
              <w:left w:val="nil"/>
              <w:bottom w:val="single" w:sz="4" w:space="0" w:color="auto"/>
              <w:right w:val="single" w:sz="4" w:space="0" w:color="auto"/>
            </w:tcBorders>
            <w:shd w:val="clear" w:color="auto" w:fill="auto"/>
            <w:vAlign w:val="center"/>
            <w:hideMark/>
          </w:tcPr>
          <w:p w14:paraId="35F11468"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87,7</w:t>
            </w:r>
          </w:p>
        </w:tc>
        <w:tc>
          <w:tcPr>
            <w:tcW w:w="1623" w:type="dxa"/>
            <w:tcBorders>
              <w:top w:val="nil"/>
              <w:left w:val="nil"/>
              <w:bottom w:val="single" w:sz="4" w:space="0" w:color="auto"/>
              <w:right w:val="single" w:sz="4" w:space="0" w:color="auto"/>
            </w:tcBorders>
            <w:shd w:val="clear" w:color="auto" w:fill="auto"/>
            <w:vAlign w:val="center"/>
            <w:hideMark/>
          </w:tcPr>
          <w:p w14:paraId="7CA8B68A"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13,15 (procentpunkti)</w:t>
            </w:r>
          </w:p>
        </w:tc>
      </w:tr>
    </w:tbl>
    <w:p w14:paraId="2E411987" w14:textId="77777777" w:rsidR="006179BB" w:rsidRPr="00C15715" w:rsidRDefault="006179BB" w:rsidP="006179BB">
      <w:pPr>
        <w:pStyle w:val="Default"/>
        <w:spacing w:before="120" w:after="120"/>
        <w:jc w:val="both"/>
        <w:rPr>
          <w:rFonts w:asciiTheme="minorHAnsi" w:hAnsiTheme="minorHAnsi" w:cstheme="minorHAnsi"/>
        </w:rPr>
      </w:pPr>
      <w:r w:rsidRPr="00C15715">
        <w:rPr>
          <w:rFonts w:asciiTheme="minorHAnsi" w:hAnsiTheme="minorHAnsi" w:cstheme="minorHAnsi"/>
        </w:rPr>
        <w:t>2018.gadā no trešajām valstīm</w:t>
      </w:r>
      <w:r>
        <w:rPr>
          <w:rFonts w:asciiTheme="minorHAnsi" w:hAnsiTheme="minorHAnsi" w:cstheme="minorHAnsi"/>
        </w:rPr>
        <w:t xml:space="preserve"> Latvijā tiek importēts </w:t>
      </w:r>
      <w:r w:rsidRPr="00C15715">
        <w:rPr>
          <w:rFonts w:asciiTheme="minorHAnsi" w:hAnsiTheme="minorHAnsi" w:cstheme="minorHAnsi"/>
        </w:rPr>
        <w:t xml:space="preserve">16% no kopējā Baltijas valstu elektroenerģijas importa. 2018.gada pirmajā pusgadā (no janvāra līdz jūnijam) Baltijas valstis no trešajām valstīm ir importējušas 982,5 GWh. 2017.gadā elektroenerģijas imports no trešajām valstīm kopā sasniedza 776,4 GWh, kas ir 16% samazinājums pret 2016.g. Savukārt eksports no Latvijas elektroenerģijas sistēmas ir palielinājies par aptuveni 9% salīdzinājumā ar 2016.gadu. </w:t>
      </w:r>
    </w:p>
    <w:p w14:paraId="127D0D90" w14:textId="77777777" w:rsidR="006179BB" w:rsidRPr="00C15715" w:rsidRDefault="006179BB" w:rsidP="006179BB">
      <w:pPr>
        <w:pStyle w:val="Default"/>
        <w:spacing w:before="120" w:after="120"/>
        <w:jc w:val="both"/>
        <w:rPr>
          <w:rFonts w:asciiTheme="minorHAnsi" w:hAnsiTheme="minorHAnsi" w:cstheme="minorHAnsi"/>
        </w:rPr>
      </w:pPr>
      <w:r w:rsidRPr="00C15715">
        <w:rPr>
          <w:rFonts w:asciiTheme="minorHAnsi" w:hAnsiTheme="minorHAnsi" w:cstheme="minorHAnsi"/>
        </w:rPr>
        <w:t xml:space="preserve">Kā būtisks esošos darbības nosacījumus raksturojošs apstāklis ir jāmin arī Baltijas, Krievijas un Baltkrievijas pārvades sistēmas operatoru noslēgtais BRELL līgums (Belarus, Russia, Estonia, Lithuania, Latvia), kas reglamentē iesaistīto sinhroni strādājošo valstu energosistēmu operatoru savstarpējo palīdzību un cita starpā paredz sadarbību avārijas rezervju uzturēšanā 500 MW apjomā, no kurām katra no dalībvalstīm nodrošina 100 MW.  </w:t>
      </w:r>
    </w:p>
    <w:p w14:paraId="627E05A8" w14:textId="77777777"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Attiecībā uz enerģētiskās drošības mērķi, Latvija to izpilda ar esošajiem pasākumiem un esošajām tehnoloģijām, jo Latvijā darbojas Inčukalna dabasgāzes pazemes gāzes krātuve ar kopējo kapacitāti – 24 219 GWh, kas nodrošina reģionālās gāzapgādes stabilitāti un piegādā dabasgāzi klientiem Latvijā, Igaunijā, Krievijas ziemeļrietumu reģionā un Lietuvā.</w:t>
      </w:r>
    </w:p>
    <w:p w14:paraId="17ABEEA7" w14:textId="77777777"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Dabasgāzes sistēmas funkcionēšana viena sistēmas objekta iztrūkuma gadījumā tiek izvērtēti un sagatavota pēc Eiropas Parlamenta un Padomes 2017.gada 25.oktobra regulā Nr.2017/1938 par gāzes piegādes drošības aizsardzības pasākumiem un ar ko atceļ Regulu (ES) Nr. 994/2010 aprakstītās metodikas, kas ņem vērā “N-1 principu”</w:t>
      </w:r>
      <w:r w:rsidRPr="00C15715">
        <w:rPr>
          <w:rStyle w:val="FootnoteReference"/>
          <w:rFonts w:asciiTheme="minorHAnsi" w:hAnsiTheme="minorHAnsi" w:cstheme="minorHAnsi"/>
        </w:rPr>
        <w:footnoteReference w:id="68"/>
      </w:r>
      <w:r w:rsidRPr="00C15715">
        <w:rPr>
          <w:rFonts w:asciiTheme="minorHAnsi" w:hAnsiTheme="minorHAnsi" w:cstheme="minorHAnsi"/>
        </w:rPr>
        <w:t xml:space="preserve"> jeb darbības kļūmi vienotajā lielākajā dabasgāzes infrastruktūrā. N-1 ļauj novērtēt dabasgāzes patērētāju aizsargātības līmeni jeb gāzes infrastruktūras drošību izvēlētajā teritorijā procentuālā izteiksmē, ņemot vērā dažādu dabasgāzes sistēmas elementu raksturlielumus.</w:t>
      </w:r>
    </w:p>
    <w:p w14:paraId="39EF305F" w14:textId="77777777" w:rsidR="006179BB" w:rsidRPr="00C15715" w:rsidRDefault="006179BB" w:rsidP="006179BB">
      <w:pPr>
        <w:pStyle w:val="paragraph"/>
        <w:spacing w:before="120" w:beforeAutospacing="0" w:after="120" w:afterAutospacing="0"/>
        <w:jc w:val="center"/>
        <w:textAlignment w:val="baseline"/>
        <w:rPr>
          <w:rFonts w:asciiTheme="minorHAnsi" w:hAnsiTheme="minorHAnsi" w:cstheme="minorHAnsi"/>
        </w:rPr>
      </w:pPr>
      <w:r>
        <w:rPr>
          <w:rFonts w:asciiTheme="minorHAnsi" w:hAnsiTheme="minorHAnsi" w:cstheme="minorHAnsi"/>
          <w:noProof/>
        </w:rPr>
        <w:drawing>
          <wp:inline distT="0" distB="0" distL="0" distR="0" wp14:anchorId="15720D30" wp14:editId="5AA79E1C">
            <wp:extent cx="3000961" cy="3076292"/>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7817" cy="3124324"/>
                    </a:xfrm>
                    <a:prstGeom prst="rect">
                      <a:avLst/>
                    </a:prstGeom>
                    <a:noFill/>
                  </pic:spPr>
                </pic:pic>
              </a:graphicData>
            </a:graphic>
          </wp:inline>
        </w:drawing>
      </w:r>
    </w:p>
    <w:p w14:paraId="281F6CBA" w14:textId="647A4607"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224" w:name="_Toc23782702"/>
      <w:r w:rsidR="006E6675">
        <w:rPr>
          <w:rFonts w:asciiTheme="minorHAnsi" w:hAnsiTheme="minorHAnsi" w:cstheme="minorHAnsi"/>
          <w:noProof/>
        </w:rPr>
        <w:t>22</w:t>
      </w:r>
      <w:r w:rsidRPr="00C15715">
        <w:rPr>
          <w:rFonts w:asciiTheme="minorHAnsi" w:hAnsiTheme="minorHAnsi" w:cstheme="minorHAnsi"/>
          <w:noProof/>
        </w:rPr>
        <w:fldChar w:fldCharType="end"/>
      </w:r>
      <w:r w:rsidRPr="00C15715">
        <w:rPr>
          <w:rFonts w:asciiTheme="minorHAnsi" w:hAnsiTheme="minorHAnsi" w:cstheme="minorHAnsi"/>
        </w:rPr>
        <w:t>.attēls. N-1 aprēķina rezultāts</w:t>
      </w:r>
      <w:r w:rsidRPr="00C15715">
        <w:rPr>
          <w:rStyle w:val="FootnoteReference"/>
          <w:rFonts w:asciiTheme="minorHAnsi" w:hAnsiTheme="minorHAnsi" w:cstheme="minorHAnsi"/>
        </w:rPr>
        <w:footnoteReference w:id="69"/>
      </w:r>
      <w:r w:rsidRPr="00C15715">
        <w:rPr>
          <w:rFonts w:asciiTheme="minorHAnsi" w:hAnsiTheme="minorHAnsi" w:cstheme="minorHAnsi"/>
        </w:rPr>
        <w:t xml:space="preserve"> atkarībā no Inčukalna PGK piepildījuma 201</w:t>
      </w:r>
      <w:r>
        <w:rPr>
          <w:rFonts w:asciiTheme="minorHAnsi" w:hAnsiTheme="minorHAnsi" w:cstheme="minorHAnsi"/>
        </w:rPr>
        <w:t>8</w:t>
      </w:r>
      <w:r w:rsidRPr="00C15715">
        <w:rPr>
          <w:rFonts w:asciiTheme="minorHAnsi" w:hAnsiTheme="minorHAnsi" w:cstheme="minorHAnsi"/>
        </w:rPr>
        <w:t>.gadā</w:t>
      </w:r>
      <w:r w:rsidRPr="00C15715">
        <w:rPr>
          <w:rStyle w:val="FootnoteReference"/>
          <w:rFonts w:asciiTheme="minorHAnsi" w:hAnsiTheme="minorHAnsi" w:cstheme="minorHAnsi"/>
        </w:rPr>
        <w:footnoteReference w:id="70"/>
      </w:r>
      <w:bookmarkEnd w:id="224"/>
    </w:p>
    <w:p w14:paraId="589AE898" w14:textId="77777777" w:rsidR="006179BB" w:rsidRPr="00C15715" w:rsidRDefault="006179BB" w:rsidP="006179BB">
      <w:pPr>
        <w:spacing w:before="120" w:after="120" w:line="240" w:lineRule="auto"/>
        <w:jc w:val="both"/>
        <w:rPr>
          <w:rFonts w:cstheme="minorHAnsi"/>
        </w:rPr>
      </w:pPr>
      <w:r w:rsidRPr="00C15715">
        <w:rPr>
          <w:rFonts w:cstheme="minorHAnsi"/>
        </w:rPr>
        <w:t>N-1 vērtība ir tieši proporcionāla Inčukalna PGK piepildījumam. Saskaņā ar Regulu Nr. 2017/1938 vērtība abās situācijās pārsniedz regulā noteikto minimumu, un no aprēķinu rezultātiem secināms, ka dabasgāzes apgādes drošība Latvijā ir augstā līmenī</w:t>
      </w:r>
      <w:r>
        <w:rPr>
          <w:rFonts w:cstheme="minorHAnsi"/>
        </w:rPr>
        <w:t>, jo būtiski pārsniedz norādīto 100% līmeņatzīmi.</w:t>
      </w:r>
    </w:p>
    <w:p w14:paraId="49DA04EE" w14:textId="77777777" w:rsidR="006179BB" w:rsidRPr="00C15715" w:rsidRDefault="006179BB">
      <w:pPr>
        <w:pStyle w:val="Heading30"/>
      </w:pPr>
      <w:bookmarkStart w:id="225" w:name="_Toc23245775"/>
      <w:bookmarkStart w:id="226" w:name="_Toc23246006"/>
      <w:bookmarkStart w:id="227" w:name="_Toc24408020"/>
      <w:r w:rsidRPr="00C15715">
        <w:t>Attīstības prognozes</w:t>
      </w:r>
      <w:bookmarkEnd w:id="225"/>
      <w:bookmarkEnd w:id="226"/>
      <w:bookmarkEnd w:id="227"/>
      <w:r w:rsidRPr="00C15715">
        <w:t xml:space="preserve"> </w:t>
      </w:r>
    </w:p>
    <w:p w14:paraId="4BFC0603" w14:textId="77777777"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Ir paredzams, ka Latvija nodrošinās noteikto enerģētiskās drošības un atkarības samazināšanas mērķu izpildi, galvenokārt pateicoties:</w:t>
      </w:r>
    </w:p>
    <w:p w14:paraId="1E7F7BFB" w14:textId="77777777" w:rsidR="006179BB" w:rsidRPr="00C15715" w:rsidRDefault="006179BB" w:rsidP="00847BE3">
      <w:pPr>
        <w:pStyle w:val="paragraph"/>
        <w:numPr>
          <w:ilvl w:val="0"/>
          <w:numId w:val="11"/>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īstenotajiem dažādu AER tehnoloģiju – vēja enerģija, saules enerģija, ieviešanas, AER izmantošanas veicināšanas un AER dažādošanas pasākumiem;</w:t>
      </w:r>
    </w:p>
    <w:p w14:paraId="1BC40C53" w14:textId="77777777" w:rsidR="006179BB" w:rsidRPr="00C15715" w:rsidRDefault="006179BB" w:rsidP="00847BE3">
      <w:pPr>
        <w:pStyle w:val="paragraph"/>
        <w:numPr>
          <w:ilvl w:val="0"/>
          <w:numId w:val="11"/>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īstenotajiem energoefektivitātes pasākumiem, samazinot nepieciešamību gan pēc vietējās, gan importētās enerģijas;</w:t>
      </w:r>
    </w:p>
    <w:p w14:paraId="4B199236" w14:textId="77777777" w:rsidR="006179BB" w:rsidRPr="00C15715" w:rsidRDefault="006179BB" w:rsidP="00847BE3">
      <w:pPr>
        <w:pStyle w:val="paragraph"/>
        <w:numPr>
          <w:ilvl w:val="0"/>
          <w:numId w:val="11"/>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elektroenerģijas sinhronizācijas pasākumiem, kuru īstenošana jau ir sākta;</w:t>
      </w:r>
    </w:p>
    <w:p w14:paraId="2F0AF517" w14:textId="77777777" w:rsidR="006179BB" w:rsidRPr="00C15715" w:rsidRDefault="006179BB" w:rsidP="00847BE3">
      <w:pPr>
        <w:pStyle w:val="paragraph"/>
        <w:numPr>
          <w:ilvl w:val="0"/>
          <w:numId w:val="11"/>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dabasgāzes reģionālā tirgus darbības uzsākšanai;</w:t>
      </w:r>
    </w:p>
    <w:p w14:paraId="5269342B" w14:textId="77777777" w:rsidR="006179BB" w:rsidRPr="00C15715" w:rsidRDefault="006179BB" w:rsidP="00847BE3">
      <w:pPr>
        <w:pStyle w:val="paragraph"/>
        <w:numPr>
          <w:ilvl w:val="0"/>
          <w:numId w:val="11"/>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veiktajiem elektroenerģijas un dabasgāzes tirgus atvēršanas pasākumiem, tirgū nodrošinot brīvu konkurenci un lietotājiem nodrošinot iespēju izvēlēties sev piemērotāko enerģijas piegādātāju.</w:t>
      </w:r>
    </w:p>
    <w:p w14:paraId="29033408" w14:textId="77777777" w:rsidR="006179BB"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 xml:space="preserve">Tiek prognozēts, ka periodā līdz 2030.gadam tiks pabeigts elektrotīklu sinhronizācijas projekts, jo 2018.gadā Baltijas valstis parakstīja ar Poliju un EK kopīgu dokumentu par Baltijas valstu elektrotīklu sinhronizāciju ar kontinentālo Eiropu, kas paredz nodrošināt Latvijas, Igaunijas un Lietuvas energotīklu sinhronizāciju ar kontinentālo Eiropu un tādējādi nodrošināt ciešāku integrāciju Eiropas tirgū, intensīvāku konkurenci, uzlabotu enerģētisko drošību, mazinot vēsturiski pārāk augsto Baltijas valstu atkarību no mūsu Krievijas. </w:t>
      </w:r>
    </w:p>
    <w:p w14:paraId="7AEFEBA6" w14:textId="77777777" w:rsidR="006179BB" w:rsidRPr="00F1046D" w:rsidRDefault="006179BB" w:rsidP="006179BB">
      <w:pPr>
        <w:pStyle w:val="paragraph"/>
        <w:spacing w:before="120" w:beforeAutospacing="0" w:after="120" w:afterAutospacing="0"/>
        <w:jc w:val="both"/>
        <w:textAlignment w:val="baseline"/>
        <w:rPr>
          <w:rFonts w:asciiTheme="minorHAnsi" w:hAnsiTheme="minorHAnsi" w:cstheme="minorHAnsi"/>
        </w:rPr>
      </w:pPr>
      <w:r w:rsidRPr="00F1046D">
        <w:rPr>
          <w:rFonts w:asciiTheme="minorHAnsi" w:hAnsiTheme="minorHAnsi" w:cstheme="minorHAnsi"/>
        </w:rPr>
        <w:t xml:space="preserve">Tiek prognozēts, ka 2020.gadā darbu uzsāks vienotais dabasgāzes reģionālais tirgus. Šajā procesā tiks izveidots Somijas un Igaunijas dabasgāzes sistēmu savienojums, kas Baltijas valstu reģionālajā tirgū pilnvērtīgi ļaus iesaistīties arī Somijai, bet, Lietuvas – Polijas pārvades savienojums nodrošinās piekļuvi pārējo Eiropas valstu dabasgāzes tirgiem un ievērojami samazinās reģiona atkarību no dominējošā piegādātāja. Latvijā pirmos darbus saistībā ar Baltijas un Somijas dabasgāzes tirgu integrēšanu uzsāks 2020.gadā, kad dabasgāzes cauruļvads “Balticconnector” savienos Igaunijas un Somijas dabasgāzes tirgus. Tiek prognozēts, ka periodā līdz 2030.gadam tiks turpināts izmantot iespējamā apjomā Inčukalna pazemes gāzes krātuve, kas šobrīd tiek izmantota dabasgāzes uzglabāšanai. </w:t>
      </w:r>
    </w:p>
    <w:p w14:paraId="0FC2756D" w14:textId="77777777" w:rsidR="006179BB" w:rsidRPr="00C15715" w:rsidRDefault="006179BB" w:rsidP="0007326F">
      <w:pPr>
        <w:pStyle w:val="Heading20"/>
      </w:pPr>
      <w:bookmarkStart w:id="228" w:name="_Toc17878293"/>
      <w:bookmarkStart w:id="229" w:name="_Toc23245776"/>
      <w:bookmarkStart w:id="230" w:name="_Toc23246007"/>
      <w:bookmarkStart w:id="231" w:name="_Toc24408021"/>
      <w:bookmarkStart w:id="232" w:name="_Toc24408103"/>
      <w:r w:rsidRPr="00C15715">
        <w:t>Iekšējais enerģijas tirgus</w:t>
      </w:r>
      <w:bookmarkEnd w:id="228"/>
      <w:bookmarkEnd w:id="229"/>
      <w:bookmarkEnd w:id="230"/>
      <w:bookmarkEnd w:id="231"/>
      <w:bookmarkEnd w:id="232"/>
      <w:r w:rsidRPr="00C15715">
        <w:t xml:space="preserve"> </w:t>
      </w:r>
    </w:p>
    <w:p w14:paraId="321F9949" w14:textId="77777777" w:rsidR="006179BB" w:rsidRPr="00C15715" w:rsidRDefault="006179BB">
      <w:pPr>
        <w:pStyle w:val="Heading30"/>
      </w:pPr>
      <w:bookmarkStart w:id="233" w:name="_Toc23245777"/>
      <w:bookmarkStart w:id="234" w:name="_Toc23246008"/>
      <w:bookmarkStart w:id="235" w:name="_Toc24408022"/>
      <w:r w:rsidRPr="00C15715">
        <w:t>Elektrotīklu starpsavienotība</w:t>
      </w:r>
      <w:bookmarkEnd w:id="233"/>
      <w:bookmarkEnd w:id="234"/>
      <w:bookmarkEnd w:id="235"/>
    </w:p>
    <w:p w14:paraId="01485253" w14:textId="1E10B90D" w:rsidR="006179BB" w:rsidRPr="00C15715" w:rsidRDefault="006179BB">
      <w:pPr>
        <w:pStyle w:val="Heading4"/>
      </w:pPr>
      <w:bookmarkStart w:id="236" w:name="_Toc23245778"/>
      <w:r w:rsidRPr="00C15715">
        <w:t>Pašreizējais starpsavienojumu līmenis un galvenie starpsavieno</w:t>
      </w:r>
      <w:r w:rsidR="00F009B7">
        <w:t>jumi</w:t>
      </w:r>
      <w:bookmarkEnd w:id="236"/>
    </w:p>
    <w:p w14:paraId="4E8AF499" w14:textId="77777777" w:rsidR="006179BB" w:rsidRPr="00C15715" w:rsidRDefault="006179BB" w:rsidP="006179BB">
      <w:pPr>
        <w:spacing w:before="120" w:after="120" w:line="240" w:lineRule="auto"/>
        <w:jc w:val="both"/>
        <w:rPr>
          <w:rFonts w:eastAsia="Times New Roman" w:cstheme="minorHAnsi"/>
          <w:szCs w:val="24"/>
          <w:lang w:eastAsia="lv-LV"/>
        </w:rPr>
      </w:pPr>
      <w:r w:rsidRPr="00C15715">
        <w:rPr>
          <w:rFonts w:eastAsia="Times New Roman" w:cstheme="minorHAnsi"/>
          <w:szCs w:val="24"/>
          <w:lang w:eastAsia="lv-LV"/>
        </w:rPr>
        <w:t>Atkarībā no ražošanas apjomiem un kaimiņvalstīs veicamajiem remontdarbiem pašreizējā Latvijas un Igaunijas starpsavienojuma pieejamā jauda ir līdz 900 MW un Lietuvas un Latvijas savienojama jauda – līdz 1300 MW. Neto pārvades jauda bija 535 794 MWh. Jaunākie starpsavienojumi - 700 MW "NordBalt" zemūdens kabelis starp Lietuvu un Zviedriju un 500 MW pārvades līnija "LitPol" starp Lietuvu un Poliju - palielina Baltijas energosistēmas kopējo starpsavienojumu jaudu ar Eiropas elektroenerģijas tirgu no agrākajiem 1 000 MW līdz 2 200 MW.</w:t>
      </w:r>
    </w:p>
    <w:p w14:paraId="43D65F22" w14:textId="31285064"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Tabula \* ARABIC </w:instrText>
      </w:r>
      <w:r w:rsidRPr="00C15715">
        <w:rPr>
          <w:rFonts w:asciiTheme="minorHAnsi" w:hAnsiTheme="minorHAnsi" w:cstheme="minorHAnsi"/>
          <w:noProof/>
        </w:rPr>
        <w:fldChar w:fldCharType="separate"/>
      </w:r>
      <w:r w:rsidR="006E6675">
        <w:rPr>
          <w:rFonts w:asciiTheme="minorHAnsi" w:hAnsiTheme="minorHAnsi" w:cstheme="minorHAnsi"/>
          <w:noProof/>
        </w:rPr>
        <w:t>8</w:t>
      </w:r>
      <w:r w:rsidRPr="00C15715">
        <w:rPr>
          <w:rFonts w:asciiTheme="minorHAnsi" w:hAnsiTheme="minorHAnsi" w:cstheme="minorHAnsi"/>
          <w:noProof/>
        </w:rPr>
        <w:fldChar w:fldCharType="end"/>
      </w:r>
      <w:r w:rsidRPr="00C15715">
        <w:rPr>
          <w:rFonts w:asciiTheme="minorHAnsi" w:hAnsiTheme="minorHAnsi" w:cstheme="minorHAnsi"/>
        </w:rPr>
        <w:t>.tabula. Izveidotie starpsavienojumi, to noslogotība 2018.gadā un izmaiņas</w:t>
      </w:r>
      <w:r>
        <w:rPr>
          <w:rStyle w:val="FootnoteReference"/>
          <w:rFonts w:asciiTheme="minorHAnsi" w:hAnsiTheme="minorHAnsi" w:cstheme="minorHAnsi"/>
        </w:rPr>
        <w:footnoteReference w:id="71"/>
      </w:r>
      <w:r w:rsidRPr="00C15715">
        <w:rPr>
          <w:rFonts w:asciiTheme="minorHAnsi" w:hAnsiTheme="minorHAnsi" w:cstheme="minorHAnsi"/>
        </w:rPr>
        <w:t xml:space="preserve"> </w:t>
      </w:r>
    </w:p>
    <w:tbl>
      <w:tblPr>
        <w:tblStyle w:val="TableGrid"/>
        <w:tblW w:w="8642" w:type="dxa"/>
        <w:jc w:val="center"/>
        <w:tblLook w:val="04A0" w:firstRow="1" w:lastRow="0" w:firstColumn="1" w:lastColumn="0" w:noHBand="0" w:noVBand="1"/>
      </w:tblPr>
      <w:tblGrid>
        <w:gridCol w:w="1952"/>
        <w:gridCol w:w="1610"/>
        <w:gridCol w:w="1762"/>
        <w:gridCol w:w="1629"/>
        <w:gridCol w:w="1689"/>
      </w:tblGrid>
      <w:tr w:rsidR="006179BB" w:rsidRPr="00C15715" w14:paraId="05250DDE" w14:textId="77777777" w:rsidTr="006179BB">
        <w:trPr>
          <w:tblHeader/>
          <w:jc w:val="center"/>
        </w:trPr>
        <w:tc>
          <w:tcPr>
            <w:tcW w:w="1920" w:type="dxa"/>
            <w:shd w:val="clear" w:color="auto" w:fill="F2F2F2" w:themeFill="background1" w:themeFillShade="F2"/>
          </w:tcPr>
          <w:p w14:paraId="120C8095" w14:textId="77777777" w:rsidR="006179BB" w:rsidRPr="00C15715" w:rsidRDefault="006179BB" w:rsidP="006179BB">
            <w:pPr>
              <w:jc w:val="center"/>
              <w:rPr>
                <w:rFonts w:cstheme="minorHAnsi"/>
                <w:b/>
                <w:bCs/>
                <w:sz w:val="22"/>
              </w:rPr>
            </w:pPr>
            <w:r w:rsidRPr="00C15715">
              <w:rPr>
                <w:rFonts w:cstheme="minorHAnsi"/>
                <w:b/>
                <w:bCs/>
                <w:sz w:val="22"/>
              </w:rPr>
              <w:t>Starpsavienojumi</w:t>
            </w:r>
            <w:r w:rsidRPr="00C15715">
              <w:rPr>
                <w:rStyle w:val="FootnoteReference"/>
                <w:rFonts w:cstheme="minorHAnsi"/>
                <w:b/>
                <w:bCs/>
                <w:sz w:val="22"/>
              </w:rPr>
              <w:footnoteReference w:id="72"/>
            </w:r>
          </w:p>
        </w:tc>
        <w:tc>
          <w:tcPr>
            <w:tcW w:w="1616" w:type="dxa"/>
            <w:shd w:val="clear" w:color="auto" w:fill="F2F2F2" w:themeFill="background1" w:themeFillShade="F2"/>
          </w:tcPr>
          <w:p w14:paraId="04AD96D2" w14:textId="77777777" w:rsidR="006179BB" w:rsidRPr="00C15715" w:rsidRDefault="006179BB" w:rsidP="006179BB">
            <w:pPr>
              <w:jc w:val="center"/>
              <w:rPr>
                <w:rFonts w:cstheme="minorHAnsi"/>
                <w:b/>
                <w:bCs/>
                <w:sz w:val="22"/>
              </w:rPr>
            </w:pPr>
            <w:r w:rsidRPr="00C15715">
              <w:rPr>
                <w:rFonts w:cstheme="minorHAnsi"/>
                <w:b/>
                <w:bCs/>
                <w:sz w:val="22"/>
              </w:rPr>
              <w:t>Vidējā</w:t>
            </w:r>
          </w:p>
          <w:p w14:paraId="127F9CBB" w14:textId="77777777" w:rsidR="006179BB" w:rsidRPr="00C15715" w:rsidRDefault="006179BB" w:rsidP="006179BB">
            <w:pPr>
              <w:jc w:val="center"/>
              <w:rPr>
                <w:rFonts w:cstheme="minorHAnsi"/>
                <w:b/>
                <w:bCs/>
                <w:sz w:val="22"/>
              </w:rPr>
            </w:pPr>
            <w:r w:rsidRPr="00C15715">
              <w:rPr>
                <w:rFonts w:cstheme="minorHAnsi"/>
                <w:b/>
                <w:bCs/>
                <w:sz w:val="22"/>
              </w:rPr>
              <w:t>noslogotība</w:t>
            </w:r>
            <w:r w:rsidRPr="00C15715">
              <w:rPr>
                <w:rStyle w:val="FootnoteReference"/>
                <w:rFonts w:cstheme="minorHAnsi"/>
                <w:b/>
                <w:bCs/>
                <w:sz w:val="22"/>
              </w:rPr>
              <w:footnoteReference w:id="73"/>
            </w:r>
          </w:p>
          <w:p w14:paraId="44AC6C61" w14:textId="77777777" w:rsidR="006179BB" w:rsidRPr="00C15715" w:rsidRDefault="006179BB" w:rsidP="006179BB">
            <w:pPr>
              <w:jc w:val="center"/>
              <w:rPr>
                <w:rFonts w:cstheme="minorHAnsi"/>
                <w:b/>
                <w:bCs/>
                <w:sz w:val="22"/>
              </w:rPr>
            </w:pPr>
            <w:r w:rsidRPr="00C15715">
              <w:rPr>
                <w:rFonts w:cstheme="minorHAnsi"/>
                <w:b/>
                <w:bCs/>
                <w:sz w:val="22"/>
              </w:rPr>
              <w:t>(%)</w:t>
            </w:r>
          </w:p>
        </w:tc>
        <w:tc>
          <w:tcPr>
            <w:tcW w:w="1765" w:type="dxa"/>
            <w:shd w:val="clear" w:color="auto" w:fill="F2F2F2" w:themeFill="background1" w:themeFillShade="F2"/>
          </w:tcPr>
          <w:p w14:paraId="25C692CA" w14:textId="77777777" w:rsidR="006179BB" w:rsidRPr="00C15715" w:rsidRDefault="006179BB" w:rsidP="006179BB">
            <w:pPr>
              <w:jc w:val="center"/>
              <w:rPr>
                <w:rFonts w:cstheme="minorHAnsi"/>
                <w:b/>
                <w:bCs/>
                <w:sz w:val="22"/>
              </w:rPr>
            </w:pPr>
            <w:r w:rsidRPr="00C15715">
              <w:rPr>
                <w:rFonts w:cstheme="minorHAnsi"/>
                <w:b/>
                <w:bCs/>
                <w:sz w:val="22"/>
              </w:rPr>
              <w:t>Izmaiņas</w:t>
            </w:r>
          </w:p>
          <w:p w14:paraId="4DFA2925" w14:textId="77777777" w:rsidR="006179BB" w:rsidRPr="00C15715" w:rsidRDefault="006179BB" w:rsidP="006179BB">
            <w:pPr>
              <w:jc w:val="center"/>
              <w:rPr>
                <w:rFonts w:cstheme="minorHAnsi"/>
                <w:b/>
                <w:bCs/>
                <w:sz w:val="22"/>
              </w:rPr>
            </w:pPr>
            <w:r w:rsidRPr="00C15715">
              <w:rPr>
                <w:rFonts w:cstheme="minorHAnsi"/>
                <w:b/>
                <w:bCs/>
                <w:sz w:val="22"/>
              </w:rPr>
              <w:t>(2017.-2018.)</w:t>
            </w:r>
          </w:p>
          <w:p w14:paraId="11096183" w14:textId="77777777" w:rsidR="006179BB" w:rsidRPr="00C15715" w:rsidRDefault="006179BB" w:rsidP="006179BB">
            <w:pPr>
              <w:jc w:val="center"/>
              <w:rPr>
                <w:rFonts w:cstheme="minorHAnsi"/>
                <w:b/>
                <w:bCs/>
                <w:sz w:val="22"/>
              </w:rPr>
            </w:pPr>
            <w:r w:rsidRPr="00C15715">
              <w:rPr>
                <w:rFonts w:cstheme="minorHAnsi"/>
                <w:b/>
                <w:bCs/>
                <w:sz w:val="22"/>
              </w:rPr>
              <w:t>(procentpunkti)</w:t>
            </w:r>
          </w:p>
        </w:tc>
        <w:tc>
          <w:tcPr>
            <w:tcW w:w="1640" w:type="dxa"/>
            <w:shd w:val="clear" w:color="auto" w:fill="F2F2F2" w:themeFill="background1" w:themeFillShade="F2"/>
          </w:tcPr>
          <w:p w14:paraId="2FEE95BD" w14:textId="77777777" w:rsidR="006179BB" w:rsidRPr="00C15715" w:rsidRDefault="006179BB" w:rsidP="006179BB">
            <w:pPr>
              <w:jc w:val="center"/>
              <w:rPr>
                <w:rFonts w:cstheme="minorHAnsi"/>
                <w:b/>
                <w:bCs/>
                <w:sz w:val="22"/>
              </w:rPr>
            </w:pPr>
            <w:r w:rsidRPr="00C15715">
              <w:rPr>
                <w:rFonts w:cstheme="minorHAnsi"/>
                <w:b/>
                <w:bCs/>
                <w:sz w:val="22"/>
              </w:rPr>
              <w:t>Zemākā fiksētā mēneša noslogotība (%)</w:t>
            </w:r>
          </w:p>
        </w:tc>
        <w:tc>
          <w:tcPr>
            <w:tcW w:w="1701" w:type="dxa"/>
            <w:shd w:val="clear" w:color="auto" w:fill="F2F2F2" w:themeFill="background1" w:themeFillShade="F2"/>
          </w:tcPr>
          <w:p w14:paraId="6EF34182" w14:textId="77777777" w:rsidR="006179BB" w:rsidRPr="00C15715" w:rsidRDefault="006179BB" w:rsidP="006179BB">
            <w:pPr>
              <w:jc w:val="center"/>
              <w:rPr>
                <w:rFonts w:cstheme="minorHAnsi"/>
                <w:b/>
                <w:bCs/>
                <w:sz w:val="22"/>
              </w:rPr>
            </w:pPr>
            <w:r w:rsidRPr="00C15715">
              <w:rPr>
                <w:rFonts w:cstheme="minorHAnsi"/>
                <w:b/>
                <w:bCs/>
                <w:sz w:val="22"/>
              </w:rPr>
              <w:t>Augstākā fiksētā mēneša noslogotība (%)</w:t>
            </w:r>
          </w:p>
        </w:tc>
      </w:tr>
      <w:tr w:rsidR="006179BB" w:rsidRPr="00C15715" w14:paraId="76691B6D" w14:textId="77777777" w:rsidTr="006179BB">
        <w:trPr>
          <w:trHeight w:val="56"/>
          <w:jc w:val="center"/>
        </w:trPr>
        <w:tc>
          <w:tcPr>
            <w:tcW w:w="1920" w:type="dxa"/>
            <w:shd w:val="clear" w:color="auto" w:fill="auto"/>
          </w:tcPr>
          <w:p w14:paraId="7991B804" w14:textId="77777777" w:rsidR="006179BB" w:rsidRPr="00C15715" w:rsidRDefault="006179BB" w:rsidP="006179BB">
            <w:pPr>
              <w:rPr>
                <w:rFonts w:cstheme="minorHAnsi"/>
              </w:rPr>
            </w:pPr>
            <w:r w:rsidRPr="00C15715">
              <w:rPr>
                <w:rFonts w:cstheme="minorHAnsi"/>
              </w:rPr>
              <w:t xml:space="preserve"> LV → LT</w:t>
            </w:r>
          </w:p>
        </w:tc>
        <w:tc>
          <w:tcPr>
            <w:tcW w:w="1616" w:type="dxa"/>
            <w:shd w:val="clear" w:color="auto" w:fill="auto"/>
          </w:tcPr>
          <w:p w14:paraId="664D5E66" w14:textId="77777777" w:rsidR="006179BB" w:rsidRPr="00C15715" w:rsidRDefault="006179BB" w:rsidP="006179BB">
            <w:pPr>
              <w:jc w:val="center"/>
              <w:rPr>
                <w:rFonts w:cstheme="minorHAnsi"/>
              </w:rPr>
            </w:pPr>
            <w:r w:rsidRPr="00C15715">
              <w:rPr>
                <w:rFonts w:cstheme="minorHAnsi"/>
              </w:rPr>
              <w:t>31</w:t>
            </w:r>
          </w:p>
        </w:tc>
        <w:tc>
          <w:tcPr>
            <w:tcW w:w="1765" w:type="dxa"/>
            <w:shd w:val="clear" w:color="auto" w:fill="auto"/>
          </w:tcPr>
          <w:p w14:paraId="412B4D17" w14:textId="77777777" w:rsidR="006179BB" w:rsidRPr="00C15715" w:rsidRDefault="006179BB" w:rsidP="006179BB">
            <w:pPr>
              <w:jc w:val="center"/>
              <w:rPr>
                <w:rFonts w:cstheme="minorHAnsi"/>
              </w:rPr>
            </w:pPr>
            <w:r w:rsidRPr="00C15715">
              <w:rPr>
                <w:rFonts w:cstheme="minorHAnsi"/>
              </w:rPr>
              <w:t>2</w:t>
            </w:r>
          </w:p>
        </w:tc>
        <w:tc>
          <w:tcPr>
            <w:tcW w:w="1640" w:type="dxa"/>
          </w:tcPr>
          <w:p w14:paraId="3539439F" w14:textId="77777777" w:rsidR="006179BB" w:rsidRPr="00C15715" w:rsidRDefault="006179BB" w:rsidP="006179BB">
            <w:pPr>
              <w:jc w:val="center"/>
              <w:rPr>
                <w:rFonts w:cstheme="minorHAnsi"/>
              </w:rPr>
            </w:pPr>
            <w:r w:rsidRPr="00C15715">
              <w:rPr>
                <w:rFonts w:cstheme="minorHAnsi"/>
              </w:rPr>
              <w:t>12,7</w:t>
            </w:r>
          </w:p>
        </w:tc>
        <w:tc>
          <w:tcPr>
            <w:tcW w:w="1701" w:type="dxa"/>
          </w:tcPr>
          <w:p w14:paraId="70E4038D" w14:textId="77777777" w:rsidR="006179BB" w:rsidRPr="00C15715" w:rsidRDefault="006179BB" w:rsidP="006179BB">
            <w:pPr>
              <w:jc w:val="center"/>
              <w:rPr>
                <w:rFonts w:cstheme="minorHAnsi"/>
              </w:rPr>
            </w:pPr>
            <w:r w:rsidRPr="00C15715">
              <w:rPr>
                <w:rFonts w:cstheme="minorHAnsi"/>
              </w:rPr>
              <w:t>56,1</w:t>
            </w:r>
          </w:p>
        </w:tc>
      </w:tr>
      <w:tr w:rsidR="006179BB" w:rsidRPr="00C15715" w14:paraId="6047EEC8" w14:textId="77777777" w:rsidTr="006179BB">
        <w:trPr>
          <w:trHeight w:val="56"/>
          <w:jc w:val="center"/>
        </w:trPr>
        <w:tc>
          <w:tcPr>
            <w:tcW w:w="1920" w:type="dxa"/>
            <w:shd w:val="clear" w:color="auto" w:fill="auto"/>
          </w:tcPr>
          <w:p w14:paraId="394E1152" w14:textId="77777777" w:rsidR="006179BB" w:rsidRPr="00C15715" w:rsidRDefault="006179BB" w:rsidP="006179BB">
            <w:pPr>
              <w:rPr>
                <w:rFonts w:cstheme="minorHAnsi"/>
              </w:rPr>
            </w:pPr>
            <w:r w:rsidRPr="00C15715">
              <w:rPr>
                <w:rFonts w:cstheme="minorHAnsi"/>
              </w:rPr>
              <w:t xml:space="preserve"> EE → LV</w:t>
            </w:r>
          </w:p>
        </w:tc>
        <w:tc>
          <w:tcPr>
            <w:tcW w:w="1616" w:type="dxa"/>
            <w:shd w:val="clear" w:color="auto" w:fill="auto"/>
          </w:tcPr>
          <w:p w14:paraId="02FB3FD9" w14:textId="77777777" w:rsidR="006179BB" w:rsidRPr="00C15715" w:rsidRDefault="006179BB" w:rsidP="006179BB">
            <w:pPr>
              <w:jc w:val="center"/>
              <w:rPr>
                <w:rFonts w:cstheme="minorHAnsi"/>
              </w:rPr>
            </w:pPr>
            <w:r w:rsidRPr="00C15715">
              <w:rPr>
                <w:rFonts w:cstheme="minorHAnsi"/>
              </w:rPr>
              <w:t>54</w:t>
            </w:r>
          </w:p>
        </w:tc>
        <w:tc>
          <w:tcPr>
            <w:tcW w:w="1765" w:type="dxa"/>
            <w:shd w:val="clear" w:color="auto" w:fill="auto"/>
          </w:tcPr>
          <w:p w14:paraId="7BCD1F20" w14:textId="77777777" w:rsidR="006179BB" w:rsidRPr="00C15715" w:rsidRDefault="006179BB" w:rsidP="006179BB">
            <w:pPr>
              <w:jc w:val="center"/>
              <w:rPr>
                <w:rFonts w:cstheme="minorHAnsi"/>
              </w:rPr>
            </w:pPr>
            <w:r w:rsidRPr="00C15715">
              <w:rPr>
                <w:rFonts w:cstheme="minorHAnsi"/>
              </w:rPr>
              <w:t>-13</w:t>
            </w:r>
          </w:p>
        </w:tc>
        <w:tc>
          <w:tcPr>
            <w:tcW w:w="1640" w:type="dxa"/>
          </w:tcPr>
          <w:p w14:paraId="073010C8" w14:textId="77777777" w:rsidR="006179BB" w:rsidRPr="00C15715" w:rsidRDefault="006179BB" w:rsidP="006179BB">
            <w:pPr>
              <w:jc w:val="center"/>
              <w:rPr>
                <w:rFonts w:cstheme="minorHAnsi"/>
              </w:rPr>
            </w:pPr>
            <w:r w:rsidRPr="00C15715">
              <w:rPr>
                <w:rFonts w:cstheme="minorHAnsi"/>
              </w:rPr>
              <w:t>38,5</w:t>
            </w:r>
          </w:p>
        </w:tc>
        <w:tc>
          <w:tcPr>
            <w:tcW w:w="1701" w:type="dxa"/>
          </w:tcPr>
          <w:p w14:paraId="5A008054" w14:textId="77777777" w:rsidR="006179BB" w:rsidRPr="00C15715" w:rsidRDefault="006179BB" w:rsidP="006179BB">
            <w:pPr>
              <w:jc w:val="center"/>
              <w:rPr>
                <w:rFonts w:cstheme="minorHAnsi"/>
              </w:rPr>
            </w:pPr>
            <w:r w:rsidRPr="00C15715">
              <w:rPr>
                <w:rFonts w:cstheme="minorHAnsi"/>
              </w:rPr>
              <w:t>79,4</w:t>
            </w:r>
          </w:p>
        </w:tc>
      </w:tr>
      <w:tr w:rsidR="006179BB" w:rsidRPr="00C15715" w14:paraId="50B6ADE3" w14:textId="77777777" w:rsidTr="006179BB">
        <w:trPr>
          <w:trHeight w:val="56"/>
          <w:jc w:val="center"/>
        </w:trPr>
        <w:tc>
          <w:tcPr>
            <w:tcW w:w="1920" w:type="dxa"/>
            <w:shd w:val="clear" w:color="auto" w:fill="auto"/>
          </w:tcPr>
          <w:p w14:paraId="42A04772" w14:textId="77777777" w:rsidR="006179BB" w:rsidRPr="00C15715" w:rsidRDefault="006179BB" w:rsidP="006179BB">
            <w:pPr>
              <w:rPr>
                <w:rFonts w:cstheme="minorHAnsi"/>
              </w:rPr>
            </w:pPr>
            <w:r w:rsidRPr="00C15715">
              <w:rPr>
                <w:rFonts w:cstheme="minorHAnsi"/>
              </w:rPr>
              <w:t xml:space="preserve"> LBI → LT</w:t>
            </w:r>
          </w:p>
        </w:tc>
        <w:tc>
          <w:tcPr>
            <w:tcW w:w="1616" w:type="dxa"/>
            <w:shd w:val="clear" w:color="auto" w:fill="auto"/>
          </w:tcPr>
          <w:p w14:paraId="19E1C39F" w14:textId="77777777" w:rsidR="006179BB" w:rsidRPr="00C15715" w:rsidRDefault="006179BB" w:rsidP="006179BB">
            <w:pPr>
              <w:jc w:val="center"/>
              <w:rPr>
                <w:rFonts w:cstheme="minorHAnsi"/>
              </w:rPr>
            </w:pPr>
            <w:r w:rsidRPr="00C15715">
              <w:rPr>
                <w:rFonts w:cstheme="minorHAnsi"/>
              </w:rPr>
              <w:t>15</w:t>
            </w:r>
          </w:p>
        </w:tc>
        <w:tc>
          <w:tcPr>
            <w:tcW w:w="1765" w:type="dxa"/>
            <w:shd w:val="clear" w:color="auto" w:fill="auto"/>
          </w:tcPr>
          <w:p w14:paraId="051A7120" w14:textId="77777777" w:rsidR="006179BB" w:rsidRPr="00C15715" w:rsidRDefault="006179BB" w:rsidP="006179BB">
            <w:pPr>
              <w:jc w:val="center"/>
              <w:rPr>
                <w:rFonts w:cstheme="minorHAnsi"/>
              </w:rPr>
            </w:pPr>
            <w:r w:rsidRPr="00C15715">
              <w:rPr>
                <w:rFonts w:cstheme="minorHAnsi"/>
              </w:rPr>
              <w:t>-12</w:t>
            </w:r>
          </w:p>
        </w:tc>
        <w:tc>
          <w:tcPr>
            <w:tcW w:w="1640" w:type="dxa"/>
          </w:tcPr>
          <w:p w14:paraId="62727B3D" w14:textId="77777777" w:rsidR="006179BB" w:rsidRPr="00C15715" w:rsidRDefault="006179BB" w:rsidP="006179BB">
            <w:pPr>
              <w:jc w:val="center"/>
              <w:rPr>
                <w:rFonts w:cstheme="minorHAnsi"/>
              </w:rPr>
            </w:pPr>
            <w:r w:rsidRPr="00C15715">
              <w:rPr>
                <w:rFonts w:cstheme="minorHAnsi"/>
              </w:rPr>
              <w:t>20,1</w:t>
            </w:r>
          </w:p>
        </w:tc>
        <w:tc>
          <w:tcPr>
            <w:tcW w:w="1701" w:type="dxa"/>
          </w:tcPr>
          <w:p w14:paraId="5CEED037" w14:textId="77777777" w:rsidR="006179BB" w:rsidRPr="00C15715" w:rsidRDefault="006179BB" w:rsidP="006179BB">
            <w:pPr>
              <w:jc w:val="center"/>
              <w:rPr>
                <w:rFonts w:cstheme="minorHAnsi"/>
              </w:rPr>
            </w:pPr>
            <w:r w:rsidRPr="00C15715">
              <w:rPr>
                <w:rFonts w:cstheme="minorHAnsi"/>
              </w:rPr>
              <w:t>92,7</w:t>
            </w:r>
          </w:p>
        </w:tc>
      </w:tr>
      <w:tr w:rsidR="006179BB" w:rsidRPr="00C15715" w14:paraId="6FAED843" w14:textId="77777777" w:rsidTr="006179BB">
        <w:trPr>
          <w:trHeight w:val="56"/>
          <w:jc w:val="center"/>
        </w:trPr>
        <w:tc>
          <w:tcPr>
            <w:tcW w:w="1920" w:type="dxa"/>
            <w:shd w:val="clear" w:color="auto" w:fill="auto"/>
          </w:tcPr>
          <w:p w14:paraId="0B39CA7D" w14:textId="77777777" w:rsidR="006179BB" w:rsidRPr="00C15715" w:rsidRDefault="006179BB" w:rsidP="006179BB">
            <w:pPr>
              <w:rPr>
                <w:rFonts w:cstheme="minorHAnsi"/>
              </w:rPr>
            </w:pPr>
            <w:r w:rsidRPr="00C15715">
              <w:rPr>
                <w:rFonts w:cstheme="minorHAnsi"/>
              </w:rPr>
              <w:t>LT → LV</w:t>
            </w:r>
          </w:p>
        </w:tc>
        <w:tc>
          <w:tcPr>
            <w:tcW w:w="1616" w:type="dxa"/>
            <w:shd w:val="clear" w:color="auto" w:fill="auto"/>
          </w:tcPr>
          <w:p w14:paraId="4319DBE7" w14:textId="77777777" w:rsidR="006179BB" w:rsidRPr="00C15715" w:rsidRDefault="006179BB" w:rsidP="006179BB">
            <w:pPr>
              <w:jc w:val="center"/>
              <w:rPr>
                <w:rFonts w:cstheme="minorHAnsi"/>
              </w:rPr>
            </w:pPr>
            <w:r w:rsidRPr="00C15715">
              <w:rPr>
                <w:rFonts w:cstheme="minorHAnsi"/>
              </w:rPr>
              <w:t>2</w:t>
            </w:r>
          </w:p>
        </w:tc>
        <w:tc>
          <w:tcPr>
            <w:tcW w:w="1765" w:type="dxa"/>
            <w:shd w:val="clear" w:color="auto" w:fill="auto"/>
          </w:tcPr>
          <w:p w14:paraId="5215F320" w14:textId="77777777" w:rsidR="006179BB" w:rsidRPr="00C15715" w:rsidRDefault="006179BB" w:rsidP="006179BB">
            <w:pPr>
              <w:jc w:val="center"/>
              <w:rPr>
                <w:rFonts w:cstheme="minorHAnsi"/>
              </w:rPr>
            </w:pPr>
            <w:r w:rsidRPr="00C15715">
              <w:rPr>
                <w:rFonts w:cstheme="minorHAnsi"/>
              </w:rPr>
              <w:t>0</w:t>
            </w:r>
          </w:p>
        </w:tc>
        <w:tc>
          <w:tcPr>
            <w:tcW w:w="1640" w:type="dxa"/>
          </w:tcPr>
          <w:p w14:paraId="2F1CF408" w14:textId="77777777" w:rsidR="006179BB" w:rsidRPr="00C15715" w:rsidRDefault="006179BB" w:rsidP="006179BB">
            <w:pPr>
              <w:jc w:val="center"/>
              <w:rPr>
                <w:rFonts w:cstheme="minorHAnsi"/>
              </w:rPr>
            </w:pPr>
            <w:r w:rsidRPr="00C15715">
              <w:rPr>
                <w:rFonts w:cstheme="minorHAnsi"/>
              </w:rPr>
              <w:t>1,5</w:t>
            </w:r>
          </w:p>
        </w:tc>
        <w:tc>
          <w:tcPr>
            <w:tcW w:w="1701" w:type="dxa"/>
          </w:tcPr>
          <w:p w14:paraId="04CAB5D8" w14:textId="77777777" w:rsidR="006179BB" w:rsidRPr="00C15715" w:rsidRDefault="006179BB" w:rsidP="006179BB">
            <w:pPr>
              <w:jc w:val="center"/>
              <w:rPr>
                <w:rFonts w:cstheme="minorHAnsi"/>
              </w:rPr>
            </w:pPr>
            <w:r w:rsidRPr="00C15715">
              <w:rPr>
                <w:rFonts w:cstheme="minorHAnsi"/>
              </w:rPr>
              <w:t>19,9</w:t>
            </w:r>
          </w:p>
        </w:tc>
      </w:tr>
      <w:tr w:rsidR="006179BB" w:rsidRPr="00C15715" w14:paraId="3866645D" w14:textId="77777777" w:rsidTr="006179BB">
        <w:trPr>
          <w:jc w:val="center"/>
        </w:trPr>
        <w:tc>
          <w:tcPr>
            <w:tcW w:w="1920" w:type="dxa"/>
          </w:tcPr>
          <w:p w14:paraId="21AB7668" w14:textId="77777777" w:rsidR="006179BB" w:rsidRPr="00C15715" w:rsidRDefault="006179BB" w:rsidP="006179BB">
            <w:pPr>
              <w:rPr>
                <w:rFonts w:cstheme="minorHAnsi"/>
              </w:rPr>
            </w:pPr>
            <w:r w:rsidRPr="00C15715">
              <w:rPr>
                <w:rFonts w:cstheme="minorHAnsi"/>
              </w:rPr>
              <w:t>PL → LT</w:t>
            </w:r>
          </w:p>
        </w:tc>
        <w:tc>
          <w:tcPr>
            <w:tcW w:w="1616" w:type="dxa"/>
          </w:tcPr>
          <w:p w14:paraId="49EA3532" w14:textId="77777777" w:rsidR="006179BB" w:rsidRPr="00C15715" w:rsidRDefault="006179BB" w:rsidP="006179BB">
            <w:pPr>
              <w:jc w:val="center"/>
              <w:rPr>
                <w:rFonts w:cstheme="minorHAnsi"/>
              </w:rPr>
            </w:pPr>
            <w:r w:rsidRPr="00C15715">
              <w:rPr>
                <w:rFonts w:cstheme="minorHAnsi"/>
              </w:rPr>
              <w:t>20</w:t>
            </w:r>
          </w:p>
        </w:tc>
        <w:tc>
          <w:tcPr>
            <w:tcW w:w="1765" w:type="dxa"/>
          </w:tcPr>
          <w:p w14:paraId="39078898" w14:textId="77777777" w:rsidR="006179BB" w:rsidRPr="00C15715" w:rsidRDefault="006179BB" w:rsidP="006179BB">
            <w:pPr>
              <w:jc w:val="center"/>
              <w:rPr>
                <w:rFonts w:cstheme="minorHAnsi"/>
              </w:rPr>
            </w:pPr>
            <w:r w:rsidRPr="00C15715">
              <w:rPr>
                <w:rFonts w:cstheme="minorHAnsi"/>
              </w:rPr>
              <w:t>-12</w:t>
            </w:r>
          </w:p>
        </w:tc>
        <w:tc>
          <w:tcPr>
            <w:tcW w:w="1640" w:type="dxa"/>
          </w:tcPr>
          <w:p w14:paraId="7110095B" w14:textId="77777777" w:rsidR="006179BB" w:rsidRPr="00C15715" w:rsidRDefault="006179BB" w:rsidP="006179BB">
            <w:pPr>
              <w:jc w:val="center"/>
              <w:rPr>
                <w:rFonts w:cstheme="minorHAnsi"/>
              </w:rPr>
            </w:pPr>
            <w:r w:rsidRPr="00C15715">
              <w:rPr>
                <w:rFonts w:cstheme="minorHAnsi"/>
              </w:rPr>
              <w:t>13,2</w:t>
            </w:r>
          </w:p>
        </w:tc>
        <w:tc>
          <w:tcPr>
            <w:tcW w:w="1701" w:type="dxa"/>
          </w:tcPr>
          <w:p w14:paraId="0F43D59B" w14:textId="77777777" w:rsidR="006179BB" w:rsidRPr="00C15715" w:rsidRDefault="006179BB" w:rsidP="006179BB">
            <w:pPr>
              <w:jc w:val="center"/>
              <w:rPr>
                <w:rFonts w:cstheme="minorHAnsi"/>
              </w:rPr>
            </w:pPr>
            <w:r w:rsidRPr="00C15715">
              <w:rPr>
                <w:rFonts w:cstheme="minorHAnsi"/>
              </w:rPr>
              <w:t>70,5</w:t>
            </w:r>
          </w:p>
        </w:tc>
      </w:tr>
      <w:tr w:rsidR="006179BB" w:rsidRPr="00C15715" w14:paraId="5F9C163A" w14:textId="77777777" w:rsidTr="006179BB">
        <w:trPr>
          <w:jc w:val="center"/>
        </w:trPr>
        <w:tc>
          <w:tcPr>
            <w:tcW w:w="1920" w:type="dxa"/>
          </w:tcPr>
          <w:p w14:paraId="4B252172" w14:textId="77777777" w:rsidR="006179BB" w:rsidRPr="00C15715" w:rsidRDefault="006179BB" w:rsidP="006179BB">
            <w:pPr>
              <w:rPr>
                <w:rFonts w:cstheme="minorHAnsi"/>
              </w:rPr>
            </w:pPr>
            <w:r w:rsidRPr="00C15715">
              <w:rPr>
                <w:rFonts w:cstheme="minorHAnsi"/>
              </w:rPr>
              <w:t>LT → PL</w:t>
            </w:r>
          </w:p>
        </w:tc>
        <w:tc>
          <w:tcPr>
            <w:tcW w:w="1616" w:type="dxa"/>
          </w:tcPr>
          <w:p w14:paraId="6A80EE33" w14:textId="77777777" w:rsidR="006179BB" w:rsidRPr="00C15715" w:rsidRDefault="006179BB" w:rsidP="006179BB">
            <w:pPr>
              <w:jc w:val="center"/>
              <w:rPr>
                <w:rFonts w:cstheme="minorHAnsi"/>
              </w:rPr>
            </w:pPr>
            <w:r w:rsidRPr="00C15715">
              <w:rPr>
                <w:rFonts w:cstheme="minorHAnsi"/>
              </w:rPr>
              <w:t>48</w:t>
            </w:r>
          </w:p>
        </w:tc>
        <w:tc>
          <w:tcPr>
            <w:tcW w:w="1765" w:type="dxa"/>
          </w:tcPr>
          <w:p w14:paraId="6F3F07EC" w14:textId="77777777" w:rsidR="006179BB" w:rsidRPr="00C15715" w:rsidRDefault="006179BB" w:rsidP="006179BB">
            <w:pPr>
              <w:jc w:val="center"/>
              <w:rPr>
                <w:rFonts w:cstheme="minorHAnsi"/>
              </w:rPr>
            </w:pPr>
            <w:r w:rsidRPr="00C15715">
              <w:rPr>
                <w:rFonts w:cstheme="minorHAnsi"/>
              </w:rPr>
              <w:t>9</w:t>
            </w:r>
          </w:p>
        </w:tc>
        <w:tc>
          <w:tcPr>
            <w:tcW w:w="1640" w:type="dxa"/>
          </w:tcPr>
          <w:p w14:paraId="601FCA11" w14:textId="77777777" w:rsidR="006179BB" w:rsidRPr="00C15715" w:rsidRDefault="006179BB" w:rsidP="006179BB">
            <w:pPr>
              <w:jc w:val="center"/>
              <w:rPr>
                <w:rFonts w:cstheme="minorHAnsi"/>
              </w:rPr>
            </w:pPr>
            <w:r w:rsidRPr="00C15715">
              <w:rPr>
                <w:rFonts w:cstheme="minorHAnsi"/>
              </w:rPr>
              <w:t>10,3</w:t>
            </w:r>
          </w:p>
        </w:tc>
        <w:tc>
          <w:tcPr>
            <w:tcW w:w="1701" w:type="dxa"/>
          </w:tcPr>
          <w:p w14:paraId="3E97C638" w14:textId="77777777" w:rsidR="006179BB" w:rsidRPr="00C15715" w:rsidRDefault="006179BB" w:rsidP="006179BB">
            <w:pPr>
              <w:jc w:val="center"/>
              <w:rPr>
                <w:rFonts w:cstheme="minorHAnsi"/>
              </w:rPr>
            </w:pPr>
            <w:r w:rsidRPr="00C15715">
              <w:rPr>
                <w:rFonts w:cstheme="minorHAnsi"/>
              </w:rPr>
              <w:t>57,7</w:t>
            </w:r>
          </w:p>
        </w:tc>
      </w:tr>
      <w:tr w:rsidR="006179BB" w:rsidRPr="00C15715" w14:paraId="2E159804" w14:textId="77777777" w:rsidTr="006179BB">
        <w:trPr>
          <w:jc w:val="center"/>
        </w:trPr>
        <w:tc>
          <w:tcPr>
            <w:tcW w:w="1920" w:type="dxa"/>
          </w:tcPr>
          <w:p w14:paraId="020D9EA5" w14:textId="77777777" w:rsidR="006179BB" w:rsidRPr="00C15715" w:rsidRDefault="006179BB" w:rsidP="006179BB">
            <w:pPr>
              <w:rPr>
                <w:rFonts w:cstheme="minorHAnsi"/>
              </w:rPr>
            </w:pPr>
            <w:r w:rsidRPr="00C15715">
              <w:rPr>
                <w:rFonts w:cstheme="minorHAnsi"/>
              </w:rPr>
              <w:t>SE → LT</w:t>
            </w:r>
          </w:p>
        </w:tc>
        <w:tc>
          <w:tcPr>
            <w:tcW w:w="1616" w:type="dxa"/>
          </w:tcPr>
          <w:p w14:paraId="5F8BBECF" w14:textId="77777777" w:rsidR="006179BB" w:rsidRPr="00C15715" w:rsidRDefault="006179BB" w:rsidP="006179BB">
            <w:pPr>
              <w:jc w:val="center"/>
              <w:rPr>
                <w:rFonts w:cstheme="minorHAnsi"/>
              </w:rPr>
            </w:pPr>
            <w:r w:rsidRPr="00C15715">
              <w:rPr>
                <w:rFonts w:cstheme="minorHAnsi"/>
              </w:rPr>
              <w:t>63</w:t>
            </w:r>
          </w:p>
        </w:tc>
        <w:tc>
          <w:tcPr>
            <w:tcW w:w="1765" w:type="dxa"/>
          </w:tcPr>
          <w:p w14:paraId="0F24051D" w14:textId="77777777" w:rsidR="006179BB" w:rsidRPr="00C15715" w:rsidRDefault="006179BB" w:rsidP="006179BB">
            <w:pPr>
              <w:jc w:val="center"/>
              <w:rPr>
                <w:rFonts w:cstheme="minorHAnsi"/>
              </w:rPr>
            </w:pPr>
            <w:r w:rsidRPr="00C15715">
              <w:rPr>
                <w:rFonts w:cstheme="minorHAnsi"/>
              </w:rPr>
              <w:t>-9</w:t>
            </w:r>
          </w:p>
        </w:tc>
        <w:tc>
          <w:tcPr>
            <w:tcW w:w="1640" w:type="dxa"/>
          </w:tcPr>
          <w:p w14:paraId="73E4E1F4" w14:textId="77777777" w:rsidR="006179BB" w:rsidRPr="00C15715" w:rsidRDefault="006179BB" w:rsidP="006179BB">
            <w:pPr>
              <w:jc w:val="center"/>
              <w:rPr>
                <w:rFonts w:cstheme="minorHAnsi"/>
              </w:rPr>
            </w:pPr>
            <w:r w:rsidRPr="00C15715">
              <w:rPr>
                <w:rFonts w:cstheme="minorHAnsi"/>
              </w:rPr>
              <w:t>0,0</w:t>
            </w:r>
          </w:p>
        </w:tc>
        <w:tc>
          <w:tcPr>
            <w:tcW w:w="1701" w:type="dxa"/>
          </w:tcPr>
          <w:p w14:paraId="2EBD453A" w14:textId="77777777" w:rsidR="006179BB" w:rsidRPr="00C15715" w:rsidRDefault="006179BB" w:rsidP="006179BB">
            <w:pPr>
              <w:jc w:val="center"/>
              <w:rPr>
                <w:rFonts w:cstheme="minorHAnsi"/>
              </w:rPr>
            </w:pPr>
            <w:r w:rsidRPr="00C15715">
              <w:rPr>
                <w:rFonts w:cstheme="minorHAnsi"/>
              </w:rPr>
              <w:t>91,5</w:t>
            </w:r>
          </w:p>
        </w:tc>
      </w:tr>
      <w:tr w:rsidR="006179BB" w:rsidRPr="00C15715" w14:paraId="667289F7" w14:textId="77777777" w:rsidTr="006179BB">
        <w:trPr>
          <w:jc w:val="center"/>
        </w:trPr>
        <w:tc>
          <w:tcPr>
            <w:tcW w:w="1920" w:type="dxa"/>
          </w:tcPr>
          <w:p w14:paraId="0D75920B" w14:textId="77777777" w:rsidR="006179BB" w:rsidRPr="00C15715" w:rsidRDefault="006179BB" w:rsidP="006179BB">
            <w:pPr>
              <w:rPr>
                <w:rFonts w:cstheme="minorHAnsi"/>
              </w:rPr>
            </w:pPr>
            <w:r w:rsidRPr="00C15715">
              <w:rPr>
                <w:rFonts w:cstheme="minorHAnsi"/>
              </w:rPr>
              <w:t>FI → EE</w:t>
            </w:r>
          </w:p>
        </w:tc>
        <w:tc>
          <w:tcPr>
            <w:tcW w:w="1616" w:type="dxa"/>
          </w:tcPr>
          <w:p w14:paraId="7270797F" w14:textId="77777777" w:rsidR="006179BB" w:rsidRPr="00C15715" w:rsidRDefault="006179BB" w:rsidP="006179BB">
            <w:pPr>
              <w:jc w:val="center"/>
              <w:rPr>
                <w:rFonts w:cstheme="minorHAnsi"/>
              </w:rPr>
            </w:pPr>
            <w:r w:rsidRPr="00C15715">
              <w:rPr>
                <w:rFonts w:cstheme="minorHAnsi"/>
              </w:rPr>
              <w:t>18</w:t>
            </w:r>
          </w:p>
        </w:tc>
        <w:tc>
          <w:tcPr>
            <w:tcW w:w="1765" w:type="dxa"/>
          </w:tcPr>
          <w:p w14:paraId="5FF2049B" w14:textId="77777777" w:rsidR="006179BB" w:rsidRPr="00C15715" w:rsidRDefault="006179BB" w:rsidP="006179BB">
            <w:pPr>
              <w:jc w:val="center"/>
              <w:rPr>
                <w:rFonts w:cstheme="minorHAnsi"/>
              </w:rPr>
            </w:pPr>
            <w:r w:rsidRPr="00C15715">
              <w:rPr>
                <w:rFonts w:cstheme="minorHAnsi"/>
              </w:rPr>
              <w:t>-19</w:t>
            </w:r>
          </w:p>
        </w:tc>
        <w:tc>
          <w:tcPr>
            <w:tcW w:w="1640" w:type="dxa"/>
          </w:tcPr>
          <w:p w14:paraId="62A797BB" w14:textId="77777777" w:rsidR="006179BB" w:rsidRPr="00C15715" w:rsidRDefault="006179BB" w:rsidP="006179BB">
            <w:pPr>
              <w:jc w:val="center"/>
              <w:rPr>
                <w:rFonts w:cstheme="minorHAnsi"/>
              </w:rPr>
            </w:pPr>
            <w:r w:rsidRPr="00C15715">
              <w:rPr>
                <w:rFonts w:cstheme="minorHAnsi"/>
              </w:rPr>
              <w:t>6,5</w:t>
            </w:r>
          </w:p>
        </w:tc>
        <w:tc>
          <w:tcPr>
            <w:tcW w:w="1701" w:type="dxa"/>
          </w:tcPr>
          <w:p w14:paraId="5274D093" w14:textId="77777777" w:rsidR="006179BB" w:rsidRPr="00C15715" w:rsidRDefault="006179BB" w:rsidP="006179BB">
            <w:pPr>
              <w:jc w:val="center"/>
              <w:rPr>
                <w:rFonts w:cstheme="minorHAnsi"/>
              </w:rPr>
            </w:pPr>
            <w:r w:rsidRPr="00C15715">
              <w:rPr>
                <w:rFonts w:cstheme="minorHAnsi"/>
              </w:rPr>
              <w:t>47,8</w:t>
            </w:r>
          </w:p>
        </w:tc>
      </w:tr>
    </w:tbl>
    <w:p w14:paraId="5323BE84" w14:textId="77777777" w:rsidR="006179BB" w:rsidRPr="00C15715" w:rsidRDefault="006179BB" w:rsidP="006179BB">
      <w:pPr>
        <w:pStyle w:val="NormalWeb"/>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Imports no trešajām valstīm uz Baltiju var notikt vienīgi caur Nord Pool</w:t>
      </w:r>
      <w:bookmarkStart w:id="237" w:name="_ftnref7"/>
      <w:r w:rsidRPr="00C15715">
        <w:rPr>
          <w:rFonts w:asciiTheme="minorHAnsi" w:hAnsiTheme="minorHAnsi" w:cstheme="minorHAnsi"/>
        </w:rPr>
        <w:footnoteReference w:id="74"/>
      </w:r>
      <w:bookmarkEnd w:id="237"/>
      <w:r w:rsidRPr="00C15715">
        <w:rPr>
          <w:rFonts w:asciiTheme="minorHAnsi" w:hAnsiTheme="minorHAnsi" w:cstheme="minorHAnsi"/>
        </w:rPr>
        <w:t> (NP) Lietuvas tirdzniecības apgabalu – LBI. Importētās elektroenerģijas apjoms, kas tika importēts no trešajām valstīm 2018. gadā bija 2 558 187 MWh, kas ir par 229% vairāk salīdzinājumā ar 2017. gadu, kad tas bija 776 395 MWh. Saskaņā ar Nord Pool informāciju, Zviedrija caur NordBalt kabeli 2018. gadā eksportējusi uz Lietuvu bija 2 930 002 MWh, bet Polija caur LitPol Link – 721 839 MWh. NordBalt kabeļa vidējā noslodze bija 60%, kas, salīdzinājumā ar 2017. gadu, samazinājās par 3 procentpunktiem. LitPol Link starpsavienojuma noslogotība virzienā no Polijas uz Lietuvu bija 29%, kur salīdzinājumā ar iepriekšējo gadu, ir pieaugums par 7 procentpunktiem, savukārt virzienā no Lietuvas uz Poliju noslogotība bija 39%, kas, salīdzinot ar iepriekšējo gadu, ir samazinājums par 8 procentpunktiem.</w:t>
      </w:r>
    </w:p>
    <w:p w14:paraId="1D50BC7A" w14:textId="77777777" w:rsidR="006179BB" w:rsidRPr="00C15715" w:rsidRDefault="006179BB" w:rsidP="006179BB">
      <w:pPr>
        <w:pStyle w:val="NormalWeb"/>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2018. gadā Igaunijas – Latvijas starpsavienojuma vidējā noslogotība bija 56%, kas, salīdzinājumā ar iepriekšējo gadu ir samazinājusies par 2 procentpunktiem. Igaunijas – Latvijas starpsavienojuma augstākā fiksētā mēneša noslogotība bija 79,4% (septembris), bet laikā, kad Latvijā ir pietiekama vietējā ģenerācija un mazāks nepieciešamās elektroenerģijas importa apjoms no Igaunijas, starpsavienojuma noslogojums bija nokrities vidēji līdz 38,5% (decembrī) no pieejamās neto pārvades jaudas. Neto pārvades jauda 2018. gadā bija 6 689 093 MWh.</w:t>
      </w:r>
    </w:p>
    <w:p w14:paraId="3D5B44B9" w14:textId="77777777" w:rsidR="006179BB" w:rsidRPr="00C15715" w:rsidRDefault="006179BB" w:rsidP="006179BB">
      <w:pPr>
        <w:spacing w:before="120" w:after="120" w:line="240" w:lineRule="auto"/>
        <w:jc w:val="both"/>
        <w:rPr>
          <w:rFonts w:cstheme="minorHAnsi"/>
        </w:rPr>
      </w:pPr>
      <w:r w:rsidRPr="00C15715">
        <w:rPr>
          <w:rFonts w:eastAsia="Times New Roman" w:cstheme="minorHAnsi"/>
          <w:szCs w:val="24"/>
          <w:lang w:eastAsia="lv-LV"/>
        </w:rPr>
        <w:t xml:space="preserve">Latvijas dabasgāzes pārvades sistēma ir savienota ar triju kaimiņvalstu – Igaunijas, Krievijas un Lietuvas – dabasgāzes sistēmām, no kurām savienojums ar Igauniju ļauj tehniski nodrošināt dabasgāzes plūsmas virzienā no Latvijas uz Igauniju, bet savienojumi ar Lietuvu un Krieviju – plūsmas abos virzienos. 2018.gada augustā pārvades savienojuma tehniskā jauda ar Krieviju virzienā uz Latviju sasniedza 178,5 GWh diennaktī, bet apkures sezonai prognozējamā jauda plūsmai virzienā no Latvijas uz Krieviju – 105 GWh diennaktī. Savienojuma ar Igauniju tehniskā jauda virzienā uz Igauniju sasniedza 73,08 GWh diennaktī, savukārt savienojuma ar Lietuvu tehniskā jauda virzienā uz Latviju un virzienā uz Lietuvu – attiecīgi 67,6 GWh un 65,1 GWh. Gada griezumā visu dabasgāzes starpsavienojumu noslodze ir zema un visos starpsavienojumos nesasniedz pat 50% no teorētiski pieejamās jaudas, tomēr atsevišķos dabasgāzes pārvades sistēmas režīmos var tikt izmantotas līdz pat 100% no savienojumos pieejamās jaudas, savukārt apkures sezonā galvenais dabasgāzes apgādes avots Latvijas patēriņa nodrošināšanai, ņemot vērā patēriņa pieaugumu visā reģionā un no tā izrietošo piegāžu apjoma samazināšanos pa cauruļvadiem un sašķidrinātās dabasgāzes kuģu pieejamības ierobežotību, ir Inčukalna pazemes gāzes krātuve.   </w:t>
      </w:r>
    </w:p>
    <w:p w14:paraId="71685415" w14:textId="008748A6" w:rsidR="006179BB" w:rsidRPr="00C15715" w:rsidRDefault="006179BB">
      <w:pPr>
        <w:pStyle w:val="Heading4"/>
      </w:pPr>
      <w:bookmarkStart w:id="238" w:name="_Toc23245779"/>
      <w:r w:rsidRPr="00C15715">
        <w:t>Starpsavieno</w:t>
      </w:r>
      <w:r w:rsidR="00F009B7">
        <w:t>jumu</w:t>
      </w:r>
      <w:r w:rsidR="00DB390C">
        <w:t xml:space="preserve"> jaudu</w:t>
      </w:r>
      <w:r w:rsidRPr="00C15715">
        <w:t xml:space="preserve"> paplašināšanas prasību izpilde</w:t>
      </w:r>
      <w:bookmarkEnd w:id="238"/>
    </w:p>
    <w:p w14:paraId="4A6E9287" w14:textId="77777777"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Saskaņā ar EK informāciju Latvija (kopā Baltijas valstu grupā) 2017.gadā nodrošina 23,7% elektrības starpsavienotības līmeni. Starpsavienojamības līmenis Latvijai 2018.gadā ir aprēķināts, izmantojot vairākas formulas, neņemot vērā starpsavienojumu jaudas ar trešajām valstīm (tikai ES DV starpsavienojuma jaudas)</w:t>
      </w:r>
      <w:r w:rsidRPr="00C15715">
        <w:rPr>
          <w:rStyle w:val="FootnoteReference"/>
          <w:rFonts w:asciiTheme="minorHAnsi" w:hAnsiTheme="minorHAnsi" w:cstheme="minorHAnsi"/>
        </w:rPr>
        <w:footnoteReference w:id="75"/>
      </w:r>
      <w:r w:rsidRPr="00C15715">
        <w:rPr>
          <w:rFonts w:asciiTheme="minorHAnsi" w:hAnsiTheme="minorHAnsi" w:cstheme="minorHAnsi"/>
        </w:rPr>
        <w:t>:</w:t>
      </w:r>
    </w:p>
    <w:p w14:paraId="0EF82A46"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ienākošās (import) starpsavienojumu jaudas (kopējā) un pīķa jaudas (pieprasījuma) attiecība</w:t>
      </w:r>
      <w:r>
        <w:rPr>
          <w:rFonts w:asciiTheme="minorHAnsi" w:hAnsiTheme="minorHAnsi" w:cstheme="minorHAnsi"/>
        </w:rPr>
        <w:t>;</w:t>
      </w:r>
    </w:p>
    <w:p w14:paraId="617A821D"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izejošās (export) starpsavienojumu jaudas (kopējā) un pīķa jaudas (pieprasījuma) attiecība</w:t>
      </w:r>
      <w:r>
        <w:rPr>
          <w:rFonts w:asciiTheme="minorHAnsi" w:hAnsiTheme="minorHAnsi" w:cstheme="minorHAnsi"/>
        </w:rPr>
        <w:t>;</w:t>
      </w:r>
    </w:p>
    <w:p w14:paraId="33DE85B3"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ienākošās (import) starpsavienojumu jaudas (kopējā) un uzstādītās AER jaudas attiecība</w:t>
      </w:r>
      <w:r>
        <w:rPr>
          <w:rFonts w:asciiTheme="minorHAnsi" w:hAnsiTheme="minorHAnsi" w:cstheme="minorHAnsi"/>
        </w:rPr>
        <w:t>;</w:t>
      </w:r>
    </w:p>
    <w:p w14:paraId="7ABC04D5"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izejošās (export) starpsavienojumu jaudas (kopējā) un uzstādītās AER jaudas attiecība</w:t>
      </w:r>
      <w:r>
        <w:rPr>
          <w:rFonts w:asciiTheme="minorHAnsi" w:hAnsiTheme="minorHAnsi" w:cstheme="minorHAnsi"/>
        </w:rPr>
        <w:t>;</w:t>
      </w:r>
    </w:p>
    <w:p w14:paraId="1A12534C"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ienākošās (import) starpsavienojumu jaudas (starp LV un citu ES DV) un pīķa jaudas (pieprasījuma) attiecība</w:t>
      </w:r>
      <w:r>
        <w:rPr>
          <w:rFonts w:asciiTheme="minorHAnsi" w:hAnsiTheme="minorHAnsi" w:cstheme="minorHAnsi"/>
        </w:rPr>
        <w:t>;</w:t>
      </w:r>
    </w:p>
    <w:p w14:paraId="4C123E16"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izejošās (export) starpsavienojumu jaudas (starp LV un citu ES DV) un pīķa jaudas (pieprasījuma) attiecība</w:t>
      </w:r>
      <w:r>
        <w:rPr>
          <w:rFonts w:asciiTheme="minorHAnsi" w:hAnsiTheme="minorHAnsi" w:cstheme="minorHAnsi"/>
        </w:rPr>
        <w:t>;</w:t>
      </w:r>
    </w:p>
    <w:p w14:paraId="72E4A3A9"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ienākošās (import) starpsavienojumu jaudas (starp LV un citu ES DV) un uzstādītās AER jaudas attiecība</w:t>
      </w:r>
      <w:r>
        <w:rPr>
          <w:rFonts w:asciiTheme="minorHAnsi" w:hAnsiTheme="minorHAnsi" w:cstheme="minorHAnsi"/>
        </w:rPr>
        <w:t>;</w:t>
      </w:r>
    </w:p>
    <w:p w14:paraId="48678A26" w14:textId="77777777" w:rsidR="006179BB" w:rsidRPr="00C15715" w:rsidRDefault="006179BB" w:rsidP="006179BB">
      <w:pPr>
        <w:pStyle w:val="paragraph"/>
        <w:numPr>
          <w:ilvl w:val="2"/>
          <w:numId w:val="10"/>
        </w:numPr>
        <w:spacing w:before="120" w:beforeAutospacing="0" w:after="120" w:afterAutospacing="0"/>
        <w:ind w:left="454" w:hanging="454"/>
        <w:jc w:val="both"/>
        <w:textAlignment w:val="baseline"/>
        <w:rPr>
          <w:rFonts w:asciiTheme="minorHAnsi" w:hAnsiTheme="minorHAnsi" w:cstheme="minorHAnsi"/>
        </w:rPr>
      </w:pPr>
      <w:r w:rsidRPr="00C15715">
        <w:rPr>
          <w:rFonts w:asciiTheme="minorHAnsi" w:hAnsiTheme="minorHAnsi" w:cstheme="minorHAnsi"/>
        </w:rPr>
        <w:t>izejošās (export) starpsavienojumu jaudas (starp LV un citu ES DV) un uzstādītās AER jaudas attiecība.</w:t>
      </w:r>
    </w:p>
    <w:p w14:paraId="472BA21B" w14:textId="7FF6FA66" w:rsidR="006179BB" w:rsidRPr="00C15715" w:rsidRDefault="006179BB" w:rsidP="006179BB">
      <w:pPr>
        <w:pStyle w:val="Caption"/>
        <w:rPr>
          <w:rFonts w:asciiTheme="minorHAnsi" w:hAnsiTheme="minorHAnsi" w:cstheme="minorHAnsi"/>
        </w:rPr>
      </w:pPr>
      <w:r w:rsidRPr="00C15715">
        <w:rPr>
          <w:rFonts w:asciiTheme="minorHAnsi" w:hAnsiTheme="minorHAnsi" w:cstheme="minorHAnsi"/>
        </w:rPr>
        <w:fldChar w:fldCharType="begin"/>
      </w:r>
      <w:r w:rsidRPr="00C15715">
        <w:rPr>
          <w:rFonts w:asciiTheme="minorHAnsi" w:hAnsiTheme="minorHAnsi" w:cstheme="minorHAnsi"/>
        </w:rPr>
        <w:instrText xml:space="preserve"> SEQ Tabula \* ARABIC </w:instrText>
      </w:r>
      <w:r w:rsidRPr="00C15715">
        <w:rPr>
          <w:rFonts w:asciiTheme="minorHAnsi" w:hAnsiTheme="minorHAnsi" w:cstheme="minorHAnsi"/>
        </w:rPr>
        <w:fldChar w:fldCharType="separate"/>
      </w:r>
      <w:r w:rsidR="006E6675">
        <w:rPr>
          <w:rFonts w:asciiTheme="minorHAnsi" w:hAnsiTheme="minorHAnsi" w:cstheme="minorHAnsi"/>
          <w:noProof/>
        </w:rPr>
        <w:t>9</w:t>
      </w:r>
      <w:r w:rsidRPr="00C15715">
        <w:rPr>
          <w:rFonts w:asciiTheme="minorHAnsi" w:hAnsiTheme="minorHAnsi" w:cstheme="minorHAnsi"/>
          <w:noProof/>
        </w:rPr>
        <w:fldChar w:fldCharType="end"/>
      </w:r>
      <w:r w:rsidRPr="00C15715">
        <w:rPr>
          <w:rFonts w:asciiTheme="minorHAnsi" w:hAnsiTheme="minorHAnsi" w:cstheme="minorHAnsi"/>
        </w:rPr>
        <w:t>.tabula. Latvijas elektroenerģijas starpsavienojumu līmeņa 2018.gadā noteikšanai izmantotie dati (MW)</w:t>
      </w:r>
    </w:p>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3"/>
        <w:gridCol w:w="1396"/>
      </w:tblGrid>
      <w:tr w:rsidR="006179BB" w:rsidRPr="00C15715" w14:paraId="38C748AC" w14:textId="77777777" w:rsidTr="006179BB">
        <w:trPr>
          <w:trHeight w:val="315"/>
          <w:tblHeader/>
          <w:jc w:val="center"/>
        </w:trPr>
        <w:tc>
          <w:tcPr>
            <w:tcW w:w="7933" w:type="dxa"/>
            <w:shd w:val="clear" w:color="auto" w:fill="F2F2F2" w:themeFill="background1" w:themeFillShade="F2"/>
            <w:noWrap/>
            <w:vAlign w:val="center"/>
          </w:tcPr>
          <w:p w14:paraId="6FF6B887" w14:textId="77777777" w:rsidR="006179BB" w:rsidRPr="00C15715" w:rsidRDefault="006179BB" w:rsidP="006179BB">
            <w:pPr>
              <w:spacing w:after="0" w:line="240" w:lineRule="auto"/>
              <w:jc w:val="center"/>
              <w:rPr>
                <w:rFonts w:eastAsia="Times New Roman" w:cstheme="minorHAnsi"/>
                <w:b/>
                <w:bCs/>
                <w:color w:val="000000"/>
                <w:szCs w:val="24"/>
                <w:lang w:eastAsia="lv-LV"/>
              </w:rPr>
            </w:pPr>
            <w:r w:rsidRPr="00C15715">
              <w:rPr>
                <w:rFonts w:eastAsia="Times New Roman" w:cstheme="minorHAnsi"/>
                <w:b/>
                <w:bCs/>
                <w:color w:val="000000"/>
                <w:szCs w:val="24"/>
                <w:lang w:eastAsia="lv-LV"/>
              </w:rPr>
              <w:t>Izmantotais parametrs</w:t>
            </w:r>
          </w:p>
        </w:tc>
        <w:tc>
          <w:tcPr>
            <w:tcW w:w="1396" w:type="dxa"/>
            <w:shd w:val="clear" w:color="auto" w:fill="F2F2F2" w:themeFill="background1" w:themeFillShade="F2"/>
            <w:noWrap/>
            <w:vAlign w:val="center"/>
          </w:tcPr>
          <w:p w14:paraId="67120143" w14:textId="77777777" w:rsidR="006179BB" w:rsidRPr="00C15715" w:rsidRDefault="006179BB" w:rsidP="006179BB">
            <w:pPr>
              <w:spacing w:after="0" w:line="240" w:lineRule="auto"/>
              <w:jc w:val="center"/>
              <w:rPr>
                <w:rFonts w:eastAsia="Times New Roman" w:cstheme="minorHAnsi"/>
                <w:b/>
                <w:bCs/>
                <w:color w:val="000000"/>
                <w:szCs w:val="24"/>
                <w:lang w:eastAsia="lv-LV"/>
              </w:rPr>
            </w:pPr>
            <w:r w:rsidRPr="00C15715">
              <w:rPr>
                <w:rFonts w:eastAsia="Times New Roman" w:cstheme="minorHAnsi"/>
                <w:b/>
                <w:bCs/>
                <w:color w:val="000000"/>
                <w:szCs w:val="24"/>
                <w:lang w:eastAsia="lv-LV"/>
              </w:rPr>
              <w:t>2018.g.</w:t>
            </w:r>
          </w:p>
        </w:tc>
      </w:tr>
      <w:tr w:rsidR="006179BB" w:rsidRPr="00C15715" w14:paraId="47B6C5C6" w14:textId="77777777" w:rsidTr="006179BB">
        <w:trPr>
          <w:trHeight w:val="315"/>
          <w:jc w:val="center"/>
        </w:trPr>
        <w:tc>
          <w:tcPr>
            <w:tcW w:w="7933" w:type="dxa"/>
            <w:shd w:val="clear" w:color="auto" w:fill="auto"/>
            <w:noWrap/>
            <w:vAlign w:val="center"/>
            <w:hideMark/>
          </w:tcPr>
          <w:p w14:paraId="503BC673" w14:textId="77777777" w:rsidR="006179BB" w:rsidRPr="00C15715" w:rsidRDefault="006179BB" w:rsidP="006179BB">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uzstādītā elektroenerģijas ražošanas jauda</w:t>
            </w:r>
          </w:p>
        </w:tc>
        <w:tc>
          <w:tcPr>
            <w:tcW w:w="1396" w:type="dxa"/>
            <w:shd w:val="clear" w:color="auto" w:fill="auto"/>
            <w:noWrap/>
            <w:vAlign w:val="center"/>
            <w:hideMark/>
          </w:tcPr>
          <w:p w14:paraId="20390D0F"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2986,18</w:t>
            </w:r>
          </w:p>
        </w:tc>
      </w:tr>
      <w:tr w:rsidR="006179BB" w:rsidRPr="00C15715" w14:paraId="353ED52F" w14:textId="77777777" w:rsidTr="006179BB">
        <w:trPr>
          <w:trHeight w:val="315"/>
          <w:jc w:val="center"/>
        </w:trPr>
        <w:tc>
          <w:tcPr>
            <w:tcW w:w="7933" w:type="dxa"/>
            <w:shd w:val="clear" w:color="auto" w:fill="auto"/>
            <w:noWrap/>
            <w:vAlign w:val="center"/>
            <w:hideMark/>
          </w:tcPr>
          <w:p w14:paraId="49CE2827" w14:textId="77777777" w:rsidR="006179BB" w:rsidRPr="00C15715" w:rsidRDefault="006179BB" w:rsidP="006179BB">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ienākošā starpsavienojumu jauda (imports) (SJI)</w:t>
            </w:r>
          </w:p>
        </w:tc>
        <w:tc>
          <w:tcPr>
            <w:tcW w:w="1396" w:type="dxa"/>
            <w:shd w:val="clear" w:color="auto" w:fill="auto"/>
            <w:noWrap/>
            <w:vAlign w:val="center"/>
            <w:hideMark/>
          </w:tcPr>
          <w:p w14:paraId="04E7373D"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1750</w:t>
            </w:r>
          </w:p>
        </w:tc>
      </w:tr>
      <w:tr w:rsidR="006179BB" w:rsidRPr="00C15715" w14:paraId="257257AE" w14:textId="77777777" w:rsidTr="006179BB">
        <w:trPr>
          <w:trHeight w:val="315"/>
          <w:jc w:val="center"/>
        </w:trPr>
        <w:tc>
          <w:tcPr>
            <w:tcW w:w="7933" w:type="dxa"/>
            <w:shd w:val="clear" w:color="auto" w:fill="auto"/>
            <w:noWrap/>
            <w:vAlign w:val="center"/>
            <w:hideMark/>
          </w:tcPr>
          <w:p w14:paraId="4685447D" w14:textId="77777777" w:rsidR="006179BB" w:rsidRPr="00C15715" w:rsidRDefault="006179BB" w:rsidP="006179BB">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izejošā starpsavienojumu jauda (eksports) (SJE)</w:t>
            </w:r>
          </w:p>
        </w:tc>
        <w:tc>
          <w:tcPr>
            <w:tcW w:w="1396" w:type="dxa"/>
            <w:shd w:val="clear" w:color="auto" w:fill="auto"/>
            <w:noWrap/>
            <w:vAlign w:val="center"/>
            <w:hideMark/>
          </w:tcPr>
          <w:p w14:paraId="01A15624"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1550</w:t>
            </w:r>
          </w:p>
        </w:tc>
      </w:tr>
      <w:tr w:rsidR="006179BB" w:rsidRPr="00C15715" w14:paraId="1743CB91" w14:textId="77777777" w:rsidTr="006179BB">
        <w:trPr>
          <w:trHeight w:val="352"/>
          <w:jc w:val="center"/>
        </w:trPr>
        <w:tc>
          <w:tcPr>
            <w:tcW w:w="7933" w:type="dxa"/>
            <w:shd w:val="clear" w:color="auto" w:fill="auto"/>
            <w:noWrap/>
            <w:vAlign w:val="center"/>
            <w:hideMark/>
          </w:tcPr>
          <w:p w14:paraId="2E9A7552" w14:textId="77777777" w:rsidR="006179BB" w:rsidRPr="00C15715" w:rsidRDefault="006179BB" w:rsidP="006179BB">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pīķa jaudas (maksimālais pieprasījums 2018.g.) (PJ)</w:t>
            </w:r>
          </w:p>
        </w:tc>
        <w:tc>
          <w:tcPr>
            <w:tcW w:w="1396" w:type="dxa"/>
            <w:shd w:val="clear" w:color="auto" w:fill="auto"/>
            <w:noWrap/>
            <w:vAlign w:val="center"/>
            <w:hideMark/>
          </w:tcPr>
          <w:p w14:paraId="76939839"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1255</w:t>
            </w:r>
          </w:p>
        </w:tc>
      </w:tr>
      <w:tr w:rsidR="006179BB" w:rsidRPr="00C15715" w14:paraId="2F28E068" w14:textId="77777777" w:rsidTr="006179BB">
        <w:trPr>
          <w:trHeight w:val="315"/>
          <w:jc w:val="center"/>
        </w:trPr>
        <w:tc>
          <w:tcPr>
            <w:tcW w:w="7933" w:type="dxa"/>
            <w:shd w:val="clear" w:color="auto" w:fill="auto"/>
            <w:noWrap/>
            <w:vAlign w:val="center"/>
            <w:hideMark/>
          </w:tcPr>
          <w:p w14:paraId="1EE5377E" w14:textId="77777777" w:rsidR="006179BB" w:rsidRPr="00C15715" w:rsidRDefault="006179BB" w:rsidP="006179BB">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uzstādītā AER jauda (UAER)</w:t>
            </w:r>
          </w:p>
        </w:tc>
        <w:tc>
          <w:tcPr>
            <w:tcW w:w="1396" w:type="dxa"/>
            <w:shd w:val="clear" w:color="auto" w:fill="auto"/>
            <w:noWrap/>
            <w:vAlign w:val="center"/>
            <w:hideMark/>
          </w:tcPr>
          <w:p w14:paraId="5A8EB0FE"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1829,18</w:t>
            </w:r>
          </w:p>
        </w:tc>
      </w:tr>
      <w:tr w:rsidR="006179BB" w:rsidRPr="00C15715" w14:paraId="63517732" w14:textId="77777777" w:rsidTr="006179BB">
        <w:trPr>
          <w:trHeight w:val="315"/>
          <w:jc w:val="center"/>
        </w:trPr>
        <w:tc>
          <w:tcPr>
            <w:tcW w:w="7933" w:type="dxa"/>
            <w:shd w:val="clear" w:color="auto" w:fill="auto"/>
            <w:noWrap/>
            <w:vAlign w:val="center"/>
          </w:tcPr>
          <w:p w14:paraId="4E35D158" w14:textId="77777777" w:rsidR="006179BB" w:rsidRPr="00C15715" w:rsidRDefault="006179BB" w:rsidP="006179BB">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ienākošo (importa) starpsavienojumu jauda (starp LV un ES dalībvalstīm) (SJI-LV)</w:t>
            </w:r>
          </w:p>
        </w:tc>
        <w:tc>
          <w:tcPr>
            <w:tcW w:w="1396" w:type="dxa"/>
            <w:shd w:val="clear" w:color="auto" w:fill="auto"/>
            <w:noWrap/>
            <w:vAlign w:val="center"/>
          </w:tcPr>
          <w:p w14:paraId="01ACF577"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900</w:t>
            </w:r>
          </w:p>
        </w:tc>
      </w:tr>
      <w:tr w:rsidR="006179BB" w:rsidRPr="00C15715" w14:paraId="4B5A6A59" w14:textId="77777777" w:rsidTr="006179BB">
        <w:trPr>
          <w:trHeight w:val="315"/>
          <w:jc w:val="center"/>
        </w:trPr>
        <w:tc>
          <w:tcPr>
            <w:tcW w:w="7933" w:type="dxa"/>
            <w:shd w:val="clear" w:color="auto" w:fill="auto"/>
            <w:noWrap/>
            <w:vAlign w:val="center"/>
          </w:tcPr>
          <w:p w14:paraId="4756B65F" w14:textId="77777777" w:rsidR="006179BB" w:rsidRPr="00C15715" w:rsidRDefault="006179BB" w:rsidP="006179BB">
            <w:pPr>
              <w:spacing w:after="0" w:line="240" w:lineRule="auto"/>
              <w:jc w:val="both"/>
              <w:rPr>
                <w:rFonts w:eastAsia="Times New Roman" w:cstheme="minorHAnsi"/>
                <w:color w:val="000000"/>
                <w:szCs w:val="24"/>
                <w:lang w:eastAsia="lv-LV"/>
              </w:rPr>
            </w:pPr>
            <w:r w:rsidRPr="00C15715">
              <w:rPr>
                <w:rFonts w:eastAsia="Times New Roman" w:cstheme="minorHAnsi"/>
                <w:color w:val="000000"/>
                <w:szCs w:val="24"/>
                <w:lang w:eastAsia="lv-LV"/>
              </w:rPr>
              <w:t>izejošā (exporta) starpsavienojumu jauda (starp LV un ES dalībvalstīm) (SJE-LV)</w:t>
            </w:r>
          </w:p>
        </w:tc>
        <w:tc>
          <w:tcPr>
            <w:tcW w:w="1396" w:type="dxa"/>
            <w:shd w:val="clear" w:color="auto" w:fill="auto"/>
            <w:noWrap/>
            <w:vAlign w:val="center"/>
          </w:tcPr>
          <w:p w14:paraId="649F38FF"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1300</w:t>
            </w:r>
          </w:p>
        </w:tc>
      </w:tr>
    </w:tbl>
    <w:p w14:paraId="66AEBEC2" w14:textId="77777777" w:rsidR="006179BB" w:rsidRPr="00C15715" w:rsidRDefault="006179BB" w:rsidP="006179BB">
      <w:pPr>
        <w:pStyle w:val="ListParagraph"/>
        <w:spacing w:before="120" w:after="120" w:line="240" w:lineRule="auto"/>
        <w:ind w:left="0"/>
        <w:contextualSpacing w:val="0"/>
        <w:jc w:val="both"/>
        <w:rPr>
          <w:rFonts w:cstheme="minorHAnsi"/>
        </w:rPr>
      </w:pPr>
      <w:r w:rsidRPr="00C15715">
        <w:rPr>
          <w:rFonts w:cstheme="minorHAnsi"/>
        </w:rPr>
        <w:t xml:space="preserve">Baltijas valstu caurlaides spējas aprēķinā netiek ņemta vērā tirdzniecība ar Krieviju, un aprēķinā ir iekļauti tikai starpsavienojumi Igaunija-Somija (1000 MW), Lietuva-Zviedrija (700 MW) un Lietuva-Polija (500 MW). Sakarā 2025. gada plāniem attiecībā uz desinhronizāciju no BRELL tīkla uz 2030. gadu caurlaides spēja uz Krieviju/Baltkrieviju/Kaļiņingradu ir 0 MW. </w:t>
      </w:r>
    </w:p>
    <w:p w14:paraId="58D8FDEE" w14:textId="77777777" w:rsidR="006179BB" w:rsidRPr="00C15715" w:rsidRDefault="006179BB" w:rsidP="006179BB">
      <w:pPr>
        <w:pStyle w:val="ListParagraph"/>
        <w:spacing w:before="120" w:after="120" w:line="240" w:lineRule="auto"/>
        <w:ind w:left="0"/>
        <w:contextualSpacing w:val="0"/>
        <w:jc w:val="center"/>
        <w:rPr>
          <w:rFonts w:cstheme="minorHAnsi"/>
        </w:rPr>
      </w:pPr>
      <w:r w:rsidRPr="00C15715">
        <w:rPr>
          <w:rFonts w:cstheme="minorHAnsi"/>
          <w:noProof/>
        </w:rPr>
        <w:drawing>
          <wp:inline distT="0" distB="0" distL="0" distR="0" wp14:anchorId="2169F710" wp14:editId="465F9DC1">
            <wp:extent cx="4255868" cy="288569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93441" cy="2911168"/>
                    </a:xfrm>
                    <a:prstGeom prst="rect">
                      <a:avLst/>
                    </a:prstGeom>
                    <a:noFill/>
                  </pic:spPr>
                </pic:pic>
              </a:graphicData>
            </a:graphic>
          </wp:inline>
        </w:drawing>
      </w:r>
    </w:p>
    <w:p w14:paraId="17926B0E" w14:textId="27F3A8BB"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239" w:name="_Toc23782703"/>
      <w:r w:rsidR="006E6675">
        <w:rPr>
          <w:rFonts w:asciiTheme="minorHAnsi" w:hAnsiTheme="minorHAnsi" w:cstheme="minorHAnsi"/>
          <w:noProof/>
        </w:rPr>
        <w:t>23</w:t>
      </w:r>
      <w:r w:rsidRPr="00C15715">
        <w:rPr>
          <w:rFonts w:asciiTheme="minorHAnsi" w:hAnsiTheme="minorHAnsi" w:cstheme="minorHAnsi"/>
          <w:noProof/>
        </w:rPr>
        <w:fldChar w:fldCharType="end"/>
      </w:r>
      <w:r w:rsidRPr="00C15715">
        <w:rPr>
          <w:rFonts w:asciiTheme="minorHAnsi" w:hAnsiTheme="minorHAnsi" w:cstheme="minorHAnsi"/>
        </w:rPr>
        <w:t>.attēls. Latvijas elektroenerģijas starpsavienojumu līmenis 2018.gadā</w:t>
      </w:r>
      <w:bookmarkEnd w:id="239"/>
    </w:p>
    <w:p w14:paraId="6721B886" w14:textId="77777777" w:rsidR="006179BB"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Ja ņem vērā Baltijas valstu starpsavienojuma jaudas ar citām ES DV, tad ir secināms, ka LV starpsavienojuma līmenis pārsniedz 85% visos rādītājos. Savukārt, ja ņem vērā tikai Latvijas starpsavienojuma jaudas ar citām ES DV (Igauniju un Lietuvu), tad Latvijā starpsavienojuma līmenis zemākajā rādītājā (importa starpsavienojuma jaudas un uzstādītās AER jaudas attiecība) ir 49%, līdz ar to Latvijai ir jādomā, kā uzlabot šo rādītāju līdz ieteicamajiem 60%</w:t>
      </w:r>
      <w:r>
        <w:rPr>
          <w:rStyle w:val="FootnoteReference"/>
          <w:rFonts w:asciiTheme="minorHAnsi" w:hAnsiTheme="minorHAnsi" w:cstheme="minorHAnsi"/>
        </w:rPr>
        <w:footnoteReference w:id="76"/>
      </w:r>
      <w:r w:rsidRPr="00C15715">
        <w:rPr>
          <w:rFonts w:asciiTheme="minorHAnsi" w:hAnsiTheme="minorHAnsi" w:cstheme="minorHAnsi"/>
        </w:rPr>
        <w:t xml:space="preserve">. </w:t>
      </w:r>
      <w:r>
        <w:rPr>
          <w:rFonts w:asciiTheme="minorHAnsi" w:hAnsiTheme="minorHAnsi" w:cstheme="minorHAnsi"/>
        </w:rPr>
        <w:t xml:space="preserve">Latvija šo rādītāju uzlabos ar </w:t>
      </w:r>
      <w:r w:rsidRPr="00BB0CFD">
        <w:rPr>
          <w:rFonts w:asciiTheme="minorHAnsi" w:hAnsiTheme="minorHAnsi" w:cstheme="minorHAnsi"/>
        </w:rPr>
        <w:t>Latvijas-Igaunijas trešā starpsavienojuma projektu (330kV elektropārvades augstsprieguma līnija starp apakšstacijām Igaunijā un Latvijā)</w:t>
      </w:r>
      <w:r>
        <w:rPr>
          <w:rFonts w:asciiTheme="minorHAnsi" w:hAnsiTheme="minorHAnsi" w:cstheme="minorHAnsi"/>
        </w:rPr>
        <w:t xml:space="preserve">, kur šo projektu plānots </w:t>
      </w:r>
      <w:r w:rsidRPr="00BB0CFD">
        <w:rPr>
          <w:rFonts w:asciiTheme="minorHAnsi" w:hAnsiTheme="minorHAnsi" w:cstheme="minorHAnsi"/>
        </w:rPr>
        <w:t>realizēt līdz 2020.gadam</w:t>
      </w:r>
      <w:r>
        <w:rPr>
          <w:rFonts w:asciiTheme="minorHAnsi" w:hAnsiTheme="minorHAnsi" w:cstheme="minorHAnsi"/>
        </w:rPr>
        <w:t xml:space="preserve"> un ar to </w:t>
      </w:r>
      <w:r w:rsidRPr="00BB0CFD">
        <w:rPr>
          <w:rFonts w:asciiTheme="minorHAnsi" w:hAnsiTheme="minorHAnsi" w:cstheme="minorHAnsi"/>
        </w:rPr>
        <w:t>tiks palielināta šķērsgriezuma Latvija-Igaunija maksimālā caurlaides spēja virzienā uz Igauniju par 500MW un virzienā uz Latviju par 600MW.</w:t>
      </w:r>
      <w:r>
        <w:rPr>
          <w:rFonts w:asciiTheme="minorHAnsi" w:hAnsiTheme="minorHAnsi" w:cstheme="minorHAnsi"/>
        </w:rPr>
        <w:t xml:space="preserve"> </w:t>
      </w:r>
    </w:p>
    <w:p w14:paraId="13B0CE9D" w14:textId="77777777" w:rsidR="006179BB" w:rsidRPr="00C15715" w:rsidRDefault="006179BB" w:rsidP="006179BB">
      <w:pPr>
        <w:pStyle w:val="paragraph"/>
        <w:spacing w:before="120" w:beforeAutospacing="0" w:after="120" w:afterAutospacing="0"/>
        <w:jc w:val="center"/>
        <w:textAlignment w:val="baseline"/>
        <w:rPr>
          <w:rFonts w:asciiTheme="minorHAnsi" w:hAnsiTheme="minorHAnsi" w:cstheme="minorHAnsi"/>
        </w:rPr>
      </w:pPr>
      <w:r w:rsidRPr="00C15715">
        <w:rPr>
          <w:rFonts w:asciiTheme="minorHAnsi" w:hAnsiTheme="minorHAnsi" w:cstheme="minorHAnsi"/>
          <w:noProof/>
        </w:rPr>
        <w:drawing>
          <wp:inline distT="0" distB="0" distL="0" distR="0" wp14:anchorId="70618F53" wp14:editId="744A6965">
            <wp:extent cx="2978851" cy="2391508"/>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55314" cy="2452895"/>
                    </a:xfrm>
                    <a:prstGeom prst="rect">
                      <a:avLst/>
                    </a:prstGeom>
                    <a:noFill/>
                    <a:ln>
                      <a:noFill/>
                    </a:ln>
                  </pic:spPr>
                </pic:pic>
              </a:graphicData>
            </a:graphic>
          </wp:inline>
        </w:drawing>
      </w:r>
    </w:p>
    <w:p w14:paraId="00F32006" w14:textId="7A0B1848" w:rsidR="006179BB" w:rsidRDefault="006179BB" w:rsidP="006179BB">
      <w:pPr>
        <w:pStyle w:val="Caption"/>
        <w:rPr>
          <w:rFonts w:asciiTheme="minorHAnsi" w:hAnsiTheme="minorHAnsi" w:cstheme="minorHAnsi"/>
        </w:rPr>
      </w:pPr>
      <w:r w:rsidRPr="00C15715">
        <w:rPr>
          <w:rFonts w:asciiTheme="minorHAnsi" w:hAnsiTheme="minorHAnsi" w:cstheme="minorHAnsi"/>
        </w:rPr>
        <w:fldChar w:fldCharType="begin"/>
      </w:r>
      <w:r w:rsidRPr="00C15715">
        <w:rPr>
          <w:rFonts w:asciiTheme="minorHAnsi" w:hAnsiTheme="minorHAnsi" w:cstheme="minorHAnsi"/>
        </w:rPr>
        <w:instrText xml:space="preserve"> SEQ Ilustrācija \* ARABIC </w:instrText>
      </w:r>
      <w:r w:rsidRPr="00C15715">
        <w:rPr>
          <w:rFonts w:asciiTheme="minorHAnsi" w:hAnsiTheme="minorHAnsi" w:cstheme="minorHAnsi"/>
        </w:rPr>
        <w:fldChar w:fldCharType="separate"/>
      </w:r>
      <w:bookmarkStart w:id="240" w:name="_Toc23782704"/>
      <w:r w:rsidR="006E6675">
        <w:rPr>
          <w:rFonts w:asciiTheme="minorHAnsi" w:hAnsiTheme="minorHAnsi" w:cstheme="minorHAnsi"/>
          <w:noProof/>
        </w:rPr>
        <w:t>24</w:t>
      </w:r>
      <w:r w:rsidRPr="00C15715">
        <w:rPr>
          <w:rFonts w:asciiTheme="minorHAnsi" w:hAnsiTheme="minorHAnsi" w:cstheme="minorHAnsi"/>
          <w:noProof/>
        </w:rPr>
        <w:fldChar w:fldCharType="end"/>
      </w:r>
      <w:r w:rsidRPr="00C15715">
        <w:rPr>
          <w:rFonts w:asciiTheme="minorHAnsi" w:hAnsiTheme="minorHAnsi" w:cstheme="minorHAnsi"/>
        </w:rPr>
        <w:t>.attēls. Baltijas starpsavienojumu jaudas attīstība ar Eiropas elektroenerģijas sistēmu (MW)</w:t>
      </w:r>
      <w:bookmarkEnd w:id="240"/>
    </w:p>
    <w:p w14:paraId="16AF7B18" w14:textId="77777777" w:rsidR="00817C15" w:rsidRPr="0007326F" w:rsidRDefault="00817C15" w:rsidP="0007326F"/>
    <w:p w14:paraId="0A20487F" w14:textId="77777777" w:rsidR="006179BB" w:rsidRPr="00C15715" w:rsidRDefault="006179BB">
      <w:pPr>
        <w:pStyle w:val="Heading30"/>
      </w:pPr>
      <w:bookmarkStart w:id="241" w:name="_Toc23245780"/>
      <w:bookmarkStart w:id="242" w:name="_Toc23246009"/>
      <w:bookmarkStart w:id="243" w:name="_Toc24408023"/>
      <w:r w:rsidRPr="00C15715">
        <w:t>Enerģijas pārvades infrastruktūra</w:t>
      </w:r>
      <w:bookmarkEnd w:id="241"/>
      <w:bookmarkEnd w:id="242"/>
      <w:bookmarkEnd w:id="243"/>
    </w:p>
    <w:p w14:paraId="1389DA1A" w14:textId="77777777" w:rsidR="006179BB" w:rsidRPr="00C15715" w:rsidRDefault="006179BB">
      <w:pPr>
        <w:pStyle w:val="Heading4"/>
      </w:pPr>
      <w:bookmarkStart w:id="244" w:name="_Toc23245781"/>
      <w:r w:rsidRPr="00C15715">
        <w:t>Esošās elektroenerģijas un gāzes pārvades infrastruktūras galvenās iezīmes</w:t>
      </w:r>
      <w:bookmarkEnd w:id="244"/>
    </w:p>
    <w:p w14:paraId="2A80CBA2" w14:textId="77777777" w:rsidR="006179BB" w:rsidRPr="00C15715" w:rsidRDefault="006179BB" w:rsidP="006179BB">
      <w:pPr>
        <w:spacing w:before="120" w:after="120" w:line="240" w:lineRule="auto"/>
        <w:jc w:val="both"/>
        <w:rPr>
          <w:rFonts w:eastAsia="Times New Roman" w:cstheme="minorHAnsi"/>
          <w:szCs w:val="24"/>
          <w:lang w:eastAsia="lv-LV"/>
        </w:rPr>
      </w:pPr>
      <w:r w:rsidRPr="00C15715">
        <w:rPr>
          <w:rFonts w:eastAsia="Times New Roman" w:cstheme="minorHAnsi"/>
          <w:szCs w:val="24"/>
          <w:lang w:eastAsia="lv-LV"/>
        </w:rPr>
        <w:t>Pārvades tīkla galvenie raksturlielumi ir pazeminošo apakšstaciju un augsta sprieguma sadales punktu skaits noteiktā teritorijā, kuru, savukārt, raksturo īpatnējais elektroenerģijas jaudas pieprasījums tajā, un atbilstošs pārvades līniju (330 kV un 110 kV) tīkls, kurš izpilda arī elektroapgādes drošuma un ekonomiskuma kritērijus. Pēc minētajiem kritērijiem pārvades tīkls uzskatāms par tuvu optimālam ar attīstības potenciālu. Šobrīd elektroenerģijas pārvades tīkls sastāv no 1346,43 km 330 kV līnijām un 3893,54 km 110 kV līnijām, 25 330 kV transformatoriem un 248 110 kV transformatoriem ar kopējo uzstādīto jaudu 9020,5 MVA. Efektīvākai pārvades tīkla apkalpošanai ekspluatācijas struktūrvienības pēc teritoriālā principa ir sadalītas:</w:t>
      </w:r>
    </w:p>
    <w:p w14:paraId="2A10E02E" w14:textId="77777777" w:rsidR="006179BB" w:rsidRPr="00C15715" w:rsidRDefault="006179BB" w:rsidP="00847BE3">
      <w:pPr>
        <w:pStyle w:val="ListParagraph"/>
        <w:numPr>
          <w:ilvl w:val="0"/>
          <w:numId w:val="19"/>
        </w:numPr>
        <w:spacing w:before="120" w:after="120" w:line="240" w:lineRule="auto"/>
        <w:ind w:left="397" w:hanging="397"/>
        <w:contextualSpacing w:val="0"/>
        <w:jc w:val="both"/>
        <w:rPr>
          <w:rFonts w:eastAsia="Times New Roman" w:cstheme="minorHAnsi"/>
          <w:szCs w:val="24"/>
          <w:lang w:eastAsia="lv-LV"/>
        </w:rPr>
      </w:pPr>
      <w:r w:rsidRPr="00C15715">
        <w:rPr>
          <w:rFonts w:eastAsia="Times New Roman" w:cstheme="minorHAnsi"/>
          <w:szCs w:val="24"/>
          <w:lang w:eastAsia="lv-LV"/>
        </w:rPr>
        <w:t>13 apakšstaciju grupās - 330/110 kV apakšstaciju un sadales punktu ekspluatācijai - Salaspils, Krustpils, Daugavpils, Viskaļi (Jelgava), Brocēni, Grobiņa, Valmiera, Gulbene, Rēzekne, Sloka, Ventspils, Rīgā – Labā krasta un Kreisā krasta, ar vienu bāzes apakšstaciju katrā grupā;</w:t>
      </w:r>
    </w:p>
    <w:p w14:paraId="64750A21" w14:textId="77777777" w:rsidR="006179BB" w:rsidRPr="00C15715" w:rsidRDefault="006179BB" w:rsidP="00847BE3">
      <w:pPr>
        <w:pStyle w:val="ListParagraph"/>
        <w:numPr>
          <w:ilvl w:val="0"/>
          <w:numId w:val="19"/>
        </w:numPr>
        <w:spacing w:before="120" w:after="120" w:line="240" w:lineRule="auto"/>
        <w:ind w:left="397" w:hanging="397"/>
        <w:contextualSpacing w:val="0"/>
        <w:jc w:val="both"/>
        <w:rPr>
          <w:rFonts w:eastAsia="Times New Roman" w:cstheme="minorHAnsi"/>
          <w:szCs w:val="24"/>
          <w:lang w:eastAsia="lv-LV"/>
        </w:rPr>
      </w:pPr>
      <w:r w:rsidRPr="00C15715">
        <w:rPr>
          <w:rFonts w:eastAsia="Times New Roman" w:cstheme="minorHAnsi"/>
          <w:szCs w:val="24"/>
          <w:lang w:eastAsia="lv-LV"/>
        </w:rPr>
        <w:t>6 līniju iecirkņos - 330/110 kV pārvades elektrolīniju ekspluatācijai - Rīgas iecirknis, Krustpils iecirknis, Daugavpils iecirknis, Brocēnu iecirknis, Grobiņas iecirknis un Valmieras iecirknis.</w:t>
      </w:r>
    </w:p>
    <w:p w14:paraId="79128C22" w14:textId="77777777" w:rsidR="006179BB" w:rsidRPr="00C15715" w:rsidRDefault="006179BB" w:rsidP="006179BB">
      <w:pPr>
        <w:spacing w:before="120" w:after="120" w:line="240" w:lineRule="auto"/>
        <w:jc w:val="both"/>
        <w:rPr>
          <w:rFonts w:eastAsia="Times New Roman" w:cstheme="minorHAnsi"/>
          <w:szCs w:val="24"/>
          <w:lang w:eastAsia="lv-LV"/>
        </w:rPr>
      </w:pPr>
      <w:r w:rsidRPr="00C15715">
        <w:rPr>
          <w:rFonts w:eastAsia="Times New Roman" w:cstheme="minorHAnsi"/>
          <w:szCs w:val="24"/>
          <w:lang w:eastAsia="lv-LV"/>
        </w:rPr>
        <w:t>Latvijas energosistēmas 330 kV tīkls ir Baltijas valstu energosistēmas vidus posms starp tās ziemeļu un dienvidu daļām. Visām 330 kV apakšstacijām, izņemot “Daugavpils”, ir divpusēja barošana. 110 kV tīklam ir loku shēma. Lielākā daļa 110 kV apakšstaciju ir ar diviem transformatoriem un ar divpusīgu barošanu.</w:t>
      </w:r>
    </w:p>
    <w:p w14:paraId="5796EB56" w14:textId="77777777" w:rsidR="006179BB" w:rsidRPr="00C15715" w:rsidRDefault="006179BB" w:rsidP="006179BB">
      <w:pPr>
        <w:spacing w:before="120" w:after="120" w:line="240" w:lineRule="auto"/>
        <w:jc w:val="center"/>
        <w:rPr>
          <w:rFonts w:eastAsia="Times New Roman" w:cstheme="minorHAnsi"/>
          <w:szCs w:val="24"/>
          <w:lang w:eastAsia="lv-LV"/>
        </w:rPr>
      </w:pPr>
      <w:r w:rsidRPr="00C15715">
        <w:rPr>
          <w:rFonts w:eastAsia="Times New Roman" w:cstheme="minorHAnsi"/>
          <w:noProof/>
          <w:szCs w:val="24"/>
          <w:lang w:eastAsia="lv-LV"/>
        </w:rPr>
        <w:drawing>
          <wp:inline distT="0" distB="0" distL="0" distR="0" wp14:anchorId="2C7AFEF2" wp14:editId="05936661">
            <wp:extent cx="4665794" cy="3450866"/>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76192" cy="3458556"/>
                    </a:xfrm>
                    <a:prstGeom prst="rect">
                      <a:avLst/>
                    </a:prstGeom>
                  </pic:spPr>
                </pic:pic>
              </a:graphicData>
            </a:graphic>
          </wp:inline>
        </w:drawing>
      </w:r>
    </w:p>
    <w:p w14:paraId="53CF2D2A" w14:textId="33798A08"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245" w:name="_Toc23782705"/>
      <w:r w:rsidR="006E6675">
        <w:rPr>
          <w:rFonts w:asciiTheme="minorHAnsi" w:hAnsiTheme="minorHAnsi" w:cstheme="minorHAnsi"/>
          <w:noProof/>
        </w:rPr>
        <w:t>25</w:t>
      </w:r>
      <w:r w:rsidRPr="00C15715">
        <w:rPr>
          <w:rFonts w:asciiTheme="minorHAnsi" w:hAnsiTheme="minorHAnsi" w:cstheme="minorHAnsi"/>
          <w:noProof/>
        </w:rPr>
        <w:fldChar w:fldCharType="end"/>
      </w:r>
      <w:r w:rsidRPr="00C15715">
        <w:rPr>
          <w:rFonts w:asciiTheme="minorHAnsi" w:hAnsiTheme="minorHAnsi" w:cstheme="minorHAnsi"/>
        </w:rPr>
        <w:t>.attēls. Latvijas 330 kV un 110 kV elektrisko tīklu shēma</w:t>
      </w:r>
      <w:r w:rsidRPr="00C15715">
        <w:rPr>
          <w:rStyle w:val="FootnoteReference"/>
          <w:rFonts w:asciiTheme="minorHAnsi" w:hAnsiTheme="minorHAnsi" w:cstheme="minorHAnsi"/>
        </w:rPr>
        <w:footnoteReference w:id="77"/>
      </w:r>
      <w:bookmarkEnd w:id="245"/>
    </w:p>
    <w:p w14:paraId="4E0485D0" w14:textId="77777777" w:rsidR="006179BB" w:rsidRPr="00C15715" w:rsidRDefault="006179BB" w:rsidP="006179BB">
      <w:pPr>
        <w:spacing w:before="120" w:after="120" w:line="240" w:lineRule="auto"/>
        <w:jc w:val="both"/>
        <w:rPr>
          <w:rFonts w:eastAsia="Times New Roman" w:cstheme="minorHAnsi"/>
          <w:szCs w:val="24"/>
          <w:lang w:eastAsia="lv-LV"/>
        </w:rPr>
      </w:pPr>
      <w:r w:rsidRPr="00C15715">
        <w:rPr>
          <w:rFonts w:eastAsia="Times New Roman" w:cstheme="minorHAnsi"/>
          <w:szCs w:val="24"/>
          <w:lang w:eastAsia="lv-LV"/>
        </w:rPr>
        <w:t>Dabasgāzes pārvades un uzglabāšanas operators a/s „Conexus Baltic Grid” pārvalda 1188 km garu maģistrālo gāzesvadu sistēmu, pārklājot Latvijas reģionus un caur 40 gāzes regulēšanas stacijām pārvadot dabasgāzi uz vietējo gāzes sadales sistēmu. Inčukalna pazemes dabasgāzes krātuvē iespējams uzglabāt līdz pat 2,3 mljrd. m</w:t>
      </w:r>
      <w:r w:rsidRPr="00C15715">
        <w:rPr>
          <w:rFonts w:eastAsia="Times New Roman" w:cstheme="minorHAnsi"/>
          <w:szCs w:val="24"/>
          <w:vertAlign w:val="superscript"/>
          <w:lang w:eastAsia="lv-LV"/>
        </w:rPr>
        <w:t>3</w:t>
      </w:r>
      <w:r w:rsidRPr="00C15715">
        <w:rPr>
          <w:rFonts w:eastAsia="Times New Roman" w:cstheme="minorHAnsi"/>
          <w:szCs w:val="24"/>
          <w:lang w:eastAsia="lv-LV"/>
        </w:rPr>
        <w:t xml:space="preserve">  jeb 24,22 TWh dabasgāzes.</w:t>
      </w:r>
    </w:p>
    <w:p w14:paraId="1E8E6970" w14:textId="77777777" w:rsidR="006179BB" w:rsidRPr="00C15715" w:rsidRDefault="006179BB" w:rsidP="006179BB">
      <w:pPr>
        <w:pStyle w:val="Default"/>
        <w:spacing w:before="120" w:after="120"/>
        <w:jc w:val="both"/>
        <w:rPr>
          <w:rFonts w:asciiTheme="minorHAnsi" w:hAnsiTheme="minorHAnsi" w:cstheme="minorHAnsi"/>
          <w:color w:val="auto"/>
        </w:rPr>
      </w:pPr>
      <w:r w:rsidRPr="00C15715">
        <w:rPr>
          <w:rFonts w:asciiTheme="minorHAnsi" w:hAnsiTheme="minorHAnsi" w:cstheme="minorHAnsi"/>
        </w:rPr>
        <w:t>Galvenais dabasgāzes piegādes ceļš Latvijas patērētājiem ir maģistrālie gāzesvadu tīkli, kuri atzarojas no Jamalas – Eiropas gāzes vada Tveras apgabalā Krievijā, uz Sanktpēterburgu, Pleskavu un tālāk uz Igauniju, Latviju. Baltijas valstu maģistrālie dabasgāzes tīkli kopumā ir labi attīstīti un to spēju nodrošināt stabilas piegādes paaugstina Inčukalna pazemes gāzes krātuve, tomēr tās izmantošanā pastāv arī būtiski ierobežojumi – piemēram, Igaunijas un Latvijas dabasgāzes sistēmu savienojums nepieciešamo iekārtu neesamības dēļ nenodrošina dabasgāzes pārsūknēšanu virzienā no Igaunijas un Latviju, savukārt Lietuvas un Latvijas pārvades savienojumu jauda ir nepietiekama, lai segtu dabasgāzes patēriņa maksimumslodzi un nodrošinātu dabasgāzes iesūknēšanu Inčukalna pazemes dabasgāzes krātuvē</w:t>
      </w:r>
      <w:r w:rsidRPr="00C15715">
        <w:rPr>
          <w:rFonts w:asciiTheme="minorHAnsi" w:hAnsiTheme="minorHAnsi" w:cstheme="minorHAnsi"/>
          <w:color w:val="auto"/>
        </w:rPr>
        <w:t>.</w:t>
      </w:r>
    </w:p>
    <w:p w14:paraId="586F9E3D" w14:textId="77777777" w:rsidR="006179BB" w:rsidRPr="00C15715" w:rsidRDefault="006179BB" w:rsidP="006179BB">
      <w:pPr>
        <w:pStyle w:val="Default"/>
        <w:spacing w:before="120" w:after="120"/>
        <w:jc w:val="center"/>
        <w:rPr>
          <w:rFonts w:asciiTheme="minorHAnsi" w:hAnsiTheme="minorHAnsi" w:cstheme="minorHAnsi"/>
          <w:color w:val="auto"/>
        </w:rPr>
      </w:pPr>
      <w:r w:rsidRPr="00C15715">
        <w:rPr>
          <w:rFonts w:asciiTheme="minorHAnsi" w:hAnsiTheme="minorHAnsi" w:cstheme="minorHAnsi"/>
          <w:noProof/>
          <w:color w:val="auto"/>
          <w:lang w:eastAsia="lv-LV"/>
        </w:rPr>
        <w:drawing>
          <wp:inline distT="0" distB="0" distL="0" distR="0" wp14:anchorId="02CB5043" wp14:editId="4CD2D695">
            <wp:extent cx="4409637" cy="2699503"/>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14101" cy="2702236"/>
                    </a:xfrm>
                    <a:prstGeom prst="rect">
                      <a:avLst/>
                    </a:prstGeom>
                    <a:noFill/>
                    <a:ln>
                      <a:noFill/>
                    </a:ln>
                  </pic:spPr>
                </pic:pic>
              </a:graphicData>
            </a:graphic>
          </wp:inline>
        </w:drawing>
      </w:r>
    </w:p>
    <w:p w14:paraId="4D167EF9" w14:textId="1E3340E4"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246" w:name="_Toc23782706"/>
      <w:r w:rsidR="006E6675">
        <w:rPr>
          <w:rFonts w:asciiTheme="minorHAnsi" w:hAnsiTheme="minorHAnsi" w:cstheme="minorHAnsi"/>
          <w:noProof/>
        </w:rPr>
        <w:t>26</w:t>
      </w:r>
      <w:r w:rsidRPr="00C15715">
        <w:rPr>
          <w:rFonts w:asciiTheme="minorHAnsi" w:hAnsiTheme="minorHAnsi" w:cstheme="minorHAnsi"/>
          <w:noProof/>
        </w:rPr>
        <w:fldChar w:fldCharType="end"/>
      </w:r>
      <w:r w:rsidRPr="00C15715">
        <w:rPr>
          <w:rFonts w:asciiTheme="minorHAnsi" w:hAnsiTheme="minorHAnsi" w:cstheme="minorHAnsi"/>
        </w:rPr>
        <w:t>.attēls. Dabasgāzes pārvades sistēma Latvijā</w:t>
      </w:r>
      <w:r w:rsidRPr="00C15715">
        <w:rPr>
          <w:rStyle w:val="FootnoteReference"/>
          <w:rFonts w:asciiTheme="minorHAnsi" w:hAnsiTheme="minorHAnsi" w:cstheme="minorHAnsi"/>
        </w:rPr>
        <w:footnoteReference w:id="78"/>
      </w:r>
      <w:bookmarkEnd w:id="246"/>
    </w:p>
    <w:p w14:paraId="7311F71D" w14:textId="77777777" w:rsidR="006179BB" w:rsidRDefault="006179BB" w:rsidP="006179BB">
      <w:pPr>
        <w:pStyle w:val="Default"/>
        <w:spacing w:before="120" w:after="120"/>
        <w:jc w:val="both"/>
        <w:rPr>
          <w:rFonts w:asciiTheme="minorHAnsi" w:hAnsiTheme="minorHAnsi" w:cstheme="minorHAnsi"/>
          <w:color w:val="auto"/>
        </w:rPr>
      </w:pPr>
      <w:r w:rsidRPr="00C15715">
        <w:rPr>
          <w:rFonts w:asciiTheme="minorHAnsi" w:hAnsiTheme="minorHAnsi" w:cstheme="minorHAnsi"/>
          <w:color w:val="auto"/>
        </w:rPr>
        <w:t>ES kopumā joprojām ir ļoti atkarīga no trešo valstu dabasgāzes piegādēm. Latvijas dabasgāzes apgādes sistēma nav tieši savienota ar citu ES dalībvalstu, izņemot Lietuvu un Igauniju, sistēmām. Toties kopš darbojas Klaipēdas sašķidrinātās dabasgāzes terminālis, pastāv iespēja fiziski saņemt dabasgāzi ne tikai no Krievijas, bet arī citām valstīm.</w:t>
      </w:r>
    </w:p>
    <w:p w14:paraId="1341F984" w14:textId="77777777"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2017.gadā A/S “Sadales tīkls”, kuram ir pienākums veikt elektroenerģijas sadali, pildot sadales sistēmas operatora funkcijas Latvijā, atjaunot, uzturēt un ekspluatēt energoapgādes veikšanai nepieciešamo sadales sistēmas infrastruktūru, ar saviem pakalpojumiem aptvēra 99% no lietotājiem.</w:t>
      </w:r>
    </w:p>
    <w:p w14:paraId="650DF8AB" w14:textId="77777777" w:rsidR="006179BB" w:rsidRPr="00C15715" w:rsidRDefault="006179BB">
      <w:pPr>
        <w:pStyle w:val="Heading4"/>
      </w:pPr>
      <w:bookmarkStart w:id="247" w:name="_Toc23245782"/>
      <w:r w:rsidRPr="00C15715">
        <w:t>Tīkla paplašināšanas prasību prognozes</w:t>
      </w:r>
      <w:bookmarkEnd w:id="247"/>
    </w:p>
    <w:p w14:paraId="6409AF68" w14:textId="77777777" w:rsidR="006179BB" w:rsidRPr="00BC501D" w:rsidRDefault="006179BB" w:rsidP="006179BB">
      <w:pPr>
        <w:pStyle w:val="paragraph"/>
        <w:spacing w:before="120" w:beforeAutospacing="0" w:after="120" w:afterAutospacing="0"/>
        <w:jc w:val="both"/>
        <w:textAlignment w:val="baseline"/>
        <w:rPr>
          <w:rFonts w:asciiTheme="minorHAnsi" w:hAnsiTheme="minorHAnsi" w:cstheme="minorHAnsi"/>
        </w:rPr>
      </w:pPr>
      <w:r w:rsidRPr="00BC501D">
        <w:rPr>
          <w:rFonts w:asciiTheme="minorHAnsi" w:hAnsiTheme="minorHAnsi" w:cstheme="minorHAnsi"/>
        </w:rPr>
        <w:t>Lai nodrošinātu drošu Latvijas elektroenerģijas sistēmas darbību, efektīvu elektroenerģijas tirgus funkcionēšanu, un, lai novērstu iekārtu novecošanu, Latvijas PSO rekonstruē un modernizē augstsprieguma apakšstacijas un elektroenerģijas sadales punktus, kā arī, ievērojot Latvijas un kaimiņvalstu elektroenerģijas sistēmu attīstības tendences, izvērtē un lemj par Latvijas elektroenerģijas pārvades sistēmas starpsavienojumu attīstības, kā arī par iekšēja tīkla pastiprināšanas un modernizēšanas nepieciešamību. Elektroenerģijas pārvades tīkls tiek attīstīts atbilstoši Latvijas elektroenerģijas pārvades sistēmas attīstības plānam</w:t>
      </w:r>
      <w:r w:rsidRPr="00BC501D">
        <w:rPr>
          <w:rStyle w:val="FootnoteReference"/>
          <w:rFonts w:asciiTheme="minorHAnsi" w:hAnsiTheme="minorHAnsi" w:cstheme="minorHAnsi"/>
        </w:rPr>
        <w:footnoteReference w:id="79"/>
      </w:r>
      <w:r w:rsidRPr="00BC501D">
        <w:rPr>
          <w:rFonts w:asciiTheme="minorHAnsi" w:hAnsiTheme="minorHAnsi" w:cstheme="minorHAnsi"/>
        </w:rPr>
        <w:t xml:space="preserve"> un Eiropas pārvades sistēmas desmit gadu attīstības plānam</w:t>
      </w:r>
      <w:r w:rsidRPr="00BC501D">
        <w:rPr>
          <w:rStyle w:val="FootnoteReference"/>
          <w:rFonts w:asciiTheme="minorHAnsi" w:hAnsiTheme="minorHAnsi" w:cstheme="minorHAnsi"/>
        </w:rPr>
        <w:footnoteReference w:id="80"/>
      </w:r>
      <w:r w:rsidRPr="00BC501D">
        <w:rPr>
          <w:rFonts w:asciiTheme="minorHAnsi" w:hAnsiTheme="minorHAnsi" w:cstheme="minorHAnsi"/>
        </w:rPr>
        <w:t xml:space="preserve">. </w:t>
      </w:r>
    </w:p>
    <w:p w14:paraId="629B0936" w14:textId="77777777" w:rsidR="006179BB" w:rsidRPr="00BC501D" w:rsidRDefault="006179BB" w:rsidP="006179BB">
      <w:pPr>
        <w:pStyle w:val="paragraph"/>
        <w:spacing w:before="120" w:beforeAutospacing="0" w:after="120" w:afterAutospacing="0"/>
        <w:jc w:val="both"/>
        <w:textAlignment w:val="baseline"/>
        <w:rPr>
          <w:rFonts w:asciiTheme="minorHAnsi" w:hAnsiTheme="minorHAnsi" w:cstheme="minorHAnsi"/>
        </w:rPr>
      </w:pPr>
      <w:r w:rsidRPr="00BC501D">
        <w:rPr>
          <w:rFonts w:asciiTheme="minorHAnsi" w:hAnsiTheme="minorHAnsi" w:cstheme="minorHAnsi"/>
        </w:rPr>
        <w:t>Periodā no 2020.gada līdz 2029.gadam Latvijas un Baltijas elektroenerģijas tīkla attīstībai tiks īstenoti šādi projekti:</w:t>
      </w:r>
    </w:p>
    <w:p w14:paraId="70BD540D" w14:textId="2AD3EDC8" w:rsidR="006179BB" w:rsidRPr="00BC501D" w:rsidRDefault="006179BB" w:rsidP="00847BE3">
      <w:pPr>
        <w:pStyle w:val="paragraph"/>
        <w:numPr>
          <w:ilvl w:val="0"/>
          <w:numId w:val="21"/>
        </w:numPr>
        <w:spacing w:before="120" w:beforeAutospacing="0" w:after="120" w:afterAutospacing="0"/>
        <w:jc w:val="both"/>
        <w:textAlignment w:val="baseline"/>
        <w:rPr>
          <w:rFonts w:asciiTheme="minorHAnsi" w:hAnsiTheme="minorHAnsi" w:cstheme="minorHAnsi"/>
        </w:rPr>
      </w:pPr>
      <w:r w:rsidRPr="00BC501D">
        <w:rPr>
          <w:rFonts w:asciiTheme="minorHAnsi" w:hAnsiTheme="minorHAnsi" w:cstheme="minorHAnsi"/>
        </w:rPr>
        <w:t>Trešais elektr</w:t>
      </w:r>
      <w:r w:rsidR="00DB390C">
        <w:rPr>
          <w:rFonts w:asciiTheme="minorHAnsi" w:hAnsiTheme="minorHAnsi" w:cstheme="minorHAnsi"/>
        </w:rPr>
        <w:t>oenerģijas</w:t>
      </w:r>
      <w:r w:rsidRPr="00BC501D">
        <w:rPr>
          <w:rFonts w:asciiTheme="minorHAnsi" w:hAnsiTheme="minorHAnsi" w:cstheme="minorHAnsi"/>
        </w:rPr>
        <w:t xml:space="preserve"> starpsavienojums starp Latviju un Igauniju</w:t>
      </w:r>
      <w:r>
        <w:rPr>
          <w:rFonts w:asciiTheme="minorHAnsi" w:hAnsiTheme="minorHAnsi" w:cstheme="minorHAnsi"/>
        </w:rPr>
        <w:t>;</w:t>
      </w:r>
    </w:p>
    <w:p w14:paraId="2A4E6518" w14:textId="77777777" w:rsidR="006179BB" w:rsidRPr="00BC501D" w:rsidRDefault="006179BB" w:rsidP="00847BE3">
      <w:pPr>
        <w:pStyle w:val="paragraph"/>
        <w:numPr>
          <w:ilvl w:val="0"/>
          <w:numId w:val="21"/>
        </w:numPr>
        <w:spacing w:before="120" w:beforeAutospacing="0" w:after="120" w:afterAutospacing="0"/>
        <w:jc w:val="both"/>
        <w:textAlignment w:val="baseline"/>
        <w:rPr>
          <w:rFonts w:asciiTheme="minorHAnsi" w:hAnsiTheme="minorHAnsi" w:cstheme="minorHAnsi"/>
        </w:rPr>
      </w:pPr>
      <w:r w:rsidRPr="00BC501D">
        <w:rPr>
          <w:rFonts w:asciiTheme="minorHAnsi" w:hAnsiTheme="minorHAnsi" w:cstheme="minorHAnsi"/>
        </w:rPr>
        <w:t>Elektropārvades tīkla savienojums “Rīgas TEC-2 – Rīgas HES”</w:t>
      </w:r>
      <w:r>
        <w:rPr>
          <w:rFonts w:asciiTheme="minorHAnsi" w:hAnsiTheme="minorHAnsi" w:cstheme="minorHAnsi"/>
        </w:rPr>
        <w:t>;</w:t>
      </w:r>
    </w:p>
    <w:p w14:paraId="1C8912A0" w14:textId="2F4D2799" w:rsidR="006179BB" w:rsidRPr="00DB390C" w:rsidRDefault="004458DE" w:rsidP="00847BE3">
      <w:pPr>
        <w:pStyle w:val="paragraph"/>
        <w:numPr>
          <w:ilvl w:val="0"/>
          <w:numId w:val="21"/>
        </w:numPr>
        <w:spacing w:before="120" w:beforeAutospacing="0" w:after="120" w:afterAutospacing="0"/>
        <w:jc w:val="both"/>
        <w:textAlignment w:val="baseline"/>
        <w:rPr>
          <w:rFonts w:asciiTheme="minorHAnsi" w:hAnsiTheme="minorHAnsi" w:cstheme="minorHAnsi"/>
        </w:rPr>
      </w:pPr>
      <w:hyperlink r:id="rId52" w:history="1">
        <w:r w:rsidR="006179BB" w:rsidRPr="00DB390C">
          <w:rPr>
            <w:rStyle w:val="Hyperlink"/>
            <w:rFonts w:asciiTheme="minorHAnsi" w:eastAsiaTheme="majorEastAsia" w:hAnsiTheme="minorHAnsi" w:cstheme="minorHAnsi"/>
            <w:color w:val="333333"/>
            <w:spacing w:val="-3"/>
            <w:u w:val="none"/>
            <w:bdr w:val="none" w:sz="0" w:space="0" w:color="auto" w:frame="1"/>
          </w:rPr>
          <w:t>Esošo Igaunijas - Latvijas 330 kV starpsavienojumu pārbūve</w:t>
        </w:r>
      </w:hyperlink>
      <w:r w:rsidR="006179BB" w:rsidRPr="00DB390C">
        <w:rPr>
          <w:rFonts w:asciiTheme="minorHAnsi" w:hAnsiTheme="minorHAnsi" w:cstheme="minorHAnsi"/>
        </w:rPr>
        <w:t>;</w:t>
      </w:r>
    </w:p>
    <w:p w14:paraId="519C53D9" w14:textId="77777777" w:rsidR="006179BB" w:rsidRPr="00BC501D" w:rsidRDefault="006179BB" w:rsidP="00847BE3">
      <w:pPr>
        <w:pStyle w:val="paragraph"/>
        <w:numPr>
          <w:ilvl w:val="0"/>
          <w:numId w:val="21"/>
        </w:numPr>
        <w:spacing w:before="120" w:beforeAutospacing="0" w:after="120" w:afterAutospacing="0"/>
        <w:jc w:val="both"/>
        <w:textAlignment w:val="baseline"/>
        <w:rPr>
          <w:rFonts w:asciiTheme="minorHAnsi" w:hAnsiTheme="minorHAnsi" w:cstheme="minorHAnsi"/>
        </w:rPr>
      </w:pPr>
      <w:r w:rsidRPr="00BC501D">
        <w:rPr>
          <w:rFonts w:asciiTheme="minorHAnsi" w:hAnsiTheme="minorHAnsi" w:cstheme="minorHAnsi"/>
        </w:rPr>
        <w:t>Baltijas valstu sinhronizācija ar Eiropas elektropārvades tīkliem un desinhronizācija no Krievijas apvienotās elektroenerģijas sistēmas</w:t>
      </w:r>
      <w:r>
        <w:rPr>
          <w:rFonts w:asciiTheme="minorHAnsi" w:hAnsiTheme="minorHAnsi" w:cstheme="minorHAnsi"/>
        </w:rPr>
        <w:t>.</w:t>
      </w:r>
    </w:p>
    <w:p w14:paraId="75498FDC" w14:textId="77777777" w:rsidR="006179BB" w:rsidRDefault="006179BB" w:rsidP="006179BB">
      <w:pPr>
        <w:pStyle w:val="paragraph"/>
        <w:spacing w:before="120" w:beforeAutospacing="0" w:after="120" w:afterAutospacing="0"/>
        <w:jc w:val="center"/>
        <w:textAlignment w:val="baseline"/>
        <w:rPr>
          <w:rFonts w:asciiTheme="minorHAnsi" w:hAnsiTheme="minorHAnsi" w:cstheme="minorHAnsi"/>
        </w:rPr>
      </w:pPr>
      <w:r w:rsidRPr="001A53F0">
        <w:rPr>
          <w:rFonts w:asciiTheme="minorHAnsi" w:hAnsiTheme="minorHAnsi" w:cstheme="minorHAnsi"/>
          <w:noProof/>
        </w:rPr>
        <w:drawing>
          <wp:inline distT="0" distB="0" distL="0" distR="0" wp14:anchorId="4F7EED78" wp14:editId="5368EF2E">
            <wp:extent cx="3995257" cy="3702362"/>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06483" cy="3712765"/>
                    </a:xfrm>
                    <a:prstGeom prst="rect">
                      <a:avLst/>
                    </a:prstGeom>
                  </pic:spPr>
                </pic:pic>
              </a:graphicData>
            </a:graphic>
          </wp:inline>
        </w:drawing>
      </w:r>
    </w:p>
    <w:p w14:paraId="2220D792" w14:textId="3C23C022" w:rsidR="006179BB" w:rsidRPr="000C620B" w:rsidRDefault="006179BB" w:rsidP="006179BB">
      <w:pPr>
        <w:pStyle w:val="paragraph"/>
        <w:spacing w:before="120" w:beforeAutospacing="0" w:after="120" w:afterAutospacing="0"/>
        <w:jc w:val="center"/>
        <w:textAlignment w:val="baseline"/>
        <w:rPr>
          <w:rFonts w:asciiTheme="minorHAnsi" w:hAnsiTheme="minorHAnsi" w:cstheme="minorHAnsi"/>
          <w:b/>
          <w:bCs/>
          <w:sz w:val="20"/>
          <w:szCs w:val="20"/>
        </w:rPr>
      </w:pPr>
      <w:r w:rsidRPr="000C620B">
        <w:rPr>
          <w:rFonts w:asciiTheme="minorHAnsi" w:hAnsiTheme="minorHAnsi" w:cstheme="minorHAnsi"/>
          <w:b/>
          <w:bCs/>
          <w:sz w:val="20"/>
          <w:szCs w:val="20"/>
        </w:rPr>
        <w:fldChar w:fldCharType="begin"/>
      </w:r>
      <w:r w:rsidRPr="000C620B">
        <w:rPr>
          <w:rFonts w:asciiTheme="minorHAnsi" w:hAnsiTheme="minorHAnsi" w:cstheme="minorHAnsi"/>
          <w:b/>
          <w:bCs/>
          <w:sz w:val="20"/>
          <w:szCs w:val="20"/>
        </w:rPr>
        <w:instrText xml:space="preserve"> SEQ Ilustrācija \* ARABIC </w:instrText>
      </w:r>
      <w:r w:rsidRPr="000C620B">
        <w:rPr>
          <w:rFonts w:asciiTheme="minorHAnsi" w:hAnsiTheme="minorHAnsi" w:cstheme="minorHAnsi"/>
          <w:b/>
          <w:bCs/>
          <w:sz w:val="20"/>
          <w:szCs w:val="20"/>
        </w:rPr>
        <w:fldChar w:fldCharType="separate"/>
      </w:r>
      <w:bookmarkStart w:id="248" w:name="_Toc23782707"/>
      <w:r w:rsidR="006E6675">
        <w:rPr>
          <w:rFonts w:asciiTheme="minorHAnsi" w:hAnsiTheme="minorHAnsi" w:cstheme="minorHAnsi"/>
          <w:b/>
          <w:bCs/>
          <w:noProof/>
          <w:sz w:val="20"/>
          <w:szCs w:val="20"/>
        </w:rPr>
        <w:t>27</w:t>
      </w:r>
      <w:r w:rsidRPr="000C620B">
        <w:rPr>
          <w:rFonts w:asciiTheme="minorHAnsi" w:hAnsiTheme="minorHAnsi" w:cstheme="minorHAnsi"/>
          <w:b/>
          <w:bCs/>
          <w:sz w:val="20"/>
          <w:szCs w:val="20"/>
        </w:rPr>
        <w:fldChar w:fldCharType="end"/>
      </w:r>
      <w:r w:rsidRPr="000C620B">
        <w:rPr>
          <w:rFonts w:asciiTheme="minorHAnsi" w:hAnsiTheme="minorHAnsi" w:cstheme="minorHAnsi"/>
          <w:b/>
          <w:bCs/>
          <w:sz w:val="20"/>
          <w:szCs w:val="20"/>
        </w:rPr>
        <w:t>.attēls. Baltijas valstu projekti, atbilstoši Baltijas valstu PSO attīstības plāniem</w:t>
      </w:r>
      <w:bookmarkEnd w:id="248"/>
    </w:p>
    <w:p w14:paraId="60FABE33" w14:textId="31EDD500" w:rsidR="006179BB" w:rsidRPr="00F1046D" w:rsidRDefault="00DB390C" w:rsidP="006179BB">
      <w:pPr>
        <w:pStyle w:val="paragraph"/>
        <w:spacing w:before="120" w:beforeAutospacing="0" w:after="120" w:afterAutospacing="0"/>
        <w:jc w:val="both"/>
        <w:textAlignment w:val="baseline"/>
        <w:rPr>
          <w:rFonts w:asciiTheme="minorHAnsi" w:hAnsiTheme="minorHAnsi" w:cstheme="minorHAnsi"/>
        </w:rPr>
      </w:pPr>
      <w:r>
        <w:rPr>
          <w:rFonts w:asciiTheme="minorHAnsi" w:hAnsiTheme="minorHAnsi" w:cstheme="minorHAnsi"/>
        </w:rPr>
        <w:t xml:space="preserve">Baltijas valstu </w:t>
      </w:r>
      <w:r w:rsidR="006179BB" w:rsidRPr="00F1046D">
        <w:rPr>
          <w:rFonts w:asciiTheme="minorHAnsi" w:hAnsiTheme="minorHAnsi" w:cstheme="minorHAnsi"/>
        </w:rPr>
        <w:t xml:space="preserve">gāzapgādes sistēmām nav savienojuma ar kopējo ES dabasgāzes pārvades tīklu. Lai novērstu šo situāciju, saskaņā ar Eiropas Parlamenta un Padomes Regulu (ES) Nr. 347/2013 (2013. gada 17. aprīlis), ar ko nosaka Eiropas energoinfrastruktūras pamatnostādnes un atceļ Lēmumu Nr. 1364/2006/EK, groza Regulu (EK) Nr. 713/2009, Regulu (EK) Nr. 714/2009 un Regulu (EK) Nr. 715/2009, Austrumbaltijas reģions ir noteikts par vienu no ES prioritārajiem koridoriem. </w:t>
      </w:r>
    </w:p>
    <w:p w14:paraId="0E5F9348" w14:textId="77777777" w:rsidR="006179BB" w:rsidRPr="00F1046D" w:rsidRDefault="006179BB" w:rsidP="006179BB">
      <w:pPr>
        <w:pStyle w:val="paragraph"/>
        <w:spacing w:before="120" w:beforeAutospacing="0" w:after="120" w:afterAutospacing="0"/>
        <w:jc w:val="both"/>
        <w:textAlignment w:val="baseline"/>
        <w:rPr>
          <w:rFonts w:asciiTheme="minorHAnsi" w:hAnsiTheme="minorHAnsi" w:cstheme="minorHAnsi"/>
        </w:rPr>
      </w:pPr>
      <w:r w:rsidRPr="00F1046D">
        <w:rPr>
          <w:rFonts w:asciiTheme="minorHAnsi" w:hAnsiTheme="minorHAnsi" w:cstheme="minorHAnsi"/>
        </w:rPr>
        <w:t>Periodā no 2020.gada līdz 2029.gadam Latvijas un Baltijas dabasgāzes tīkla attīstībai tiks īstenoti šādi projekti:</w:t>
      </w:r>
    </w:p>
    <w:p w14:paraId="03A1E217" w14:textId="77777777" w:rsidR="006179BB" w:rsidRPr="00F1046D" w:rsidRDefault="006179BB" w:rsidP="0007326F">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Igaunijas-Somijas starpsavienojuma (Balticconector) būvniecība</w:t>
      </w:r>
      <w:r>
        <w:rPr>
          <w:rFonts w:asciiTheme="minorHAnsi" w:hAnsiTheme="minorHAnsi" w:cstheme="minorHAnsi"/>
        </w:rPr>
        <w:t>;</w:t>
      </w:r>
    </w:p>
    <w:p w14:paraId="746B30EB" w14:textId="77777777" w:rsidR="006179BB" w:rsidRPr="00F1046D" w:rsidRDefault="006179BB" w:rsidP="0007326F">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Latvijas-Igaunijas starpsavienojuma (Karksi) uzlabošana</w:t>
      </w:r>
      <w:r>
        <w:rPr>
          <w:rFonts w:asciiTheme="minorHAnsi" w:hAnsiTheme="minorHAnsi" w:cstheme="minorHAnsi"/>
        </w:rPr>
        <w:t>;</w:t>
      </w:r>
    </w:p>
    <w:p w14:paraId="4F4099C9" w14:textId="77777777" w:rsidR="006179BB" w:rsidRPr="00F1046D" w:rsidRDefault="006179BB" w:rsidP="0007326F">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Inčukalna PGK darbības uzlabošana</w:t>
      </w:r>
      <w:r>
        <w:rPr>
          <w:rFonts w:asciiTheme="minorHAnsi" w:hAnsiTheme="minorHAnsi" w:cstheme="minorHAnsi"/>
        </w:rPr>
        <w:t>;</w:t>
      </w:r>
    </w:p>
    <w:p w14:paraId="7C589BF1" w14:textId="77777777" w:rsidR="006179BB" w:rsidRPr="00F1046D" w:rsidRDefault="006179BB" w:rsidP="0007326F">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Latvijas-Lietuvas starpsavienojuma uzlabošana</w:t>
      </w:r>
      <w:r>
        <w:rPr>
          <w:rFonts w:asciiTheme="minorHAnsi" w:hAnsiTheme="minorHAnsi" w:cstheme="minorHAnsi"/>
        </w:rPr>
        <w:t>;</w:t>
      </w:r>
    </w:p>
    <w:p w14:paraId="6E636A47" w14:textId="77777777" w:rsidR="006179BB" w:rsidRPr="00F1046D" w:rsidRDefault="006179BB" w:rsidP="0007326F">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Polijas-Lietuvas starpsavienojums būvniecība</w:t>
      </w:r>
      <w:r>
        <w:rPr>
          <w:rFonts w:asciiTheme="minorHAnsi" w:hAnsiTheme="minorHAnsi" w:cstheme="minorHAnsi"/>
        </w:rPr>
        <w:t>.</w:t>
      </w:r>
    </w:p>
    <w:p w14:paraId="76F11E33" w14:textId="77777777" w:rsidR="006179BB" w:rsidRDefault="006179BB" w:rsidP="006179BB">
      <w:pPr>
        <w:pStyle w:val="paragraph"/>
        <w:spacing w:before="120" w:beforeAutospacing="0" w:after="120" w:afterAutospacing="0"/>
        <w:jc w:val="center"/>
        <w:textAlignment w:val="baseline"/>
      </w:pPr>
      <w:r w:rsidRPr="00B82F56">
        <w:rPr>
          <w:noProof/>
        </w:rPr>
        <w:drawing>
          <wp:inline distT="0" distB="0" distL="0" distR="0" wp14:anchorId="7BACA8B3" wp14:editId="29D0D7EF">
            <wp:extent cx="3460695" cy="273124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469143" cy="2737913"/>
                    </a:xfrm>
                    <a:prstGeom prst="rect">
                      <a:avLst/>
                    </a:prstGeom>
                  </pic:spPr>
                </pic:pic>
              </a:graphicData>
            </a:graphic>
          </wp:inline>
        </w:drawing>
      </w:r>
    </w:p>
    <w:p w14:paraId="1B2086D6" w14:textId="0739F26A" w:rsidR="006179BB" w:rsidRPr="000C620B" w:rsidRDefault="006179BB" w:rsidP="006179BB">
      <w:pPr>
        <w:pStyle w:val="paragraph"/>
        <w:spacing w:before="120" w:beforeAutospacing="0" w:after="120" w:afterAutospacing="0"/>
        <w:jc w:val="center"/>
        <w:textAlignment w:val="baseline"/>
        <w:rPr>
          <w:rFonts w:asciiTheme="minorHAnsi" w:hAnsiTheme="minorHAnsi" w:cstheme="minorHAnsi"/>
          <w:b/>
          <w:bCs/>
          <w:sz w:val="20"/>
          <w:szCs w:val="20"/>
        </w:rPr>
      </w:pPr>
      <w:r w:rsidRPr="000C620B">
        <w:rPr>
          <w:rFonts w:asciiTheme="minorHAnsi" w:hAnsiTheme="minorHAnsi" w:cstheme="minorHAnsi"/>
          <w:b/>
          <w:bCs/>
          <w:sz w:val="20"/>
          <w:szCs w:val="20"/>
        </w:rPr>
        <w:fldChar w:fldCharType="begin"/>
      </w:r>
      <w:r w:rsidRPr="000C620B">
        <w:rPr>
          <w:rFonts w:asciiTheme="minorHAnsi" w:hAnsiTheme="minorHAnsi" w:cstheme="minorHAnsi"/>
          <w:b/>
          <w:bCs/>
          <w:sz w:val="20"/>
          <w:szCs w:val="20"/>
        </w:rPr>
        <w:instrText xml:space="preserve"> SEQ Ilustrācija \* ARABIC </w:instrText>
      </w:r>
      <w:r w:rsidRPr="000C620B">
        <w:rPr>
          <w:rFonts w:asciiTheme="minorHAnsi" w:hAnsiTheme="minorHAnsi" w:cstheme="minorHAnsi"/>
          <w:b/>
          <w:bCs/>
          <w:sz w:val="20"/>
          <w:szCs w:val="20"/>
        </w:rPr>
        <w:fldChar w:fldCharType="separate"/>
      </w:r>
      <w:bookmarkStart w:id="249" w:name="_Toc23782708"/>
      <w:r w:rsidR="006E6675">
        <w:rPr>
          <w:rFonts w:asciiTheme="minorHAnsi" w:hAnsiTheme="minorHAnsi" w:cstheme="minorHAnsi"/>
          <w:b/>
          <w:bCs/>
          <w:noProof/>
          <w:sz w:val="20"/>
          <w:szCs w:val="20"/>
        </w:rPr>
        <w:t>28</w:t>
      </w:r>
      <w:r w:rsidRPr="000C620B">
        <w:rPr>
          <w:rFonts w:asciiTheme="minorHAnsi" w:hAnsiTheme="minorHAnsi" w:cstheme="minorHAnsi"/>
          <w:b/>
          <w:bCs/>
          <w:sz w:val="20"/>
          <w:szCs w:val="20"/>
        </w:rPr>
        <w:fldChar w:fldCharType="end"/>
      </w:r>
      <w:r w:rsidRPr="000C620B">
        <w:rPr>
          <w:rFonts w:asciiTheme="minorHAnsi" w:hAnsiTheme="minorHAnsi" w:cstheme="minorHAnsi"/>
          <w:b/>
          <w:bCs/>
          <w:sz w:val="20"/>
          <w:szCs w:val="20"/>
        </w:rPr>
        <w:t>.attēls. Plānotie dabasgāzes infrastruktūras projekti Baltijā</w:t>
      </w:r>
      <w:r w:rsidRPr="000C620B">
        <w:rPr>
          <w:rStyle w:val="FootnoteReference"/>
          <w:rFonts w:asciiTheme="minorHAnsi" w:hAnsiTheme="minorHAnsi" w:cstheme="minorHAnsi"/>
          <w:b/>
          <w:bCs/>
          <w:sz w:val="20"/>
          <w:szCs w:val="20"/>
        </w:rPr>
        <w:footnoteReference w:id="81"/>
      </w:r>
      <w:bookmarkEnd w:id="249"/>
    </w:p>
    <w:p w14:paraId="49E18068" w14:textId="77777777" w:rsidR="006179BB" w:rsidRPr="00C15715" w:rsidRDefault="006179BB">
      <w:pPr>
        <w:pStyle w:val="Heading30"/>
      </w:pPr>
      <w:bookmarkStart w:id="250" w:name="_Toc23245783"/>
      <w:bookmarkStart w:id="251" w:name="_Toc23246010"/>
      <w:bookmarkStart w:id="252" w:name="_Toc24408024"/>
      <w:r w:rsidRPr="00C15715">
        <w:t>Elektroenerģijas un gāzes tirgi</w:t>
      </w:r>
      <w:r>
        <w:t xml:space="preserve"> un </w:t>
      </w:r>
      <w:r w:rsidRPr="00C15715">
        <w:t>enerģijas cenas</w:t>
      </w:r>
      <w:bookmarkEnd w:id="250"/>
      <w:bookmarkEnd w:id="251"/>
      <w:bookmarkEnd w:id="252"/>
    </w:p>
    <w:p w14:paraId="6B07E640" w14:textId="77777777" w:rsidR="006179BB" w:rsidRDefault="006179BB">
      <w:pPr>
        <w:pStyle w:val="Heading4"/>
      </w:pPr>
      <w:bookmarkStart w:id="253" w:name="_Toc23245784"/>
      <w:r w:rsidRPr="00C15715">
        <w:t>Pašreizējā situācija elektroenerģijas un gāzes tirg</w:t>
      </w:r>
      <w:r>
        <w:t>os</w:t>
      </w:r>
      <w:bookmarkEnd w:id="253"/>
    </w:p>
    <w:p w14:paraId="2919289A" w14:textId="5E74DA3C" w:rsidR="006179BB" w:rsidRDefault="006179BB" w:rsidP="006179BB">
      <w:pPr>
        <w:spacing w:before="120" w:after="120" w:line="240" w:lineRule="auto"/>
        <w:jc w:val="both"/>
        <w:rPr>
          <w:rFonts w:cstheme="minorHAnsi"/>
          <w:szCs w:val="24"/>
        </w:rPr>
      </w:pPr>
      <w:r w:rsidRPr="00C15715">
        <w:rPr>
          <w:rFonts w:cstheme="minorHAnsi"/>
          <w:szCs w:val="24"/>
        </w:rPr>
        <w:t>Latvijas dabasgāzes tirgus  apjoms ir ap 1,3 mljrd. m</w:t>
      </w:r>
      <w:r w:rsidRPr="00C15715">
        <w:rPr>
          <w:rFonts w:cstheme="minorHAnsi"/>
          <w:szCs w:val="24"/>
          <w:vertAlign w:val="superscript"/>
        </w:rPr>
        <w:t>3</w:t>
      </w:r>
      <w:r w:rsidRPr="00C15715">
        <w:rPr>
          <w:rFonts w:cstheme="minorHAnsi"/>
          <w:szCs w:val="24"/>
        </w:rPr>
        <w:t>, un dabasgāzes tirgus samazinājumam ir vairāki objektīvi un pozitīvi iemesli – zudumu samazināšanās energoapgādē, it īpaši siltuma nozarē,  kā arī vietējo resursu veiksmīga izmantošana, piemēram, siltumapgādē. Tas ir arī ieguvums Latvijas drošībai, jo samazinājusies atkarība no energoresursu importa. Latvijas potenciālā priekšrocība reģionāla tirgus ietvaros ir tās ģeogrāfiskais novietojums, kas rada iespējas dabas gāzes tranzītam Dienvidu-Ziemeļu virzienā, kā arī Inčukalna pazemes gāzes krātuves tehniskās iespējas, izmantojot to kā tirgus instrumentu.</w:t>
      </w:r>
    </w:p>
    <w:p w14:paraId="43E50D15" w14:textId="443914F3" w:rsidR="00DB390C" w:rsidRPr="00C15715" w:rsidRDefault="00DB390C" w:rsidP="006179BB">
      <w:pPr>
        <w:spacing w:before="120" w:after="120" w:line="240" w:lineRule="auto"/>
        <w:jc w:val="both"/>
        <w:rPr>
          <w:rFonts w:cstheme="minorHAnsi"/>
          <w:szCs w:val="24"/>
        </w:rPr>
      </w:pPr>
      <w:r>
        <w:rPr>
          <w:rFonts w:cstheme="minorHAnsi"/>
          <w:szCs w:val="24"/>
        </w:rPr>
        <w:t>Latvijas elektroenerģijas tirgus ir aptuveni 7,4 TWh. P</w:t>
      </w:r>
      <w:r w:rsidRPr="00200B31">
        <w:rPr>
          <w:rFonts w:cstheme="minorHAnsi"/>
          <w:szCs w:val="24"/>
        </w:rPr>
        <w:t>ēdējos gados novērotas energoresursu kopējā patēriņa struktūras izmaiņas – samazinoties dabasgāzes patēriņa</w:t>
      </w:r>
      <w:r>
        <w:rPr>
          <w:rFonts w:cstheme="minorHAnsi"/>
          <w:szCs w:val="24"/>
        </w:rPr>
        <w:t>m pārveidošanas sektorā</w:t>
      </w:r>
      <w:r w:rsidRPr="00200B31">
        <w:rPr>
          <w:rFonts w:cstheme="minorHAnsi"/>
          <w:szCs w:val="24"/>
        </w:rPr>
        <w:t>, palielinās AER īpatsvars kopējā energoresursu patēriņā</w:t>
      </w:r>
      <w:r>
        <w:rPr>
          <w:rFonts w:cstheme="minorHAnsi"/>
          <w:szCs w:val="24"/>
        </w:rPr>
        <w:t>, kas saistāms ar</w:t>
      </w:r>
      <w:r>
        <w:t xml:space="preserve"> saražotās elektroenerģijas pieaugumu hidroelektrostacijās un vēja stacijās</w:t>
      </w:r>
      <w:r>
        <w:rPr>
          <w:rStyle w:val="FootnoteReference"/>
        </w:rPr>
        <w:footnoteReference w:id="82"/>
      </w:r>
      <w:r>
        <w:t>. Vienlaikus, AER saražotās elektroenerģijas apjomi ir ļoti svārstīgi un atkarīgi no ārējiem faktoriem. Ņemot vērā augsto nokrišņu apjomu un lielo ūdens pieteci Daugavā 2017.gadā, AER elektroenerģijas patēriņš pieauga par 5,6%, savukārt 2018.gadā sakarā ar netipiski sausu un garu vasaras periodu ar zemiem ūdenstilpju līmeņiem un zemu ūdens pieteci Daugavā, samazinājās par 43,6%. Tādējādi 2018.gadā liekākā daļa no vietēji saražotās elektroenerģijas (15 PJ) tika saražota pārveidošanas sektorā, proti, koģenerācijas stacijās, bet pārējais HES un VES (9,2 PJ).</w:t>
      </w:r>
    </w:p>
    <w:p w14:paraId="45375F75" w14:textId="77777777" w:rsidR="006179BB" w:rsidRPr="00C15715" w:rsidRDefault="006179BB">
      <w:pPr>
        <w:pStyle w:val="Heading4"/>
      </w:pPr>
      <w:bookmarkStart w:id="254" w:name="_Toc23245785"/>
      <w:r>
        <w:t xml:space="preserve">Pašreizējā situācija  </w:t>
      </w:r>
      <w:r w:rsidRPr="00C15715">
        <w:t>enerģijas cen</w:t>
      </w:r>
      <w:r>
        <w:t>ās</w:t>
      </w:r>
      <w:bookmarkEnd w:id="254"/>
    </w:p>
    <w:p w14:paraId="7855D83A" w14:textId="4EA7164C" w:rsidR="006179BB" w:rsidRPr="00C15715" w:rsidRDefault="006179BB" w:rsidP="006179BB">
      <w:pPr>
        <w:spacing w:before="120" w:after="120" w:line="240" w:lineRule="auto"/>
        <w:jc w:val="both"/>
        <w:rPr>
          <w:rFonts w:cstheme="minorHAnsi"/>
          <w:szCs w:val="24"/>
        </w:rPr>
      </w:pPr>
      <w:r>
        <w:rPr>
          <w:rFonts w:cstheme="minorHAnsi"/>
          <w:szCs w:val="24"/>
        </w:rPr>
        <w:t xml:space="preserve">2017.gadā arī Latvijā </w:t>
      </w:r>
      <w:r w:rsidR="00DB390C">
        <w:rPr>
          <w:rFonts w:cstheme="minorHAnsi"/>
          <w:szCs w:val="24"/>
        </w:rPr>
        <w:t>tika</w:t>
      </w:r>
      <w:r>
        <w:rPr>
          <w:rFonts w:cstheme="minorHAnsi"/>
          <w:szCs w:val="24"/>
        </w:rPr>
        <w:t xml:space="preserve"> novērots būtisks elektroenerģijas cenu kritums –</w:t>
      </w:r>
      <w:r w:rsidRPr="00C15715">
        <w:rPr>
          <w:rFonts w:cstheme="minorHAnsi"/>
          <w:szCs w:val="24"/>
        </w:rPr>
        <w:t xml:space="preserve"> 3,91 % apmērā līdz 34,68 EUR/MWh cenas atzīmei. Cenas pazemināšanās Latvijā galvenokārt bija saistīta ar NordBalt pirmo pilno darba gadu (pēc testēšanas perioda). Pateicoties tam, ievērojami samazinājās neplānotu padeves pārrāvumu un apkopju skaits, kas, savukārt, ļāva elektrības cenām Latvijā pietuvoties Ziemeļvalstu tirgus cenām.</w:t>
      </w:r>
      <w:r w:rsidR="00DB390C">
        <w:rPr>
          <w:rFonts w:cstheme="minorHAnsi"/>
          <w:szCs w:val="24"/>
        </w:rPr>
        <w:t xml:space="preserve"> Savukārt 2018.gadā, v</w:t>
      </w:r>
      <w:r w:rsidR="00DB390C" w:rsidRPr="00075BA1">
        <w:rPr>
          <w:rFonts w:cstheme="minorHAnsi"/>
          <w:szCs w:val="24"/>
        </w:rPr>
        <w:t>idējā elektroenerģijas biržas cena Latvijas apgabalā palielinājās līdz 49,90 EUR/MWh</w:t>
      </w:r>
      <w:r w:rsidR="00DB390C">
        <w:rPr>
          <w:rFonts w:cstheme="minorHAnsi"/>
          <w:szCs w:val="24"/>
        </w:rPr>
        <w:t xml:space="preserve">, līdz ar to </w:t>
      </w:r>
      <w:r w:rsidR="00DB390C">
        <w:t>salīdzinājumā ar 2017. gadu, cena palielinājās par 43,9%.</w:t>
      </w:r>
    </w:p>
    <w:p w14:paraId="10552947" w14:textId="77777777" w:rsidR="006179BB" w:rsidRPr="00C15715" w:rsidRDefault="006179BB" w:rsidP="006179BB">
      <w:pPr>
        <w:spacing w:before="120" w:after="120" w:line="240" w:lineRule="auto"/>
        <w:jc w:val="center"/>
        <w:rPr>
          <w:rFonts w:cstheme="minorHAnsi"/>
          <w:szCs w:val="24"/>
        </w:rPr>
      </w:pPr>
      <w:r w:rsidRPr="00C15715">
        <w:rPr>
          <w:rFonts w:cstheme="minorHAnsi"/>
          <w:noProof/>
          <w:szCs w:val="24"/>
          <w:lang w:eastAsia="lv-LV"/>
        </w:rPr>
        <w:drawing>
          <wp:inline distT="0" distB="0" distL="0" distR="0" wp14:anchorId="4BF8BDDF" wp14:editId="2098E9E2">
            <wp:extent cx="4340860" cy="2950845"/>
            <wp:effectExtent l="0" t="0" r="254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40860" cy="2950845"/>
                    </a:xfrm>
                    <a:prstGeom prst="rect">
                      <a:avLst/>
                    </a:prstGeom>
                    <a:noFill/>
                  </pic:spPr>
                </pic:pic>
              </a:graphicData>
            </a:graphic>
          </wp:inline>
        </w:drawing>
      </w:r>
    </w:p>
    <w:p w14:paraId="2E1D342E" w14:textId="5C4BBFF7" w:rsidR="006179BB" w:rsidRPr="00C15715" w:rsidRDefault="006179BB" w:rsidP="006179BB">
      <w:pPr>
        <w:pStyle w:val="Caption"/>
        <w:rPr>
          <w:rFonts w:asciiTheme="minorHAnsi" w:hAnsiTheme="minorHAnsi" w:cstheme="minorHAnsi"/>
          <w:sz w:val="24"/>
          <w:szCs w:val="24"/>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Ilustrācija \* ARABIC </w:instrText>
      </w:r>
      <w:r w:rsidRPr="00C15715">
        <w:rPr>
          <w:rFonts w:asciiTheme="minorHAnsi" w:hAnsiTheme="minorHAnsi" w:cstheme="minorHAnsi"/>
          <w:szCs w:val="24"/>
        </w:rPr>
        <w:fldChar w:fldCharType="separate"/>
      </w:r>
      <w:bookmarkStart w:id="255" w:name="_Toc23782709"/>
      <w:r w:rsidR="006E6675">
        <w:rPr>
          <w:rFonts w:asciiTheme="minorHAnsi" w:hAnsiTheme="minorHAnsi" w:cstheme="minorHAnsi"/>
          <w:noProof/>
          <w:szCs w:val="24"/>
        </w:rPr>
        <w:t>29</w:t>
      </w:r>
      <w:r w:rsidRPr="00C15715">
        <w:rPr>
          <w:rFonts w:asciiTheme="minorHAnsi" w:hAnsiTheme="minorHAnsi" w:cstheme="minorHAnsi"/>
          <w:szCs w:val="24"/>
        </w:rPr>
        <w:fldChar w:fldCharType="end"/>
      </w:r>
      <w:r w:rsidRPr="00C15715">
        <w:rPr>
          <w:rFonts w:asciiTheme="minorHAnsi" w:hAnsiTheme="minorHAnsi" w:cstheme="minorHAnsi"/>
        </w:rPr>
        <w:t>.attēls. Elektroenerģijas izmaksas mājsaimniecībai ar 200 kWh patēriņu mēnesī</w:t>
      </w:r>
      <w:r w:rsidRPr="00C15715">
        <w:rPr>
          <w:rStyle w:val="FootnoteReference"/>
          <w:rFonts w:asciiTheme="minorHAnsi" w:hAnsiTheme="minorHAnsi" w:cstheme="minorHAnsi"/>
        </w:rPr>
        <w:footnoteReference w:id="83"/>
      </w:r>
      <w:bookmarkEnd w:id="255"/>
    </w:p>
    <w:p w14:paraId="5975CF8F" w14:textId="2BA0E1E2" w:rsidR="00DB390C" w:rsidRDefault="00DB390C" w:rsidP="00DB390C">
      <w:pPr>
        <w:spacing w:before="120" w:after="120" w:line="240" w:lineRule="auto"/>
        <w:jc w:val="both"/>
        <w:rPr>
          <w:rFonts w:cstheme="minorHAnsi"/>
          <w:szCs w:val="24"/>
        </w:rPr>
      </w:pPr>
      <w:r>
        <w:rPr>
          <w:rFonts w:cstheme="minorHAnsi"/>
          <w:szCs w:val="24"/>
        </w:rPr>
        <w:t>Elektroenerģijas izmaksās mājsaimniecībai ir redzams, ka lielāko atšķirību izmaksās veido fiksētā maksa par pieslēgumu, tādējādi parādot efektīva pieslēguma nozīmi, kas pēdējo gadu laikā īpaši tiek uzsvērts no sadales sistēmas operatora puses. Attiecīgi, ja mājsaimniecības patēriņš ir, piemēram tikai 200 kWh mēnesī kā tas raksturots attēlā, tad neapdomīgs būtu 3 fāžu pieslēgums ar 40 ampēru jaudu, kas ne tikai veicina nelietderīgas jaudas uzturēšanu, bet palielinātu patērētāja izmaksas par 60%.</w:t>
      </w:r>
    </w:p>
    <w:p w14:paraId="316782B5"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 xml:space="preserve">Laika periodā no 2013.gada līdz 2017.gada beigām Latvijas mājsaimniecības par dabasgāzi vidēji maksājušas 0,0456 EUR/kWh, kas ir nedaudz vairāk kā Igaunijā, savukārt mazāk kā Lietuvā, un ES kopā, kur vidējā mazumtirdzniecības cena iepriekšminētajā laika periodā sasniedza 0,0659 EUR/kWh. </w:t>
      </w:r>
    </w:p>
    <w:p w14:paraId="6B0E23DB" w14:textId="77777777" w:rsidR="006179BB" w:rsidRDefault="006179BB" w:rsidP="006179BB">
      <w:pPr>
        <w:spacing w:before="120" w:after="120" w:line="240" w:lineRule="auto"/>
        <w:jc w:val="both"/>
        <w:rPr>
          <w:rFonts w:cstheme="minorHAnsi"/>
          <w:szCs w:val="24"/>
        </w:rPr>
      </w:pPr>
      <w:r w:rsidRPr="00C15715">
        <w:rPr>
          <w:rFonts w:cstheme="minorHAnsi"/>
          <w:szCs w:val="24"/>
        </w:rPr>
        <w:t>Dabasgāzes vairumtirdzniecības cenas attiecas uz sistēmas lietotāju, kura patēriņa apjoms ir lielāks par 25 tūkst.m</w:t>
      </w:r>
      <w:r w:rsidRPr="00C15715">
        <w:rPr>
          <w:rFonts w:cstheme="minorHAnsi"/>
          <w:szCs w:val="24"/>
          <w:vertAlign w:val="superscript"/>
        </w:rPr>
        <w:t>3</w:t>
      </w:r>
      <w:r w:rsidRPr="00C15715">
        <w:rPr>
          <w:rFonts w:cstheme="minorHAnsi"/>
          <w:szCs w:val="24"/>
        </w:rPr>
        <w:t xml:space="preserve"> dabasgāzes gadā. Latvijas dabasgāzes cenas lielajiem patērētājiem, kuri nav mājsaimniecības, kopumā ir zem ES vidējā cenu līmeņa. Laika periodā no 2013.gada līdz 2017.gada beigām, Latvijas lielie patērētāji vidēji maksāja 0,0456 EUR/kWh, kas ir nedaudz vairāk kā vidēji Igaunijā (0,0433 EUR/kWh), bet mazāk kā vidēji Lietuvā (0,0469 EUR/kWh), un ES kopā, kur vidējā vairumtirdzniecības cena no 2013.gada līdz 2017.gada noslēgumam ir 0,0659 EUR/kWh. </w:t>
      </w:r>
    </w:p>
    <w:p w14:paraId="18827B0D" w14:textId="77777777" w:rsidR="006179BB" w:rsidRPr="00C15715" w:rsidRDefault="006179BB">
      <w:pPr>
        <w:spacing w:before="120" w:after="120" w:line="240" w:lineRule="auto"/>
        <w:jc w:val="center"/>
        <w:rPr>
          <w:rFonts w:cstheme="minorHAnsi"/>
          <w:szCs w:val="24"/>
        </w:rPr>
      </w:pPr>
      <w:r w:rsidRPr="00C15715">
        <w:rPr>
          <w:rFonts w:cstheme="minorHAnsi"/>
          <w:noProof/>
          <w:szCs w:val="24"/>
          <w:lang w:eastAsia="lv-LV"/>
        </w:rPr>
        <w:drawing>
          <wp:inline distT="0" distB="0" distL="0" distR="0" wp14:anchorId="25513CB9" wp14:editId="2AD890FA">
            <wp:extent cx="4049639" cy="2667879"/>
            <wp:effectExtent l="0" t="0" r="825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63368" cy="2676924"/>
                    </a:xfrm>
                    <a:prstGeom prst="rect">
                      <a:avLst/>
                    </a:prstGeom>
                    <a:noFill/>
                    <a:ln w="3175">
                      <a:noFill/>
                    </a:ln>
                  </pic:spPr>
                </pic:pic>
              </a:graphicData>
            </a:graphic>
          </wp:inline>
        </w:drawing>
      </w:r>
    </w:p>
    <w:p w14:paraId="60B76A2D" w14:textId="1AB4F077" w:rsidR="006179BB" w:rsidRPr="00C15715" w:rsidRDefault="006179BB">
      <w:pPr>
        <w:pStyle w:val="Caption"/>
        <w:rPr>
          <w:rFonts w:asciiTheme="minorHAnsi" w:hAnsiTheme="minorHAnsi" w:cstheme="minorHAnsi"/>
          <w:sz w:val="24"/>
          <w:szCs w:val="24"/>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Ilustrācija \* ARABIC </w:instrText>
      </w:r>
      <w:r w:rsidRPr="00C15715">
        <w:rPr>
          <w:rFonts w:asciiTheme="minorHAnsi" w:hAnsiTheme="minorHAnsi" w:cstheme="minorHAnsi"/>
          <w:szCs w:val="24"/>
        </w:rPr>
        <w:fldChar w:fldCharType="separate"/>
      </w:r>
      <w:bookmarkStart w:id="256" w:name="_Toc23782710"/>
      <w:r w:rsidR="006E6675">
        <w:rPr>
          <w:rFonts w:asciiTheme="minorHAnsi" w:hAnsiTheme="minorHAnsi" w:cstheme="minorHAnsi"/>
          <w:noProof/>
          <w:szCs w:val="24"/>
        </w:rPr>
        <w:t>30</w:t>
      </w:r>
      <w:r w:rsidRPr="00C15715">
        <w:rPr>
          <w:rFonts w:asciiTheme="minorHAnsi" w:hAnsiTheme="minorHAnsi" w:cstheme="minorHAnsi"/>
          <w:szCs w:val="24"/>
        </w:rPr>
        <w:fldChar w:fldCharType="end"/>
      </w:r>
      <w:r w:rsidRPr="00C15715">
        <w:rPr>
          <w:rFonts w:asciiTheme="minorHAnsi" w:hAnsiTheme="minorHAnsi" w:cstheme="minorHAnsi"/>
        </w:rPr>
        <w:t>.attēls. Dabasgāzes cenu izmaiņas patērētājiem, kuri nav mājsaimniecības, EUR par kWh (pusgadā)</w:t>
      </w:r>
      <w:r w:rsidRPr="00C15715">
        <w:rPr>
          <w:rFonts w:asciiTheme="minorHAnsi" w:hAnsiTheme="minorHAnsi" w:cstheme="minorHAnsi"/>
          <w:vertAlign w:val="superscript"/>
        </w:rPr>
        <w:footnoteReference w:id="84"/>
      </w:r>
      <w:bookmarkEnd w:id="256"/>
    </w:p>
    <w:p w14:paraId="78908DDA" w14:textId="77777777" w:rsidR="00DB390C" w:rsidRPr="00C15715" w:rsidRDefault="00DB390C">
      <w:pPr>
        <w:spacing w:before="120" w:after="120" w:line="240" w:lineRule="auto"/>
        <w:jc w:val="both"/>
        <w:rPr>
          <w:rFonts w:cstheme="minorHAnsi"/>
          <w:szCs w:val="24"/>
        </w:rPr>
      </w:pPr>
      <w:r w:rsidRPr="00C15715">
        <w:rPr>
          <w:rFonts w:cstheme="minorHAnsi"/>
          <w:szCs w:val="24"/>
        </w:rPr>
        <w:t>Latvija 2017.gadu noslē</w:t>
      </w:r>
      <w:r>
        <w:rPr>
          <w:rFonts w:cstheme="minorHAnsi"/>
          <w:szCs w:val="24"/>
        </w:rPr>
        <w:t>dza</w:t>
      </w:r>
      <w:r w:rsidRPr="00C15715">
        <w:rPr>
          <w:rFonts w:cstheme="minorHAnsi"/>
          <w:szCs w:val="24"/>
        </w:rPr>
        <w:t xml:space="preserve"> ar vienu no zemākajām dabasgāzes vairumtirdzniecības cenām ES – 17,11 EUR par megavatstundu 2017.gada 4.ceturksnī, kas </w:t>
      </w:r>
      <w:r>
        <w:rPr>
          <w:rFonts w:cstheme="minorHAnsi"/>
          <w:szCs w:val="24"/>
        </w:rPr>
        <w:t>bija</w:t>
      </w:r>
      <w:r w:rsidRPr="00C15715">
        <w:rPr>
          <w:rFonts w:cstheme="minorHAnsi"/>
          <w:szCs w:val="24"/>
        </w:rPr>
        <w:t xml:space="preserve"> zemākā cena visā Baltijas jūras reģionā</w:t>
      </w:r>
      <w:r w:rsidRPr="00C15715">
        <w:rPr>
          <w:rStyle w:val="FootnoteReference"/>
          <w:rFonts w:cstheme="minorHAnsi"/>
        </w:rPr>
        <w:footnoteReference w:id="85"/>
      </w:r>
      <w:r w:rsidRPr="00C15715">
        <w:rPr>
          <w:rFonts w:cstheme="minorHAnsi"/>
          <w:szCs w:val="24"/>
        </w:rPr>
        <w:t xml:space="preserve">. </w:t>
      </w:r>
      <w:r w:rsidRPr="00C15715">
        <w:rPr>
          <w:rFonts w:cstheme="minorHAnsi"/>
        </w:rPr>
        <w:t>2017.gadā vidējā dabasgāzes tirdzniecības cena Latvijā bija par 2,60 EUR/MWh augstāka nekā 2016. gadā.</w:t>
      </w:r>
      <w:r>
        <w:rPr>
          <w:rFonts w:cstheme="minorHAnsi"/>
        </w:rPr>
        <w:t xml:space="preserve"> </w:t>
      </w:r>
      <w:r w:rsidRPr="00C15715">
        <w:rPr>
          <w:rFonts w:cstheme="minorHAnsi"/>
        </w:rPr>
        <w:t xml:space="preserve">Vācijas Gaspool biržā dabasgāzes cena 2018. gada augustā bija par 5,20 EUR/MWh augstāka nekā 2017. gada janvārī, savukārt Nīderlandes Title Transfer Facility (TTF) biržā cena pieaugusi par 4,73 EUR/MWh. </w:t>
      </w:r>
      <w:r>
        <w:rPr>
          <w:rFonts w:cstheme="minorHAnsi"/>
        </w:rPr>
        <w:t>2018.gadā dabasgāzes vairumtirdzniecības cena turpināja augt līdz novembrim, kad tika sasniegta cena 26,29 EUR par megavatstundu. Pretēji prognozēm, kopš tā brīža uzsākās cenu kritums un 2019.gada oktobrī Gaspool vidējā vairumtirdzniecības cena bija 12,75 EUR par megavatstundu.</w:t>
      </w:r>
    </w:p>
    <w:p w14:paraId="4CBDEA4D" w14:textId="77777777" w:rsidR="006179BB" w:rsidRPr="00C15715" w:rsidRDefault="006179BB">
      <w:pPr>
        <w:spacing w:before="120" w:after="120" w:line="240" w:lineRule="auto"/>
        <w:jc w:val="center"/>
        <w:rPr>
          <w:rFonts w:cstheme="minorHAnsi"/>
          <w:color w:val="FF0000"/>
          <w:szCs w:val="24"/>
        </w:rPr>
      </w:pPr>
      <w:r w:rsidRPr="00C15715">
        <w:rPr>
          <w:rFonts w:cstheme="minorHAnsi"/>
          <w:noProof/>
          <w:color w:val="FF0000"/>
          <w:szCs w:val="24"/>
          <w:lang w:eastAsia="lv-LV"/>
        </w:rPr>
        <w:drawing>
          <wp:inline distT="0" distB="0" distL="0" distR="0" wp14:anchorId="06DD961D" wp14:editId="3B7B8332">
            <wp:extent cx="4310041" cy="2467904"/>
            <wp:effectExtent l="0" t="0" r="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29792" cy="2479213"/>
                    </a:xfrm>
                    <a:prstGeom prst="rect">
                      <a:avLst/>
                    </a:prstGeom>
                    <a:noFill/>
                    <a:ln>
                      <a:noFill/>
                    </a:ln>
                  </pic:spPr>
                </pic:pic>
              </a:graphicData>
            </a:graphic>
          </wp:inline>
        </w:drawing>
      </w:r>
    </w:p>
    <w:p w14:paraId="2CD27672" w14:textId="43F8EBB0" w:rsidR="006179BB" w:rsidRPr="00C15715" w:rsidRDefault="006179BB" w:rsidP="006179BB">
      <w:pPr>
        <w:pStyle w:val="Caption"/>
        <w:rPr>
          <w:rFonts w:asciiTheme="minorHAnsi" w:hAnsiTheme="minorHAnsi" w:cstheme="minorHAnsi"/>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Ilustrācija \* ARABIC </w:instrText>
      </w:r>
      <w:r w:rsidRPr="00C15715">
        <w:rPr>
          <w:rFonts w:asciiTheme="minorHAnsi" w:hAnsiTheme="minorHAnsi" w:cstheme="minorHAnsi"/>
          <w:noProof/>
        </w:rPr>
        <w:fldChar w:fldCharType="separate"/>
      </w:r>
      <w:bookmarkStart w:id="257" w:name="_Toc23782711"/>
      <w:r w:rsidR="006E6675">
        <w:rPr>
          <w:rFonts w:asciiTheme="minorHAnsi" w:hAnsiTheme="minorHAnsi" w:cstheme="minorHAnsi"/>
          <w:noProof/>
        </w:rPr>
        <w:t>31</w:t>
      </w:r>
      <w:r w:rsidRPr="00C15715">
        <w:rPr>
          <w:rFonts w:asciiTheme="minorHAnsi" w:hAnsiTheme="minorHAnsi" w:cstheme="minorHAnsi"/>
          <w:noProof/>
        </w:rPr>
        <w:fldChar w:fldCharType="end"/>
      </w:r>
      <w:r w:rsidRPr="00C15715">
        <w:rPr>
          <w:rFonts w:asciiTheme="minorHAnsi" w:hAnsiTheme="minorHAnsi" w:cstheme="minorHAnsi"/>
        </w:rPr>
        <w:t>.attēls. Indikatīvās dabasgāzes tirdzniecības vidējās cenas un cenu diapazoni saskaņā ar notikušiem iepirkumiem juridiskajām personām</w:t>
      </w:r>
      <w:r w:rsidRPr="00C15715">
        <w:rPr>
          <w:rStyle w:val="FootnoteReference"/>
          <w:rFonts w:asciiTheme="minorHAnsi" w:hAnsiTheme="minorHAnsi" w:cstheme="minorHAnsi"/>
        </w:rPr>
        <w:footnoteReference w:id="86"/>
      </w:r>
      <w:bookmarkEnd w:id="257"/>
    </w:p>
    <w:p w14:paraId="2116D187" w14:textId="77777777" w:rsidR="006179BB" w:rsidRPr="00C15715" w:rsidRDefault="006179BB">
      <w:pPr>
        <w:pStyle w:val="Heading4"/>
      </w:pPr>
      <w:bookmarkStart w:id="258" w:name="_Toc23245786"/>
      <w:r w:rsidRPr="00C15715">
        <w:t>Attīstības prognozes</w:t>
      </w:r>
      <w:bookmarkEnd w:id="258"/>
    </w:p>
    <w:p w14:paraId="0370E0EB" w14:textId="77777777" w:rsidR="006179BB" w:rsidRPr="00F534A6" w:rsidRDefault="006179BB" w:rsidP="006179BB">
      <w:pPr>
        <w:pStyle w:val="paragraph"/>
        <w:spacing w:before="120" w:beforeAutospacing="0" w:after="120" w:afterAutospacing="0"/>
        <w:jc w:val="both"/>
        <w:textAlignment w:val="baseline"/>
        <w:rPr>
          <w:rFonts w:asciiTheme="minorHAnsi" w:hAnsiTheme="minorHAnsi" w:cstheme="minorHAnsi"/>
        </w:rPr>
      </w:pPr>
      <w:r w:rsidRPr="00C15715">
        <w:rPr>
          <w:rFonts w:asciiTheme="minorHAnsi" w:hAnsiTheme="minorHAnsi" w:cstheme="minorHAnsi"/>
        </w:rPr>
        <w:t xml:space="preserve">Tā kā Latvijā patērētā elektroenerģija tiek pirkta Nord Pool vairumtirdzniecības biržā, Baltijas un Ziemeļvalstu elektroenerģijas tirgus ir ļoti saistīts. Līdz ar vispārējo energoresursu (naftas, dabasgāzes, ogļu) cenu pieaugumu pasaulē, kā arī </w:t>
      </w:r>
      <w:r>
        <w:rPr>
          <w:rFonts w:asciiTheme="minorHAnsi" w:hAnsiTheme="minorHAnsi" w:cstheme="minorHAnsi"/>
        </w:rPr>
        <w:t xml:space="preserve">emisijas </w:t>
      </w:r>
      <w:r w:rsidRPr="00C15715">
        <w:rPr>
          <w:rFonts w:asciiTheme="minorHAnsi" w:hAnsiTheme="minorHAnsi" w:cstheme="minorHAnsi"/>
        </w:rPr>
        <w:t xml:space="preserve">kvotu cenas pieaugumu, elektroenerģijas cena gada laikā būtiski pieaugusi </w:t>
      </w:r>
      <w:r>
        <w:rPr>
          <w:rFonts w:asciiTheme="minorHAnsi" w:hAnsiTheme="minorHAnsi" w:cstheme="minorHAnsi"/>
        </w:rPr>
        <w:t>gan Ziemeļvalstīs, gan Baltijas valstīs</w:t>
      </w:r>
      <w:r w:rsidRPr="00C15715">
        <w:rPr>
          <w:rFonts w:asciiTheme="minorHAnsi" w:hAnsiTheme="minorHAnsi" w:cstheme="minorHAnsi"/>
        </w:rPr>
        <w:t xml:space="preserve">. Ziemeļvalstīs kopš </w:t>
      </w:r>
      <w:r w:rsidRPr="00F534A6">
        <w:rPr>
          <w:rFonts w:asciiTheme="minorHAnsi" w:hAnsiTheme="minorHAnsi" w:cstheme="minorHAnsi"/>
        </w:rPr>
        <w:t>pērnā gada augusta cenas pieaugušas par 88 %, Igaunijā par 52 %, Latvijā – par 58 %. Elektroenerģijas tirgus cena 2019. gadā varētu palikt nemainīga. Tomēr svarīgi, kādi būs turpmākie laikapstākļi gan Skandināvijas valstīs, gan Latvijā. PSO ir izstrādājis elektroenerģijas un elektriskās jaudas bilances prognozi, tāpat kā elektroenerģijas patēriņa prognozi, vismaz trim scenārijiem</w:t>
      </w:r>
      <w:r w:rsidRPr="00F534A6">
        <w:rPr>
          <w:rStyle w:val="FootnoteReference"/>
          <w:rFonts w:asciiTheme="minorHAnsi" w:hAnsiTheme="minorHAnsi" w:cstheme="minorHAnsi"/>
        </w:rPr>
        <w:footnoteReference w:id="87"/>
      </w:r>
      <w:r w:rsidRPr="00F534A6">
        <w:rPr>
          <w:rFonts w:asciiTheme="minorHAnsi" w:hAnsiTheme="minorHAnsi" w:cstheme="minorHAnsi"/>
        </w:rPr>
        <w:t>.</w:t>
      </w:r>
    </w:p>
    <w:p w14:paraId="1C7145AE" w14:textId="77777777" w:rsidR="006179BB" w:rsidRPr="00C15715" w:rsidRDefault="006179BB" w:rsidP="006179BB">
      <w:pPr>
        <w:pStyle w:val="paragraph"/>
        <w:spacing w:before="120" w:beforeAutospacing="0" w:after="120" w:afterAutospacing="0"/>
        <w:jc w:val="both"/>
        <w:textAlignment w:val="baseline"/>
        <w:rPr>
          <w:rFonts w:asciiTheme="minorHAnsi" w:hAnsiTheme="minorHAnsi" w:cstheme="minorHAnsi"/>
        </w:rPr>
      </w:pPr>
      <w:r w:rsidRPr="00F534A6">
        <w:rPr>
          <w:rFonts w:asciiTheme="minorHAnsi" w:hAnsiTheme="minorHAnsi" w:cstheme="minorHAnsi"/>
        </w:rPr>
        <w:t>Tiek prognozēts, ka cenas Gaspool un TTF biržās turpinās kāpt. Attiecīgi dabasgāze varētu kļūt dārgāka arī Latvijā. Nākotnē dabasgāzes cenas ietekmēs daudzi savstarpēji saistīti faktori, tostarp dabasgāzes cenu svārstības biržās</w:t>
      </w:r>
      <w:r w:rsidRPr="00C15715">
        <w:rPr>
          <w:rFonts w:asciiTheme="minorHAnsi" w:hAnsiTheme="minorHAnsi" w:cstheme="minorHAnsi"/>
        </w:rPr>
        <w:t xml:space="preserve"> un ģeopolitiskie notikumi pasaulē. Vienlaikus jāuzsver, ka pirms tirgus atvēršanas Latvijā dabasgāzes cenas bija būtiski augstākas nekā Gaspool un TTF biržās.</w:t>
      </w:r>
    </w:p>
    <w:p w14:paraId="408AE16D" w14:textId="77777777" w:rsidR="006179BB" w:rsidRPr="00C15715" w:rsidRDefault="006179BB">
      <w:pPr>
        <w:pStyle w:val="Heading30"/>
      </w:pPr>
      <w:bookmarkStart w:id="259" w:name="_Toc23245787"/>
      <w:bookmarkStart w:id="260" w:name="_Toc23246011"/>
      <w:bookmarkStart w:id="261" w:name="_Toc24408025"/>
      <w:r w:rsidRPr="00C15715">
        <w:t>Enerģētiskā nabadzība un enerģētiskā pieejamība</w:t>
      </w:r>
      <w:bookmarkEnd w:id="259"/>
      <w:bookmarkEnd w:id="260"/>
      <w:bookmarkEnd w:id="261"/>
    </w:p>
    <w:p w14:paraId="2AF6FBCC" w14:textId="77777777" w:rsidR="006179BB" w:rsidRPr="00C15715" w:rsidRDefault="006179BB" w:rsidP="006179BB">
      <w:pPr>
        <w:pStyle w:val="Default"/>
        <w:spacing w:before="120" w:after="120"/>
        <w:jc w:val="both"/>
        <w:rPr>
          <w:rFonts w:asciiTheme="minorHAnsi" w:hAnsiTheme="minorHAnsi" w:cstheme="minorHAnsi"/>
          <w:color w:val="auto"/>
        </w:rPr>
      </w:pPr>
      <w:r w:rsidRPr="00C15715">
        <w:rPr>
          <w:rFonts w:asciiTheme="minorHAnsi" w:hAnsiTheme="minorHAnsi" w:cstheme="minorHAnsi"/>
          <w:color w:val="auto"/>
        </w:rPr>
        <w:t xml:space="preserve">Enerģētiskā nabadzība ir īpašs nabadzības veids, kas saistīts ar virkni nelabvēlīgu ietekmju uz cilvēku veselību un labklājību, piemēram, ar elpceļu un sirds slimībām un garīgo veselību, kas saasinās zemas temperatūras un stresa dēļ, kas saistīts ar rēķiniem par gāzes, siltuma un elektroenerģiju, kurus iedzīvotāji nevar atļauties apmaksāt. Enerģētiskajai nabadzībai ir netieša ietekme uz vairākiem mājsaimniecību un iedzīvotāju labklājību raksturojošiem dzīves kvalitātes rādītājiem, ieskaitot veselību, vidi un produktivitāti. </w:t>
      </w:r>
    </w:p>
    <w:p w14:paraId="60269BD9" w14:textId="6F86AAEE" w:rsidR="006179BB" w:rsidRPr="00C15715" w:rsidRDefault="006179BB" w:rsidP="006179BB">
      <w:pPr>
        <w:spacing w:before="120" w:after="120" w:line="240" w:lineRule="auto"/>
        <w:jc w:val="both"/>
        <w:rPr>
          <w:rFonts w:cstheme="minorHAnsi"/>
        </w:rPr>
      </w:pPr>
      <w:r w:rsidRPr="00C15715">
        <w:rPr>
          <w:rFonts w:cstheme="minorHAnsi"/>
        </w:rPr>
        <w:t xml:space="preserve">2017.gadā siltuma nodrošināšana mājoklī naudas trūkuma dēļ bija liegta </w:t>
      </w:r>
      <w:r w:rsidRPr="00C15715">
        <w:rPr>
          <w:rFonts w:cstheme="minorHAnsi"/>
          <w:shd w:val="clear" w:color="auto" w:fill="FFFFFF"/>
        </w:rPr>
        <w:t xml:space="preserve"> 9,7%, bet 2018.gadā – 7,5%</w:t>
      </w:r>
      <w:r w:rsidRPr="00C15715">
        <w:rPr>
          <w:rStyle w:val="FootnoteReference"/>
          <w:rFonts w:cstheme="minorHAnsi"/>
          <w:shd w:val="clear" w:color="auto" w:fill="FFFFFF"/>
        </w:rPr>
        <w:footnoteReference w:id="88"/>
      </w:r>
      <w:r>
        <w:rPr>
          <w:rFonts w:cstheme="minorHAnsi"/>
          <w:shd w:val="clear" w:color="auto" w:fill="FFFFFF"/>
        </w:rPr>
        <w:t xml:space="preserve"> no visām Latvijas mājsaimniecībām</w:t>
      </w:r>
      <w:r w:rsidRPr="00C15715">
        <w:rPr>
          <w:rFonts w:cstheme="minorHAnsi"/>
        </w:rPr>
        <w:t xml:space="preserve">. Latvijā šis rādītājs 2017.gadā šis rādītājs bija sliktāks kā vidēji Eiropas Savienībā, kur vidēji šādas problēmas ir 7,8% iedzīvotāju, bet 2018.gadā šis rādītājs Latvijā ir labāks kā Eiropas Savienības vidējais rādītājs – 8%. Šis rādītājs kopumā ir uzlabojies periodā no 2005.gada, tomēr būtiski pasliktinājās 2009.-2011.g. periodā ekonomiskās lejupslīdes rezultātā, kur 2009.gadā šis rādītājs jau sasniedz 18% un 2013.gadā – 21%. </w:t>
      </w:r>
      <w:r w:rsidRPr="00C15715">
        <w:rPr>
          <w:rFonts w:cstheme="minorHAnsi"/>
          <w:szCs w:val="24"/>
          <w:shd w:val="clear" w:color="auto" w:fill="FFFFFF"/>
        </w:rPr>
        <w:t>Enerģētiskā nabadzība Latvijā ir īpaša problēma mājsaimniecībām, kas dzīvo sociālajās mā</w:t>
      </w:r>
      <w:r w:rsidR="00AE6D82">
        <w:rPr>
          <w:rFonts w:cstheme="minorHAnsi"/>
          <w:szCs w:val="24"/>
          <w:shd w:val="clear" w:color="auto" w:fill="FFFFFF"/>
        </w:rPr>
        <w:t>j</w:t>
      </w:r>
      <w:r w:rsidRPr="00C15715">
        <w:rPr>
          <w:rFonts w:cstheme="minorHAnsi"/>
          <w:szCs w:val="24"/>
          <w:shd w:val="clear" w:color="auto" w:fill="FFFFFF"/>
        </w:rPr>
        <w:t>ās / dzīvokļos, kur šis rādītājs 2017.gadā gandrīz sasniedz 21%.</w:t>
      </w:r>
    </w:p>
    <w:p w14:paraId="4435AC66" w14:textId="77777777" w:rsidR="006179BB" w:rsidRPr="00C15715" w:rsidRDefault="006179BB" w:rsidP="006179BB">
      <w:pPr>
        <w:spacing w:before="120" w:after="120" w:line="240" w:lineRule="auto"/>
        <w:jc w:val="both"/>
        <w:rPr>
          <w:rFonts w:cstheme="minorHAnsi"/>
          <w:sz w:val="22"/>
          <w:shd w:val="clear" w:color="auto" w:fill="FFFFFF"/>
        </w:rPr>
      </w:pPr>
      <w:r w:rsidRPr="00C15715">
        <w:rPr>
          <w:rFonts w:cstheme="minorHAnsi"/>
          <w:shd w:val="clear" w:color="auto" w:fill="FFFFFF"/>
        </w:rPr>
        <w:t>Šos rādītājus ir iespējams arī vērtēt ne tikai no visu iedzīvotāju īpatsvara, bet arī no nabadzības riskam pakļauto iedzīvotāju īpatsvara, ņemot vērā pašu mērķi. 2016.gadā no nabadzības riskam pakļautajiem iedzīvotājiem 22,7% naudas trūkuma dēļ nevarēja atļauties uzturēt siltu mājokli</w:t>
      </w:r>
      <w:r w:rsidRPr="00C15715">
        <w:rPr>
          <w:rStyle w:val="FootnoteReference"/>
          <w:rFonts w:cstheme="minorHAnsi"/>
          <w:shd w:val="clear" w:color="auto" w:fill="FFFFFF"/>
        </w:rPr>
        <w:footnoteReference w:id="89"/>
      </w:r>
      <w:r w:rsidRPr="00C15715">
        <w:rPr>
          <w:rFonts w:cstheme="minorHAnsi"/>
          <w:shd w:val="clear" w:color="auto" w:fill="FFFFFF"/>
        </w:rPr>
        <w:t xml:space="preserve">, kas ir vairāk kā divas reizes lielāks nekā no kopējā iedzīvotāju skaita. Turklāt situācija ir atšķirīga, ja analizē noteiktus mājsaimniecību veidus, kur dažiem mājsaimniecību veidiem parādās arī būtiskās atšķirības starp ES-28 rādītāju. </w:t>
      </w:r>
    </w:p>
    <w:p w14:paraId="5A23935A" w14:textId="4161B390" w:rsidR="006179BB" w:rsidRPr="00C15715" w:rsidRDefault="006179BB" w:rsidP="006179BB">
      <w:pPr>
        <w:pStyle w:val="Caption"/>
        <w:rPr>
          <w:rFonts w:asciiTheme="minorHAnsi" w:hAnsiTheme="minorHAnsi" w:cstheme="minorHAnsi"/>
          <w:i/>
          <w:shd w:val="clear" w:color="auto" w:fill="FFFFFF"/>
        </w:rPr>
      </w:pPr>
      <w:r w:rsidRPr="00C15715">
        <w:rPr>
          <w:rFonts w:asciiTheme="minorHAnsi" w:hAnsiTheme="minorHAnsi" w:cstheme="minorHAnsi"/>
          <w:noProof/>
        </w:rPr>
        <w:fldChar w:fldCharType="begin"/>
      </w:r>
      <w:r w:rsidRPr="00C15715">
        <w:rPr>
          <w:rFonts w:asciiTheme="minorHAnsi" w:hAnsiTheme="minorHAnsi" w:cstheme="minorHAnsi"/>
          <w:noProof/>
        </w:rPr>
        <w:instrText xml:space="preserve"> SEQ Tabula \* ARABIC </w:instrText>
      </w:r>
      <w:r w:rsidRPr="00C15715">
        <w:rPr>
          <w:rFonts w:asciiTheme="minorHAnsi" w:hAnsiTheme="minorHAnsi" w:cstheme="minorHAnsi"/>
          <w:noProof/>
        </w:rPr>
        <w:fldChar w:fldCharType="separate"/>
      </w:r>
      <w:r w:rsidR="006E6675">
        <w:rPr>
          <w:rFonts w:asciiTheme="minorHAnsi" w:hAnsiTheme="minorHAnsi" w:cstheme="minorHAnsi"/>
          <w:noProof/>
        </w:rPr>
        <w:t>10</w:t>
      </w:r>
      <w:r w:rsidRPr="00C15715">
        <w:rPr>
          <w:rFonts w:asciiTheme="minorHAnsi" w:hAnsiTheme="minorHAnsi" w:cstheme="minorHAnsi"/>
          <w:noProof/>
        </w:rPr>
        <w:fldChar w:fldCharType="end"/>
      </w:r>
      <w:r w:rsidRPr="00C15715">
        <w:rPr>
          <w:rFonts w:asciiTheme="minorHAnsi" w:hAnsiTheme="minorHAnsi" w:cstheme="minorHAnsi"/>
        </w:rPr>
        <w:t>.tabula. Mājsaimniecības, kuras naudas trūkuma dēļ nevarēja atļauties uzturēt siltu mājokli</w:t>
      </w:r>
      <w:r w:rsidRPr="00C15715">
        <w:rPr>
          <w:rFonts w:asciiTheme="minorHAnsi" w:hAnsiTheme="minorHAnsi" w:cstheme="minorHAnsi"/>
          <w:i/>
          <w:iCs w:val="0"/>
          <w:shd w:val="clear" w:color="auto" w:fill="FFFFFF"/>
        </w:rPr>
        <w:t xml:space="preserve"> (%)</w:t>
      </w:r>
      <w:r w:rsidRPr="00C15715">
        <w:rPr>
          <w:rStyle w:val="FootnoteReference"/>
          <w:rFonts w:asciiTheme="minorHAnsi" w:hAnsiTheme="minorHAnsi" w:cstheme="minorHAnsi"/>
          <w:i/>
          <w:iCs w:val="0"/>
          <w:shd w:val="clear" w:color="auto" w:fill="FFFFFF"/>
        </w:rPr>
        <w:footnoteReference w:id="90"/>
      </w:r>
    </w:p>
    <w:tbl>
      <w:tblPr>
        <w:tblW w:w="10206" w:type="dxa"/>
        <w:jc w:val="center"/>
        <w:tblLayout w:type="fixed"/>
        <w:tblLook w:val="04A0" w:firstRow="1" w:lastRow="0" w:firstColumn="1" w:lastColumn="0" w:noHBand="0" w:noVBand="1"/>
      </w:tblPr>
      <w:tblGrid>
        <w:gridCol w:w="709"/>
        <w:gridCol w:w="850"/>
        <w:gridCol w:w="790"/>
        <w:gridCol w:w="756"/>
        <w:gridCol w:w="756"/>
        <w:gridCol w:w="756"/>
        <w:gridCol w:w="910"/>
        <w:gridCol w:w="756"/>
        <w:gridCol w:w="663"/>
        <w:gridCol w:w="1006"/>
        <w:gridCol w:w="695"/>
        <w:gridCol w:w="708"/>
        <w:gridCol w:w="851"/>
      </w:tblGrid>
      <w:tr w:rsidR="006179BB" w:rsidRPr="00C15715" w14:paraId="00E812AA" w14:textId="77777777" w:rsidTr="006179BB">
        <w:trPr>
          <w:trHeight w:val="1095"/>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1D8DCC8" w14:textId="77777777" w:rsidR="006179BB" w:rsidRPr="00C15715" w:rsidRDefault="006179BB" w:rsidP="006179BB">
            <w:pPr>
              <w:spacing w:after="0" w:line="240" w:lineRule="auto"/>
              <w:jc w:val="center"/>
              <w:rPr>
                <w:rFonts w:eastAsia="Times New Roman" w:cstheme="minorHAnsi"/>
                <w:b/>
                <w:bCs/>
                <w:color w:val="000000"/>
                <w:sz w:val="20"/>
                <w:szCs w:val="20"/>
                <w:lang w:eastAsia="lv-LV"/>
              </w:rPr>
            </w:pPr>
          </w:p>
        </w:tc>
        <w:tc>
          <w:tcPr>
            <w:tcW w:w="1640" w:type="dxa"/>
            <w:gridSpan w:val="2"/>
            <w:tcBorders>
              <w:top w:val="single" w:sz="4" w:space="0" w:color="auto"/>
              <w:left w:val="nil"/>
              <w:bottom w:val="single" w:sz="4" w:space="0" w:color="auto"/>
              <w:right w:val="single" w:sz="4" w:space="0" w:color="auto"/>
            </w:tcBorders>
            <w:shd w:val="clear" w:color="auto" w:fill="auto"/>
            <w:vAlign w:val="center"/>
            <w:hideMark/>
          </w:tcPr>
          <w:p w14:paraId="179AAC84" w14:textId="77777777" w:rsidR="006179BB" w:rsidRPr="00C15715" w:rsidRDefault="006179BB" w:rsidP="006179BB">
            <w:pPr>
              <w:spacing w:after="0" w:line="240" w:lineRule="auto"/>
              <w:jc w:val="both"/>
              <w:rPr>
                <w:rFonts w:eastAsia="Times New Roman" w:cstheme="minorHAnsi"/>
                <w:sz w:val="20"/>
                <w:szCs w:val="20"/>
                <w:lang w:eastAsia="lv-LV"/>
              </w:rPr>
            </w:pPr>
            <w:r w:rsidRPr="00C15715">
              <w:rPr>
                <w:rFonts w:eastAsia="Times New Roman" w:cstheme="minorHAnsi"/>
                <w:sz w:val="20"/>
                <w:szCs w:val="20"/>
                <w:lang w:eastAsia="lv-LV"/>
              </w:rPr>
              <w:t>1-personas</w:t>
            </w:r>
          </w:p>
          <w:p w14:paraId="23D8FED9" w14:textId="77777777" w:rsidR="006179BB" w:rsidRPr="00C15715" w:rsidRDefault="006179BB" w:rsidP="006179BB">
            <w:pPr>
              <w:spacing w:after="0" w:line="240" w:lineRule="auto"/>
              <w:jc w:val="both"/>
              <w:rPr>
                <w:rFonts w:eastAsia="Times New Roman" w:cstheme="minorHAnsi"/>
                <w:sz w:val="20"/>
                <w:szCs w:val="20"/>
                <w:lang w:eastAsia="lv-LV"/>
              </w:rPr>
            </w:pPr>
            <w:r w:rsidRPr="00C15715">
              <w:rPr>
                <w:rFonts w:eastAsia="Times New Roman" w:cstheme="minorHAnsi"/>
                <w:sz w:val="20"/>
                <w:szCs w:val="20"/>
                <w:lang w:eastAsia="lv-LV"/>
              </w:rPr>
              <w:t xml:space="preserve">mājsaimn. </w:t>
            </w:r>
          </w:p>
          <w:p w14:paraId="56B59BD4" w14:textId="77777777" w:rsidR="006179BB" w:rsidRPr="00C15715" w:rsidRDefault="006179BB" w:rsidP="006179BB">
            <w:pPr>
              <w:spacing w:after="0" w:line="240" w:lineRule="auto"/>
              <w:jc w:val="both"/>
              <w:rPr>
                <w:rFonts w:eastAsia="Times New Roman" w:cstheme="minorHAnsi"/>
                <w:sz w:val="20"/>
                <w:szCs w:val="20"/>
                <w:lang w:eastAsia="lv-LV"/>
              </w:rPr>
            </w:pPr>
            <w:r w:rsidRPr="00C15715">
              <w:rPr>
                <w:rFonts w:eastAsia="Times New Roman" w:cstheme="minorHAnsi"/>
                <w:sz w:val="20"/>
                <w:szCs w:val="20"/>
                <w:lang w:eastAsia="lv-LV"/>
              </w:rPr>
              <w:t>(no visiem iedz.)</w:t>
            </w:r>
          </w:p>
        </w:tc>
        <w:tc>
          <w:tcPr>
            <w:tcW w:w="1512" w:type="dxa"/>
            <w:gridSpan w:val="2"/>
            <w:tcBorders>
              <w:top w:val="single" w:sz="4" w:space="0" w:color="auto"/>
              <w:left w:val="nil"/>
              <w:bottom w:val="single" w:sz="4" w:space="0" w:color="auto"/>
              <w:right w:val="single" w:sz="4" w:space="0" w:color="auto"/>
            </w:tcBorders>
            <w:shd w:val="clear" w:color="auto" w:fill="auto"/>
            <w:vAlign w:val="center"/>
            <w:hideMark/>
          </w:tcPr>
          <w:p w14:paraId="1027FB6B" w14:textId="77777777" w:rsidR="006179BB" w:rsidRPr="00C15715" w:rsidRDefault="006179BB" w:rsidP="006179BB">
            <w:pPr>
              <w:spacing w:after="0" w:line="240" w:lineRule="auto"/>
              <w:rPr>
                <w:rFonts w:eastAsia="Times New Roman" w:cstheme="minorHAnsi"/>
                <w:sz w:val="20"/>
                <w:szCs w:val="20"/>
                <w:lang w:eastAsia="lv-LV"/>
              </w:rPr>
            </w:pPr>
            <w:r w:rsidRPr="00C15715">
              <w:rPr>
                <w:rFonts w:eastAsia="Times New Roman" w:cstheme="minorHAnsi"/>
                <w:sz w:val="20"/>
                <w:szCs w:val="20"/>
                <w:lang w:eastAsia="lv-LV"/>
              </w:rPr>
              <w:t>1-personas</w:t>
            </w:r>
          </w:p>
          <w:p w14:paraId="68E504D2" w14:textId="77777777" w:rsidR="006179BB" w:rsidRPr="00C15715" w:rsidRDefault="006179BB" w:rsidP="006179BB">
            <w:pPr>
              <w:spacing w:after="0" w:line="240" w:lineRule="auto"/>
              <w:rPr>
                <w:rFonts w:eastAsia="Times New Roman" w:cstheme="minorHAnsi"/>
                <w:sz w:val="20"/>
                <w:szCs w:val="20"/>
                <w:lang w:eastAsia="lv-LV"/>
              </w:rPr>
            </w:pPr>
            <w:r w:rsidRPr="00C15715">
              <w:rPr>
                <w:rFonts w:eastAsia="Times New Roman" w:cstheme="minorHAnsi"/>
                <w:sz w:val="20"/>
                <w:szCs w:val="20"/>
                <w:lang w:eastAsia="lv-LV"/>
              </w:rPr>
              <w:t>mājsaimn.</w:t>
            </w:r>
          </w:p>
          <w:p w14:paraId="34F6DB09" w14:textId="77777777" w:rsidR="006179BB" w:rsidRPr="00C15715" w:rsidRDefault="006179BB" w:rsidP="006179BB">
            <w:pPr>
              <w:spacing w:after="0" w:line="240" w:lineRule="auto"/>
              <w:rPr>
                <w:rFonts w:eastAsia="Times New Roman" w:cstheme="minorHAnsi"/>
                <w:sz w:val="20"/>
                <w:szCs w:val="20"/>
                <w:lang w:eastAsia="lv-LV"/>
              </w:rPr>
            </w:pPr>
            <w:r w:rsidRPr="00C15715">
              <w:rPr>
                <w:rFonts w:eastAsia="Times New Roman" w:cstheme="minorHAnsi"/>
                <w:sz w:val="20"/>
                <w:szCs w:val="20"/>
                <w:lang w:eastAsia="lv-LV"/>
              </w:rPr>
              <w:t>(NRP</w:t>
            </w:r>
            <w:r w:rsidRPr="00C15715">
              <w:rPr>
                <w:rStyle w:val="FootnoteReference"/>
                <w:rFonts w:eastAsia="Times New Roman" w:cstheme="minorHAnsi"/>
                <w:sz w:val="20"/>
                <w:szCs w:val="20"/>
                <w:lang w:eastAsia="lv-LV"/>
              </w:rPr>
              <w:footnoteReference w:id="91"/>
            </w:r>
            <w:r w:rsidRPr="00C15715">
              <w:rPr>
                <w:rFonts w:eastAsia="Times New Roman" w:cstheme="minorHAnsi"/>
                <w:sz w:val="20"/>
                <w:szCs w:val="20"/>
                <w:lang w:eastAsia="lv-LV"/>
              </w:rPr>
              <w:t>)</w:t>
            </w:r>
          </w:p>
        </w:tc>
        <w:tc>
          <w:tcPr>
            <w:tcW w:w="1666" w:type="dxa"/>
            <w:gridSpan w:val="2"/>
            <w:tcBorders>
              <w:top w:val="single" w:sz="4" w:space="0" w:color="auto"/>
              <w:left w:val="nil"/>
              <w:bottom w:val="single" w:sz="4" w:space="0" w:color="auto"/>
              <w:right w:val="single" w:sz="4" w:space="0" w:color="auto"/>
            </w:tcBorders>
            <w:shd w:val="clear" w:color="auto" w:fill="auto"/>
            <w:vAlign w:val="center"/>
            <w:hideMark/>
          </w:tcPr>
          <w:p w14:paraId="7D3DAD93" w14:textId="77777777" w:rsidR="006179BB" w:rsidRPr="00C15715" w:rsidRDefault="006179BB" w:rsidP="006179BB">
            <w:pPr>
              <w:spacing w:after="0" w:line="240" w:lineRule="auto"/>
              <w:jc w:val="both"/>
              <w:rPr>
                <w:rFonts w:eastAsia="Times New Roman" w:cstheme="minorHAnsi"/>
                <w:sz w:val="20"/>
                <w:szCs w:val="20"/>
                <w:lang w:eastAsia="lv-LV"/>
              </w:rPr>
            </w:pPr>
            <w:r w:rsidRPr="00C15715">
              <w:rPr>
                <w:rFonts w:eastAsia="Times New Roman" w:cstheme="minorHAnsi"/>
                <w:sz w:val="20"/>
                <w:szCs w:val="20"/>
                <w:lang w:eastAsia="lv-LV"/>
              </w:rPr>
              <w:t>1-personas</w:t>
            </w:r>
          </w:p>
          <w:p w14:paraId="4238E147" w14:textId="77777777" w:rsidR="006179BB" w:rsidRPr="00C15715" w:rsidRDefault="006179BB" w:rsidP="006179BB">
            <w:pPr>
              <w:spacing w:after="0" w:line="240" w:lineRule="auto"/>
              <w:jc w:val="both"/>
              <w:rPr>
                <w:rFonts w:eastAsia="Times New Roman" w:cstheme="minorHAnsi"/>
                <w:sz w:val="20"/>
                <w:szCs w:val="20"/>
                <w:lang w:eastAsia="lv-LV"/>
              </w:rPr>
            </w:pPr>
            <w:r w:rsidRPr="00C15715">
              <w:rPr>
                <w:rFonts w:eastAsia="Times New Roman" w:cstheme="minorHAnsi"/>
                <w:sz w:val="20"/>
                <w:szCs w:val="20"/>
                <w:lang w:eastAsia="lv-LV"/>
              </w:rPr>
              <w:t>mājsaimn. &gt;65g.</w:t>
            </w:r>
          </w:p>
          <w:p w14:paraId="1B274AD2" w14:textId="77777777" w:rsidR="006179BB" w:rsidRPr="00C15715" w:rsidRDefault="006179BB" w:rsidP="006179BB">
            <w:pPr>
              <w:spacing w:after="0" w:line="240" w:lineRule="auto"/>
              <w:jc w:val="both"/>
              <w:rPr>
                <w:rFonts w:eastAsia="Times New Roman" w:cstheme="minorHAnsi"/>
                <w:sz w:val="20"/>
                <w:szCs w:val="20"/>
                <w:lang w:eastAsia="lv-LV"/>
              </w:rPr>
            </w:pPr>
            <w:r w:rsidRPr="00C15715">
              <w:rPr>
                <w:rFonts w:eastAsia="Times New Roman" w:cstheme="minorHAnsi"/>
                <w:sz w:val="20"/>
                <w:szCs w:val="20"/>
                <w:lang w:eastAsia="lv-LV"/>
              </w:rPr>
              <w:t>(no visiem iedz.)</w:t>
            </w:r>
          </w:p>
        </w:tc>
        <w:tc>
          <w:tcPr>
            <w:tcW w:w="1419" w:type="dxa"/>
            <w:gridSpan w:val="2"/>
            <w:tcBorders>
              <w:top w:val="single" w:sz="4" w:space="0" w:color="auto"/>
              <w:left w:val="nil"/>
              <w:bottom w:val="single" w:sz="4" w:space="0" w:color="auto"/>
              <w:right w:val="single" w:sz="4" w:space="0" w:color="auto"/>
            </w:tcBorders>
            <w:shd w:val="clear" w:color="auto" w:fill="auto"/>
            <w:vAlign w:val="center"/>
            <w:hideMark/>
          </w:tcPr>
          <w:p w14:paraId="4D6E0E97" w14:textId="77777777" w:rsidR="006179BB" w:rsidRPr="00C15715" w:rsidRDefault="006179BB" w:rsidP="006179BB">
            <w:pPr>
              <w:spacing w:after="0" w:line="240" w:lineRule="auto"/>
              <w:jc w:val="both"/>
              <w:rPr>
                <w:rFonts w:eastAsia="Times New Roman" w:cstheme="minorHAnsi"/>
                <w:sz w:val="20"/>
                <w:szCs w:val="20"/>
                <w:lang w:eastAsia="lv-LV"/>
              </w:rPr>
            </w:pPr>
            <w:r w:rsidRPr="00C15715">
              <w:rPr>
                <w:rFonts w:eastAsia="Times New Roman" w:cstheme="minorHAnsi"/>
                <w:sz w:val="20"/>
                <w:szCs w:val="20"/>
                <w:lang w:eastAsia="lv-LV"/>
              </w:rPr>
              <w:t>1-personas mājsaimn. &gt;65g. (NRP)</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12328875" w14:textId="77777777" w:rsidR="006179BB" w:rsidRPr="00C15715" w:rsidRDefault="006179BB" w:rsidP="006179BB">
            <w:pPr>
              <w:spacing w:after="0" w:line="240" w:lineRule="auto"/>
              <w:rPr>
                <w:rFonts w:eastAsia="Times New Roman" w:cstheme="minorHAnsi"/>
                <w:sz w:val="20"/>
                <w:szCs w:val="20"/>
                <w:lang w:eastAsia="lv-LV"/>
              </w:rPr>
            </w:pPr>
            <w:r w:rsidRPr="00C15715">
              <w:rPr>
                <w:rFonts w:eastAsia="Times New Roman" w:cstheme="minorHAnsi"/>
                <w:sz w:val="20"/>
                <w:szCs w:val="20"/>
                <w:lang w:eastAsia="lv-LV"/>
              </w:rPr>
              <w:t>Divi pieaugušie ar 2 apgādībā esošiem bērniem (NRP)</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14:paraId="37A99C90" w14:textId="77777777" w:rsidR="006179BB" w:rsidRPr="00C15715" w:rsidRDefault="006179BB" w:rsidP="006179BB">
            <w:pPr>
              <w:spacing w:after="0" w:line="240" w:lineRule="auto"/>
              <w:rPr>
                <w:rFonts w:eastAsia="Times New Roman" w:cstheme="minorHAnsi"/>
                <w:sz w:val="20"/>
                <w:szCs w:val="20"/>
                <w:lang w:eastAsia="lv-LV"/>
              </w:rPr>
            </w:pPr>
            <w:r w:rsidRPr="00C15715">
              <w:rPr>
                <w:rFonts w:eastAsia="Times New Roman" w:cstheme="minorHAnsi"/>
                <w:sz w:val="20"/>
                <w:szCs w:val="20"/>
                <w:lang w:eastAsia="lv-LV"/>
              </w:rPr>
              <w:t>Divi pieaugušie ar 3 apgādībā esošiem bērniem (NRP)</w:t>
            </w:r>
          </w:p>
        </w:tc>
      </w:tr>
      <w:tr w:rsidR="006179BB" w:rsidRPr="00C15715" w14:paraId="4D317AFF" w14:textId="77777777" w:rsidTr="006179BB">
        <w:trPr>
          <w:trHeight w:val="31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220A8C5" w14:textId="77777777" w:rsidR="006179BB" w:rsidRPr="00C15715" w:rsidRDefault="006179BB" w:rsidP="006179BB">
            <w:pPr>
              <w:spacing w:after="0" w:line="240" w:lineRule="auto"/>
              <w:rPr>
                <w:rFonts w:eastAsia="Times New Roman" w:cstheme="minorHAnsi"/>
                <w:b/>
                <w:bCs/>
                <w:color w:val="000000"/>
                <w:sz w:val="20"/>
                <w:szCs w:val="20"/>
                <w:lang w:eastAsia="lv-LV"/>
              </w:rPr>
            </w:pPr>
          </w:p>
        </w:tc>
        <w:tc>
          <w:tcPr>
            <w:tcW w:w="850" w:type="dxa"/>
            <w:tcBorders>
              <w:top w:val="nil"/>
              <w:left w:val="nil"/>
              <w:bottom w:val="single" w:sz="4" w:space="0" w:color="auto"/>
              <w:right w:val="single" w:sz="4" w:space="0" w:color="auto"/>
            </w:tcBorders>
            <w:shd w:val="clear" w:color="auto" w:fill="auto"/>
            <w:vAlign w:val="center"/>
            <w:hideMark/>
          </w:tcPr>
          <w:p w14:paraId="19F7836F"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LV</w:t>
            </w:r>
          </w:p>
        </w:tc>
        <w:tc>
          <w:tcPr>
            <w:tcW w:w="790" w:type="dxa"/>
            <w:tcBorders>
              <w:top w:val="nil"/>
              <w:left w:val="nil"/>
              <w:bottom w:val="single" w:sz="4" w:space="0" w:color="auto"/>
              <w:right w:val="single" w:sz="4" w:space="0" w:color="auto"/>
            </w:tcBorders>
            <w:shd w:val="clear" w:color="auto" w:fill="auto"/>
            <w:vAlign w:val="center"/>
            <w:hideMark/>
          </w:tcPr>
          <w:p w14:paraId="4779ED8D"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ES</w:t>
            </w:r>
          </w:p>
        </w:tc>
        <w:tc>
          <w:tcPr>
            <w:tcW w:w="756" w:type="dxa"/>
            <w:tcBorders>
              <w:top w:val="nil"/>
              <w:left w:val="nil"/>
              <w:bottom w:val="single" w:sz="4" w:space="0" w:color="auto"/>
              <w:right w:val="single" w:sz="4" w:space="0" w:color="auto"/>
            </w:tcBorders>
            <w:shd w:val="clear" w:color="auto" w:fill="auto"/>
            <w:vAlign w:val="center"/>
            <w:hideMark/>
          </w:tcPr>
          <w:p w14:paraId="2B9B04DA"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LV</w:t>
            </w:r>
          </w:p>
        </w:tc>
        <w:tc>
          <w:tcPr>
            <w:tcW w:w="756" w:type="dxa"/>
            <w:tcBorders>
              <w:top w:val="nil"/>
              <w:left w:val="nil"/>
              <w:bottom w:val="single" w:sz="4" w:space="0" w:color="auto"/>
              <w:right w:val="single" w:sz="4" w:space="0" w:color="auto"/>
            </w:tcBorders>
            <w:shd w:val="clear" w:color="auto" w:fill="auto"/>
            <w:vAlign w:val="center"/>
            <w:hideMark/>
          </w:tcPr>
          <w:p w14:paraId="7515F5BC"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ES</w:t>
            </w:r>
          </w:p>
        </w:tc>
        <w:tc>
          <w:tcPr>
            <w:tcW w:w="756" w:type="dxa"/>
            <w:tcBorders>
              <w:top w:val="nil"/>
              <w:left w:val="nil"/>
              <w:bottom w:val="single" w:sz="4" w:space="0" w:color="auto"/>
              <w:right w:val="single" w:sz="4" w:space="0" w:color="auto"/>
            </w:tcBorders>
            <w:shd w:val="clear" w:color="auto" w:fill="auto"/>
            <w:vAlign w:val="center"/>
            <w:hideMark/>
          </w:tcPr>
          <w:p w14:paraId="668125A1"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LV</w:t>
            </w:r>
          </w:p>
        </w:tc>
        <w:tc>
          <w:tcPr>
            <w:tcW w:w="910" w:type="dxa"/>
            <w:tcBorders>
              <w:top w:val="nil"/>
              <w:left w:val="nil"/>
              <w:bottom w:val="single" w:sz="4" w:space="0" w:color="auto"/>
              <w:right w:val="single" w:sz="4" w:space="0" w:color="auto"/>
            </w:tcBorders>
            <w:shd w:val="clear" w:color="auto" w:fill="auto"/>
            <w:vAlign w:val="center"/>
            <w:hideMark/>
          </w:tcPr>
          <w:p w14:paraId="038D86E8"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ES</w:t>
            </w:r>
          </w:p>
        </w:tc>
        <w:tc>
          <w:tcPr>
            <w:tcW w:w="756" w:type="dxa"/>
            <w:tcBorders>
              <w:top w:val="nil"/>
              <w:left w:val="nil"/>
              <w:bottom w:val="single" w:sz="4" w:space="0" w:color="auto"/>
              <w:right w:val="single" w:sz="4" w:space="0" w:color="auto"/>
            </w:tcBorders>
            <w:shd w:val="clear" w:color="auto" w:fill="auto"/>
            <w:vAlign w:val="center"/>
            <w:hideMark/>
          </w:tcPr>
          <w:p w14:paraId="677D1798"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LV</w:t>
            </w:r>
          </w:p>
        </w:tc>
        <w:tc>
          <w:tcPr>
            <w:tcW w:w="663" w:type="dxa"/>
            <w:tcBorders>
              <w:top w:val="nil"/>
              <w:left w:val="nil"/>
              <w:bottom w:val="single" w:sz="4" w:space="0" w:color="auto"/>
              <w:right w:val="single" w:sz="4" w:space="0" w:color="auto"/>
            </w:tcBorders>
            <w:shd w:val="clear" w:color="auto" w:fill="auto"/>
            <w:vAlign w:val="center"/>
            <w:hideMark/>
          </w:tcPr>
          <w:p w14:paraId="44FF0D97"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ES</w:t>
            </w:r>
          </w:p>
        </w:tc>
        <w:tc>
          <w:tcPr>
            <w:tcW w:w="1006" w:type="dxa"/>
            <w:tcBorders>
              <w:top w:val="nil"/>
              <w:left w:val="nil"/>
              <w:bottom w:val="single" w:sz="4" w:space="0" w:color="auto"/>
              <w:right w:val="single" w:sz="4" w:space="0" w:color="auto"/>
            </w:tcBorders>
            <w:shd w:val="clear" w:color="auto" w:fill="auto"/>
            <w:vAlign w:val="center"/>
            <w:hideMark/>
          </w:tcPr>
          <w:p w14:paraId="07B93EDD"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LV</w:t>
            </w:r>
          </w:p>
        </w:tc>
        <w:tc>
          <w:tcPr>
            <w:tcW w:w="695" w:type="dxa"/>
            <w:tcBorders>
              <w:top w:val="nil"/>
              <w:left w:val="nil"/>
              <w:bottom w:val="single" w:sz="4" w:space="0" w:color="auto"/>
              <w:right w:val="single" w:sz="4" w:space="0" w:color="auto"/>
            </w:tcBorders>
            <w:shd w:val="clear" w:color="auto" w:fill="auto"/>
            <w:vAlign w:val="center"/>
            <w:hideMark/>
          </w:tcPr>
          <w:p w14:paraId="68AD5210"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ES</w:t>
            </w:r>
          </w:p>
        </w:tc>
        <w:tc>
          <w:tcPr>
            <w:tcW w:w="708" w:type="dxa"/>
            <w:tcBorders>
              <w:top w:val="nil"/>
              <w:left w:val="nil"/>
              <w:bottom w:val="single" w:sz="4" w:space="0" w:color="auto"/>
              <w:right w:val="single" w:sz="4" w:space="0" w:color="auto"/>
            </w:tcBorders>
            <w:shd w:val="clear" w:color="auto" w:fill="auto"/>
            <w:vAlign w:val="center"/>
            <w:hideMark/>
          </w:tcPr>
          <w:p w14:paraId="5C322F57"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LV</w:t>
            </w:r>
          </w:p>
        </w:tc>
        <w:tc>
          <w:tcPr>
            <w:tcW w:w="851" w:type="dxa"/>
            <w:tcBorders>
              <w:top w:val="nil"/>
              <w:left w:val="nil"/>
              <w:bottom w:val="single" w:sz="4" w:space="0" w:color="auto"/>
              <w:right w:val="single" w:sz="4" w:space="0" w:color="auto"/>
            </w:tcBorders>
            <w:shd w:val="clear" w:color="auto" w:fill="auto"/>
            <w:vAlign w:val="center"/>
            <w:hideMark/>
          </w:tcPr>
          <w:p w14:paraId="0C4EFC4B" w14:textId="77777777" w:rsidR="006179BB" w:rsidRPr="00C15715" w:rsidRDefault="006179BB" w:rsidP="006179BB">
            <w:pPr>
              <w:spacing w:after="0" w:line="240" w:lineRule="auto"/>
              <w:jc w:val="center"/>
              <w:rPr>
                <w:rFonts w:eastAsia="Times New Roman" w:cstheme="minorHAnsi"/>
                <w:b/>
                <w:bCs/>
                <w:sz w:val="20"/>
                <w:szCs w:val="20"/>
                <w:lang w:eastAsia="lv-LV"/>
              </w:rPr>
            </w:pPr>
            <w:r w:rsidRPr="00C15715">
              <w:rPr>
                <w:rFonts w:eastAsia="Times New Roman" w:cstheme="minorHAnsi"/>
                <w:b/>
                <w:bCs/>
                <w:sz w:val="20"/>
                <w:szCs w:val="20"/>
                <w:lang w:eastAsia="lv-LV"/>
              </w:rPr>
              <w:t>ES</w:t>
            </w:r>
          </w:p>
        </w:tc>
      </w:tr>
      <w:tr w:rsidR="006179BB" w:rsidRPr="00C15715" w14:paraId="537AC13A" w14:textId="77777777" w:rsidTr="006179BB">
        <w:trPr>
          <w:trHeight w:val="315"/>
          <w:jc w:val="center"/>
        </w:trPr>
        <w:tc>
          <w:tcPr>
            <w:tcW w:w="709" w:type="dxa"/>
            <w:tcBorders>
              <w:top w:val="nil"/>
              <w:left w:val="single" w:sz="4" w:space="0" w:color="auto"/>
              <w:bottom w:val="single" w:sz="4" w:space="0" w:color="auto"/>
              <w:right w:val="single" w:sz="4" w:space="0" w:color="auto"/>
            </w:tcBorders>
            <w:shd w:val="clear" w:color="000000" w:fill="F2F2F2"/>
            <w:vAlign w:val="center"/>
            <w:hideMark/>
          </w:tcPr>
          <w:p w14:paraId="7E4879DA" w14:textId="77777777" w:rsidR="006179BB" w:rsidRPr="00C15715" w:rsidRDefault="006179BB" w:rsidP="006179BB">
            <w:pPr>
              <w:spacing w:after="0" w:line="240" w:lineRule="auto"/>
              <w:jc w:val="center"/>
              <w:rPr>
                <w:rFonts w:eastAsia="Times New Roman" w:cstheme="minorHAnsi"/>
                <w:b/>
                <w:bCs/>
                <w:color w:val="000000"/>
                <w:szCs w:val="24"/>
                <w:lang w:eastAsia="lv-LV"/>
              </w:rPr>
            </w:pPr>
            <w:r w:rsidRPr="00C15715">
              <w:rPr>
                <w:rFonts w:eastAsia="Times New Roman" w:cstheme="minorHAnsi"/>
                <w:b/>
                <w:bCs/>
                <w:color w:val="000000"/>
                <w:szCs w:val="24"/>
                <w:lang w:eastAsia="lv-LV"/>
              </w:rPr>
              <w:t>2016</w:t>
            </w:r>
          </w:p>
        </w:tc>
        <w:tc>
          <w:tcPr>
            <w:tcW w:w="850" w:type="dxa"/>
            <w:tcBorders>
              <w:top w:val="nil"/>
              <w:left w:val="nil"/>
              <w:bottom w:val="single" w:sz="4" w:space="0" w:color="auto"/>
              <w:right w:val="single" w:sz="4" w:space="0" w:color="auto"/>
            </w:tcBorders>
            <w:shd w:val="clear" w:color="auto" w:fill="auto"/>
            <w:vAlign w:val="center"/>
            <w:hideMark/>
          </w:tcPr>
          <w:p w14:paraId="3D778BA5"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20,1</w:t>
            </w:r>
          </w:p>
        </w:tc>
        <w:tc>
          <w:tcPr>
            <w:tcW w:w="790" w:type="dxa"/>
            <w:tcBorders>
              <w:top w:val="nil"/>
              <w:left w:val="nil"/>
              <w:bottom w:val="single" w:sz="4" w:space="0" w:color="auto"/>
              <w:right w:val="single" w:sz="4" w:space="0" w:color="auto"/>
            </w:tcBorders>
            <w:shd w:val="clear" w:color="auto" w:fill="auto"/>
            <w:vAlign w:val="center"/>
            <w:hideMark/>
          </w:tcPr>
          <w:p w14:paraId="2E34FEB3"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10,9</w:t>
            </w:r>
          </w:p>
        </w:tc>
        <w:tc>
          <w:tcPr>
            <w:tcW w:w="756" w:type="dxa"/>
            <w:tcBorders>
              <w:top w:val="nil"/>
              <w:left w:val="nil"/>
              <w:bottom w:val="single" w:sz="4" w:space="0" w:color="auto"/>
              <w:right w:val="single" w:sz="4" w:space="0" w:color="auto"/>
            </w:tcBorders>
            <w:shd w:val="clear" w:color="auto" w:fill="auto"/>
            <w:vAlign w:val="center"/>
            <w:hideMark/>
          </w:tcPr>
          <w:p w14:paraId="421BF6FD"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27,8</w:t>
            </w:r>
          </w:p>
        </w:tc>
        <w:tc>
          <w:tcPr>
            <w:tcW w:w="756" w:type="dxa"/>
            <w:tcBorders>
              <w:top w:val="nil"/>
              <w:left w:val="nil"/>
              <w:bottom w:val="single" w:sz="4" w:space="0" w:color="auto"/>
              <w:right w:val="single" w:sz="4" w:space="0" w:color="auto"/>
            </w:tcBorders>
            <w:shd w:val="clear" w:color="auto" w:fill="auto"/>
            <w:vAlign w:val="center"/>
            <w:hideMark/>
          </w:tcPr>
          <w:p w14:paraId="45DF1935"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19,3</w:t>
            </w:r>
          </w:p>
        </w:tc>
        <w:tc>
          <w:tcPr>
            <w:tcW w:w="756" w:type="dxa"/>
            <w:tcBorders>
              <w:top w:val="nil"/>
              <w:left w:val="nil"/>
              <w:bottom w:val="single" w:sz="4" w:space="0" w:color="auto"/>
              <w:right w:val="single" w:sz="4" w:space="0" w:color="auto"/>
            </w:tcBorders>
            <w:shd w:val="clear" w:color="auto" w:fill="auto"/>
            <w:vAlign w:val="center"/>
            <w:hideMark/>
          </w:tcPr>
          <w:p w14:paraId="1AD6E32B"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22,6</w:t>
            </w:r>
          </w:p>
        </w:tc>
        <w:tc>
          <w:tcPr>
            <w:tcW w:w="910" w:type="dxa"/>
            <w:tcBorders>
              <w:top w:val="nil"/>
              <w:left w:val="nil"/>
              <w:bottom w:val="single" w:sz="4" w:space="0" w:color="auto"/>
              <w:right w:val="single" w:sz="4" w:space="0" w:color="auto"/>
            </w:tcBorders>
            <w:shd w:val="clear" w:color="auto" w:fill="auto"/>
            <w:vAlign w:val="center"/>
            <w:hideMark/>
          </w:tcPr>
          <w:p w14:paraId="40D5A517"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10,5</w:t>
            </w:r>
          </w:p>
        </w:tc>
        <w:tc>
          <w:tcPr>
            <w:tcW w:w="756" w:type="dxa"/>
            <w:tcBorders>
              <w:top w:val="nil"/>
              <w:left w:val="nil"/>
              <w:bottom w:val="single" w:sz="4" w:space="0" w:color="auto"/>
              <w:right w:val="single" w:sz="4" w:space="0" w:color="auto"/>
            </w:tcBorders>
            <w:shd w:val="clear" w:color="auto" w:fill="auto"/>
            <w:vAlign w:val="center"/>
            <w:hideMark/>
          </w:tcPr>
          <w:p w14:paraId="5F2B2D3C"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34,5</w:t>
            </w:r>
          </w:p>
        </w:tc>
        <w:tc>
          <w:tcPr>
            <w:tcW w:w="663" w:type="dxa"/>
            <w:tcBorders>
              <w:top w:val="nil"/>
              <w:left w:val="nil"/>
              <w:bottom w:val="single" w:sz="4" w:space="0" w:color="auto"/>
              <w:right w:val="single" w:sz="4" w:space="0" w:color="auto"/>
            </w:tcBorders>
            <w:shd w:val="clear" w:color="auto" w:fill="auto"/>
            <w:vAlign w:val="center"/>
            <w:hideMark/>
          </w:tcPr>
          <w:p w14:paraId="16733463"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20,6</w:t>
            </w:r>
          </w:p>
        </w:tc>
        <w:tc>
          <w:tcPr>
            <w:tcW w:w="1006" w:type="dxa"/>
            <w:tcBorders>
              <w:top w:val="nil"/>
              <w:left w:val="nil"/>
              <w:bottom w:val="single" w:sz="4" w:space="0" w:color="auto"/>
              <w:right w:val="single" w:sz="4" w:space="0" w:color="auto"/>
            </w:tcBorders>
            <w:shd w:val="clear" w:color="auto" w:fill="auto"/>
            <w:vAlign w:val="center"/>
            <w:hideMark/>
          </w:tcPr>
          <w:p w14:paraId="5CAD686B"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15,8</w:t>
            </w:r>
          </w:p>
        </w:tc>
        <w:tc>
          <w:tcPr>
            <w:tcW w:w="695" w:type="dxa"/>
            <w:tcBorders>
              <w:top w:val="nil"/>
              <w:left w:val="nil"/>
              <w:bottom w:val="single" w:sz="4" w:space="0" w:color="auto"/>
              <w:right w:val="single" w:sz="4" w:space="0" w:color="auto"/>
            </w:tcBorders>
            <w:shd w:val="clear" w:color="auto" w:fill="auto"/>
            <w:vAlign w:val="center"/>
            <w:hideMark/>
          </w:tcPr>
          <w:p w14:paraId="038BC264"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17,6</w:t>
            </w:r>
          </w:p>
        </w:tc>
        <w:tc>
          <w:tcPr>
            <w:tcW w:w="708" w:type="dxa"/>
            <w:tcBorders>
              <w:top w:val="nil"/>
              <w:left w:val="nil"/>
              <w:bottom w:val="single" w:sz="4" w:space="0" w:color="auto"/>
              <w:right w:val="single" w:sz="4" w:space="0" w:color="auto"/>
            </w:tcBorders>
            <w:shd w:val="clear" w:color="auto" w:fill="auto"/>
            <w:vAlign w:val="center"/>
            <w:hideMark/>
          </w:tcPr>
          <w:p w14:paraId="23AD30ED"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28,4</w:t>
            </w:r>
          </w:p>
        </w:tc>
        <w:tc>
          <w:tcPr>
            <w:tcW w:w="851" w:type="dxa"/>
            <w:tcBorders>
              <w:top w:val="nil"/>
              <w:left w:val="nil"/>
              <w:bottom w:val="single" w:sz="4" w:space="0" w:color="auto"/>
              <w:right w:val="single" w:sz="4" w:space="0" w:color="auto"/>
            </w:tcBorders>
            <w:shd w:val="clear" w:color="auto" w:fill="auto"/>
            <w:vAlign w:val="center"/>
            <w:hideMark/>
          </w:tcPr>
          <w:p w14:paraId="463AA939"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21,7</w:t>
            </w:r>
          </w:p>
        </w:tc>
      </w:tr>
      <w:tr w:rsidR="006179BB" w:rsidRPr="00C15715" w14:paraId="19A8CCD8" w14:textId="77777777" w:rsidTr="006179BB">
        <w:trPr>
          <w:trHeight w:val="315"/>
          <w:jc w:val="center"/>
        </w:trPr>
        <w:tc>
          <w:tcPr>
            <w:tcW w:w="709" w:type="dxa"/>
            <w:tcBorders>
              <w:top w:val="nil"/>
              <w:left w:val="single" w:sz="4" w:space="0" w:color="auto"/>
              <w:bottom w:val="single" w:sz="4" w:space="0" w:color="auto"/>
              <w:right w:val="single" w:sz="4" w:space="0" w:color="auto"/>
            </w:tcBorders>
            <w:shd w:val="clear" w:color="000000" w:fill="F2F2F2"/>
            <w:vAlign w:val="center"/>
            <w:hideMark/>
          </w:tcPr>
          <w:p w14:paraId="2753BFE3" w14:textId="77777777" w:rsidR="006179BB" w:rsidRPr="00C15715" w:rsidRDefault="006179BB" w:rsidP="006179BB">
            <w:pPr>
              <w:spacing w:after="0" w:line="240" w:lineRule="auto"/>
              <w:jc w:val="center"/>
              <w:rPr>
                <w:rFonts w:eastAsia="Times New Roman" w:cstheme="minorHAnsi"/>
                <w:b/>
                <w:bCs/>
                <w:color w:val="000000"/>
                <w:szCs w:val="24"/>
                <w:lang w:eastAsia="lv-LV"/>
              </w:rPr>
            </w:pPr>
            <w:r w:rsidRPr="00C15715">
              <w:rPr>
                <w:rFonts w:eastAsia="Times New Roman" w:cstheme="minorHAnsi"/>
                <w:b/>
                <w:bCs/>
                <w:color w:val="000000"/>
                <w:szCs w:val="24"/>
                <w:lang w:eastAsia="lv-LV"/>
              </w:rPr>
              <w:t>2017</w:t>
            </w:r>
          </w:p>
        </w:tc>
        <w:tc>
          <w:tcPr>
            <w:tcW w:w="850" w:type="dxa"/>
            <w:tcBorders>
              <w:top w:val="nil"/>
              <w:left w:val="nil"/>
              <w:bottom w:val="single" w:sz="4" w:space="0" w:color="auto"/>
              <w:right w:val="single" w:sz="4" w:space="0" w:color="auto"/>
            </w:tcBorders>
            <w:shd w:val="clear" w:color="auto" w:fill="auto"/>
            <w:vAlign w:val="center"/>
            <w:hideMark/>
          </w:tcPr>
          <w:p w14:paraId="52F53DEE"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16,8</w:t>
            </w:r>
          </w:p>
        </w:tc>
        <w:tc>
          <w:tcPr>
            <w:tcW w:w="790" w:type="dxa"/>
            <w:tcBorders>
              <w:top w:val="nil"/>
              <w:left w:val="nil"/>
              <w:bottom w:val="single" w:sz="4" w:space="0" w:color="auto"/>
              <w:right w:val="single" w:sz="4" w:space="0" w:color="auto"/>
            </w:tcBorders>
            <w:shd w:val="clear" w:color="auto" w:fill="auto"/>
            <w:vAlign w:val="center"/>
            <w:hideMark/>
          </w:tcPr>
          <w:p w14:paraId="2555C4D4"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10,7</w:t>
            </w:r>
          </w:p>
        </w:tc>
        <w:tc>
          <w:tcPr>
            <w:tcW w:w="756" w:type="dxa"/>
            <w:tcBorders>
              <w:top w:val="nil"/>
              <w:left w:val="nil"/>
              <w:bottom w:val="single" w:sz="4" w:space="0" w:color="auto"/>
              <w:right w:val="single" w:sz="4" w:space="0" w:color="auto"/>
            </w:tcBorders>
            <w:shd w:val="clear" w:color="auto" w:fill="auto"/>
            <w:vAlign w:val="center"/>
            <w:hideMark/>
          </w:tcPr>
          <w:p w14:paraId="666CCC09"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23,8</w:t>
            </w:r>
          </w:p>
        </w:tc>
        <w:tc>
          <w:tcPr>
            <w:tcW w:w="756" w:type="dxa"/>
            <w:tcBorders>
              <w:top w:val="nil"/>
              <w:left w:val="nil"/>
              <w:bottom w:val="single" w:sz="4" w:space="0" w:color="auto"/>
              <w:right w:val="single" w:sz="4" w:space="0" w:color="auto"/>
            </w:tcBorders>
            <w:shd w:val="clear" w:color="auto" w:fill="auto"/>
            <w:vAlign w:val="center"/>
            <w:hideMark/>
          </w:tcPr>
          <w:p w14:paraId="76DC58FF"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19,7</w:t>
            </w:r>
          </w:p>
        </w:tc>
        <w:tc>
          <w:tcPr>
            <w:tcW w:w="756" w:type="dxa"/>
            <w:tcBorders>
              <w:top w:val="nil"/>
              <w:left w:val="nil"/>
              <w:bottom w:val="single" w:sz="4" w:space="0" w:color="auto"/>
              <w:right w:val="single" w:sz="4" w:space="0" w:color="auto"/>
            </w:tcBorders>
            <w:shd w:val="clear" w:color="auto" w:fill="auto"/>
            <w:vAlign w:val="center"/>
            <w:hideMark/>
          </w:tcPr>
          <w:p w14:paraId="7E4F25C5"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19,6</w:t>
            </w:r>
          </w:p>
        </w:tc>
        <w:tc>
          <w:tcPr>
            <w:tcW w:w="910" w:type="dxa"/>
            <w:tcBorders>
              <w:top w:val="nil"/>
              <w:left w:val="nil"/>
              <w:bottom w:val="single" w:sz="4" w:space="0" w:color="auto"/>
              <w:right w:val="single" w:sz="4" w:space="0" w:color="auto"/>
            </w:tcBorders>
            <w:shd w:val="clear" w:color="auto" w:fill="auto"/>
            <w:vAlign w:val="center"/>
            <w:hideMark/>
          </w:tcPr>
          <w:p w14:paraId="3D68EF93"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10,7</w:t>
            </w:r>
          </w:p>
        </w:tc>
        <w:tc>
          <w:tcPr>
            <w:tcW w:w="756" w:type="dxa"/>
            <w:tcBorders>
              <w:top w:val="nil"/>
              <w:left w:val="nil"/>
              <w:bottom w:val="single" w:sz="4" w:space="0" w:color="auto"/>
              <w:right w:val="single" w:sz="4" w:space="0" w:color="auto"/>
            </w:tcBorders>
            <w:shd w:val="clear" w:color="auto" w:fill="auto"/>
            <w:vAlign w:val="center"/>
            <w:hideMark/>
          </w:tcPr>
          <w:p w14:paraId="7DBBC1BA"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27,8</w:t>
            </w:r>
          </w:p>
        </w:tc>
        <w:tc>
          <w:tcPr>
            <w:tcW w:w="663" w:type="dxa"/>
            <w:tcBorders>
              <w:top w:val="nil"/>
              <w:left w:val="nil"/>
              <w:bottom w:val="single" w:sz="4" w:space="0" w:color="auto"/>
              <w:right w:val="single" w:sz="4" w:space="0" w:color="auto"/>
            </w:tcBorders>
            <w:shd w:val="clear" w:color="auto" w:fill="auto"/>
            <w:vAlign w:val="center"/>
            <w:hideMark/>
          </w:tcPr>
          <w:p w14:paraId="2703E8EB"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20,3</w:t>
            </w:r>
          </w:p>
        </w:tc>
        <w:tc>
          <w:tcPr>
            <w:tcW w:w="1006" w:type="dxa"/>
            <w:tcBorders>
              <w:top w:val="nil"/>
              <w:left w:val="nil"/>
              <w:bottom w:val="single" w:sz="4" w:space="0" w:color="auto"/>
              <w:right w:val="single" w:sz="4" w:space="0" w:color="auto"/>
            </w:tcBorders>
            <w:shd w:val="clear" w:color="auto" w:fill="auto"/>
            <w:vAlign w:val="center"/>
            <w:hideMark/>
          </w:tcPr>
          <w:p w14:paraId="5C0B4C05"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23,5</w:t>
            </w:r>
          </w:p>
        </w:tc>
        <w:tc>
          <w:tcPr>
            <w:tcW w:w="695" w:type="dxa"/>
            <w:tcBorders>
              <w:top w:val="nil"/>
              <w:left w:val="nil"/>
              <w:bottom w:val="single" w:sz="4" w:space="0" w:color="auto"/>
              <w:right w:val="single" w:sz="4" w:space="0" w:color="auto"/>
            </w:tcBorders>
            <w:shd w:val="clear" w:color="auto" w:fill="auto"/>
            <w:vAlign w:val="center"/>
            <w:hideMark/>
          </w:tcPr>
          <w:p w14:paraId="3870550D"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16,8</w:t>
            </w:r>
          </w:p>
        </w:tc>
        <w:tc>
          <w:tcPr>
            <w:tcW w:w="708" w:type="dxa"/>
            <w:tcBorders>
              <w:top w:val="nil"/>
              <w:left w:val="nil"/>
              <w:bottom w:val="single" w:sz="4" w:space="0" w:color="auto"/>
              <w:right w:val="single" w:sz="4" w:space="0" w:color="auto"/>
            </w:tcBorders>
            <w:shd w:val="clear" w:color="auto" w:fill="auto"/>
            <w:vAlign w:val="center"/>
            <w:hideMark/>
          </w:tcPr>
          <w:p w14:paraId="487BA984"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26,8</w:t>
            </w:r>
          </w:p>
        </w:tc>
        <w:tc>
          <w:tcPr>
            <w:tcW w:w="851" w:type="dxa"/>
            <w:tcBorders>
              <w:top w:val="nil"/>
              <w:left w:val="nil"/>
              <w:bottom w:val="single" w:sz="4" w:space="0" w:color="auto"/>
              <w:right w:val="single" w:sz="4" w:space="0" w:color="auto"/>
            </w:tcBorders>
            <w:shd w:val="clear" w:color="auto" w:fill="auto"/>
            <w:vAlign w:val="center"/>
            <w:hideMark/>
          </w:tcPr>
          <w:p w14:paraId="4B2305F8"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18,4</w:t>
            </w:r>
          </w:p>
        </w:tc>
      </w:tr>
    </w:tbl>
    <w:p w14:paraId="7BC73476" w14:textId="43FD2A08" w:rsidR="006179BB" w:rsidRDefault="006179BB" w:rsidP="006179BB">
      <w:pPr>
        <w:spacing w:before="120" w:after="120" w:line="240" w:lineRule="auto"/>
        <w:jc w:val="both"/>
        <w:rPr>
          <w:rFonts w:cstheme="minorHAnsi"/>
          <w:iCs/>
          <w:szCs w:val="24"/>
        </w:rPr>
      </w:pPr>
      <w:r w:rsidRPr="00C15715">
        <w:rPr>
          <w:rFonts w:cstheme="minorHAnsi"/>
          <w:szCs w:val="24"/>
        </w:rPr>
        <w:t xml:space="preserve">Savukārt atbalsts dzīvokļa jautājumu risināšanā parāda gan dzīvokļa pabalsta saņēmēju skaitu, dzīvokļa pabalsta vidējos apmērus un šim mērķim izlietotos līdzekļus. 2017.gadā dzīvokļa pabalstu saņēma 93,7 tūkstoši iedzīvotāju  (4,8 % no iedzīvotājiem kopumā). Dzīvokļa pabalsta vidējais apmērs gadā vienai personai ir 177 </w:t>
      </w:r>
      <w:r w:rsidR="00A45809">
        <w:rPr>
          <w:rFonts w:cstheme="minorHAnsi"/>
          <w:szCs w:val="24"/>
        </w:rPr>
        <w:t>EUR</w:t>
      </w:r>
      <w:r w:rsidR="00A45809" w:rsidRPr="00C15715">
        <w:rPr>
          <w:rFonts w:cstheme="minorHAnsi"/>
          <w:szCs w:val="24"/>
        </w:rPr>
        <w:t xml:space="preserve"> </w:t>
      </w:r>
      <w:r w:rsidRPr="00C15715">
        <w:rPr>
          <w:rFonts w:cstheme="minorHAnsi"/>
          <w:szCs w:val="24"/>
        </w:rPr>
        <w:t xml:space="preserve">un dzīvokļa pabalstam pašvaldības pērn izlietoja 16,5 miljonus </w:t>
      </w:r>
      <w:r w:rsidRPr="00C15715">
        <w:rPr>
          <w:rFonts w:cstheme="minorHAnsi"/>
          <w:iCs/>
          <w:szCs w:val="24"/>
        </w:rPr>
        <w:t>EUR.</w:t>
      </w:r>
    </w:p>
    <w:p w14:paraId="24348356" w14:textId="77777777" w:rsidR="006179BB" w:rsidRPr="00C15715" w:rsidRDefault="006179BB" w:rsidP="006179BB">
      <w:pPr>
        <w:rPr>
          <w:rFonts w:cstheme="minorHAnsi"/>
          <w:iCs/>
          <w:szCs w:val="24"/>
        </w:rPr>
      </w:pPr>
      <w:r>
        <w:rPr>
          <w:rFonts w:eastAsia="Calibri" w:cstheme="minorHAnsi"/>
          <w:szCs w:val="24"/>
        </w:rPr>
        <w:t>Enerģētiskās nabadzības mazināšanas risinājumi tiek izstrādāti, īstenojot VPP “Enerģētika” konkursa “</w:t>
      </w:r>
      <w:r w:rsidRPr="001F11E9">
        <w:rPr>
          <w:rFonts w:eastAsia="Calibri" w:cstheme="minorHAnsi"/>
          <w:szCs w:val="24"/>
        </w:rPr>
        <w:t>Ilgtspējīga enerģētikas infrastruktūra un tirgus”</w:t>
      </w:r>
      <w:r>
        <w:rPr>
          <w:rFonts w:eastAsia="Calibri" w:cstheme="minorHAnsi"/>
          <w:szCs w:val="24"/>
        </w:rPr>
        <w:t xml:space="preserve">, kura ietvaros tiks veikts </w:t>
      </w:r>
      <w:r w:rsidRPr="009949B9">
        <w:rPr>
          <w:rFonts w:eastAsia="Calibri" w:cstheme="minorHAnsi"/>
          <w:szCs w:val="24"/>
        </w:rPr>
        <w:t>enerģētiskās</w:t>
      </w:r>
      <w:r>
        <w:rPr>
          <w:rFonts w:eastAsia="Calibri" w:cstheme="minorHAnsi"/>
          <w:szCs w:val="24"/>
        </w:rPr>
        <w:t xml:space="preserve"> </w:t>
      </w:r>
      <w:r w:rsidRPr="009949B9">
        <w:rPr>
          <w:rFonts w:eastAsia="Calibri" w:cstheme="minorHAnsi"/>
          <w:szCs w:val="24"/>
        </w:rPr>
        <w:t>nabadzības situācijas Latvijā novērtējums, definēts enerģētiskās nabadzības</w:t>
      </w:r>
      <w:r>
        <w:rPr>
          <w:rFonts w:eastAsia="Calibri" w:cstheme="minorHAnsi"/>
          <w:szCs w:val="24"/>
        </w:rPr>
        <w:t xml:space="preserve"> </w:t>
      </w:r>
      <w:r w:rsidRPr="009949B9">
        <w:rPr>
          <w:rFonts w:eastAsia="Calibri" w:cstheme="minorHAnsi"/>
          <w:szCs w:val="24"/>
        </w:rPr>
        <w:t>jēdziens, tostarp izstrādāti enerģētiskās nabadzības kritēriji Latvijai, un,</w:t>
      </w:r>
      <w:r>
        <w:rPr>
          <w:rFonts w:eastAsia="Calibri" w:cstheme="minorHAnsi"/>
          <w:szCs w:val="24"/>
        </w:rPr>
        <w:t xml:space="preserve"> </w:t>
      </w:r>
      <w:r w:rsidRPr="009949B9">
        <w:rPr>
          <w:rFonts w:eastAsia="Calibri" w:cstheme="minorHAnsi"/>
          <w:szCs w:val="24"/>
        </w:rPr>
        <w:t>balstoties uz izstrādātajiem kritērijiem, identificētas enerģētiskās nabadzības</w:t>
      </w:r>
      <w:r>
        <w:rPr>
          <w:rFonts w:eastAsia="Calibri" w:cstheme="minorHAnsi"/>
          <w:szCs w:val="24"/>
        </w:rPr>
        <w:t xml:space="preserve"> </w:t>
      </w:r>
      <w:r w:rsidRPr="009949B9">
        <w:rPr>
          <w:rFonts w:eastAsia="Calibri" w:cstheme="minorHAnsi"/>
          <w:szCs w:val="24"/>
        </w:rPr>
        <w:t>riskam pakļautās sociālās grupas</w:t>
      </w:r>
      <w:r>
        <w:rPr>
          <w:rFonts w:eastAsia="Calibri" w:cstheme="minorHAnsi"/>
          <w:szCs w:val="24"/>
        </w:rPr>
        <w:t xml:space="preserve">. Ir paredzēts, ka minētais konkurss tiks pabeigts 2021.gadā, un tā rezultāti tiks iestrādāti Plāna aktualizācijā 2022.-2023.gadā. Tāpat </w:t>
      </w:r>
      <w:r>
        <w:t xml:space="preserve">“Latvijas Patērētāju interešu aizstāvības asociācija” sadarbībā ar SIA “Jelgavas nekustamā īpašuma pārvaldi” piedalās starptautiskā projektā “STEP”, kura ietvaros tiks noteikti enerģētiskās nabadzības kritēriji, balstoties uz citu valstu pieredzi, un tiks meklēti risinājumi enerģētiskās nabadzības novēršanai. </w:t>
      </w:r>
    </w:p>
    <w:p w14:paraId="0D9F4673" w14:textId="77777777" w:rsidR="006179BB" w:rsidRDefault="006179BB">
      <w:pPr>
        <w:pStyle w:val="Heading30"/>
      </w:pPr>
      <w:bookmarkStart w:id="262" w:name="_Toc23245788"/>
      <w:bookmarkStart w:id="263" w:name="_Toc23246012"/>
      <w:bookmarkStart w:id="264" w:name="_Toc24408026"/>
      <w:r w:rsidRPr="00C15715">
        <w:t>Pašreizējais cenas elementu sadalījums</w:t>
      </w:r>
      <w:bookmarkEnd w:id="262"/>
      <w:bookmarkEnd w:id="263"/>
      <w:bookmarkEnd w:id="264"/>
      <w:r w:rsidRPr="00C15715">
        <w:t xml:space="preserve"> </w:t>
      </w:r>
    </w:p>
    <w:p w14:paraId="325E52D7" w14:textId="77777777" w:rsidR="006179BB" w:rsidRDefault="006179BB" w:rsidP="006179BB">
      <w:pPr>
        <w:spacing w:before="120" w:after="120" w:line="240" w:lineRule="auto"/>
        <w:jc w:val="both"/>
        <w:rPr>
          <w:rFonts w:cstheme="minorHAnsi"/>
          <w:szCs w:val="24"/>
        </w:rPr>
      </w:pPr>
      <w:r w:rsidRPr="00C15715">
        <w:rPr>
          <w:rFonts w:cstheme="minorHAnsi"/>
          <w:szCs w:val="24"/>
        </w:rPr>
        <w:t>Dabasgāzes apgādes pakalpojumu tarifu noteikšanā SPRK ievēro likumā "Par sabiedrisko pakalpojumu regulatoriem" noteikto pamatprincipu: tarifi nosakāmi tādā apmērā, lai lietotāju veiktie tarifu maksājumi segtu ekonomiski pamatotas pakalpojuma sniegšanas izmaksas un nodrošinātu sabiedrisko pakalpojumu rentabilitāti. Tarifa projektā iekļauj tikai tās izmaksas, kas attiecas uz konkrētā pakalpojuma sniegšanu un ir ekonomiski pamatotas. SPRK nosaka dabasgāzes pārvades, uzglabāšanas, sadales pakalpojumu aprēķināšanas metodiku un atbilstoši tām nosaka dabasgāzes pārvades sistēmas tarifu, dabasgāzes uzglabāšanas pakalpojumu tarifu un dabasgāzes sadales sistēmas pakalpojuma tarifu.</w:t>
      </w:r>
    </w:p>
    <w:p w14:paraId="507CC2F3" w14:textId="77777777" w:rsidR="000C620B" w:rsidRDefault="006179BB" w:rsidP="000C620B">
      <w:pPr>
        <w:jc w:val="center"/>
        <w:rPr>
          <w:rFonts w:eastAsiaTheme="majorEastAsia"/>
          <w:b/>
          <w:iCs/>
          <w:noProof/>
          <w:sz w:val="20"/>
          <w:szCs w:val="24"/>
        </w:rPr>
      </w:pPr>
      <w:r w:rsidRPr="00C15715">
        <w:rPr>
          <w:noProof/>
        </w:rPr>
        <w:drawing>
          <wp:inline distT="0" distB="0" distL="0" distR="0" wp14:anchorId="609C65C8" wp14:editId="3B3D6E01">
            <wp:extent cx="5380892" cy="2813539"/>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679CCA42" w14:textId="715FFE1D" w:rsidR="006179BB" w:rsidRPr="000C620B" w:rsidRDefault="006179BB" w:rsidP="000C620B">
      <w:pPr>
        <w:jc w:val="center"/>
        <w:rPr>
          <w:rFonts w:eastAsiaTheme="majorEastAsia"/>
          <w:b/>
          <w:iCs/>
          <w:noProof/>
          <w:sz w:val="20"/>
          <w:szCs w:val="24"/>
        </w:rPr>
      </w:pPr>
      <w:r w:rsidRPr="000C620B">
        <w:rPr>
          <w:rFonts w:eastAsiaTheme="majorEastAsia"/>
          <w:b/>
          <w:iCs/>
          <w:noProof/>
          <w:sz w:val="20"/>
          <w:szCs w:val="24"/>
        </w:rPr>
        <w:fldChar w:fldCharType="begin"/>
      </w:r>
      <w:r w:rsidRPr="000C620B">
        <w:rPr>
          <w:rFonts w:eastAsiaTheme="majorEastAsia"/>
          <w:b/>
          <w:iCs/>
          <w:noProof/>
          <w:sz w:val="20"/>
          <w:szCs w:val="24"/>
        </w:rPr>
        <w:instrText xml:space="preserve"> SEQ Ilustrācija \* ARABIC </w:instrText>
      </w:r>
      <w:r w:rsidRPr="000C620B">
        <w:rPr>
          <w:rFonts w:eastAsiaTheme="majorEastAsia"/>
          <w:b/>
          <w:iCs/>
          <w:noProof/>
          <w:sz w:val="20"/>
          <w:szCs w:val="24"/>
        </w:rPr>
        <w:fldChar w:fldCharType="separate"/>
      </w:r>
      <w:bookmarkStart w:id="265" w:name="_Toc23782712"/>
      <w:r w:rsidR="006E6675">
        <w:rPr>
          <w:rFonts w:eastAsiaTheme="majorEastAsia"/>
          <w:b/>
          <w:iCs/>
          <w:noProof/>
          <w:sz w:val="20"/>
          <w:szCs w:val="24"/>
        </w:rPr>
        <w:t>32</w:t>
      </w:r>
      <w:r w:rsidRPr="000C620B">
        <w:rPr>
          <w:rFonts w:eastAsiaTheme="majorEastAsia"/>
          <w:b/>
          <w:iCs/>
          <w:noProof/>
          <w:sz w:val="20"/>
          <w:szCs w:val="24"/>
        </w:rPr>
        <w:fldChar w:fldCharType="end"/>
      </w:r>
      <w:r w:rsidRPr="000C620B">
        <w:rPr>
          <w:rFonts w:eastAsiaTheme="majorEastAsia"/>
          <w:b/>
          <w:iCs/>
          <w:noProof/>
          <w:sz w:val="20"/>
          <w:szCs w:val="24"/>
        </w:rPr>
        <w:t>.attēls. Dabasgāzes cenas galalietotājam komponenšu sadalījums</w:t>
      </w:r>
      <w:r w:rsidRPr="000C620B">
        <w:rPr>
          <w:rFonts w:eastAsiaTheme="majorEastAsia"/>
          <w:b/>
          <w:iCs/>
          <w:noProof/>
          <w:sz w:val="20"/>
          <w:szCs w:val="24"/>
          <w:vertAlign w:val="superscript"/>
        </w:rPr>
        <w:footnoteReference w:id="92"/>
      </w:r>
      <w:bookmarkEnd w:id="265"/>
    </w:p>
    <w:p w14:paraId="0508431C" w14:textId="77777777" w:rsidR="006179BB" w:rsidRPr="00C15715" w:rsidRDefault="006179BB" w:rsidP="006179BB">
      <w:pPr>
        <w:spacing w:before="120" w:after="120" w:line="240" w:lineRule="auto"/>
        <w:jc w:val="both"/>
        <w:rPr>
          <w:rFonts w:cstheme="minorHAnsi"/>
        </w:rPr>
      </w:pPr>
      <w:r w:rsidRPr="00C15715">
        <w:rPr>
          <w:rFonts w:cstheme="minorHAnsi"/>
        </w:rPr>
        <w:t>Elektroenerģijas cena ir viena no komponentēm elektroenerģijas gala cenā, kur vēl papildus tam gala cenu veido pārvades un sadales sistēmu pakalpojumi, OIK un PVN. Pārvades sistēmas operatora un sadales sistēmas operatora pakalpojumu izmaksas (tarifus) Latvijā apstiprina SPRK. Pārvades pakalpojums un sadales pakalpojums ir tikai viena no rēķina pozīcijām, kas ir noteikta ar diferencēto tarifu. Tarifs (sadales un pārvades pakalpojumi) var sastāvēt no: maksas par elektroenerģijas piegādi; maksas par elektroenerģijas nodrošināšanu; maksas par ievadaizsardzības aparāta strāvas lielumu; maksas par atļauto slodzi.</w:t>
      </w:r>
    </w:p>
    <w:p w14:paraId="290349B0" w14:textId="77777777" w:rsidR="006179BB" w:rsidRPr="00C15715" w:rsidRDefault="006179BB" w:rsidP="006179BB">
      <w:pPr>
        <w:spacing w:before="120" w:after="120" w:line="240" w:lineRule="auto"/>
        <w:jc w:val="center"/>
        <w:rPr>
          <w:rFonts w:cstheme="minorHAnsi"/>
          <w:szCs w:val="24"/>
        </w:rPr>
      </w:pPr>
      <w:r w:rsidRPr="00C15715">
        <w:rPr>
          <w:rFonts w:cstheme="minorHAnsi"/>
          <w:noProof/>
          <w:szCs w:val="24"/>
        </w:rPr>
        <w:drawing>
          <wp:inline distT="0" distB="0" distL="0" distR="0" wp14:anchorId="04A6093D" wp14:editId="73BEBB8A">
            <wp:extent cx="4732800" cy="260353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45785" cy="2610678"/>
                    </a:xfrm>
                    <a:prstGeom prst="rect">
                      <a:avLst/>
                    </a:prstGeom>
                  </pic:spPr>
                </pic:pic>
              </a:graphicData>
            </a:graphic>
          </wp:inline>
        </w:drawing>
      </w:r>
    </w:p>
    <w:p w14:paraId="7E2EA778" w14:textId="5A03434D" w:rsidR="006179BB" w:rsidRPr="00C15715" w:rsidRDefault="006179BB" w:rsidP="006179BB">
      <w:pPr>
        <w:pStyle w:val="Caption"/>
        <w:rPr>
          <w:rFonts w:asciiTheme="minorHAnsi" w:hAnsiTheme="minorHAnsi" w:cstheme="minorHAnsi"/>
          <w:sz w:val="24"/>
          <w:szCs w:val="24"/>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Ilustrācija \* ARABIC </w:instrText>
      </w:r>
      <w:r w:rsidRPr="00C15715">
        <w:rPr>
          <w:rFonts w:asciiTheme="minorHAnsi" w:hAnsiTheme="minorHAnsi" w:cstheme="minorHAnsi"/>
          <w:szCs w:val="24"/>
        </w:rPr>
        <w:fldChar w:fldCharType="separate"/>
      </w:r>
      <w:bookmarkStart w:id="266" w:name="_Toc23782713"/>
      <w:r w:rsidR="006E6675">
        <w:rPr>
          <w:rFonts w:asciiTheme="minorHAnsi" w:hAnsiTheme="minorHAnsi" w:cstheme="minorHAnsi"/>
          <w:noProof/>
          <w:szCs w:val="24"/>
        </w:rPr>
        <w:t>33</w:t>
      </w:r>
      <w:r w:rsidRPr="00C15715">
        <w:rPr>
          <w:rFonts w:asciiTheme="minorHAnsi" w:hAnsiTheme="minorHAnsi" w:cstheme="minorHAnsi"/>
          <w:szCs w:val="24"/>
        </w:rPr>
        <w:fldChar w:fldCharType="end"/>
      </w:r>
      <w:r w:rsidRPr="00C15715">
        <w:rPr>
          <w:rFonts w:asciiTheme="minorHAnsi" w:hAnsiTheme="minorHAnsi" w:cstheme="minorHAnsi"/>
        </w:rPr>
        <w:t>.attēls. Elektroenerģijas cenas galalietotājam komponenšu sadalījums</w:t>
      </w:r>
      <w:r w:rsidRPr="00C15715">
        <w:rPr>
          <w:rStyle w:val="FootnoteReference"/>
          <w:rFonts w:asciiTheme="minorHAnsi" w:hAnsiTheme="minorHAnsi" w:cstheme="minorHAnsi"/>
        </w:rPr>
        <w:footnoteReference w:id="93"/>
      </w:r>
      <w:bookmarkEnd w:id="266"/>
    </w:p>
    <w:p w14:paraId="5EDBB22F" w14:textId="77777777" w:rsidR="006179BB" w:rsidRDefault="006179BB" w:rsidP="006179BB">
      <w:pPr>
        <w:spacing w:before="120" w:after="120" w:line="240" w:lineRule="auto"/>
        <w:jc w:val="both"/>
        <w:rPr>
          <w:rFonts w:cstheme="minorHAnsi"/>
        </w:rPr>
      </w:pPr>
      <w:r w:rsidRPr="00C15715">
        <w:rPr>
          <w:rFonts w:cstheme="minorHAnsi"/>
        </w:rPr>
        <w:t>Siltumapgādes nozarē regulējamie pakalpojumi ir siltumenerģijas ražošana, siltumenerģijas pārvade un sadale, kā arī siltumenerģijas tirdzniecība. Tāpat siltumenerģijas tirdzniecība tiek regulēta līdz tā dēvētajai "piederības robežai" ar lietotāju, parasti tas ir līdz siltumtrases ievada vietai ēkā. Siltumenerģijas izmantošana ēkā nav regulējams pakalpojums. Siltumenerģijas apgādes pakalpojums ir regulējams, ja kopējais siltumenerģijas apjoms ir lielāks par 5000 MWh/gadā. Savukārt mazās siltumapgādes sistēmas netiek regulētas, lai neuzliktu papildu administratīvo slogu siltumapgādes komersantiem un tādējādi nepalielinātu siltumapgādes izmaksas un tarifus.</w:t>
      </w:r>
      <w:r w:rsidRPr="001121B4">
        <w:rPr>
          <w:rFonts w:cstheme="minorHAnsi"/>
          <w:noProof/>
        </w:rPr>
        <w:t xml:space="preserve"> </w:t>
      </w:r>
    </w:p>
    <w:p w14:paraId="2D4F9E33" w14:textId="77777777" w:rsidR="006179BB" w:rsidRPr="00C15715" w:rsidRDefault="006179BB" w:rsidP="006179BB">
      <w:pPr>
        <w:spacing w:before="120" w:after="120" w:line="240" w:lineRule="auto"/>
        <w:ind w:left="-851"/>
        <w:jc w:val="center"/>
        <w:rPr>
          <w:rFonts w:cstheme="minorHAnsi"/>
        </w:rPr>
      </w:pPr>
      <w:r>
        <w:rPr>
          <w:rFonts w:cstheme="minorHAnsi"/>
          <w:noProof/>
        </w:rPr>
        <w:drawing>
          <wp:inline distT="0" distB="0" distL="0" distR="0" wp14:anchorId="22ACE321" wp14:editId="229A7844">
            <wp:extent cx="6960139" cy="2812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055183" cy="2851317"/>
                    </a:xfrm>
                    <a:prstGeom prst="rect">
                      <a:avLst/>
                    </a:prstGeom>
                    <a:noFill/>
                  </pic:spPr>
                </pic:pic>
              </a:graphicData>
            </a:graphic>
          </wp:inline>
        </w:drawing>
      </w:r>
    </w:p>
    <w:p w14:paraId="6274DE4C" w14:textId="59C3745F" w:rsidR="006179BB" w:rsidRPr="00C15715" w:rsidRDefault="006179BB" w:rsidP="006179BB">
      <w:pPr>
        <w:spacing w:before="120" w:after="120" w:line="240" w:lineRule="auto"/>
        <w:jc w:val="center"/>
        <w:rPr>
          <w:rFonts w:eastAsiaTheme="majorEastAsia" w:cstheme="minorHAnsi"/>
          <w:b/>
          <w:iCs/>
          <w:noProof/>
          <w:sz w:val="20"/>
          <w:szCs w:val="24"/>
        </w:rPr>
      </w:pPr>
      <w:r w:rsidRPr="00C15715">
        <w:rPr>
          <w:rFonts w:eastAsiaTheme="majorEastAsia" w:cstheme="minorHAnsi"/>
          <w:b/>
          <w:iCs/>
          <w:noProof/>
          <w:sz w:val="20"/>
          <w:szCs w:val="24"/>
        </w:rPr>
        <w:fldChar w:fldCharType="begin"/>
      </w:r>
      <w:r w:rsidRPr="00C15715">
        <w:rPr>
          <w:rFonts w:eastAsiaTheme="majorEastAsia" w:cstheme="minorHAnsi"/>
          <w:b/>
          <w:iCs/>
          <w:noProof/>
          <w:sz w:val="20"/>
          <w:szCs w:val="24"/>
        </w:rPr>
        <w:instrText xml:space="preserve"> SEQ Ilustrācija \* ARABIC </w:instrText>
      </w:r>
      <w:r w:rsidRPr="00C15715">
        <w:rPr>
          <w:rFonts w:eastAsiaTheme="majorEastAsia" w:cstheme="minorHAnsi"/>
          <w:b/>
          <w:iCs/>
          <w:noProof/>
          <w:sz w:val="20"/>
          <w:szCs w:val="24"/>
        </w:rPr>
        <w:fldChar w:fldCharType="separate"/>
      </w:r>
      <w:bookmarkStart w:id="267" w:name="_Toc23782714"/>
      <w:r w:rsidR="006E6675">
        <w:rPr>
          <w:rFonts w:eastAsiaTheme="majorEastAsia" w:cstheme="minorHAnsi"/>
          <w:b/>
          <w:iCs/>
          <w:noProof/>
          <w:sz w:val="20"/>
          <w:szCs w:val="24"/>
        </w:rPr>
        <w:t>34</w:t>
      </w:r>
      <w:r w:rsidRPr="00C15715">
        <w:rPr>
          <w:rFonts w:eastAsiaTheme="majorEastAsia" w:cstheme="minorHAnsi"/>
          <w:b/>
          <w:iCs/>
          <w:noProof/>
          <w:sz w:val="20"/>
          <w:szCs w:val="24"/>
        </w:rPr>
        <w:fldChar w:fldCharType="end"/>
      </w:r>
      <w:r w:rsidRPr="00C15715">
        <w:rPr>
          <w:rFonts w:eastAsiaTheme="majorEastAsia" w:cstheme="minorHAnsi"/>
          <w:b/>
          <w:iCs/>
          <w:noProof/>
          <w:sz w:val="20"/>
          <w:szCs w:val="24"/>
        </w:rPr>
        <w:t>.attēls. Siltumenerģijas tarifu mainīgo izmaksu (kreisā puse) un pastāvīgo izmaksu (labā puse) komponenšu sadalījums</w:t>
      </w:r>
      <w:r w:rsidRPr="00C15715">
        <w:rPr>
          <w:rFonts w:eastAsiaTheme="majorEastAsia" w:cstheme="minorHAnsi"/>
          <w:b/>
          <w:iCs/>
          <w:noProof/>
          <w:sz w:val="20"/>
          <w:szCs w:val="24"/>
          <w:vertAlign w:val="superscript"/>
        </w:rPr>
        <w:footnoteReference w:id="94"/>
      </w:r>
      <w:bookmarkEnd w:id="267"/>
    </w:p>
    <w:p w14:paraId="3880E64C" w14:textId="77777777" w:rsidR="006179BB" w:rsidRPr="00C15715" w:rsidRDefault="006179BB" w:rsidP="006179BB">
      <w:pPr>
        <w:spacing w:before="120" w:after="120" w:line="240" w:lineRule="auto"/>
        <w:jc w:val="both"/>
        <w:rPr>
          <w:rFonts w:cstheme="minorHAnsi"/>
        </w:rPr>
      </w:pPr>
      <w:r w:rsidRPr="00C15715">
        <w:rPr>
          <w:rFonts w:cstheme="minorHAnsi"/>
        </w:rPr>
        <w:t>Siltumenerģijas tarifu dažādās apdzīvotajās vietās atšķiras, un šīs atšķirības nosaka pakalpojumu sniegšanas nosacījumi – izvēlētie siltumapgādes sistēmas tehnoloģiskie risinājumi, siltumapgādes sistēmas kompaktums un tās tehniskais stāvoklis, kā arī katras apdzīvotās vietas ģeogrāfiskās u.c. īpatnības (reljefs, apbūves blīvums, siltumapgādes lietotāju daudzums utt.). No šiem nosacījumiem ir atkarīgas pakalpojuma sniegšanas izmaksas, kas ir nepieciešamas, lai pakalpojumu varētu nodrošināt. Lielākā daļa no kopējā tarifa veido kurināmā izmaksas vai iepirktās siltumenerģijas izmaksas un pastāvīgās izmaksas, kas ir darba samaksa, pamatlīdzekļu nolietojums uc. Pārējās izmaksas ir salīdzinoši nelielas.</w:t>
      </w:r>
    </w:p>
    <w:p w14:paraId="440FBF89" w14:textId="77777777" w:rsidR="006179BB" w:rsidRPr="00E47B85" w:rsidRDefault="006179BB" w:rsidP="006179BB">
      <w:pPr>
        <w:spacing w:before="120" w:after="120" w:line="240" w:lineRule="auto"/>
        <w:jc w:val="both"/>
        <w:rPr>
          <w:rFonts w:cstheme="minorHAnsi"/>
          <w:szCs w:val="24"/>
        </w:rPr>
      </w:pPr>
      <w:r w:rsidRPr="00E47B85">
        <w:rPr>
          <w:rFonts w:cstheme="minorHAnsi"/>
          <w:szCs w:val="24"/>
        </w:rPr>
        <w:t>Degvielas gala cenas, visās ES dalībvalstīs veidojas pēc līdzīga principa</w:t>
      </w:r>
      <w:r>
        <w:rPr>
          <w:rFonts w:cstheme="minorHAnsi"/>
          <w:szCs w:val="24"/>
        </w:rPr>
        <w:t xml:space="preserve">, kur </w:t>
      </w:r>
      <w:r w:rsidRPr="00E47B85">
        <w:rPr>
          <w:rFonts w:cstheme="minorHAnsi"/>
          <w:szCs w:val="24"/>
        </w:rPr>
        <w:t>cenu veido trīs pamata komponentes – degvielas iepirkuma cena, valsts nodevas un nodokļi, mazumtirgotāja izmaksas.</w:t>
      </w:r>
      <w:r>
        <w:rPr>
          <w:rFonts w:cstheme="minorHAnsi"/>
          <w:szCs w:val="24"/>
        </w:rPr>
        <w:t xml:space="preserve"> </w:t>
      </w:r>
      <w:r w:rsidRPr="00E47B85">
        <w:rPr>
          <w:rFonts w:cstheme="minorHAnsi"/>
          <w:szCs w:val="24"/>
        </w:rPr>
        <w:t>Degvielas iepirkuma cenu veido tādas komponentes kā naftas un degvielas cenas, valūtas kursu svārstības, ģeopolitiskā situācija, klimatiskā situācija, kvalitātes prasības, kā arī pieprasījums.</w:t>
      </w:r>
      <w:r>
        <w:rPr>
          <w:rFonts w:cstheme="minorHAnsi"/>
          <w:szCs w:val="24"/>
        </w:rPr>
        <w:t xml:space="preserve"> </w:t>
      </w:r>
      <w:r w:rsidRPr="00E47B85">
        <w:rPr>
          <w:rFonts w:cstheme="minorHAnsi"/>
          <w:szCs w:val="24"/>
        </w:rPr>
        <w:t>Valsts nodevas un nodokļu daļu veido – akcīzes nodoklis, valsts rezervju nodeva un pievienotās vērtības nodoklis.</w:t>
      </w:r>
      <w:r>
        <w:rPr>
          <w:rFonts w:cstheme="minorHAnsi"/>
          <w:szCs w:val="24"/>
        </w:rPr>
        <w:t xml:space="preserve"> </w:t>
      </w:r>
      <w:r w:rsidRPr="00E47B85">
        <w:rPr>
          <w:rFonts w:cstheme="minorHAnsi"/>
          <w:szCs w:val="24"/>
        </w:rPr>
        <w:t>Savukārt mazumtirgotāja izmaksas aptver dažādu piedevu pievienošanu, uzņēmuma uzturēšanas un attīstības izmaksas, to vidū - degvielas uzpildes stacijas uzturēšana un personāla izmaksas.</w:t>
      </w:r>
    </w:p>
    <w:p w14:paraId="2B33C103" w14:textId="77777777" w:rsidR="006179BB" w:rsidRDefault="006179BB" w:rsidP="006179BB">
      <w:pPr>
        <w:spacing w:before="120" w:after="120" w:line="240" w:lineRule="auto"/>
        <w:jc w:val="center"/>
        <w:rPr>
          <w:rFonts w:cstheme="minorHAnsi"/>
          <w:szCs w:val="24"/>
        </w:rPr>
      </w:pPr>
      <w:r>
        <w:rPr>
          <w:rFonts w:cstheme="minorHAnsi"/>
          <w:noProof/>
          <w:szCs w:val="24"/>
        </w:rPr>
        <w:drawing>
          <wp:inline distT="0" distB="0" distL="0" distR="0" wp14:anchorId="4C7FAEB1" wp14:editId="595D92B1">
            <wp:extent cx="3698620" cy="228997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09905" cy="2296963"/>
                    </a:xfrm>
                    <a:prstGeom prst="rect">
                      <a:avLst/>
                    </a:prstGeom>
                    <a:noFill/>
                  </pic:spPr>
                </pic:pic>
              </a:graphicData>
            </a:graphic>
          </wp:inline>
        </w:drawing>
      </w:r>
    </w:p>
    <w:p w14:paraId="7B806C8C" w14:textId="7077EC2B" w:rsidR="006179BB" w:rsidRPr="00C15715" w:rsidRDefault="006179BB" w:rsidP="006179BB">
      <w:pPr>
        <w:spacing w:before="120" w:after="120" w:line="240" w:lineRule="auto"/>
        <w:jc w:val="center"/>
        <w:rPr>
          <w:rFonts w:eastAsiaTheme="majorEastAsia" w:cstheme="minorHAnsi"/>
          <w:b/>
          <w:iCs/>
          <w:noProof/>
          <w:sz w:val="20"/>
          <w:szCs w:val="24"/>
        </w:rPr>
      </w:pPr>
      <w:r w:rsidRPr="00C15715">
        <w:rPr>
          <w:rFonts w:eastAsiaTheme="majorEastAsia" w:cstheme="minorHAnsi"/>
          <w:b/>
          <w:iCs/>
          <w:noProof/>
          <w:sz w:val="20"/>
          <w:szCs w:val="24"/>
        </w:rPr>
        <w:fldChar w:fldCharType="begin"/>
      </w:r>
      <w:r w:rsidRPr="00C15715">
        <w:rPr>
          <w:rFonts w:eastAsiaTheme="majorEastAsia" w:cstheme="minorHAnsi"/>
          <w:b/>
          <w:iCs/>
          <w:noProof/>
          <w:sz w:val="20"/>
          <w:szCs w:val="24"/>
        </w:rPr>
        <w:instrText xml:space="preserve"> SEQ Ilustrācija \* ARABIC </w:instrText>
      </w:r>
      <w:r w:rsidRPr="00C15715">
        <w:rPr>
          <w:rFonts w:eastAsiaTheme="majorEastAsia" w:cstheme="minorHAnsi"/>
          <w:b/>
          <w:iCs/>
          <w:noProof/>
          <w:sz w:val="20"/>
          <w:szCs w:val="24"/>
        </w:rPr>
        <w:fldChar w:fldCharType="separate"/>
      </w:r>
      <w:bookmarkStart w:id="268" w:name="_Toc23782715"/>
      <w:r w:rsidR="006E6675">
        <w:rPr>
          <w:rFonts w:eastAsiaTheme="majorEastAsia" w:cstheme="minorHAnsi"/>
          <w:b/>
          <w:iCs/>
          <w:noProof/>
          <w:sz w:val="20"/>
          <w:szCs w:val="24"/>
        </w:rPr>
        <w:t>35</w:t>
      </w:r>
      <w:r w:rsidRPr="00C15715">
        <w:rPr>
          <w:rFonts w:eastAsiaTheme="majorEastAsia" w:cstheme="minorHAnsi"/>
          <w:b/>
          <w:iCs/>
          <w:noProof/>
          <w:sz w:val="20"/>
          <w:szCs w:val="24"/>
        </w:rPr>
        <w:fldChar w:fldCharType="end"/>
      </w:r>
      <w:r w:rsidRPr="00C15715">
        <w:rPr>
          <w:rFonts w:eastAsiaTheme="majorEastAsia" w:cstheme="minorHAnsi"/>
          <w:b/>
          <w:iCs/>
          <w:noProof/>
          <w:sz w:val="20"/>
          <w:szCs w:val="24"/>
        </w:rPr>
        <w:t>.attēls</w:t>
      </w:r>
      <w:r>
        <w:rPr>
          <w:rFonts w:eastAsiaTheme="majorEastAsia" w:cstheme="minorHAnsi"/>
          <w:b/>
          <w:iCs/>
          <w:noProof/>
          <w:sz w:val="20"/>
          <w:szCs w:val="24"/>
        </w:rPr>
        <w:t xml:space="preserve"> Degvielas </w:t>
      </w:r>
      <w:r w:rsidRPr="00C15715">
        <w:rPr>
          <w:rFonts w:eastAsiaTheme="majorEastAsia" w:cstheme="minorHAnsi"/>
          <w:b/>
          <w:iCs/>
          <w:noProof/>
          <w:sz w:val="20"/>
          <w:szCs w:val="24"/>
        </w:rPr>
        <w:t>cenas galalietotājam komponenšu sadalījums</w:t>
      </w:r>
      <w:r w:rsidRPr="00E47B85">
        <w:rPr>
          <w:rFonts w:eastAsiaTheme="majorEastAsia" w:cstheme="minorHAnsi"/>
          <w:b/>
          <w:iCs/>
          <w:noProof/>
          <w:sz w:val="20"/>
          <w:szCs w:val="24"/>
          <w:vertAlign w:val="superscript"/>
        </w:rPr>
        <w:footnoteReference w:id="95"/>
      </w:r>
      <w:bookmarkEnd w:id="268"/>
    </w:p>
    <w:p w14:paraId="08D13C9C" w14:textId="77777777" w:rsidR="006179BB" w:rsidRPr="00C15715" w:rsidRDefault="006179BB">
      <w:pPr>
        <w:pStyle w:val="Heading30"/>
      </w:pPr>
      <w:bookmarkStart w:id="269" w:name="_Toc23245789"/>
      <w:bookmarkStart w:id="270" w:name="_Toc23246013"/>
      <w:bookmarkStart w:id="271" w:name="_Toc24408027"/>
      <w:r w:rsidRPr="00C15715">
        <w:t>Enerģijas subsīdiju apraksts</w:t>
      </w:r>
      <w:bookmarkEnd w:id="269"/>
      <w:bookmarkEnd w:id="270"/>
      <w:bookmarkEnd w:id="271"/>
    </w:p>
    <w:p w14:paraId="5E0EE8FD" w14:textId="77777777" w:rsidR="006179BB" w:rsidRPr="00C15715" w:rsidRDefault="006179BB" w:rsidP="006179BB">
      <w:pPr>
        <w:spacing w:before="120" w:after="120" w:line="240" w:lineRule="auto"/>
        <w:jc w:val="both"/>
        <w:rPr>
          <w:rFonts w:cstheme="minorHAnsi"/>
          <w:szCs w:val="24"/>
          <w:lang w:eastAsia="lv-LV"/>
        </w:rPr>
      </w:pPr>
      <w:r w:rsidRPr="00C15715">
        <w:rPr>
          <w:rFonts w:cstheme="minorHAnsi"/>
          <w:szCs w:val="24"/>
          <w:lang w:eastAsia="lv-LV"/>
        </w:rPr>
        <w:t>Saskaņā ar EK sniegto informāciju enerģijas subsīdijas ir:</w:t>
      </w:r>
    </w:p>
    <w:p w14:paraId="7D0D1436" w14:textId="77777777" w:rsidR="006179BB" w:rsidRPr="00C15715" w:rsidRDefault="006179BB" w:rsidP="00847BE3">
      <w:pPr>
        <w:pStyle w:val="ListParagraph"/>
        <w:numPr>
          <w:ilvl w:val="0"/>
          <w:numId w:val="13"/>
        </w:numPr>
        <w:spacing w:before="120" w:after="120" w:line="240" w:lineRule="auto"/>
        <w:ind w:left="454" w:hanging="454"/>
        <w:contextualSpacing w:val="0"/>
        <w:jc w:val="both"/>
        <w:rPr>
          <w:rFonts w:cstheme="minorHAnsi"/>
          <w:szCs w:val="24"/>
          <w:lang w:eastAsia="lv-LV"/>
        </w:rPr>
      </w:pPr>
      <w:r w:rsidRPr="00C15715">
        <w:rPr>
          <w:rFonts w:cstheme="minorHAnsi"/>
          <w:szCs w:val="24"/>
          <w:lang w:eastAsia="lv-LV"/>
        </w:rPr>
        <w:t>Nodokļu izdevumi (izņēmumi un samazinājumi, nodokļu kredīti);</w:t>
      </w:r>
    </w:p>
    <w:p w14:paraId="79CD67CE" w14:textId="77777777" w:rsidR="006179BB" w:rsidRPr="00C15715" w:rsidRDefault="006179BB" w:rsidP="00847BE3">
      <w:pPr>
        <w:pStyle w:val="ListParagraph"/>
        <w:numPr>
          <w:ilvl w:val="0"/>
          <w:numId w:val="13"/>
        </w:numPr>
        <w:spacing w:before="120" w:after="120" w:line="240" w:lineRule="auto"/>
        <w:ind w:left="454" w:hanging="454"/>
        <w:contextualSpacing w:val="0"/>
        <w:jc w:val="both"/>
        <w:rPr>
          <w:rFonts w:cstheme="minorHAnsi"/>
          <w:szCs w:val="24"/>
          <w:lang w:eastAsia="lv-LV"/>
        </w:rPr>
      </w:pPr>
      <w:r w:rsidRPr="00C15715">
        <w:rPr>
          <w:rFonts w:cstheme="minorHAnsi"/>
          <w:szCs w:val="24"/>
          <w:lang w:eastAsia="lv-LV"/>
        </w:rPr>
        <w:t>Tiešie pārskaitījumi (granti, dotācijas, aizdevumi ar atvieglotiem nosacījumiem);</w:t>
      </w:r>
    </w:p>
    <w:p w14:paraId="58144458" w14:textId="77777777" w:rsidR="006179BB" w:rsidRPr="00C15715" w:rsidRDefault="006179BB" w:rsidP="00847BE3">
      <w:pPr>
        <w:pStyle w:val="ListParagraph"/>
        <w:numPr>
          <w:ilvl w:val="0"/>
          <w:numId w:val="13"/>
        </w:numPr>
        <w:spacing w:before="120" w:after="120" w:line="240" w:lineRule="auto"/>
        <w:ind w:left="454" w:hanging="454"/>
        <w:contextualSpacing w:val="0"/>
        <w:jc w:val="both"/>
        <w:rPr>
          <w:rFonts w:cstheme="minorHAnsi"/>
          <w:szCs w:val="24"/>
          <w:lang w:eastAsia="lv-LV"/>
        </w:rPr>
      </w:pPr>
      <w:r w:rsidRPr="00C15715">
        <w:rPr>
          <w:rFonts w:cstheme="minorHAnsi"/>
          <w:szCs w:val="24"/>
          <w:lang w:eastAsia="lv-LV"/>
        </w:rPr>
        <w:t>Netiešie pārskaitījumi (jaudas mehānismi).</w:t>
      </w:r>
    </w:p>
    <w:p w14:paraId="1C8EBD36" w14:textId="77777777" w:rsidR="006179BB" w:rsidRPr="00C15715" w:rsidRDefault="006179BB">
      <w:pPr>
        <w:pStyle w:val="Heading4"/>
      </w:pPr>
      <w:bookmarkStart w:id="272" w:name="_Toc23245790"/>
      <w:r w:rsidRPr="00C15715">
        <w:t>Nodokļu un nodevu izdevumi</w:t>
      </w:r>
      <w:bookmarkEnd w:id="272"/>
    </w:p>
    <w:p w14:paraId="2AFD80E8" w14:textId="77777777" w:rsidR="006179BB" w:rsidRPr="00C15715" w:rsidRDefault="006179BB" w:rsidP="006179BB">
      <w:pPr>
        <w:spacing w:before="120" w:after="120" w:line="240" w:lineRule="auto"/>
        <w:jc w:val="both"/>
        <w:rPr>
          <w:rFonts w:cstheme="minorHAnsi"/>
          <w:szCs w:val="24"/>
          <w:u w:val="single"/>
        </w:rPr>
      </w:pPr>
      <w:r w:rsidRPr="00C15715">
        <w:rPr>
          <w:rFonts w:cstheme="minorHAnsi"/>
          <w:szCs w:val="24"/>
          <w:u w:val="single"/>
        </w:rPr>
        <w:t>Akcīzes nodoklis</w:t>
      </w:r>
    </w:p>
    <w:p w14:paraId="5A471846"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Akcīzes nodokļa mērķis ir ierobežot to preču patēriņu, kas ir kaitīgas apkārtējai videi un cilvēk</w:t>
      </w:r>
      <w:r>
        <w:rPr>
          <w:rFonts w:cstheme="minorHAnsi"/>
          <w:szCs w:val="24"/>
        </w:rPr>
        <w:t>u veselībai</w:t>
      </w:r>
      <w:r w:rsidRPr="00C15715">
        <w:rPr>
          <w:rFonts w:cstheme="minorHAnsi"/>
          <w:szCs w:val="24"/>
        </w:rPr>
        <w:t xml:space="preserve">. Šobrīd akcīzes nodoklis tiek piemērots naftas produktiem un dabasgāzei. Akcīzes nodoklis netiek piemērots oglēm un citiem fosilajiem kurināmajiem, kā arī kūdrai. </w:t>
      </w:r>
      <w:r>
        <w:rPr>
          <w:rFonts w:cstheme="minorHAnsi"/>
          <w:szCs w:val="24"/>
        </w:rPr>
        <w:t xml:space="preserve">Tajā pat laikā par </w:t>
      </w:r>
      <w:r w:rsidRPr="00C15715">
        <w:rPr>
          <w:rFonts w:cstheme="minorHAnsi"/>
          <w:szCs w:val="24"/>
        </w:rPr>
        <w:t>og</w:t>
      </w:r>
      <w:r>
        <w:rPr>
          <w:rFonts w:cstheme="minorHAnsi"/>
          <w:szCs w:val="24"/>
        </w:rPr>
        <w:t>lēm</w:t>
      </w:r>
      <w:r w:rsidRPr="00C15715">
        <w:rPr>
          <w:rFonts w:cstheme="minorHAnsi"/>
          <w:szCs w:val="24"/>
        </w:rPr>
        <w:t xml:space="preserve"> </w:t>
      </w:r>
      <w:r>
        <w:rPr>
          <w:rFonts w:cstheme="minorHAnsi"/>
          <w:szCs w:val="24"/>
        </w:rPr>
        <w:t>ir jāmaksā</w:t>
      </w:r>
      <w:r w:rsidRPr="00C15715">
        <w:rPr>
          <w:rFonts w:cstheme="minorHAnsi"/>
          <w:szCs w:val="24"/>
        </w:rPr>
        <w:t xml:space="preserve"> dabas resursu nodoklis. Šobrīd dažādiem naftas produktiem un dabasgāzei</w:t>
      </w:r>
      <w:r>
        <w:rPr>
          <w:rFonts w:cstheme="minorHAnsi"/>
          <w:szCs w:val="24"/>
        </w:rPr>
        <w:t xml:space="preserve"> atkarībā no izmantošanas mērķa</w:t>
      </w:r>
      <w:r w:rsidRPr="00C15715">
        <w:rPr>
          <w:rFonts w:cstheme="minorHAnsi"/>
          <w:szCs w:val="24"/>
        </w:rPr>
        <w:t xml:space="preserve"> tiek piemērotas atšķirīgas akcīzes nodokļa likmes.</w:t>
      </w:r>
    </w:p>
    <w:p w14:paraId="747B2705" w14:textId="046304CC" w:rsidR="006179BB" w:rsidRPr="00C15715" w:rsidRDefault="006179BB" w:rsidP="006179BB">
      <w:pPr>
        <w:pStyle w:val="Caption"/>
        <w:rPr>
          <w:rFonts w:asciiTheme="minorHAnsi" w:hAnsiTheme="minorHAnsi" w:cstheme="minorHAnsi"/>
          <w:szCs w:val="24"/>
        </w:rPr>
      </w:pP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Tabula \* ARABIC </w:instrText>
      </w:r>
      <w:r w:rsidRPr="00C15715">
        <w:rPr>
          <w:rFonts w:asciiTheme="minorHAnsi" w:hAnsiTheme="minorHAnsi" w:cstheme="minorHAnsi"/>
          <w:szCs w:val="24"/>
        </w:rPr>
        <w:fldChar w:fldCharType="separate"/>
      </w:r>
      <w:r w:rsidR="006E6675">
        <w:rPr>
          <w:rFonts w:asciiTheme="minorHAnsi" w:hAnsiTheme="minorHAnsi" w:cstheme="minorHAnsi"/>
          <w:noProof/>
          <w:szCs w:val="24"/>
        </w:rPr>
        <w:t>11</w:t>
      </w:r>
      <w:r w:rsidRPr="00C15715">
        <w:rPr>
          <w:rFonts w:asciiTheme="minorHAnsi" w:hAnsiTheme="minorHAnsi" w:cstheme="minorHAnsi"/>
          <w:szCs w:val="24"/>
        </w:rPr>
        <w:fldChar w:fldCharType="end"/>
      </w:r>
      <w:r w:rsidRPr="00C15715">
        <w:rPr>
          <w:rFonts w:asciiTheme="minorHAnsi" w:hAnsiTheme="minorHAnsi" w:cstheme="minorHAnsi"/>
        </w:rPr>
        <w:t>.Akcīzes nodokļa likmes dabasgāzei un naftas produktiem 2019.gadā (EUR)</w:t>
      </w:r>
    </w:p>
    <w:tbl>
      <w:tblPr>
        <w:tblW w:w="9796" w:type="dxa"/>
        <w:jc w:val="center"/>
        <w:tblLook w:val="04A0" w:firstRow="1" w:lastRow="0" w:firstColumn="1" w:lastColumn="0" w:noHBand="0" w:noVBand="1"/>
      </w:tblPr>
      <w:tblGrid>
        <w:gridCol w:w="6374"/>
        <w:gridCol w:w="1701"/>
        <w:gridCol w:w="1721"/>
      </w:tblGrid>
      <w:tr w:rsidR="006179BB" w:rsidRPr="00C15715" w14:paraId="6281A30A" w14:textId="77777777" w:rsidTr="006179BB">
        <w:trPr>
          <w:trHeight w:val="630"/>
          <w:tblHeader/>
          <w:jc w:val="center"/>
        </w:trPr>
        <w:tc>
          <w:tcPr>
            <w:tcW w:w="637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394D2BE"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 </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F659A76"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spēkā esošā akcīzes nodokļa likme</w:t>
            </w:r>
          </w:p>
        </w:tc>
        <w:tc>
          <w:tcPr>
            <w:tcW w:w="172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7E3A019" w14:textId="77777777" w:rsidR="006179BB" w:rsidRPr="00C15715" w:rsidRDefault="006179BB" w:rsidP="006179BB">
            <w:pPr>
              <w:spacing w:after="0" w:line="240" w:lineRule="auto"/>
              <w:jc w:val="center"/>
              <w:rPr>
                <w:rFonts w:eastAsia="Times New Roman" w:cstheme="minorHAnsi"/>
                <w:szCs w:val="24"/>
                <w:lang w:eastAsia="lv-LV"/>
              </w:rPr>
            </w:pPr>
            <w:r w:rsidRPr="00C15715">
              <w:rPr>
                <w:rFonts w:eastAsia="Times New Roman" w:cstheme="minorHAnsi"/>
                <w:szCs w:val="24"/>
                <w:lang w:eastAsia="lv-LV"/>
              </w:rPr>
              <w:t>akcīzes nodokļa likme no 01.01.2020</w:t>
            </w:r>
          </w:p>
        </w:tc>
      </w:tr>
      <w:tr w:rsidR="006179BB" w:rsidRPr="00C15715" w14:paraId="61AD939F"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2258AD2C" w14:textId="77777777" w:rsidR="006179BB" w:rsidRPr="00C15715" w:rsidRDefault="006179BB" w:rsidP="006179BB">
            <w:pPr>
              <w:spacing w:after="0" w:line="240" w:lineRule="auto"/>
              <w:rPr>
                <w:rFonts w:eastAsia="Times New Roman" w:cstheme="minorHAnsi"/>
                <w:color w:val="000000"/>
                <w:szCs w:val="24"/>
                <w:lang w:eastAsia="lv-LV"/>
              </w:rPr>
            </w:pPr>
            <w:r w:rsidRPr="00C15715">
              <w:rPr>
                <w:rFonts w:eastAsia="Times New Roman" w:cstheme="minorHAnsi"/>
                <w:color w:val="000000"/>
                <w:szCs w:val="24"/>
                <w:lang w:eastAsia="lv-LV"/>
              </w:rPr>
              <w:t>dabasgāzes izmantošanai par kurināmo (par 1 MWh)</w:t>
            </w:r>
          </w:p>
        </w:tc>
        <w:tc>
          <w:tcPr>
            <w:tcW w:w="1701" w:type="dxa"/>
            <w:tcBorders>
              <w:top w:val="nil"/>
              <w:left w:val="nil"/>
              <w:bottom w:val="single" w:sz="4" w:space="0" w:color="auto"/>
              <w:right w:val="single" w:sz="4" w:space="0" w:color="auto"/>
            </w:tcBorders>
            <w:shd w:val="clear" w:color="auto" w:fill="auto"/>
            <w:vAlign w:val="center"/>
            <w:hideMark/>
          </w:tcPr>
          <w:p w14:paraId="3EF83219"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1,65</w:t>
            </w:r>
          </w:p>
        </w:tc>
        <w:tc>
          <w:tcPr>
            <w:tcW w:w="1721" w:type="dxa"/>
            <w:tcBorders>
              <w:top w:val="nil"/>
              <w:left w:val="nil"/>
              <w:bottom w:val="single" w:sz="4" w:space="0" w:color="auto"/>
              <w:right w:val="single" w:sz="4" w:space="0" w:color="auto"/>
            </w:tcBorders>
            <w:shd w:val="clear" w:color="auto" w:fill="auto"/>
            <w:noWrap/>
            <w:vAlign w:val="center"/>
            <w:hideMark/>
          </w:tcPr>
          <w:p w14:paraId="52A6BD00"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1,65</w:t>
            </w:r>
          </w:p>
        </w:tc>
      </w:tr>
      <w:tr w:rsidR="006179BB" w:rsidRPr="00C15715" w14:paraId="69BD13E1"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B0526CF" w14:textId="77777777" w:rsidR="006179BB" w:rsidRPr="00C15715" w:rsidRDefault="006179BB" w:rsidP="006179BB">
            <w:pPr>
              <w:spacing w:after="0" w:line="240" w:lineRule="auto"/>
              <w:rPr>
                <w:rFonts w:eastAsia="Times New Roman" w:cstheme="minorHAnsi"/>
                <w:color w:val="000000"/>
                <w:szCs w:val="24"/>
                <w:lang w:eastAsia="lv-LV"/>
              </w:rPr>
            </w:pPr>
            <w:r w:rsidRPr="00C15715">
              <w:rPr>
                <w:rFonts w:eastAsia="Times New Roman" w:cstheme="minorHAnsi"/>
                <w:color w:val="000000"/>
                <w:szCs w:val="24"/>
                <w:lang w:eastAsia="lv-LV"/>
              </w:rPr>
              <w:t>dabasgāzes izmantošanai par degvielu (par 1 MWh)</w:t>
            </w:r>
          </w:p>
        </w:tc>
        <w:tc>
          <w:tcPr>
            <w:tcW w:w="1701" w:type="dxa"/>
            <w:tcBorders>
              <w:top w:val="nil"/>
              <w:left w:val="nil"/>
              <w:bottom w:val="single" w:sz="4" w:space="0" w:color="auto"/>
              <w:right w:val="single" w:sz="4" w:space="0" w:color="auto"/>
            </w:tcBorders>
            <w:shd w:val="clear" w:color="auto" w:fill="auto"/>
            <w:vAlign w:val="center"/>
            <w:hideMark/>
          </w:tcPr>
          <w:p w14:paraId="6FAEAA30"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9,64</w:t>
            </w:r>
          </w:p>
        </w:tc>
        <w:tc>
          <w:tcPr>
            <w:tcW w:w="1721" w:type="dxa"/>
            <w:tcBorders>
              <w:top w:val="nil"/>
              <w:left w:val="nil"/>
              <w:bottom w:val="single" w:sz="4" w:space="0" w:color="auto"/>
              <w:right w:val="single" w:sz="4" w:space="0" w:color="auto"/>
            </w:tcBorders>
            <w:shd w:val="clear" w:color="auto" w:fill="auto"/>
            <w:noWrap/>
            <w:vAlign w:val="center"/>
            <w:hideMark/>
          </w:tcPr>
          <w:p w14:paraId="1AC3EF39"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9,64</w:t>
            </w:r>
          </w:p>
        </w:tc>
      </w:tr>
      <w:tr w:rsidR="006179BB" w:rsidRPr="00C15715" w14:paraId="1997885B" w14:textId="77777777" w:rsidTr="006179BB">
        <w:trPr>
          <w:trHeight w:val="1520"/>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15B08518" w14:textId="77777777" w:rsidR="006179BB" w:rsidRPr="00C15715" w:rsidRDefault="006179BB" w:rsidP="006179BB">
            <w:pPr>
              <w:spacing w:after="0" w:line="240" w:lineRule="auto"/>
              <w:rPr>
                <w:rFonts w:eastAsia="Times New Roman" w:cstheme="minorHAnsi"/>
                <w:color w:val="000000"/>
                <w:szCs w:val="24"/>
                <w:lang w:eastAsia="lv-LV"/>
              </w:rPr>
            </w:pPr>
            <w:r w:rsidRPr="00C15715">
              <w:rPr>
                <w:rFonts w:eastAsia="Times New Roman" w:cstheme="minorHAnsi"/>
                <w:color w:val="000000"/>
                <w:szCs w:val="24"/>
                <w:lang w:eastAsia="lv-LV"/>
              </w:rPr>
              <w:t>dabasgāzes izmantošanai par kurināmo rūpnieciskās ražošanas un citos ar ražošanu saistītos procesos, lauksaimniecības izejvielu pirmapstrādes tehnoloģisko iekārtu darbināšanai un tehnoloģiski nepieciešamā klimata nodrošināšanai rūpnieciskās ražošanas un lauksaimniecības izejvielu pirmapstrādes telpās (par 1 MWh)</w:t>
            </w:r>
          </w:p>
        </w:tc>
        <w:tc>
          <w:tcPr>
            <w:tcW w:w="1701" w:type="dxa"/>
            <w:tcBorders>
              <w:top w:val="nil"/>
              <w:left w:val="nil"/>
              <w:bottom w:val="single" w:sz="4" w:space="0" w:color="auto"/>
              <w:right w:val="single" w:sz="4" w:space="0" w:color="auto"/>
            </w:tcBorders>
            <w:shd w:val="clear" w:color="auto" w:fill="auto"/>
            <w:vAlign w:val="center"/>
            <w:hideMark/>
          </w:tcPr>
          <w:p w14:paraId="2FEEA1D7"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0,55</w:t>
            </w:r>
          </w:p>
        </w:tc>
        <w:tc>
          <w:tcPr>
            <w:tcW w:w="1721" w:type="dxa"/>
            <w:tcBorders>
              <w:top w:val="nil"/>
              <w:left w:val="nil"/>
              <w:bottom w:val="single" w:sz="4" w:space="0" w:color="auto"/>
              <w:right w:val="single" w:sz="4" w:space="0" w:color="auto"/>
            </w:tcBorders>
            <w:shd w:val="clear" w:color="auto" w:fill="auto"/>
            <w:noWrap/>
            <w:vAlign w:val="center"/>
            <w:hideMark/>
          </w:tcPr>
          <w:p w14:paraId="70C390D1"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0,55</w:t>
            </w:r>
          </w:p>
        </w:tc>
      </w:tr>
      <w:tr w:rsidR="006179BB" w:rsidRPr="00C15715" w14:paraId="0F25DBE9"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6556CA39" w14:textId="2797466B"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s</w:t>
            </w:r>
            <w:r w:rsidR="006179BB" w:rsidRPr="00C15715">
              <w:rPr>
                <w:rFonts w:eastAsia="Times New Roman" w:cstheme="minorHAnsi"/>
                <w:color w:val="000000"/>
                <w:szCs w:val="24"/>
                <w:lang w:eastAsia="lv-LV"/>
              </w:rPr>
              <w:t>vinu nesaturošais benzīns (par 1000 l)</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4D98CB44"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476</w:t>
            </w:r>
          </w:p>
        </w:tc>
        <w:tc>
          <w:tcPr>
            <w:tcW w:w="1721" w:type="dxa"/>
            <w:vMerge w:val="restart"/>
            <w:tcBorders>
              <w:top w:val="nil"/>
              <w:left w:val="single" w:sz="4" w:space="0" w:color="auto"/>
              <w:bottom w:val="single" w:sz="4" w:space="0" w:color="auto"/>
              <w:right w:val="single" w:sz="4" w:space="0" w:color="auto"/>
            </w:tcBorders>
            <w:shd w:val="clear" w:color="auto" w:fill="auto"/>
            <w:vAlign w:val="center"/>
            <w:hideMark/>
          </w:tcPr>
          <w:p w14:paraId="79BAD261"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509</w:t>
            </w:r>
          </w:p>
        </w:tc>
      </w:tr>
      <w:tr w:rsidR="006179BB" w:rsidRPr="00C15715" w14:paraId="61E775A6" w14:textId="77777777" w:rsidTr="006179BB">
        <w:trPr>
          <w:trHeight w:val="630"/>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A72391C" w14:textId="3C69D602"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s</w:t>
            </w:r>
            <w:r w:rsidR="006179BB" w:rsidRPr="00C15715">
              <w:rPr>
                <w:rFonts w:eastAsia="Times New Roman" w:cstheme="minorHAnsi"/>
                <w:color w:val="000000"/>
                <w:szCs w:val="24"/>
                <w:lang w:eastAsia="lv-LV"/>
              </w:rPr>
              <w:t>vinu nesaturošais benzīns, kuram tiek pievienots etilspirts (bio 5%) (par 1000 l)</w:t>
            </w:r>
            <w:r w:rsidR="006179BB" w:rsidRPr="00C15715">
              <w:rPr>
                <w:rStyle w:val="FootnoteReference"/>
                <w:rFonts w:eastAsia="Times New Roman" w:cstheme="minorHAnsi"/>
                <w:color w:val="000000"/>
                <w:szCs w:val="24"/>
                <w:lang w:eastAsia="lv-LV"/>
              </w:rPr>
              <w:footnoteReference w:id="96"/>
            </w:r>
          </w:p>
        </w:tc>
        <w:tc>
          <w:tcPr>
            <w:tcW w:w="1701" w:type="dxa"/>
            <w:vMerge/>
            <w:tcBorders>
              <w:top w:val="nil"/>
              <w:left w:val="single" w:sz="4" w:space="0" w:color="auto"/>
              <w:bottom w:val="single" w:sz="4" w:space="0" w:color="auto"/>
              <w:right w:val="single" w:sz="4" w:space="0" w:color="auto"/>
            </w:tcBorders>
            <w:vAlign w:val="center"/>
            <w:hideMark/>
          </w:tcPr>
          <w:p w14:paraId="4B05BB3E" w14:textId="77777777" w:rsidR="006179BB" w:rsidRPr="00C15715" w:rsidRDefault="006179BB" w:rsidP="006179BB">
            <w:pPr>
              <w:spacing w:after="0" w:line="240" w:lineRule="auto"/>
              <w:rPr>
                <w:rFonts w:eastAsia="Times New Roman" w:cstheme="minorHAnsi"/>
                <w:color w:val="000000"/>
                <w:szCs w:val="24"/>
                <w:lang w:eastAsia="lv-LV"/>
              </w:rPr>
            </w:pPr>
          </w:p>
        </w:tc>
        <w:tc>
          <w:tcPr>
            <w:tcW w:w="1721" w:type="dxa"/>
            <w:vMerge/>
            <w:tcBorders>
              <w:top w:val="nil"/>
              <w:left w:val="single" w:sz="4" w:space="0" w:color="auto"/>
              <w:bottom w:val="single" w:sz="4" w:space="0" w:color="auto"/>
              <w:right w:val="single" w:sz="4" w:space="0" w:color="auto"/>
            </w:tcBorders>
            <w:vAlign w:val="center"/>
            <w:hideMark/>
          </w:tcPr>
          <w:p w14:paraId="35ED0BB9" w14:textId="77777777" w:rsidR="006179BB" w:rsidRPr="00C15715" w:rsidRDefault="006179BB" w:rsidP="006179BB">
            <w:pPr>
              <w:spacing w:after="0" w:line="240" w:lineRule="auto"/>
              <w:rPr>
                <w:rFonts w:eastAsia="Times New Roman" w:cstheme="minorHAnsi"/>
                <w:color w:val="000000"/>
                <w:szCs w:val="24"/>
                <w:lang w:eastAsia="lv-LV"/>
              </w:rPr>
            </w:pPr>
          </w:p>
        </w:tc>
      </w:tr>
      <w:tr w:rsidR="006179BB" w:rsidRPr="00C15715" w14:paraId="518685A5" w14:textId="77777777" w:rsidTr="006179BB">
        <w:trPr>
          <w:trHeight w:val="511"/>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0799390D" w14:textId="1C8238EC"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s</w:t>
            </w:r>
            <w:r w:rsidR="006179BB" w:rsidRPr="00C15715">
              <w:rPr>
                <w:rFonts w:eastAsia="Times New Roman" w:cstheme="minorHAnsi"/>
                <w:color w:val="000000"/>
                <w:szCs w:val="24"/>
                <w:lang w:eastAsia="lv-LV"/>
              </w:rPr>
              <w:t>vinu nesaturošais benzīns, kuram tiek pievienots etilspirts (E 85)</w:t>
            </w:r>
            <w:r w:rsidR="006179BB" w:rsidRPr="00C15715">
              <w:rPr>
                <w:rStyle w:val="FootnoteReference"/>
                <w:rFonts w:eastAsia="Times New Roman" w:cstheme="minorHAnsi"/>
                <w:color w:val="000000"/>
                <w:szCs w:val="24"/>
                <w:lang w:eastAsia="lv-LV"/>
              </w:rPr>
              <w:footnoteReference w:id="97"/>
            </w:r>
            <w:r w:rsidR="006179BB" w:rsidRPr="00C15715">
              <w:rPr>
                <w:rFonts w:eastAsia="Times New Roman" w:cstheme="minorHAnsi"/>
                <w:color w:val="000000"/>
                <w:szCs w:val="24"/>
                <w:lang w:eastAsia="lv-LV"/>
              </w:rPr>
              <w:t xml:space="preserve"> (par 1000 l)</w:t>
            </w:r>
            <w:r w:rsidR="006179BB" w:rsidRPr="00C15715">
              <w:rPr>
                <w:rStyle w:val="FootnoteReference"/>
                <w:rFonts w:eastAsia="Times New Roman" w:cstheme="minorHAnsi"/>
                <w:color w:val="000000"/>
                <w:szCs w:val="24"/>
                <w:lang w:eastAsia="lv-LV"/>
              </w:rPr>
              <w:footnoteReference w:id="98"/>
            </w:r>
          </w:p>
        </w:tc>
        <w:tc>
          <w:tcPr>
            <w:tcW w:w="1701" w:type="dxa"/>
            <w:tcBorders>
              <w:top w:val="nil"/>
              <w:left w:val="nil"/>
              <w:bottom w:val="single" w:sz="4" w:space="0" w:color="auto"/>
              <w:right w:val="single" w:sz="4" w:space="0" w:color="auto"/>
            </w:tcBorders>
            <w:shd w:val="clear" w:color="auto" w:fill="auto"/>
            <w:vAlign w:val="center"/>
            <w:hideMark/>
          </w:tcPr>
          <w:p w14:paraId="1C2E4FBD"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142,8</w:t>
            </w:r>
            <w:r w:rsidRPr="00C15715">
              <w:rPr>
                <w:rStyle w:val="FootnoteReference"/>
                <w:rFonts w:eastAsia="Times New Roman" w:cstheme="minorHAnsi"/>
                <w:color w:val="000000"/>
                <w:szCs w:val="24"/>
                <w:lang w:eastAsia="lv-LV"/>
              </w:rPr>
              <w:footnoteReference w:id="99"/>
            </w:r>
          </w:p>
        </w:tc>
        <w:tc>
          <w:tcPr>
            <w:tcW w:w="1721" w:type="dxa"/>
            <w:tcBorders>
              <w:top w:val="nil"/>
              <w:left w:val="nil"/>
              <w:bottom w:val="single" w:sz="4" w:space="0" w:color="auto"/>
              <w:right w:val="single" w:sz="4" w:space="0" w:color="auto"/>
            </w:tcBorders>
            <w:shd w:val="clear" w:color="auto" w:fill="auto"/>
            <w:vAlign w:val="center"/>
            <w:hideMark/>
          </w:tcPr>
          <w:p w14:paraId="37B5B8FD"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152,7</w:t>
            </w:r>
            <w:r w:rsidRPr="00C15715">
              <w:rPr>
                <w:rStyle w:val="FootnoteReference"/>
                <w:rFonts w:eastAsia="Times New Roman" w:cstheme="minorHAnsi"/>
                <w:color w:val="000000"/>
                <w:szCs w:val="24"/>
                <w:lang w:eastAsia="lv-LV"/>
              </w:rPr>
              <w:footnoteReference w:id="100"/>
            </w:r>
          </w:p>
        </w:tc>
      </w:tr>
      <w:tr w:rsidR="006179BB" w:rsidRPr="00C15715" w14:paraId="0C8B8899"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0C1EC93" w14:textId="6EB96317"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s</w:t>
            </w:r>
            <w:r w:rsidR="006179BB" w:rsidRPr="00C15715">
              <w:rPr>
                <w:rFonts w:eastAsia="Times New Roman" w:cstheme="minorHAnsi"/>
                <w:color w:val="000000"/>
                <w:szCs w:val="24"/>
                <w:lang w:eastAsia="lv-LV"/>
              </w:rPr>
              <w:t>vinu saturošais benzīns (par 1000 l)</w:t>
            </w:r>
          </w:p>
        </w:tc>
        <w:tc>
          <w:tcPr>
            <w:tcW w:w="1701" w:type="dxa"/>
            <w:tcBorders>
              <w:top w:val="nil"/>
              <w:left w:val="nil"/>
              <w:bottom w:val="single" w:sz="4" w:space="0" w:color="auto"/>
              <w:right w:val="single" w:sz="4" w:space="0" w:color="auto"/>
            </w:tcBorders>
            <w:shd w:val="clear" w:color="auto" w:fill="auto"/>
            <w:vAlign w:val="center"/>
            <w:hideMark/>
          </w:tcPr>
          <w:p w14:paraId="1A9D90E1"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594</w:t>
            </w:r>
          </w:p>
        </w:tc>
        <w:tc>
          <w:tcPr>
            <w:tcW w:w="1721" w:type="dxa"/>
            <w:tcBorders>
              <w:top w:val="nil"/>
              <w:left w:val="nil"/>
              <w:bottom w:val="single" w:sz="4" w:space="0" w:color="auto"/>
              <w:right w:val="single" w:sz="4" w:space="0" w:color="auto"/>
            </w:tcBorders>
            <w:shd w:val="clear" w:color="auto" w:fill="auto"/>
            <w:noWrap/>
            <w:vAlign w:val="center"/>
            <w:hideMark/>
          </w:tcPr>
          <w:p w14:paraId="29CBDA89"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594</w:t>
            </w:r>
          </w:p>
        </w:tc>
      </w:tr>
      <w:tr w:rsidR="006179BB" w:rsidRPr="00C15715" w14:paraId="19CFE9D1"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60040C5A" w14:textId="0C2EBECE"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d</w:t>
            </w:r>
            <w:r w:rsidR="006179BB" w:rsidRPr="00C15715">
              <w:rPr>
                <w:rFonts w:eastAsia="Times New Roman" w:cstheme="minorHAnsi"/>
                <w:color w:val="000000"/>
                <w:szCs w:val="24"/>
                <w:lang w:eastAsia="lv-LV"/>
              </w:rPr>
              <w:t>īzeļdegviela (par 1000 l)</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165AD06F"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372</w:t>
            </w:r>
          </w:p>
        </w:tc>
        <w:tc>
          <w:tcPr>
            <w:tcW w:w="1721" w:type="dxa"/>
            <w:vMerge w:val="restart"/>
            <w:tcBorders>
              <w:top w:val="nil"/>
              <w:left w:val="single" w:sz="4" w:space="0" w:color="auto"/>
              <w:bottom w:val="single" w:sz="4" w:space="0" w:color="auto"/>
              <w:right w:val="single" w:sz="4" w:space="0" w:color="auto"/>
            </w:tcBorders>
            <w:shd w:val="clear" w:color="auto" w:fill="auto"/>
            <w:vAlign w:val="center"/>
            <w:hideMark/>
          </w:tcPr>
          <w:p w14:paraId="34FAEFD7"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414</w:t>
            </w:r>
          </w:p>
        </w:tc>
      </w:tr>
      <w:tr w:rsidR="006179BB" w:rsidRPr="00C15715" w14:paraId="4E424541"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849C12E" w14:textId="47751C84"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d</w:t>
            </w:r>
            <w:r w:rsidR="006179BB" w:rsidRPr="00C15715">
              <w:rPr>
                <w:rFonts w:eastAsia="Times New Roman" w:cstheme="minorHAnsi"/>
                <w:color w:val="000000"/>
                <w:szCs w:val="24"/>
                <w:lang w:eastAsia="lv-LV"/>
              </w:rPr>
              <w:t>īzeļdegviela bio (5%-30% (par 1000 l))</w:t>
            </w:r>
            <w:r w:rsidR="006179BB" w:rsidRPr="00C15715">
              <w:rPr>
                <w:rStyle w:val="FootnoteReference"/>
                <w:rFonts w:eastAsia="Times New Roman" w:cstheme="minorHAnsi"/>
                <w:color w:val="000000"/>
                <w:szCs w:val="24"/>
                <w:lang w:eastAsia="lv-LV"/>
              </w:rPr>
              <w:footnoteReference w:id="101"/>
            </w:r>
          </w:p>
        </w:tc>
        <w:tc>
          <w:tcPr>
            <w:tcW w:w="1701" w:type="dxa"/>
            <w:vMerge/>
            <w:tcBorders>
              <w:top w:val="nil"/>
              <w:left w:val="single" w:sz="4" w:space="0" w:color="auto"/>
              <w:bottom w:val="single" w:sz="4" w:space="0" w:color="auto"/>
              <w:right w:val="single" w:sz="4" w:space="0" w:color="auto"/>
            </w:tcBorders>
            <w:vAlign w:val="center"/>
            <w:hideMark/>
          </w:tcPr>
          <w:p w14:paraId="2084DBC7" w14:textId="77777777" w:rsidR="006179BB" w:rsidRPr="00C15715" w:rsidRDefault="006179BB" w:rsidP="006179BB">
            <w:pPr>
              <w:spacing w:after="0" w:line="240" w:lineRule="auto"/>
              <w:rPr>
                <w:rFonts w:eastAsia="Times New Roman" w:cstheme="minorHAnsi"/>
                <w:color w:val="000000"/>
                <w:szCs w:val="24"/>
                <w:lang w:eastAsia="lv-LV"/>
              </w:rPr>
            </w:pPr>
          </w:p>
        </w:tc>
        <w:tc>
          <w:tcPr>
            <w:tcW w:w="1721" w:type="dxa"/>
            <w:vMerge/>
            <w:tcBorders>
              <w:top w:val="nil"/>
              <w:left w:val="single" w:sz="4" w:space="0" w:color="auto"/>
              <w:bottom w:val="single" w:sz="4" w:space="0" w:color="auto"/>
              <w:right w:val="single" w:sz="4" w:space="0" w:color="auto"/>
            </w:tcBorders>
            <w:vAlign w:val="center"/>
            <w:hideMark/>
          </w:tcPr>
          <w:p w14:paraId="23F02182" w14:textId="77777777" w:rsidR="006179BB" w:rsidRPr="00C15715" w:rsidRDefault="006179BB" w:rsidP="006179BB">
            <w:pPr>
              <w:spacing w:after="0" w:line="240" w:lineRule="auto"/>
              <w:rPr>
                <w:rFonts w:eastAsia="Times New Roman" w:cstheme="minorHAnsi"/>
                <w:color w:val="000000"/>
                <w:szCs w:val="24"/>
                <w:lang w:eastAsia="lv-LV"/>
              </w:rPr>
            </w:pPr>
          </w:p>
        </w:tc>
      </w:tr>
      <w:tr w:rsidR="006179BB" w:rsidRPr="00C15715" w14:paraId="28AE497B"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F679DF6" w14:textId="4570550D"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d</w:t>
            </w:r>
            <w:r w:rsidR="006179BB" w:rsidRPr="00C15715">
              <w:rPr>
                <w:rFonts w:eastAsia="Times New Roman" w:cstheme="minorHAnsi"/>
                <w:color w:val="000000"/>
                <w:szCs w:val="24"/>
                <w:lang w:eastAsia="lv-LV"/>
              </w:rPr>
              <w:t>īzeļdegviela ar bio piejaukumu vismaz 30% (par 1000 l)</w:t>
            </w:r>
            <w:r w:rsidR="006179BB" w:rsidRPr="00C15715">
              <w:rPr>
                <w:rStyle w:val="FootnoteReference"/>
                <w:rFonts w:eastAsia="Times New Roman" w:cstheme="minorHAnsi"/>
                <w:color w:val="000000"/>
                <w:szCs w:val="24"/>
                <w:lang w:eastAsia="lv-LV"/>
              </w:rPr>
              <w:footnoteReference w:id="102"/>
            </w:r>
          </w:p>
        </w:tc>
        <w:tc>
          <w:tcPr>
            <w:tcW w:w="1701" w:type="dxa"/>
            <w:vMerge/>
            <w:tcBorders>
              <w:top w:val="nil"/>
              <w:left w:val="single" w:sz="4" w:space="0" w:color="auto"/>
              <w:bottom w:val="single" w:sz="4" w:space="0" w:color="auto"/>
              <w:right w:val="single" w:sz="4" w:space="0" w:color="auto"/>
            </w:tcBorders>
            <w:vAlign w:val="center"/>
            <w:hideMark/>
          </w:tcPr>
          <w:p w14:paraId="2523CDEC" w14:textId="77777777" w:rsidR="006179BB" w:rsidRPr="00C15715" w:rsidRDefault="006179BB" w:rsidP="006179BB">
            <w:pPr>
              <w:spacing w:after="0" w:line="240" w:lineRule="auto"/>
              <w:rPr>
                <w:rFonts w:eastAsia="Times New Roman" w:cstheme="minorHAnsi"/>
                <w:color w:val="000000"/>
                <w:szCs w:val="24"/>
                <w:lang w:eastAsia="lv-LV"/>
              </w:rPr>
            </w:pPr>
          </w:p>
        </w:tc>
        <w:tc>
          <w:tcPr>
            <w:tcW w:w="1721" w:type="dxa"/>
            <w:vMerge/>
            <w:tcBorders>
              <w:top w:val="nil"/>
              <w:left w:val="single" w:sz="4" w:space="0" w:color="auto"/>
              <w:bottom w:val="single" w:sz="4" w:space="0" w:color="auto"/>
              <w:right w:val="single" w:sz="4" w:space="0" w:color="auto"/>
            </w:tcBorders>
            <w:vAlign w:val="center"/>
            <w:hideMark/>
          </w:tcPr>
          <w:p w14:paraId="699F8B42" w14:textId="77777777" w:rsidR="006179BB" w:rsidRPr="00C15715" w:rsidRDefault="006179BB" w:rsidP="006179BB">
            <w:pPr>
              <w:spacing w:after="0" w:line="240" w:lineRule="auto"/>
              <w:rPr>
                <w:rFonts w:eastAsia="Times New Roman" w:cstheme="minorHAnsi"/>
                <w:color w:val="000000"/>
                <w:szCs w:val="24"/>
                <w:lang w:eastAsia="lv-LV"/>
              </w:rPr>
            </w:pPr>
          </w:p>
        </w:tc>
      </w:tr>
      <w:tr w:rsidR="006179BB" w:rsidRPr="00C15715" w14:paraId="6BDA39AF"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145B9BE" w14:textId="0250ACE2"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b</w:t>
            </w:r>
            <w:r w:rsidR="006179BB" w:rsidRPr="00C15715">
              <w:rPr>
                <w:rFonts w:eastAsia="Times New Roman" w:cstheme="minorHAnsi"/>
                <w:color w:val="000000"/>
                <w:szCs w:val="24"/>
                <w:lang w:eastAsia="lv-LV"/>
              </w:rPr>
              <w:t>iodīzeļdegviela (par 1000 l)</w:t>
            </w:r>
            <w:r w:rsidR="006179BB" w:rsidRPr="00C15715">
              <w:rPr>
                <w:rStyle w:val="FootnoteReference"/>
                <w:rFonts w:eastAsia="Times New Roman" w:cstheme="minorHAnsi"/>
                <w:color w:val="000000"/>
                <w:szCs w:val="24"/>
                <w:lang w:eastAsia="lv-LV"/>
              </w:rPr>
              <w:footnoteReference w:id="103"/>
            </w:r>
          </w:p>
        </w:tc>
        <w:tc>
          <w:tcPr>
            <w:tcW w:w="1701" w:type="dxa"/>
            <w:tcBorders>
              <w:top w:val="nil"/>
              <w:left w:val="nil"/>
              <w:bottom w:val="single" w:sz="4" w:space="0" w:color="auto"/>
              <w:right w:val="single" w:sz="4" w:space="0" w:color="auto"/>
            </w:tcBorders>
            <w:shd w:val="clear" w:color="auto" w:fill="auto"/>
            <w:vAlign w:val="center"/>
            <w:hideMark/>
          </w:tcPr>
          <w:p w14:paraId="2AF3817F" w14:textId="77777777" w:rsidR="006179BB" w:rsidRPr="00C15715" w:rsidRDefault="006179BB" w:rsidP="006179BB">
            <w:pPr>
              <w:spacing w:after="0" w:line="240" w:lineRule="auto"/>
              <w:jc w:val="center"/>
              <w:rPr>
                <w:rFonts w:eastAsia="Times New Roman" w:cstheme="minorHAnsi"/>
                <w:color w:val="000000"/>
                <w:szCs w:val="24"/>
                <w:lang w:eastAsia="lv-LV"/>
              </w:rPr>
            </w:pPr>
            <w:r>
              <w:rPr>
                <w:rFonts w:eastAsia="Times New Roman" w:cstheme="minorHAnsi"/>
                <w:color w:val="000000"/>
                <w:szCs w:val="24"/>
                <w:lang w:eastAsia="lv-LV"/>
              </w:rPr>
              <w:t>0</w:t>
            </w:r>
            <w:r w:rsidRPr="00C15715">
              <w:rPr>
                <w:rFonts w:eastAsia="Times New Roman" w:cstheme="minorHAnsi"/>
                <w:color w:val="000000"/>
                <w:szCs w:val="24"/>
                <w:lang w:eastAsia="lv-LV"/>
              </w:rPr>
              <w:t> </w:t>
            </w:r>
          </w:p>
        </w:tc>
        <w:tc>
          <w:tcPr>
            <w:tcW w:w="1721" w:type="dxa"/>
            <w:tcBorders>
              <w:top w:val="nil"/>
              <w:left w:val="nil"/>
              <w:bottom w:val="single" w:sz="4" w:space="0" w:color="auto"/>
              <w:right w:val="single" w:sz="4" w:space="0" w:color="auto"/>
            </w:tcBorders>
            <w:shd w:val="clear" w:color="auto" w:fill="auto"/>
            <w:noWrap/>
            <w:vAlign w:val="center"/>
            <w:hideMark/>
          </w:tcPr>
          <w:p w14:paraId="5ABBA5F3"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0</w:t>
            </w:r>
          </w:p>
        </w:tc>
      </w:tr>
      <w:tr w:rsidR="006179BB" w:rsidRPr="00C15715" w14:paraId="7E327996"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2DE3E9AF" w14:textId="189C074D"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p</w:t>
            </w:r>
            <w:r w:rsidR="006179BB" w:rsidRPr="00C15715">
              <w:rPr>
                <w:rFonts w:eastAsia="Times New Roman" w:cstheme="minorHAnsi"/>
                <w:color w:val="000000"/>
                <w:szCs w:val="24"/>
                <w:lang w:eastAsia="lv-LV"/>
              </w:rPr>
              <w:t>etroleja (par 1000 l)</w:t>
            </w:r>
          </w:p>
        </w:tc>
        <w:tc>
          <w:tcPr>
            <w:tcW w:w="1701" w:type="dxa"/>
            <w:tcBorders>
              <w:top w:val="nil"/>
              <w:left w:val="nil"/>
              <w:bottom w:val="single" w:sz="4" w:space="0" w:color="auto"/>
              <w:right w:val="single" w:sz="4" w:space="0" w:color="auto"/>
            </w:tcBorders>
            <w:shd w:val="clear" w:color="auto" w:fill="auto"/>
            <w:vAlign w:val="center"/>
            <w:hideMark/>
          </w:tcPr>
          <w:p w14:paraId="1B88A2D6"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372</w:t>
            </w:r>
          </w:p>
        </w:tc>
        <w:tc>
          <w:tcPr>
            <w:tcW w:w="1721" w:type="dxa"/>
            <w:tcBorders>
              <w:top w:val="nil"/>
              <w:left w:val="nil"/>
              <w:bottom w:val="single" w:sz="4" w:space="0" w:color="auto"/>
              <w:right w:val="single" w:sz="4" w:space="0" w:color="auto"/>
            </w:tcBorders>
            <w:shd w:val="clear" w:color="auto" w:fill="auto"/>
            <w:vAlign w:val="center"/>
            <w:hideMark/>
          </w:tcPr>
          <w:p w14:paraId="63DBB16C"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414</w:t>
            </w:r>
          </w:p>
        </w:tc>
      </w:tr>
      <w:tr w:rsidR="006179BB" w:rsidRPr="00C15715" w14:paraId="41BFDDFC"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16F6B45" w14:textId="4BE84FF2"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d</w:t>
            </w:r>
            <w:r w:rsidR="006179BB" w:rsidRPr="00C15715">
              <w:rPr>
                <w:rFonts w:eastAsia="Times New Roman" w:cstheme="minorHAnsi"/>
                <w:color w:val="000000"/>
                <w:szCs w:val="24"/>
                <w:lang w:eastAsia="lv-LV"/>
              </w:rPr>
              <w:t>egvieleļļa (par 1000 kg)</w:t>
            </w:r>
          </w:p>
        </w:tc>
        <w:tc>
          <w:tcPr>
            <w:tcW w:w="1701" w:type="dxa"/>
            <w:tcBorders>
              <w:top w:val="nil"/>
              <w:left w:val="nil"/>
              <w:bottom w:val="single" w:sz="4" w:space="0" w:color="auto"/>
              <w:right w:val="single" w:sz="4" w:space="0" w:color="auto"/>
            </w:tcBorders>
            <w:shd w:val="clear" w:color="auto" w:fill="auto"/>
            <w:noWrap/>
            <w:vAlign w:val="center"/>
            <w:hideMark/>
          </w:tcPr>
          <w:p w14:paraId="5A7338F7"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15,65</w:t>
            </w:r>
          </w:p>
        </w:tc>
        <w:tc>
          <w:tcPr>
            <w:tcW w:w="1721" w:type="dxa"/>
            <w:tcBorders>
              <w:top w:val="nil"/>
              <w:left w:val="nil"/>
              <w:bottom w:val="single" w:sz="4" w:space="0" w:color="auto"/>
              <w:right w:val="single" w:sz="4" w:space="0" w:color="auto"/>
            </w:tcBorders>
            <w:shd w:val="clear" w:color="auto" w:fill="auto"/>
            <w:noWrap/>
            <w:vAlign w:val="center"/>
            <w:hideMark/>
          </w:tcPr>
          <w:p w14:paraId="115D4229"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15,65</w:t>
            </w:r>
          </w:p>
        </w:tc>
      </w:tr>
      <w:tr w:rsidR="006179BB" w:rsidRPr="00C15715" w14:paraId="6255AD73"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78B3E423" w14:textId="5216D8A6"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d</w:t>
            </w:r>
            <w:r w:rsidR="006179BB" w:rsidRPr="00C15715">
              <w:rPr>
                <w:rFonts w:eastAsia="Times New Roman" w:cstheme="minorHAnsi"/>
                <w:color w:val="000000"/>
                <w:szCs w:val="24"/>
                <w:lang w:eastAsia="lv-LV"/>
              </w:rPr>
              <w:t>egvieleļļa (</w:t>
            </w:r>
            <w:r w:rsidR="006179BB">
              <w:rPr>
                <w:rFonts w:eastAsia="Times New Roman" w:cstheme="minorHAnsi"/>
                <w:color w:val="000000"/>
                <w:szCs w:val="24"/>
                <w:lang w:eastAsia="lv-LV"/>
              </w:rPr>
              <w:t>mazuts) (</w:t>
            </w:r>
            <w:r w:rsidR="006179BB" w:rsidRPr="00C15715">
              <w:rPr>
                <w:rFonts w:eastAsia="Times New Roman" w:cstheme="minorHAnsi"/>
                <w:color w:val="000000"/>
                <w:szCs w:val="24"/>
                <w:lang w:eastAsia="lv-LV"/>
              </w:rPr>
              <w:t>par 1000 l)</w:t>
            </w:r>
            <w:r w:rsidR="006179BB" w:rsidRPr="00C15715">
              <w:rPr>
                <w:rStyle w:val="FootnoteReference"/>
                <w:rFonts w:eastAsia="Times New Roman" w:cstheme="minorHAnsi"/>
                <w:color w:val="000000"/>
                <w:szCs w:val="24"/>
                <w:lang w:eastAsia="lv-LV"/>
              </w:rPr>
              <w:footnoteReference w:id="104"/>
            </w:r>
          </w:p>
        </w:tc>
        <w:tc>
          <w:tcPr>
            <w:tcW w:w="1701" w:type="dxa"/>
            <w:tcBorders>
              <w:top w:val="nil"/>
              <w:left w:val="nil"/>
              <w:bottom w:val="single" w:sz="4" w:space="0" w:color="auto"/>
              <w:right w:val="single" w:sz="4" w:space="0" w:color="auto"/>
            </w:tcBorders>
            <w:shd w:val="clear" w:color="auto" w:fill="auto"/>
            <w:vAlign w:val="center"/>
            <w:hideMark/>
          </w:tcPr>
          <w:p w14:paraId="2843F985"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372</w:t>
            </w:r>
          </w:p>
        </w:tc>
        <w:tc>
          <w:tcPr>
            <w:tcW w:w="1721" w:type="dxa"/>
            <w:tcBorders>
              <w:top w:val="nil"/>
              <w:left w:val="nil"/>
              <w:bottom w:val="single" w:sz="4" w:space="0" w:color="auto"/>
              <w:right w:val="single" w:sz="4" w:space="0" w:color="auto"/>
            </w:tcBorders>
            <w:shd w:val="clear" w:color="auto" w:fill="auto"/>
            <w:vAlign w:val="center"/>
            <w:hideMark/>
          </w:tcPr>
          <w:p w14:paraId="52C81EE2"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414</w:t>
            </w:r>
          </w:p>
        </w:tc>
      </w:tr>
      <w:tr w:rsidR="006179BB" w:rsidRPr="00C15715" w14:paraId="05745CEA" w14:textId="77777777" w:rsidTr="006179BB">
        <w:trPr>
          <w:trHeight w:val="70"/>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0BEBFD75" w14:textId="0ADBC657"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n</w:t>
            </w:r>
            <w:r w:rsidR="006179BB" w:rsidRPr="00C15715">
              <w:rPr>
                <w:rFonts w:eastAsia="Times New Roman" w:cstheme="minorHAnsi"/>
                <w:color w:val="000000"/>
                <w:szCs w:val="24"/>
                <w:lang w:eastAsia="lv-LV"/>
              </w:rPr>
              <w:t>aftas gāzes un pārējie gāzveida ogļūdeņraži (par 1000 kg)</w:t>
            </w:r>
            <w:r w:rsidR="006179BB" w:rsidRPr="00C15715">
              <w:rPr>
                <w:rStyle w:val="FootnoteReference"/>
                <w:rFonts w:eastAsia="Times New Roman" w:cstheme="minorHAnsi"/>
                <w:color w:val="000000"/>
                <w:szCs w:val="24"/>
                <w:lang w:eastAsia="lv-LV"/>
              </w:rPr>
              <w:footnoteReference w:id="105"/>
            </w:r>
          </w:p>
        </w:tc>
        <w:tc>
          <w:tcPr>
            <w:tcW w:w="1701" w:type="dxa"/>
            <w:tcBorders>
              <w:top w:val="nil"/>
              <w:left w:val="nil"/>
              <w:bottom w:val="single" w:sz="4" w:space="0" w:color="auto"/>
              <w:right w:val="single" w:sz="4" w:space="0" w:color="auto"/>
            </w:tcBorders>
            <w:shd w:val="clear" w:color="auto" w:fill="auto"/>
            <w:vAlign w:val="center"/>
            <w:hideMark/>
          </w:tcPr>
          <w:p w14:paraId="77671B76"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244</w:t>
            </w:r>
          </w:p>
        </w:tc>
        <w:tc>
          <w:tcPr>
            <w:tcW w:w="1721" w:type="dxa"/>
            <w:tcBorders>
              <w:top w:val="nil"/>
              <w:left w:val="nil"/>
              <w:bottom w:val="single" w:sz="4" w:space="0" w:color="auto"/>
              <w:right w:val="single" w:sz="4" w:space="0" w:color="auto"/>
            </w:tcBorders>
            <w:shd w:val="clear" w:color="auto" w:fill="auto"/>
            <w:vAlign w:val="center"/>
            <w:hideMark/>
          </w:tcPr>
          <w:p w14:paraId="49957348"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285</w:t>
            </w:r>
          </w:p>
        </w:tc>
      </w:tr>
      <w:tr w:rsidR="006179BB" w:rsidRPr="00C15715" w14:paraId="54AE1882"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5C1D229F" w14:textId="492DFF8A"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m</w:t>
            </w:r>
            <w:r w:rsidR="006179BB" w:rsidRPr="00C15715">
              <w:rPr>
                <w:rFonts w:eastAsia="Times New Roman" w:cstheme="minorHAnsi"/>
                <w:color w:val="000000"/>
                <w:szCs w:val="24"/>
                <w:lang w:eastAsia="lv-LV"/>
              </w:rPr>
              <w:t>arķētā degviela (par 1000 l)</w:t>
            </w:r>
          </w:p>
        </w:tc>
        <w:tc>
          <w:tcPr>
            <w:tcW w:w="1701" w:type="dxa"/>
            <w:tcBorders>
              <w:top w:val="nil"/>
              <w:left w:val="nil"/>
              <w:bottom w:val="single" w:sz="4" w:space="0" w:color="auto"/>
              <w:right w:val="single" w:sz="4" w:space="0" w:color="auto"/>
            </w:tcBorders>
            <w:shd w:val="clear" w:color="auto" w:fill="auto"/>
            <w:noWrap/>
            <w:vAlign w:val="center"/>
            <w:hideMark/>
          </w:tcPr>
          <w:p w14:paraId="64C60EA4"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56,91</w:t>
            </w:r>
          </w:p>
        </w:tc>
        <w:tc>
          <w:tcPr>
            <w:tcW w:w="1721" w:type="dxa"/>
            <w:tcBorders>
              <w:top w:val="nil"/>
              <w:left w:val="nil"/>
              <w:bottom w:val="single" w:sz="4" w:space="0" w:color="auto"/>
              <w:right w:val="single" w:sz="4" w:space="0" w:color="auto"/>
            </w:tcBorders>
            <w:shd w:val="clear" w:color="auto" w:fill="auto"/>
            <w:noWrap/>
            <w:vAlign w:val="center"/>
            <w:hideMark/>
          </w:tcPr>
          <w:p w14:paraId="1D2CA477"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56,91</w:t>
            </w:r>
          </w:p>
        </w:tc>
      </w:tr>
      <w:tr w:rsidR="006179BB" w:rsidRPr="00C15715" w14:paraId="45F774CE"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35EF24AB" w14:textId="1C431EB3"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m</w:t>
            </w:r>
            <w:r w:rsidR="006179BB" w:rsidRPr="00C15715">
              <w:rPr>
                <w:rFonts w:eastAsia="Times New Roman" w:cstheme="minorHAnsi"/>
                <w:color w:val="000000"/>
                <w:szCs w:val="24"/>
                <w:lang w:eastAsia="lv-LV"/>
              </w:rPr>
              <w:t>arķētā degviela (bio 5%) (par 1000 l)</w:t>
            </w:r>
          </w:p>
        </w:tc>
        <w:tc>
          <w:tcPr>
            <w:tcW w:w="1701" w:type="dxa"/>
            <w:tcBorders>
              <w:top w:val="nil"/>
              <w:left w:val="nil"/>
              <w:bottom w:val="single" w:sz="4" w:space="0" w:color="auto"/>
              <w:right w:val="single" w:sz="4" w:space="0" w:color="auto"/>
            </w:tcBorders>
            <w:shd w:val="clear" w:color="auto" w:fill="auto"/>
            <w:noWrap/>
            <w:vAlign w:val="center"/>
            <w:hideMark/>
          </w:tcPr>
          <w:p w14:paraId="325E8E1C"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21,34</w:t>
            </w:r>
          </w:p>
        </w:tc>
        <w:tc>
          <w:tcPr>
            <w:tcW w:w="1721" w:type="dxa"/>
            <w:tcBorders>
              <w:top w:val="nil"/>
              <w:left w:val="nil"/>
              <w:bottom w:val="single" w:sz="4" w:space="0" w:color="auto"/>
              <w:right w:val="single" w:sz="4" w:space="0" w:color="auto"/>
            </w:tcBorders>
            <w:shd w:val="clear" w:color="auto" w:fill="auto"/>
            <w:noWrap/>
            <w:vAlign w:val="center"/>
            <w:hideMark/>
          </w:tcPr>
          <w:p w14:paraId="707EA7C7"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21,34</w:t>
            </w:r>
          </w:p>
        </w:tc>
      </w:tr>
      <w:tr w:rsidR="006179BB" w:rsidRPr="00C15715" w14:paraId="2CAA95C8" w14:textId="77777777" w:rsidTr="006179BB">
        <w:trPr>
          <w:trHeight w:val="315"/>
          <w:jc w:val="center"/>
        </w:trPr>
        <w:tc>
          <w:tcPr>
            <w:tcW w:w="6374" w:type="dxa"/>
            <w:tcBorders>
              <w:top w:val="nil"/>
              <w:left w:val="single" w:sz="4" w:space="0" w:color="auto"/>
              <w:bottom w:val="single" w:sz="4" w:space="0" w:color="auto"/>
              <w:right w:val="single" w:sz="4" w:space="0" w:color="auto"/>
            </w:tcBorders>
            <w:shd w:val="clear" w:color="auto" w:fill="auto"/>
            <w:vAlign w:val="center"/>
            <w:hideMark/>
          </w:tcPr>
          <w:p w14:paraId="4148D1E3" w14:textId="0514537F" w:rsidR="006179BB" w:rsidRPr="00C15715" w:rsidRDefault="000B0D2F" w:rsidP="006179BB">
            <w:pPr>
              <w:spacing w:after="0" w:line="240" w:lineRule="auto"/>
              <w:rPr>
                <w:rFonts w:eastAsia="Times New Roman" w:cstheme="minorHAnsi"/>
                <w:color w:val="000000"/>
                <w:szCs w:val="24"/>
                <w:lang w:eastAsia="lv-LV"/>
              </w:rPr>
            </w:pPr>
            <w:r>
              <w:rPr>
                <w:rFonts w:eastAsia="Times New Roman" w:cstheme="minorHAnsi"/>
                <w:color w:val="000000"/>
                <w:szCs w:val="24"/>
                <w:lang w:eastAsia="lv-LV"/>
              </w:rPr>
              <w:t>dī</w:t>
            </w:r>
            <w:r w:rsidR="006179BB" w:rsidRPr="00C15715">
              <w:rPr>
                <w:rFonts w:eastAsia="Times New Roman" w:cstheme="minorHAnsi"/>
                <w:color w:val="000000"/>
                <w:szCs w:val="24"/>
                <w:lang w:eastAsia="lv-LV"/>
              </w:rPr>
              <w:t>zeļdegviela lauksaimniekiem</w:t>
            </w:r>
            <w:r w:rsidR="006179BB" w:rsidRPr="00C15715">
              <w:rPr>
                <w:rStyle w:val="FootnoteReference"/>
                <w:rFonts w:eastAsia="Times New Roman" w:cstheme="minorHAnsi"/>
                <w:color w:val="000000"/>
                <w:szCs w:val="24"/>
                <w:lang w:eastAsia="lv-LV"/>
              </w:rPr>
              <w:footnoteReference w:id="106"/>
            </w:r>
            <w:r w:rsidR="006179BB" w:rsidRPr="00C15715">
              <w:rPr>
                <w:rFonts w:eastAsia="Times New Roman" w:cstheme="minorHAnsi"/>
                <w:color w:val="000000"/>
                <w:szCs w:val="24"/>
                <w:lang w:eastAsia="lv-LV"/>
              </w:rPr>
              <w:t xml:space="preserve"> (par 1000 l)</w:t>
            </w:r>
            <w:r w:rsidR="006179BB" w:rsidRPr="00C15715">
              <w:rPr>
                <w:rStyle w:val="FootnoteReference"/>
                <w:rFonts w:eastAsia="Times New Roman" w:cstheme="minorHAnsi"/>
                <w:color w:val="000000"/>
                <w:szCs w:val="24"/>
                <w:lang w:eastAsia="lv-LV"/>
              </w:rPr>
              <w:footnoteReference w:id="107"/>
            </w:r>
          </w:p>
        </w:tc>
        <w:tc>
          <w:tcPr>
            <w:tcW w:w="1701" w:type="dxa"/>
            <w:tcBorders>
              <w:top w:val="nil"/>
              <w:left w:val="nil"/>
              <w:bottom w:val="single" w:sz="4" w:space="0" w:color="auto"/>
              <w:right w:val="single" w:sz="4" w:space="0" w:color="auto"/>
            </w:tcBorders>
            <w:shd w:val="clear" w:color="auto" w:fill="auto"/>
            <w:vAlign w:val="center"/>
            <w:hideMark/>
          </w:tcPr>
          <w:p w14:paraId="21A8BD25"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55,8</w:t>
            </w:r>
          </w:p>
        </w:tc>
        <w:tc>
          <w:tcPr>
            <w:tcW w:w="1721" w:type="dxa"/>
            <w:tcBorders>
              <w:top w:val="nil"/>
              <w:left w:val="nil"/>
              <w:bottom w:val="single" w:sz="4" w:space="0" w:color="auto"/>
              <w:right w:val="single" w:sz="4" w:space="0" w:color="auto"/>
            </w:tcBorders>
            <w:shd w:val="clear" w:color="auto" w:fill="auto"/>
            <w:vAlign w:val="center"/>
            <w:hideMark/>
          </w:tcPr>
          <w:p w14:paraId="616CF973" w14:textId="77777777" w:rsidR="006179BB" w:rsidRPr="00C15715" w:rsidRDefault="006179BB" w:rsidP="006179BB">
            <w:pPr>
              <w:spacing w:after="0" w:line="240" w:lineRule="auto"/>
              <w:jc w:val="center"/>
              <w:rPr>
                <w:rFonts w:eastAsia="Times New Roman" w:cstheme="minorHAnsi"/>
                <w:color w:val="000000"/>
                <w:szCs w:val="24"/>
                <w:lang w:eastAsia="lv-LV"/>
              </w:rPr>
            </w:pPr>
            <w:r w:rsidRPr="00C15715">
              <w:rPr>
                <w:rFonts w:eastAsia="Times New Roman" w:cstheme="minorHAnsi"/>
                <w:color w:val="000000"/>
                <w:szCs w:val="24"/>
                <w:lang w:eastAsia="lv-LV"/>
              </w:rPr>
              <w:t>62,1</w:t>
            </w:r>
          </w:p>
        </w:tc>
      </w:tr>
    </w:tbl>
    <w:p w14:paraId="2740EDCD" w14:textId="77777777" w:rsidR="006179BB" w:rsidRPr="00C15715" w:rsidRDefault="006179BB" w:rsidP="006179BB">
      <w:pPr>
        <w:pStyle w:val="NormalWeb"/>
        <w:shd w:val="clear" w:color="auto" w:fill="FFFFFF"/>
        <w:spacing w:before="120" w:beforeAutospacing="0" w:after="120" w:afterAutospacing="0"/>
        <w:jc w:val="both"/>
        <w:rPr>
          <w:rFonts w:asciiTheme="minorHAnsi" w:hAnsiTheme="minorHAnsi" w:cstheme="minorHAnsi"/>
          <w:color w:val="000000"/>
        </w:rPr>
      </w:pPr>
      <w:r w:rsidRPr="00C15715">
        <w:rPr>
          <w:rFonts w:asciiTheme="minorHAnsi" w:hAnsiTheme="minorHAnsi" w:cstheme="minorHAnsi"/>
          <w:color w:val="000000"/>
        </w:rPr>
        <w:t>Akcīzes nodokļa diferencētās likmes arī var tikt uzskatītas par enerģijas subsīdijām attiecībā uz to kurināmo vai degvielu, kuram tiek piemērotas zemākas akcīzes nodokļa likmes salīdzinot ar citiem kurināmā vai degvielas veidiem.</w:t>
      </w:r>
    </w:p>
    <w:p w14:paraId="00EFAAA4" w14:textId="77777777" w:rsidR="006179BB" w:rsidRPr="00C15715" w:rsidRDefault="006179BB" w:rsidP="006179BB">
      <w:pPr>
        <w:pStyle w:val="NormalWeb"/>
        <w:shd w:val="clear" w:color="auto" w:fill="FFFFFF"/>
        <w:spacing w:before="120" w:beforeAutospacing="0" w:after="120" w:afterAutospacing="0"/>
        <w:jc w:val="both"/>
        <w:rPr>
          <w:rFonts w:asciiTheme="minorHAnsi" w:hAnsiTheme="minorHAnsi" w:cstheme="minorHAnsi"/>
        </w:rPr>
      </w:pPr>
      <w:r w:rsidRPr="00C15715">
        <w:rPr>
          <w:rFonts w:asciiTheme="minorHAnsi" w:hAnsiTheme="minorHAnsi" w:cstheme="minorHAnsi"/>
        </w:rPr>
        <w:t>Likums „Par akcīzes nodokli” paredz, ka no akcīzes nodokļa atbrīvo</w:t>
      </w:r>
      <w:r>
        <w:rPr>
          <w:rFonts w:asciiTheme="minorHAnsi" w:hAnsiTheme="minorHAnsi" w:cstheme="minorHAnsi"/>
        </w:rPr>
        <w:t xml:space="preserve"> </w:t>
      </w:r>
      <w:r w:rsidRPr="00C15715">
        <w:rPr>
          <w:rFonts w:asciiTheme="minorHAnsi" w:hAnsiTheme="minorHAnsi" w:cstheme="minorHAnsi"/>
        </w:rPr>
        <w:t>naftas produktus, kurus piegādā un izmanto:</w:t>
      </w:r>
    </w:p>
    <w:p w14:paraId="05720EE7" w14:textId="77777777" w:rsidR="006179BB" w:rsidRPr="00C15715"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Pr>
          <w:rFonts w:asciiTheme="minorHAnsi" w:hAnsiTheme="minorHAnsi" w:cstheme="minorHAnsi"/>
        </w:rPr>
        <w:t>citiem mērķiem (</w:t>
      </w:r>
      <w:r w:rsidRPr="00C15715">
        <w:rPr>
          <w:rFonts w:asciiTheme="minorHAnsi" w:hAnsiTheme="minorHAnsi" w:cstheme="minorHAnsi"/>
        </w:rPr>
        <w:t>kā izejvielu</w:t>
      </w:r>
      <w:r>
        <w:rPr>
          <w:rFonts w:asciiTheme="minorHAnsi" w:hAnsiTheme="minorHAnsi" w:cstheme="minorHAnsi"/>
        </w:rPr>
        <w:t>,</w:t>
      </w:r>
      <w:r w:rsidRPr="00C15715">
        <w:rPr>
          <w:rFonts w:asciiTheme="minorHAnsi" w:hAnsiTheme="minorHAnsi" w:cstheme="minorHAnsi"/>
        </w:rPr>
        <w:t xml:space="preserve"> nevis kā degvielu vai kurināmo); </w:t>
      </w:r>
    </w:p>
    <w:p w14:paraId="03B265AD" w14:textId="77777777" w:rsidR="006179BB" w:rsidRPr="00C15715"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C15715">
        <w:rPr>
          <w:rFonts w:asciiTheme="minorHAnsi" w:hAnsiTheme="minorHAnsi" w:cstheme="minorHAnsi"/>
        </w:rPr>
        <w:t>gaisakuģi un kuģi, kuri netiek izmantoti privātai atpūtai un izklaidei;</w:t>
      </w:r>
    </w:p>
    <w:p w14:paraId="6DF34DD5" w14:textId="77777777" w:rsidR="006179BB" w:rsidRPr="00C15715"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C15715">
        <w:rPr>
          <w:rFonts w:asciiTheme="minorHAnsi" w:hAnsiTheme="minorHAnsi" w:cstheme="minorHAnsi"/>
        </w:rPr>
        <w:t>elektroenerģijas ražošanai vai kombinētās iekārtās, kas ražo elektroenerģiju un siltumenerģiju;</w:t>
      </w:r>
    </w:p>
    <w:p w14:paraId="29FDD6D9" w14:textId="77777777" w:rsidR="006179BB" w:rsidRPr="00F97BC0"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C15715">
        <w:rPr>
          <w:rFonts w:asciiTheme="minorHAnsi" w:hAnsiTheme="minorHAnsi" w:cstheme="minorHAnsi"/>
        </w:rPr>
        <w:t>ķīmiskās apstrādes procesā, pievienojot koksam, ko izmanto par kurināmo</w:t>
      </w:r>
    </w:p>
    <w:p w14:paraId="0A280B97" w14:textId="77777777" w:rsidR="006179BB" w:rsidRPr="00C15715"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Pr>
          <w:rFonts w:asciiTheme="minorHAnsi" w:hAnsiTheme="minorHAnsi" w:cstheme="minorHAnsi"/>
        </w:rPr>
        <w:t>divejādi</w:t>
      </w:r>
      <w:r w:rsidRPr="00C15715">
        <w:rPr>
          <w:rFonts w:asciiTheme="minorHAnsi" w:hAnsiTheme="minorHAnsi" w:cstheme="minorHAnsi"/>
        </w:rPr>
        <w:t xml:space="preserve">; </w:t>
      </w:r>
    </w:p>
    <w:p w14:paraId="3D5161A5" w14:textId="42A98474" w:rsidR="006179BB" w:rsidRDefault="006179BB" w:rsidP="006179BB">
      <w:pPr>
        <w:pStyle w:val="NormalWeb"/>
        <w:shd w:val="clear" w:color="auto" w:fill="FFFFFF"/>
        <w:spacing w:before="120" w:beforeAutospacing="0" w:after="120" w:afterAutospacing="0"/>
        <w:jc w:val="both"/>
        <w:rPr>
          <w:rFonts w:asciiTheme="minorHAnsi" w:hAnsiTheme="minorHAnsi" w:cstheme="minorHAnsi"/>
        </w:rPr>
      </w:pPr>
      <w:r w:rsidRPr="00C15715">
        <w:rPr>
          <w:rFonts w:asciiTheme="minorHAnsi" w:hAnsiTheme="minorHAnsi" w:cstheme="minorHAnsi"/>
        </w:rPr>
        <w:t xml:space="preserve">Likums „Par akcīzes nodokli” paredz, ka </w:t>
      </w:r>
      <w:r>
        <w:rPr>
          <w:rFonts w:asciiTheme="minorHAnsi" w:hAnsiTheme="minorHAnsi" w:cstheme="minorHAnsi"/>
        </w:rPr>
        <w:t xml:space="preserve">0 </w:t>
      </w:r>
      <w:r w:rsidR="00A45809">
        <w:rPr>
          <w:rFonts w:asciiTheme="minorHAnsi" w:hAnsiTheme="minorHAnsi" w:cstheme="minorHAnsi"/>
        </w:rPr>
        <w:t xml:space="preserve">EUR </w:t>
      </w:r>
      <w:r>
        <w:rPr>
          <w:rFonts w:asciiTheme="minorHAnsi" w:hAnsiTheme="minorHAnsi" w:cstheme="minorHAnsi"/>
        </w:rPr>
        <w:t>likmi akcīzes nodokļa likmi piemēro:</w:t>
      </w:r>
    </w:p>
    <w:p w14:paraId="761BBCD9" w14:textId="77777777" w:rsidR="006179BB" w:rsidRPr="00F97BC0"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F97BC0">
        <w:rPr>
          <w:rFonts w:asciiTheme="minorHAnsi" w:hAnsiTheme="minorHAnsi" w:cstheme="minorHAnsi"/>
        </w:rPr>
        <w:t>biodīzeļdegvielai, kas pilnībā iegūta no rapšu sēklu eļļas, un rapšu sēklu eļļai, kuru realizē vai izmanto par kurināmo vai degvielu;</w:t>
      </w:r>
    </w:p>
    <w:p w14:paraId="2128BCBB" w14:textId="77777777" w:rsidR="006179BB" w:rsidRPr="00F97BC0" w:rsidRDefault="006179BB" w:rsidP="0007326F">
      <w:pPr>
        <w:pStyle w:val="NormalWeb"/>
        <w:numPr>
          <w:ilvl w:val="1"/>
          <w:numId w:val="16"/>
        </w:numPr>
        <w:shd w:val="clear" w:color="auto" w:fill="FFFFFF"/>
        <w:spacing w:before="120" w:beforeAutospacing="0" w:after="120" w:afterAutospacing="0"/>
        <w:ind w:left="397" w:hanging="397"/>
        <w:jc w:val="both"/>
        <w:rPr>
          <w:rFonts w:asciiTheme="minorHAnsi" w:hAnsiTheme="minorHAnsi" w:cstheme="minorHAnsi"/>
          <w:color w:val="000000"/>
        </w:rPr>
      </w:pPr>
      <w:r w:rsidRPr="00F97BC0">
        <w:rPr>
          <w:rFonts w:asciiTheme="minorHAnsi" w:hAnsiTheme="minorHAnsi" w:cstheme="minorHAnsi"/>
          <w:color w:val="000000"/>
        </w:rPr>
        <w:t>naftas gāzēm un pārējiem gāzveida ogļūdeņražiem, ja tos piegādā personām, kuras tos izmanto par kurināmo vai gāzes krāsnīs un citās iekārtās, nevis par degvielu</w:t>
      </w:r>
      <w:r>
        <w:rPr>
          <w:rFonts w:asciiTheme="minorHAnsi" w:hAnsiTheme="minorHAnsi" w:cstheme="minorHAnsi"/>
          <w:color w:val="000000"/>
        </w:rPr>
        <w:t>.</w:t>
      </w:r>
    </w:p>
    <w:p w14:paraId="32DD1AFD" w14:textId="77777777" w:rsidR="006179BB" w:rsidRPr="00C15715" w:rsidRDefault="006179BB" w:rsidP="006179BB">
      <w:pPr>
        <w:pStyle w:val="NormalWeb"/>
        <w:shd w:val="clear" w:color="auto" w:fill="FFFFFF"/>
        <w:spacing w:before="0" w:beforeAutospacing="0" w:after="150" w:afterAutospacing="0"/>
        <w:rPr>
          <w:rFonts w:asciiTheme="minorHAnsi" w:hAnsiTheme="minorHAnsi" w:cstheme="minorHAnsi"/>
          <w:u w:val="single"/>
        </w:rPr>
      </w:pPr>
      <w:r w:rsidRPr="00C15715">
        <w:rPr>
          <w:rFonts w:asciiTheme="minorHAnsi" w:hAnsiTheme="minorHAnsi" w:cstheme="minorHAnsi"/>
          <w:u w:val="single"/>
        </w:rPr>
        <w:t>Pievienotās vērtības nodoklis</w:t>
      </w:r>
    </w:p>
    <w:p w14:paraId="67613992"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PVN samazinātā likme</w:t>
      </w:r>
      <w:r>
        <w:rPr>
          <w:rFonts w:cstheme="minorHAnsi"/>
          <w:szCs w:val="24"/>
        </w:rPr>
        <w:t xml:space="preserve"> – 12% apmērā,</w:t>
      </w:r>
      <w:r w:rsidRPr="00C15715">
        <w:rPr>
          <w:rFonts w:cstheme="minorHAnsi"/>
          <w:szCs w:val="24"/>
        </w:rPr>
        <w:t xml:space="preserve"> tiek piemērota</w:t>
      </w:r>
      <w:r>
        <w:rPr>
          <w:rFonts w:cstheme="minorHAnsi"/>
          <w:szCs w:val="24"/>
        </w:rPr>
        <w:t xml:space="preserve"> </w:t>
      </w:r>
      <w:r w:rsidRPr="00C15715">
        <w:rPr>
          <w:rFonts w:cstheme="minorHAnsi"/>
          <w:szCs w:val="24"/>
        </w:rPr>
        <w:t>atsevišķām koksnes kurināmā piegādēm, ja tā faktiskais patērētājs ir iedzīvotājs, kas pērk un patērē koksnes kurināmo mājsaimniecības vajadzībām</w:t>
      </w:r>
      <w:r>
        <w:rPr>
          <w:rFonts w:cstheme="minorHAnsi"/>
          <w:szCs w:val="24"/>
        </w:rPr>
        <w:t xml:space="preserve">, un </w:t>
      </w:r>
      <w:r w:rsidRPr="00C15715">
        <w:rPr>
          <w:rFonts w:cstheme="minorHAnsi"/>
          <w:szCs w:val="24"/>
        </w:rPr>
        <w:t>siltumenerģijas piegādei, ja tās faktiskais patērētājs ir iedzīvotājs, kas pērk un patērē siltumenerģiju mājsaimniecības vajadzībām</w:t>
      </w:r>
      <w:r>
        <w:rPr>
          <w:rFonts w:cstheme="minorHAnsi"/>
          <w:szCs w:val="24"/>
        </w:rPr>
        <w:t>.</w:t>
      </w:r>
    </w:p>
    <w:p w14:paraId="17EA71D4"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Ar PVN neapliek gāzes importu, kas transportēta, izmantojot dabasgāzes sistēmu vai tīklus, kuri pieslēgti šai sistēmai, vai gāzes transportkuģus, un ko iesūknē kādā dabasgāzes sistēmā vai maģistrālo cauruļvadu tīklā, elektroenerģijas, siltumenerģijas vai dzesēšanas enerģijas importam pa siltumapgādes vai dzesēšanas tīkliem.</w:t>
      </w:r>
    </w:p>
    <w:p w14:paraId="181D990D" w14:textId="77777777" w:rsidR="006179BB" w:rsidRPr="00C15715" w:rsidRDefault="006179BB" w:rsidP="006179BB">
      <w:pPr>
        <w:spacing w:before="120" w:after="120" w:line="240" w:lineRule="auto"/>
        <w:jc w:val="both"/>
        <w:rPr>
          <w:rFonts w:cstheme="minorHAnsi"/>
          <w:szCs w:val="24"/>
          <w:u w:val="single"/>
        </w:rPr>
      </w:pPr>
      <w:r w:rsidRPr="00C15715">
        <w:rPr>
          <w:rFonts w:cstheme="minorHAnsi"/>
          <w:szCs w:val="24"/>
          <w:u w:val="single"/>
        </w:rPr>
        <w:t>DRN</w:t>
      </w:r>
    </w:p>
    <w:p w14:paraId="428542B1"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DRN tiek piemērots par dažādu gaisa piesārņojošo vielu emisiju vai SEG emisiju emitēšanu atmosfērā. DRN likme tiek piemērota katrai konkrētai gaisa piesārņojošai vielai vai SEG. DRN par CO</w:t>
      </w:r>
      <w:r w:rsidRPr="00C15715">
        <w:rPr>
          <w:rFonts w:cstheme="minorHAnsi"/>
          <w:szCs w:val="24"/>
          <w:vertAlign w:val="subscript"/>
        </w:rPr>
        <w:t>2</w:t>
      </w:r>
      <w:r w:rsidRPr="00C15715">
        <w:rPr>
          <w:rFonts w:cstheme="minorHAnsi"/>
          <w:szCs w:val="24"/>
        </w:rPr>
        <w:t xml:space="preserve"> emisijām netiek piemērots</w:t>
      </w:r>
      <w:r>
        <w:rPr>
          <w:rFonts w:cstheme="minorHAnsi"/>
          <w:szCs w:val="24"/>
        </w:rPr>
        <w:t xml:space="preserve"> </w:t>
      </w:r>
      <w:r w:rsidRPr="00C15715">
        <w:rPr>
          <w:rFonts w:cstheme="minorHAnsi"/>
          <w:szCs w:val="24"/>
        </w:rPr>
        <w:t>iekārtām, kuras ir iekļautas ES ETS</w:t>
      </w:r>
      <w:r>
        <w:rPr>
          <w:rFonts w:cstheme="minorHAnsi"/>
          <w:szCs w:val="24"/>
        </w:rPr>
        <w:t xml:space="preserve"> un </w:t>
      </w:r>
      <w:r w:rsidRPr="00C15715">
        <w:rPr>
          <w:rFonts w:cstheme="minorHAnsi"/>
          <w:szCs w:val="24"/>
        </w:rPr>
        <w:t>biomasas un kūdras sadedzināšanai</w:t>
      </w:r>
      <w:r>
        <w:rPr>
          <w:rFonts w:cstheme="minorHAnsi"/>
          <w:szCs w:val="24"/>
        </w:rPr>
        <w:t>.</w:t>
      </w:r>
    </w:p>
    <w:p w14:paraId="0D5C5845" w14:textId="7B299A96" w:rsidR="006179BB" w:rsidRPr="00C15715" w:rsidRDefault="006179BB" w:rsidP="006179BB">
      <w:pPr>
        <w:spacing w:before="120" w:after="120" w:line="240" w:lineRule="auto"/>
        <w:jc w:val="both"/>
        <w:rPr>
          <w:rFonts w:cstheme="minorHAnsi"/>
          <w:szCs w:val="24"/>
        </w:rPr>
      </w:pPr>
      <w:r w:rsidRPr="00705AB8">
        <w:rPr>
          <w:rFonts w:cstheme="minorHAnsi"/>
          <w:szCs w:val="24"/>
        </w:rPr>
        <w:t>Akmeņoglēm, koksam un lignītam (brūnoglēm), kuru izmanto elektroenerģijas ražošanai, kā arī siltumenerģijas un elektroenerģijas ražošanai koģenerācijas procesā</w:t>
      </w:r>
      <w:r>
        <w:rPr>
          <w:rFonts w:cstheme="minorHAnsi"/>
          <w:szCs w:val="24"/>
        </w:rPr>
        <w:t>, kā arī a</w:t>
      </w:r>
      <w:r w:rsidRPr="00C15715">
        <w:rPr>
          <w:rFonts w:cstheme="minorHAnsi"/>
          <w:szCs w:val="24"/>
        </w:rPr>
        <w:t>kmeņogļu, koksa un lignīta (brūnogles) realizēšanai, ja personai, kura veic šo realizāciju, ir licence elektroenerģijas ražošanai vai licence siltumenerģijas un elektroenerģijas ražošanai koģenerācijas procesā</w:t>
      </w:r>
      <w:r>
        <w:rPr>
          <w:rFonts w:cstheme="minorHAnsi"/>
          <w:szCs w:val="24"/>
        </w:rPr>
        <w:t xml:space="preserve">, piemēro 0 </w:t>
      </w:r>
      <w:r w:rsidR="00A45809">
        <w:rPr>
          <w:rFonts w:cstheme="minorHAnsi"/>
          <w:szCs w:val="24"/>
        </w:rPr>
        <w:t>EUR</w:t>
      </w:r>
      <w:r>
        <w:rPr>
          <w:rFonts w:cstheme="minorHAnsi"/>
          <w:szCs w:val="24"/>
        </w:rPr>
        <w:t xml:space="preserve"> DRN likmi</w:t>
      </w:r>
      <w:r w:rsidRPr="00C15715">
        <w:rPr>
          <w:rFonts w:cstheme="minorHAnsi"/>
          <w:szCs w:val="24"/>
        </w:rPr>
        <w:t>.</w:t>
      </w:r>
    </w:p>
    <w:p w14:paraId="2AB30BFC" w14:textId="77777777" w:rsidR="006179BB" w:rsidRPr="00C15715" w:rsidRDefault="006179BB" w:rsidP="006179BB">
      <w:pPr>
        <w:spacing w:before="120" w:after="120" w:line="240" w:lineRule="auto"/>
        <w:jc w:val="both"/>
        <w:rPr>
          <w:rFonts w:cstheme="minorHAnsi"/>
          <w:szCs w:val="24"/>
          <w:u w:val="single"/>
        </w:rPr>
      </w:pPr>
      <w:r w:rsidRPr="00C15715">
        <w:rPr>
          <w:rFonts w:cstheme="minorHAnsi"/>
          <w:szCs w:val="24"/>
          <w:u w:val="single"/>
        </w:rPr>
        <w:t>TEN</w:t>
      </w:r>
    </w:p>
    <w:p w14:paraId="31DF8FE0"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Saskaņā ar "Transportlīdzekļa ekspluatācijas nodokļa un uzņēmumu vieglo transportlīdzekļu nodokļa likumu" nodoklis ik gadu jāmaksā visām personām, kuru īpašumā, turējumā vai valdījumā Latvijā ir vai tiek reģistrēti transportlīdzekļi (izņemot traktortehniku, tādas automobiļu piekabes un puspiekabes, kuru pilna masa nepārsniedz 3500 kg, tramvajus, trolejbusus, bezceļu transportlīdzekļus, sniega motociklus, mopēdus un velosipēdus) vai ar nodokli apliekamajam transportlīdzeklim tiek izsniegtas tranzīta numura zīmes.</w:t>
      </w:r>
    </w:p>
    <w:p w14:paraId="689F493B"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TEN nemaksā par:</w:t>
      </w:r>
    </w:p>
    <w:p w14:paraId="41C959DD"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vienu vieglo automobili, motociklu, triciklu vai kvadriciklu, kurš ir vai tiek reģistrēts personai ar invaliditāti īpašumā, turējumā vai valdījumā;</w:t>
      </w:r>
    </w:p>
    <w:p w14:paraId="64894FAB"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transportlīdzekli, kurš ir vai tiek reģistrēts diplomātiskās, konsulārās vai starptautiskās organizācijas pārstāvniecības vai tādas personas īpašumā, turējumā vai valdījumā, kurai ir diplomātiskās vai konsulārās privilēģijas un imunitātes;</w:t>
      </w:r>
    </w:p>
    <w:p w14:paraId="02C251E7"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transportlīdzekli, kuru noraksta vai arī noraksta vienlaikus ar citu reģistrācijas darbību;</w:t>
      </w:r>
    </w:p>
    <w:p w14:paraId="73CCCB47"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transportlīdzekli, kurš ir vai tiek reģistrēts kā operatīvais transportlīdzeklis;</w:t>
      </w:r>
    </w:p>
    <w:p w14:paraId="129F6420"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transportlīdzekli, kas reģistrēts fiziskajai personai īpašumā, par laiku no šīs fiziskās personas nāves brīža līdz īpašnieka maiņas vai valdītāja reģistrācijas brīdim;</w:t>
      </w:r>
    </w:p>
    <w:p w14:paraId="07D0D773"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transportlīdzekli, kuram ir vai tiek reģistrēts vēsturiskā spēkrata statuss vai kurš vai tiek reģistrēts par sporta transportlīdzekli;</w:t>
      </w:r>
    </w:p>
    <w:p w14:paraId="71E6169D"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tādu transportlīdzekli, kas pēc savas konstrukcijas kā vienīgo mehānisko dzinējspēku izmanto enerģiju no transportlīdzeklī glabātās elektroenerģijas vai dzinējspēka glabāšanas iekārtas (piemēram, akumulators, kondensators, spararats vai ģenerators);</w:t>
      </w:r>
    </w:p>
    <w:p w14:paraId="22FE7BF3"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vieglo transportlīdzekli, kura īpašniekam, turētājam vai valdītājam vai šādas personas laulātajam apgādībā ir bērns ar invaliditāti;</w:t>
      </w:r>
    </w:p>
    <w:p w14:paraId="17E5D6F2"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transportlīdzekli, kuru transportlīdzekļa īpašnieka maksātnespējas administrators noņem no uzskaites atsavināšanai Latvijā vai izvešanai no Latvijas, vai transportlīdzekli, kura reģistrāciju pārtrauc uz laiku, nododot numura zīmes;</w:t>
      </w:r>
    </w:p>
    <w:p w14:paraId="6773C832" w14:textId="77777777" w:rsidR="006179BB" w:rsidRPr="00C15715" w:rsidRDefault="006179BB" w:rsidP="00847BE3">
      <w:pPr>
        <w:pStyle w:val="ListParagraph"/>
        <w:numPr>
          <w:ilvl w:val="0"/>
          <w:numId w:val="14"/>
        </w:numPr>
        <w:spacing w:before="120" w:after="120" w:line="240" w:lineRule="auto"/>
        <w:ind w:left="454" w:hanging="454"/>
        <w:contextualSpacing w:val="0"/>
        <w:jc w:val="both"/>
        <w:rPr>
          <w:rFonts w:cstheme="minorHAnsi"/>
          <w:szCs w:val="24"/>
        </w:rPr>
      </w:pPr>
      <w:r w:rsidRPr="00C15715">
        <w:rPr>
          <w:rFonts w:cstheme="minorHAnsi"/>
          <w:szCs w:val="24"/>
        </w:rPr>
        <w:t>vienu transportlīdzekli, kurš ir vai tiek reģistrēts īpašumā, turējumā vai valdījumā Sabiedroto spēku štāba loceklim vai viņa apgādājamam, ja šī persona nav Latvijas pilsonis vai pastāvīgais iedzīvotājs.</w:t>
      </w:r>
    </w:p>
    <w:p w14:paraId="5FD40E8A"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 xml:space="preserve">TEN atvieglojumus </w:t>
      </w:r>
      <w:r>
        <w:rPr>
          <w:rFonts w:cstheme="minorHAnsi"/>
          <w:szCs w:val="24"/>
        </w:rPr>
        <w:t xml:space="preserve">50% apmērā </w:t>
      </w:r>
      <w:r w:rsidRPr="00C15715">
        <w:rPr>
          <w:rFonts w:cstheme="minorHAnsi"/>
          <w:szCs w:val="24"/>
        </w:rPr>
        <w:t>piemēro:</w:t>
      </w:r>
    </w:p>
    <w:p w14:paraId="653E9EF2" w14:textId="77777777" w:rsidR="006179BB" w:rsidRPr="00C15715" w:rsidRDefault="006179BB" w:rsidP="00847BE3">
      <w:pPr>
        <w:pStyle w:val="ListParagraph"/>
        <w:numPr>
          <w:ilvl w:val="0"/>
          <w:numId w:val="15"/>
        </w:numPr>
        <w:spacing w:before="120" w:after="120" w:line="240" w:lineRule="auto"/>
        <w:ind w:left="454" w:hanging="454"/>
        <w:contextualSpacing w:val="0"/>
        <w:jc w:val="both"/>
        <w:rPr>
          <w:rFonts w:cstheme="minorHAnsi"/>
          <w:szCs w:val="24"/>
        </w:rPr>
      </w:pPr>
      <w:r w:rsidRPr="00C15715">
        <w:rPr>
          <w:rFonts w:cstheme="minorHAnsi"/>
          <w:szCs w:val="24"/>
        </w:rPr>
        <w:t>transportlīdzeklim (izņemot operatīvo transportlīdzekli), kura īpašnieks, turētājs vai valdītājs ir Iekšlietu ministrijas padotībā esoša iestāde;</w:t>
      </w:r>
    </w:p>
    <w:p w14:paraId="2E648973" w14:textId="77777777" w:rsidR="006179BB" w:rsidRPr="00C15715" w:rsidRDefault="006179BB" w:rsidP="00847BE3">
      <w:pPr>
        <w:pStyle w:val="ListParagraph"/>
        <w:numPr>
          <w:ilvl w:val="0"/>
          <w:numId w:val="15"/>
        </w:numPr>
        <w:spacing w:before="120" w:after="120" w:line="240" w:lineRule="auto"/>
        <w:ind w:left="454" w:hanging="454"/>
        <w:contextualSpacing w:val="0"/>
        <w:jc w:val="both"/>
        <w:rPr>
          <w:rFonts w:cstheme="minorHAnsi"/>
          <w:szCs w:val="24"/>
        </w:rPr>
      </w:pPr>
      <w:r w:rsidRPr="00C15715">
        <w:rPr>
          <w:rFonts w:cstheme="minorHAnsi"/>
          <w:szCs w:val="24"/>
        </w:rPr>
        <w:t>transportlīdzeklim (izņemot operatīvo transportlīdzekli), kura īpašnieks, turētājs vai valdītājs ir Aizsardzības ministrijas padotībā esoša institūcija vai Nacionālie bruņotie spēki;</w:t>
      </w:r>
    </w:p>
    <w:p w14:paraId="61F9CAF4" w14:textId="77777777" w:rsidR="006179BB" w:rsidRPr="00C15715" w:rsidRDefault="006179BB" w:rsidP="00847BE3">
      <w:pPr>
        <w:pStyle w:val="ListParagraph"/>
        <w:numPr>
          <w:ilvl w:val="0"/>
          <w:numId w:val="15"/>
        </w:numPr>
        <w:spacing w:before="120" w:after="120" w:line="240" w:lineRule="auto"/>
        <w:ind w:left="454" w:hanging="454"/>
        <w:contextualSpacing w:val="0"/>
        <w:jc w:val="both"/>
        <w:rPr>
          <w:rFonts w:cstheme="minorHAnsi"/>
          <w:szCs w:val="24"/>
        </w:rPr>
      </w:pPr>
      <w:r w:rsidRPr="00C15715">
        <w:rPr>
          <w:rFonts w:cstheme="minorHAnsi"/>
          <w:szCs w:val="24"/>
        </w:rPr>
        <w:t>transportlīdzeklim (izņemot operatīvo transportlīdzekli), kura īpašnieks, turētājs vai valdītājs ir pašvaldības policijas iestāde;</w:t>
      </w:r>
    </w:p>
    <w:p w14:paraId="46EBEC19" w14:textId="77777777" w:rsidR="006179BB" w:rsidRDefault="006179BB" w:rsidP="00847BE3">
      <w:pPr>
        <w:pStyle w:val="ListParagraph"/>
        <w:numPr>
          <w:ilvl w:val="0"/>
          <w:numId w:val="15"/>
        </w:numPr>
        <w:spacing w:before="120" w:after="120" w:line="240" w:lineRule="auto"/>
        <w:ind w:left="454" w:hanging="454"/>
        <w:contextualSpacing w:val="0"/>
        <w:jc w:val="both"/>
        <w:rPr>
          <w:rFonts w:cstheme="minorHAnsi"/>
          <w:szCs w:val="24"/>
        </w:rPr>
      </w:pPr>
      <w:r w:rsidRPr="00C15715">
        <w:rPr>
          <w:rFonts w:cstheme="minorHAnsi"/>
          <w:szCs w:val="24"/>
        </w:rPr>
        <w:t>daudzbērnu ģimenei par vienu no tās locekļa īpašumā, turējumā vai valdījumā reģistrētu transportlīdzekli.</w:t>
      </w:r>
    </w:p>
    <w:p w14:paraId="63CD65C7" w14:textId="77777777" w:rsidR="006179BB" w:rsidRDefault="006179BB" w:rsidP="006179BB">
      <w:pPr>
        <w:spacing w:before="120" w:after="120" w:line="240" w:lineRule="auto"/>
        <w:jc w:val="both"/>
        <w:rPr>
          <w:rFonts w:cstheme="minorHAnsi"/>
          <w:szCs w:val="24"/>
        </w:rPr>
      </w:pPr>
      <w:r>
        <w:rPr>
          <w:rFonts w:cstheme="minorHAnsi"/>
          <w:szCs w:val="24"/>
        </w:rPr>
        <w:t>TEN 25% apmērā no TEN likmes piemēro:</w:t>
      </w:r>
    </w:p>
    <w:p w14:paraId="59C6764F" w14:textId="77777777" w:rsidR="006179BB" w:rsidRDefault="006179BB" w:rsidP="00847BE3">
      <w:pPr>
        <w:pStyle w:val="ListParagraph"/>
        <w:numPr>
          <w:ilvl w:val="0"/>
          <w:numId w:val="20"/>
        </w:numPr>
        <w:spacing w:before="120" w:after="120" w:line="240" w:lineRule="auto"/>
        <w:ind w:left="397" w:hanging="397"/>
        <w:contextualSpacing w:val="0"/>
        <w:jc w:val="both"/>
        <w:rPr>
          <w:rFonts w:cstheme="minorHAnsi"/>
          <w:szCs w:val="24"/>
        </w:rPr>
      </w:pPr>
      <w:r w:rsidRPr="00705AB8">
        <w:rPr>
          <w:rFonts w:cstheme="minorHAnsi"/>
          <w:szCs w:val="24"/>
        </w:rPr>
        <w:t>lauksaimniecības produktu ražotājam, lauksaimniecības pakalpojumu kooperatīvā sabiedrībai un atzītai akvakultūras (dīķsaimniecības tipa) saimniecībai – par kravas automobili, kas pēc savas konstrukcijas paredzēts dažādu kravu pārvadāšanai, un piekabi vai puspiekabi, kas pēc savas konstrukcijas paredzēta dažādu kravu pārvadāšanai, ievērojot īpašus</w:t>
      </w:r>
      <w:r>
        <w:rPr>
          <w:rFonts w:cstheme="minorHAnsi"/>
          <w:szCs w:val="24"/>
        </w:rPr>
        <w:t xml:space="preserve"> </w:t>
      </w:r>
      <w:r w:rsidRPr="00705AB8">
        <w:rPr>
          <w:rFonts w:cstheme="minorHAnsi"/>
          <w:szCs w:val="24"/>
        </w:rPr>
        <w:t>nosacījumus;</w:t>
      </w:r>
    </w:p>
    <w:p w14:paraId="2DB58792" w14:textId="77777777" w:rsidR="006179BB" w:rsidRPr="00705AB8" w:rsidRDefault="006179BB" w:rsidP="00847BE3">
      <w:pPr>
        <w:pStyle w:val="ListParagraph"/>
        <w:numPr>
          <w:ilvl w:val="0"/>
          <w:numId w:val="20"/>
        </w:numPr>
        <w:spacing w:before="120" w:after="120" w:line="240" w:lineRule="auto"/>
        <w:ind w:left="397" w:hanging="397"/>
        <w:contextualSpacing w:val="0"/>
        <w:jc w:val="both"/>
        <w:rPr>
          <w:rFonts w:cstheme="minorHAnsi"/>
          <w:szCs w:val="24"/>
        </w:rPr>
      </w:pPr>
      <w:r w:rsidRPr="00705AB8">
        <w:rPr>
          <w:rFonts w:cstheme="minorHAnsi"/>
          <w:szCs w:val="24"/>
        </w:rPr>
        <w:t>transportlīdzekļiem, ar kuriem fiziskā vai juridiskā persona, kas ieļauta Lauku atbalsta dienesta maksājumu saņēmēju datubāzē, veic kravas pašpārvadājumus,</w:t>
      </w:r>
      <w:r w:rsidRPr="005D1960">
        <w:t xml:space="preserve"> </w:t>
      </w:r>
      <w:r w:rsidRPr="00705AB8">
        <w:rPr>
          <w:rFonts w:cstheme="minorHAnsi"/>
          <w:szCs w:val="24"/>
        </w:rPr>
        <w:t>ievērojot īpašus nosacījumus;</w:t>
      </w:r>
    </w:p>
    <w:p w14:paraId="281EC1D5" w14:textId="24EC25DB" w:rsidR="006179BB" w:rsidRPr="00C15715" w:rsidRDefault="006179BB" w:rsidP="006179BB">
      <w:pPr>
        <w:spacing w:before="120" w:after="120" w:line="240" w:lineRule="auto"/>
        <w:jc w:val="both"/>
        <w:rPr>
          <w:rFonts w:cstheme="minorHAnsi"/>
          <w:szCs w:val="24"/>
        </w:rPr>
      </w:pPr>
      <w:r w:rsidRPr="00C15715">
        <w:rPr>
          <w:rFonts w:cstheme="minorHAnsi"/>
          <w:szCs w:val="24"/>
        </w:rPr>
        <w:t xml:space="preserve">Kopā TEN un UVTN atvieglojumu apmērs, par kuriem ir pieejama informācija, 2017.gadā bija 14,3 milj. </w:t>
      </w:r>
      <w:r w:rsidR="00A45809">
        <w:rPr>
          <w:rFonts w:cstheme="minorHAnsi"/>
          <w:szCs w:val="24"/>
        </w:rPr>
        <w:t>EUR</w:t>
      </w:r>
      <w:r w:rsidRPr="00C15715">
        <w:rPr>
          <w:rFonts w:cstheme="minorHAnsi"/>
          <w:szCs w:val="24"/>
        </w:rPr>
        <w:t xml:space="preserve">, kas ir par 3,8 milj. </w:t>
      </w:r>
      <w:r w:rsidR="00A45809">
        <w:rPr>
          <w:rFonts w:cstheme="minorHAnsi"/>
          <w:szCs w:val="24"/>
        </w:rPr>
        <w:t>EUR</w:t>
      </w:r>
      <w:r w:rsidRPr="00C15715">
        <w:rPr>
          <w:rFonts w:cstheme="minorHAnsi"/>
          <w:szCs w:val="24"/>
        </w:rPr>
        <w:t xml:space="preserve"> jeb 36,4% vairāk nekā 2016.gadā.</w:t>
      </w:r>
    </w:p>
    <w:p w14:paraId="3EFEE165" w14:textId="77777777" w:rsidR="006179BB" w:rsidRPr="00C15715" w:rsidRDefault="006179BB" w:rsidP="006179BB">
      <w:pPr>
        <w:spacing w:before="120" w:after="120" w:line="240" w:lineRule="auto"/>
        <w:jc w:val="both"/>
        <w:rPr>
          <w:rFonts w:cstheme="minorHAnsi"/>
          <w:szCs w:val="24"/>
          <w:u w:val="single"/>
        </w:rPr>
      </w:pPr>
      <w:r w:rsidRPr="00C15715">
        <w:rPr>
          <w:rFonts w:cstheme="minorHAnsi"/>
          <w:szCs w:val="24"/>
          <w:u w:val="single"/>
        </w:rPr>
        <w:t>Elektroenerģijas nodoklis</w:t>
      </w:r>
    </w:p>
    <w:p w14:paraId="5319B170"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Saskaņā ar Elektroenerģijas nodokļa likumu no nodokļa tiek atbrīvota elektroenerģija, ko izmanto</w:t>
      </w:r>
      <w:r>
        <w:rPr>
          <w:rFonts w:cstheme="minorHAnsi"/>
          <w:szCs w:val="24"/>
        </w:rPr>
        <w:t xml:space="preserve"> </w:t>
      </w:r>
      <w:r w:rsidRPr="00C15715">
        <w:rPr>
          <w:rFonts w:cstheme="minorHAnsi"/>
          <w:szCs w:val="24"/>
        </w:rPr>
        <w:t>preču pārvadājumiem un sabiedriskajiem pasažieru pārvadājumiem, tajā skaitā dzelzceļa transportā un pilsētu sabiedriskajos pasažieru pārvadājumos</w:t>
      </w:r>
      <w:r>
        <w:rPr>
          <w:rFonts w:cstheme="minorHAnsi"/>
          <w:szCs w:val="24"/>
        </w:rPr>
        <w:t xml:space="preserve">, kā arī </w:t>
      </w:r>
      <w:r w:rsidRPr="00C15715">
        <w:rPr>
          <w:rFonts w:cstheme="minorHAnsi"/>
          <w:szCs w:val="24"/>
        </w:rPr>
        <w:t>mājsaimniecību lietotāji.</w:t>
      </w:r>
    </w:p>
    <w:p w14:paraId="1BB8F60C" w14:textId="77777777" w:rsidR="006179BB" w:rsidRPr="00C15715" w:rsidRDefault="006179BB" w:rsidP="006179BB">
      <w:pPr>
        <w:spacing w:before="120" w:after="120" w:line="240" w:lineRule="auto"/>
        <w:jc w:val="both"/>
        <w:rPr>
          <w:rFonts w:eastAsia="Times New Roman" w:cstheme="minorHAnsi"/>
          <w:i/>
          <w:szCs w:val="24"/>
          <w:lang w:eastAsia="lv-LV"/>
        </w:rPr>
      </w:pPr>
      <w:r w:rsidRPr="00C15715">
        <w:rPr>
          <w:rFonts w:eastAsia="Times New Roman" w:cstheme="minorHAnsi"/>
          <w:szCs w:val="24"/>
          <w:lang w:eastAsia="lv-LV"/>
        </w:rPr>
        <w:t>No nodokļa tiek atbrīvota arī elektroenerģija, kas piegādāta citu ES vai citu ārvalstu pārstāvjiem vai organizācijām</w:t>
      </w:r>
      <w:r w:rsidRPr="00C15715">
        <w:rPr>
          <w:rFonts w:eastAsia="Times New Roman" w:cstheme="minorHAnsi"/>
          <w:i/>
          <w:szCs w:val="24"/>
          <w:lang w:eastAsia="lv-LV"/>
        </w:rPr>
        <w:t>:</w:t>
      </w:r>
    </w:p>
    <w:p w14:paraId="21C3F477" w14:textId="77777777" w:rsidR="006179BB" w:rsidRPr="00C15715" w:rsidRDefault="006179BB" w:rsidP="00847BE3">
      <w:pPr>
        <w:pStyle w:val="ListParagraph"/>
        <w:numPr>
          <w:ilvl w:val="1"/>
          <w:numId w:val="17"/>
        </w:numPr>
        <w:tabs>
          <w:tab w:val="left" w:pos="1134"/>
        </w:tabs>
        <w:spacing w:before="120" w:after="120" w:line="240" w:lineRule="auto"/>
        <w:ind w:left="454" w:hanging="454"/>
        <w:contextualSpacing w:val="0"/>
        <w:jc w:val="both"/>
        <w:rPr>
          <w:rFonts w:eastAsia="Times New Roman" w:cstheme="minorHAnsi"/>
          <w:szCs w:val="24"/>
          <w:lang w:eastAsia="lv-LV"/>
        </w:rPr>
      </w:pPr>
      <w:r w:rsidRPr="00C15715">
        <w:rPr>
          <w:rFonts w:cstheme="minorHAnsi"/>
        </w:rPr>
        <w:t>saistībā ar diplomātiskajām vai konsulārajām attiecībām;</w:t>
      </w:r>
    </w:p>
    <w:p w14:paraId="7586455B" w14:textId="77777777" w:rsidR="006179BB" w:rsidRPr="00C15715" w:rsidRDefault="006179BB" w:rsidP="00847BE3">
      <w:pPr>
        <w:pStyle w:val="ListParagraph"/>
        <w:numPr>
          <w:ilvl w:val="1"/>
          <w:numId w:val="17"/>
        </w:numPr>
        <w:tabs>
          <w:tab w:val="left" w:pos="1134"/>
        </w:tabs>
        <w:spacing w:before="120" w:after="120" w:line="240" w:lineRule="auto"/>
        <w:ind w:left="454" w:hanging="454"/>
        <w:contextualSpacing w:val="0"/>
        <w:jc w:val="both"/>
        <w:rPr>
          <w:rFonts w:cstheme="minorHAnsi"/>
        </w:rPr>
      </w:pPr>
      <w:r w:rsidRPr="00C15715">
        <w:rPr>
          <w:rFonts w:cstheme="minorHAnsi"/>
        </w:rPr>
        <w:t>starptautiskajām organizācijām, kas par tādām atzītas to valstu iestādēs, kurās šīs organizācijas atrodas, kā arī šo organizāciju biedriem saskaņā ar starptautiskajām šo organizāciju dibināšanas konvencijām vai to mītnes zemes nolīgumiem;</w:t>
      </w:r>
    </w:p>
    <w:p w14:paraId="3B1FA2E1" w14:textId="77777777" w:rsidR="006179BB" w:rsidRPr="00C15715" w:rsidRDefault="006179BB" w:rsidP="00847BE3">
      <w:pPr>
        <w:pStyle w:val="ListParagraph"/>
        <w:numPr>
          <w:ilvl w:val="1"/>
          <w:numId w:val="17"/>
        </w:numPr>
        <w:tabs>
          <w:tab w:val="left" w:pos="1134"/>
        </w:tabs>
        <w:spacing w:before="120" w:after="120" w:line="240" w:lineRule="auto"/>
        <w:ind w:left="454" w:hanging="454"/>
        <w:contextualSpacing w:val="0"/>
        <w:jc w:val="both"/>
        <w:rPr>
          <w:rFonts w:cstheme="minorHAnsi"/>
        </w:rPr>
      </w:pPr>
      <w:r w:rsidRPr="00C15715">
        <w:rPr>
          <w:rFonts w:cstheme="minorHAnsi"/>
        </w:rPr>
        <w:t>jebkuras Ziemeļatlantijas līguma organizācijas dalībvalsts bruņotajiem spēkiem, izņemot dalībvalsti, kurā iekasē elektroenerģijas nodokli, kā arī bruņotajiem spēkiem, kas minēti Eiropas Padomes 1990.gada 3.decembra lēmuma 90/640/EEK 1.pantā, šo bruņoto spēku patēriņam un civilpersonālam, kas tos pavada, vai šo bruņoto spēku virtuves vai ēdnīcu vajadzībām;</w:t>
      </w:r>
    </w:p>
    <w:p w14:paraId="47B85E17" w14:textId="77777777" w:rsidR="006179BB" w:rsidRPr="00C15715" w:rsidRDefault="006179BB" w:rsidP="00847BE3">
      <w:pPr>
        <w:pStyle w:val="ListParagraph"/>
        <w:numPr>
          <w:ilvl w:val="1"/>
          <w:numId w:val="17"/>
        </w:numPr>
        <w:tabs>
          <w:tab w:val="left" w:pos="1134"/>
        </w:tabs>
        <w:spacing w:before="120" w:after="120" w:line="240" w:lineRule="auto"/>
        <w:ind w:left="454" w:hanging="454"/>
        <w:contextualSpacing w:val="0"/>
        <w:jc w:val="both"/>
        <w:rPr>
          <w:rFonts w:cstheme="minorHAnsi"/>
        </w:rPr>
      </w:pPr>
      <w:r w:rsidRPr="00C15715">
        <w:rPr>
          <w:rFonts w:cstheme="minorHAnsi"/>
        </w:rPr>
        <w:t>patēriņam saskaņā ar līgumiem, kas noslēgti ar ārvalstīm, kuras nav ES dalībvalstis, vai starptautiskajām organizācijām, ja vien attiecībā uz atbrīvojumu no pievienotās vērtības nodokļa šāds līgums ir atļauts vai apstiprināts.</w:t>
      </w:r>
    </w:p>
    <w:p w14:paraId="06FE75B8" w14:textId="2FBE5E86" w:rsidR="006179BB" w:rsidRPr="00C15715" w:rsidRDefault="006179BB" w:rsidP="006179BB">
      <w:pPr>
        <w:spacing w:before="120" w:after="120" w:line="240" w:lineRule="auto"/>
        <w:jc w:val="both"/>
        <w:rPr>
          <w:rFonts w:eastAsia="Times New Roman" w:cstheme="minorHAnsi"/>
          <w:szCs w:val="24"/>
          <w:lang w:eastAsia="lv-LV"/>
        </w:rPr>
      </w:pPr>
      <w:r w:rsidRPr="00C15715">
        <w:rPr>
          <w:rFonts w:eastAsia="Times New Roman" w:cstheme="minorHAnsi"/>
          <w:szCs w:val="24"/>
          <w:lang w:eastAsia="lv-LV"/>
        </w:rPr>
        <w:t xml:space="preserve">Elektroenerģijai, ko piegādā personām ielu apgaismošanas pakalpojumu sniegšanai, nodokli aprēķina pēc likmes 0 </w:t>
      </w:r>
      <w:r w:rsidR="00A45809">
        <w:rPr>
          <w:rFonts w:cstheme="minorHAnsi"/>
          <w:szCs w:val="24"/>
        </w:rPr>
        <w:t>EUR</w:t>
      </w:r>
      <w:r w:rsidRPr="00C15715">
        <w:rPr>
          <w:rFonts w:eastAsia="Times New Roman" w:cstheme="minorHAnsi"/>
          <w:szCs w:val="24"/>
          <w:lang w:eastAsia="lv-LV"/>
        </w:rPr>
        <w:t xml:space="preserve"> par megavatstundu.</w:t>
      </w:r>
    </w:p>
    <w:p w14:paraId="6AF6D3C1" w14:textId="1E7610A7" w:rsidR="006179BB" w:rsidRPr="00C15715" w:rsidRDefault="006179BB" w:rsidP="006179BB">
      <w:pPr>
        <w:spacing w:before="120" w:after="120" w:line="240" w:lineRule="auto"/>
        <w:jc w:val="both"/>
        <w:rPr>
          <w:rFonts w:eastAsia="Times New Roman" w:cstheme="minorHAnsi"/>
          <w:szCs w:val="24"/>
          <w:lang w:eastAsia="lv-LV"/>
        </w:rPr>
      </w:pPr>
      <w:r w:rsidRPr="00C15715">
        <w:rPr>
          <w:rFonts w:eastAsia="Times New Roman" w:cstheme="minorHAnsi"/>
          <w:szCs w:val="24"/>
          <w:lang w:eastAsia="lv-LV"/>
        </w:rPr>
        <w:t xml:space="preserve">Elektroenerģijas nodokļa atbrīvojumu kopējais apmērs 2017.gadā bija 2,6 milj. </w:t>
      </w:r>
      <w:r w:rsidR="00A45809">
        <w:rPr>
          <w:rFonts w:cstheme="minorHAnsi"/>
          <w:szCs w:val="24"/>
        </w:rPr>
        <w:t>EUR</w:t>
      </w:r>
      <w:r w:rsidRPr="00C15715">
        <w:rPr>
          <w:rFonts w:eastAsia="Times New Roman" w:cstheme="minorHAnsi"/>
          <w:szCs w:val="24"/>
          <w:lang w:eastAsia="lv-LV"/>
        </w:rPr>
        <w:t xml:space="preserve">, kas ir 0,01% no IKP. 2017.gadā elektroenerģijas nodokļa atbrīvojumu apmērs bija 56,5% no faktiskajiem elektroenerģijas nodokļa ieņēmumiem (4,6 milj. </w:t>
      </w:r>
      <w:r w:rsidR="00A45809">
        <w:rPr>
          <w:rFonts w:cstheme="minorHAnsi"/>
          <w:szCs w:val="24"/>
        </w:rPr>
        <w:t>EUR</w:t>
      </w:r>
      <w:r w:rsidRPr="00C15715">
        <w:rPr>
          <w:rFonts w:eastAsia="Times New Roman" w:cstheme="minorHAnsi"/>
          <w:szCs w:val="24"/>
          <w:lang w:eastAsia="lv-LV"/>
        </w:rPr>
        <w:t>).</w:t>
      </w:r>
    </w:p>
    <w:p w14:paraId="1A2690FF" w14:textId="77777777" w:rsidR="006179BB" w:rsidRPr="00C15715" w:rsidRDefault="006179BB">
      <w:pPr>
        <w:pStyle w:val="Heading4"/>
      </w:pPr>
      <w:bookmarkStart w:id="273" w:name="_Toc23245791"/>
      <w:r w:rsidRPr="00C15715">
        <w:t>Tiešie pārskaitījumi</w:t>
      </w:r>
      <w:bookmarkEnd w:id="273"/>
    </w:p>
    <w:p w14:paraId="5495401B" w14:textId="77777777" w:rsidR="006179BB" w:rsidRPr="00C15715" w:rsidRDefault="006179BB" w:rsidP="006179BB">
      <w:pPr>
        <w:spacing w:after="0" w:line="240" w:lineRule="auto"/>
        <w:jc w:val="both"/>
        <w:rPr>
          <w:rFonts w:eastAsia="Times New Roman" w:cstheme="minorHAnsi"/>
          <w:szCs w:val="24"/>
          <w:lang w:eastAsia="lv-LV"/>
        </w:rPr>
      </w:pPr>
      <w:r w:rsidRPr="00C15715">
        <w:rPr>
          <w:rFonts w:eastAsia="Times New Roman" w:cstheme="minorHAnsi"/>
          <w:szCs w:val="24"/>
          <w:lang w:eastAsia="lv-LV"/>
        </w:rPr>
        <w:t>EM virzītajās Eiropas Savienības fondu atbalsta programmās līdz šim brīdim ir realizēts viens projekts, kas attiecas uz fosilajiem energresursiem, attiecībā uz ražošanas ēku pārbūvi un atjaunošanu, paplašinot kūdras apsaimniekošanas uzņēmuma saimniecisko darbību apstrādes rūpniecībā.</w:t>
      </w:r>
    </w:p>
    <w:p w14:paraId="7CC931DC" w14:textId="77777777" w:rsidR="006179BB" w:rsidRPr="00C15715" w:rsidRDefault="006179BB">
      <w:pPr>
        <w:pStyle w:val="Heading4"/>
      </w:pPr>
      <w:bookmarkStart w:id="274" w:name="_Toc23245792"/>
      <w:r w:rsidRPr="00C15715">
        <w:t>Netiešie pārskaitījumi</w:t>
      </w:r>
      <w:bookmarkEnd w:id="274"/>
    </w:p>
    <w:p w14:paraId="4D8AADE5"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Saskaņā ar Elektroenerģijas tirgus likumu Latvijā valsts atbalsta ietvaros tiek piešķirts valsts atbalsts elektroenerģijas ražošanai no atjaunojamiem energoresursiem vai koģenerācijā un saņem maksu par koģenerācijas stacijā uzstādīto jaudu obligātā iepirkuma veidā. Obligātais iepirkums ir valsts noteikts atbalsta mehānisms elektroenerģijas ražotājiem, kas paredz tā finansēšanu no elektroenerģijas galalietotāju maksājumiem. Obligātā iepirkuma izmaksas proporcionāli savam elektroenerģijas patēriņam sedz visi Latvijas elektroenerģijas galalietotāji, kuriem tiek piemērota obligātā iepirkuma komponente, kas papildus elektroenerģijas tirgus cenai, sadales un pārvades tarifam un pievienotās vērtības nodoklim tiek iekļauta elektroenerģijas gala cenā.</w:t>
      </w:r>
    </w:p>
    <w:p w14:paraId="5C3E1676" w14:textId="0430C3A1" w:rsidR="006179BB" w:rsidRPr="00C15715" w:rsidRDefault="006179BB" w:rsidP="006179BB">
      <w:pPr>
        <w:pStyle w:val="Caption"/>
        <w:rPr>
          <w:rFonts w:asciiTheme="minorHAnsi" w:hAnsiTheme="minorHAnsi" w:cstheme="minorHAnsi"/>
          <w:szCs w:val="24"/>
        </w:rPr>
      </w:pPr>
      <w:r w:rsidRPr="00C15715">
        <w:rPr>
          <w:rFonts w:asciiTheme="minorHAnsi" w:hAnsiTheme="minorHAnsi" w:cstheme="minorHAnsi"/>
          <w:szCs w:val="24"/>
        </w:rPr>
        <w:tab/>
      </w:r>
      <w:r w:rsidRPr="00C15715">
        <w:rPr>
          <w:rFonts w:asciiTheme="minorHAnsi" w:hAnsiTheme="minorHAnsi" w:cstheme="minorHAnsi"/>
          <w:szCs w:val="24"/>
        </w:rPr>
        <w:fldChar w:fldCharType="begin"/>
      </w:r>
      <w:r w:rsidRPr="00C15715">
        <w:rPr>
          <w:rFonts w:asciiTheme="minorHAnsi" w:hAnsiTheme="minorHAnsi" w:cstheme="minorHAnsi"/>
          <w:szCs w:val="24"/>
        </w:rPr>
        <w:instrText xml:space="preserve"> SEQ Tabula \* ARABIC </w:instrText>
      </w:r>
      <w:r w:rsidRPr="00C15715">
        <w:rPr>
          <w:rFonts w:asciiTheme="minorHAnsi" w:hAnsiTheme="minorHAnsi" w:cstheme="minorHAnsi"/>
          <w:szCs w:val="24"/>
        </w:rPr>
        <w:fldChar w:fldCharType="separate"/>
      </w:r>
      <w:r w:rsidR="006E6675">
        <w:rPr>
          <w:rFonts w:asciiTheme="minorHAnsi" w:hAnsiTheme="minorHAnsi" w:cstheme="minorHAnsi"/>
          <w:noProof/>
          <w:szCs w:val="24"/>
        </w:rPr>
        <w:t>12</w:t>
      </w:r>
      <w:r w:rsidRPr="00C15715">
        <w:rPr>
          <w:rFonts w:asciiTheme="minorHAnsi" w:hAnsiTheme="minorHAnsi" w:cstheme="minorHAnsi"/>
          <w:szCs w:val="24"/>
        </w:rPr>
        <w:fldChar w:fldCharType="end"/>
      </w:r>
      <w:r w:rsidRPr="00C15715">
        <w:rPr>
          <w:rFonts w:asciiTheme="minorHAnsi" w:hAnsiTheme="minorHAnsi" w:cstheme="minorHAnsi"/>
          <w:szCs w:val="24"/>
        </w:rPr>
        <w:t>.tabula. 2018.gadā obligātā iepirkuma mehānisma ietvaros saņemtais atbalsts virs tirgus cenas</w:t>
      </w:r>
    </w:p>
    <w:tbl>
      <w:tblPr>
        <w:tblW w:w="7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5"/>
        <w:gridCol w:w="2256"/>
      </w:tblGrid>
      <w:tr w:rsidR="006179BB" w:rsidRPr="002930BD" w14:paraId="7476A1A2" w14:textId="77777777" w:rsidTr="006179BB">
        <w:trPr>
          <w:trHeight w:val="330"/>
          <w:tblHeader/>
          <w:jc w:val="center"/>
        </w:trPr>
        <w:tc>
          <w:tcPr>
            <w:tcW w:w="5525" w:type="dxa"/>
            <w:shd w:val="clear" w:color="auto" w:fill="F2F2F2" w:themeFill="background1" w:themeFillShade="F2"/>
            <w:noWrap/>
            <w:vAlign w:val="center"/>
            <w:hideMark/>
          </w:tcPr>
          <w:p w14:paraId="54F098C3" w14:textId="77777777" w:rsidR="006179BB" w:rsidRPr="002930BD" w:rsidRDefault="006179BB" w:rsidP="006179BB">
            <w:pPr>
              <w:spacing w:after="0" w:line="240" w:lineRule="auto"/>
              <w:jc w:val="center"/>
              <w:rPr>
                <w:rFonts w:eastAsia="Times New Roman" w:cstheme="minorHAnsi"/>
                <w:b/>
                <w:bCs/>
                <w:sz w:val="22"/>
                <w:lang w:eastAsia="lv-LV"/>
              </w:rPr>
            </w:pPr>
            <w:r w:rsidRPr="002930BD">
              <w:rPr>
                <w:rFonts w:eastAsia="Times New Roman" w:cstheme="minorHAnsi"/>
                <w:b/>
                <w:bCs/>
                <w:sz w:val="22"/>
                <w:lang w:eastAsia="lv-LV"/>
              </w:rPr>
              <w:t>Saņemtais atbalsta veids</w:t>
            </w:r>
          </w:p>
        </w:tc>
        <w:tc>
          <w:tcPr>
            <w:tcW w:w="2256" w:type="dxa"/>
            <w:shd w:val="clear" w:color="auto" w:fill="F2F2F2" w:themeFill="background1" w:themeFillShade="F2"/>
            <w:noWrap/>
            <w:vAlign w:val="center"/>
            <w:hideMark/>
          </w:tcPr>
          <w:p w14:paraId="2D216042" w14:textId="77777777" w:rsidR="006179BB" w:rsidRPr="002930BD" w:rsidRDefault="006179BB" w:rsidP="006179BB">
            <w:pPr>
              <w:spacing w:after="0" w:line="240" w:lineRule="auto"/>
              <w:jc w:val="center"/>
              <w:rPr>
                <w:rFonts w:eastAsia="Times New Roman" w:cstheme="minorHAnsi"/>
                <w:b/>
                <w:bCs/>
                <w:sz w:val="22"/>
                <w:lang w:eastAsia="lv-LV"/>
              </w:rPr>
            </w:pPr>
            <w:r w:rsidRPr="002930BD">
              <w:rPr>
                <w:rFonts w:eastAsia="Times New Roman" w:cstheme="minorHAnsi"/>
                <w:b/>
                <w:bCs/>
                <w:sz w:val="22"/>
                <w:lang w:eastAsia="lv-LV"/>
              </w:rPr>
              <w:t>EUR/2018.gadā</w:t>
            </w:r>
          </w:p>
        </w:tc>
      </w:tr>
      <w:tr w:rsidR="006179BB" w:rsidRPr="00C15715" w14:paraId="4F4372E5" w14:textId="77777777" w:rsidTr="006179BB">
        <w:trPr>
          <w:trHeight w:val="330"/>
          <w:jc w:val="center"/>
        </w:trPr>
        <w:tc>
          <w:tcPr>
            <w:tcW w:w="5525" w:type="dxa"/>
            <w:shd w:val="clear" w:color="auto" w:fill="auto"/>
            <w:noWrap/>
            <w:vAlign w:val="center"/>
            <w:hideMark/>
          </w:tcPr>
          <w:p w14:paraId="0623C602"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 xml:space="preserve">maksa par </w:t>
            </w:r>
            <w:r w:rsidRPr="00C15715">
              <w:rPr>
                <w:rFonts w:cstheme="minorHAnsi"/>
                <w:szCs w:val="24"/>
              </w:rPr>
              <w:t>koģenerācijas stacijā uzstādīto jaudu</w:t>
            </w:r>
          </w:p>
        </w:tc>
        <w:tc>
          <w:tcPr>
            <w:tcW w:w="2256" w:type="dxa"/>
            <w:shd w:val="clear" w:color="auto" w:fill="auto"/>
            <w:noWrap/>
            <w:vAlign w:val="center"/>
            <w:hideMark/>
          </w:tcPr>
          <w:p w14:paraId="256FDB79" w14:textId="77777777" w:rsidR="006179BB" w:rsidRPr="00C15715" w:rsidRDefault="006179BB" w:rsidP="006179BB">
            <w:pPr>
              <w:spacing w:after="0" w:line="240" w:lineRule="auto"/>
              <w:jc w:val="center"/>
              <w:rPr>
                <w:rFonts w:eastAsia="Times New Roman" w:cstheme="minorHAnsi"/>
                <w:b/>
                <w:bCs/>
                <w:szCs w:val="24"/>
                <w:lang w:eastAsia="lv-LV"/>
              </w:rPr>
            </w:pPr>
            <w:r w:rsidRPr="00C15715">
              <w:rPr>
                <w:rFonts w:eastAsia="Times New Roman" w:cstheme="minorHAnsi"/>
                <w:b/>
                <w:bCs/>
                <w:szCs w:val="24"/>
                <w:lang w:eastAsia="lv-LV"/>
              </w:rPr>
              <w:t>37 718 743</w:t>
            </w:r>
          </w:p>
        </w:tc>
      </w:tr>
      <w:tr w:rsidR="006179BB" w:rsidRPr="00C15715" w14:paraId="00FA60E8" w14:textId="77777777" w:rsidTr="006179BB">
        <w:trPr>
          <w:trHeight w:val="315"/>
          <w:jc w:val="center"/>
        </w:trPr>
        <w:tc>
          <w:tcPr>
            <w:tcW w:w="5525" w:type="dxa"/>
            <w:shd w:val="clear" w:color="auto" w:fill="auto"/>
            <w:noWrap/>
            <w:vAlign w:val="center"/>
            <w:hideMark/>
          </w:tcPr>
          <w:p w14:paraId="699B8F09"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elektroenerģijas ražošana koģenerācijā</w:t>
            </w:r>
          </w:p>
        </w:tc>
        <w:tc>
          <w:tcPr>
            <w:tcW w:w="2256" w:type="dxa"/>
            <w:shd w:val="clear" w:color="auto" w:fill="auto"/>
            <w:noWrap/>
            <w:vAlign w:val="center"/>
            <w:hideMark/>
          </w:tcPr>
          <w:p w14:paraId="0FCB2FED" w14:textId="77777777" w:rsidR="006179BB" w:rsidRPr="00C15715" w:rsidRDefault="006179BB" w:rsidP="006179BB">
            <w:pPr>
              <w:spacing w:after="0" w:line="240" w:lineRule="auto"/>
              <w:jc w:val="center"/>
              <w:rPr>
                <w:rFonts w:eastAsia="Times New Roman" w:cstheme="minorHAnsi"/>
                <w:b/>
                <w:bCs/>
                <w:szCs w:val="24"/>
                <w:lang w:eastAsia="lv-LV"/>
              </w:rPr>
            </w:pPr>
            <w:r w:rsidRPr="00C15715">
              <w:rPr>
                <w:rFonts w:eastAsia="Times New Roman" w:cstheme="minorHAnsi"/>
                <w:b/>
                <w:bCs/>
                <w:szCs w:val="24"/>
                <w:lang w:eastAsia="lv-LV"/>
              </w:rPr>
              <w:t>24 943 462</w:t>
            </w:r>
          </w:p>
        </w:tc>
      </w:tr>
      <w:tr w:rsidR="006179BB" w:rsidRPr="00C15715" w14:paraId="1751F066" w14:textId="77777777" w:rsidTr="006179BB">
        <w:trPr>
          <w:trHeight w:val="315"/>
          <w:jc w:val="center"/>
        </w:trPr>
        <w:tc>
          <w:tcPr>
            <w:tcW w:w="5525" w:type="dxa"/>
            <w:shd w:val="clear" w:color="auto" w:fill="auto"/>
            <w:noWrap/>
            <w:vAlign w:val="center"/>
            <w:hideMark/>
          </w:tcPr>
          <w:p w14:paraId="2064548A"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elektroenerģijas ražošana biogāzes stacijās</w:t>
            </w:r>
          </w:p>
        </w:tc>
        <w:tc>
          <w:tcPr>
            <w:tcW w:w="2256" w:type="dxa"/>
            <w:shd w:val="clear" w:color="auto" w:fill="auto"/>
            <w:noWrap/>
            <w:vAlign w:val="center"/>
            <w:hideMark/>
          </w:tcPr>
          <w:p w14:paraId="440BE4B6" w14:textId="77777777" w:rsidR="006179BB" w:rsidRPr="00C15715" w:rsidRDefault="006179BB" w:rsidP="006179BB">
            <w:pPr>
              <w:spacing w:after="0" w:line="240" w:lineRule="auto"/>
              <w:jc w:val="center"/>
              <w:rPr>
                <w:rFonts w:eastAsia="Times New Roman" w:cstheme="minorHAnsi"/>
                <w:b/>
                <w:bCs/>
                <w:szCs w:val="24"/>
                <w:lang w:eastAsia="lv-LV"/>
              </w:rPr>
            </w:pPr>
            <w:r w:rsidRPr="00C15715">
              <w:rPr>
                <w:rFonts w:eastAsia="Times New Roman" w:cstheme="minorHAnsi"/>
                <w:b/>
                <w:bCs/>
                <w:szCs w:val="24"/>
                <w:lang w:eastAsia="lv-LV"/>
              </w:rPr>
              <w:t>43 444 604</w:t>
            </w:r>
          </w:p>
        </w:tc>
      </w:tr>
      <w:tr w:rsidR="006179BB" w:rsidRPr="00C15715" w14:paraId="4C8150CF" w14:textId="77777777" w:rsidTr="006179BB">
        <w:trPr>
          <w:trHeight w:val="315"/>
          <w:jc w:val="center"/>
        </w:trPr>
        <w:tc>
          <w:tcPr>
            <w:tcW w:w="5525" w:type="dxa"/>
            <w:shd w:val="clear" w:color="auto" w:fill="auto"/>
            <w:noWrap/>
            <w:vAlign w:val="center"/>
            <w:hideMark/>
          </w:tcPr>
          <w:p w14:paraId="3D8045C8"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elektroenerģijas ražošana biomasas stacijās</w:t>
            </w:r>
          </w:p>
        </w:tc>
        <w:tc>
          <w:tcPr>
            <w:tcW w:w="2256" w:type="dxa"/>
            <w:shd w:val="clear" w:color="auto" w:fill="auto"/>
            <w:noWrap/>
            <w:vAlign w:val="center"/>
            <w:hideMark/>
          </w:tcPr>
          <w:p w14:paraId="7D01E37E" w14:textId="77777777" w:rsidR="006179BB" w:rsidRPr="00C15715" w:rsidRDefault="006179BB" w:rsidP="006179BB">
            <w:pPr>
              <w:spacing w:after="0" w:line="240" w:lineRule="auto"/>
              <w:jc w:val="center"/>
              <w:rPr>
                <w:rFonts w:eastAsia="Times New Roman" w:cstheme="minorHAnsi"/>
                <w:b/>
                <w:bCs/>
                <w:szCs w:val="24"/>
                <w:lang w:eastAsia="lv-LV"/>
              </w:rPr>
            </w:pPr>
            <w:r w:rsidRPr="00C15715">
              <w:rPr>
                <w:rFonts w:eastAsia="Times New Roman" w:cstheme="minorHAnsi"/>
                <w:b/>
                <w:bCs/>
                <w:szCs w:val="24"/>
                <w:lang w:eastAsia="lv-LV"/>
              </w:rPr>
              <w:t>41 086 552</w:t>
            </w:r>
          </w:p>
        </w:tc>
      </w:tr>
      <w:tr w:rsidR="006179BB" w:rsidRPr="00C15715" w14:paraId="6553F629" w14:textId="77777777" w:rsidTr="006179BB">
        <w:trPr>
          <w:trHeight w:val="315"/>
          <w:jc w:val="center"/>
        </w:trPr>
        <w:tc>
          <w:tcPr>
            <w:tcW w:w="5525" w:type="dxa"/>
            <w:shd w:val="clear" w:color="auto" w:fill="auto"/>
            <w:noWrap/>
            <w:vAlign w:val="center"/>
            <w:hideMark/>
          </w:tcPr>
          <w:p w14:paraId="1805EEBE"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elektroenerģijas ražošana HES</w:t>
            </w:r>
          </w:p>
        </w:tc>
        <w:tc>
          <w:tcPr>
            <w:tcW w:w="2256" w:type="dxa"/>
            <w:shd w:val="clear" w:color="auto" w:fill="auto"/>
            <w:noWrap/>
            <w:vAlign w:val="center"/>
            <w:hideMark/>
          </w:tcPr>
          <w:p w14:paraId="36A4A4D3" w14:textId="77777777" w:rsidR="006179BB" w:rsidRPr="00C15715" w:rsidRDefault="006179BB" w:rsidP="006179BB">
            <w:pPr>
              <w:spacing w:after="0" w:line="240" w:lineRule="auto"/>
              <w:jc w:val="center"/>
              <w:rPr>
                <w:rFonts w:eastAsia="Times New Roman" w:cstheme="minorHAnsi"/>
                <w:b/>
                <w:bCs/>
                <w:szCs w:val="24"/>
                <w:lang w:eastAsia="lv-LV"/>
              </w:rPr>
            </w:pPr>
            <w:r w:rsidRPr="00C15715">
              <w:rPr>
                <w:rFonts w:eastAsia="Times New Roman" w:cstheme="minorHAnsi"/>
                <w:b/>
                <w:bCs/>
                <w:szCs w:val="24"/>
                <w:lang w:eastAsia="lv-LV"/>
              </w:rPr>
              <w:t>5 172 712</w:t>
            </w:r>
          </w:p>
        </w:tc>
      </w:tr>
      <w:tr w:rsidR="006179BB" w:rsidRPr="00C15715" w14:paraId="57988DA3" w14:textId="77777777" w:rsidTr="006179BB">
        <w:trPr>
          <w:trHeight w:val="315"/>
          <w:jc w:val="center"/>
        </w:trPr>
        <w:tc>
          <w:tcPr>
            <w:tcW w:w="5525" w:type="dxa"/>
            <w:shd w:val="clear" w:color="auto" w:fill="auto"/>
            <w:noWrap/>
            <w:vAlign w:val="center"/>
            <w:hideMark/>
          </w:tcPr>
          <w:p w14:paraId="611775FC" w14:textId="77777777" w:rsidR="006179BB" w:rsidRPr="00C15715" w:rsidRDefault="006179BB" w:rsidP="006179BB">
            <w:pPr>
              <w:spacing w:after="0" w:line="240" w:lineRule="auto"/>
              <w:rPr>
                <w:rFonts w:eastAsia="Times New Roman" w:cstheme="minorHAnsi"/>
                <w:szCs w:val="24"/>
                <w:lang w:eastAsia="lv-LV"/>
              </w:rPr>
            </w:pPr>
            <w:r w:rsidRPr="00C15715">
              <w:rPr>
                <w:rFonts w:eastAsia="Times New Roman" w:cstheme="minorHAnsi"/>
                <w:szCs w:val="24"/>
                <w:lang w:eastAsia="lv-LV"/>
              </w:rPr>
              <w:t>elektroenerģijas ražošana VES</w:t>
            </w:r>
          </w:p>
        </w:tc>
        <w:tc>
          <w:tcPr>
            <w:tcW w:w="2256" w:type="dxa"/>
            <w:shd w:val="clear" w:color="auto" w:fill="auto"/>
            <w:noWrap/>
            <w:vAlign w:val="center"/>
            <w:hideMark/>
          </w:tcPr>
          <w:p w14:paraId="5C161E62" w14:textId="77777777" w:rsidR="006179BB" w:rsidRPr="00C15715" w:rsidRDefault="006179BB" w:rsidP="006179BB">
            <w:pPr>
              <w:spacing w:after="0" w:line="240" w:lineRule="auto"/>
              <w:jc w:val="center"/>
              <w:rPr>
                <w:rFonts w:eastAsia="Times New Roman" w:cstheme="minorHAnsi"/>
                <w:b/>
                <w:bCs/>
                <w:szCs w:val="24"/>
                <w:lang w:eastAsia="lv-LV"/>
              </w:rPr>
            </w:pPr>
            <w:r w:rsidRPr="00C15715">
              <w:rPr>
                <w:rFonts w:eastAsia="Times New Roman" w:cstheme="minorHAnsi"/>
                <w:b/>
                <w:bCs/>
                <w:szCs w:val="24"/>
                <w:lang w:eastAsia="lv-LV"/>
              </w:rPr>
              <w:t>6 530 299</w:t>
            </w:r>
          </w:p>
        </w:tc>
      </w:tr>
    </w:tbl>
    <w:p w14:paraId="127E7F9B"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Viens Latvijas komersants, kas saņem garantēto maksu par uzstādīto elektrisko jaudu, atbilstoši noteiktajam ierobežojumam cita starpā izmanto kūdru kā resursu enerģijas ieguvei. 2018. gadā elektrostacijā izmantotais kūdras apjoms sastādīja ap 6% no enerģijas ieguvei izmantotajiem resursiem pēc enerģētiskās vērtības.</w:t>
      </w:r>
    </w:p>
    <w:p w14:paraId="7A7CF285" w14:textId="77777777" w:rsidR="006179BB" w:rsidRPr="00C15715" w:rsidRDefault="006179BB" w:rsidP="0007326F">
      <w:pPr>
        <w:pStyle w:val="Heading20"/>
      </w:pPr>
      <w:bookmarkStart w:id="275" w:name="_Toc14175492"/>
      <w:bookmarkStart w:id="276" w:name="_Toc14212408"/>
      <w:bookmarkStart w:id="277" w:name="_Toc14246587"/>
      <w:bookmarkStart w:id="278" w:name="_Toc14777186"/>
      <w:bookmarkStart w:id="279" w:name="_Toc14777234"/>
      <w:bookmarkStart w:id="280" w:name="_Toc14964194"/>
      <w:bookmarkStart w:id="281" w:name="_Toc14965347"/>
      <w:bookmarkStart w:id="282" w:name="_Toc15367244"/>
      <w:bookmarkStart w:id="283" w:name="_Toc17874565"/>
      <w:bookmarkStart w:id="284" w:name="_Toc17878294"/>
      <w:bookmarkStart w:id="285" w:name="_Toc17878295"/>
      <w:bookmarkStart w:id="286" w:name="_Toc23245793"/>
      <w:bookmarkStart w:id="287" w:name="_Toc23246014"/>
      <w:bookmarkStart w:id="288" w:name="_Toc24408028"/>
      <w:bookmarkStart w:id="289" w:name="_Toc24408104"/>
      <w:bookmarkEnd w:id="275"/>
      <w:bookmarkEnd w:id="276"/>
      <w:bookmarkEnd w:id="277"/>
      <w:bookmarkEnd w:id="278"/>
      <w:bookmarkEnd w:id="279"/>
      <w:bookmarkEnd w:id="280"/>
      <w:bookmarkEnd w:id="281"/>
      <w:bookmarkEnd w:id="282"/>
      <w:bookmarkEnd w:id="283"/>
      <w:bookmarkEnd w:id="284"/>
      <w:r w:rsidRPr="00C15715">
        <w:t>Pētniecība, inovācija un konkurētspēja</w:t>
      </w:r>
      <w:bookmarkEnd w:id="285"/>
      <w:bookmarkEnd w:id="286"/>
      <w:bookmarkEnd w:id="287"/>
      <w:bookmarkEnd w:id="288"/>
      <w:bookmarkEnd w:id="289"/>
      <w:r w:rsidRPr="00C15715">
        <w:t xml:space="preserve"> </w:t>
      </w:r>
    </w:p>
    <w:p w14:paraId="2670CAA9" w14:textId="77777777" w:rsidR="006179BB" w:rsidRPr="00C15715" w:rsidRDefault="006179BB">
      <w:pPr>
        <w:pStyle w:val="Heading30"/>
      </w:pPr>
      <w:bookmarkStart w:id="290" w:name="_Toc23245794"/>
      <w:bookmarkStart w:id="291" w:name="_Toc23246015"/>
      <w:bookmarkStart w:id="292" w:name="_Toc24408029"/>
      <w:r w:rsidRPr="00C15715">
        <w:t>Pašreizējā situācija pētniecības, inovāciju un konkurētspējas uzlabošanas jomā un tehnoloģiju sektorā</w:t>
      </w:r>
      <w:bookmarkEnd w:id="290"/>
      <w:bookmarkEnd w:id="291"/>
      <w:bookmarkEnd w:id="292"/>
    </w:p>
    <w:p w14:paraId="501B7010" w14:textId="77777777" w:rsidR="006179BB" w:rsidRPr="00C15715" w:rsidRDefault="006179BB" w:rsidP="006179BB">
      <w:pPr>
        <w:spacing w:before="120" w:after="120" w:line="240" w:lineRule="auto"/>
        <w:jc w:val="both"/>
        <w:rPr>
          <w:rFonts w:cstheme="minorHAnsi"/>
          <w:b/>
          <w:szCs w:val="24"/>
        </w:rPr>
      </w:pPr>
      <w:r w:rsidRPr="00C15715">
        <w:rPr>
          <w:rFonts w:cstheme="minorHAnsi"/>
        </w:rPr>
        <w:t>Esošajās P&amp;I un nozaru rīcībpolitikās ir atbalstītas dažādu jomu P&amp;I aktivitātes, taču</w:t>
      </w:r>
      <w:r w:rsidRPr="00C15715">
        <w:rPr>
          <w:rFonts w:cstheme="minorHAnsi"/>
          <w:bCs/>
        </w:rPr>
        <w:t xml:space="preserve"> nav izvirzīti specifiski mērķi tīro tehnoloģiju attīstīšanai, ieviešanai ar mērķi sasniegt specifiskus energoefektivitātes un dekarbonizācijas mērķus.</w:t>
      </w:r>
    </w:p>
    <w:p w14:paraId="47A6F845" w14:textId="77777777" w:rsidR="006179BB" w:rsidRPr="00C15715" w:rsidRDefault="006179BB" w:rsidP="006179BB">
      <w:pPr>
        <w:pStyle w:val="Standard"/>
        <w:spacing w:before="120" w:after="120"/>
        <w:jc w:val="both"/>
        <w:rPr>
          <w:rFonts w:asciiTheme="minorHAnsi" w:hAnsiTheme="minorHAnsi" w:cstheme="minorHAnsi"/>
        </w:rPr>
      </w:pPr>
      <w:r w:rsidRPr="00C15715">
        <w:rPr>
          <w:rFonts w:asciiTheme="minorHAnsi" w:hAnsiTheme="minorHAnsi" w:cstheme="minorHAnsi"/>
        </w:rPr>
        <w:t>Zinātnisko darbinieku (zinātnieki, zinātnes tehniskais un apkalpojošais personāls) skaits Latvijā (pilna laika ekvivalenta  izteiksmē – PLE) 2017.gadā bija 5378, kas veido 0,62% no Latvijā nodarbināto kopskaita, kas ir gandrīz uz pusi mazāk nekā ES vidējais rādītājs (1,39%) (Eurostat, 2017). No kopējā Latvijas zinātniskā personāla skaita (PLE), aptuveni 1000 jeb 18% ir saistīti ar pētniecību Enerģētikas savienības prioritārajās jomās</w:t>
      </w:r>
      <w:r w:rsidRPr="00C15715">
        <w:rPr>
          <w:rStyle w:val="FootnoteReference"/>
          <w:rFonts w:asciiTheme="minorHAnsi" w:hAnsiTheme="minorHAnsi" w:cstheme="minorHAnsi"/>
        </w:rPr>
        <w:footnoteReference w:id="108"/>
      </w:r>
      <w:r w:rsidRPr="00C15715">
        <w:rPr>
          <w:rFonts w:asciiTheme="minorHAnsi" w:hAnsiTheme="minorHAnsi" w:cstheme="minorHAnsi"/>
        </w:rPr>
        <w:t xml:space="preserve"> - enerģētika, būvniecība, klimats, vides inženiertehnoloģijas.</w:t>
      </w:r>
    </w:p>
    <w:p w14:paraId="6B8F3C77" w14:textId="77777777" w:rsidR="006179BB" w:rsidRPr="00C15715" w:rsidRDefault="006179BB" w:rsidP="006179BB">
      <w:pPr>
        <w:pStyle w:val="Standard"/>
        <w:spacing w:before="120" w:after="120"/>
        <w:jc w:val="both"/>
        <w:rPr>
          <w:rFonts w:asciiTheme="minorHAnsi" w:eastAsia="Times New Roman" w:hAnsiTheme="minorHAnsi" w:cstheme="minorHAnsi"/>
        </w:rPr>
      </w:pPr>
      <w:r w:rsidRPr="00C15715">
        <w:rPr>
          <w:rFonts w:asciiTheme="minorHAnsi" w:eastAsia="Times New Roman" w:hAnsiTheme="minorHAnsi" w:cstheme="minorHAnsi"/>
        </w:rPr>
        <w:t xml:space="preserve">Salīdzinot starp 50 Eiropas Patentu birojā reģistrētajām valstīm, 2018. gadā pēc kopējiem patentu aktivitātes rādītājiem pēc iedzīvotāju skaita, Latvija ierindojās 39. vietā ar 6,2 patentu pieteikumiem uz 1 milj. iedzīvotāju. Laika periodā no 2014.-2017. </w:t>
      </w:r>
      <w:r w:rsidRPr="00C15715">
        <w:rPr>
          <w:rFonts w:asciiTheme="minorHAnsi" w:hAnsiTheme="minorHAnsi" w:cstheme="minorHAnsi"/>
        </w:rPr>
        <w:t>gadam Eiropas Patentu birojā</w:t>
      </w:r>
      <w:r w:rsidRPr="00C15715">
        <w:rPr>
          <w:rStyle w:val="FootnoteReference"/>
          <w:rFonts w:asciiTheme="minorHAnsi" w:hAnsiTheme="minorHAnsi" w:cstheme="minorHAnsi"/>
        </w:rPr>
        <w:footnoteReference w:id="109"/>
      </w:r>
      <w:r w:rsidRPr="00C15715">
        <w:rPr>
          <w:rFonts w:asciiTheme="minorHAnsi" w:hAnsiTheme="minorHAnsi" w:cstheme="minorHAnsi"/>
        </w:rPr>
        <w:t xml:space="preserve"> no 63 Latvijas rezidentu patentu pieteikumi, no kuriem 11 jeb 17% patentu reģistrēti </w:t>
      </w:r>
      <w:r w:rsidRPr="00C15715">
        <w:rPr>
          <w:rFonts w:asciiTheme="minorHAnsi" w:eastAsia="Times New Roman" w:hAnsiTheme="minorHAnsi" w:cstheme="minorHAnsi"/>
        </w:rPr>
        <w:t>saistībā ar viedās enerģētikas un tīro tehnoloģiju jomu (</w:t>
      </w:r>
      <w:r w:rsidRPr="00C15715">
        <w:rPr>
          <w:rFonts w:asciiTheme="minorHAnsi" w:eastAsia="Times New Roman" w:hAnsiTheme="minorHAnsi" w:cstheme="minorHAnsi"/>
          <w:lang w:eastAsia="lv-LV"/>
        </w:rPr>
        <w:t>Inženiertehnoloģijas, apgaismojums, siltumapgāde; Elektrība; Mehānika, materiāli un citas inženiertehnoloģijas)</w:t>
      </w:r>
      <w:r w:rsidRPr="00C15715">
        <w:rPr>
          <w:rFonts w:asciiTheme="minorHAnsi" w:eastAsia="Times New Roman" w:hAnsiTheme="minorHAnsi" w:cstheme="minorHAnsi"/>
        </w:rPr>
        <w:t xml:space="preserve">. Vairumā gadījumu reģistrēti patenti saistībā ar uz inovatīvām biomasas sadedzināšanas iekārtām, biodegvielām, vēja un saules enerģijas tehnoloģijām. </w:t>
      </w:r>
    </w:p>
    <w:p w14:paraId="710F936B"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 xml:space="preserve">Ņemot vērā esošās attīstības tendences, globālos izaicinājumus un nozaru potenciālās iespējas virzībā uz augstākas pievienotās vērtības produktu ražošanu NIPP2020 ir noteikts mērķis </w:t>
      </w:r>
      <w:r w:rsidRPr="00C15715">
        <w:rPr>
          <w:rFonts w:cstheme="minorHAnsi"/>
          <w:color w:val="000000"/>
          <w:szCs w:val="24"/>
          <w:shd w:val="clear" w:color="auto" w:fill="FFFFFF"/>
        </w:rPr>
        <w:t>veicināt ekonomikas strukturālās izmaiņas par labu preču un pakalpojumu ar augstāku ienesīgumu ražošanai, t.sk. rūpniecības lomas palielināšanai, rūpniecības un pakalpojumu modernizācijai un dažādākam eksporta grozam.</w:t>
      </w:r>
    </w:p>
    <w:p w14:paraId="7D97692D" w14:textId="77777777" w:rsidR="006179BB" w:rsidRPr="00C15715" w:rsidRDefault="006179BB" w:rsidP="006179BB">
      <w:pPr>
        <w:spacing w:before="120" w:after="120" w:line="240" w:lineRule="auto"/>
        <w:jc w:val="both"/>
        <w:rPr>
          <w:rFonts w:cstheme="minorHAnsi"/>
          <w:color w:val="000000"/>
          <w:szCs w:val="24"/>
        </w:rPr>
      </w:pPr>
      <w:r w:rsidRPr="00C15715">
        <w:rPr>
          <w:rFonts w:cstheme="minorHAnsi"/>
          <w:color w:val="000000"/>
          <w:szCs w:val="24"/>
        </w:rPr>
        <w:t>Inovācijas un uzņēmējdarbības atklājuma procesa sekmēšanai Ekonomikas ministrija ir uzsākusi un īsteno vairākas jaunas iniciatīvas:</w:t>
      </w:r>
    </w:p>
    <w:p w14:paraId="34AAE68C" w14:textId="77777777" w:rsidR="006179BB" w:rsidRPr="00C15715" w:rsidRDefault="006179BB" w:rsidP="0007326F">
      <w:pPr>
        <w:pStyle w:val="NormalWeb"/>
        <w:numPr>
          <w:ilvl w:val="0"/>
          <w:numId w:val="12"/>
        </w:numPr>
        <w:autoSpaceDN w:val="0"/>
        <w:spacing w:before="120" w:beforeAutospacing="0" w:after="120" w:afterAutospacing="0"/>
        <w:ind w:left="397" w:hanging="397"/>
        <w:jc w:val="both"/>
        <w:rPr>
          <w:rFonts w:asciiTheme="minorHAnsi" w:hAnsiTheme="minorHAnsi" w:cstheme="minorHAnsi"/>
          <w:color w:val="000000"/>
          <w:lang w:eastAsia="en-US"/>
        </w:rPr>
      </w:pPr>
      <w:r w:rsidRPr="00C15715">
        <w:rPr>
          <w:rFonts w:asciiTheme="minorHAnsi" w:hAnsiTheme="minorHAnsi" w:cstheme="minorHAnsi"/>
          <w:bCs/>
        </w:rPr>
        <w:t>jaunuzņēmumu (start-up) ekosistēmas attīstības</w:t>
      </w:r>
      <w:r w:rsidRPr="00C15715">
        <w:rPr>
          <w:rFonts w:asciiTheme="minorHAnsi" w:hAnsiTheme="minorHAnsi" w:cstheme="minorHAnsi"/>
        </w:rPr>
        <w:t xml:space="preserve"> veicināšana - normatīvā regulējuma – Jaunuzņēmumu darbības atbalsta likuma</w:t>
      </w:r>
      <w:r w:rsidRPr="00C15715">
        <w:rPr>
          <w:rStyle w:val="FootnoteReference"/>
          <w:rFonts w:asciiTheme="minorHAnsi" w:hAnsiTheme="minorHAnsi" w:cstheme="minorHAnsi"/>
        </w:rPr>
        <w:footnoteReference w:id="110"/>
      </w:r>
      <w:r w:rsidRPr="00C15715">
        <w:rPr>
          <w:rFonts w:asciiTheme="minorHAnsi" w:hAnsiTheme="minorHAnsi" w:cstheme="minorHAnsi"/>
        </w:rPr>
        <w:t xml:space="preserve"> - izveide, vienas pieturas aģentūras – LIAA – informatīvais un administratīvais atbalsts jaunuzņēmumiem, tai skaitā atbalsts dalībai starptautiskās nozares konferencēs un divpusējās tikšanās ar investoriem; </w:t>
      </w:r>
      <w:r w:rsidRPr="00C15715">
        <w:rPr>
          <w:rFonts w:asciiTheme="minorHAnsi" w:hAnsiTheme="minorHAnsi" w:cstheme="minorHAnsi"/>
          <w:bCs/>
        </w:rPr>
        <w:t>riska kapitāla finansējuma</w:t>
      </w:r>
      <w:r w:rsidRPr="00C15715">
        <w:rPr>
          <w:rFonts w:asciiTheme="minorHAnsi" w:hAnsiTheme="minorHAnsi" w:cstheme="minorHAnsi"/>
        </w:rPr>
        <w:t xml:space="preserve"> pieejamības nodrošināšana, atvieglojumi – jaunuzņēmumu vīzas- jaunu augsti izglītotu darbinieku piesaistei no trešajām valstīm,  </w:t>
      </w:r>
      <w:r w:rsidRPr="00C15715">
        <w:rPr>
          <w:rFonts w:asciiTheme="minorHAnsi" w:hAnsiTheme="minorHAnsi" w:cstheme="minorHAnsi"/>
          <w:lang w:eastAsia="en-US"/>
        </w:rPr>
        <w:t>kas piedāvā atvieglotus nosacījumus ES zilās kartes saņemšanai;</w:t>
      </w:r>
    </w:p>
    <w:p w14:paraId="1B5B64CD" w14:textId="5AA3AB1F" w:rsidR="006179BB" w:rsidRPr="00C15715" w:rsidRDefault="006179BB" w:rsidP="0007326F">
      <w:pPr>
        <w:pStyle w:val="ListParagraph"/>
        <w:numPr>
          <w:ilvl w:val="0"/>
          <w:numId w:val="12"/>
        </w:numPr>
        <w:autoSpaceDN w:val="0"/>
        <w:spacing w:before="120" w:after="120" w:line="240" w:lineRule="auto"/>
        <w:ind w:left="397" w:hanging="397"/>
        <w:contextualSpacing w:val="0"/>
        <w:jc w:val="both"/>
        <w:rPr>
          <w:rFonts w:eastAsia="Times New Roman" w:cstheme="minorHAnsi"/>
        </w:rPr>
      </w:pPr>
      <w:r w:rsidRPr="00C15715">
        <w:rPr>
          <w:rFonts w:eastAsia="Times New Roman" w:cstheme="minorHAnsi"/>
          <w:bCs/>
        </w:rPr>
        <w:t>Valsts kapitālsabiedrību inovācijas platforma</w:t>
      </w:r>
      <w:r w:rsidRPr="00C15715">
        <w:rPr>
          <w:rFonts w:eastAsia="Times New Roman" w:cstheme="minorHAnsi"/>
        </w:rPr>
        <w:t xml:space="preserve"> – izveidota 2018. gadā kā sadarbības platforma starpnozaru inovāciju projektu īstenošanai ar mērķi veicināt Latvijas valsts kapitālsabiedrību investīciju pieaugumu pētniecībā un attīstībā, lai radītu jaunus inovatīvus un eksportspējīgus produktus un pakalpojumus. Platformu izveidoja Ekonomikas ministrija ciešā sadarbībā ar </w:t>
      </w:r>
      <w:r w:rsidR="0028675B">
        <w:rPr>
          <w:rFonts w:eastAsia="Times New Roman" w:cstheme="minorHAnsi"/>
        </w:rPr>
        <w:t>MK</w:t>
      </w:r>
      <w:r w:rsidRPr="00C15715">
        <w:rPr>
          <w:rFonts w:eastAsia="Times New Roman" w:cstheme="minorHAnsi"/>
        </w:rPr>
        <w:t xml:space="preserve">, </w:t>
      </w:r>
      <w:r w:rsidR="0028675B">
        <w:rPr>
          <w:rFonts w:eastAsia="Times New Roman" w:cstheme="minorHAnsi"/>
        </w:rPr>
        <w:t xml:space="preserve">PKC </w:t>
      </w:r>
      <w:r w:rsidRPr="00C15715">
        <w:rPr>
          <w:rFonts w:eastAsia="Times New Roman" w:cstheme="minorHAnsi"/>
        </w:rPr>
        <w:t xml:space="preserve">un 4 aktīvākajām valsts kapitālsabiedrībām “Latvenergo”, “LMT”, “Lattelecom”, “Latvijas valsts meži”. </w:t>
      </w:r>
    </w:p>
    <w:p w14:paraId="1C36BB15" w14:textId="77777777" w:rsidR="006179BB" w:rsidRPr="00C15715" w:rsidRDefault="006179BB" w:rsidP="0007326F">
      <w:pPr>
        <w:pStyle w:val="NormalWeb"/>
        <w:numPr>
          <w:ilvl w:val="0"/>
          <w:numId w:val="12"/>
        </w:numPr>
        <w:autoSpaceDN w:val="0"/>
        <w:spacing w:before="120" w:beforeAutospacing="0" w:after="120" w:afterAutospacing="0"/>
        <w:ind w:left="397" w:hanging="397"/>
        <w:jc w:val="both"/>
        <w:rPr>
          <w:rFonts w:asciiTheme="minorHAnsi" w:hAnsiTheme="minorHAnsi" w:cstheme="minorHAnsi"/>
          <w:lang w:eastAsia="en-US"/>
        </w:rPr>
      </w:pPr>
      <w:r w:rsidRPr="00C15715">
        <w:rPr>
          <w:rFonts w:asciiTheme="minorHAnsi" w:hAnsiTheme="minorHAnsi" w:cstheme="minorHAnsi"/>
        </w:rPr>
        <w:t>Latvijas inovāciju un tehnoloģiju atbalsta fonda veidošana –</w:t>
      </w:r>
      <w:r w:rsidRPr="00C15715">
        <w:rPr>
          <w:rFonts w:asciiTheme="minorHAnsi" w:hAnsiTheme="minorHAnsi" w:cstheme="minorHAnsi"/>
          <w:b/>
          <w:bCs/>
        </w:rPr>
        <w:t xml:space="preserve"> </w:t>
      </w:r>
      <w:r w:rsidRPr="00C15715">
        <w:rPr>
          <w:rFonts w:asciiTheme="minorHAnsi" w:hAnsiTheme="minorHAnsi" w:cstheme="minorHAnsi"/>
          <w:bCs/>
        </w:rPr>
        <w:t>šobrīd tiek izvērtētas iespējas fonda izveidei, kura mērķis ir</w:t>
      </w:r>
      <w:r w:rsidRPr="00C15715">
        <w:rPr>
          <w:rFonts w:asciiTheme="minorHAnsi" w:hAnsiTheme="minorHAnsi" w:cstheme="minorHAnsi"/>
          <w:b/>
          <w:bCs/>
        </w:rPr>
        <w:t xml:space="preserve"> </w:t>
      </w:r>
      <w:r w:rsidRPr="00C15715">
        <w:rPr>
          <w:rFonts w:asciiTheme="minorHAnsi" w:hAnsiTheme="minorHAnsi" w:cstheme="minorHAnsi"/>
        </w:rPr>
        <w:t>Latvijā attīstīt vienotu pētniecības un inovācijas pārvaldības un tehnoloģiju pārneses ekosistēmu.</w:t>
      </w:r>
    </w:p>
    <w:p w14:paraId="7AB3C75A" w14:textId="77777777" w:rsidR="006179BB" w:rsidRPr="00C15715" w:rsidRDefault="006179BB" w:rsidP="006179BB">
      <w:pPr>
        <w:spacing w:before="120" w:after="120" w:line="240" w:lineRule="auto"/>
        <w:jc w:val="both"/>
        <w:rPr>
          <w:rFonts w:cstheme="minorHAnsi"/>
          <w:lang w:eastAsia="lv-LV"/>
        </w:rPr>
      </w:pPr>
      <w:r w:rsidRPr="00C15715">
        <w:rPr>
          <w:rFonts w:cstheme="minorHAnsi"/>
        </w:rPr>
        <w:t>Vienlaikus, lai sniegtu atbalstu</w:t>
      </w:r>
      <w:r w:rsidRPr="00C15715">
        <w:rPr>
          <w:rFonts w:cstheme="minorHAnsi"/>
          <w:b/>
          <w:bCs/>
        </w:rPr>
        <w:t xml:space="preserve"> </w:t>
      </w:r>
      <w:r w:rsidRPr="00C15715">
        <w:rPr>
          <w:rFonts w:cstheme="minorHAnsi"/>
        </w:rPr>
        <w:t xml:space="preserve">komersantu eksportspējas celšanai un jaunu eksporta tirgu apgūšanai LIAA </w:t>
      </w:r>
      <w:r w:rsidRPr="00C15715">
        <w:rPr>
          <w:rFonts w:cstheme="minorHAnsi"/>
          <w:szCs w:val="24"/>
          <w:lang w:eastAsia="lv-LV"/>
        </w:rPr>
        <w:t xml:space="preserve">programmas </w:t>
      </w:r>
      <w:r w:rsidRPr="00C15715">
        <w:rPr>
          <w:rFonts w:cstheme="minorHAnsi"/>
          <w:szCs w:val="24"/>
        </w:rPr>
        <w:t>"Starptautiskās konkurētspējas veicināšana"</w:t>
      </w:r>
      <w:r w:rsidRPr="00C15715">
        <w:rPr>
          <w:rFonts w:cstheme="minorHAnsi"/>
        </w:rPr>
        <w:t xml:space="preserve"> ietvaros </w:t>
      </w:r>
      <w:r w:rsidRPr="00C15715">
        <w:rPr>
          <w:rFonts w:cstheme="minorHAnsi"/>
          <w:szCs w:val="24"/>
        </w:rPr>
        <w:t xml:space="preserve">piedāvā komersantiem plašu eksporta un starptautiskās konkurētspējas veicināšanas pasākumu klāstu, sniedzot atbalstu komersantu </w:t>
      </w:r>
      <w:r w:rsidRPr="00C15715">
        <w:rPr>
          <w:rFonts w:eastAsia="Times New Roman" w:cstheme="minorHAnsi"/>
          <w:szCs w:val="24"/>
          <w:lang w:eastAsia="lv-LV"/>
        </w:rPr>
        <w:t>dalībai starptautiskajās izstādēs ar individuālo stendu ārvalstīs un dalībai konferencēs, semināros ārvalstīs ar stendu, dalībai tirdzniecības misijās ārvalstīs, dalībai LIAA organizētās Latvijas augstu valsts amatpersonu vizītēs  ārvalstīs, dalībai LIAA organizētajos nacionālajos stendos, darījumu tūrisma pasākumu organizēšanai Latvijā, kā arī ražotņu un produktu atbilstības novērtēšanai.</w:t>
      </w:r>
    </w:p>
    <w:p w14:paraId="5DF3C6C6" w14:textId="77777777" w:rsidR="006179BB" w:rsidRPr="00C15715" w:rsidRDefault="006179BB">
      <w:pPr>
        <w:pStyle w:val="Heading30"/>
      </w:pPr>
      <w:bookmarkStart w:id="293" w:name="_Toc23245795"/>
      <w:bookmarkStart w:id="294" w:name="_Toc23246016"/>
      <w:bookmarkStart w:id="295" w:name="_Toc24408030"/>
      <w:r w:rsidRPr="00C15715">
        <w:t>Pasākumi inovatīvu tehnoloģiju ieviešanas veicināšanai</w:t>
      </w:r>
      <w:bookmarkEnd w:id="293"/>
      <w:bookmarkEnd w:id="294"/>
      <w:bookmarkEnd w:id="295"/>
    </w:p>
    <w:p w14:paraId="6C1D762A" w14:textId="77777777" w:rsidR="006179BB" w:rsidRPr="00C15715" w:rsidRDefault="006179BB" w:rsidP="006179BB">
      <w:pPr>
        <w:spacing w:after="0" w:line="240" w:lineRule="auto"/>
        <w:jc w:val="both"/>
        <w:rPr>
          <w:rFonts w:cstheme="minorHAnsi"/>
          <w:szCs w:val="24"/>
        </w:rPr>
      </w:pPr>
      <w:r w:rsidRPr="00C15715">
        <w:rPr>
          <w:rFonts w:cstheme="minorHAnsi"/>
          <w:szCs w:val="24"/>
        </w:rPr>
        <w:t xml:space="preserve">Tīro tehnoloģiju sektora attīstība ir tiešā veidā saistīta ar P&amp;I kapacitāti – cilvēkkapitālu un publiskā un privātā sektora ieguldījumiem P&amp;I. </w:t>
      </w:r>
    </w:p>
    <w:p w14:paraId="414B1A1A" w14:textId="77777777" w:rsidR="006179BB" w:rsidRPr="00C15715" w:rsidRDefault="006179BB" w:rsidP="006179BB">
      <w:pPr>
        <w:spacing w:before="120" w:after="120" w:line="240" w:lineRule="auto"/>
        <w:jc w:val="both"/>
        <w:rPr>
          <w:rFonts w:cstheme="minorHAnsi"/>
          <w:szCs w:val="24"/>
        </w:rPr>
      </w:pPr>
      <w:r w:rsidRPr="00C15715">
        <w:rPr>
          <w:rFonts w:cstheme="minorHAnsi"/>
          <w:szCs w:val="24"/>
        </w:rPr>
        <w:t xml:space="preserve">Nozīmīgākie ES struktūrfondu finansētie pasākumi, kuri </w:t>
      </w:r>
      <w:r>
        <w:rPr>
          <w:rFonts w:cstheme="minorHAnsi"/>
          <w:szCs w:val="24"/>
        </w:rPr>
        <w:t>ir</w:t>
      </w:r>
      <w:r w:rsidRPr="00C15715">
        <w:rPr>
          <w:rFonts w:cstheme="minorHAnsi"/>
          <w:szCs w:val="24"/>
        </w:rPr>
        <w:t xml:space="preserve"> mērķēti uz jaunu tehnoloģiju un inovācijas attīstīšanu, zināšanu un tehnoloģiju pārnesi, pētniecības rezultātu komercializāciju, augstākas pievienotās vērtības produktu un pakalpojumu radīšanu un uzņēmumu konkurētspēju un eksportspēju konkurētspējas uzlabošanu, </w:t>
      </w:r>
      <w:r>
        <w:rPr>
          <w:rFonts w:cstheme="minorHAnsi"/>
          <w:szCs w:val="24"/>
        </w:rPr>
        <w:t xml:space="preserve">cita starpā arī </w:t>
      </w:r>
      <w:r w:rsidRPr="00C15715">
        <w:rPr>
          <w:rFonts w:cstheme="minorHAnsi"/>
          <w:szCs w:val="24"/>
        </w:rPr>
        <w:t xml:space="preserve">energoefektivitātes un dekarbonizācijas jomās ir: </w:t>
      </w:r>
      <w:r w:rsidRPr="00C15715">
        <w:rPr>
          <w:rFonts w:cstheme="minorHAnsi"/>
          <w:i/>
          <w:szCs w:val="24"/>
        </w:rPr>
        <w:t>kompetences centri, tehnoloģiju pārneses programma un klasteru programma</w:t>
      </w:r>
      <w:r w:rsidRPr="00C15715">
        <w:rPr>
          <w:rFonts w:cstheme="minorHAnsi"/>
          <w:szCs w:val="24"/>
        </w:rPr>
        <w:t>.</w:t>
      </w:r>
    </w:p>
    <w:p w14:paraId="79352033" w14:textId="77777777" w:rsidR="006179BB" w:rsidRPr="00C15715" w:rsidRDefault="006179BB" w:rsidP="006179BB">
      <w:pPr>
        <w:spacing w:before="120" w:after="120" w:line="240" w:lineRule="auto"/>
        <w:jc w:val="both"/>
        <w:rPr>
          <w:rFonts w:cstheme="minorHAnsi"/>
          <w:szCs w:val="24"/>
        </w:rPr>
      </w:pPr>
      <w:r w:rsidRPr="00C15715">
        <w:rPr>
          <w:rFonts w:cstheme="minorHAnsi"/>
          <w:i/>
          <w:szCs w:val="24"/>
        </w:rPr>
        <w:t>Kompetences centru</w:t>
      </w:r>
      <w:r w:rsidRPr="00C15715">
        <w:rPr>
          <w:rFonts w:cstheme="minorHAnsi"/>
          <w:szCs w:val="24"/>
        </w:rPr>
        <w:t xml:space="preserve"> pasākuma ietvaros darbojas 8 kompetences centri, t.sk. "Viedo inženiersistēmu, transporta un enerģētikas Kompetences centrs"</w:t>
      </w:r>
      <w:r w:rsidRPr="00C15715">
        <w:rPr>
          <w:rStyle w:val="FootnoteReference"/>
          <w:rFonts w:cstheme="minorHAnsi"/>
          <w:szCs w:val="24"/>
        </w:rPr>
        <w:footnoteReference w:id="111"/>
      </w:r>
      <w:r w:rsidRPr="00C15715">
        <w:rPr>
          <w:rFonts w:cstheme="minorHAnsi"/>
          <w:szCs w:val="24"/>
        </w:rPr>
        <w:t>, kuri nodrošina atbalstu eksperimentāliem un rūpnieciskiem pētījumiem. Uz 2018. gada 31. decembri visos kompetences centros kopumā uzsākta 191 projektu īstenošana. Līdz 2018. gada 31. decembrim pabeigti  174 pētījumi, kuru rezultātā radītie produkti ieviesti ražošanā vai tiek plānota tuvākajā laikā. Atbalstu saņēmuši 149 saimnieciskās darbības veicēji, lai ieviestu jaunus produktus un tehnoloģijas.</w:t>
      </w:r>
    </w:p>
    <w:p w14:paraId="06212CAE" w14:textId="77777777" w:rsidR="006179BB" w:rsidRPr="00C15715" w:rsidRDefault="006179BB" w:rsidP="006179BB">
      <w:pPr>
        <w:spacing w:before="120" w:after="120" w:line="240" w:lineRule="auto"/>
        <w:jc w:val="both"/>
        <w:rPr>
          <w:rFonts w:cstheme="minorHAnsi"/>
          <w:szCs w:val="24"/>
        </w:rPr>
      </w:pPr>
      <w:r w:rsidRPr="00C15715">
        <w:rPr>
          <w:rFonts w:cstheme="minorHAnsi"/>
          <w:i/>
          <w:szCs w:val="24"/>
        </w:rPr>
        <w:t>Tehnoloģiju pārneses programmas</w:t>
      </w:r>
      <w:r w:rsidRPr="00C15715">
        <w:rPr>
          <w:rFonts w:cstheme="minorHAnsi"/>
          <w:szCs w:val="24"/>
        </w:rPr>
        <w:t xml:space="preserve"> mērķis ir veicināt zināšanu un tehnoloģiju pārnesi un pētniecības rezultātu komercializāciju. Programmas ietvaros līdz 2018.gada nogalei apstiprināts 41 projekts tehniski ekonomiskās priekšizpētes un komercializācijas stratēģijas izstrādei, no kuriem 24 projekti atbalstīti pētniecības rezultātu komercializācijai. Paralēli ir veicināta pētniecības organizāciju sadarbība ar komersantiem, procesā piesaistot Tehnoloģiju skautu nodaļu. Tehnoloģiju skauti pārzina pētnieciskās organizācijas, to personālu un sniegtos pakalpojumus. Pētniecības organizācijās skauti apzina potenciāli komercializējamus pētniecības projektus un palīdz tos attīstīt. Šobrīd LIAA darbojas 7 tehnoloģiju skauti: pa vienam Latvijas Universitātē un Rīgas Tehniskajā universitātē un pieci skauti sekojošās nozarēs: bioekonomika, biomedicīna, viedie materiāli, informācijas un komunikāciju tehnoloģijas un viedā enerģētika. </w:t>
      </w:r>
    </w:p>
    <w:p w14:paraId="41BBD545" w14:textId="77777777" w:rsidR="006179BB" w:rsidRPr="00C15715" w:rsidRDefault="006179BB" w:rsidP="006179BB">
      <w:pPr>
        <w:spacing w:before="120" w:after="120" w:line="240" w:lineRule="auto"/>
        <w:jc w:val="both"/>
        <w:rPr>
          <w:rFonts w:cstheme="minorHAnsi"/>
          <w:szCs w:val="24"/>
        </w:rPr>
      </w:pPr>
      <w:r w:rsidRPr="00C15715">
        <w:rPr>
          <w:rFonts w:cstheme="minorHAnsi"/>
          <w:i/>
          <w:szCs w:val="24"/>
        </w:rPr>
        <w:t>Klasteru programma</w:t>
      </w:r>
      <w:r w:rsidRPr="00C15715">
        <w:rPr>
          <w:rFonts w:cstheme="minorHAnsi"/>
          <w:szCs w:val="24"/>
        </w:rPr>
        <w:t xml:space="preserve"> tiek īstenota ar mērķi veicināt sadarbību starp komersantiem un pētniecības, izglītības, pašvaldības un citām institūcijām, kas darbojas savstarpēji saistītās nozarēs, tautsaimniecības nišā, produkta vai pakalpojuma grupā vai vērtības ķēdē, vai reģionā vietējā un starptautiskā līmenī, lai uzlabotu komersantu kapacitāti augstas pievienotās vērtības produktu un pakalpojumu radīšanā un veicinātu to eksportspēju. Programmas ietvaros atbalstu saņem 14 klasteri, no kuriem 2 tiešā veidā darbojas tīro tehnoloģiju jomā (Cleantech un Zaļo un tīro tehnoloģiju klasteris).</w:t>
      </w:r>
    </w:p>
    <w:p w14:paraId="5DF18B89" w14:textId="77777777" w:rsidR="006179BB" w:rsidRPr="00C15715" w:rsidRDefault="006179BB" w:rsidP="006179BB">
      <w:pPr>
        <w:pStyle w:val="naiskr"/>
        <w:spacing w:before="120" w:after="120"/>
        <w:jc w:val="both"/>
        <w:rPr>
          <w:rFonts w:asciiTheme="minorHAnsi" w:hAnsiTheme="minorHAnsi" w:cstheme="minorHAnsi"/>
        </w:rPr>
      </w:pPr>
      <w:r w:rsidRPr="00C15715">
        <w:rPr>
          <w:rFonts w:asciiTheme="minorHAnsi" w:hAnsiTheme="minorHAnsi" w:cstheme="minorHAnsi"/>
        </w:rPr>
        <w:t xml:space="preserve">EKII ietvaros līdz 2018. gada beigām piešķirti 36 inovatīvu energoefektivitātes un AER viedo tehnoloģiju izmantošanas demonstrācijas projektu finansēšanai (tabula), kas sniedz gan tiešus SEG emisiju samazinājumus, gan arī netiešos SEG emisiju samazinājumus, kas rodas no projektu demonstrācijas un multiplikatīvā efekta. Netiešie SEG emisiju samazinājumi ir ļoti nozīmīgi, jo klimata politikas mērķu sasniegšanai nepieciešamas pakāpeniskas, visaptverošas un būtiskas izmaiņas tautsaimniecībā un iedzīvotāju dzīvesveidā. </w:t>
      </w:r>
      <w:r w:rsidRPr="00C15715">
        <w:rPr>
          <w:rFonts w:asciiTheme="minorHAnsi" w:hAnsiTheme="minorHAnsi" w:cstheme="minorHAnsi"/>
          <w:iCs/>
        </w:rPr>
        <w:t>Demonstrācijas projekti, piem., konkursā „Siltumnīcefekta gāzu emisiju samazināšana – zema enerģijas patēriņa ēkas” piesaista sabiedrības uzmanību un mudina aizvien plašāku cilvēku loku īstenot, ja ne pāreju uz zema enerģijas patēriņa ēkām, tad vismaz energoefektivitātes pasākumu īstenošanu, kas ir būtisks veikto investīciju multiplikatīvais efekts uz turpmāko SEG emisiju samazināšanu ēku sektorā.</w:t>
      </w:r>
    </w:p>
    <w:p w14:paraId="1682EDF3" w14:textId="77777777" w:rsidR="006179BB" w:rsidRPr="00C15715" w:rsidRDefault="006179BB" w:rsidP="006179BB">
      <w:pPr>
        <w:pStyle w:val="Standard"/>
        <w:jc w:val="both"/>
        <w:rPr>
          <w:rFonts w:asciiTheme="minorHAnsi" w:hAnsiTheme="minorHAnsi" w:cstheme="minorHAnsi"/>
        </w:rPr>
      </w:pPr>
      <w:r w:rsidRPr="00C15715">
        <w:rPr>
          <w:rFonts w:asciiTheme="minorHAnsi" w:hAnsiTheme="minorHAnsi" w:cstheme="minorHAnsi"/>
        </w:rPr>
        <w:t>Atkritumu nozarē 2014.-2020. gada plānošanas periodā ir plānots finansējums bioloģiski noārdāmo atkritumu pārstrādei, izmantojot anaerobu tehnoloģiju biogāzes iegūšanai, tādejādi nodrošinot arī metāna atgūšanu un lietderīgu izmantošanu. Savukārt iekšējā enerģijas tirgus attīstībai iekšējās energodrošības pastiprināšanai, kā arī primāro fosilo energoresursu izmatošanas samazināšanai tiks īstenoti projekti atkritumu reģenerācijai ar enerģijas atguvi infrastruktūras būvniecībai.</w:t>
      </w:r>
    </w:p>
    <w:p w14:paraId="37EF3B53" w14:textId="77777777" w:rsidR="006179BB" w:rsidRPr="00C15715" w:rsidRDefault="006179BB">
      <w:pPr>
        <w:pStyle w:val="Heading30"/>
      </w:pPr>
      <w:bookmarkStart w:id="296" w:name="_Toc23245796"/>
      <w:bookmarkStart w:id="297" w:name="_Toc23246017"/>
      <w:bookmarkStart w:id="298" w:name="_Toc24408031"/>
      <w:r w:rsidRPr="00C15715">
        <w:t>Pašreizējā izdevumu situācija</w:t>
      </w:r>
      <w:bookmarkEnd w:id="296"/>
      <w:bookmarkEnd w:id="297"/>
      <w:bookmarkEnd w:id="298"/>
      <w:r w:rsidRPr="00C15715">
        <w:t xml:space="preserve"> </w:t>
      </w:r>
    </w:p>
    <w:p w14:paraId="6FC3B3E5" w14:textId="707E9FDA" w:rsidR="006179BB" w:rsidRPr="00C15715" w:rsidRDefault="006179BB" w:rsidP="006179BB">
      <w:pPr>
        <w:pStyle w:val="Standard"/>
        <w:spacing w:before="120" w:after="120"/>
        <w:jc w:val="both"/>
        <w:rPr>
          <w:rFonts w:asciiTheme="minorHAnsi" w:hAnsiTheme="minorHAnsi" w:cstheme="minorHAnsi"/>
        </w:rPr>
      </w:pPr>
      <w:r w:rsidRPr="00C15715">
        <w:rPr>
          <w:rFonts w:asciiTheme="minorHAnsi" w:hAnsiTheme="minorHAnsi" w:cstheme="minorHAnsi"/>
        </w:rPr>
        <w:t xml:space="preserve">Latvijas P&amp;I sistēmas attīstību būtiski kavējis ilgstoši zemais finansējums pētniecībā </w:t>
      </w:r>
      <w:r w:rsidR="004572FE">
        <w:rPr>
          <w:rFonts w:asciiTheme="minorHAnsi" w:hAnsiTheme="minorHAnsi" w:cstheme="minorHAnsi"/>
        </w:rPr>
        <w:t>–</w:t>
      </w:r>
      <w:r w:rsidRPr="00C15715">
        <w:rPr>
          <w:rFonts w:asciiTheme="minorHAnsi" w:hAnsiTheme="minorHAnsi" w:cstheme="minorHAnsi"/>
        </w:rPr>
        <w:t xml:space="preserve"> </w:t>
      </w:r>
      <w:r w:rsidR="004572FE" w:rsidRPr="004572FE">
        <w:rPr>
          <w:rFonts w:asciiTheme="minorHAnsi" w:hAnsiTheme="minorHAnsi" w:cstheme="minorHAnsi"/>
        </w:rPr>
        <w:t>Latvijas nacionālā reformu programm</w:t>
      </w:r>
      <w:r w:rsidR="004572FE">
        <w:rPr>
          <w:rFonts w:asciiTheme="minorHAnsi" w:hAnsiTheme="minorHAnsi" w:cstheme="minorHAnsi"/>
        </w:rPr>
        <w:t>ā</w:t>
      </w:r>
      <w:r w:rsidR="004572FE" w:rsidRPr="004572FE">
        <w:rPr>
          <w:rFonts w:asciiTheme="minorHAnsi" w:hAnsiTheme="minorHAnsi" w:cstheme="minorHAnsi"/>
        </w:rPr>
        <w:t xml:space="preserve"> "ES 2020" stratēģijas īstenošanai</w:t>
      </w:r>
      <w:r w:rsidRPr="00C15715">
        <w:rPr>
          <w:rFonts w:asciiTheme="minorHAnsi" w:hAnsiTheme="minorHAnsi" w:cstheme="minorHAnsi"/>
          <w:vertAlign w:val="superscript"/>
        </w:rPr>
        <w:footnoteReference w:id="112"/>
      </w:r>
      <w:r w:rsidRPr="00C15715">
        <w:rPr>
          <w:rFonts w:asciiTheme="minorHAnsi" w:hAnsiTheme="minorHAnsi" w:cstheme="minorHAnsi"/>
        </w:rPr>
        <w:t xml:space="preserve"> mērķa rādītājs ieguldījumiem P&amp;A 2020.gadam ir noteikts 1,5% apmērā no IKP, taču pēdējo 5 gadu laikā ieguldījumi P&amp;A nav pārsnieguši 0,7% no IKP, kas ir būtisks šķērslis P&amp;I attīstīšanai jebkurā no tautsaimniecības nozarēm.</w:t>
      </w:r>
    </w:p>
    <w:p w14:paraId="41D942BD" w14:textId="77777777" w:rsidR="006179BB" w:rsidRPr="00C15715" w:rsidRDefault="006179BB" w:rsidP="006179BB">
      <w:pPr>
        <w:pStyle w:val="Standard"/>
        <w:jc w:val="center"/>
        <w:rPr>
          <w:rFonts w:asciiTheme="minorHAnsi" w:eastAsia="Times New Roman" w:hAnsiTheme="minorHAnsi" w:cstheme="minorHAnsi"/>
        </w:rPr>
      </w:pPr>
      <w:r>
        <w:rPr>
          <w:rFonts w:asciiTheme="minorHAnsi" w:eastAsia="Times New Roman" w:hAnsiTheme="minorHAnsi" w:cstheme="minorHAnsi"/>
          <w:noProof/>
        </w:rPr>
        <w:drawing>
          <wp:inline distT="0" distB="0" distL="0" distR="0" wp14:anchorId="75D17AB2" wp14:editId="005CFC2C">
            <wp:extent cx="4130993" cy="2470629"/>
            <wp:effectExtent l="0" t="0" r="317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57532" cy="2486501"/>
                    </a:xfrm>
                    <a:prstGeom prst="rect">
                      <a:avLst/>
                    </a:prstGeom>
                    <a:noFill/>
                  </pic:spPr>
                </pic:pic>
              </a:graphicData>
            </a:graphic>
          </wp:inline>
        </w:drawing>
      </w:r>
    </w:p>
    <w:p w14:paraId="46E231E3" w14:textId="41ED714D" w:rsidR="006179BB" w:rsidRPr="00C15715" w:rsidRDefault="006179BB" w:rsidP="006179BB">
      <w:pPr>
        <w:pStyle w:val="Standard"/>
        <w:spacing w:before="120" w:after="120"/>
        <w:jc w:val="center"/>
        <w:rPr>
          <w:rFonts w:cstheme="minorHAnsi"/>
        </w:rPr>
      </w:pPr>
      <w:r w:rsidRPr="00C15715">
        <w:rPr>
          <w:rFonts w:asciiTheme="minorHAnsi" w:eastAsiaTheme="majorEastAsia" w:hAnsiTheme="minorHAnsi" w:cstheme="minorHAnsi"/>
          <w:b/>
          <w:bCs/>
          <w:sz w:val="20"/>
          <w:szCs w:val="20"/>
        </w:rPr>
        <w:fldChar w:fldCharType="begin"/>
      </w:r>
      <w:r w:rsidRPr="00C15715">
        <w:rPr>
          <w:rFonts w:asciiTheme="minorHAnsi" w:eastAsiaTheme="majorEastAsia" w:hAnsiTheme="minorHAnsi" w:cstheme="minorHAnsi"/>
          <w:b/>
          <w:bCs/>
          <w:sz w:val="20"/>
          <w:szCs w:val="20"/>
        </w:rPr>
        <w:instrText xml:space="preserve"> SEQ Ilustrācija \* ARABIC </w:instrText>
      </w:r>
      <w:r w:rsidRPr="00C15715">
        <w:rPr>
          <w:rFonts w:asciiTheme="minorHAnsi" w:eastAsiaTheme="majorEastAsia" w:hAnsiTheme="minorHAnsi" w:cstheme="minorHAnsi"/>
          <w:b/>
          <w:bCs/>
          <w:sz w:val="20"/>
          <w:szCs w:val="20"/>
        </w:rPr>
        <w:fldChar w:fldCharType="separate"/>
      </w:r>
      <w:bookmarkStart w:id="299" w:name="_Toc23782716"/>
      <w:r w:rsidR="006E6675">
        <w:rPr>
          <w:rFonts w:asciiTheme="minorHAnsi" w:eastAsiaTheme="majorEastAsia" w:hAnsiTheme="minorHAnsi" w:cstheme="minorHAnsi"/>
          <w:b/>
          <w:bCs/>
          <w:noProof/>
          <w:sz w:val="20"/>
          <w:szCs w:val="20"/>
        </w:rPr>
        <w:t>36</w:t>
      </w:r>
      <w:r w:rsidRPr="00C15715">
        <w:rPr>
          <w:rFonts w:asciiTheme="minorHAnsi" w:eastAsiaTheme="majorEastAsia" w:hAnsiTheme="minorHAnsi" w:cstheme="minorHAnsi"/>
          <w:b/>
          <w:bCs/>
          <w:sz w:val="20"/>
          <w:szCs w:val="20"/>
        </w:rPr>
        <w:fldChar w:fldCharType="end"/>
      </w:r>
      <w:r w:rsidRPr="00C15715">
        <w:rPr>
          <w:rFonts w:asciiTheme="minorHAnsi" w:eastAsiaTheme="majorEastAsia" w:hAnsiTheme="minorHAnsi" w:cstheme="minorHAnsi"/>
          <w:b/>
          <w:bCs/>
          <w:sz w:val="20"/>
          <w:szCs w:val="20"/>
        </w:rPr>
        <w:t>.attēls.</w:t>
      </w:r>
      <w:r w:rsidRPr="00C15715">
        <w:rPr>
          <w:rFonts w:asciiTheme="minorHAnsi" w:hAnsiTheme="minorHAnsi" w:cstheme="minorHAnsi"/>
          <w:b/>
          <w:bCs/>
          <w:sz w:val="20"/>
          <w:szCs w:val="20"/>
        </w:rPr>
        <w:t xml:space="preserve"> </w:t>
      </w:r>
      <w:r w:rsidRPr="00C15715">
        <w:rPr>
          <w:rFonts w:asciiTheme="minorHAnsi" w:eastAsia="Times New Roman" w:hAnsiTheme="minorHAnsi" w:cstheme="minorHAnsi"/>
          <w:b/>
          <w:bCs/>
          <w:sz w:val="20"/>
          <w:szCs w:val="20"/>
        </w:rPr>
        <w:t>Publiskā un privātā sektora ieguldījumi tīrās enerģijas tehnoloģiju P&amp;I Latvijā salīdzinājumā ar ES kopējiem ieguldījumiem</w:t>
      </w:r>
      <w:bookmarkEnd w:id="299"/>
    </w:p>
    <w:p w14:paraId="214311C7" w14:textId="77777777" w:rsidR="006179BB" w:rsidRDefault="006179BB" w:rsidP="00560FA1">
      <w:pPr>
        <w:spacing w:before="120" w:after="120" w:line="240" w:lineRule="auto"/>
        <w:jc w:val="both"/>
        <w:rPr>
          <w:rFonts w:cstheme="minorHAnsi"/>
        </w:rPr>
        <w:sectPr w:rsidR="006179BB" w:rsidSect="00DD44D5">
          <w:pgSz w:w="11906" w:h="16838" w:code="9"/>
          <w:pgMar w:top="1418" w:right="1134" w:bottom="1134" w:left="1701" w:header="567" w:footer="567" w:gutter="0"/>
          <w:cols w:space="708"/>
          <w:docGrid w:linePitch="360"/>
        </w:sectPr>
      </w:pPr>
    </w:p>
    <w:p w14:paraId="3B6FC7D8" w14:textId="77777777" w:rsidR="006179BB" w:rsidRPr="009B1BB0" w:rsidRDefault="006179BB" w:rsidP="001E38CE">
      <w:pPr>
        <w:pStyle w:val="Heading1"/>
      </w:pPr>
      <w:bookmarkStart w:id="300" w:name="_Toc17878343"/>
      <w:bookmarkStart w:id="301" w:name="_Toc23245797"/>
      <w:bookmarkStart w:id="302" w:name="_Toc23246018"/>
      <w:bookmarkStart w:id="303" w:name="_Toc24408032"/>
      <w:bookmarkStart w:id="304" w:name="_Toc24408105"/>
      <w:r w:rsidRPr="009B1BB0">
        <w:t>NACIONĀLIE MĒRĶI UN MĒRĶRĀDĪTĀJI</w:t>
      </w:r>
      <w:bookmarkEnd w:id="300"/>
      <w:bookmarkEnd w:id="301"/>
      <w:bookmarkEnd w:id="302"/>
      <w:bookmarkEnd w:id="303"/>
      <w:bookmarkEnd w:id="304"/>
    </w:p>
    <w:p w14:paraId="4A5270E0" w14:textId="77777777" w:rsidR="006179BB" w:rsidRPr="009B1BB0" w:rsidRDefault="006179BB" w:rsidP="0007326F">
      <w:pPr>
        <w:pStyle w:val="Heading2"/>
        <w:ind w:left="623"/>
      </w:pPr>
      <w:bookmarkStart w:id="305" w:name="_Toc520978811"/>
      <w:bookmarkStart w:id="306" w:name="_Toc527529436"/>
      <w:bookmarkStart w:id="307" w:name="_Toc17878344"/>
      <w:bookmarkStart w:id="308" w:name="_Toc23245798"/>
      <w:bookmarkStart w:id="309" w:name="_Toc23246019"/>
      <w:bookmarkStart w:id="310" w:name="_Toc24408033"/>
      <w:bookmarkStart w:id="311" w:name="_Toc24408106"/>
      <w:r w:rsidRPr="009B1BB0">
        <w:t>Dekarbonizācija</w:t>
      </w:r>
      <w:bookmarkEnd w:id="305"/>
      <w:bookmarkEnd w:id="306"/>
      <w:bookmarkEnd w:id="307"/>
      <w:bookmarkEnd w:id="308"/>
      <w:bookmarkEnd w:id="309"/>
      <w:bookmarkEnd w:id="310"/>
      <w:bookmarkEnd w:id="311"/>
      <w:r w:rsidRPr="009B1BB0">
        <w:t xml:space="preserve"> </w:t>
      </w:r>
    </w:p>
    <w:p w14:paraId="57C11F2F" w14:textId="19B425E6" w:rsidR="006179BB" w:rsidRDefault="006179BB" w:rsidP="0007326F">
      <w:pPr>
        <w:pStyle w:val="Heading30"/>
      </w:pPr>
      <w:bookmarkStart w:id="312" w:name="_Toc520978812"/>
      <w:bookmarkStart w:id="313" w:name="_Toc527529437"/>
      <w:bookmarkStart w:id="314" w:name="_Toc23245799"/>
      <w:bookmarkStart w:id="315" w:name="_Toc23246020"/>
      <w:bookmarkStart w:id="316" w:name="_Toc24408034"/>
      <w:bookmarkStart w:id="317" w:name="_Toc503213253"/>
      <w:r w:rsidRPr="009B1BB0">
        <w:t>SEG emisijas un CO</w:t>
      </w:r>
      <w:r w:rsidRPr="009B1BB0">
        <w:rPr>
          <w:vertAlign w:val="subscript"/>
        </w:rPr>
        <w:t>2</w:t>
      </w:r>
      <w:r w:rsidRPr="009B1BB0">
        <w:t xml:space="preserve"> piesaiste</w:t>
      </w:r>
      <w:bookmarkEnd w:id="312"/>
      <w:bookmarkEnd w:id="313"/>
      <w:bookmarkEnd w:id="314"/>
      <w:bookmarkEnd w:id="315"/>
      <w:bookmarkEnd w:id="316"/>
    </w:p>
    <w:p w14:paraId="48BB7DE2" w14:textId="77777777" w:rsidR="0026004A" w:rsidRPr="009B1BB0" w:rsidRDefault="0026004A" w:rsidP="0026004A">
      <w:pPr>
        <w:spacing w:before="120" w:after="120" w:line="240" w:lineRule="auto"/>
        <w:jc w:val="both"/>
        <w:rPr>
          <w:rFonts w:cstheme="minorHAnsi"/>
          <w:szCs w:val="24"/>
        </w:rPr>
      </w:pPr>
      <w:r w:rsidRPr="009B1BB0">
        <w:rPr>
          <w:rFonts w:cstheme="minorHAnsi"/>
          <w:szCs w:val="24"/>
        </w:rPr>
        <w:t>LIAS2030 periodā līdz 2030.gadam ir noteikts SEG emisiju samazināšanas mērķis – 2030.gada kopējam Latvijas SEG emisiju apjomam ir jābūt ne lielākam kā 45% no 1990.gada Latvijas kopējā SEG emisiju apjoma.</w:t>
      </w:r>
    </w:p>
    <w:p w14:paraId="5BD91C4B" w14:textId="77777777" w:rsidR="0026004A" w:rsidRPr="009B1BB0" w:rsidRDefault="0026004A" w:rsidP="0026004A">
      <w:pPr>
        <w:spacing w:before="120" w:after="120" w:line="240" w:lineRule="auto"/>
        <w:jc w:val="both"/>
        <w:rPr>
          <w:rFonts w:cstheme="minorHAnsi"/>
          <w:szCs w:val="24"/>
        </w:rPr>
      </w:pPr>
      <w:r w:rsidRPr="009B1BB0">
        <w:rPr>
          <w:rFonts w:eastAsia="Times New Roman" w:cstheme="minorHAnsi"/>
          <w:szCs w:val="24"/>
        </w:rPr>
        <w:t xml:space="preserve">Ņemot vērā Latvijas dalību ES un ANO, Latvijas klimata politikas mērķi ir saistīti ar ES klimata politikas mērķiem, kā arī ar starptautisko klimata politiku – </w:t>
      </w:r>
      <w:r w:rsidRPr="009B1BB0">
        <w:rPr>
          <w:rFonts w:cstheme="minorHAnsi"/>
          <w:szCs w:val="24"/>
        </w:rPr>
        <w:t>Konvenciju, tās Kioto protokolu un Parīzes nolīgumu</w:t>
      </w:r>
      <w:r w:rsidRPr="009B1BB0">
        <w:rPr>
          <w:rStyle w:val="FootnoteReference"/>
          <w:rFonts w:cstheme="minorHAnsi"/>
          <w:szCs w:val="24"/>
        </w:rPr>
        <w:footnoteReference w:id="113"/>
      </w:r>
      <w:r w:rsidRPr="009B1BB0">
        <w:rPr>
          <w:rFonts w:cstheme="minorHAnsi"/>
          <w:szCs w:val="24"/>
        </w:rPr>
        <w:t>.</w:t>
      </w:r>
    </w:p>
    <w:p w14:paraId="331F573E" w14:textId="77777777" w:rsidR="0026004A" w:rsidRPr="009B1BB0" w:rsidRDefault="0026004A" w:rsidP="0026004A">
      <w:pPr>
        <w:spacing w:before="120" w:after="120" w:line="240" w:lineRule="auto"/>
        <w:jc w:val="both"/>
        <w:rPr>
          <w:rFonts w:eastAsia="Times New Roman" w:cstheme="minorHAnsi"/>
          <w:szCs w:val="24"/>
        </w:rPr>
      </w:pPr>
      <w:r w:rsidRPr="009B1BB0">
        <w:rPr>
          <w:rFonts w:eastAsia="Times New Roman" w:cstheme="minorHAnsi"/>
          <w:szCs w:val="24"/>
        </w:rPr>
        <w:t>ES ietvaros ir noteikts kopējs ES SEG emisiju samazināšanas mērķis, un tas ir sadalīts divās daļās – ETS iekļautās darbības un ETS neiekļautās darbības (turpmāk – ne-ETS). ES noteiktie kopīgie mērķi periodam no 2021.gada līdz 2030.gadam:</w:t>
      </w:r>
    </w:p>
    <w:p w14:paraId="5462B1E0" w14:textId="77777777" w:rsidR="0026004A" w:rsidRPr="009B1BB0" w:rsidRDefault="0026004A" w:rsidP="0026004A">
      <w:pPr>
        <w:pStyle w:val="ListParagraph"/>
        <w:numPr>
          <w:ilvl w:val="0"/>
          <w:numId w:val="24"/>
        </w:numPr>
        <w:spacing w:before="120" w:after="120" w:line="240" w:lineRule="auto"/>
        <w:ind w:left="340" w:hanging="340"/>
        <w:contextualSpacing w:val="0"/>
        <w:jc w:val="both"/>
        <w:rPr>
          <w:rFonts w:eastAsia="Times New Roman" w:cstheme="minorHAnsi"/>
          <w:szCs w:val="24"/>
        </w:rPr>
      </w:pPr>
      <w:r w:rsidRPr="009B1BB0">
        <w:rPr>
          <w:rFonts w:eastAsia="Times New Roman" w:cstheme="minorHAnsi"/>
          <w:szCs w:val="24"/>
        </w:rPr>
        <w:t xml:space="preserve">ETS operatoriem kopīgi visā ES ir jāsamazina SEG emisiju apjoms par 43 % periodā (salīdzinot ar šo ETS operatoru SEG emisiju apjomu 2005. gadā). </w:t>
      </w:r>
    </w:p>
    <w:p w14:paraId="694EBBBC" w14:textId="77777777" w:rsidR="0026004A" w:rsidRPr="009B1BB0" w:rsidRDefault="0026004A" w:rsidP="0026004A">
      <w:pPr>
        <w:pStyle w:val="ListParagraph"/>
        <w:numPr>
          <w:ilvl w:val="0"/>
          <w:numId w:val="24"/>
        </w:numPr>
        <w:spacing w:before="120" w:after="120" w:line="240" w:lineRule="auto"/>
        <w:ind w:left="340" w:hanging="340"/>
        <w:contextualSpacing w:val="0"/>
        <w:jc w:val="both"/>
        <w:rPr>
          <w:rFonts w:eastAsia="Times New Roman" w:cstheme="minorHAnsi"/>
          <w:szCs w:val="24"/>
        </w:rPr>
      </w:pPr>
      <w:r w:rsidRPr="009B1BB0">
        <w:rPr>
          <w:rFonts w:eastAsia="Times New Roman" w:cstheme="minorHAnsi"/>
          <w:szCs w:val="24"/>
        </w:rPr>
        <w:t>kopējais ES ne-ETS SEG emisiju apjoms ir jāsamazina par 30 % periodā (salīdzinot ar šo ne-ETS darbību SEG emisiju apjomu 2005. gadā).</w:t>
      </w:r>
    </w:p>
    <w:p w14:paraId="0C850194" w14:textId="77777777" w:rsidR="0026004A" w:rsidRPr="009B1BB0" w:rsidRDefault="0026004A" w:rsidP="0026004A">
      <w:pPr>
        <w:spacing w:before="120" w:after="120" w:line="240" w:lineRule="auto"/>
        <w:jc w:val="both"/>
        <w:rPr>
          <w:rFonts w:cstheme="minorHAnsi"/>
          <w:szCs w:val="24"/>
        </w:rPr>
      </w:pPr>
      <w:r w:rsidRPr="009B1BB0">
        <w:rPr>
          <w:rFonts w:eastAsia="Times New Roman" w:cstheme="minorHAnsi"/>
          <w:szCs w:val="24"/>
        </w:rPr>
        <w:t>ETS mērķa izpildes organizēšana ir EK atbildība. Šī mērķa izpildei ar ES normatīvo regulējumu</w:t>
      </w:r>
      <w:r w:rsidRPr="009B1BB0" w:rsidDel="00CB5C99">
        <w:rPr>
          <w:rFonts w:eastAsia="Times New Roman" w:cstheme="minorHAnsi"/>
          <w:szCs w:val="24"/>
        </w:rPr>
        <w:t xml:space="preserve"> </w:t>
      </w:r>
      <w:r w:rsidRPr="009B1BB0">
        <w:rPr>
          <w:rFonts w:eastAsia="Times New Roman" w:cstheme="minorHAnsi"/>
          <w:szCs w:val="24"/>
        </w:rPr>
        <w:t xml:space="preserve">ir apstiprināti ETS darbības nosacījumi un noteikta ETS operatoru atbildība. ETS operatoru SEG emisiju apjoma samazināšanas pasākumi ir harmonizētā veidā noteikti </w:t>
      </w:r>
      <w:r w:rsidRPr="009B1BB0">
        <w:rPr>
          <w:rFonts w:eastAsia="Calibri" w:cstheme="minorHAnsi"/>
          <w:szCs w:val="24"/>
        </w:rPr>
        <w:t>Direktīvā 2003/87/EK</w:t>
      </w:r>
      <w:r w:rsidRPr="009B1BB0">
        <w:rPr>
          <w:rFonts w:eastAsia="Times New Roman" w:cstheme="minorHAnsi"/>
          <w:szCs w:val="24"/>
        </w:rPr>
        <w:t xml:space="preserve">, un šo pasākumu izstrādi un īstenošanu nodrošina EK kopā ar ES dalībvalstīm, īstenojot </w:t>
      </w:r>
      <w:r w:rsidRPr="009B1BB0">
        <w:rPr>
          <w:rFonts w:eastAsia="Calibri" w:cstheme="minorHAnsi"/>
          <w:szCs w:val="24"/>
        </w:rPr>
        <w:t>Direktīvā 2003/87/EK</w:t>
      </w:r>
      <w:r w:rsidRPr="009B1BB0">
        <w:rPr>
          <w:rFonts w:eastAsia="Times New Roman" w:cstheme="minorHAnsi"/>
          <w:szCs w:val="24"/>
        </w:rPr>
        <w:t xml:space="preserve"> noteiktās prasības un nosacījumus. ETS piedalās arī Latvijas komersanti.</w:t>
      </w:r>
    </w:p>
    <w:p w14:paraId="659A3BEB" w14:textId="77777777" w:rsidR="0026004A" w:rsidRPr="009B1BB0" w:rsidRDefault="0026004A" w:rsidP="0026004A">
      <w:pPr>
        <w:spacing w:before="120" w:after="120" w:line="240" w:lineRule="auto"/>
        <w:jc w:val="both"/>
        <w:rPr>
          <w:rFonts w:eastAsia="Times New Roman" w:cstheme="minorHAnsi"/>
          <w:szCs w:val="24"/>
        </w:rPr>
      </w:pPr>
      <w:r w:rsidRPr="009B1BB0">
        <w:rPr>
          <w:rFonts w:eastAsia="Times New Roman" w:cstheme="minorHAnsi"/>
          <w:szCs w:val="24"/>
        </w:rPr>
        <w:t xml:space="preserve">Ne-ETS SEG emisiju samazināšanas mērķa (turpmāk – ne-ETS mērķis) izpildes saistības ir pārdalītas katrai ES dalībvalstij, t.sk. Latvijai. Periodam no 2021.gada līdz 2030.gadam katras ES dalībvalsts mērķis un tā izpildes nosacījumi ir izteikti </w:t>
      </w:r>
      <w:r w:rsidRPr="009B1BB0">
        <w:rPr>
          <w:rFonts w:eastAsia="Calibri" w:cstheme="minorHAnsi"/>
          <w:szCs w:val="24"/>
        </w:rPr>
        <w:t>Regulā 2018/842</w:t>
      </w:r>
      <w:r w:rsidRPr="009B1BB0">
        <w:rPr>
          <w:rFonts w:eastAsia="Times New Roman" w:cstheme="minorHAnsi"/>
          <w:szCs w:val="24"/>
        </w:rPr>
        <w:t>. Latvijai periodā no 2021.gada līdz 2030.gadam ir nepieciešams nodrošināt 6% ne-ETS darbību SEG emisiju samazinājumu, salīdzinot ar Latvijas ne-ETS darbību SEG emisiju apjomu 2005. gadā. Perioda kopējais mērķis ir sadalīts arī ikgadējos saistošos mērķos.</w:t>
      </w:r>
    </w:p>
    <w:p w14:paraId="26D637CD" w14:textId="5C500720" w:rsidR="006179BB" w:rsidRPr="009B1BB0" w:rsidRDefault="006179BB" w:rsidP="006179BB">
      <w:pPr>
        <w:pStyle w:val="Caption"/>
        <w:rPr>
          <w:rFonts w:asciiTheme="minorHAnsi" w:hAnsiTheme="minorHAnsi" w:cstheme="minorHAnsi"/>
        </w:rPr>
      </w:pPr>
      <w:r w:rsidRPr="009B1BB0">
        <w:rPr>
          <w:rFonts w:asciiTheme="minorHAnsi" w:hAnsiTheme="minorHAnsi" w:cstheme="minorHAnsi"/>
          <w:noProof/>
        </w:rPr>
        <w:fldChar w:fldCharType="begin"/>
      </w:r>
      <w:r w:rsidRPr="009B1BB0">
        <w:rPr>
          <w:rFonts w:asciiTheme="minorHAnsi" w:hAnsiTheme="minorHAnsi" w:cstheme="minorHAnsi"/>
          <w:noProof/>
        </w:rPr>
        <w:instrText xml:space="preserve"> SEQ Tabula \* ARABIC </w:instrText>
      </w:r>
      <w:r w:rsidRPr="009B1BB0">
        <w:rPr>
          <w:rFonts w:asciiTheme="minorHAnsi" w:hAnsiTheme="minorHAnsi" w:cstheme="minorHAnsi"/>
          <w:noProof/>
        </w:rPr>
        <w:fldChar w:fldCharType="separate"/>
      </w:r>
      <w:r w:rsidR="006E6675">
        <w:rPr>
          <w:rFonts w:asciiTheme="minorHAnsi" w:hAnsiTheme="minorHAnsi" w:cstheme="minorHAnsi"/>
          <w:noProof/>
        </w:rPr>
        <w:t>13</w:t>
      </w:r>
      <w:r w:rsidRPr="009B1BB0">
        <w:rPr>
          <w:rFonts w:asciiTheme="minorHAnsi" w:hAnsiTheme="minorHAnsi" w:cstheme="minorHAnsi"/>
          <w:noProof/>
        </w:rPr>
        <w:fldChar w:fldCharType="end"/>
      </w:r>
      <w:r w:rsidRPr="009B1BB0">
        <w:rPr>
          <w:rFonts w:asciiTheme="minorHAnsi" w:hAnsiTheme="minorHAnsi" w:cstheme="minorHAnsi"/>
        </w:rPr>
        <w:t>. tabula. Latvijas SEG emisiju un CO</w:t>
      </w:r>
      <w:r w:rsidRPr="009B1BB0">
        <w:rPr>
          <w:rFonts w:asciiTheme="minorHAnsi" w:hAnsiTheme="minorHAnsi" w:cstheme="minorHAnsi"/>
          <w:vertAlign w:val="subscript"/>
        </w:rPr>
        <w:t>2</w:t>
      </w:r>
      <w:r w:rsidRPr="009B1BB0">
        <w:rPr>
          <w:rFonts w:asciiTheme="minorHAnsi" w:hAnsiTheme="minorHAnsi" w:cstheme="minorHAnsi"/>
        </w:rPr>
        <w:t xml:space="preserve"> piesaistes politikas mērķi un to rezultatīvie radītāji</w:t>
      </w:r>
    </w:p>
    <w:tbl>
      <w:tblPr>
        <w:tblW w:w="90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91"/>
        <w:gridCol w:w="1509"/>
        <w:gridCol w:w="1850"/>
        <w:gridCol w:w="1136"/>
      </w:tblGrid>
      <w:tr w:rsidR="006179BB" w:rsidRPr="009B1BB0" w14:paraId="5EAC7BF7" w14:textId="77777777" w:rsidTr="006179BB">
        <w:trPr>
          <w:tblHeader/>
          <w:jc w:val="center"/>
        </w:trPr>
        <w:tc>
          <w:tcPr>
            <w:tcW w:w="4591" w:type="dxa"/>
            <w:vMerge w:val="restart"/>
            <w:shd w:val="clear" w:color="auto" w:fill="F2F2F2" w:themeFill="background1" w:themeFillShade="F2"/>
            <w:vAlign w:val="center"/>
          </w:tcPr>
          <w:p w14:paraId="03277244" w14:textId="77777777" w:rsidR="006179BB" w:rsidRPr="009B1BB0" w:rsidRDefault="006179BB" w:rsidP="006179BB">
            <w:pPr>
              <w:spacing w:before="60" w:after="60" w:line="240" w:lineRule="auto"/>
              <w:rPr>
                <w:rFonts w:cstheme="minorHAnsi"/>
                <w:b/>
                <w:color w:val="000000" w:themeColor="text1"/>
                <w:sz w:val="22"/>
              </w:rPr>
            </w:pPr>
            <w:r w:rsidRPr="009B1BB0">
              <w:rPr>
                <w:rFonts w:cstheme="minorHAnsi"/>
                <w:b/>
                <w:color w:val="000000" w:themeColor="text1"/>
                <w:sz w:val="22"/>
              </w:rPr>
              <w:t>Politikas rezultāts dekarbonizācijas dimensijas SEG emisiju samazināšanas un CO</w:t>
            </w:r>
            <w:r w:rsidRPr="009B1BB0">
              <w:rPr>
                <w:rFonts w:cstheme="minorHAnsi"/>
                <w:b/>
                <w:color w:val="000000" w:themeColor="text1"/>
                <w:sz w:val="22"/>
                <w:vertAlign w:val="subscript"/>
              </w:rPr>
              <w:t>2</w:t>
            </w:r>
            <w:r w:rsidRPr="009B1BB0">
              <w:rPr>
                <w:rFonts w:cstheme="minorHAnsi"/>
                <w:b/>
                <w:color w:val="000000" w:themeColor="text1"/>
                <w:sz w:val="22"/>
              </w:rPr>
              <w:t xml:space="preserve"> piesaistes apakšdimensijā</w:t>
            </w:r>
          </w:p>
        </w:tc>
        <w:tc>
          <w:tcPr>
            <w:tcW w:w="1509" w:type="dxa"/>
            <w:shd w:val="clear" w:color="auto" w:fill="F2F2F2" w:themeFill="background1" w:themeFillShade="F2"/>
          </w:tcPr>
          <w:p w14:paraId="1B57566C" w14:textId="77777777" w:rsidR="006179BB" w:rsidRPr="009B1BB0" w:rsidRDefault="006179BB" w:rsidP="006179BB">
            <w:pPr>
              <w:spacing w:before="60" w:after="60" w:line="240" w:lineRule="auto"/>
              <w:jc w:val="center"/>
              <w:rPr>
                <w:rFonts w:cstheme="minorHAnsi"/>
                <w:b/>
                <w:color w:val="000000" w:themeColor="text1"/>
                <w:sz w:val="22"/>
              </w:rPr>
            </w:pPr>
            <w:r w:rsidRPr="009B1BB0">
              <w:rPr>
                <w:rFonts w:cstheme="minorHAnsi"/>
                <w:b/>
                <w:color w:val="000000" w:themeColor="text1"/>
                <w:sz w:val="22"/>
              </w:rPr>
              <w:t>Faktiskā vērtība</w:t>
            </w:r>
          </w:p>
        </w:tc>
        <w:tc>
          <w:tcPr>
            <w:tcW w:w="2986" w:type="dxa"/>
            <w:gridSpan w:val="2"/>
            <w:shd w:val="clear" w:color="auto" w:fill="F2F2F2" w:themeFill="background1" w:themeFillShade="F2"/>
            <w:vAlign w:val="center"/>
          </w:tcPr>
          <w:p w14:paraId="009B3E2A" w14:textId="77777777" w:rsidR="006179BB" w:rsidRPr="009B1BB0" w:rsidRDefault="006179BB" w:rsidP="006179BB">
            <w:pPr>
              <w:spacing w:before="60" w:after="60" w:line="240" w:lineRule="auto"/>
              <w:jc w:val="center"/>
              <w:rPr>
                <w:rFonts w:cstheme="minorHAnsi"/>
                <w:b/>
                <w:color w:val="000000" w:themeColor="text1"/>
                <w:sz w:val="22"/>
              </w:rPr>
            </w:pPr>
            <w:r w:rsidRPr="009B1BB0">
              <w:rPr>
                <w:rFonts w:cstheme="minorHAnsi"/>
                <w:b/>
                <w:color w:val="000000" w:themeColor="text1"/>
                <w:sz w:val="22"/>
              </w:rPr>
              <w:t>Mērķa vērtība</w:t>
            </w:r>
          </w:p>
        </w:tc>
      </w:tr>
      <w:tr w:rsidR="006179BB" w:rsidRPr="009B1BB0" w14:paraId="0A344206" w14:textId="77777777" w:rsidTr="006179BB">
        <w:trPr>
          <w:tblHeader/>
          <w:jc w:val="center"/>
        </w:trPr>
        <w:tc>
          <w:tcPr>
            <w:tcW w:w="4591" w:type="dxa"/>
            <w:vMerge/>
            <w:shd w:val="clear" w:color="auto" w:fill="F2F2F2" w:themeFill="background1" w:themeFillShade="F2"/>
            <w:vAlign w:val="center"/>
          </w:tcPr>
          <w:p w14:paraId="1A1CA11B" w14:textId="77777777" w:rsidR="006179BB" w:rsidRPr="009B1BB0" w:rsidRDefault="006179BB" w:rsidP="006179BB">
            <w:pPr>
              <w:spacing w:before="60" w:after="60" w:line="240" w:lineRule="auto"/>
              <w:rPr>
                <w:rFonts w:cstheme="minorHAnsi"/>
                <w:b/>
                <w:color w:val="000000" w:themeColor="text1"/>
                <w:sz w:val="22"/>
              </w:rPr>
            </w:pPr>
          </w:p>
        </w:tc>
        <w:tc>
          <w:tcPr>
            <w:tcW w:w="1509" w:type="dxa"/>
            <w:shd w:val="clear" w:color="auto" w:fill="F2F2F2" w:themeFill="background1" w:themeFillShade="F2"/>
            <w:vAlign w:val="center"/>
          </w:tcPr>
          <w:p w14:paraId="575D36BD" w14:textId="1FF293BD" w:rsidR="006179BB" w:rsidRPr="00904150" w:rsidRDefault="006179BB" w:rsidP="00904150">
            <w:pPr>
              <w:spacing w:after="0" w:line="240" w:lineRule="auto"/>
              <w:jc w:val="center"/>
              <w:rPr>
                <w:rFonts w:ascii="Times New Roman" w:hAnsi="Times New Roman" w:cs="Times New Roman"/>
                <w:szCs w:val="24"/>
                <w:lang w:eastAsia="lv-LV"/>
              </w:rPr>
            </w:pPr>
            <w:r w:rsidRPr="009B1BB0">
              <w:rPr>
                <w:rFonts w:cstheme="minorHAnsi"/>
                <w:b/>
                <w:color w:val="000000" w:themeColor="text1"/>
                <w:sz w:val="22"/>
              </w:rPr>
              <w:t>2017</w:t>
            </w:r>
            <w:r w:rsidR="00904150">
              <w:rPr>
                <w:rStyle w:val="FootnoteReference"/>
                <w:rFonts w:cstheme="minorHAnsi"/>
                <w:b/>
                <w:color w:val="000000" w:themeColor="text1"/>
                <w:sz w:val="22"/>
              </w:rPr>
              <w:footnoteReference w:id="114"/>
            </w:r>
          </w:p>
        </w:tc>
        <w:tc>
          <w:tcPr>
            <w:tcW w:w="1850" w:type="dxa"/>
            <w:shd w:val="clear" w:color="auto" w:fill="F2F2F2" w:themeFill="background1" w:themeFillShade="F2"/>
            <w:vAlign w:val="center"/>
          </w:tcPr>
          <w:p w14:paraId="2E09D7C3" w14:textId="77777777" w:rsidR="006179BB" w:rsidRPr="009B1BB0" w:rsidRDefault="006179BB" w:rsidP="006179BB">
            <w:pPr>
              <w:spacing w:before="60" w:after="60" w:line="240" w:lineRule="auto"/>
              <w:jc w:val="center"/>
              <w:rPr>
                <w:rFonts w:cstheme="minorHAnsi"/>
                <w:b/>
                <w:color w:val="000000" w:themeColor="text1"/>
                <w:sz w:val="22"/>
              </w:rPr>
            </w:pPr>
            <w:r w:rsidRPr="009B1BB0">
              <w:rPr>
                <w:rFonts w:cstheme="minorHAnsi"/>
                <w:b/>
                <w:color w:val="000000" w:themeColor="text1"/>
                <w:sz w:val="22"/>
              </w:rPr>
              <w:t>2020</w:t>
            </w:r>
          </w:p>
        </w:tc>
        <w:tc>
          <w:tcPr>
            <w:tcW w:w="1136" w:type="dxa"/>
            <w:shd w:val="clear" w:color="auto" w:fill="F2F2F2" w:themeFill="background1" w:themeFillShade="F2"/>
            <w:vAlign w:val="center"/>
          </w:tcPr>
          <w:p w14:paraId="4AA72B48" w14:textId="77777777" w:rsidR="006179BB" w:rsidRPr="009B1BB0" w:rsidRDefault="006179BB" w:rsidP="006179BB">
            <w:pPr>
              <w:spacing w:before="60" w:after="60" w:line="240" w:lineRule="auto"/>
              <w:jc w:val="center"/>
              <w:rPr>
                <w:rFonts w:cstheme="minorHAnsi"/>
                <w:b/>
                <w:color w:val="000000" w:themeColor="text1"/>
                <w:sz w:val="22"/>
              </w:rPr>
            </w:pPr>
            <w:r w:rsidRPr="009B1BB0">
              <w:rPr>
                <w:rFonts w:cstheme="minorHAnsi"/>
                <w:b/>
                <w:color w:val="000000" w:themeColor="text1"/>
                <w:sz w:val="22"/>
              </w:rPr>
              <w:t>2030</w:t>
            </w:r>
            <w:r w:rsidRPr="009B1BB0">
              <w:rPr>
                <w:rStyle w:val="FootnoteReference"/>
                <w:rFonts w:cstheme="minorHAnsi"/>
                <w:sz w:val="22"/>
              </w:rPr>
              <w:footnoteReference w:id="115"/>
            </w:r>
          </w:p>
        </w:tc>
      </w:tr>
      <w:tr w:rsidR="006179BB" w:rsidRPr="009B1BB0" w14:paraId="4C010982" w14:textId="77777777" w:rsidTr="006179BB">
        <w:trPr>
          <w:jc w:val="center"/>
        </w:trPr>
        <w:tc>
          <w:tcPr>
            <w:tcW w:w="9086" w:type="dxa"/>
            <w:gridSpan w:val="4"/>
            <w:vAlign w:val="center"/>
          </w:tcPr>
          <w:p w14:paraId="11D5A3FE" w14:textId="77777777" w:rsidR="006179BB" w:rsidRPr="009B1BB0" w:rsidRDefault="006179BB" w:rsidP="006179BB">
            <w:pPr>
              <w:spacing w:after="0" w:line="240" w:lineRule="auto"/>
              <w:rPr>
                <w:rFonts w:cstheme="minorHAnsi"/>
                <w:color w:val="000000" w:themeColor="text1"/>
                <w:szCs w:val="24"/>
              </w:rPr>
            </w:pPr>
            <w:r w:rsidRPr="009B1BB0">
              <w:rPr>
                <w:rFonts w:cstheme="minorHAnsi"/>
                <w:color w:val="000000" w:themeColor="text1"/>
                <w:szCs w:val="24"/>
              </w:rPr>
              <w:t xml:space="preserve">kopējais SEG emisiju samazinājums </w:t>
            </w:r>
          </w:p>
        </w:tc>
      </w:tr>
      <w:tr w:rsidR="006179BB" w:rsidRPr="009B1BB0" w14:paraId="579D7531" w14:textId="77777777" w:rsidTr="006179BB">
        <w:trPr>
          <w:jc w:val="center"/>
        </w:trPr>
        <w:tc>
          <w:tcPr>
            <w:tcW w:w="4591" w:type="dxa"/>
            <w:vAlign w:val="center"/>
          </w:tcPr>
          <w:p w14:paraId="5ED6AFF1" w14:textId="77777777" w:rsidR="006179BB" w:rsidRPr="009B1BB0" w:rsidRDefault="006179BB" w:rsidP="006179BB">
            <w:pPr>
              <w:spacing w:after="0" w:line="240" w:lineRule="auto"/>
              <w:ind w:left="284" w:right="284"/>
              <w:rPr>
                <w:rFonts w:cstheme="minorHAnsi"/>
                <w:color w:val="000000" w:themeColor="text1"/>
                <w:szCs w:val="24"/>
              </w:rPr>
            </w:pPr>
            <w:r w:rsidRPr="009B1BB0">
              <w:rPr>
                <w:rFonts w:cstheme="minorHAnsi"/>
                <w:color w:val="000000" w:themeColor="text1"/>
                <w:szCs w:val="24"/>
              </w:rPr>
              <w:t>% pret 1990.g.</w:t>
            </w:r>
          </w:p>
        </w:tc>
        <w:tc>
          <w:tcPr>
            <w:tcW w:w="1509" w:type="dxa"/>
            <w:vAlign w:val="center"/>
          </w:tcPr>
          <w:p w14:paraId="6D28AA15"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-57</w:t>
            </w:r>
          </w:p>
        </w:tc>
        <w:tc>
          <w:tcPr>
            <w:tcW w:w="1850" w:type="dxa"/>
            <w:vAlign w:val="center"/>
          </w:tcPr>
          <w:p w14:paraId="4C11D94B" w14:textId="77777777" w:rsidR="006179BB" w:rsidRPr="009B1BB0" w:rsidRDefault="006179BB" w:rsidP="006179BB">
            <w:pPr>
              <w:spacing w:after="0" w:line="240" w:lineRule="auto"/>
              <w:jc w:val="center"/>
              <w:rPr>
                <w:rFonts w:cstheme="minorHAnsi"/>
                <w:iCs/>
                <w:color w:val="000000" w:themeColor="text1"/>
                <w:szCs w:val="24"/>
              </w:rPr>
            </w:pPr>
            <w:r w:rsidRPr="009B1BB0">
              <w:rPr>
                <w:rFonts w:cstheme="minorHAnsi"/>
                <w:color w:val="000000" w:themeColor="text1"/>
                <w:szCs w:val="24"/>
              </w:rPr>
              <w:t>-</w:t>
            </w:r>
          </w:p>
        </w:tc>
        <w:tc>
          <w:tcPr>
            <w:tcW w:w="1136" w:type="dxa"/>
            <w:vAlign w:val="center"/>
          </w:tcPr>
          <w:p w14:paraId="63CA0137"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-55</w:t>
            </w:r>
          </w:p>
        </w:tc>
      </w:tr>
      <w:tr w:rsidR="006179BB" w:rsidRPr="009B1BB0" w14:paraId="3EA6A1F4" w14:textId="77777777" w:rsidTr="006179BB">
        <w:trPr>
          <w:jc w:val="center"/>
        </w:trPr>
        <w:tc>
          <w:tcPr>
            <w:tcW w:w="4591" w:type="dxa"/>
            <w:vAlign w:val="center"/>
          </w:tcPr>
          <w:p w14:paraId="4EA5CD50" w14:textId="77777777" w:rsidR="006179BB" w:rsidRPr="009B1BB0" w:rsidRDefault="006179BB" w:rsidP="006179BB">
            <w:pPr>
              <w:spacing w:after="0" w:line="240" w:lineRule="auto"/>
              <w:ind w:left="284" w:right="284"/>
              <w:rPr>
                <w:rFonts w:cstheme="minorHAnsi"/>
                <w:color w:val="000000" w:themeColor="text1"/>
                <w:szCs w:val="24"/>
              </w:rPr>
            </w:pPr>
            <w:r w:rsidRPr="009B1BB0">
              <w:rPr>
                <w:rFonts w:cstheme="minorHAnsi"/>
                <w:color w:val="000000" w:themeColor="text1"/>
                <w:szCs w:val="24"/>
              </w:rPr>
              <w:t>Mt CO</w:t>
            </w:r>
            <w:r w:rsidRPr="009B1BB0">
              <w:rPr>
                <w:rFonts w:cstheme="minorHAnsi"/>
                <w:color w:val="000000" w:themeColor="text1"/>
                <w:szCs w:val="24"/>
                <w:vertAlign w:val="subscript"/>
              </w:rPr>
              <w:t>2</w:t>
            </w:r>
            <w:r w:rsidRPr="009B1BB0">
              <w:rPr>
                <w:rFonts w:cstheme="minorHAnsi"/>
                <w:color w:val="000000" w:themeColor="text1"/>
                <w:szCs w:val="24"/>
              </w:rPr>
              <w:t xml:space="preserve"> ekv.</w:t>
            </w:r>
          </w:p>
        </w:tc>
        <w:tc>
          <w:tcPr>
            <w:tcW w:w="1509" w:type="dxa"/>
            <w:vAlign w:val="center"/>
          </w:tcPr>
          <w:p w14:paraId="49C26136"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11,3</w:t>
            </w:r>
          </w:p>
        </w:tc>
        <w:tc>
          <w:tcPr>
            <w:tcW w:w="1850" w:type="dxa"/>
            <w:vAlign w:val="center"/>
          </w:tcPr>
          <w:p w14:paraId="411824B7" w14:textId="77777777" w:rsidR="006179BB" w:rsidRPr="009B1BB0" w:rsidRDefault="006179BB" w:rsidP="006179BB">
            <w:pPr>
              <w:spacing w:after="0" w:line="240" w:lineRule="auto"/>
              <w:jc w:val="center"/>
              <w:rPr>
                <w:rFonts w:cstheme="minorHAnsi"/>
                <w:iCs/>
                <w:color w:val="000000" w:themeColor="text1"/>
                <w:szCs w:val="24"/>
              </w:rPr>
            </w:pPr>
            <w:r w:rsidRPr="009B1BB0">
              <w:rPr>
                <w:rFonts w:cstheme="minorHAnsi"/>
                <w:iCs/>
                <w:color w:val="000000" w:themeColor="text1"/>
                <w:szCs w:val="24"/>
              </w:rPr>
              <w:t>12,13</w:t>
            </w:r>
          </w:p>
        </w:tc>
        <w:tc>
          <w:tcPr>
            <w:tcW w:w="1136" w:type="dxa"/>
            <w:vAlign w:val="center"/>
          </w:tcPr>
          <w:p w14:paraId="564560FD"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w:t>
            </w:r>
          </w:p>
        </w:tc>
      </w:tr>
      <w:tr w:rsidR="006179BB" w:rsidRPr="009B1BB0" w14:paraId="2335F140" w14:textId="77777777" w:rsidTr="006179BB">
        <w:trPr>
          <w:jc w:val="center"/>
        </w:trPr>
        <w:tc>
          <w:tcPr>
            <w:tcW w:w="9086" w:type="dxa"/>
            <w:gridSpan w:val="4"/>
            <w:vAlign w:val="center"/>
          </w:tcPr>
          <w:p w14:paraId="199FD187" w14:textId="77777777" w:rsidR="006179BB" w:rsidRPr="009B1BB0" w:rsidRDefault="006179BB" w:rsidP="006179BB">
            <w:pPr>
              <w:spacing w:after="0" w:line="240" w:lineRule="auto"/>
              <w:rPr>
                <w:rFonts w:cstheme="minorHAnsi"/>
                <w:color w:val="000000" w:themeColor="text1"/>
                <w:szCs w:val="24"/>
              </w:rPr>
            </w:pPr>
            <w:r w:rsidRPr="009B1BB0">
              <w:rPr>
                <w:rFonts w:cstheme="minorHAnsi"/>
                <w:color w:val="000000" w:themeColor="text1"/>
                <w:szCs w:val="24"/>
              </w:rPr>
              <w:t>ne-ETS darbību SEG emisiju samazinājums</w:t>
            </w:r>
          </w:p>
        </w:tc>
      </w:tr>
      <w:tr w:rsidR="006179BB" w:rsidRPr="009B1BB0" w14:paraId="00ABA602" w14:textId="77777777" w:rsidTr="006179BB">
        <w:trPr>
          <w:jc w:val="center"/>
        </w:trPr>
        <w:tc>
          <w:tcPr>
            <w:tcW w:w="4591" w:type="dxa"/>
            <w:vAlign w:val="center"/>
          </w:tcPr>
          <w:p w14:paraId="6774E97B" w14:textId="77777777" w:rsidR="006179BB" w:rsidRPr="009B1BB0" w:rsidRDefault="006179BB" w:rsidP="006179BB">
            <w:pPr>
              <w:spacing w:after="0" w:line="240" w:lineRule="auto"/>
              <w:ind w:left="284" w:right="284"/>
              <w:rPr>
                <w:rFonts w:cstheme="minorHAnsi"/>
                <w:color w:val="000000" w:themeColor="text1"/>
                <w:szCs w:val="24"/>
              </w:rPr>
            </w:pPr>
            <w:r w:rsidRPr="009B1BB0">
              <w:rPr>
                <w:rFonts w:cstheme="minorHAnsi"/>
                <w:color w:val="000000" w:themeColor="text1"/>
                <w:szCs w:val="24"/>
              </w:rPr>
              <w:t>% pret 2005.g.</w:t>
            </w:r>
          </w:p>
        </w:tc>
        <w:tc>
          <w:tcPr>
            <w:tcW w:w="1509" w:type="dxa"/>
            <w:vAlign w:val="center"/>
          </w:tcPr>
          <w:p w14:paraId="0B2E0D98" w14:textId="69C27EE9"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+8,</w:t>
            </w:r>
            <w:r w:rsidR="00904150">
              <w:rPr>
                <w:rFonts w:cstheme="minorHAnsi"/>
                <w:color w:val="000000" w:themeColor="text1"/>
                <w:szCs w:val="24"/>
              </w:rPr>
              <w:t>4</w:t>
            </w:r>
          </w:p>
        </w:tc>
        <w:tc>
          <w:tcPr>
            <w:tcW w:w="1850" w:type="dxa"/>
            <w:vAlign w:val="center"/>
          </w:tcPr>
          <w:p w14:paraId="00CC4801"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+17</w:t>
            </w:r>
          </w:p>
        </w:tc>
        <w:tc>
          <w:tcPr>
            <w:tcW w:w="1136" w:type="dxa"/>
            <w:vAlign w:val="center"/>
          </w:tcPr>
          <w:p w14:paraId="37F3024A"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-6</w:t>
            </w:r>
          </w:p>
        </w:tc>
      </w:tr>
      <w:tr w:rsidR="006179BB" w:rsidRPr="009B1BB0" w14:paraId="1D7547D8" w14:textId="77777777" w:rsidTr="006179BB">
        <w:trPr>
          <w:jc w:val="center"/>
        </w:trPr>
        <w:tc>
          <w:tcPr>
            <w:tcW w:w="4591" w:type="dxa"/>
            <w:vAlign w:val="center"/>
          </w:tcPr>
          <w:p w14:paraId="540C407D" w14:textId="77777777" w:rsidR="006179BB" w:rsidRPr="009B1BB0" w:rsidRDefault="006179BB" w:rsidP="006179BB">
            <w:pPr>
              <w:spacing w:after="0" w:line="240" w:lineRule="auto"/>
              <w:ind w:left="284" w:right="284"/>
              <w:rPr>
                <w:rFonts w:cstheme="minorHAnsi"/>
                <w:color w:val="000000" w:themeColor="text1"/>
                <w:szCs w:val="24"/>
              </w:rPr>
            </w:pPr>
            <w:r w:rsidRPr="009B1BB0">
              <w:rPr>
                <w:rFonts w:cstheme="minorHAnsi"/>
                <w:color w:val="000000" w:themeColor="text1"/>
                <w:szCs w:val="24"/>
              </w:rPr>
              <w:t>Mt CO</w:t>
            </w:r>
            <w:r w:rsidRPr="009B1BB0">
              <w:rPr>
                <w:rFonts w:cstheme="minorHAnsi"/>
                <w:color w:val="000000" w:themeColor="text1"/>
                <w:szCs w:val="24"/>
                <w:vertAlign w:val="subscript"/>
              </w:rPr>
              <w:t>2</w:t>
            </w:r>
            <w:r w:rsidRPr="009B1BB0">
              <w:rPr>
                <w:rFonts w:cstheme="minorHAnsi"/>
                <w:color w:val="000000" w:themeColor="text1"/>
                <w:szCs w:val="24"/>
              </w:rPr>
              <w:t xml:space="preserve"> ekv.</w:t>
            </w:r>
          </w:p>
        </w:tc>
        <w:tc>
          <w:tcPr>
            <w:tcW w:w="1509" w:type="dxa"/>
            <w:vAlign w:val="center"/>
          </w:tcPr>
          <w:p w14:paraId="7512EA3A" w14:textId="2694A22A"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9,</w:t>
            </w:r>
            <w:r w:rsidR="00904150">
              <w:rPr>
                <w:rFonts w:cstheme="minorHAnsi"/>
                <w:color w:val="000000" w:themeColor="text1"/>
                <w:szCs w:val="24"/>
              </w:rPr>
              <w:t>3</w:t>
            </w:r>
          </w:p>
        </w:tc>
        <w:tc>
          <w:tcPr>
            <w:tcW w:w="1850" w:type="dxa"/>
            <w:vAlign w:val="center"/>
          </w:tcPr>
          <w:p w14:paraId="71B0B12C"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10</w:t>
            </w:r>
          </w:p>
        </w:tc>
        <w:tc>
          <w:tcPr>
            <w:tcW w:w="1136" w:type="dxa"/>
            <w:vAlign w:val="center"/>
          </w:tcPr>
          <w:p w14:paraId="2289D9CD"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8</w:t>
            </w:r>
          </w:p>
        </w:tc>
      </w:tr>
      <w:tr w:rsidR="006179BB" w:rsidRPr="009B1BB0" w14:paraId="5D73009B" w14:textId="77777777" w:rsidTr="006179BB">
        <w:trPr>
          <w:jc w:val="center"/>
        </w:trPr>
        <w:tc>
          <w:tcPr>
            <w:tcW w:w="9086" w:type="dxa"/>
            <w:gridSpan w:val="4"/>
            <w:vAlign w:val="center"/>
          </w:tcPr>
          <w:p w14:paraId="3751F00D" w14:textId="77777777" w:rsidR="006179BB" w:rsidRPr="009B1BB0" w:rsidRDefault="006179BB" w:rsidP="006179BB">
            <w:pPr>
              <w:spacing w:after="0" w:line="240" w:lineRule="auto"/>
              <w:rPr>
                <w:rFonts w:cstheme="minorHAnsi"/>
                <w:color w:val="000000" w:themeColor="text1"/>
                <w:szCs w:val="24"/>
              </w:rPr>
            </w:pPr>
            <w:r w:rsidRPr="009B1BB0">
              <w:rPr>
                <w:rFonts w:cstheme="minorHAnsi"/>
                <w:color w:val="000000" w:themeColor="text1"/>
                <w:szCs w:val="24"/>
              </w:rPr>
              <w:t>ETS darbību SEG emisiju samazinājums</w:t>
            </w:r>
          </w:p>
        </w:tc>
      </w:tr>
      <w:tr w:rsidR="006179BB" w:rsidRPr="009B1BB0" w14:paraId="51BBA344" w14:textId="77777777" w:rsidTr="006179BB">
        <w:trPr>
          <w:jc w:val="center"/>
        </w:trPr>
        <w:tc>
          <w:tcPr>
            <w:tcW w:w="4591" w:type="dxa"/>
            <w:vAlign w:val="center"/>
          </w:tcPr>
          <w:p w14:paraId="1FEB2B01" w14:textId="77777777" w:rsidR="006179BB" w:rsidRPr="009B1BB0" w:rsidRDefault="006179BB" w:rsidP="006179BB">
            <w:pPr>
              <w:spacing w:after="0" w:line="240" w:lineRule="auto"/>
              <w:ind w:left="284" w:right="284"/>
              <w:rPr>
                <w:rFonts w:cstheme="minorHAnsi"/>
                <w:color w:val="000000" w:themeColor="text1"/>
                <w:szCs w:val="24"/>
              </w:rPr>
            </w:pPr>
            <w:r w:rsidRPr="009B1BB0">
              <w:rPr>
                <w:rFonts w:cstheme="minorHAnsi"/>
                <w:color w:val="000000" w:themeColor="text1"/>
                <w:szCs w:val="24"/>
              </w:rPr>
              <w:t>% pret 2005.g.</w:t>
            </w:r>
          </w:p>
        </w:tc>
        <w:tc>
          <w:tcPr>
            <w:tcW w:w="1509" w:type="dxa"/>
            <w:vAlign w:val="center"/>
          </w:tcPr>
          <w:p w14:paraId="1BDD8009"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-28,2</w:t>
            </w:r>
          </w:p>
        </w:tc>
        <w:tc>
          <w:tcPr>
            <w:tcW w:w="1850" w:type="dxa"/>
            <w:vAlign w:val="center"/>
          </w:tcPr>
          <w:p w14:paraId="1B85955D" w14:textId="77777777" w:rsidR="006179BB" w:rsidRPr="009B1BB0" w:rsidRDefault="006179BB" w:rsidP="006179BB">
            <w:pPr>
              <w:spacing w:after="0" w:line="240" w:lineRule="auto"/>
              <w:jc w:val="center"/>
              <w:rPr>
                <w:rFonts w:cstheme="minorHAnsi"/>
                <w:iCs/>
                <w:color w:val="000000" w:themeColor="text1"/>
                <w:szCs w:val="24"/>
              </w:rPr>
            </w:pPr>
            <w:r w:rsidRPr="009B1BB0">
              <w:rPr>
                <w:rFonts w:cstheme="minorHAnsi"/>
                <w:iCs/>
                <w:color w:val="000000" w:themeColor="text1"/>
                <w:szCs w:val="24"/>
              </w:rPr>
              <w:t>-21</w:t>
            </w:r>
          </w:p>
        </w:tc>
        <w:tc>
          <w:tcPr>
            <w:tcW w:w="1136" w:type="dxa"/>
            <w:vAlign w:val="center"/>
          </w:tcPr>
          <w:p w14:paraId="6EBFDE2F"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w:t>
            </w:r>
          </w:p>
        </w:tc>
      </w:tr>
      <w:tr w:rsidR="006179BB" w:rsidRPr="009B1BB0" w14:paraId="00DE583C" w14:textId="77777777" w:rsidTr="006179BB">
        <w:trPr>
          <w:jc w:val="center"/>
        </w:trPr>
        <w:tc>
          <w:tcPr>
            <w:tcW w:w="4591" w:type="dxa"/>
            <w:vAlign w:val="center"/>
          </w:tcPr>
          <w:p w14:paraId="26733AA7" w14:textId="77777777" w:rsidR="006179BB" w:rsidRPr="009B1BB0" w:rsidRDefault="006179BB" w:rsidP="006179BB">
            <w:pPr>
              <w:spacing w:after="0" w:line="240" w:lineRule="auto"/>
              <w:ind w:left="284" w:right="284"/>
              <w:rPr>
                <w:rFonts w:cstheme="minorHAnsi"/>
                <w:color w:val="000000" w:themeColor="text1"/>
                <w:szCs w:val="24"/>
              </w:rPr>
            </w:pPr>
            <w:r w:rsidRPr="009B1BB0">
              <w:rPr>
                <w:rFonts w:cstheme="minorHAnsi"/>
                <w:color w:val="000000" w:themeColor="text1"/>
                <w:szCs w:val="24"/>
              </w:rPr>
              <w:t>Mt CO</w:t>
            </w:r>
            <w:r w:rsidRPr="009B1BB0">
              <w:rPr>
                <w:rFonts w:cstheme="minorHAnsi"/>
                <w:color w:val="000000" w:themeColor="text1"/>
                <w:szCs w:val="24"/>
                <w:vertAlign w:val="subscript"/>
              </w:rPr>
              <w:t>2</w:t>
            </w:r>
            <w:r w:rsidRPr="009B1BB0">
              <w:rPr>
                <w:rFonts w:cstheme="minorHAnsi"/>
                <w:color w:val="000000" w:themeColor="text1"/>
                <w:szCs w:val="24"/>
              </w:rPr>
              <w:t xml:space="preserve"> ekv.</w:t>
            </w:r>
          </w:p>
        </w:tc>
        <w:tc>
          <w:tcPr>
            <w:tcW w:w="1509" w:type="dxa"/>
            <w:vAlign w:val="center"/>
          </w:tcPr>
          <w:p w14:paraId="2D9DCF11" w14:textId="2F1DDDD4"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2,0</w:t>
            </w:r>
          </w:p>
        </w:tc>
        <w:tc>
          <w:tcPr>
            <w:tcW w:w="1850" w:type="dxa"/>
            <w:vAlign w:val="center"/>
          </w:tcPr>
          <w:p w14:paraId="1A1D9412" w14:textId="664EA50F" w:rsidR="006179BB" w:rsidRPr="009B1BB0" w:rsidRDefault="006179BB" w:rsidP="006179BB">
            <w:pPr>
              <w:spacing w:after="0" w:line="240" w:lineRule="auto"/>
              <w:jc w:val="center"/>
              <w:rPr>
                <w:rFonts w:cstheme="minorHAnsi"/>
                <w:iCs/>
                <w:color w:val="000000" w:themeColor="text1"/>
                <w:szCs w:val="24"/>
              </w:rPr>
            </w:pPr>
            <w:r w:rsidRPr="009B1BB0">
              <w:rPr>
                <w:rFonts w:cstheme="minorHAnsi"/>
                <w:iCs/>
                <w:color w:val="000000" w:themeColor="text1"/>
                <w:szCs w:val="24"/>
              </w:rPr>
              <w:t>2,</w:t>
            </w:r>
            <w:r w:rsidR="00904150">
              <w:rPr>
                <w:rFonts w:cstheme="minorHAnsi"/>
                <w:iCs/>
                <w:color w:val="000000" w:themeColor="text1"/>
                <w:szCs w:val="24"/>
              </w:rPr>
              <w:t>3</w:t>
            </w:r>
          </w:p>
        </w:tc>
        <w:tc>
          <w:tcPr>
            <w:tcW w:w="1136" w:type="dxa"/>
            <w:vAlign w:val="center"/>
          </w:tcPr>
          <w:p w14:paraId="7BC648A8"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w:t>
            </w:r>
          </w:p>
        </w:tc>
      </w:tr>
      <w:tr w:rsidR="006179BB" w:rsidRPr="009B1BB0" w14:paraId="4987EC57" w14:textId="77777777" w:rsidTr="006179BB">
        <w:trPr>
          <w:jc w:val="center"/>
        </w:trPr>
        <w:tc>
          <w:tcPr>
            <w:tcW w:w="4591" w:type="dxa"/>
            <w:vAlign w:val="center"/>
          </w:tcPr>
          <w:p w14:paraId="6CEBAB5E" w14:textId="77777777" w:rsidR="006179BB" w:rsidRPr="009B1BB0" w:rsidRDefault="006179BB" w:rsidP="006179BB">
            <w:pPr>
              <w:spacing w:after="0" w:line="240" w:lineRule="auto"/>
              <w:rPr>
                <w:rFonts w:cstheme="minorHAnsi"/>
                <w:color w:val="000000" w:themeColor="text1"/>
                <w:szCs w:val="24"/>
              </w:rPr>
            </w:pPr>
            <w:r w:rsidRPr="009B1BB0">
              <w:rPr>
                <w:rFonts w:cstheme="minorHAnsi"/>
                <w:color w:val="000000" w:themeColor="text1"/>
                <w:szCs w:val="24"/>
              </w:rPr>
              <w:t>ZIZIMM uzskaites kategorijas (milj.vienību)</w:t>
            </w:r>
          </w:p>
        </w:tc>
        <w:tc>
          <w:tcPr>
            <w:tcW w:w="1509" w:type="dxa"/>
            <w:vAlign w:val="center"/>
          </w:tcPr>
          <w:p w14:paraId="281A307C" w14:textId="77777777" w:rsidR="006179BB" w:rsidRPr="009B1BB0" w:rsidRDefault="006179BB" w:rsidP="006179BB">
            <w:pPr>
              <w:spacing w:after="0" w:line="240" w:lineRule="auto"/>
              <w:jc w:val="center"/>
              <w:rPr>
                <w:rFonts w:cstheme="minorHAnsi"/>
                <w:b/>
                <w:color w:val="000000" w:themeColor="text1"/>
                <w:szCs w:val="24"/>
              </w:rPr>
            </w:pPr>
            <w:r w:rsidRPr="009B1BB0">
              <w:rPr>
                <w:rFonts w:cstheme="minorHAnsi"/>
                <w:b/>
                <w:color w:val="000000" w:themeColor="text1"/>
                <w:szCs w:val="24"/>
              </w:rPr>
              <w:t>-</w:t>
            </w:r>
          </w:p>
        </w:tc>
        <w:tc>
          <w:tcPr>
            <w:tcW w:w="1850" w:type="dxa"/>
            <w:vAlign w:val="center"/>
          </w:tcPr>
          <w:p w14:paraId="0FC2C351" w14:textId="77777777" w:rsidR="006179BB" w:rsidRPr="009B1BB0" w:rsidRDefault="006179BB" w:rsidP="006179BB">
            <w:pPr>
              <w:spacing w:after="0" w:line="240" w:lineRule="auto"/>
              <w:jc w:val="center"/>
              <w:rPr>
                <w:rFonts w:cstheme="minorHAnsi"/>
                <w:b/>
                <w:color w:val="000000" w:themeColor="text1"/>
                <w:szCs w:val="24"/>
              </w:rPr>
            </w:pPr>
            <w:r w:rsidRPr="009B1BB0">
              <w:rPr>
                <w:rFonts w:cstheme="minorHAnsi"/>
                <w:b/>
                <w:color w:val="000000" w:themeColor="text1"/>
                <w:szCs w:val="24"/>
              </w:rPr>
              <w:t>-</w:t>
            </w:r>
          </w:p>
        </w:tc>
        <w:tc>
          <w:tcPr>
            <w:tcW w:w="1136" w:type="dxa"/>
            <w:vAlign w:val="center"/>
          </w:tcPr>
          <w:p w14:paraId="3DCBABBB" w14:textId="77777777" w:rsidR="006179BB" w:rsidRPr="009B1BB0" w:rsidRDefault="006179BB" w:rsidP="006179BB">
            <w:pPr>
              <w:spacing w:after="0" w:line="240" w:lineRule="auto"/>
              <w:jc w:val="center"/>
              <w:rPr>
                <w:rFonts w:cstheme="minorHAnsi"/>
                <w:b/>
                <w:color w:val="000000" w:themeColor="text1"/>
                <w:szCs w:val="24"/>
              </w:rPr>
            </w:pPr>
            <w:r w:rsidRPr="009B1BB0">
              <w:rPr>
                <w:rFonts w:cstheme="minorHAnsi"/>
                <w:b/>
                <w:color w:val="000000" w:themeColor="text1"/>
                <w:szCs w:val="24"/>
              </w:rPr>
              <w:t>3,1</w:t>
            </w:r>
            <w:r w:rsidRPr="009B1BB0">
              <w:rPr>
                <w:rStyle w:val="FootnoteReference"/>
                <w:rFonts w:cstheme="minorHAnsi"/>
                <w:color w:val="000000" w:themeColor="text1"/>
                <w:szCs w:val="24"/>
              </w:rPr>
              <w:footnoteReference w:id="116"/>
            </w:r>
          </w:p>
        </w:tc>
      </w:tr>
    </w:tbl>
    <w:p w14:paraId="7E82A36A" w14:textId="77777777" w:rsidR="006179BB" w:rsidRPr="009B1BB0" w:rsidRDefault="006179BB">
      <w:pPr>
        <w:pStyle w:val="Heading4"/>
      </w:pPr>
      <w:bookmarkStart w:id="318" w:name="_Toc527529438"/>
      <w:bookmarkStart w:id="319" w:name="_Toc23245800"/>
      <w:bookmarkEnd w:id="317"/>
      <w:r w:rsidRPr="009B1BB0">
        <w:t>Latvijas ne-ETS darbību SEG emisiju samazināšanas mērķis 2030.gadam un ikgadējie mērķi 2021.-2030.gadam</w:t>
      </w:r>
      <w:bookmarkEnd w:id="318"/>
      <w:bookmarkEnd w:id="319"/>
    </w:p>
    <w:p w14:paraId="4011D177" w14:textId="77777777" w:rsidR="006179BB" w:rsidRPr="0007326F" w:rsidRDefault="006179BB" w:rsidP="006179BB">
      <w:pPr>
        <w:spacing w:before="120" w:after="120" w:line="240" w:lineRule="auto"/>
        <w:jc w:val="both"/>
        <w:rPr>
          <w:rFonts w:eastAsia="Times New Roman" w:cstheme="minorHAnsi"/>
          <w:bCs/>
          <w:szCs w:val="24"/>
          <w:u w:val="single"/>
        </w:rPr>
      </w:pPr>
      <w:r w:rsidRPr="0007326F">
        <w:rPr>
          <w:rFonts w:eastAsia="Times New Roman" w:cstheme="minorHAnsi"/>
          <w:bCs/>
          <w:szCs w:val="24"/>
          <w:u w:val="single"/>
        </w:rPr>
        <w:t xml:space="preserve">Ikgadējie 2021.-2030.gada perioda ne-ETS darbību SEG emisiju samazināšanas mērķi Latvijai tiks noteikti tikai 2020.-2021.gadā, izmantojot jaunākās pieejamās pārbaudītās SEG inventarizācijas datus 2005.gadam un 2016., 2017. un 2018.gadam, pieņemto </w:t>
      </w:r>
      <w:r w:rsidRPr="0007326F">
        <w:rPr>
          <w:rFonts w:eastAsia="Calibri" w:cstheme="minorHAnsi"/>
          <w:bCs/>
          <w:szCs w:val="24"/>
          <w:u w:val="single"/>
        </w:rPr>
        <w:t>Regulas 2018/842</w:t>
      </w:r>
      <w:r w:rsidRPr="0007326F">
        <w:rPr>
          <w:rFonts w:eastAsia="Times New Roman" w:cstheme="minorHAnsi"/>
          <w:bCs/>
          <w:szCs w:val="24"/>
          <w:u w:val="single"/>
        </w:rPr>
        <w:t xml:space="preserve"> 4.pantā minēto EK Īstenošanas aktu. Tāpēc Plānā iekļautie ikgadējie SEG emisiju samazinājumi ir indikatīvi rādītāji.</w:t>
      </w:r>
    </w:p>
    <w:p w14:paraId="069DA19E" w14:textId="77777777" w:rsidR="006179BB" w:rsidRPr="009B1BB0" w:rsidRDefault="006179BB" w:rsidP="006179BB">
      <w:pPr>
        <w:spacing w:before="120" w:after="120" w:line="240" w:lineRule="auto"/>
        <w:jc w:val="both"/>
        <w:rPr>
          <w:rFonts w:eastAsia="Times New Roman" w:cstheme="minorHAnsi"/>
          <w:szCs w:val="24"/>
        </w:rPr>
      </w:pPr>
      <w:r w:rsidRPr="009B1BB0">
        <w:rPr>
          <w:rFonts w:eastAsia="Times New Roman" w:cstheme="minorHAnsi"/>
          <w:szCs w:val="24"/>
        </w:rPr>
        <w:t xml:space="preserve">Tomēr saskaņā ar EK rekomendācijām un, ņemot vērā </w:t>
      </w:r>
      <w:r w:rsidRPr="009B1BB0">
        <w:rPr>
          <w:rFonts w:eastAsia="Calibri" w:cstheme="minorHAnsi"/>
        </w:rPr>
        <w:t>Regulas 2018/1999</w:t>
      </w:r>
      <w:r w:rsidRPr="009B1BB0">
        <w:rPr>
          <w:rFonts w:eastAsia="Times New Roman" w:cstheme="minorHAnsi"/>
          <w:szCs w:val="24"/>
        </w:rPr>
        <w:t xml:space="preserve"> 4.panta (a) apakšpunkta 1.punktu, Latvijai ir jāaprēķina ikgadējie saistošie emisiju sadales apjomi 2021.-2030.gadam saskaņā ar </w:t>
      </w:r>
      <w:r w:rsidRPr="009B1BB0">
        <w:rPr>
          <w:rFonts w:eastAsia="Calibri" w:cstheme="minorHAnsi"/>
          <w:szCs w:val="24"/>
        </w:rPr>
        <w:t>Regulā 2018/842</w:t>
      </w:r>
      <w:r w:rsidRPr="009B1BB0">
        <w:rPr>
          <w:rFonts w:eastAsia="Times New Roman" w:cstheme="minorHAnsi"/>
          <w:szCs w:val="24"/>
        </w:rPr>
        <w:t xml:space="preserve"> noteikto formulu.</w:t>
      </w:r>
    </w:p>
    <w:bookmarkStart w:id="320" w:name="_Hlk517706990"/>
    <w:p w14:paraId="684DE6A3" w14:textId="714D32F9" w:rsidR="006179BB" w:rsidRPr="009B1BB0" w:rsidRDefault="006179BB" w:rsidP="006179BB">
      <w:pPr>
        <w:pStyle w:val="Caption"/>
        <w:rPr>
          <w:rFonts w:asciiTheme="minorHAnsi" w:hAnsiTheme="minorHAnsi" w:cstheme="minorHAnsi"/>
        </w:rPr>
      </w:pPr>
      <w:r w:rsidRPr="009B1BB0">
        <w:rPr>
          <w:rFonts w:asciiTheme="minorHAnsi" w:hAnsiTheme="minorHAnsi" w:cstheme="minorHAnsi"/>
        </w:rPr>
        <w:fldChar w:fldCharType="begin"/>
      </w:r>
      <w:r w:rsidRPr="009B1BB0">
        <w:rPr>
          <w:rFonts w:asciiTheme="minorHAnsi" w:hAnsiTheme="minorHAnsi" w:cstheme="minorHAnsi"/>
        </w:rPr>
        <w:instrText xml:space="preserve"> SEQ Tabula \* ARABIC </w:instrText>
      </w:r>
      <w:r w:rsidRPr="009B1BB0">
        <w:rPr>
          <w:rFonts w:asciiTheme="minorHAnsi" w:hAnsiTheme="minorHAnsi" w:cstheme="minorHAnsi"/>
        </w:rPr>
        <w:fldChar w:fldCharType="separate"/>
      </w:r>
      <w:bookmarkStart w:id="321" w:name="_Toc531333142"/>
      <w:r w:rsidR="006E6675">
        <w:rPr>
          <w:rFonts w:asciiTheme="minorHAnsi" w:hAnsiTheme="minorHAnsi" w:cstheme="minorHAnsi"/>
          <w:noProof/>
        </w:rPr>
        <w:t>14</w:t>
      </w:r>
      <w:r w:rsidRPr="009B1BB0">
        <w:rPr>
          <w:rFonts w:asciiTheme="minorHAnsi" w:hAnsiTheme="minorHAnsi" w:cstheme="minorHAnsi"/>
        </w:rPr>
        <w:fldChar w:fldCharType="end"/>
      </w:r>
      <w:r w:rsidRPr="009B1BB0">
        <w:rPr>
          <w:rFonts w:asciiTheme="minorHAnsi" w:hAnsiTheme="minorHAnsi" w:cstheme="minorHAnsi"/>
        </w:rPr>
        <w:t xml:space="preserve">.tabula. Latvijas aprēķinātie </w:t>
      </w:r>
      <w:r w:rsidRPr="009B1BB0">
        <w:rPr>
          <w:rFonts w:asciiTheme="minorHAnsi" w:hAnsiTheme="minorHAnsi" w:cstheme="minorHAnsi"/>
          <w:u w:val="single"/>
        </w:rPr>
        <w:t>indikatīvie</w:t>
      </w:r>
      <w:r w:rsidRPr="009B1BB0">
        <w:rPr>
          <w:rFonts w:asciiTheme="minorHAnsi" w:hAnsiTheme="minorHAnsi" w:cstheme="minorHAnsi"/>
        </w:rPr>
        <w:t xml:space="preserve"> saistošie ne-ETS darbību ikgadējie SEG emisiju samazinājumi 2021.-2030.gadam</w:t>
      </w:r>
      <w:r w:rsidRPr="009B1BB0">
        <w:rPr>
          <w:rStyle w:val="FootnoteReference"/>
          <w:rFonts w:asciiTheme="minorHAnsi" w:hAnsiTheme="minorHAnsi" w:cstheme="minorHAnsi"/>
        </w:rPr>
        <w:footnoteReference w:id="117"/>
      </w:r>
      <w:bookmarkEnd w:id="321"/>
    </w:p>
    <w:tbl>
      <w:tblPr>
        <w:tblW w:w="8505" w:type="dxa"/>
        <w:jc w:val="center"/>
        <w:tblLook w:val="04A0" w:firstRow="1" w:lastRow="0" w:firstColumn="1" w:lastColumn="0" w:noHBand="0" w:noVBand="1"/>
      </w:tblPr>
      <w:tblGrid>
        <w:gridCol w:w="844"/>
        <w:gridCol w:w="2412"/>
        <w:gridCol w:w="1642"/>
        <w:gridCol w:w="1767"/>
        <w:gridCol w:w="1840"/>
      </w:tblGrid>
      <w:tr w:rsidR="006179BB" w:rsidRPr="009B1BB0" w14:paraId="0DF588CA" w14:textId="77777777" w:rsidTr="006179BB">
        <w:trPr>
          <w:trHeight w:val="630"/>
          <w:jc w:val="center"/>
        </w:trPr>
        <w:tc>
          <w:tcPr>
            <w:tcW w:w="844" w:type="dxa"/>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0F95FCEB" w14:textId="77777777" w:rsidR="006179BB" w:rsidRPr="009B1BB0" w:rsidRDefault="006179BB" w:rsidP="006179BB">
            <w:pPr>
              <w:spacing w:after="0" w:line="240" w:lineRule="auto"/>
              <w:jc w:val="both"/>
              <w:rPr>
                <w:rFonts w:eastAsiaTheme="majorEastAsia" w:cstheme="minorHAnsi"/>
                <w:b/>
                <w:bCs/>
                <w:color w:val="000000"/>
                <w:sz w:val="22"/>
                <w:lang w:eastAsia="lv-LV"/>
              </w:rPr>
            </w:pPr>
            <w:bookmarkStart w:id="322" w:name="_Hlk18927076"/>
            <w:r w:rsidRPr="009B1BB0">
              <w:rPr>
                <w:rFonts w:eastAsiaTheme="majorEastAsia" w:cstheme="minorHAnsi"/>
                <w:b/>
                <w:bCs/>
                <w:color w:val="000000"/>
                <w:sz w:val="22"/>
                <w:lang w:eastAsia="lv-LV"/>
              </w:rPr>
              <w:t> </w:t>
            </w:r>
          </w:p>
          <w:p w14:paraId="081486F6" w14:textId="77777777" w:rsidR="006179BB" w:rsidRPr="009B1BB0" w:rsidRDefault="006179BB" w:rsidP="006179BB">
            <w:pPr>
              <w:spacing w:after="0" w:line="240" w:lineRule="auto"/>
              <w:jc w:val="both"/>
              <w:rPr>
                <w:rFonts w:eastAsia="Times New Roman" w:cstheme="minorHAnsi"/>
                <w:b/>
                <w:bCs/>
                <w:color w:val="000000"/>
                <w:sz w:val="22"/>
                <w:lang w:eastAsia="lv-LV"/>
              </w:rPr>
            </w:pPr>
          </w:p>
        </w:tc>
        <w:tc>
          <w:tcPr>
            <w:tcW w:w="2412" w:type="dxa"/>
            <w:vMerge w:val="restart"/>
            <w:tcBorders>
              <w:top w:val="single" w:sz="4" w:space="0" w:color="auto"/>
              <w:left w:val="nil"/>
              <w:right w:val="single" w:sz="4" w:space="0" w:color="auto"/>
            </w:tcBorders>
            <w:shd w:val="clear" w:color="auto" w:fill="F2F2F2" w:themeFill="background1" w:themeFillShade="F2"/>
            <w:vAlign w:val="center"/>
            <w:hideMark/>
          </w:tcPr>
          <w:p w14:paraId="168A38B4"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heme="majorEastAsia" w:cstheme="minorHAnsi"/>
                <w:b/>
                <w:bCs/>
                <w:color w:val="000000"/>
                <w:sz w:val="22"/>
                <w:lang w:eastAsia="lv-LV"/>
              </w:rPr>
              <w:t>aprēķinā izmantotais ne-ETS darbību SEG emisiju apjoms (tonnas)</w:t>
            </w:r>
            <w:r w:rsidRPr="009B1BB0">
              <w:rPr>
                <w:rStyle w:val="FootnoteReference"/>
                <w:rFonts w:eastAsiaTheme="majorEastAsia" w:cstheme="minorHAnsi"/>
                <w:b/>
                <w:bCs/>
                <w:color w:val="000000"/>
                <w:sz w:val="22"/>
                <w:lang w:eastAsia="lv-LV"/>
              </w:rPr>
              <w:footnoteReference w:id="118"/>
            </w:r>
          </w:p>
        </w:tc>
        <w:tc>
          <w:tcPr>
            <w:tcW w:w="1642" w:type="dxa"/>
            <w:vMerge w:val="restart"/>
            <w:tcBorders>
              <w:top w:val="single" w:sz="4" w:space="0" w:color="auto"/>
              <w:left w:val="nil"/>
              <w:right w:val="single" w:sz="4" w:space="0" w:color="auto"/>
            </w:tcBorders>
            <w:shd w:val="clear" w:color="auto" w:fill="F2F2F2" w:themeFill="background1" w:themeFillShade="F2"/>
            <w:vAlign w:val="center"/>
            <w:hideMark/>
          </w:tcPr>
          <w:p w14:paraId="4FAE00BF"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emisiju sadales apjoms 2020.gadā</w:t>
            </w:r>
            <w:r w:rsidRPr="009B1BB0">
              <w:rPr>
                <w:rStyle w:val="FootnoteReference"/>
                <w:rFonts w:cstheme="minorHAnsi"/>
                <w:b/>
                <w:color w:val="000000" w:themeColor="text1"/>
                <w:sz w:val="22"/>
              </w:rPr>
              <w:footnoteReference w:id="119"/>
            </w:r>
          </w:p>
        </w:tc>
        <w:tc>
          <w:tcPr>
            <w:tcW w:w="3607"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15F716E" w14:textId="77777777" w:rsidR="006179BB" w:rsidRPr="009B1BB0" w:rsidRDefault="006179BB" w:rsidP="006179BB">
            <w:pPr>
              <w:spacing w:after="0" w:line="240" w:lineRule="auto"/>
              <w:jc w:val="center"/>
              <w:rPr>
                <w:rFonts w:eastAsiaTheme="majorEastAsia" w:cstheme="minorHAnsi"/>
                <w:b/>
                <w:bCs/>
                <w:color w:val="000000"/>
                <w:sz w:val="22"/>
                <w:lang w:eastAsia="lv-LV"/>
              </w:rPr>
            </w:pPr>
            <w:r w:rsidRPr="009B1BB0">
              <w:rPr>
                <w:rFonts w:eastAsiaTheme="majorEastAsia" w:cstheme="minorHAnsi"/>
                <w:b/>
                <w:bCs/>
                <w:color w:val="000000"/>
                <w:sz w:val="22"/>
                <w:lang w:eastAsia="lv-LV"/>
              </w:rPr>
              <w:t>ikgadējie emisiju sadales apjomi</w:t>
            </w:r>
          </w:p>
          <w:p w14:paraId="258F8532" w14:textId="77777777" w:rsidR="006179BB" w:rsidRPr="009B1BB0" w:rsidRDefault="006179BB" w:rsidP="006179BB">
            <w:pPr>
              <w:spacing w:after="0" w:line="240" w:lineRule="auto"/>
              <w:jc w:val="center"/>
              <w:rPr>
                <w:rFonts w:eastAsiaTheme="majorEastAsia" w:cstheme="minorHAnsi"/>
                <w:b/>
                <w:bCs/>
                <w:color w:val="000000"/>
                <w:sz w:val="22"/>
                <w:lang w:eastAsia="lv-LV"/>
              </w:rPr>
            </w:pPr>
            <w:r w:rsidRPr="009B1BB0">
              <w:rPr>
                <w:rFonts w:eastAsiaTheme="majorEastAsia" w:cstheme="minorHAnsi"/>
                <w:b/>
                <w:bCs/>
                <w:color w:val="000000"/>
                <w:sz w:val="22"/>
                <w:lang w:eastAsia="lv-LV"/>
              </w:rPr>
              <w:t>2021.-2030.gadam</w:t>
            </w:r>
            <w:r w:rsidRPr="009B1BB0">
              <w:rPr>
                <w:rStyle w:val="FootnoteReference"/>
                <w:rFonts w:eastAsiaTheme="majorEastAsia" w:cstheme="minorHAnsi"/>
                <w:b/>
                <w:bCs/>
                <w:color w:val="000000"/>
                <w:sz w:val="22"/>
                <w:lang w:eastAsia="lv-LV"/>
              </w:rPr>
              <w:footnoteReference w:id="120"/>
            </w:r>
          </w:p>
        </w:tc>
      </w:tr>
      <w:tr w:rsidR="006179BB" w:rsidRPr="009B1BB0" w14:paraId="7ECB96EC" w14:textId="77777777" w:rsidTr="006179BB">
        <w:trPr>
          <w:trHeight w:val="315"/>
          <w:jc w:val="center"/>
        </w:trPr>
        <w:tc>
          <w:tcPr>
            <w:tcW w:w="844" w:type="dxa"/>
            <w:vMerge/>
            <w:tcBorders>
              <w:left w:val="single" w:sz="4" w:space="0" w:color="auto"/>
              <w:bottom w:val="single" w:sz="4" w:space="0" w:color="auto"/>
              <w:right w:val="single" w:sz="4" w:space="0" w:color="auto"/>
            </w:tcBorders>
            <w:shd w:val="clear" w:color="auto" w:fill="auto"/>
            <w:vAlign w:val="center"/>
          </w:tcPr>
          <w:p w14:paraId="1F8D54A6" w14:textId="77777777" w:rsidR="006179BB" w:rsidRPr="009B1BB0" w:rsidRDefault="006179BB" w:rsidP="006179BB">
            <w:pPr>
              <w:spacing w:after="0" w:line="240" w:lineRule="auto"/>
              <w:jc w:val="center"/>
              <w:rPr>
                <w:rFonts w:eastAsiaTheme="majorEastAsia" w:cstheme="minorHAnsi"/>
                <w:b/>
                <w:bCs/>
                <w:color w:val="000000"/>
                <w:sz w:val="22"/>
                <w:lang w:eastAsia="lv-LV"/>
              </w:rPr>
            </w:pPr>
          </w:p>
        </w:tc>
        <w:tc>
          <w:tcPr>
            <w:tcW w:w="2412" w:type="dxa"/>
            <w:vMerge/>
            <w:tcBorders>
              <w:left w:val="nil"/>
              <w:bottom w:val="single" w:sz="4" w:space="0" w:color="auto"/>
              <w:right w:val="single" w:sz="4" w:space="0" w:color="auto"/>
            </w:tcBorders>
            <w:shd w:val="clear" w:color="auto" w:fill="auto"/>
            <w:vAlign w:val="center"/>
          </w:tcPr>
          <w:p w14:paraId="0BF51EAD" w14:textId="77777777" w:rsidR="006179BB" w:rsidRPr="009B1BB0" w:rsidRDefault="006179BB" w:rsidP="006179BB">
            <w:pPr>
              <w:spacing w:after="0" w:line="240" w:lineRule="auto"/>
              <w:jc w:val="center"/>
              <w:rPr>
                <w:rFonts w:eastAsiaTheme="majorEastAsia" w:cstheme="minorHAnsi"/>
                <w:color w:val="000000"/>
                <w:sz w:val="22"/>
                <w:lang w:eastAsia="lv-LV"/>
              </w:rPr>
            </w:pPr>
          </w:p>
        </w:tc>
        <w:tc>
          <w:tcPr>
            <w:tcW w:w="1642" w:type="dxa"/>
            <w:vMerge/>
            <w:tcBorders>
              <w:left w:val="nil"/>
              <w:bottom w:val="single" w:sz="4" w:space="0" w:color="auto"/>
              <w:right w:val="single" w:sz="4" w:space="0" w:color="auto"/>
            </w:tcBorders>
            <w:shd w:val="clear" w:color="auto" w:fill="auto"/>
            <w:vAlign w:val="center"/>
          </w:tcPr>
          <w:p w14:paraId="55A6996E" w14:textId="77777777" w:rsidR="006179BB" w:rsidRPr="009B1BB0" w:rsidRDefault="006179BB" w:rsidP="006179BB">
            <w:pPr>
              <w:spacing w:after="0" w:line="240" w:lineRule="auto"/>
              <w:jc w:val="center"/>
              <w:rPr>
                <w:rFonts w:eastAsia="Times New Roman" w:cstheme="minorHAnsi"/>
                <w:color w:val="000000"/>
                <w:sz w:val="22"/>
                <w:lang w:eastAsia="lv-LV"/>
              </w:rPr>
            </w:pPr>
          </w:p>
        </w:tc>
        <w:tc>
          <w:tcPr>
            <w:tcW w:w="1767" w:type="dxa"/>
            <w:tcBorders>
              <w:top w:val="nil"/>
              <w:left w:val="nil"/>
              <w:bottom w:val="single" w:sz="4" w:space="0" w:color="auto"/>
              <w:right w:val="single" w:sz="4" w:space="0" w:color="auto"/>
            </w:tcBorders>
            <w:shd w:val="clear" w:color="auto" w:fill="auto"/>
            <w:vAlign w:val="center"/>
          </w:tcPr>
          <w:p w14:paraId="7358EED8" w14:textId="77777777" w:rsidR="006179BB" w:rsidRPr="009B1BB0" w:rsidRDefault="006179BB" w:rsidP="006179BB">
            <w:pPr>
              <w:spacing w:after="0" w:line="240" w:lineRule="auto"/>
              <w:jc w:val="center"/>
              <w:rPr>
                <w:rFonts w:eastAsiaTheme="majorEastAsia" w:cstheme="minorHAnsi"/>
                <w:b/>
                <w:bCs/>
                <w:color w:val="000000"/>
                <w:sz w:val="22"/>
                <w:lang w:eastAsia="lv-LV"/>
              </w:rPr>
            </w:pPr>
            <w:r w:rsidRPr="009B1BB0">
              <w:rPr>
                <w:rFonts w:eastAsiaTheme="majorEastAsia" w:cstheme="minorHAnsi"/>
                <w:b/>
                <w:bCs/>
                <w:color w:val="000000"/>
                <w:sz w:val="22"/>
                <w:lang w:eastAsia="lv-LV"/>
              </w:rPr>
              <w:t>1.metode</w:t>
            </w:r>
          </w:p>
        </w:tc>
        <w:tc>
          <w:tcPr>
            <w:tcW w:w="1840" w:type="dxa"/>
            <w:tcBorders>
              <w:top w:val="nil"/>
              <w:left w:val="nil"/>
              <w:bottom w:val="single" w:sz="4" w:space="0" w:color="auto"/>
              <w:right w:val="single" w:sz="4" w:space="0" w:color="auto"/>
            </w:tcBorders>
            <w:vAlign w:val="center"/>
          </w:tcPr>
          <w:p w14:paraId="35CFC529" w14:textId="77777777" w:rsidR="006179BB" w:rsidRPr="009B1BB0" w:rsidRDefault="006179BB" w:rsidP="006179BB">
            <w:pPr>
              <w:spacing w:after="0" w:line="240" w:lineRule="auto"/>
              <w:jc w:val="center"/>
              <w:rPr>
                <w:rFonts w:eastAsiaTheme="majorEastAsia" w:cstheme="minorHAnsi"/>
                <w:b/>
                <w:bCs/>
                <w:color w:val="000000"/>
                <w:sz w:val="22"/>
                <w:lang w:eastAsia="lv-LV"/>
              </w:rPr>
            </w:pPr>
            <w:r w:rsidRPr="009B1BB0">
              <w:rPr>
                <w:rFonts w:eastAsiaTheme="majorEastAsia" w:cstheme="minorHAnsi"/>
                <w:b/>
                <w:bCs/>
                <w:color w:val="000000"/>
                <w:sz w:val="22"/>
                <w:lang w:eastAsia="lv-LV"/>
              </w:rPr>
              <w:t>2.metode</w:t>
            </w:r>
          </w:p>
        </w:tc>
      </w:tr>
      <w:tr w:rsidR="006179BB" w:rsidRPr="009B1BB0" w14:paraId="00BF62F5" w14:textId="77777777" w:rsidTr="006179BB">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369E48D"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2005</w:t>
            </w:r>
          </w:p>
        </w:tc>
        <w:tc>
          <w:tcPr>
            <w:tcW w:w="2412" w:type="dxa"/>
            <w:tcBorders>
              <w:top w:val="nil"/>
              <w:left w:val="nil"/>
              <w:bottom w:val="single" w:sz="4" w:space="0" w:color="auto"/>
              <w:right w:val="single" w:sz="4" w:space="0" w:color="auto"/>
            </w:tcBorders>
            <w:shd w:val="clear" w:color="auto" w:fill="auto"/>
            <w:vAlign w:val="center"/>
            <w:hideMark/>
          </w:tcPr>
          <w:p w14:paraId="7071E922"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heme="majorEastAsia" w:cstheme="minorHAnsi"/>
                <w:color w:val="000000"/>
                <w:szCs w:val="24"/>
                <w:lang w:eastAsia="lv-LV"/>
              </w:rPr>
              <w:t>8 551 545</w:t>
            </w:r>
          </w:p>
        </w:tc>
        <w:tc>
          <w:tcPr>
            <w:tcW w:w="1642" w:type="dxa"/>
            <w:tcBorders>
              <w:top w:val="nil"/>
              <w:left w:val="nil"/>
              <w:bottom w:val="single" w:sz="4" w:space="0" w:color="auto"/>
              <w:right w:val="single" w:sz="4" w:space="0" w:color="auto"/>
            </w:tcBorders>
            <w:shd w:val="clear" w:color="auto" w:fill="auto"/>
            <w:vAlign w:val="center"/>
            <w:hideMark/>
          </w:tcPr>
          <w:p w14:paraId="5D09BD7A"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vAlign w:val="center"/>
            <w:hideMark/>
          </w:tcPr>
          <w:p w14:paraId="59B6E289" w14:textId="77777777" w:rsidR="006179BB" w:rsidRPr="009B1BB0" w:rsidRDefault="006179BB" w:rsidP="006179BB">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840" w:type="dxa"/>
            <w:tcBorders>
              <w:top w:val="nil"/>
              <w:left w:val="nil"/>
              <w:bottom w:val="single" w:sz="4" w:space="0" w:color="auto"/>
              <w:right w:val="single" w:sz="4" w:space="0" w:color="auto"/>
            </w:tcBorders>
            <w:vAlign w:val="center"/>
          </w:tcPr>
          <w:p w14:paraId="581D8D37" w14:textId="77777777" w:rsidR="006179BB" w:rsidRPr="009B1BB0" w:rsidRDefault="006179BB" w:rsidP="006179BB">
            <w:pPr>
              <w:spacing w:after="0" w:line="240" w:lineRule="auto"/>
              <w:jc w:val="both"/>
              <w:rPr>
                <w:rFonts w:eastAsiaTheme="majorEastAsia" w:cstheme="minorHAnsi"/>
                <w:color w:val="000000"/>
                <w:szCs w:val="24"/>
                <w:lang w:eastAsia="lv-LV"/>
              </w:rPr>
            </w:pPr>
          </w:p>
        </w:tc>
      </w:tr>
      <w:tr w:rsidR="006179BB" w:rsidRPr="009B1BB0" w14:paraId="6447BC3C" w14:textId="77777777" w:rsidTr="006179BB">
        <w:trPr>
          <w:trHeight w:val="315"/>
          <w:jc w:val="center"/>
        </w:trPr>
        <w:tc>
          <w:tcPr>
            <w:tcW w:w="6665" w:type="dxa"/>
            <w:gridSpan w:val="4"/>
            <w:tcBorders>
              <w:top w:val="nil"/>
              <w:left w:val="single" w:sz="4" w:space="0" w:color="auto"/>
              <w:bottom w:val="single" w:sz="4" w:space="0" w:color="auto"/>
              <w:right w:val="single" w:sz="4" w:space="0" w:color="auto"/>
            </w:tcBorders>
            <w:shd w:val="clear" w:color="auto" w:fill="auto"/>
            <w:vAlign w:val="center"/>
            <w:hideMark/>
          </w:tcPr>
          <w:p w14:paraId="4943FAAA" w14:textId="77777777" w:rsidR="006179BB" w:rsidRPr="009B1BB0" w:rsidRDefault="006179BB" w:rsidP="006179BB">
            <w:pPr>
              <w:spacing w:after="0" w:line="240" w:lineRule="auto"/>
              <w:jc w:val="both"/>
              <w:rPr>
                <w:rFonts w:eastAsia="Times New Roman" w:cstheme="minorHAnsi"/>
                <w:color w:val="000000"/>
                <w:szCs w:val="24"/>
                <w:lang w:eastAsia="lv-LV"/>
              </w:rPr>
            </w:pPr>
            <w:r w:rsidRPr="009B1BB0">
              <w:rPr>
                <w:rFonts w:eastAsia="Times New Roman" w:cstheme="minorHAnsi"/>
                <w:b/>
                <w:bCs/>
                <w:color w:val="000000"/>
                <w:szCs w:val="24"/>
                <w:lang w:eastAsia="lv-LV"/>
              </w:rPr>
              <w:t> </w:t>
            </w:r>
          </w:p>
        </w:tc>
        <w:tc>
          <w:tcPr>
            <w:tcW w:w="1840" w:type="dxa"/>
            <w:tcBorders>
              <w:top w:val="nil"/>
              <w:left w:val="single" w:sz="4" w:space="0" w:color="auto"/>
              <w:bottom w:val="single" w:sz="4" w:space="0" w:color="auto"/>
              <w:right w:val="single" w:sz="4" w:space="0" w:color="auto"/>
            </w:tcBorders>
            <w:vAlign w:val="center"/>
          </w:tcPr>
          <w:p w14:paraId="4FF4254C" w14:textId="77777777" w:rsidR="006179BB" w:rsidRPr="009B1BB0" w:rsidRDefault="006179BB" w:rsidP="006179BB">
            <w:pPr>
              <w:spacing w:after="0" w:line="240" w:lineRule="auto"/>
              <w:jc w:val="both"/>
              <w:rPr>
                <w:rFonts w:eastAsia="Times New Roman" w:cstheme="minorHAnsi"/>
                <w:b/>
                <w:bCs/>
                <w:color w:val="000000"/>
                <w:szCs w:val="24"/>
                <w:lang w:eastAsia="lv-LV"/>
              </w:rPr>
            </w:pPr>
          </w:p>
        </w:tc>
      </w:tr>
      <w:tr w:rsidR="006179BB" w:rsidRPr="009B1BB0" w14:paraId="71399DE5" w14:textId="77777777" w:rsidTr="006179BB">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2F0D2BA8"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2016</w:t>
            </w:r>
          </w:p>
        </w:tc>
        <w:tc>
          <w:tcPr>
            <w:tcW w:w="2412" w:type="dxa"/>
            <w:tcBorders>
              <w:top w:val="nil"/>
              <w:left w:val="nil"/>
              <w:bottom w:val="single" w:sz="4" w:space="0" w:color="auto"/>
              <w:right w:val="single" w:sz="4" w:space="0" w:color="auto"/>
            </w:tcBorders>
            <w:shd w:val="clear" w:color="auto" w:fill="auto"/>
            <w:vAlign w:val="center"/>
            <w:hideMark/>
          </w:tcPr>
          <w:p w14:paraId="2750880D"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heme="majorEastAsia" w:cstheme="minorHAnsi"/>
                <w:color w:val="000000"/>
                <w:szCs w:val="24"/>
                <w:lang w:eastAsia="lv-LV"/>
              </w:rPr>
              <w:t>9 087 543</w:t>
            </w:r>
          </w:p>
        </w:tc>
        <w:tc>
          <w:tcPr>
            <w:tcW w:w="1642" w:type="dxa"/>
            <w:tcBorders>
              <w:top w:val="nil"/>
              <w:left w:val="nil"/>
              <w:bottom w:val="single" w:sz="4" w:space="0" w:color="auto"/>
              <w:right w:val="single" w:sz="4" w:space="0" w:color="auto"/>
            </w:tcBorders>
            <w:shd w:val="clear" w:color="auto" w:fill="auto"/>
            <w:vAlign w:val="center"/>
            <w:hideMark/>
          </w:tcPr>
          <w:p w14:paraId="57802127"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vAlign w:val="center"/>
            <w:hideMark/>
          </w:tcPr>
          <w:p w14:paraId="6984CB7A" w14:textId="77777777" w:rsidR="006179BB" w:rsidRPr="009B1BB0" w:rsidRDefault="006179BB" w:rsidP="006179BB">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840" w:type="dxa"/>
            <w:tcBorders>
              <w:top w:val="nil"/>
              <w:left w:val="nil"/>
              <w:bottom w:val="single" w:sz="4" w:space="0" w:color="auto"/>
              <w:right w:val="single" w:sz="4" w:space="0" w:color="auto"/>
            </w:tcBorders>
            <w:vAlign w:val="center"/>
          </w:tcPr>
          <w:p w14:paraId="267F0042" w14:textId="77777777" w:rsidR="006179BB" w:rsidRPr="009B1BB0" w:rsidRDefault="006179BB" w:rsidP="006179BB">
            <w:pPr>
              <w:spacing w:after="0" w:line="240" w:lineRule="auto"/>
              <w:jc w:val="both"/>
              <w:rPr>
                <w:rFonts w:eastAsiaTheme="majorEastAsia" w:cstheme="minorHAnsi"/>
                <w:color w:val="000000"/>
                <w:szCs w:val="24"/>
                <w:lang w:eastAsia="lv-LV"/>
              </w:rPr>
            </w:pPr>
          </w:p>
        </w:tc>
      </w:tr>
      <w:tr w:rsidR="006179BB" w:rsidRPr="009B1BB0" w14:paraId="7DC07FCD" w14:textId="77777777" w:rsidTr="006179BB">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4A6B43B1"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2017</w:t>
            </w:r>
          </w:p>
        </w:tc>
        <w:tc>
          <w:tcPr>
            <w:tcW w:w="2412" w:type="dxa"/>
            <w:tcBorders>
              <w:top w:val="nil"/>
              <w:left w:val="nil"/>
              <w:bottom w:val="single" w:sz="4" w:space="0" w:color="auto"/>
              <w:right w:val="single" w:sz="4" w:space="0" w:color="auto"/>
            </w:tcBorders>
            <w:shd w:val="clear" w:color="auto" w:fill="auto"/>
            <w:vAlign w:val="center"/>
            <w:hideMark/>
          </w:tcPr>
          <w:p w14:paraId="1010AD8D" w14:textId="4654397A" w:rsidR="006179BB" w:rsidRPr="00904150" w:rsidRDefault="00904150" w:rsidP="00904150">
            <w:pPr>
              <w:spacing w:after="0" w:line="240" w:lineRule="auto"/>
              <w:jc w:val="center"/>
              <w:rPr>
                <w:rFonts w:eastAsia="Times New Roman" w:cstheme="minorHAnsi"/>
                <w:szCs w:val="24"/>
                <w:lang w:eastAsia="lv-LV"/>
              </w:rPr>
            </w:pPr>
            <w:r>
              <w:rPr>
                <w:rFonts w:eastAsia="Times New Roman" w:cstheme="minorHAnsi"/>
                <w:szCs w:val="24"/>
                <w:lang w:eastAsia="lv-LV"/>
              </w:rPr>
              <w:t>9 271 016</w:t>
            </w:r>
          </w:p>
        </w:tc>
        <w:tc>
          <w:tcPr>
            <w:tcW w:w="1642" w:type="dxa"/>
            <w:tcBorders>
              <w:top w:val="nil"/>
              <w:left w:val="nil"/>
              <w:bottom w:val="single" w:sz="4" w:space="0" w:color="auto"/>
              <w:right w:val="single" w:sz="4" w:space="0" w:color="auto"/>
            </w:tcBorders>
            <w:shd w:val="clear" w:color="auto" w:fill="auto"/>
            <w:vAlign w:val="center"/>
            <w:hideMark/>
          </w:tcPr>
          <w:p w14:paraId="6ADEC24D"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vAlign w:val="center"/>
            <w:hideMark/>
          </w:tcPr>
          <w:p w14:paraId="7ED0FA22" w14:textId="77777777" w:rsidR="006179BB" w:rsidRPr="009B1BB0" w:rsidRDefault="006179BB" w:rsidP="006179BB">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840" w:type="dxa"/>
            <w:tcBorders>
              <w:top w:val="nil"/>
              <w:left w:val="nil"/>
              <w:bottom w:val="single" w:sz="4" w:space="0" w:color="auto"/>
              <w:right w:val="single" w:sz="4" w:space="0" w:color="auto"/>
            </w:tcBorders>
            <w:vAlign w:val="center"/>
          </w:tcPr>
          <w:p w14:paraId="3218D56D" w14:textId="77777777" w:rsidR="006179BB" w:rsidRPr="009B1BB0" w:rsidRDefault="006179BB" w:rsidP="006179BB">
            <w:pPr>
              <w:spacing w:after="0" w:line="240" w:lineRule="auto"/>
              <w:jc w:val="both"/>
              <w:rPr>
                <w:rFonts w:eastAsiaTheme="majorEastAsia" w:cstheme="minorHAnsi"/>
                <w:color w:val="000000"/>
                <w:szCs w:val="24"/>
                <w:lang w:eastAsia="lv-LV"/>
              </w:rPr>
            </w:pPr>
          </w:p>
        </w:tc>
      </w:tr>
      <w:tr w:rsidR="006179BB" w:rsidRPr="009B1BB0" w14:paraId="772D80E4" w14:textId="77777777" w:rsidTr="006179BB">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5CF3C711"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2018</w:t>
            </w:r>
          </w:p>
        </w:tc>
        <w:tc>
          <w:tcPr>
            <w:tcW w:w="2412" w:type="dxa"/>
            <w:tcBorders>
              <w:top w:val="nil"/>
              <w:left w:val="nil"/>
              <w:bottom w:val="single" w:sz="4" w:space="0" w:color="auto"/>
              <w:right w:val="single" w:sz="4" w:space="0" w:color="auto"/>
            </w:tcBorders>
            <w:shd w:val="clear" w:color="auto" w:fill="auto"/>
            <w:vAlign w:val="center"/>
            <w:hideMark/>
          </w:tcPr>
          <w:p w14:paraId="0F28D116" w14:textId="77777777" w:rsidR="006179BB" w:rsidRPr="009B1BB0" w:rsidRDefault="006179BB" w:rsidP="006179BB">
            <w:pPr>
              <w:spacing w:after="0" w:line="240" w:lineRule="auto"/>
              <w:jc w:val="center"/>
              <w:rPr>
                <w:rFonts w:eastAsia="Times New Roman" w:cstheme="minorHAnsi"/>
                <w:i/>
                <w:color w:val="000000"/>
                <w:szCs w:val="24"/>
                <w:lang w:eastAsia="lv-LV"/>
              </w:rPr>
            </w:pPr>
            <w:r w:rsidRPr="009B1BB0">
              <w:rPr>
                <w:rFonts w:eastAsia="Times New Roman" w:cstheme="minorHAnsi"/>
                <w:i/>
                <w:color w:val="000000"/>
                <w:szCs w:val="24"/>
                <w:lang w:eastAsia="lv-LV"/>
              </w:rPr>
              <w:t>9 183 069</w:t>
            </w:r>
          </w:p>
        </w:tc>
        <w:tc>
          <w:tcPr>
            <w:tcW w:w="1642" w:type="dxa"/>
            <w:tcBorders>
              <w:top w:val="nil"/>
              <w:left w:val="nil"/>
              <w:bottom w:val="single" w:sz="4" w:space="0" w:color="auto"/>
              <w:right w:val="single" w:sz="4" w:space="0" w:color="auto"/>
            </w:tcBorders>
            <w:shd w:val="clear" w:color="auto" w:fill="auto"/>
            <w:vAlign w:val="center"/>
            <w:hideMark/>
          </w:tcPr>
          <w:p w14:paraId="2BEA00C6"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vAlign w:val="center"/>
            <w:hideMark/>
          </w:tcPr>
          <w:p w14:paraId="4B2C8638" w14:textId="77777777" w:rsidR="006179BB" w:rsidRPr="009B1BB0" w:rsidRDefault="006179BB" w:rsidP="006179BB">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840" w:type="dxa"/>
            <w:tcBorders>
              <w:top w:val="nil"/>
              <w:left w:val="nil"/>
              <w:bottom w:val="single" w:sz="4" w:space="0" w:color="auto"/>
              <w:right w:val="single" w:sz="4" w:space="0" w:color="auto"/>
            </w:tcBorders>
            <w:vAlign w:val="center"/>
          </w:tcPr>
          <w:p w14:paraId="0625E777" w14:textId="77777777" w:rsidR="006179BB" w:rsidRPr="009B1BB0" w:rsidRDefault="006179BB" w:rsidP="006179BB">
            <w:pPr>
              <w:spacing w:after="0" w:line="240" w:lineRule="auto"/>
              <w:jc w:val="both"/>
              <w:rPr>
                <w:rFonts w:eastAsiaTheme="majorEastAsia" w:cstheme="minorHAnsi"/>
                <w:color w:val="000000"/>
                <w:szCs w:val="24"/>
                <w:lang w:eastAsia="lv-LV"/>
              </w:rPr>
            </w:pPr>
          </w:p>
        </w:tc>
      </w:tr>
      <w:tr w:rsidR="006179BB" w:rsidRPr="009B1BB0" w14:paraId="4B21C990" w14:textId="77777777" w:rsidTr="006179BB">
        <w:trPr>
          <w:trHeight w:val="315"/>
          <w:jc w:val="center"/>
        </w:trPr>
        <w:tc>
          <w:tcPr>
            <w:tcW w:w="6665" w:type="dxa"/>
            <w:gridSpan w:val="4"/>
            <w:tcBorders>
              <w:top w:val="nil"/>
              <w:left w:val="single" w:sz="4" w:space="0" w:color="auto"/>
              <w:bottom w:val="single" w:sz="4" w:space="0" w:color="auto"/>
              <w:right w:val="single" w:sz="4" w:space="0" w:color="auto"/>
            </w:tcBorders>
            <w:shd w:val="clear" w:color="auto" w:fill="auto"/>
            <w:vAlign w:val="center"/>
          </w:tcPr>
          <w:p w14:paraId="27B6A1AB" w14:textId="77777777" w:rsidR="006179BB" w:rsidRPr="009B1BB0" w:rsidRDefault="006179BB" w:rsidP="006179BB">
            <w:pPr>
              <w:spacing w:after="0" w:line="240" w:lineRule="auto"/>
              <w:jc w:val="both"/>
              <w:rPr>
                <w:rFonts w:eastAsia="Times New Roman" w:cstheme="minorHAnsi"/>
                <w:color w:val="000000"/>
                <w:szCs w:val="24"/>
                <w:lang w:eastAsia="lv-LV"/>
              </w:rPr>
            </w:pPr>
          </w:p>
        </w:tc>
        <w:tc>
          <w:tcPr>
            <w:tcW w:w="1840" w:type="dxa"/>
            <w:tcBorders>
              <w:top w:val="nil"/>
              <w:left w:val="single" w:sz="4" w:space="0" w:color="auto"/>
              <w:bottom w:val="single" w:sz="4" w:space="0" w:color="auto"/>
              <w:right w:val="single" w:sz="4" w:space="0" w:color="auto"/>
            </w:tcBorders>
            <w:vAlign w:val="center"/>
          </w:tcPr>
          <w:p w14:paraId="2464D3E5" w14:textId="77777777" w:rsidR="006179BB" w:rsidRPr="009B1BB0" w:rsidRDefault="006179BB" w:rsidP="006179BB">
            <w:pPr>
              <w:spacing w:after="0" w:line="240" w:lineRule="auto"/>
              <w:jc w:val="both"/>
              <w:rPr>
                <w:rFonts w:eastAsia="Times New Roman" w:cstheme="minorHAnsi"/>
                <w:color w:val="000000"/>
                <w:szCs w:val="24"/>
                <w:lang w:eastAsia="lv-LV"/>
              </w:rPr>
            </w:pPr>
          </w:p>
        </w:tc>
      </w:tr>
      <w:tr w:rsidR="006179BB" w:rsidRPr="009B1BB0" w14:paraId="150CA377" w14:textId="77777777" w:rsidTr="006179BB">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A3E7D31"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2020</w:t>
            </w:r>
          </w:p>
        </w:tc>
        <w:tc>
          <w:tcPr>
            <w:tcW w:w="2412" w:type="dxa"/>
            <w:tcBorders>
              <w:top w:val="nil"/>
              <w:left w:val="nil"/>
              <w:bottom w:val="single" w:sz="4" w:space="0" w:color="auto"/>
              <w:right w:val="single" w:sz="4" w:space="0" w:color="auto"/>
            </w:tcBorders>
            <w:shd w:val="clear" w:color="auto" w:fill="auto"/>
            <w:vAlign w:val="center"/>
            <w:hideMark/>
          </w:tcPr>
          <w:p w14:paraId="7A559F82" w14:textId="77777777" w:rsidR="006179BB" w:rsidRPr="009B1BB0" w:rsidRDefault="006179BB" w:rsidP="006179BB">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41D52ED8"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heme="majorEastAsia" w:cstheme="minorHAnsi"/>
                <w:color w:val="000000"/>
                <w:szCs w:val="24"/>
                <w:lang w:eastAsia="lv-LV"/>
              </w:rPr>
              <w:t>9 991 829</w:t>
            </w:r>
          </w:p>
        </w:tc>
        <w:tc>
          <w:tcPr>
            <w:tcW w:w="1767" w:type="dxa"/>
            <w:tcBorders>
              <w:top w:val="nil"/>
              <w:left w:val="nil"/>
              <w:bottom w:val="single" w:sz="4" w:space="0" w:color="auto"/>
              <w:right w:val="single" w:sz="4" w:space="0" w:color="auto"/>
            </w:tcBorders>
            <w:shd w:val="clear" w:color="auto" w:fill="auto"/>
            <w:noWrap/>
            <w:vAlign w:val="center"/>
            <w:hideMark/>
          </w:tcPr>
          <w:p w14:paraId="2A72EE9C" w14:textId="77777777" w:rsidR="006179BB" w:rsidRPr="009B1BB0" w:rsidRDefault="006179BB" w:rsidP="006179BB">
            <w:pPr>
              <w:spacing w:after="0" w:line="240" w:lineRule="auto"/>
              <w:rPr>
                <w:rFonts w:eastAsia="Times New Roman" w:cstheme="minorHAnsi"/>
                <w:color w:val="000000"/>
                <w:sz w:val="22"/>
                <w:lang w:eastAsia="lv-LV"/>
              </w:rPr>
            </w:pPr>
            <w:r w:rsidRPr="009B1BB0">
              <w:rPr>
                <w:rFonts w:eastAsia="Times New Roman" w:cstheme="minorHAnsi"/>
                <w:color w:val="000000"/>
                <w:sz w:val="22"/>
                <w:lang w:eastAsia="lv-LV"/>
              </w:rPr>
              <w:t> </w:t>
            </w:r>
          </w:p>
        </w:tc>
        <w:tc>
          <w:tcPr>
            <w:tcW w:w="1840" w:type="dxa"/>
            <w:tcBorders>
              <w:top w:val="nil"/>
              <w:left w:val="nil"/>
              <w:bottom w:val="single" w:sz="4" w:space="0" w:color="auto"/>
              <w:right w:val="single" w:sz="4" w:space="0" w:color="auto"/>
            </w:tcBorders>
            <w:vAlign w:val="center"/>
          </w:tcPr>
          <w:p w14:paraId="16389DDB" w14:textId="77777777" w:rsidR="006179BB" w:rsidRPr="009B1BB0" w:rsidRDefault="006179BB" w:rsidP="006179BB">
            <w:pPr>
              <w:spacing w:after="0" w:line="240" w:lineRule="auto"/>
              <w:rPr>
                <w:rFonts w:eastAsia="Times New Roman" w:cstheme="minorHAnsi"/>
                <w:color w:val="000000"/>
                <w:sz w:val="22"/>
                <w:lang w:eastAsia="lv-LV"/>
              </w:rPr>
            </w:pPr>
          </w:p>
        </w:tc>
      </w:tr>
      <w:tr w:rsidR="006179BB" w:rsidRPr="009B1BB0" w14:paraId="3B0FA3C5" w14:textId="77777777" w:rsidTr="006179BB">
        <w:trPr>
          <w:trHeight w:val="315"/>
          <w:jc w:val="center"/>
        </w:trPr>
        <w:tc>
          <w:tcPr>
            <w:tcW w:w="6665" w:type="dxa"/>
            <w:gridSpan w:val="4"/>
            <w:tcBorders>
              <w:top w:val="nil"/>
              <w:left w:val="single" w:sz="4" w:space="0" w:color="auto"/>
              <w:bottom w:val="single" w:sz="4" w:space="0" w:color="auto"/>
              <w:right w:val="single" w:sz="4" w:space="0" w:color="auto"/>
            </w:tcBorders>
            <w:shd w:val="clear" w:color="auto" w:fill="auto"/>
            <w:vAlign w:val="center"/>
          </w:tcPr>
          <w:p w14:paraId="20E7DBF5" w14:textId="77777777" w:rsidR="006179BB" w:rsidRPr="009B1BB0" w:rsidRDefault="006179BB" w:rsidP="006179BB">
            <w:pPr>
              <w:spacing w:after="0" w:line="240" w:lineRule="auto"/>
              <w:rPr>
                <w:rFonts w:eastAsia="Times New Roman" w:cstheme="minorHAnsi"/>
                <w:color w:val="000000"/>
                <w:sz w:val="22"/>
                <w:lang w:eastAsia="lv-LV"/>
              </w:rPr>
            </w:pPr>
          </w:p>
        </w:tc>
        <w:tc>
          <w:tcPr>
            <w:tcW w:w="1840" w:type="dxa"/>
            <w:tcBorders>
              <w:top w:val="nil"/>
              <w:left w:val="single" w:sz="4" w:space="0" w:color="auto"/>
              <w:bottom w:val="single" w:sz="4" w:space="0" w:color="auto"/>
              <w:right w:val="single" w:sz="4" w:space="0" w:color="auto"/>
            </w:tcBorders>
            <w:vAlign w:val="center"/>
          </w:tcPr>
          <w:p w14:paraId="79EE03AB" w14:textId="77777777" w:rsidR="006179BB" w:rsidRPr="009B1BB0" w:rsidRDefault="006179BB" w:rsidP="006179BB">
            <w:pPr>
              <w:spacing w:after="0" w:line="240" w:lineRule="auto"/>
              <w:rPr>
                <w:rFonts w:eastAsia="Times New Roman" w:cstheme="minorHAnsi"/>
                <w:color w:val="000000"/>
                <w:sz w:val="22"/>
                <w:lang w:eastAsia="lv-LV"/>
              </w:rPr>
            </w:pPr>
          </w:p>
        </w:tc>
      </w:tr>
      <w:tr w:rsidR="00904150" w:rsidRPr="009B1BB0" w14:paraId="2C12FCDA"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20A7EBA"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2021</w:t>
            </w:r>
          </w:p>
        </w:tc>
        <w:tc>
          <w:tcPr>
            <w:tcW w:w="2412" w:type="dxa"/>
            <w:tcBorders>
              <w:top w:val="nil"/>
              <w:left w:val="nil"/>
              <w:bottom w:val="single" w:sz="4" w:space="0" w:color="auto"/>
              <w:right w:val="single" w:sz="4" w:space="0" w:color="auto"/>
            </w:tcBorders>
            <w:shd w:val="clear" w:color="auto" w:fill="auto"/>
            <w:vAlign w:val="center"/>
            <w:hideMark/>
          </w:tcPr>
          <w:p w14:paraId="47AC8E52"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41DCB715"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hideMark/>
          </w:tcPr>
          <w:p w14:paraId="4B686B8F" w14:textId="63347F06" w:rsidR="00904150" w:rsidRPr="009B1BB0" w:rsidRDefault="00904150" w:rsidP="00904150">
            <w:pPr>
              <w:spacing w:after="0" w:line="240" w:lineRule="auto"/>
              <w:jc w:val="center"/>
              <w:rPr>
                <w:rFonts w:eastAsiaTheme="majorEastAsia" w:cstheme="minorHAnsi"/>
                <w:color w:val="000000"/>
                <w:szCs w:val="24"/>
                <w:lang w:eastAsia="lv-LV"/>
              </w:rPr>
            </w:pPr>
            <w:r w:rsidRPr="000B1A94">
              <w:t>9 002 091</w:t>
            </w:r>
          </w:p>
        </w:tc>
        <w:tc>
          <w:tcPr>
            <w:tcW w:w="1840" w:type="dxa"/>
            <w:tcBorders>
              <w:top w:val="nil"/>
              <w:left w:val="nil"/>
              <w:bottom w:val="single" w:sz="4" w:space="0" w:color="auto"/>
              <w:right w:val="single" w:sz="4" w:space="0" w:color="auto"/>
            </w:tcBorders>
          </w:tcPr>
          <w:p w14:paraId="7FF318FF" w14:textId="082FBBCB" w:rsidR="00904150" w:rsidRPr="009B1BB0" w:rsidRDefault="00904150" w:rsidP="00904150">
            <w:pPr>
              <w:spacing w:after="0" w:line="240" w:lineRule="auto"/>
              <w:jc w:val="center"/>
              <w:rPr>
                <w:rFonts w:eastAsiaTheme="majorEastAsia" w:cstheme="minorHAnsi"/>
                <w:color w:val="000000"/>
                <w:szCs w:val="24"/>
                <w:lang w:eastAsia="lv-LV"/>
              </w:rPr>
            </w:pPr>
            <w:r w:rsidRPr="00F76816">
              <w:t>9 066 334</w:t>
            </w:r>
          </w:p>
        </w:tc>
      </w:tr>
      <w:tr w:rsidR="00904150" w:rsidRPr="009B1BB0" w14:paraId="44FB8E58"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F7B07BE"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2022</w:t>
            </w:r>
          </w:p>
        </w:tc>
        <w:tc>
          <w:tcPr>
            <w:tcW w:w="2412" w:type="dxa"/>
            <w:tcBorders>
              <w:top w:val="nil"/>
              <w:left w:val="nil"/>
              <w:bottom w:val="single" w:sz="4" w:space="0" w:color="auto"/>
              <w:right w:val="single" w:sz="4" w:space="0" w:color="auto"/>
            </w:tcBorders>
            <w:shd w:val="clear" w:color="auto" w:fill="auto"/>
            <w:vAlign w:val="center"/>
            <w:hideMark/>
          </w:tcPr>
          <w:p w14:paraId="5DE4E7FA"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31A447A6"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065D7F61" w14:textId="65275334" w:rsidR="00904150" w:rsidRPr="009B1BB0" w:rsidRDefault="00904150" w:rsidP="00904150">
            <w:pPr>
              <w:spacing w:after="0" w:line="240" w:lineRule="auto"/>
              <w:jc w:val="center"/>
              <w:rPr>
                <w:rFonts w:eastAsiaTheme="majorEastAsia" w:cstheme="minorHAnsi"/>
                <w:color w:val="000000"/>
                <w:szCs w:val="24"/>
                <w:lang w:eastAsia="lv-LV"/>
              </w:rPr>
            </w:pPr>
            <w:r w:rsidRPr="000B1A94">
              <w:t>8 895 020</w:t>
            </w:r>
          </w:p>
        </w:tc>
        <w:tc>
          <w:tcPr>
            <w:tcW w:w="1840" w:type="dxa"/>
            <w:tcBorders>
              <w:top w:val="nil"/>
              <w:left w:val="nil"/>
              <w:bottom w:val="single" w:sz="4" w:space="0" w:color="auto"/>
              <w:right w:val="single" w:sz="4" w:space="0" w:color="auto"/>
            </w:tcBorders>
          </w:tcPr>
          <w:p w14:paraId="4BEC5812" w14:textId="0EEE1D60" w:rsidR="00904150" w:rsidRPr="009B1BB0" w:rsidRDefault="00904150" w:rsidP="00904150">
            <w:pPr>
              <w:spacing w:after="0" w:line="240" w:lineRule="auto"/>
              <w:jc w:val="center"/>
              <w:rPr>
                <w:rFonts w:eastAsiaTheme="majorEastAsia" w:cstheme="minorHAnsi"/>
                <w:color w:val="000000"/>
                <w:szCs w:val="24"/>
                <w:lang w:eastAsia="lv-LV"/>
              </w:rPr>
            </w:pPr>
            <w:r w:rsidRPr="00F76816">
              <w:t>8 952 125</w:t>
            </w:r>
          </w:p>
        </w:tc>
      </w:tr>
      <w:tr w:rsidR="00904150" w:rsidRPr="009B1BB0" w14:paraId="67571883"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01909DB7"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2023</w:t>
            </w:r>
          </w:p>
        </w:tc>
        <w:tc>
          <w:tcPr>
            <w:tcW w:w="2412" w:type="dxa"/>
            <w:tcBorders>
              <w:top w:val="nil"/>
              <w:left w:val="nil"/>
              <w:bottom w:val="single" w:sz="4" w:space="0" w:color="auto"/>
              <w:right w:val="single" w:sz="4" w:space="0" w:color="auto"/>
            </w:tcBorders>
            <w:shd w:val="clear" w:color="auto" w:fill="auto"/>
            <w:vAlign w:val="center"/>
            <w:hideMark/>
          </w:tcPr>
          <w:p w14:paraId="23FF1D7F"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0D1B4478"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6A1E5877" w14:textId="676065FA" w:rsidR="00904150" w:rsidRPr="009B1BB0" w:rsidRDefault="00904150" w:rsidP="00904150">
            <w:pPr>
              <w:spacing w:after="0" w:line="240" w:lineRule="auto"/>
              <w:jc w:val="center"/>
              <w:rPr>
                <w:rFonts w:eastAsiaTheme="majorEastAsia" w:cstheme="minorHAnsi"/>
                <w:color w:val="000000"/>
                <w:szCs w:val="24"/>
                <w:lang w:eastAsia="lv-LV"/>
              </w:rPr>
            </w:pPr>
            <w:r w:rsidRPr="000B1A94">
              <w:t>8 787 949</w:t>
            </w:r>
          </w:p>
        </w:tc>
        <w:tc>
          <w:tcPr>
            <w:tcW w:w="1840" w:type="dxa"/>
            <w:tcBorders>
              <w:top w:val="nil"/>
              <w:left w:val="nil"/>
              <w:bottom w:val="single" w:sz="4" w:space="0" w:color="auto"/>
              <w:right w:val="single" w:sz="4" w:space="0" w:color="auto"/>
            </w:tcBorders>
          </w:tcPr>
          <w:p w14:paraId="2934BD83" w14:textId="2142697B" w:rsidR="00904150" w:rsidRPr="009B1BB0" w:rsidRDefault="00904150" w:rsidP="00904150">
            <w:pPr>
              <w:spacing w:after="0" w:line="240" w:lineRule="auto"/>
              <w:jc w:val="center"/>
              <w:rPr>
                <w:rFonts w:eastAsiaTheme="majorEastAsia" w:cstheme="minorHAnsi"/>
                <w:color w:val="000000"/>
                <w:szCs w:val="24"/>
                <w:lang w:eastAsia="lv-LV"/>
              </w:rPr>
            </w:pPr>
            <w:r w:rsidRPr="00F76816">
              <w:t>8 837 916</w:t>
            </w:r>
          </w:p>
        </w:tc>
      </w:tr>
      <w:tr w:rsidR="00904150" w:rsidRPr="009B1BB0" w14:paraId="34319E6E"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3545633"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2024</w:t>
            </w:r>
          </w:p>
        </w:tc>
        <w:tc>
          <w:tcPr>
            <w:tcW w:w="2412" w:type="dxa"/>
            <w:tcBorders>
              <w:top w:val="nil"/>
              <w:left w:val="nil"/>
              <w:bottom w:val="single" w:sz="4" w:space="0" w:color="auto"/>
              <w:right w:val="single" w:sz="4" w:space="0" w:color="auto"/>
            </w:tcBorders>
            <w:shd w:val="clear" w:color="auto" w:fill="auto"/>
            <w:vAlign w:val="center"/>
            <w:hideMark/>
          </w:tcPr>
          <w:p w14:paraId="257B98A1"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119B1183"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04FB8AD6" w14:textId="27FD1A7F" w:rsidR="00904150" w:rsidRPr="009B1BB0" w:rsidRDefault="00904150" w:rsidP="00904150">
            <w:pPr>
              <w:spacing w:after="0" w:line="240" w:lineRule="auto"/>
              <w:jc w:val="center"/>
              <w:rPr>
                <w:rFonts w:eastAsiaTheme="majorEastAsia" w:cstheme="minorHAnsi"/>
                <w:color w:val="000000"/>
                <w:szCs w:val="24"/>
                <w:lang w:eastAsia="lv-LV"/>
              </w:rPr>
            </w:pPr>
            <w:r w:rsidRPr="000B1A94">
              <w:t>8 680 878</w:t>
            </w:r>
          </w:p>
        </w:tc>
        <w:tc>
          <w:tcPr>
            <w:tcW w:w="1840" w:type="dxa"/>
            <w:tcBorders>
              <w:top w:val="nil"/>
              <w:left w:val="nil"/>
              <w:bottom w:val="single" w:sz="4" w:space="0" w:color="auto"/>
              <w:right w:val="single" w:sz="4" w:space="0" w:color="auto"/>
            </w:tcBorders>
          </w:tcPr>
          <w:p w14:paraId="4109E8B7" w14:textId="1298C4BB" w:rsidR="00904150" w:rsidRPr="009B1BB0" w:rsidRDefault="00904150" w:rsidP="00904150">
            <w:pPr>
              <w:spacing w:after="0" w:line="240" w:lineRule="auto"/>
              <w:jc w:val="center"/>
              <w:rPr>
                <w:rFonts w:eastAsiaTheme="majorEastAsia" w:cstheme="minorHAnsi"/>
                <w:color w:val="000000"/>
                <w:szCs w:val="24"/>
                <w:lang w:eastAsia="lv-LV"/>
              </w:rPr>
            </w:pPr>
            <w:r w:rsidRPr="00F76816">
              <w:t>8 723 707</w:t>
            </w:r>
          </w:p>
        </w:tc>
      </w:tr>
      <w:tr w:rsidR="00904150" w:rsidRPr="009B1BB0" w14:paraId="2F59AF34"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E97B5A7"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2025</w:t>
            </w:r>
          </w:p>
        </w:tc>
        <w:tc>
          <w:tcPr>
            <w:tcW w:w="2412" w:type="dxa"/>
            <w:tcBorders>
              <w:top w:val="nil"/>
              <w:left w:val="nil"/>
              <w:bottom w:val="single" w:sz="4" w:space="0" w:color="auto"/>
              <w:right w:val="single" w:sz="4" w:space="0" w:color="auto"/>
            </w:tcBorders>
            <w:shd w:val="clear" w:color="auto" w:fill="auto"/>
            <w:vAlign w:val="center"/>
            <w:hideMark/>
          </w:tcPr>
          <w:p w14:paraId="4D20C3C0"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7D026ECB"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61615DFA" w14:textId="540529F2" w:rsidR="00904150" w:rsidRPr="009B1BB0" w:rsidRDefault="00904150" w:rsidP="00904150">
            <w:pPr>
              <w:spacing w:after="0" w:line="240" w:lineRule="auto"/>
              <w:jc w:val="center"/>
              <w:rPr>
                <w:rFonts w:eastAsiaTheme="majorEastAsia" w:cstheme="minorHAnsi"/>
                <w:color w:val="000000"/>
                <w:szCs w:val="24"/>
                <w:lang w:eastAsia="lv-LV"/>
              </w:rPr>
            </w:pPr>
            <w:r w:rsidRPr="000B1A94">
              <w:t>8 573 807</w:t>
            </w:r>
          </w:p>
        </w:tc>
        <w:tc>
          <w:tcPr>
            <w:tcW w:w="1840" w:type="dxa"/>
            <w:tcBorders>
              <w:top w:val="nil"/>
              <w:left w:val="nil"/>
              <w:bottom w:val="single" w:sz="4" w:space="0" w:color="auto"/>
              <w:right w:val="single" w:sz="4" w:space="0" w:color="auto"/>
            </w:tcBorders>
          </w:tcPr>
          <w:p w14:paraId="6F5F1FF3" w14:textId="2334849F" w:rsidR="00904150" w:rsidRPr="009B1BB0" w:rsidRDefault="00904150" w:rsidP="00904150">
            <w:pPr>
              <w:spacing w:after="0" w:line="240" w:lineRule="auto"/>
              <w:jc w:val="center"/>
              <w:rPr>
                <w:rFonts w:eastAsiaTheme="majorEastAsia" w:cstheme="minorHAnsi"/>
                <w:color w:val="000000"/>
                <w:szCs w:val="24"/>
                <w:lang w:eastAsia="lv-LV"/>
              </w:rPr>
            </w:pPr>
            <w:r w:rsidRPr="00F76816">
              <w:t>8 609 497</w:t>
            </w:r>
          </w:p>
        </w:tc>
      </w:tr>
      <w:tr w:rsidR="00904150" w:rsidRPr="009B1BB0" w14:paraId="5B601C83"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EA33688"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2026</w:t>
            </w:r>
          </w:p>
        </w:tc>
        <w:tc>
          <w:tcPr>
            <w:tcW w:w="2412" w:type="dxa"/>
            <w:tcBorders>
              <w:top w:val="nil"/>
              <w:left w:val="nil"/>
              <w:bottom w:val="single" w:sz="4" w:space="0" w:color="auto"/>
              <w:right w:val="single" w:sz="4" w:space="0" w:color="auto"/>
            </w:tcBorders>
            <w:shd w:val="clear" w:color="auto" w:fill="auto"/>
            <w:vAlign w:val="center"/>
            <w:hideMark/>
          </w:tcPr>
          <w:p w14:paraId="766FD4AC"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3B3EBF73"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71436715" w14:textId="27C093D6" w:rsidR="00904150" w:rsidRPr="009B1BB0" w:rsidRDefault="00904150" w:rsidP="00904150">
            <w:pPr>
              <w:spacing w:after="0" w:line="240" w:lineRule="auto"/>
              <w:jc w:val="center"/>
              <w:rPr>
                <w:rFonts w:eastAsiaTheme="majorEastAsia" w:cstheme="minorHAnsi"/>
                <w:color w:val="000000"/>
                <w:szCs w:val="24"/>
                <w:lang w:eastAsia="lv-LV"/>
              </w:rPr>
            </w:pPr>
            <w:r w:rsidRPr="000B1A94">
              <w:t>8 466 736</w:t>
            </w:r>
          </w:p>
        </w:tc>
        <w:tc>
          <w:tcPr>
            <w:tcW w:w="1840" w:type="dxa"/>
            <w:tcBorders>
              <w:top w:val="nil"/>
              <w:left w:val="nil"/>
              <w:bottom w:val="single" w:sz="4" w:space="0" w:color="auto"/>
              <w:right w:val="single" w:sz="4" w:space="0" w:color="auto"/>
            </w:tcBorders>
          </w:tcPr>
          <w:p w14:paraId="41D67555" w14:textId="4A033A19" w:rsidR="00904150" w:rsidRPr="009B1BB0" w:rsidRDefault="00904150" w:rsidP="00904150">
            <w:pPr>
              <w:spacing w:after="0" w:line="240" w:lineRule="auto"/>
              <w:jc w:val="center"/>
              <w:rPr>
                <w:rFonts w:eastAsiaTheme="majorEastAsia" w:cstheme="minorHAnsi"/>
                <w:color w:val="000000"/>
                <w:szCs w:val="24"/>
                <w:lang w:eastAsia="lv-LV"/>
              </w:rPr>
            </w:pPr>
            <w:r w:rsidRPr="00F76816">
              <w:t>8 495 288</w:t>
            </w:r>
          </w:p>
        </w:tc>
      </w:tr>
      <w:tr w:rsidR="00904150" w:rsidRPr="009B1BB0" w14:paraId="6342E319"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132B73E"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heme="majorEastAsia" w:cstheme="minorHAnsi"/>
                <w:b/>
                <w:bCs/>
                <w:color w:val="000000"/>
                <w:szCs w:val="24"/>
                <w:lang w:eastAsia="lv-LV"/>
              </w:rPr>
              <w:t>2027</w:t>
            </w:r>
          </w:p>
        </w:tc>
        <w:tc>
          <w:tcPr>
            <w:tcW w:w="2412" w:type="dxa"/>
            <w:tcBorders>
              <w:top w:val="nil"/>
              <w:left w:val="nil"/>
              <w:bottom w:val="single" w:sz="4" w:space="0" w:color="auto"/>
              <w:right w:val="single" w:sz="4" w:space="0" w:color="auto"/>
            </w:tcBorders>
            <w:shd w:val="clear" w:color="auto" w:fill="auto"/>
            <w:vAlign w:val="center"/>
            <w:hideMark/>
          </w:tcPr>
          <w:p w14:paraId="61AC7D58"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heme="majorEastAsia"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31517F2C"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1E888B89" w14:textId="300929BD" w:rsidR="00904150" w:rsidRPr="009B1BB0" w:rsidRDefault="00904150" w:rsidP="00904150">
            <w:pPr>
              <w:spacing w:after="0" w:line="240" w:lineRule="auto"/>
              <w:jc w:val="center"/>
              <w:rPr>
                <w:rFonts w:eastAsiaTheme="majorEastAsia" w:cstheme="minorHAnsi"/>
                <w:color w:val="000000"/>
                <w:szCs w:val="24"/>
                <w:lang w:eastAsia="lv-LV"/>
              </w:rPr>
            </w:pPr>
            <w:r w:rsidRPr="000B1A94">
              <w:t>8 359 665</w:t>
            </w:r>
          </w:p>
        </w:tc>
        <w:tc>
          <w:tcPr>
            <w:tcW w:w="1840" w:type="dxa"/>
            <w:tcBorders>
              <w:top w:val="nil"/>
              <w:left w:val="nil"/>
              <w:bottom w:val="single" w:sz="4" w:space="0" w:color="auto"/>
              <w:right w:val="single" w:sz="4" w:space="0" w:color="auto"/>
            </w:tcBorders>
          </w:tcPr>
          <w:p w14:paraId="775DC45C" w14:textId="2B8C4C9F" w:rsidR="00904150" w:rsidRPr="009B1BB0" w:rsidRDefault="00904150" w:rsidP="00904150">
            <w:pPr>
              <w:spacing w:after="0" w:line="240" w:lineRule="auto"/>
              <w:jc w:val="center"/>
              <w:rPr>
                <w:rFonts w:eastAsiaTheme="majorEastAsia" w:cstheme="minorHAnsi"/>
                <w:color w:val="000000"/>
                <w:szCs w:val="24"/>
                <w:lang w:eastAsia="lv-LV"/>
              </w:rPr>
            </w:pPr>
            <w:r w:rsidRPr="00F76816">
              <w:t>8 381 079</w:t>
            </w:r>
          </w:p>
        </w:tc>
      </w:tr>
      <w:tr w:rsidR="00904150" w:rsidRPr="009B1BB0" w14:paraId="2544592D"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180F22A8"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szCs w:val="24"/>
                <w:lang w:eastAsia="lv-LV"/>
              </w:rPr>
              <w:t>2028</w:t>
            </w:r>
          </w:p>
        </w:tc>
        <w:tc>
          <w:tcPr>
            <w:tcW w:w="2412" w:type="dxa"/>
            <w:tcBorders>
              <w:top w:val="nil"/>
              <w:left w:val="nil"/>
              <w:bottom w:val="single" w:sz="4" w:space="0" w:color="auto"/>
              <w:right w:val="single" w:sz="4" w:space="0" w:color="auto"/>
            </w:tcBorders>
            <w:shd w:val="clear" w:color="auto" w:fill="auto"/>
            <w:vAlign w:val="center"/>
            <w:hideMark/>
          </w:tcPr>
          <w:p w14:paraId="17B14214"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0640B1D7"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7AF33DE6" w14:textId="27B9E5AC" w:rsidR="00904150" w:rsidRPr="009B1BB0" w:rsidRDefault="00904150" w:rsidP="00904150">
            <w:pPr>
              <w:spacing w:after="0" w:line="240" w:lineRule="auto"/>
              <w:jc w:val="center"/>
              <w:rPr>
                <w:rFonts w:eastAsiaTheme="majorEastAsia" w:cstheme="minorHAnsi"/>
                <w:color w:val="000000"/>
                <w:szCs w:val="24"/>
                <w:lang w:eastAsia="lv-LV"/>
              </w:rPr>
            </w:pPr>
            <w:r w:rsidRPr="000B1A94">
              <w:t>8 252 594</w:t>
            </w:r>
          </w:p>
        </w:tc>
        <w:tc>
          <w:tcPr>
            <w:tcW w:w="1840" w:type="dxa"/>
            <w:tcBorders>
              <w:top w:val="nil"/>
              <w:left w:val="nil"/>
              <w:bottom w:val="single" w:sz="4" w:space="0" w:color="auto"/>
              <w:right w:val="single" w:sz="4" w:space="0" w:color="auto"/>
            </w:tcBorders>
          </w:tcPr>
          <w:p w14:paraId="609A949E" w14:textId="627F6995" w:rsidR="00904150" w:rsidRPr="009B1BB0" w:rsidRDefault="00904150" w:rsidP="00904150">
            <w:pPr>
              <w:spacing w:after="0" w:line="240" w:lineRule="auto"/>
              <w:jc w:val="center"/>
              <w:rPr>
                <w:rFonts w:eastAsiaTheme="majorEastAsia" w:cstheme="minorHAnsi"/>
                <w:color w:val="000000"/>
                <w:szCs w:val="24"/>
                <w:lang w:eastAsia="lv-LV"/>
              </w:rPr>
            </w:pPr>
            <w:r w:rsidRPr="00F76816">
              <w:t>8 266 870</w:t>
            </w:r>
          </w:p>
        </w:tc>
      </w:tr>
      <w:tr w:rsidR="00904150" w:rsidRPr="009B1BB0" w14:paraId="48F161B6"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4A1DDCC7"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szCs w:val="24"/>
                <w:lang w:eastAsia="lv-LV"/>
              </w:rPr>
              <w:t>2029</w:t>
            </w:r>
          </w:p>
        </w:tc>
        <w:tc>
          <w:tcPr>
            <w:tcW w:w="2412" w:type="dxa"/>
            <w:tcBorders>
              <w:top w:val="nil"/>
              <w:left w:val="nil"/>
              <w:bottom w:val="single" w:sz="4" w:space="0" w:color="auto"/>
              <w:right w:val="single" w:sz="4" w:space="0" w:color="auto"/>
            </w:tcBorders>
            <w:shd w:val="clear" w:color="auto" w:fill="auto"/>
            <w:vAlign w:val="center"/>
            <w:hideMark/>
          </w:tcPr>
          <w:p w14:paraId="76AB986E"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3003A182"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1657C149" w14:textId="7C82BEDB" w:rsidR="00904150" w:rsidRPr="009B1BB0" w:rsidRDefault="00904150" w:rsidP="00904150">
            <w:pPr>
              <w:spacing w:after="0" w:line="240" w:lineRule="auto"/>
              <w:jc w:val="center"/>
              <w:rPr>
                <w:rFonts w:eastAsiaTheme="majorEastAsia" w:cstheme="minorHAnsi"/>
                <w:color w:val="000000"/>
                <w:szCs w:val="24"/>
                <w:lang w:eastAsia="lv-LV"/>
              </w:rPr>
            </w:pPr>
            <w:r w:rsidRPr="000B1A94">
              <w:t>8 145 523</w:t>
            </w:r>
          </w:p>
        </w:tc>
        <w:tc>
          <w:tcPr>
            <w:tcW w:w="1840" w:type="dxa"/>
            <w:tcBorders>
              <w:top w:val="nil"/>
              <w:left w:val="nil"/>
              <w:bottom w:val="single" w:sz="4" w:space="0" w:color="auto"/>
              <w:right w:val="single" w:sz="4" w:space="0" w:color="auto"/>
            </w:tcBorders>
          </w:tcPr>
          <w:p w14:paraId="3F9EC4D1" w14:textId="6DF37D3A" w:rsidR="00904150" w:rsidRPr="009B1BB0" w:rsidRDefault="00904150" w:rsidP="00904150">
            <w:pPr>
              <w:spacing w:after="0" w:line="240" w:lineRule="auto"/>
              <w:jc w:val="center"/>
              <w:rPr>
                <w:rFonts w:eastAsiaTheme="majorEastAsia" w:cstheme="minorHAnsi"/>
                <w:color w:val="000000"/>
                <w:szCs w:val="24"/>
                <w:lang w:eastAsia="lv-LV"/>
              </w:rPr>
            </w:pPr>
            <w:r w:rsidRPr="00F76816">
              <w:t>8 152 661</w:t>
            </w:r>
          </w:p>
        </w:tc>
      </w:tr>
      <w:tr w:rsidR="00904150" w:rsidRPr="009B1BB0" w14:paraId="5D70769A" w14:textId="77777777" w:rsidTr="000B07AF">
        <w:trPr>
          <w:trHeight w:val="315"/>
          <w:jc w:val="center"/>
        </w:trPr>
        <w:tc>
          <w:tcPr>
            <w:tcW w:w="844" w:type="dxa"/>
            <w:tcBorders>
              <w:top w:val="nil"/>
              <w:left w:val="single" w:sz="4" w:space="0" w:color="auto"/>
              <w:bottom w:val="single" w:sz="4" w:space="0" w:color="auto"/>
              <w:right w:val="single" w:sz="4" w:space="0" w:color="auto"/>
            </w:tcBorders>
            <w:shd w:val="clear" w:color="auto" w:fill="auto"/>
            <w:vAlign w:val="center"/>
            <w:hideMark/>
          </w:tcPr>
          <w:p w14:paraId="6F3E7083" w14:textId="77777777" w:rsidR="00904150" w:rsidRPr="009B1BB0" w:rsidRDefault="00904150" w:rsidP="00904150">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szCs w:val="24"/>
                <w:lang w:eastAsia="lv-LV"/>
              </w:rPr>
              <w:t>2030</w:t>
            </w:r>
          </w:p>
        </w:tc>
        <w:tc>
          <w:tcPr>
            <w:tcW w:w="2412" w:type="dxa"/>
            <w:tcBorders>
              <w:top w:val="nil"/>
              <w:left w:val="nil"/>
              <w:bottom w:val="single" w:sz="4" w:space="0" w:color="auto"/>
              <w:right w:val="single" w:sz="4" w:space="0" w:color="auto"/>
            </w:tcBorders>
            <w:shd w:val="clear" w:color="auto" w:fill="auto"/>
            <w:vAlign w:val="center"/>
            <w:hideMark/>
          </w:tcPr>
          <w:p w14:paraId="496F32EC"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642" w:type="dxa"/>
            <w:tcBorders>
              <w:top w:val="nil"/>
              <w:left w:val="nil"/>
              <w:bottom w:val="single" w:sz="4" w:space="0" w:color="auto"/>
              <w:right w:val="single" w:sz="4" w:space="0" w:color="auto"/>
            </w:tcBorders>
            <w:shd w:val="clear" w:color="auto" w:fill="auto"/>
            <w:vAlign w:val="center"/>
            <w:hideMark/>
          </w:tcPr>
          <w:p w14:paraId="4A015FC6" w14:textId="77777777" w:rsidR="00904150" w:rsidRPr="009B1BB0" w:rsidRDefault="00904150" w:rsidP="00904150">
            <w:pPr>
              <w:spacing w:after="0" w:line="240" w:lineRule="auto"/>
              <w:jc w:val="both"/>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1767" w:type="dxa"/>
            <w:tcBorders>
              <w:top w:val="nil"/>
              <w:left w:val="nil"/>
              <w:bottom w:val="single" w:sz="4" w:space="0" w:color="auto"/>
              <w:right w:val="single" w:sz="4" w:space="0" w:color="auto"/>
            </w:tcBorders>
            <w:shd w:val="clear" w:color="auto" w:fill="auto"/>
          </w:tcPr>
          <w:p w14:paraId="31C4192E" w14:textId="54885127" w:rsidR="00904150" w:rsidRPr="009B1BB0" w:rsidRDefault="00904150" w:rsidP="00904150">
            <w:pPr>
              <w:spacing w:after="0" w:line="240" w:lineRule="auto"/>
              <w:jc w:val="center"/>
              <w:rPr>
                <w:rFonts w:eastAsiaTheme="majorEastAsia" w:cstheme="minorHAnsi"/>
                <w:color w:val="000000"/>
                <w:szCs w:val="24"/>
                <w:lang w:eastAsia="lv-LV"/>
              </w:rPr>
            </w:pPr>
            <w:r w:rsidRPr="000B1A94">
              <w:t>8 038 452</w:t>
            </w:r>
          </w:p>
        </w:tc>
        <w:tc>
          <w:tcPr>
            <w:tcW w:w="1840" w:type="dxa"/>
            <w:tcBorders>
              <w:top w:val="nil"/>
              <w:left w:val="nil"/>
              <w:bottom w:val="single" w:sz="4" w:space="0" w:color="auto"/>
              <w:right w:val="single" w:sz="4" w:space="0" w:color="auto"/>
            </w:tcBorders>
          </w:tcPr>
          <w:p w14:paraId="4B06C2EA" w14:textId="041F47E8" w:rsidR="00904150" w:rsidRPr="009B1BB0" w:rsidRDefault="00904150" w:rsidP="00904150">
            <w:pPr>
              <w:spacing w:after="0" w:line="240" w:lineRule="auto"/>
              <w:jc w:val="center"/>
              <w:rPr>
                <w:rFonts w:eastAsiaTheme="majorEastAsia" w:cstheme="minorHAnsi"/>
                <w:color w:val="000000"/>
                <w:szCs w:val="24"/>
                <w:lang w:eastAsia="lv-LV"/>
              </w:rPr>
            </w:pPr>
            <w:r w:rsidRPr="00F76816">
              <w:t>8 038 452</w:t>
            </w:r>
          </w:p>
        </w:tc>
      </w:tr>
    </w:tbl>
    <w:p w14:paraId="3E82EBDB" w14:textId="77777777" w:rsidR="006179BB" w:rsidRPr="009B1BB0" w:rsidRDefault="006179BB">
      <w:pPr>
        <w:pStyle w:val="Heading4"/>
      </w:pPr>
      <w:bookmarkStart w:id="325" w:name="_Toc527529439"/>
      <w:bookmarkStart w:id="326" w:name="_Toc23245801"/>
      <w:bookmarkEnd w:id="322"/>
      <w:r w:rsidRPr="009B1BB0">
        <w:t>ZIZIMM sektora SEG emisiju un piesaistes uzskaite periodā no 2020. gada līdz 2030. gadam</w:t>
      </w:r>
      <w:bookmarkEnd w:id="325"/>
      <w:bookmarkEnd w:id="326"/>
      <w:r w:rsidRPr="009B1BB0">
        <w:t> </w:t>
      </w:r>
    </w:p>
    <w:p w14:paraId="3F9EF857" w14:textId="30299C5B" w:rsidR="006179BB" w:rsidRPr="009B1BB0" w:rsidRDefault="006179BB" w:rsidP="006179BB">
      <w:pPr>
        <w:spacing w:before="120" w:after="120" w:line="240" w:lineRule="auto"/>
        <w:jc w:val="both"/>
        <w:rPr>
          <w:rFonts w:cstheme="minorHAnsi"/>
        </w:rPr>
      </w:pPr>
      <w:r w:rsidRPr="009B1BB0">
        <w:rPr>
          <w:rFonts w:cstheme="minorHAnsi"/>
        </w:rPr>
        <w:t>ES dalībvalstīm periodam pēc 2020.gada ar Regulu 2018/841 ir noteiktas saistības un SEG emisiju un CO</w:t>
      </w:r>
      <w:r w:rsidRPr="009B1BB0">
        <w:rPr>
          <w:rFonts w:cstheme="minorHAnsi"/>
          <w:vertAlign w:val="subscript"/>
        </w:rPr>
        <w:t xml:space="preserve">2 </w:t>
      </w:r>
      <w:r w:rsidRPr="009B1BB0">
        <w:rPr>
          <w:rFonts w:cstheme="minorHAnsi"/>
        </w:rPr>
        <w:t>uzskaites noteikumi ZIZIMM sektorā. Saskaņā ar Regulas 2018/841 4. pantā noteikto, Latvijai, ņemot vērā noteiktās elastības iespējas, ir jānodrošina, ka atbilstoši regulā noteiktajiem uzskaites noteikumiem uzskaitīto SEG emisiju summa nepārsniedz uzskaitītās CO</w:t>
      </w:r>
      <w:r w:rsidRPr="009B1BB0">
        <w:rPr>
          <w:rFonts w:cstheme="minorHAnsi"/>
          <w:vertAlign w:val="subscript"/>
        </w:rPr>
        <w:t>2</w:t>
      </w:r>
      <w:r w:rsidRPr="009B1BB0">
        <w:rPr>
          <w:rFonts w:cstheme="minorHAnsi"/>
        </w:rPr>
        <w:t xml:space="preserve"> piesaistes summu  Regulas 2018/841 2.pantā minētajās zemes uzskaites kategorijās – “apmežota zeme”, “atmežota zeme”, “apsaimniekota aramzeme”, “apsaimniekoti zālāji”, “apsaimniekota meža zeme”, “apsaimniekoti mitrāji” (uzskaitē no 2026.gada) ”. </w:t>
      </w:r>
      <w:bookmarkStart w:id="327" w:name="_Hlk527544850"/>
      <w:r w:rsidRPr="009B1BB0">
        <w:rPr>
          <w:rFonts w:cstheme="minorHAnsi"/>
        </w:rPr>
        <w:t>SEG emisiju un CO</w:t>
      </w:r>
      <w:r w:rsidRPr="009B1BB0">
        <w:rPr>
          <w:rFonts w:cstheme="minorHAnsi"/>
          <w:vertAlign w:val="subscript"/>
        </w:rPr>
        <w:t>2</w:t>
      </w:r>
      <w:r w:rsidRPr="009B1BB0">
        <w:rPr>
          <w:rFonts w:cstheme="minorHAnsi"/>
        </w:rPr>
        <w:t xml:space="preserve"> piesaistes uzskaite tiek veikta atbilstoši Regulas 2018/841 nosacījumiem, rēķinot SEG emisiju apjoma un/vai CO</w:t>
      </w:r>
      <w:r w:rsidRPr="009B1BB0">
        <w:rPr>
          <w:rFonts w:cstheme="minorHAnsi"/>
          <w:vertAlign w:val="subscript"/>
        </w:rPr>
        <w:t>2</w:t>
      </w:r>
      <w:r w:rsidRPr="009B1BB0">
        <w:rPr>
          <w:rFonts w:cstheme="minorHAnsi"/>
        </w:rPr>
        <w:t xml:space="preserve"> piesaistes apjoma izmaiņas pret Regulā 2018/841 noteiktajiem atskaites līmeņiem, izņemot apmežotas un atmežotas zemes uzskaites kategorijas, kurām tiek piemērota “</w:t>
      </w:r>
      <w:r w:rsidRPr="009B1BB0">
        <w:rPr>
          <w:rFonts w:cstheme="minorHAnsi"/>
          <w:i/>
        </w:rPr>
        <w:t>gross-net</w:t>
      </w:r>
      <w:r w:rsidRPr="009B1BB0">
        <w:rPr>
          <w:rFonts w:cstheme="minorHAnsi"/>
        </w:rPr>
        <w:t>” pieeja, kur netiek noteikts atskaites līmenis, un uzskaitē tiek ietverts viss attiecīgajā periodā radītais SEG emisiju un CO</w:t>
      </w:r>
      <w:r w:rsidRPr="009B1BB0">
        <w:rPr>
          <w:rFonts w:cstheme="minorHAnsi"/>
          <w:vertAlign w:val="subscript"/>
        </w:rPr>
        <w:t>2</w:t>
      </w:r>
      <w:r w:rsidRPr="009B1BB0">
        <w:rPr>
          <w:rFonts w:cstheme="minorHAnsi"/>
        </w:rPr>
        <w:t xml:space="preserve"> piesaistes apjoms.</w:t>
      </w:r>
      <w:r w:rsidR="009766B1">
        <w:rPr>
          <w:rFonts w:cstheme="minorHAnsi"/>
        </w:rPr>
        <w:t xml:space="preserve"> </w:t>
      </w:r>
      <w:r w:rsidR="009766B1">
        <w:t xml:space="preserve">ZIZIMM mērķi paredzēts sasniegt šādu ZIZIMM zemes lietojuma kategoriju ietvaros – aramzeme, pļavas un ieaudzēts mežs. Vienlaicīgi plānots pētīt un īstenot risinājumus, kas vērsti uz organisko augšņu ietekmēto emisiju samazināšanu ZIZIMM sektorā. </w:t>
      </w:r>
      <w:r w:rsidR="009766B1" w:rsidRPr="009B1BB0">
        <w:rPr>
          <w:rFonts w:cstheme="minorHAnsi"/>
        </w:rPr>
        <w:t xml:space="preserve"> </w:t>
      </w:r>
      <w:r w:rsidRPr="009B1BB0">
        <w:rPr>
          <w:rFonts w:cstheme="minorHAnsi"/>
        </w:rPr>
        <w:t xml:space="preserve">  </w:t>
      </w:r>
    </w:p>
    <w:p w14:paraId="50A9FBE5" w14:textId="2BB9F8D7" w:rsidR="006179BB" w:rsidRPr="009B1BB0" w:rsidRDefault="006179BB" w:rsidP="006179BB">
      <w:pPr>
        <w:pStyle w:val="Caption"/>
        <w:rPr>
          <w:rFonts w:asciiTheme="minorHAnsi" w:hAnsiTheme="minorHAnsi" w:cstheme="minorHAnsi"/>
        </w:rPr>
      </w:pPr>
      <w:r w:rsidRPr="009B1BB0">
        <w:rPr>
          <w:rFonts w:asciiTheme="minorHAnsi" w:hAnsiTheme="minorHAnsi" w:cstheme="minorHAnsi"/>
        </w:rPr>
        <w:fldChar w:fldCharType="begin"/>
      </w:r>
      <w:r w:rsidRPr="009B1BB0">
        <w:rPr>
          <w:rFonts w:asciiTheme="minorHAnsi" w:hAnsiTheme="minorHAnsi" w:cstheme="minorHAnsi"/>
        </w:rPr>
        <w:instrText xml:space="preserve"> SEQ Tabula \* ARABIC </w:instrText>
      </w:r>
      <w:r w:rsidRPr="009B1BB0">
        <w:rPr>
          <w:rFonts w:asciiTheme="minorHAnsi" w:hAnsiTheme="minorHAnsi" w:cstheme="minorHAnsi"/>
        </w:rPr>
        <w:fldChar w:fldCharType="separate"/>
      </w:r>
      <w:r w:rsidR="006E6675">
        <w:rPr>
          <w:rFonts w:asciiTheme="minorHAnsi" w:hAnsiTheme="minorHAnsi" w:cstheme="minorHAnsi"/>
          <w:noProof/>
        </w:rPr>
        <w:t>15</w:t>
      </w:r>
      <w:r w:rsidRPr="009B1BB0">
        <w:rPr>
          <w:rFonts w:asciiTheme="minorHAnsi" w:hAnsiTheme="minorHAnsi" w:cstheme="minorHAnsi"/>
          <w:noProof/>
        </w:rPr>
        <w:fldChar w:fldCharType="end"/>
      </w:r>
      <w:r w:rsidRPr="009B1BB0">
        <w:rPr>
          <w:rFonts w:asciiTheme="minorHAnsi" w:hAnsiTheme="minorHAnsi" w:cstheme="minorHAnsi"/>
        </w:rPr>
        <w:t>.tabula. Latvijas mērķrādītāji ZIZIMM uzskaites kategorijām 2021.-2030.gadam</w:t>
      </w:r>
    </w:p>
    <w:tbl>
      <w:tblPr>
        <w:tblStyle w:val="TableGrid1"/>
        <w:tblpPr w:leftFromText="180" w:rightFromText="180" w:vertAnchor="text" w:horzAnchor="margin" w:tblpXSpec="center" w:tblpY="16"/>
        <w:tblW w:w="7635" w:type="dxa"/>
        <w:tblLayout w:type="fixed"/>
        <w:tblLook w:val="04A0" w:firstRow="1" w:lastRow="0" w:firstColumn="1" w:lastColumn="0" w:noHBand="0" w:noVBand="1"/>
      </w:tblPr>
      <w:tblGrid>
        <w:gridCol w:w="2968"/>
        <w:gridCol w:w="2421"/>
        <w:gridCol w:w="2246"/>
      </w:tblGrid>
      <w:tr w:rsidR="00904150" w14:paraId="6B4531BD" w14:textId="77777777" w:rsidTr="00904150">
        <w:trPr>
          <w:trHeight w:val="274"/>
        </w:trPr>
        <w:tc>
          <w:tcPr>
            <w:tcW w:w="2968" w:type="dxa"/>
            <w:tcBorders>
              <w:top w:val="single" w:sz="4" w:space="0" w:color="auto"/>
              <w:left w:val="single" w:sz="4" w:space="0" w:color="auto"/>
              <w:bottom w:val="single" w:sz="4" w:space="0" w:color="auto"/>
              <w:right w:val="single" w:sz="4" w:space="0" w:color="auto"/>
            </w:tcBorders>
            <w:vAlign w:val="center"/>
          </w:tcPr>
          <w:p w14:paraId="01BFCF89" w14:textId="77777777" w:rsidR="00904150" w:rsidRDefault="00904150" w:rsidP="000B07AF">
            <w:pPr>
              <w:jc w:val="center"/>
              <w:rPr>
                <w:rFonts w:eastAsia="Calibri" w:cstheme="minorHAnsi"/>
                <w:sz w:val="22"/>
              </w:rPr>
            </w:pPr>
          </w:p>
        </w:tc>
        <w:tc>
          <w:tcPr>
            <w:tcW w:w="24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895E36" w14:textId="77777777" w:rsidR="00904150" w:rsidRDefault="00904150" w:rsidP="000B07AF">
            <w:pPr>
              <w:jc w:val="center"/>
              <w:rPr>
                <w:rFonts w:eastAsia="Times New Roman" w:cstheme="minorHAnsi"/>
                <w:color w:val="000000"/>
                <w:kern w:val="24"/>
                <w:sz w:val="22"/>
                <w:lang w:eastAsia="lv-LV"/>
              </w:rPr>
            </w:pPr>
            <w:r>
              <w:rPr>
                <w:rFonts w:eastAsia="Calibri" w:cstheme="minorHAnsi"/>
                <w:b/>
                <w:sz w:val="22"/>
              </w:rPr>
              <w:t>2021-2025</w:t>
            </w:r>
          </w:p>
        </w:tc>
        <w:tc>
          <w:tcPr>
            <w:tcW w:w="22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F0143C" w14:textId="77777777" w:rsidR="00904150" w:rsidRDefault="00904150" w:rsidP="000B07AF">
            <w:pPr>
              <w:jc w:val="center"/>
              <w:rPr>
                <w:rFonts w:eastAsia="Times New Roman" w:cstheme="minorHAnsi"/>
                <w:color w:val="000000"/>
                <w:kern w:val="24"/>
                <w:sz w:val="22"/>
                <w:lang w:eastAsia="lv-LV"/>
              </w:rPr>
            </w:pPr>
            <w:r>
              <w:rPr>
                <w:rFonts w:eastAsia="Calibri" w:cstheme="minorHAnsi"/>
                <w:b/>
                <w:sz w:val="22"/>
              </w:rPr>
              <w:t>2026 - 2030</w:t>
            </w:r>
          </w:p>
        </w:tc>
      </w:tr>
      <w:tr w:rsidR="00904150" w14:paraId="215D0B85" w14:textId="77777777" w:rsidTr="00904150">
        <w:trPr>
          <w:trHeight w:val="271"/>
        </w:trPr>
        <w:tc>
          <w:tcPr>
            <w:tcW w:w="2968" w:type="dxa"/>
            <w:tcBorders>
              <w:top w:val="single" w:sz="4" w:space="0" w:color="auto"/>
              <w:left w:val="single" w:sz="4" w:space="0" w:color="auto"/>
              <w:bottom w:val="single" w:sz="4" w:space="0" w:color="auto"/>
              <w:right w:val="single" w:sz="4" w:space="0" w:color="auto"/>
            </w:tcBorders>
            <w:vAlign w:val="center"/>
            <w:hideMark/>
          </w:tcPr>
          <w:p w14:paraId="589207BC" w14:textId="77777777" w:rsidR="00904150" w:rsidRDefault="00904150" w:rsidP="000B07AF">
            <w:pPr>
              <w:jc w:val="center"/>
              <w:rPr>
                <w:rFonts w:eastAsia="Calibri" w:cstheme="minorHAnsi"/>
                <w:szCs w:val="24"/>
              </w:rPr>
            </w:pPr>
            <w:r>
              <w:rPr>
                <w:rFonts w:eastAsia="Calibri" w:cstheme="minorHAnsi"/>
                <w:szCs w:val="24"/>
              </w:rPr>
              <w:t>Apmežota zeme</w:t>
            </w:r>
          </w:p>
        </w:tc>
        <w:tc>
          <w:tcPr>
            <w:tcW w:w="24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53F9CAC" w14:textId="57FE6DAC" w:rsidR="00904150" w:rsidRDefault="00904150" w:rsidP="000B07AF">
            <w:pPr>
              <w:jc w:val="center"/>
              <w:rPr>
                <w:rFonts w:eastAsia="Times New Roman" w:cstheme="minorHAnsi"/>
                <w:color w:val="000000"/>
                <w:kern w:val="24"/>
                <w:szCs w:val="24"/>
                <w:lang w:eastAsia="lv-LV"/>
              </w:rPr>
            </w:pPr>
            <w:r>
              <w:rPr>
                <w:rFonts w:eastAsia="Times New Roman" w:cstheme="minorHAnsi"/>
                <w:color w:val="000000"/>
                <w:kern w:val="24"/>
                <w:szCs w:val="24"/>
                <w:lang w:eastAsia="lv-LV"/>
              </w:rPr>
              <w:t>Uzskaitāmās SEG emisijas nepārsniedz  uzskaitāmo SEG piesaisti</w:t>
            </w:r>
          </w:p>
        </w:tc>
        <w:tc>
          <w:tcPr>
            <w:tcW w:w="224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46A6979" w14:textId="56C24CA7" w:rsidR="00904150" w:rsidRDefault="00904150" w:rsidP="000B07AF">
            <w:pPr>
              <w:jc w:val="center"/>
              <w:rPr>
                <w:rFonts w:eastAsia="Times New Roman" w:cstheme="minorHAnsi"/>
                <w:color w:val="000000"/>
                <w:kern w:val="24"/>
                <w:szCs w:val="24"/>
                <w:lang w:eastAsia="lv-LV"/>
              </w:rPr>
            </w:pPr>
            <w:r>
              <w:rPr>
                <w:rFonts w:eastAsia="Times New Roman" w:cstheme="minorHAnsi"/>
                <w:color w:val="000000"/>
                <w:kern w:val="24"/>
                <w:szCs w:val="24"/>
                <w:lang w:eastAsia="lv-LV"/>
              </w:rPr>
              <w:t>Uzskaitāmās SEG emisijas nepārsniedz  uzskaitāmo SEG piesaisti</w:t>
            </w:r>
          </w:p>
        </w:tc>
      </w:tr>
      <w:tr w:rsidR="00904150" w14:paraId="1A9F3C74" w14:textId="77777777" w:rsidTr="00904150">
        <w:trPr>
          <w:trHeight w:val="275"/>
        </w:trPr>
        <w:tc>
          <w:tcPr>
            <w:tcW w:w="2968" w:type="dxa"/>
            <w:tcBorders>
              <w:top w:val="single" w:sz="4" w:space="0" w:color="auto"/>
              <w:left w:val="single" w:sz="4" w:space="0" w:color="auto"/>
              <w:bottom w:val="single" w:sz="4" w:space="0" w:color="auto"/>
              <w:right w:val="single" w:sz="4" w:space="0" w:color="auto"/>
            </w:tcBorders>
            <w:vAlign w:val="center"/>
            <w:hideMark/>
          </w:tcPr>
          <w:p w14:paraId="098FA883" w14:textId="77777777" w:rsidR="00904150" w:rsidRDefault="00904150" w:rsidP="000B07AF">
            <w:pPr>
              <w:jc w:val="center"/>
              <w:rPr>
                <w:rFonts w:eastAsia="Calibri" w:cstheme="minorHAnsi"/>
                <w:szCs w:val="24"/>
              </w:rPr>
            </w:pPr>
            <w:r>
              <w:rPr>
                <w:rFonts w:eastAsia="Calibri" w:cstheme="minorHAnsi"/>
                <w:szCs w:val="24"/>
              </w:rPr>
              <w:t>Atmežota zeme</w:t>
            </w: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67407018" w14:textId="77777777" w:rsidR="00904150" w:rsidRDefault="00904150" w:rsidP="000B07AF">
            <w:pPr>
              <w:rPr>
                <w:rFonts w:eastAsia="Times New Roman" w:cstheme="minorHAnsi"/>
                <w:color w:val="000000"/>
                <w:kern w:val="24"/>
                <w:szCs w:val="24"/>
                <w:lang w:eastAsia="lv-LV"/>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2E194600" w14:textId="77777777" w:rsidR="00904150" w:rsidRDefault="00904150" w:rsidP="000B07AF">
            <w:pPr>
              <w:rPr>
                <w:rFonts w:eastAsia="Times New Roman" w:cstheme="minorHAnsi"/>
                <w:color w:val="000000"/>
                <w:kern w:val="24"/>
                <w:szCs w:val="24"/>
                <w:lang w:eastAsia="lv-LV"/>
              </w:rPr>
            </w:pPr>
          </w:p>
        </w:tc>
      </w:tr>
      <w:tr w:rsidR="00904150" w14:paraId="69FDA144" w14:textId="77777777" w:rsidTr="00904150">
        <w:trPr>
          <w:trHeight w:val="553"/>
        </w:trPr>
        <w:tc>
          <w:tcPr>
            <w:tcW w:w="2968" w:type="dxa"/>
            <w:tcBorders>
              <w:top w:val="single" w:sz="4" w:space="0" w:color="auto"/>
              <w:left w:val="single" w:sz="4" w:space="0" w:color="auto"/>
              <w:bottom w:val="single" w:sz="4" w:space="0" w:color="auto"/>
              <w:right w:val="single" w:sz="4" w:space="0" w:color="auto"/>
            </w:tcBorders>
            <w:vAlign w:val="center"/>
            <w:hideMark/>
          </w:tcPr>
          <w:p w14:paraId="69DEE86F" w14:textId="77777777" w:rsidR="00904150" w:rsidRDefault="00904150" w:rsidP="000B07AF">
            <w:pPr>
              <w:jc w:val="center"/>
              <w:rPr>
                <w:rFonts w:eastAsia="Calibri" w:cstheme="minorHAnsi"/>
                <w:szCs w:val="24"/>
              </w:rPr>
            </w:pPr>
            <w:r>
              <w:rPr>
                <w:rFonts w:eastAsia="Calibri" w:cstheme="minorHAnsi"/>
                <w:szCs w:val="24"/>
              </w:rPr>
              <w:t>Apsaimniekota meža zeme</w:t>
            </w:r>
          </w:p>
          <w:p w14:paraId="2787D04E" w14:textId="4626C272" w:rsidR="00904150" w:rsidRDefault="00904150" w:rsidP="000B07AF">
            <w:pPr>
              <w:jc w:val="center"/>
              <w:rPr>
                <w:rFonts w:eastAsia="Calibri" w:cstheme="minorHAnsi"/>
                <w:szCs w:val="24"/>
              </w:rPr>
            </w:pPr>
            <w:r>
              <w:rPr>
                <w:rFonts w:eastAsia="Calibri" w:cstheme="minorHAnsi"/>
                <w:szCs w:val="24"/>
              </w:rPr>
              <w:t>(</w:t>
            </w:r>
            <w:r>
              <w:rPr>
                <w:rFonts w:eastAsia="Calibri" w:cstheme="minorHAnsi"/>
                <w:i/>
                <w:iCs/>
                <w:szCs w:val="24"/>
              </w:rPr>
              <w:t>Meža references līmenis</w:t>
            </w:r>
            <w:r>
              <w:rPr>
                <w:rFonts w:eastAsia="Calibri" w:cstheme="minorHAnsi"/>
                <w:szCs w:val="24"/>
              </w:rPr>
              <w:t>)</w:t>
            </w: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204EFBFB" w14:textId="77777777" w:rsidR="00904150" w:rsidRDefault="00904150" w:rsidP="000B07AF">
            <w:pPr>
              <w:rPr>
                <w:rFonts w:eastAsia="Times New Roman" w:cstheme="minorHAnsi"/>
                <w:color w:val="000000"/>
                <w:kern w:val="24"/>
                <w:szCs w:val="24"/>
                <w:lang w:eastAsia="lv-LV"/>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11259624" w14:textId="77777777" w:rsidR="00904150" w:rsidRDefault="00904150" w:rsidP="000B07AF">
            <w:pPr>
              <w:rPr>
                <w:rFonts w:eastAsia="Times New Roman" w:cstheme="minorHAnsi"/>
                <w:color w:val="000000"/>
                <w:kern w:val="24"/>
                <w:szCs w:val="24"/>
                <w:lang w:eastAsia="lv-LV"/>
              </w:rPr>
            </w:pPr>
          </w:p>
        </w:tc>
      </w:tr>
      <w:tr w:rsidR="00904150" w14:paraId="4C87A878" w14:textId="77777777" w:rsidTr="00904150">
        <w:trPr>
          <w:trHeight w:val="273"/>
        </w:trPr>
        <w:tc>
          <w:tcPr>
            <w:tcW w:w="2968" w:type="dxa"/>
            <w:tcBorders>
              <w:top w:val="single" w:sz="4" w:space="0" w:color="auto"/>
              <w:left w:val="single" w:sz="4" w:space="0" w:color="auto"/>
              <w:bottom w:val="single" w:sz="4" w:space="0" w:color="auto"/>
              <w:right w:val="single" w:sz="4" w:space="0" w:color="auto"/>
            </w:tcBorders>
            <w:vAlign w:val="center"/>
            <w:hideMark/>
          </w:tcPr>
          <w:p w14:paraId="4220A4C4" w14:textId="77777777" w:rsidR="00904150" w:rsidRDefault="00904150" w:rsidP="000B07AF">
            <w:pPr>
              <w:jc w:val="center"/>
              <w:rPr>
                <w:rFonts w:eastAsia="Calibri" w:cstheme="minorHAnsi"/>
                <w:szCs w:val="24"/>
              </w:rPr>
            </w:pPr>
            <w:r>
              <w:rPr>
                <w:rFonts w:eastAsia="Calibri" w:cstheme="minorHAnsi"/>
                <w:szCs w:val="24"/>
              </w:rPr>
              <w:t>Apsaimniekota aramzeme</w:t>
            </w: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795DBEBA" w14:textId="77777777" w:rsidR="00904150" w:rsidRDefault="00904150" w:rsidP="000B07AF">
            <w:pPr>
              <w:rPr>
                <w:rFonts w:eastAsia="Times New Roman" w:cstheme="minorHAnsi"/>
                <w:color w:val="000000"/>
                <w:kern w:val="24"/>
                <w:szCs w:val="24"/>
                <w:lang w:eastAsia="lv-LV"/>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1C6AE95F" w14:textId="77777777" w:rsidR="00904150" w:rsidRDefault="00904150" w:rsidP="000B07AF">
            <w:pPr>
              <w:rPr>
                <w:rFonts w:eastAsia="Times New Roman" w:cstheme="minorHAnsi"/>
                <w:color w:val="000000"/>
                <w:kern w:val="24"/>
                <w:szCs w:val="24"/>
                <w:lang w:eastAsia="lv-LV"/>
              </w:rPr>
            </w:pPr>
          </w:p>
        </w:tc>
      </w:tr>
      <w:tr w:rsidR="00904150" w14:paraId="39717830" w14:textId="77777777" w:rsidTr="00904150">
        <w:trPr>
          <w:trHeight w:val="277"/>
        </w:trPr>
        <w:tc>
          <w:tcPr>
            <w:tcW w:w="2968" w:type="dxa"/>
            <w:tcBorders>
              <w:top w:val="single" w:sz="4" w:space="0" w:color="auto"/>
              <w:left w:val="single" w:sz="4" w:space="0" w:color="auto"/>
              <w:bottom w:val="single" w:sz="4" w:space="0" w:color="auto"/>
              <w:right w:val="single" w:sz="4" w:space="0" w:color="auto"/>
            </w:tcBorders>
            <w:vAlign w:val="center"/>
            <w:hideMark/>
          </w:tcPr>
          <w:p w14:paraId="0B56DDF6" w14:textId="77777777" w:rsidR="00904150" w:rsidRDefault="00904150" w:rsidP="000B07AF">
            <w:pPr>
              <w:jc w:val="center"/>
              <w:rPr>
                <w:rFonts w:eastAsia="Calibri" w:cstheme="minorHAnsi"/>
                <w:szCs w:val="24"/>
              </w:rPr>
            </w:pPr>
            <w:r>
              <w:rPr>
                <w:rFonts w:eastAsia="Calibri" w:cstheme="minorHAnsi"/>
                <w:szCs w:val="24"/>
              </w:rPr>
              <w:t>Apsaimniekoti zālāji</w:t>
            </w:r>
          </w:p>
        </w:tc>
        <w:tc>
          <w:tcPr>
            <w:tcW w:w="2420" w:type="dxa"/>
            <w:vMerge/>
            <w:tcBorders>
              <w:top w:val="single" w:sz="4" w:space="0" w:color="auto"/>
              <w:left w:val="single" w:sz="4" w:space="0" w:color="auto"/>
              <w:bottom w:val="single" w:sz="4" w:space="0" w:color="auto"/>
              <w:right w:val="single" w:sz="4" w:space="0" w:color="auto"/>
            </w:tcBorders>
            <w:vAlign w:val="center"/>
            <w:hideMark/>
          </w:tcPr>
          <w:p w14:paraId="1E8DDC18" w14:textId="77777777" w:rsidR="00904150" w:rsidRDefault="00904150" w:rsidP="000B07AF">
            <w:pPr>
              <w:rPr>
                <w:rFonts w:eastAsia="Times New Roman" w:cstheme="minorHAnsi"/>
                <w:color w:val="000000"/>
                <w:kern w:val="24"/>
                <w:szCs w:val="24"/>
                <w:lang w:eastAsia="lv-LV"/>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43414143" w14:textId="77777777" w:rsidR="00904150" w:rsidRDefault="00904150" w:rsidP="000B07AF">
            <w:pPr>
              <w:rPr>
                <w:rFonts w:eastAsia="Times New Roman" w:cstheme="minorHAnsi"/>
                <w:color w:val="000000"/>
                <w:kern w:val="24"/>
                <w:szCs w:val="24"/>
                <w:lang w:eastAsia="lv-LV"/>
              </w:rPr>
            </w:pPr>
          </w:p>
        </w:tc>
      </w:tr>
      <w:tr w:rsidR="00904150" w14:paraId="225352FA" w14:textId="77777777" w:rsidTr="00904150">
        <w:trPr>
          <w:trHeight w:val="281"/>
        </w:trPr>
        <w:tc>
          <w:tcPr>
            <w:tcW w:w="2968" w:type="dxa"/>
            <w:tcBorders>
              <w:top w:val="single" w:sz="4" w:space="0" w:color="auto"/>
              <w:left w:val="single" w:sz="4" w:space="0" w:color="auto"/>
              <w:bottom w:val="single" w:sz="4" w:space="0" w:color="auto"/>
              <w:right w:val="single" w:sz="4" w:space="0" w:color="auto"/>
            </w:tcBorders>
            <w:vAlign w:val="center"/>
            <w:hideMark/>
          </w:tcPr>
          <w:p w14:paraId="511CA2E7" w14:textId="77777777" w:rsidR="00904150" w:rsidRDefault="00904150" w:rsidP="000B07AF">
            <w:pPr>
              <w:jc w:val="center"/>
              <w:rPr>
                <w:rFonts w:eastAsia="Calibri" w:cstheme="minorHAnsi"/>
                <w:szCs w:val="24"/>
              </w:rPr>
            </w:pPr>
            <w:r>
              <w:rPr>
                <w:rFonts w:eastAsia="Calibri" w:cstheme="minorHAnsi"/>
                <w:szCs w:val="24"/>
              </w:rPr>
              <w:t>Apsaimniekotas mitrzemes</w:t>
            </w:r>
          </w:p>
        </w:tc>
        <w:tc>
          <w:tcPr>
            <w:tcW w:w="2420" w:type="dxa"/>
            <w:tcBorders>
              <w:top w:val="single" w:sz="4" w:space="0" w:color="auto"/>
              <w:left w:val="single" w:sz="4" w:space="0" w:color="auto"/>
              <w:bottom w:val="single" w:sz="4" w:space="0" w:color="auto"/>
              <w:right w:val="single" w:sz="4" w:space="0" w:color="auto"/>
            </w:tcBorders>
            <w:shd w:val="clear" w:color="auto" w:fill="D9D9D9"/>
            <w:vAlign w:val="center"/>
          </w:tcPr>
          <w:p w14:paraId="52A24D1C" w14:textId="77777777" w:rsidR="00904150" w:rsidRDefault="00904150" w:rsidP="000B07AF">
            <w:pPr>
              <w:jc w:val="center"/>
              <w:rPr>
                <w:rFonts w:eastAsia="Times New Roman" w:cstheme="minorHAnsi"/>
                <w:b/>
                <w:bCs/>
                <w:color w:val="000000"/>
                <w:kern w:val="24"/>
                <w:sz w:val="20"/>
                <w:szCs w:val="20"/>
                <w:lang w:eastAsia="lv-LV"/>
              </w:rPr>
            </w:pPr>
          </w:p>
        </w:tc>
        <w:tc>
          <w:tcPr>
            <w:tcW w:w="2245" w:type="dxa"/>
            <w:vMerge/>
            <w:tcBorders>
              <w:top w:val="single" w:sz="4" w:space="0" w:color="auto"/>
              <w:left w:val="single" w:sz="4" w:space="0" w:color="auto"/>
              <w:bottom w:val="single" w:sz="4" w:space="0" w:color="auto"/>
              <w:right w:val="single" w:sz="4" w:space="0" w:color="auto"/>
            </w:tcBorders>
            <w:vAlign w:val="center"/>
            <w:hideMark/>
          </w:tcPr>
          <w:p w14:paraId="3775192B" w14:textId="77777777" w:rsidR="00904150" w:rsidRDefault="00904150" w:rsidP="000B07AF">
            <w:pPr>
              <w:rPr>
                <w:rFonts w:eastAsia="Times New Roman" w:cstheme="minorHAnsi"/>
                <w:color w:val="000000"/>
                <w:kern w:val="24"/>
                <w:szCs w:val="24"/>
                <w:lang w:eastAsia="lv-LV"/>
              </w:rPr>
            </w:pPr>
          </w:p>
        </w:tc>
      </w:tr>
    </w:tbl>
    <w:p w14:paraId="7040DE30" w14:textId="22848B4F" w:rsidR="006179BB" w:rsidRDefault="006179BB" w:rsidP="006179BB">
      <w:pPr>
        <w:rPr>
          <w:rFonts w:cstheme="minorHAnsi"/>
        </w:rPr>
      </w:pPr>
    </w:p>
    <w:p w14:paraId="51E11C35" w14:textId="4403F42C" w:rsidR="00904150" w:rsidRDefault="00904150" w:rsidP="006179BB">
      <w:pPr>
        <w:rPr>
          <w:rFonts w:cstheme="minorHAnsi"/>
        </w:rPr>
      </w:pPr>
    </w:p>
    <w:p w14:paraId="66BB0A6F" w14:textId="77777777" w:rsidR="00904150" w:rsidRPr="009B1BB0" w:rsidRDefault="00904150" w:rsidP="006179BB">
      <w:pPr>
        <w:rPr>
          <w:rFonts w:cstheme="minorHAnsi"/>
        </w:rPr>
      </w:pPr>
    </w:p>
    <w:p w14:paraId="0398BEEB" w14:textId="77777777" w:rsidR="006179BB" w:rsidRPr="009B1BB0" w:rsidRDefault="006179BB" w:rsidP="006179BB">
      <w:pPr>
        <w:spacing w:before="120" w:after="120" w:line="240" w:lineRule="auto"/>
        <w:rPr>
          <w:rFonts w:cstheme="minorHAnsi"/>
        </w:rPr>
      </w:pPr>
    </w:p>
    <w:p w14:paraId="15E0EB01" w14:textId="77777777" w:rsidR="006179BB" w:rsidRPr="009B1BB0" w:rsidRDefault="006179BB" w:rsidP="001A6F1C">
      <w:bookmarkStart w:id="328" w:name="_Toc527529440"/>
      <w:bookmarkStart w:id="329" w:name="_Hlk517705641"/>
      <w:bookmarkEnd w:id="327"/>
    </w:p>
    <w:p w14:paraId="70A45097" w14:textId="77777777" w:rsidR="006179BB" w:rsidRPr="009B1BB0" w:rsidRDefault="006179BB" w:rsidP="006179BB">
      <w:pPr>
        <w:rPr>
          <w:rFonts w:cstheme="minorHAnsi"/>
        </w:rPr>
      </w:pPr>
    </w:p>
    <w:p w14:paraId="2D560819" w14:textId="77777777" w:rsidR="006179BB" w:rsidRPr="009B1BB0" w:rsidRDefault="006179BB">
      <w:pPr>
        <w:pStyle w:val="Heading4"/>
      </w:pPr>
      <w:bookmarkStart w:id="330" w:name="_Toc23245802"/>
      <w:r w:rsidRPr="009B1BB0">
        <w:t>Citi saistošie mērķi šajā dimensijas kategorijā un citi nacionālie mērķi un mērķrādītāji</w:t>
      </w:r>
      <w:bookmarkEnd w:id="328"/>
      <w:bookmarkEnd w:id="330"/>
      <w:r w:rsidRPr="009B1BB0">
        <w:t> </w:t>
      </w:r>
    </w:p>
    <w:bookmarkEnd w:id="329"/>
    <w:p w14:paraId="58817FF2" w14:textId="77777777" w:rsidR="006179BB" w:rsidRPr="009B1BB0" w:rsidRDefault="006179BB" w:rsidP="006179BB">
      <w:pPr>
        <w:spacing w:before="120" w:after="120" w:line="240" w:lineRule="auto"/>
        <w:jc w:val="both"/>
        <w:rPr>
          <w:rFonts w:cstheme="minorHAnsi"/>
          <w:szCs w:val="24"/>
        </w:rPr>
      </w:pPr>
      <w:r w:rsidRPr="009B1BB0">
        <w:rPr>
          <w:rFonts w:cstheme="minorHAnsi"/>
          <w:szCs w:val="24"/>
        </w:rPr>
        <w:t>LNAP2020 ir noteikts SEG emisiju intensitātes (t CO</w:t>
      </w:r>
      <w:r w:rsidRPr="009B1BB0">
        <w:rPr>
          <w:rFonts w:cstheme="minorHAnsi"/>
          <w:szCs w:val="24"/>
          <w:vertAlign w:val="subscript"/>
        </w:rPr>
        <w:t>2</w:t>
      </w:r>
      <w:r w:rsidRPr="009B1BB0">
        <w:rPr>
          <w:rFonts w:cstheme="minorHAnsi"/>
          <w:szCs w:val="24"/>
        </w:rPr>
        <w:t xml:space="preserve"> ekv./ uz 1000 LVL no IKP) mērķis 2020.gadam un 2030.gadam – 1,13 un 1,07 t CO</w:t>
      </w:r>
      <w:r w:rsidRPr="009B1BB0">
        <w:rPr>
          <w:rFonts w:cstheme="minorHAnsi"/>
          <w:szCs w:val="24"/>
          <w:vertAlign w:val="subscript"/>
        </w:rPr>
        <w:t>2</w:t>
      </w:r>
      <w:r w:rsidRPr="009B1BB0">
        <w:rPr>
          <w:rFonts w:cstheme="minorHAnsi"/>
          <w:szCs w:val="24"/>
        </w:rPr>
        <w:t xml:space="preserve"> ekv./ uz 1000 LVL no IKP attiecīgi. </w:t>
      </w:r>
    </w:p>
    <w:p w14:paraId="7B165116" w14:textId="43415EAB" w:rsidR="006179BB" w:rsidRPr="009B1BB0" w:rsidRDefault="006179BB" w:rsidP="006179BB">
      <w:pPr>
        <w:spacing w:before="120" w:after="120" w:line="240" w:lineRule="auto"/>
        <w:jc w:val="both"/>
        <w:rPr>
          <w:rFonts w:cstheme="minorHAnsi"/>
          <w:szCs w:val="24"/>
        </w:rPr>
      </w:pPr>
      <w:r w:rsidRPr="009B1BB0">
        <w:rPr>
          <w:rFonts w:cstheme="minorHAnsi"/>
          <w:szCs w:val="24"/>
        </w:rPr>
        <w:t>LPKPP2030</w:t>
      </w:r>
      <w:r w:rsidR="008B0809">
        <w:rPr>
          <w:rStyle w:val="FootnoteReference"/>
          <w:rFonts w:cstheme="minorHAnsi"/>
          <w:szCs w:val="24"/>
        </w:rPr>
        <w:footnoteReference w:id="121"/>
      </w:r>
      <w:r w:rsidRPr="009B1BB0">
        <w:rPr>
          <w:rFonts w:cstheme="minorHAnsi"/>
          <w:szCs w:val="24"/>
        </w:rPr>
        <w:t xml:space="preserve"> kā galvenais virsmērķis ir noteikts – mazināt Latvijas cilvēku, tautsaimniecības, infrastruktūras, apbūves un dabas ievainojamību pret klimata pārmaiņu ietekmēm un veicināt klimata pārmaiņu radīto iespēju izmantošanu. LPKPP2030 nav iekļauti kvantificēti mērķi attiecībā uz pielāgošanās klimata pārmaiņām nodrošināšanas aspektiem.</w:t>
      </w:r>
    </w:p>
    <w:p w14:paraId="2231A198" w14:textId="51C6FDA1" w:rsidR="006179BB" w:rsidRDefault="006179BB" w:rsidP="0007326F">
      <w:pPr>
        <w:pStyle w:val="Heading30"/>
      </w:pPr>
      <w:bookmarkStart w:id="331" w:name="_Toc520978813"/>
      <w:bookmarkStart w:id="332" w:name="_Toc527529441"/>
      <w:bookmarkStart w:id="333" w:name="_Toc23245803"/>
      <w:bookmarkStart w:id="334" w:name="_Toc23246021"/>
      <w:bookmarkStart w:id="335" w:name="_Toc24408035"/>
      <w:bookmarkEnd w:id="320"/>
      <w:r w:rsidRPr="009B1BB0">
        <w:t>AER enerģija</w:t>
      </w:r>
      <w:bookmarkEnd w:id="331"/>
      <w:bookmarkEnd w:id="332"/>
      <w:bookmarkEnd w:id="333"/>
      <w:bookmarkEnd w:id="334"/>
      <w:bookmarkEnd w:id="335"/>
      <w:r w:rsidRPr="009B1BB0">
        <w:t> </w:t>
      </w:r>
    </w:p>
    <w:p w14:paraId="557061C6" w14:textId="77777777" w:rsidR="002F2E36" w:rsidRPr="009B1BB0" w:rsidRDefault="002F2E36" w:rsidP="002F2E36">
      <w:pPr>
        <w:spacing w:before="120" w:after="120" w:line="240" w:lineRule="auto"/>
        <w:jc w:val="both"/>
        <w:rPr>
          <w:rFonts w:cstheme="minorHAnsi"/>
          <w:szCs w:val="24"/>
          <w:lang w:eastAsia="lv-LV"/>
        </w:rPr>
      </w:pPr>
      <w:r w:rsidRPr="009B1BB0">
        <w:rPr>
          <w:rFonts w:cstheme="minorHAnsi"/>
          <w:szCs w:val="24"/>
          <w:lang w:eastAsia="lv-LV"/>
        </w:rPr>
        <w:t>ES ietvaros visām dalībvalstīm kopējs saistošs mērķis ES AE 2030.gadam no ES kopējā enerģijas gala patēriņa ir noteikts Direktīvā 2018/2001</w:t>
      </w:r>
      <w:r w:rsidRPr="009B1BB0">
        <w:rPr>
          <w:rStyle w:val="FootnoteReference"/>
          <w:rFonts w:cstheme="minorHAnsi"/>
          <w:szCs w:val="24"/>
          <w:lang w:eastAsia="lv-LV"/>
        </w:rPr>
        <w:footnoteReference w:id="122"/>
      </w:r>
      <w:r w:rsidRPr="009B1BB0">
        <w:rPr>
          <w:rFonts w:cstheme="minorHAnsi"/>
          <w:szCs w:val="24"/>
          <w:lang w:eastAsia="lv-LV"/>
        </w:rPr>
        <w:t xml:space="preserve"> – 32% AER īpatsvars kopējā ES enerģijas gala patēriņā (ieskaitot elektroenerģiju, siltumapgādi un transportu), kur 2020.gada nacionālie mērķi ir bāzes līnija (AER daļa enerģijas gala patēriņā dalībvalstīm no 2021.gada nevar būt mazāka par 2020.gada nacionālajiem mērķiem). Visām ES dalībvalstīm ir jānosaka savi nacionālie devumi kopējā ES mērķa izpildei.</w:t>
      </w:r>
    </w:p>
    <w:p w14:paraId="65110D92" w14:textId="3A6FAE44" w:rsidR="006179BB" w:rsidRPr="009B1BB0" w:rsidRDefault="006179BB" w:rsidP="006179BB">
      <w:pPr>
        <w:pStyle w:val="Caption"/>
        <w:rPr>
          <w:rFonts w:asciiTheme="minorHAnsi" w:hAnsiTheme="minorHAnsi" w:cstheme="minorHAnsi"/>
        </w:rPr>
      </w:pPr>
      <w:r w:rsidRPr="009B1BB0">
        <w:rPr>
          <w:rFonts w:asciiTheme="minorHAnsi" w:hAnsiTheme="minorHAnsi" w:cstheme="minorHAnsi"/>
          <w:noProof/>
        </w:rPr>
        <w:fldChar w:fldCharType="begin"/>
      </w:r>
      <w:r w:rsidRPr="009B1BB0">
        <w:rPr>
          <w:rFonts w:asciiTheme="minorHAnsi" w:hAnsiTheme="minorHAnsi" w:cstheme="minorHAnsi"/>
          <w:noProof/>
        </w:rPr>
        <w:instrText xml:space="preserve"> SEQ Tabula \* ARABIC </w:instrText>
      </w:r>
      <w:r w:rsidRPr="009B1BB0">
        <w:rPr>
          <w:rFonts w:asciiTheme="minorHAnsi" w:hAnsiTheme="minorHAnsi" w:cstheme="minorHAnsi"/>
          <w:noProof/>
        </w:rPr>
        <w:fldChar w:fldCharType="separate"/>
      </w:r>
      <w:r w:rsidR="006E6675">
        <w:rPr>
          <w:rFonts w:asciiTheme="minorHAnsi" w:hAnsiTheme="minorHAnsi" w:cstheme="minorHAnsi"/>
          <w:noProof/>
        </w:rPr>
        <w:t>16</w:t>
      </w:r>
      <w:r w:rsidRPr="009B1BB0">
        <w:rPr>
          <w:rFonts w:asciiTheme="minorHAnsi" w:hAnsiTheme="minorHAnsi" w:cstheme="minorHAnsi"/>
          <w:noProof/>
        </w:rPr>
        <w:fldChar w:fldCharType="end"/>
      </w:r>
      <w:r w:rsidRPr="009B1BB0">
        <w:rPr>
          <w:rFonts w:asciiTheme="minorHAnsi" w:hAnsiTheme="minorHAnsi" w:cstheme="minorHAnsi"/>
        </w:rPr>
        <w:t>. tabula. Latvijas AER izmantošanas politikas mērķi un to rezultatīvie radītāji</w:t>
      </w:r>
    </w:p>
    <w:tbl>
      <w:tblPr>
        <w:tblW w:w="9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035"/>
        <w:gridCol w:w="852"/>
        <w:gridCol w:w="923"/>
        <w:gridCol w:w="923"/>
        <w:gridCol w:w="956"/>
        <w:gridCol w:w="956"/>
        <w:gridCol w:w="956"/>
      </w:tblGrid>
      <w:tr w:rsidR="006179BB" w:rsidRPr="009B1BB0" w14:paraId="05984D7A" w14:textId="77777777" w:rsidTr="006179BB">
        <w:trPr>
          <w:trHeight w:val="525"/>
          <w:tblHeader/>
          <w:jc w:val="center"/>
        </w:trPr>
        <w:tc>
          <w:tcPr>
            <w:tcW w:w="4035" w:type="dxa"/>
            <w:vMerge w:val="restart"/>
            <w:shd w:val="clear" w:color="000000" w:fill="F2F2F2"/>
            <w:vAlign w:val="center"/>
            <w:hideMark/>
          </w:tcPr>
          <w:p w14:paraId="5A429392" w14:textId="77777777" w:rsidR="006179BB" w:rsidRPr="009B1BB0" w:rsidRDefault="006179BB" w:rsidP="006179BB">
            <w:pPr>
              <w:spacing w:after="0" w:line="240" w:lineRule="auto"/>
              <w:rPr>
                <w:rFonts w:eastAsia="Times New Roman" w:cstheme="minorHAnsi"/>
                <w:b/>
                <w:bCs/>
                <w:color w:val="000000"/>
                <w:sz w:val="22"/>
                <w:lang w:eastAsia="lv-LV"/>
              </w:rPr>
            </w:pPr>
            <w:r w:rsidRPr="009B1BB0">
              <w:rPr>
                <w:rFonts w:eastAsia="Times New Roman" w:cstheme="minorHAnsi"/>
                <w:b/>
                <w:bCs/>
                <w:color w:val="000000"/>
                <w:sz w:val="22"/>
                <w:lang w:eastAsia="lv-LV"/>
              </w:rPr>
              <w:t>Politikas rezultāts dekarbonizācijas dimensijas AER enerģijas apakšdimensijā</w:t>
            </w:r>
          </w:p>
        </w:tc>
        <w:tc>
          <w:tcPr>
            <w:tcW w:w="852" w:type="dxa"/>
            <w:shd w:val="clear" w:color="000000" w:fill="F2F2F2"/>
            <w:vAlign w:val="center"/>
            <w:hideMark/>
          </w:tcPr>
          <w:p w14:paraId="472439B5"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Faktiskā</w:t>
            </w:r>
          </w:p>
          <w:p w14:paraId="53C69D49"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vērtība</w:t>
            </w:r>
          </w:p>
        </w:tc>
        <w:tc>
          <w:tcPr>
            <w:tcW w:w="4714" w:type="dxa"/>
            <w:gridSpan w:val="5"/>
            <w:shd w:val="clear" w:color="000000" w:fill="F2F2F2"/>
            <w:vAlign w:val="center"/>
            <w:hideMark/>
          </w:tcPr>
          <w:p w14:paraId="058CCCC5"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Mērķa vērtība</w:t>
            </w:r>
            <w:r w:rsidRPr="009B1BB0">
              <w:rPr>
                <w:rStyle w:val="FootnoteReference"/>
                <w:rFonts w:cstheme="minorHAnsi"/>
                <w:sz w:val="22"/>
              </w:rPr>
              <w:footnoteReference w:id="123"/>
            </w:r>
          </w:p>
        </w:tc>
      </w:tr>
      <w:tr w:rsidR="006179BB" w:rsidRPr="009B1BB0" w14:paraId="43C5DEC3" w14:textId="77777777" w:rsidTr="006179BB">
        <w:trPr>
          <w:trHeight w:val="315"/>
          <w:jc w:val="center"/>
        </w:trPr>
        <w:tc>
          <w:tcPr>
            <w:tcW w:w="4035" w:type="dxa"/>
            <w:vMerge/>
            <w:vAlign w:val="center"/>
            <w:hideMark/>
          </w:tcPr>
          <w:p w14:paraId="3EE105BB" w14:textId="77777777" w:rsidR="006179BB" w:rsidRPr="009B1BB0" w:rsidRDefault="006179BB" w:rsidP="006179BB">
            <w:pPr>
              <w:spacing w:after="0" w:line="240" w:lineRule="auto"/>
              <w:rPr>
                <w:rFonts w:eastAsia="Times New Roman" w:cstheme="minorHAnsi"/>
                <w:b/>
                <w:bCs/>
                <w:color w:val="000000"/>
                <w:sz w:val="22"/>
                <w:lang w:eastAsia="lv-LV"/>
              </w:rPr>
            </w:pPr>
          </w:p>
        </w:tc>
        <w:tc>
          <w:tcPr>
            <w:tcW w:w="852" w:type="dxa"/>
            <w:shd w:val="clear" w:color="000000" w:fill="F2F2F2"/>
            <w:vAlign w:val="center"/>
            <w:hideMark/>
          </w:tcPr>
          <w:p w14:paraId="59A5AA8D"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2017</w:t>
            </w:r>
          </w:p>
        </w:tc>
        <w:tc>
          <w:tcPr>
            <w:tcW w:w="923" w:type="dxa"/>
            <w:shd w:val="clear" w:color="000000" w:fill="F2F2F2"/>
            <w:vAlign w:val="center"/>
            <w:hideMark/>
          </w:tcPr>
          <w:p w14:paraId="438CD856"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2020</w:t>
            </w:r>
          </w:p>
        </w:tc>
        <w:tc>
          <w:tcPr>
            <w:tcW w:w="923" w:type="dxa"/>
            <w:shd w:val="clear" w:color="000000" w:fill="F2F2F2"/>
            <w:vAlign w:val="center"/>
            <w:hideMark/>
          </w:tcPr>
          <w:p w14:paraId="0D54316A"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2022</w:t>
            </w:r>
          </w:p>
        </w:tc>
        <w:tc>
          <w:tcPr>
            <w:tcW w:w="956" w:type="dxa"/>
            <w:shd w:val="clear" w:color="000000" w:fill="F2F2F2"/>
            <w:vAlign w:val="center"/>
            <w:hideMark/>
          </w:tcPr>
          <w:p w14:paraId="71F85EA3"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2025</w:t>
            </w:r>
          </w:p>
        </w:tc>
        <w:tc>
          <w:tcPr>
            <w:tcW w:w="956" w:type="dxa"/>
            <w:shd w:val="clear" w:color="000000" w:fill="F2F2F2"/>
            <w:vAlign w:val="center"/>
            <w:hideMark/>
          </w:tcPr>
          <w:p w14:paraId="605376B8"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2027</w:t>
            </w:r>
          </w:p>
        </w:tc>
        <w:tc>
          <w:tcPr>
            <w:tcW w:w="956" w:type="dxa"/>
            <w:shd w:val="clear" w:color="000000" w:fill="F2F2F2"/>
            <w:vAlign w:val="center"/>
            <w:hideMark/>
          </w:tcPr>
          <w:p w14:paraId="7CFE5312" w14:textId="77777777" w:rsidR="006179BB" w:rsidRPr="009B1BB0" w:rsidRDefault="006179BB" w:rsidP="006179BB">
            <w:pPr>
              <w:spacing w:after="0" w:line="240" w:lineRule="auto"/>
              <w:jc w:val="center"/>
              <w:rPr>
                <w:rFonts w:eastAsia="Times New Roman" w:cstheme="minorHAnsi"/>
                <w:b/>
                <w:bCs/>
                <w:color w:val="000000"/>
                <w:sz w:val="22"/>
                <w:lang w:eastAsia="lv-LV"/>
              </w:rPr>
            </w:pPr>
            <w:r w:rsidRPr="009B1BB0">
              <w:rPr>
                <w:rFonts w:eastAsia="Times New Roman" w:cstheme="minorHAnsi"/>
                <w:b/>
                <w:bCs/>
                <w:color w:val="000000"/>
                <w:sz w:val="22"/>
                <w:lang w:eastAsia="lv-LV"/>
              </w:rPr>
              <w:t>2030</w:t>
            </w:r>
          </w:p>
        </w:tc>
      </w:tr>
      <w:tr w:rsidR="006179BB" w:rsidRPr="009B1BB0" w14:paraId="28AE8338" w14:textId="77777777" w:rsidTr="006179BB">
        <w:trPr>
          <w:trHeight w:val="330"/>
          <w:jc w:val="center"/>
        </w:trPr>
        <w:tc>
          <w:tcPr>
            <w:tcW w:w="4035" w:type="dxa"/>
            <w:shd w:val="clear" w:color="auto" w:fill="auto"/>
            <w:vAlign w:val="center"/>
            <w:hideMark/>
          </w:tcPr>
          <w:p w14:paraId="18FFB72F" w14:textId="77777777" w:rsidR="006179BB" w:rsidRPr="009B1BB0" w:rsidRDefault="006179BB" w:rsidP="006179BB">
            <w:pPr>
              <w:spacing w:after="0" w:line="240" w:lineRule="auto"/>
              <w:rPr>
                <w:rFonts w:eastAsia="Times New Roman" w:cstheme="minorHAnsi"/>
                <w:color w:val="000000"/>
                <w:szCs w:val="24"/>
                <w:lang w:eastAsia="lv-LV"/>
              </w:rPr>
            </w:pPr>
            <w:r w:rsidRPr="009B1BB0">
              <w:rPr>
                <w:rFonts w:eastAsia="Times New Roman" w:cstheme="minorHAnsi"/>
                <w:bCs/>
                <w:color w:val="000000" w:themeColor="text1"/>
                <w:szCs w:val="24"/>
                <w:lang w:eastAsia="lv-LV"/>
              </w:rPr>
              <w:t>AE īpatsvars enerģijas galapatēriņā (%)</w:t>
            </w:r>
            <w:r w:rsidRPr="009B1BB0">
              <w:rPr>
                <w:rStyle w:val="FootnoteReference"/>
                <w:rFonts w:eastAsia="Times New Roman" w:cstheme="minorHAnsi"/>
                <w:bCs/>
                <w:color w:val="000000" w:themeColor="text1"/>
                <w:szCs w:val="24"/>
                <w:lang w:eastAsia="lv-LV"/>
              </w:rPr>
              <w:footnoteReference w:id="124"/>
            </w:r>
          </w:p>
        </w:tc>
        <w:tc>
          <w:tcPr>
            <w:tcW w:w="852" w:type="dxa"/>
            <w:shd w:val="clear" w:color="auto" w:fill="auto"/>
            <w:vAlign w:val="center"/>
            <w:hideMark/>
          </w:tcPr>
          <w:p w14:paraId="25233F79"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themeColor="text1"/>
                <w:szCs w:val="24"/>
                <w:lang w:eastAsia="lv-LV"/>
              </w:rPr>
              <w:t>39,01</w:t>
            </w:r>
          </w:p>
        </w:tc>
        <w:tc>
          <w:tcPr>
            <w:tcW w:w="923" w:type="dxa"/>
            <w:shd w:val="clear" w:color="auto" w:fill="auto"/>
            <w:vAlign w:val="center"/>
            <w:hideMark/>
          </w:tcPr>
          <w:p w14:paraId="5446BDAD"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themeColor="text1"/>
                <w:szCs w:val="24"/>
                <w:lang w:eastAsia="lv-LV"/>
              </w:rPr>
              <w:t>40</w:t>
            </w:r>
          </w:p>
        </w:tc>
        <w:tc>
          <w:tcPr>
            <w:tcW w:w="923" w:type="dxa"/>
            <w:shd w:val="clear" w:color="auto" w:fill="auto"/>
            <w:vAlign w:val="center"/>
            <w:hideMark/>
          </w:tcPr>
          <w:p w14:paraId="38E782F2"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szCs w:val="24"/>
                <w:lang w:eastAsia="lv-LV"/>
              </w:rPr>
              <w:t>41,8</w:t>
            </w:r>
          </w:p>
        </w:tc>
        <w:tc>
          <w:tcPr>
            <w:tcW w:w="956" w:type="dxa"/>
            <w:shd w:val="clear" w:color="auto" w:fill="auto"/>
            <w:vAlign w:val="center"/>
            <w:hideMark/>
          </w:tcPr>
          <w:p w14:paraId="24974360"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themeColor="text1"/>
                <w:szCs w:val="24"/>
                <w:lang w:eastAsia="lv-LV"/>
              </w:rPr>
              <w:t>44,3</w:t>
            </w:r>
          </w:p>
        </w:tc>
        <w:tc>
          <w:tcPr>
            <w:tcW w:w="956" w:type="dxa"/>
            <w:shd w:val="clear" w:color="auto" w:fill="auto"/>
            <w:vAlign w:val="center"/>
            <w:hideMark/>
          </w:tcPr>
          <w:p w14:paraId="5A007BF6"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themeColor="text1"/>
                <w:szCs w:val="24"/>
                <w:lang w:eastAsia="lv-LV"/>
              </w:rPr>
              <w:t>46,5</w:t>
            </w:r>
          </w:p>
        </w:tc>
        <w:tc>
          <w:tcPr>
            <w:tcW w:w="956" w:type="dxa"/>
            <w:shd w:val="clear" w:color="auto" w:fill="auto"/>
            <w:vAlign w:val="center"/>
            <w:hideMark/>
          </w:tcPr>
          <w:p w14:paraId="5FA06E26"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themeColor="text1"/>
                <w:szCs w:val="24"/>
                <w:lang w:eastAsia="lv-LV"/>
              </w:rPr>
              <w:t>50</w:t>
            </w:r>
            <w:r w:rsidRPr="009B1BB0">
              <w:rPr>
                <w:rStyle w:val="FootnoteReference"/>
                <w:rFonts w:eastAsia="Times New Roman" w:cstheme="minorHAnsi"/>
                <w:b/>
                <w:bCs/>
                <w:color w:val="000000" w:themeColor="text1"/>
                <w:szCs w:val="24"/>
                <w:lang w:eastAsia="lv-LV"/>
              </w:rPr>
              <w:footnoteReference w:id="125"/>
            </w:r>
          </w:p>
        </w:tc>
      </w:tr>
      <w:tr w:rsidR="006179BB" w:rsidRPr="009B1BB0" w14:paraId="4E295EF3" w14:textId="77777777" w:rsidTr="006179BB">
        <w:trPr>
          <w:trHeight w:val="330"/>
          <w:jc w:val="center"/>
        </w:trPr>
        <w:tc>
          <w:tcPr>
            <w:tcW w:w="4035" w:type="dxa"/>
            <w:shd w:val="clear" w:color="auto" w:fill="auto"/>
            <w:vAlign w:val="center"/>
            <w:hideMark/>
          </w:tcPr>
          <w:p w14:paraId="49ECC5E6" w14:textId="6F4CF683" w:rsidR="006179BB" w:rsidRPr="009B1BB0" w:rsidRDefault="006179BB" w:rsidP="006179BB">
            <w:pPr>
              <w:spacing w:after="0" w:line="240" w:lineRule="auto"/>
              <w:ind w:left="284"/>
              <w:rPr>
                <w:rFonts w:eastAsia="Times New Roman" w:cstheme="minorHAnsi"/>
                <w:color w:val="000000"/>
                <w:szCs w:val="24"/>
                <w:lang w:eastAsia="lv-LV"/>
              </w:rPr>
            </w:pPr>
            <w:r w:rsidRPr="009B1BB0">
              <w:rPr>
                <w:rFonts w:eastAsia="Times New Roman" w:cstheme="minorHAnsi"/>
                <w:color w:val="000000"/>
                <w:szCs w:val="24"/>
                <w:lang w:eastAsia="lv-LV"/>
              </w:rPr>
              <w:t>indikatīvais AE īpatsvars elektroenerģijas ražošanā (%)</w:t>
            </w:r>
          </w:p>
        </w:tc>
        <w:tc>
          <w:tcPr>
            <w:tcW w:w="852" w:type="dxa"/>
            <w:shd w:val="clear" w:color="auto" w:fill="auto"/>
            <w:vAlign w:val="center"/>
            <w:hideMark/>
          </w:tcPr>
          <w:p w14:paraId="1B70D822"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54,36</w:t>
            </w:r>
          </w:p>
        </w:tc>
        <w:tc>
          <w:tcPr>
            <w:tcW w:w="923" w:type="dxa"/>
            <w:shd w:val="clear" w:color="auto" w:fill="auto"/>
            <w:vAlign w:val="center"/>
            <w:hideMark/>
          </w:tcPr>
          <w:p w14:paraId="53204014" w14:textId="77777777" w:rsidR="006179BB" w:rsidRPr="009B1BB0" w:rsidRDefault="006179BB" w:rsidP="006179BB">
            <w:pPr>
              <w:spacing w:after="0" w:line="240" w:lineRule="auto"/>
              <w:jc w:val="center"/>
              <w:rPr>
                <w:rFonts w:eastAsia="Times New Roman" w:cstheme="minorHAnsi"/>
                <w:i/>
                <w:iCs/>
                <w:color w:val="000000"/>
                <w:szCs w:val="24"/>
                <w:lang w:eastAsia="lv-LV"/>
              </w:rPr>
            </w:pPr>
            <w:r w:rsidRPr="009B1BB0">
              <w:rPr>
                <w:rFonts w:eastAsia="Times New Roman" w:cstheme="minorHAnsi"/>
                <w:i/>
                <w:iCs/>
                <w:color w:val="000000"/>
                <w:szCs w:val="24"/>
                <w:lang w:eastAsia="lv-LV"/>
              </w:rPr>
              <w:t>59,8</w:t>
            </w:r>
          </w:p>
        </w:tc>
        <w:tc>
          <w:tcPr>
            <w:tcW w:w="923" w:type="dxa"/>
            <w:shd w:val="clear" w:color="auto" w:fill="auto"/>
            <w:vAlign w:val="center"/>
            <w:hideMark/>
          </w:tcPr>
          <w:p w14:paraId="17473428"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956" w:type="dxa"/>
            <w:shd w:val="clear" w:color="auto" w:fill="auto"/>
            <w:vAlign w:val="center"/>
            <w:hideMark/>
          </w:tcPr>
          <w:p w14:paraId="21A8A3CC"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956" w:type="dxa"/>
            <w:shd w:val="clear" w:color="auto" w:fill="auto"/>
            <w:vAlign w:val="center"/>
            <w:hideMark/>
          </w:tcPr>
          <w:p w14:paraId="5DA0849A"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w:t>
            </w:r>
          </w:p>
        </w:tc>
        <w:tc>
          <w:tcPr>
            <w:tcW w:w="956" w:type="dxa"/>
            <w:shd w:val="clear" w:color="auto" w:fill="auto"/>
            <w:vAlign w:val="center"/>
            <w:hideMark/>
          </w:tcPr>
          <w:p w14:paraId="720BEA53" w14:textId="77777777" w:rsidR="006179BB" w:rsidRPr="009B1BB0" w:rsidRDefault="006179BB" w:rsidP="006179BB">
            <w:pPr>
              <w:spacing w:after="0" w:line="240" w:lineRule="auto"/>
              <w:jc w:val="center"/>
              <w:rPr>
                <w:rFonts w:eastAsia="Times New Roman" w:cstheme="minorHAnsi"/>
                <w:i/>
                <w:iCs/>
                <w:color w:val="000000"/>
                <w:szCs w:val="24"/>
                <w:lang w:eastAsia="lv-LV"/>
              </w:rPr>
            </w:pPr>
            <w:r w:rsidRPr="009B1BB0">
              <w:rPr>
                <w:rFonts w:eastAsia="Times New Roman" w:cstheme="minorHAnsi"/>
                <w:i/>
                <w:iCs/>
                <w:color w:val="000000" w:themeColor="text1"/>
                <w:szCs w:val="24"/>
                <w:lang w:eastAsia="lv-LV"/>
              </w:rPr>
              <w:t>&gt;60</w:t>
            </w:r>
          </w:p>
        </w:tc>
      </w:tr>
      <w:tr w:rsidR="006179BB" w:rsidRPr="009B1BB0" w14:paraId="2F3EFA05" w14:textId="77777777" w:rsidTr="006179BB">
        <w:trPr>
          <w:trHeight w:val="330"/>
          <w:jc w:val="center"/>
        </w:trPr>
        <w:tc>
          <w:tcPr>
            <w:tcW w:w="4035" w:type="dxa"/>
            <w:shd w:val="clear" w:color="auto" w:fill="auto"/>
            <w:vAlign w:val="center"/>
            <w:hideMark/>
          </w:tcPr>
          <w:p w14:paraId="242C603A" w14:textId="7699F407" w:rsidR="006179BB" w:rsidRPr="009B1BB0" w:rsidRDefault="006179BB" w:rsidP="006179BB">
            <w:pPr>
              <w:spacing w:after="0" w:line="240" w:lineRule="auto"/>
              <w:ind w:left="284"/>
              <w:rPr>
                <w:rFonts w:eastAsia="Times New Roman" w:cstheme="minorHAnsi"/>
                <w:color w:val="000000"/>
                <w:szCs w:val="24"/>
                <w:lang w:eastAsia="lv-LV"/>
              </w:rPr>
            </w:pPr>
            <w:r w:rsidRPr="009B1BB0">
              <w:rPr>
                <w:rFonts w:eastAsia="Times New Roman" w:cstheme="minorHAnsi"/>
                <w:color w:val="000000"/>
                <w:szCs w:val="24"/>
                <w:lang w:eastAsia="lv-LV"/>
              </w:rPr>
              <w:t>indikatīvais AE īpatsvars siltumenerģijas un aukstumenerģijas ražošanā (%)</w:t>
            </w:r>
            <w:r w:rsidRPr="009B1BB0">
              <w:rPr>
                <w:rStyle w:val="FootnoteReference"/>
                <w:rFonts w:eastAsia="Times New Roman" w:cstheme="minorHAnsi"/>
                <w:color w:val="000000"/>
                <w:szCs w:val="24"/>
                <w:lang w:eastAsia="lv-LV"/>
              </w:rPr>
              <w:footnoteReference w:id="126"/>
            </w:r>
          </w:p>
        </w:tc>
        <w:tc>
          <w:tcPr>
            <w:tcW w:w="852" w:type="dxa"/>
            <w:shd w:val="clear" w:color="auto" w:fill="auto"/>
            <w:vAlign w:val="center"/>
            <w:hideMark/>
          </w:tcPr>
          <w:p w14:paraId="557463A4"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54,58</w:t>
            </w:r>
          </w:p>
        </w:tc>
        <w:tc>
          <w:tcPr>
            <w:tcW w:w="923" w:type="dxa"/>
            <w:shd w:val="clear" w:color="auto" w:fill="auto"/>
            <w:vAlign w:val="center"/>
            <w:hideMark/>
          </w:tcPr>
          <w:p w14:paraId="6D1F6ADC" w14:textId="77777777" w:rsidR="006179BB" w:rsidRPr="009B1BB0" w:rsidRDefault="006179BB" w:rsidP="006179BB">
            <w:pPr>
              <w:spacing w:after="0" w:line="240" w:lineRule="auto"/>
              <w:jc w:val="center"/>
              <w:rPr>
                <w:rFonts w:eastAsia="Times New Roman" w:cstheme="minorHAnsi"/>
                <w:i/>
                <w:iCs/>
                <w:color w:val="000000"/>
                <w:szCs w:val="24"/>
                <w:lang w:eastAsia="lv-LV"/>
              </w:rPr>
            </w:pPr>
            <w:r w:rsidRPr="009B1BB0">
              <w:rPr>
                <w:rFonts w:eastAsia="Times New Roman" w:cstheme="minorHAnsi"/>
                <w:i/>
                <w:iCs/>
                <w:color w:val="000000"/>
                <w:szCs w:val="24"/>
                <w:lang w:eastAsia="lv-LV"/>
              </w:rPr>
              <w:t>53,4</w:t>
            </w:r>
          </w:p>
        </w:tc>
        <w:tc>
          <w:tcPr>
            <w:tcW w:w="923" w:type="dxa"/>
            <w:shd w:val="clear" w:color="auto" w:fill="auto"/>
            <w:vAlign w:val="center"/>
            <w:hideMark/>
          </w:tcPr>
          <w:p w14:paraId="6953636B" w14:textId="77777777" w:rsidR="006179BB" w:rsidRPr="009B1BB0" w:rsidRDefault="006179BB" w:rsidP="006179BB">
            <w:pPr>
              <w:spacing w:after="0" w:line="240" w:lineRule="auto"/>
              <w:jc w:val="center"/>
              <w:rPr>
                <w:rFonts w:eastAsia="Times New Roman" w:cstheme="minorHAnsi"/>
                <w:i/>
                <w:iCs/>
                <w:color w:val="000000"/>
                <w:szCs w:val="24"/>
                <w:lang w:eastAsia="lv-LV"/>
              </w:rPr>
            </w:pPr>
            <w:r w:rsidRPr="009B1BB0">
              <w:rPr>
                <w:rFonts w:eastAsia="Times New Roman" w:cstheme="minorHAnsi"/>
                <w:i/>
                <w:iCs/>
                <w:color w:val="000000"/>
                <w:szCs w:val="24"/>
                <w:lang w:eastAsia="lv-LV"/>
              </w:rPr>
              <w:t>55,2</w:t>
            </w:r>
          </w:p>
        </w:tc>
        <w:tc>
          <w:tcPr>
            <w:tcW w:w="956" w:type="dxa"/>
            <w:shd w:val="clear" w:color="auto" w:fill="auto"/>
            <w:vAlign w:val="center"/>
            <w:hideMark/>
          </w:tcPr>
          <w:p w14:paraId="3F19F67C" w14:textId="77777777" w:rsidR="006179BB" w:rsidRPr="009B1BB0" w:rsidRDefault="006179BB" w:rsidP="006179BB">
            <w:pPr>
              <w:spacing w:after="0" w:line="240" w:lineRule="auto"/>
              <w:jc w:val="center"/>
              <w:rPr>
                <w:rFonts w:eastAsia="Times New Roman" w:cstheme="minorHAnsi"/>
                <w:i/>
                <w:iCs/>
                <w:color w:val="000000"/>
                <w:szCs w:val="24"/>
                <w:lang w:eastAsia="lv-LV"/>
              </w:rPr>
            </w:pPr>
            <w:r w:rsidRPr="009B1BB0">
              <w:rPr>
                <w:rFonts w:eastAsia="Times New Roman" w:cstheme="minorHAnsi"/>
                <w:i/>
                <w:iCs/>
                <w:color w:val="000000"/>
                <w:szCs w:val="24"/>
                <w:lang w:eastAsia="lv-LV"/>
              </w:rPr>
              <w:t>56,08</w:t>
            </w:r>
          </w:p>
        </w:tc>
        <w:tc>
          <w:tcPr>
            <w:tcW w:w="956" w:type="dxa"/>
            <w:shd w:val="clear" w:color="auto" w:fill="auto"/>
            <w:vAlign w:val="center"/>
            <w:hideMark/>
          </w:tcPr>
          <w:p w14:paraId="6211BB20" w14:textId="77777777" w:rsidR="006179BB" w:rsidRPr="009B1BB0" w:rsidRDefault="006179BB" w:rsidP="006179BB">
            <w:pPr>
              <w:spacing w:after="0" w:line="240" w:lineRule="auto"/>
              <w:jc w:val="center"/>
              <w:rPr>
                <w:rFonts w:eastAsia="Times New Roman" w:cstheme="minorHAnsi"/>
                <w:i/>
                <w:iCs/>
                <w:color w:val="000000"/>
                <w:szCs w:val="24"/>
                <w:lang w:eastAsia="lv-LV"/>
              </w:rPr>
            </w:pPr>
            <w:r w:rsidRPr="009B1BB0">
              <w:rPr>
                <w:rFonts w:eastAsia="Times New Roman" w:cstheme="minorHAnsi"/>
                <w:i/>
                <w:iCs/>
                <w:color w:val="000000"/>
                <w:szCs w:val="24"/>
                <w:lang w:eastAsia="lv-LV"/>
              </w:rPr>
              <w:t>56,69</w:t>
            </w:r>
          </w:p>
        </w:tc>
        <w:tc>
          <w:tcPr>
            <w:tcW w:w="956" w:type="dxa"/>
            <w:shd w:val="clear" w:color="auto" w:fill="auto"/>
            <w:vAlign w:val="center"/>
            <w:hideMark/>
          </w:tcPr>
          <w:p w14:paraId="5D44B0C9" w14:textId="646F5DCF" w:rsidR="006179BB" w:rsidRPr="009B1BB0" w:rsidRDefault="006179BB" w:rsidP="006179BB">
            <w:pPr>
              <w:spacing w:after="0" w:line="240" w:lineRule="auto"/>
              <w:jc w:val="center"/>
              <w:rPr>
                <w:rFonts w:eastAsia="Times New Roman" w:cstheme="minorHAnsi"/>
                <w:i/>
                <w:iCs/>
                <w:color w:val="000000"/>
                <w:szCs w:val="24"/>
                <w:lang w:eastAsia="lv-LV"/>
              </w:rPr>
            </w:pPr>
            <w:r w:rsidRPr="009B1BB0">
              <w:rPr>
                <w:rFonts w:eastAsia="Times New Roman" w:cstheme="minorHAnsi"/>
                <w:i/>
                <w:iCs/>
                <w:color w:val="000000" w:themeColor="text1"/>
                <w:szCs w:val="24"/>
                <w:lang w:eastAsia="lv-LV"/>
              </w:rPr>
              <w:t>57,59</w:t>
            </w:r>
          </w:p>
        </w:tc>
      </w:tr>
      <w:tr w:rsidR="006179BB" w:rsidRPr="009B1BB0" w14:paraId="1CAA667D" w14:textId="77777777" w:rsidTr="006179BB">
        <w:trPr>
          <w:trHeight w:val="330"/>
          <w:jc w:val="center"/>
        </w:trPr>
        <w:tc>
          <w:tcPr>
            <w:tcW w:w="4035" w:type="dxa"/>
            <w:shd w:val="clear" w:color="auto" w:fill="auto"/>
            <w:vAlign w:val="center"/>
            <w:hideMark/>
          </w:tcPr>
          <w:p w14:paraId="1E0A53FB" w14:textId="77777777" w:rsidR="006179BB" w:rsidRPr="009B1BB0" w:rsidRDefault="006179BB" w:rsidP="006179BB">
            <w:pPr>
              <w:spacing w:after="0" w:line="240" w:lineRule="auto"/>
              <w:rPr>
                <w:rFonts w:eastAsia="Times New Roman" w:cstheme="minorHAnsi"/>
                <w:color w:val="000000"/>
                <w:szCs w:val="24"/>
                <w:lang w:eastAsia="lv-LV"/>
              </w:rPr>
            </w:pPr>
            <w:r w:rsidRPr="009B1BB0">
              <w:rPr>
                <w:rFonts w:eastAsia="Times New Roman" w:cstheme="minorHAnsi"/>
                <w:color w:val="000000"/>
                <w:szCs w:val="24"/>
                <w:lang w:eastAsia="lv-LV"/>
              </w:rPr>
              <w:t>AE īpatsvars enerģijas galapatēriņā transportā (%)</w:t>
            </w:r>
          </w:p>
        </w:tc>
        <w:tc>
          <w:tcPr>
            <w:tcW w:w="852" w:type="dxa"/>
            <w:shd w:val="clear" w:color="auto" w:fill="auto"/>
            <w:vAlign w:val="center"/>
            <w:hideMark/>
          </w:tcPr>
          <w:p w14:paraId="0D448693"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2,5</w:t>
            </w:r>
          </w:p>
        </w:tc>
        <w:tc>
          <w:tcPr>
            <w:tcW w:w="923" w:type="dxa"/>
            <w:shd w:val="clear" w:color="auto" w:fill="auto"/>
            <w:vAlign w:val="center"/>
            <w:hideMark/>
          </w:tcPr>
          <w:p w14:paraId="18EB6655" w14:textId="2E3E3223"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10</w:t>
            </w:r>
          </w:p>
        </w:tc>
        <w:tc>
          <w:tcPr>
            <w:tcW w:w="923" w:type="dxa"/>
            <w:shd w:val="clear" w:color="auto" w:fill="auto"/>
            <w:vAlign w:val="center"/>
            <w:hideMark/>
          </w:tcPr>
          <w:p w14:paraId="19C195CF"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w:t>
            </w:r>
          </w:p>
        </w:tc>
        <w:tc>
          <w:tcPr>
            <w:tcW w:w="956" w:type="dxa"/>
            <w:shd w:val="clear" w:color="auto" w:fill="auto"/>
            <w:vAlign w:val="center"/>
            <w:hideMark/>
          </w:tcPr>
          <w:p w14:paraId="329CF241"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w:t>
            </w:r>
          </w:p>
        </w:tc>
        <w:tc>
          <w:tcPr>
            <w:tcW w:w="956" w:type="dxa"/>
            <w:shd w:val="clear" w:color="auto" w:fill="auto"/>
            <w:vAlign w:val="center"/>
            <w:hideMark/>
          </w:tcPr>
          <w:p w14:paraId="4A06691A"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w:t>
            </w:r>
          </w:p>
        </w:tc>
        <w:tc>
          <w:tcPr>
            <w:tcW w:w="956" w:type="dxa"/>
            <w:shd w:val="clear" w:color="auto" w:fill="auto"/>
            <w:vAlign w:val="center"/>
            <w:hideMark/>
          </w:tcPr>
          <w:p w14:paraId="72FADAD7" w14:textId="77777777" w:rsidR="006179BB" w:rsidRPr="009B1BB0" w:rsidRDefault="006179BB" w:rsidP="006179BB">
            <w:pPr>
              <w:spacing w:after="0" w:line="240" w:lineRule="auto"/>
              <w:jc w:val="center"/>
              <w:rPr>
                <w:rFonts w:eastAsia="Times New Roman" w:cstheme="minorHAnsi"/>
                <w:b/>
                <w:bCs/>
                <w:color w:val="000000"/>
                <w:szCs w:val="24"/>
                <w:lang w:eastAsia="lv-LV"/>
              </w:rPr>
            </w:pPr>
            <w:r w:rsidRPr="009B1BB0">
              <w:rPr>
                <w:rFonts w:eastAsia="Times New Roman" w:cstheme="minorHAnsi"/>
                <w:b/>
                <w:bCs/>
                <w:color w:val="000000" w:themeColor="text1"/>
                <w:szCs w:val="24"/>
                <w:lang w:eastAsia="lv-LV"/>
              </w:rPr>
              <w:t>7</w:t>
            </w:r>
          </w:p>
        </w:tc>
      </w:tr>
      <w:tr w:rsidR="006179BB" w:rsidRPr="009B1BB0" w14:paraId="6AE54028" w14:textId="77777777" w:rsidTr="006179BB">
        <w:trPr>
          <w:trHeight w:val="390"/>
          <w:jc w:val="center"/>
        </w:trPr>
        <w:tc>
          <w:tcPr>
            <w:tcW w:w="4035" w:type="dxa"/>
            <w:shd w:val="clear" w:color="auto" w:fill="auto"/>
            <w:vAlign w:val="center"/>
            <w:hideMark/>
          </w:tcPr>
          <w:p w14:paraId="502A90F7" w14:textId="77777777" w:rsidR="006179BB" w:rsidRPr="009B1BB0" w:rsidRDefault="006179BB" w:rsidP="006179BB">
            <w:pPr>
              <w:spacing w:after="0" w:line="240" w:lineRule="auto"/>
              <w:ind w:left="284"/>
              <w:rPr>
                <w:rFonts w:eastAsia="Times New Roman" w:cstheme="minorHAnsi"/>
                <w:color w:val="000000"/>
                <w:szCs w:val="24"/>
                <w:lang w:eastAsia="lv-LV"/>
              </w:rPr>
            </w:pPr>
            <w:r w:rsidRPr="009B1BB0">
              <w:rPr>
                <w:rFonts w:eastAsia="Times New Roman" w:cstheme="minorHAnsi"/>
                <w:color w:val="000000"/>
                <w:szCs w:val="24"/>
                <w:lang w:eastAsia="lv-LV"/>
              </w:rPr>
              <w:t>moderno biodegvielu un biogāzes īpatsvars enerģijas galapatēriņā transportā</w:t>
            </w:r>
            <w:r w:rsidRPr="00DF43A8">
              <w:rPr>
                <w:rFonts w:eastAsia="Times New Roman" w:cstheme="minorHAnsi"/>
                <w:color w:val="000000"/>
                <w:vertAlign w:val="superscript"/>
                <w:lang w:eastAsia="lv-LV"/>
              </w:rPr>
              <w:footnoteReference w:id="127"/>
            </w:r>
            <w:r w:rsidRPr="009B1BB0">
              <w:rPr>
                <w:rFonts w:eastAsia="Times New Roman" w:cstheme="minorHAnsi"/>
                <w:color w:val="000000"/>
                <w:szCs w:val="24"/>
                <w:lang w:eastAsia="lv-LV"/>
              </w:rPr>
              <w:t xml:space="preserve"> (%)</w:t>
            </w:r>
          </w:p>
        </w:tc>
        <w:tc>
          <w:tcPr>
            <w:tcW w:w="852" w:type="dxa"/>
            <w:shd w:val="clear" w:color="auto" w:fill="auto"/>
            <w:vAlign w:val="center"/>
            <w:hideMark/>
          </w:tcPr>
          <w:p w14:paraId="0C083F7B"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 0</w:t>
            </w:r>
          </w:p>
        </w:tc>
        <w:tc>
          <w:tcPr>
            <w:tcW w:w="923" w:type="dxa"/>
            <w:shd w:val="clear" w:color="auto" w:fill="auto"/>
            <w:vAlign w:val="center"/>
            <w:hideMark/>
          </w:tcPr>
          <w:p w14:paraId="33780CCE" w14:textId="77777777" w:rsidR="006179BB" w:rsidRPr="009B1BB0" w:rsidRDefault="006179BB" w:rsidP="006179BB">
            <w:pPr>
              <w:spacing w:after="0" w:line="240" w:lineRule="auto"/>
              <w:jc w:val="center"/>
              <w:rPr>
                <w:rFonts w:eastAsia="Times New Roman" w:cstheme="minorHAnsi"/>
                <w:color w:val="000000"/>
                <w:szCs w:val="24"/>
                <w:lang w:eastAsia="lv-LV"/>
              </w:rPr>
            </w:pPr>
            <w:r w:rsidRPr="009B1BB0">
              <w:rPr>
                <w:rFonts w:eastAsia="Times New Roman" w:cstheme="minorHAnsi"/>
                <w:color w:val="000000"/>
                <w:szCs w:val="24"/>
                <w:lang w:eastAsia="lv-LV"/>
              </w:rPr>
              <w:t>-</w:t>
            </w:r>
          </w:p>
        </w:tc>
        <w:tc>
          <w:tcPr>
            <w:tcW w:w="923" w:type="dxa"/>
            <w:shd w:val="clear" w:color="auto" w:fill="auto"/>
            <w:vAlign w:val="center"/>
            <w:hideMark/>
          </w:tcPr>
          <w:p w14:paraId="1F8FFA61" w14:textId="77777777" w:rsidR="006179BB" w:rsidRPr="00DF43A8" w:rsidRDefault="006179BB" w:rsidP="006179BB">
            <w:pPr>
              <w:spacing w:after="0" w:line="240" w:lineRule="auto"/>
              <w:jc w:val="center"/>
              <w:rPr>
                <w:rFonts w:eastAsia="Times New Roman" w:cstheme="minorHAnsi"/>
                <w:color w:val="000000"/>
                <w:szCs w:val="24"/>
                <w:lang w:eastAsia="lv-LV"/>
              </w:rPr>
            </w:pPr>
            <w:r w:rsidRPr="00DF43A8">
              <w:rPr>
                <w:rFonts w:eastAsia="Times New Roman" w:cstheme="minorHAnsi"/>
                <w:color w:val="000000"/>
                <w:szCs w:val="24"/>
                <w:lang w:eastAsia="lv-LV"/>
              </w:rPr>
              <w:t>0,2</w:t>
            </w:r>
          </w:p>
        </w:tc>
        <w:tc>
          <w:tcPr>
            <w:tcW w:w="956" w:type="dxa"/>
            <w:shd w:val="clear" w:color="auto" w:fill="auto"/>
            <w:vAlign w:val="center"/>
            <w:hideMark/>
          </w:tcPr>
          <w:p w14:paraId="71850FE9" w14:textId="77777777" w:rsidR="006179BB" w:rsidRPr="00DF43A8" w:rsidRDefault="006179BB" w:rsidP="006179BB">
            <w:pPr>
              <w:spacing w:after="0" w:line="240" w:lineRule="auto"/>
              <w:jc w:val="center"/>
              <w:rPr>
                <w:rFonts w:eastAsia="Times New Roman" w:cstheme="minorHAnsi"/>
                <w:color w:val="000000"/>
                <w:szCs w:val="24"/>
                <w:lang w:eastAsia="lv-LV"/>
              </w:rPr>
            </w:pPr>
            <w:r w:rsidRPr="00DF43A8">
              <w:rPr>
                <w:rFonts w:eastAsia="Times New Roman" w:cstheme="minorHAnsi"/>
                <w:color w:val="000000"/>
                <w:szCs w:val="24"/>
                <w:lang w:eastAsia="lv-LV"/>
              </w:rPr>
              <w:t>1,0</w:t>
            </w:r>
          </w:p>
        </w:tc>
        <w:tc>
          <w:tcPr>
            <w:tcW w:w="956" w:type="dxa"/>
            <w:shd w:val="clear" w:color="auto" w:fill="auto"/>
            <w:vAlign w:val="center"/>
            <w:hideMark/>
          </w:tcPr>
          <w:p w14:paraId="18C05216" w14:textId="77777777" w:rsidR="006179BB" w:rsidRPr="00DF43A8" w:rsidRDefault="006179BB" w:rsidP="006179BB">
            <w:pPr>
              <w:spacing w:after="0" w:line="240" w:lineRule="auto"/>
              <w:jc w:val="center"/>
              <w:rPr>
                <w:rFonts w:eastAsia="Times New Roman" w:cstheme="minorHAnsi"/>
                <w:color w:val="000000"/>
                <w:szCs w:val="24"/>
                <w:lang w:eastAsia="lv-LV"/>
              </w:rPr>
            </w:pPr>
            <w:r w:rsidRPr="00DF43A8">
              <w:rPr>
                <w:rFonts w:eastAsia="Times New Roman" w:cstheme="minorHAnsi"/>
                <w:color w:val="000000"/>
                <w:szCs w:val="24"/>
                <w:lang w:eastAsia="lv-LV"/>
              </w:rPr>
              <w:t>-</w:t>
            </w:r>
          </w:p>
        </w:tc>
        <w:tc>
          <w:tcPr>
            <w:tcW w:w="956" w:type="dxa"/>
            <w:shd w:val="clear" w:color="auto" w:fill="auto"/>
            <w:vAlign w:val="center"/>
            <w:hideMark/>
          </w:tcPr>
          <w:p w14:paraId="2519D3F6" w14:textId="77777777" w:rsidR="006179BB" w:rsidRPr="00DF43A8" w:rsidRDefault="006179BB" w:rsidP="006179BB">
            <w:pPr>
              <w:spacing w:after="0" w:line="240" w:lineRule="auto"/>
              <w:jc w:val="center"/>
              <w:rPr>
                <w:rFonts w:eastAsia="Times New Roman" w:cstheme="minorHAnsi"/>
                <w:color w:val="000000"/>
                <w:szCs w:val="24"/>
                <w:lang w:eastAsia="lv-LV"/>
              </w:rPr>
            </w:pPr>
            <w:r w:rsidRPr="00DF43A8">
              <w:rPr>
                <w:rFonts w:eastAsia="Times New Roman" w:cstheme="minorHAnsi"/>
                <w:color w:val="000000"/>
                <w:szCs w:val="24"/>
                <w:lang w:eastAsia="lv-LV"/>
              </w:rPr>
              <w:t>3,5</w:t>
            </w:r>
          </w:p>
        </w:tc>
      </w:tr>
    </w:tbl>
    <w:p w14:paraId="4B4D04AE" w14:textId="1ADCE894" w:rsidR="006179BB" w:rsidRPr="009B1BB0" w:rsidRDefault="006179BB" w:rsidP="006179BB">
      <w:pPr>
        <w:spacing w:before="120" w:after="120" w:line="240" w:lineRule="auto"/>
        <w:jc w:val="both"/>
        <w:rPr>
          <w:rFonts w:cstheme="minorHAnsi"/>
          <w:szCs w:val="24"/>
          <w:lang w:eastAsia="lv-LV"/>
        </w:rPr>
      </w:pPr>
      <w:r w:rsidRPr="009B1BB0">
        <w:rPr>
          <w:rFonts w:cstheme="minorHAnsi"/>
          <w:bCs/>
          <w:szCs w:val="26"/>
        </w:rPr>
        <w:t xml:space="preserve">Ņemot vērā Regulas 2018/1999 5.panta 1.punkta e) apakšpunktu, Latvija </w:t>
      </w:r>
      <w:r w:rsidRPr="009B1BB0">
        <w:rPr>
          <w:rFonts w:cstheme="minorHAnsi"/>
          <w:szCs w:val="24"/>
          <w:lang w:eastAsia="lv-LV"/>
        </w:rPr>
        <w:t>sava devuma izstrādāšanā ņēma vērā šādus būtiskus apstākļus:</w:t>
      </w:r>
    </w:p>
    <w:p w14:paraId="64B9750E" w14:textId="77777777" w:rsidR="006179BB" w:rsidRPr="009B1BB0"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bookmarkStart w:id="336" w:name="_Hlk531883687"/>
      <w:r w:rsidRPr="009B1BB0">
        <w:rPr>
          <w:rFonts w:cstheme="minorHAnsi"/>
          <w:szCs w:val="24"/>
          <w:lang w:eastAsia="lv-LV"/>
        </w:rPr>
        <w:t>Latvijai ir nepieciešams nodrošināt pastāvīgu jaudu enerģētiskās drošības un sistēmu balansēšanas nodrošināšanai, kur Latvijas ģeogrāfiskā novietojuma dēļ Latvijai var būt nepieciešams būtisks papildu jaudu apjoms gada aukstākajos mēnešos.</w:t>
      </w:r>
    </w:p>
    <w:p w14:paraId="39CC7EDD" w14:textId="77777777" w:rsidR="006179BB" w:rsidRPr="009B1BB0"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9B1BB0">
        <w:rPr>
          <w:rFonts w:cstheme="minorHAnsi"/>
          <w:szCs w:val="24"/>
          <w:lang w:eastAsia="lv-LV"/>
        </w:rPr>
        <w:t>Latvijai ir nepieciešams nodrošināt Latvijas starpsavienojumu jaudu, un ņemt vērā kaimiņvalstu, ar kurām ir izveidoti minētie starpsavienojumi, pieprasījumu pēc elektroenerģijas palielinājuma. 2018. gada oktobrī apstiprinātais Lietuvas Enerģētikas ministrijas izstrādātais likums, ar kuru līdz ar Astravjecas atomelektrostacijas darbības uzsākšanu, kas plānota 2020. gada sākumā, tiks ierobežota Baltijas valstu elektroenerģijas tirdzniecība ar trešajām valstīm, nozīmēs jaudu samazinājumu visās Baltijas valstīs un ļoti iespējams palielinās nepieciešamību pēc lielāka elektroenerģijas ražošanas apjoma.</w:t>
      </w:r>
    </w:p>
    <w:p w14:paraId="752BC9E3" w14:textId="77777777" w:rsidR="006179BB" w:rsidRPr="009B1BB0"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9B1BB0">
        <w:rPr>
          <w:rFonts w:cstheme="minorHAnsi"/>
          <w:szCs w:val="24"/>
          <w:lang w:eastAsia="lv-LV"/>
        </w:rPr>
        <w:t>Latvijai ir jāņem vērā arvien pieaugošais vietējais pieprasījums pēc elektroenerģijas, ko arī veicinās Plānā iekļautie elektrifikācijas pasākumi, vienlaicīgi, uzlabojot enerģētisko drošību, Latvijai ir jāspēj uzlabot pašnodrošinājums ar pašu saražoto elektroenerģiju.</w:t>
      </w:r>
    </w:p>
    <w:p w14:paraId="2BECEEFF" w14:textId="77777777" w:rsidR="006179BB" w:rsidRPr="009B1BB0"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9B1BB0">
        <w:rPr>
          <w:rFonts w:cstheme="minorHAnsi"/>
          <w:szCs w:val="24"/>
          <w:lang w:eastAsia="lv-LV"/>
        </w:rPr>
        <w:t xml:space="preserve">Latvijā jau 2016.-2017.gadā ir liels AER īpatsvars (trešais lielākais ES) un tā turpmāka būtiska palielināšana ir apgrūtinoša. Latvijā AER īpatsvars elektroenerģijā un siltumapgādē un aukstumapgādē pārsniedz 50%. </w:t>
      </w:r>
    </w:p>
    <w:p w14:paraId="3B9964E9" w14:textId="10E5B3C9" w:rsidR="006179BB" w:rsidRPr="009B1BB0" w:rsidRDefault="006179BB">
      <w:pPr>
        <w:pStyle w:val="Heading4"/>
      </w:pPr>
      <w:bookmarkStart w:id="337" w:name="_Toc527529444"/>
      <w:bookmarkStart w:id="338" w:name="_Toc23245806"/>
      <w:bookmarkEnd w:id="336"/>
      <w:r w:rsidRPr="009B1BB0">
        <w:t>AE sektorālā īpatsvara līknes 2021.-2030.gadam</w:t>
      </w:r>
      <w:bookmarkEnd w:id="337"/>
      <w:bookmarkEnd w:id="338"/>
      <w:r w:rsidRPr="009B1BB0">
        <w:t> </w:t>
      </w:r>
    </w:p>
    <w:p w14:paraId="75A18339" w14:textId="77777777" w:rsidR="008F5746" w:rsidRDefault="008F5746" w:rsidP="008F5746">
      <w:pPr>
        <w:spacing w:before="120" w:after="120" w:line="240" w:lineRule="auto"/>
        <w:jc w:val="both"/>
        <w:rPr>
          <w:rFonts w:cstheme="minorHAnsi"/>
          <w:bCs/>
          <w:szCs w:val="26"/>
        </w:rPr>
      </w:pPr>
      <w:r>
        <w:rPr>
          <w:rFonts w:cstheme="minorHAnsi"/>
          <w:bCs/>
          <w:szCs w:val="26"/>
        </w:rPr>
        <w:t>Latvija nosaka, ka minimālais pieļaujamais ikgadējais AE īpatsvars enerģijas galapatēriņā 2021.-2030.gada periodam nav mazāks nekā 40%.</w:t>
      </w:r>
    </w:p>
    <w:p w14:paraId="06C101EF" w14:textId="77777777" w:rsidR="006179BB" w:rsidRPr="009B1BB0" w:rsidRDefault="006179BB" w:rsidP="006179BB">
      <w:pPr>
        <w:spacing w:before="120" w:after="120" w:line="240" w:lineRule="auto"/>
        <w:jc w:val="both"/>
        <w:rPr>
          <w:rFonts w:cstheme="minorHAnsi"/>
          <w:bCs/>
          <w:szCs w:val="26"/>
        </w:rPr>
      </w:pPr>
      <w:r w:rsidRPr="009B1BB0">
        <w:rPr>
          <w:rFonts w:cstheme="minorHAnsi"/>
          <w:bCs/>
          <w:szCs w:val="26"/>
        </w:rPr>
        <w:t>Elektroenerģijas sektorā atsevišķs mērķis ES tiesību aktos nav izvirzīts. Latvija plāno periodam līdz 2030.gadam palielināt AER īpatsvaru elektroenerģijā, lai tas sasniegtu vismaz 60%.</w:t>
      </w:r>
    </w:p>
    <w:p w14:paraId="3573E5A6" w14:textId="77777777" w:rsidR="006179BB" w:rsidRPr="009B1BB0" w:rsidRDefault="006179BB" w:rsidP="006179BB">
      <w:pPr>
        <w:spacing w:before="120" w:after="120" w:line="240" w:lineRule="auto"/>
        <w:jc w:val="both"/>
        <w:rPr>
          <w:rFonts w:cstheme="minorHAnsi"/>
          <w:bCs/>
          <w:szCs w:val="26"/>
        </w:rPr>
      </w:pPr>
      <w:r w:rsidRPr="009B1BB0">
        <w:rPr>
          <w:rFonts w:cstheme="minorHAnsi"/>
          <w:bCs/>
          <w:szCs w:val="26"/>
        </w:rPr>
        <w:t xml:space="preserve">Siltumapgādes un aukstumapgādes sektorā Latvija plāno periodam līdz 2030.gadam nodrošināt Direktīvas 2018/2001 23.panta 2.punkta c) apakšpunktā noteikto ikgadējo vidējo palielinājumu – katru gadu vismaz par 0,55% palielināt AER īpatsvaru siltumapgādē un aukstumapgādē. </w:t>
      </w:r>
    </w:p>
    <w:p w14:paraId="3A3DD125" w14:textId="77777777" w:rsidR="006179BB" w:rsidRPr="009B1BB0" w:rsidRDefault="006179BB" w:rsidP="006179BB">
      <w:pPr>
        <w:spacing w:before="120" w:after="120" w:line="240" w:lineRule="auto"/>
        <w:jc w:val="both"/>
        <w:rPr>
          <w:rFonts w:cstheme="minorHAnsi"/>
          <w:szCs w:val="26"/>
        </w:rPr>
      </w:pPr>
      <w:r w:rsidRPr="009B1BB0">
        <w:rPr>
          <w:rFonts w:cstheme="minorHAnsi"/>
          <w:szCs w:val="26"/>
        </w:rPr>
        <w:t xml:space="preserve">Transporta sektorā Latvija plāno AER īpatsvara pieaugumu vismaz </w:t>
      </w:r>
      <w:r>
        <w:rPr>
          <w:rFonts w:cstheme="minorHAnsi"/>
          <w:szCs w:val="26"/>
        </w:rPr>
        <w:t xml:space="preserve">līdz </w:t>
      </w:r>
      <w:r w:rsidRPr="009B1BB0">
        <w:rPr>
          <w:rFonts w:cstheme="minorHAnsi"/>
          <w:szCs w:val="26"/>
        </w:rPr>
        <w:t>7% 2030.gadā,</w:t>
      </w:r>
      <w:r>
        <w:rPr>
          <w:rFonts w:cstheme="minorHAnsi"/>
          <w:szCs w:val="26"/>
        </w:rPr>
        <w:t xml:space="preserve"> to nodrošinot gan ar moderno biodegvielu un biogāzes</w:t>
      </w:r>
      <w:r w:rsidRPr="009B1BB0">
        <w:rPr>
          <w:rStyle w:val="FootnoteReference"/>
          <w:rFonts w:cstheme="minorHAnsi"/>
          <w:szCs w:val="26"/>
        </w:rPr>
        <w:footnoteReference w:id="128"/>
      </w:r>
      <w:r>
        <w:rPr>
          <w:rFonts w:cstheme="minorHAnsi"/>
          <w:szCs w:val="26"/>
        </w:rPr>
        <w:t xml:space="preserve"> izmantojumu, gan veicinot elektroenerģijas izmantošanu transportā. Vienlaikus Latvija plāno </w:t>
      </w:r>
      <w:r w:rsidRPr="009B1BB0">
        <w:rPr>
          <w:rFonts w:cstheme="minorHAnsi"/>
          <w:szCs w:val="26"/>
        </w:rPr>
        <w:t>nodrošin</w:t>
      </w:r>
      <w:r>
        <w:rPr>
          <w:rFonts w:cstheme="minorHAnsi"/>
          <w:szCs w:val="26"/>
        </w:rPr>
        <w:t>ā</w:t>
      </w:r>
      <w:r w:rsidRPr="009B1BB0">
        <w:rPr>
          <w:rFonts w:cstheme="minorHAnsi"/>
          <w:szCs w:val="26"/>
        </w:rPr>
        <w:t>t, ka moderno biodegvielu īpatsvars 2022.gadā veido 0,2% no kopējā AER īpatsvara transporta sektorā, tam pieaugot līdz 3,5% 2030.gadā. Ievērojot Direktīvas 2018/2001 26.panta 1.punkta nosacījumus, Latvija</w:t>
      </w:r>
      <w:r>
        <w:rPr>
          <w:rFonts w:cstheme="minorHAnsi"/>
          <w:szCs w:val="26"/>
        </w:rPr>
        <w:t xml:space="preserve"> šobrīd</w:t>
      </w:r>
      <w:r w:rsidRPr="009B1BB0">
        <w:rPr>
          <w:rFonts w:cstheme="minorHAnsi"/>
          <w:szCs w:val="26"/>
        </w:rPr>
        <w:t xml:space="preserve"> </w:t>
      </w:r>
      <w:r>
        <w:rPr>
          <w:rFonts w:cstheme="minorHAnsi"/>
          <w:szCs w:val="26"/>
        </w:rPr>
        <w:t>ne</w:t>
      </w:r>
      <w:r w:rsidRPr="009B1BB0">
        <w:rPr>
          <w:rFonts w:cstheme="minorHAnsi"/>
          <w:szCs w:val="26"/>
        </w:rPr>
        <w:t>plāno</w:t>
      </w:r>
      <w:r>
        <w:rPr>
          <w:rFonts w:cstheme="minorHAnsi"/>
          <w:szCs w:val="26"/>
        </w:rPr>
        <w:t xml:space="preserve"> noteikt b</w:t>
      </w:r>
      <w:r w:rsidRPr="009B1BB0">
        <w:rPr>
          <w:rFonts w:cstheme="minorHAnsi"/>
          <w:szCs w:val="26"/>
        </w:rPr>
        <w:t>iodegviel</w:t>
      </w:r>
      <w:r>
        <w:rPr>
          <w:rFonts w:cstheme="minorHAnsi"/>
          <w:szCs w:val="26"/>
        </w:rPr>
        <w:t>u</w:t>
      </w:r>
      <w:r w:rsidRPr="009B1BB0">
        <w:rPr>
          <w:rFonts w:cstheme="minorHAnsi"/>
          <w:szCs w:val="26"/>
        </w:rPr>
        <w:t xml:space="preserve"> un biomasas degviel</w:t>
      </w:r>
      <w:r>
        <w:rPr>
          <w:rFonts w:cstheme="minorHAnsi"/>
          <w:szCs w:val="26"/>
        </w:rPr>
        <w:t>u</w:t>
      </w:r>
      <w:r w:rsidRPr="009B1BB0">
        <w:rPr>
          <w:rFonts w:cstheme="minorHAnsi"/>
          <w:szCs w:val="26"/>
        </w:rPr>
        <w:t xml:space="preserve">, kas ražotas no pārtikas un dzīvnieku barības kultūraugiem (pirmās paaudzes biodegvielas), </w:t>
      </w:r>
      <w:r>
        <w:rPr>
          <w:rFonts w:cstheme="minorHAnsi"/>
          <w:szCs w:val="26"/>
        </w:rPr>
        <w:t>izmantošanas mērķi</w:t>
      </w:r>
      <w:r w:rsidRPr="009B1BB0">
        <w:rPr>
          <w:rFonts w:cstheme="minorHAnsi"/>
          <w:szCs w:val="26"/>
        </w:rPr>
        <w:t xml:space="preserve">.   </w:t>
      </w:r>
    </w:p>
    <w:p w14:paraId="708D48FD" w14:textId="77777777" w:rsidR="006179BB" w:rsidRPr="009B1BB0" w:rsidRDefault="006179BB">
      <w:pPr>
        <w:pStyle w:val="Heading4"/>
      </w:pPr>
      <w:bookmarkStart w:id="339" w:name="_Toc23245807"/>
      <w:bookmarkStart w:id="340" w:name="_Toc527529445"/>
      <w:r w:rsidRPr="009B1BB0">
        <w:t>AE tehnoloģiju izmantošanas trajektorijas</w:t>
      </w:r>
      <w:bookmarkEnd w:id="339"/>
    </w:p>
    <w:bookmarkEnd w:id="340"/>
    <w:p w14:paraId="7735F5DD" w14:textId="77777777" w:rsidR="006179BB" w:rsidRPr="009B1BB0" w:rsidRDefault="006179BB" w:rsidP="006179BB">
      <w:pPr>
        <w:pStyle w:val="paragraph"/>
        <w:spacing w:before="120" w:beforeAutospacing="0" w:after="120" w:afterAutospacing="0"/>
        <w:jc w:val="both"/>
        <w:textAlignment w:val="baseline"/>
        <w:rPr>
          <w:rStyle w:val="normaltextrun"/>
          <w:rFonts w:asciiTheme="minorHAnsi" w:eastAsiaTheme="majorEastAsia" w:hAnsiTheme="minorHAnsi" w:cstheme="minorHAnsi"/>
          <w:iCs/>
        </w:rPr>
      </w:pPr>
      <w:r w:rsidRPr="009B1BB0">
        <w:rPr>
          <w:rStyle w:val="normaltextrun"/>
          <w:rFonts w:asciiTheme="minorHAnsi" w:eastAsiaTheme="majorEastAsia" w:hAnsiTheme="minorHAnsi" w:cstheme="minorHAnsi"/>
          <w:iCs/>
        </w:rPr>
        <w:t>Latvija plāno palielināt AER īpatsvaru elektroenerģijas ražošanā, palielinot uzstādītās vēja ģeneratoru un saules fotoelementu jaudas, ņemot vērā Latvijas elektroenerģijas pārvades tīklu kapacitāti, kas šobrīd ļauj palielināt tīklos nodoto elektroenerģijas apjomu par 800MW. Latvija neplāno palielināt biomasas un biogāzes jaudas elektroenerģijas ražošanai.</w:t>
      </w:r>
    </w:p>
    <w:p w14:paraId="6C26051C" w14:textId="77777777" w:rsidR="006179BB" w:rsidRPr="009B1BB0" w:rsidRDefault="006179BB" w:rsidP="006179BB">
      <w:pPr>
        <w:pStyle w:val="paragraph"/>
        <w:spacing w:before="120" w:beforeAutospacing="0" w:after="120" w:afterAutospacing="0"/>
        <w:jc w:val="both"/>
        <w:textAlignment w:val="baseline"/>
        <w:rPr>
          <w:rStyle w:val="normaltextrun"/>
          <w:rFonts w:asciiTheme="minorHAnsi" w:eastAsiaTheme="majorEastAsia" w:hAnsiTheme="minorHAnsi" w:cstheme="minorHAnsi"/>
          <w:iCs/>
        </w:rPr>
      </w:pPr>
      <w:r w:rsidRPr="009B1BB0">
        <w:rPr>
          <w:rStyle w:val="normaltextrun"/>
          <w:rFonts w:asciiTheme="minorHAnsi" w:eastAsiaTheme="majorEastAsia" w:hAnsiTheme="minorHAnsi" w:cstheme="minorHAnsi"/>
          <w:iCs/>
        </w:rPr>
        <w:t>Latvija plāno palielināt AER īpatsvaru siltumapgādē un aukstumapgādē, modernizējot uzstādītās biomasas izmantošanas iekārtu jaudas, palielinot uzstādīto siltumsūķņu un aukstumsūkņu jaudas, kā arī palielinot saules enerģijas izmantošanu siltumenerģijas ražošanā.</w:t>
      </w:r>
    </w:p>
    <w:p w14:paraId="099EFDAF" w14:textId="77777777" w:rsidR="006179BB" w:rsidRPr="009B1BB0" w:rsidRDefault="006179BB" w:rsidP="006179BB">
      <w:pPr>
        <w:pStyle w:val="paragraph"/>
        <w:spacing w:before="120" w:beforeAutospacing="0" w:after="120" w:afterAutospacing="0"/>
        <w:jc w:val="both"/>
        <w:textAlignment w:val="baseline"/>
        <w:rPr>
          <w:rStyle w:val="normaltextrun"/>
          <w:rFonts w:asciiTheme="minorHAnsi" w:eastAsiaTheme="majorEastAsia" w:hAnsiTheme="minorHAnsi" w:cstheme="minorHAnsi"/>
          <w:iCs/>
        </w:rPr>
      </w:pPr>
      <w:r w:rsidRPr="009B1BB0">
        <w:rPr>
          <w:rStyle w:val="normaltextrun"/>
          <w:rFonts w:asciiTheme="minorHAnsi" w:eastAsiaTheme="majorEastAsia" w:hAnsiTheme="minorHAnsi" w:cstheme="minorHAnsi"/>
          <w:iCs/>
        </w:rPr>
        <w:t xml:space="preserve">Latvija plāno palielināt AER īpatsvaru transportā, ieviešot pienākumu degvielas piegādātājiem realizēt no AER iegūtu enerģiju, vienlaikus veicinot biometāna ražošanu un tā  patēriņu sabiedriskajā transportā, kā arī turpinot attīstīt iespējas izmantot </w:t>
      </w:r>
      <w:r>
        <w:rPr>
          <w:rStyle w:val="normaltextrun"/>
          <w:rFonts w:asciiTheme="minorHAnsi" w:eastAsiaTheme="majorEastAsia" w:hAnsiTheme="minorHAnsi" w:cstheme="minorHAnsi"/>
          <w:iCs/>
        </w:rPr>
        <w:t>citus ne-emisiju degvielas veidus. Papildus dzelzceļa elektrifikācijai, Latvija plāno turpināt straukāju elektromobilitātes attīstību kā mobilitātes, energoefektivitātes un AER mērķu risinājumu. 2030.gadā Latvijā būt nepieciešams vismaz 10 reizes lielāks elektroenerģijas patēriņš transportā nekā tas ir šobrīd.</w:t>
      </w:r>
    </w:p>
    <w:p w14:paraId="1D0E104F" w14:textId="77777777" w:rsidR="006179BB" w:rsidRPr="009B1BB0" w:rsidRDefault="006179BB" w:rsidP="0007326F">
      <w:pPr>
        <w:pStyle w:val="Heading2"/>
        <w:ind w:left="623"/>
      </w:pPr>
      <w:bookmarkStart w:id="341" w:name="_Toc520978814"/>
      <w:bookmarkStart w:id="342" w:name="_Toc527529447"/>
      <w:bookmarkStart w:id="343" w:name="_Toc17878345"/>
      <w:bookmarkStart w:id="344" w:name="_Toc23245809"/>
      <w:bookmarkStart w:id="345" w:name="_Toc23246022"/>
      <w:bookmarkStart w:id="346" w:name="_Toc24408036"/>
      <w:bookmarkStart w:id="347" w:name="_Toc24408107"/>
      <w:r w:rsidRPr="009B1BB0">
        <w:t>Energoefektivitāte</w:t>
      </w:r>
      <w:bookmarkEnd w:id="341"/>
      <w:bookmarkEnd w:id="342"/>
      <w:bookmarkEnd w:id="343"/>
      <w:bookmarkEnd w:id="344"/>
      <w:bookmarkEnd w:id="345"/>
      <w:bookmarkEnd w:id="346"/>
      <w:bookmarkEnd w:id="347"/>
      <w:r w:rsidRPr="009B1BB0">
        <w:t> </w:t>
      </w:r>
    </w:p>
    <w:p w14:paraId="3F946F4E" w14:textId="77777777" w:rsidR="006179BB" w:rsidRPr="009B1BB0" w:rsidRDefault="006179BB" w:rsidP="0007326F">
      <w:pPr>
        <w:pStyle w:val="Heading30"/>
      </w:pPr>
      <w:bookmarkStart w:id="348" w:name="_Toc520978815"/>
      <w:bookmarkStart w:id="349" w:name="_Toc527529448"/>
      <w:bookmarkStart w:id="350" w:name="_Toc23245810"/>
      <w:bookmarkStart w:id="351" w:name="_Toc23246023"/>
      <w:bookmarkStart w:id="352" w:name="_Toc24408037"/>
      <w:r w:rsidRPr="009B1BB0">
        <w:t>Latvijas energoefektivitātes devums ES energoefektivitātes mērķa izpildē</w:t>
      </w:r>
      <w:bookmarkEnd w:id="348"/>
      <w:bookmarkEnd w:id="349"/>
      <w:bookmarkEnd w:id="350"/>
      <w:bookmarkEnd w:id="351"/>
      <w:bookmarkEnd w:id="352"/>
    </w:p>
    <w:p w14:paraId="3C7EDD8D" w14:textId="77777777" w:rsidR="006179BB" w:rsidRPr="009B1BB0" w:rsidRDefault="006179BB" w:rsidP="006179BB">
      <w:pPr>
        <w:spacing w:before="120" w:after="120" w:line="240" w:lineRule="auto"/>
        <w:jc w:val="both"/>
        <w:rPr>
          <w:rFonts w:cstheme="minorHAnsi"/>
          <w:szCs w:val="24"/>
          <w:lang w:eastAsia="lv-LV"/>
        </w:rPr>
      </w:pPr>
      <w:r w:rsidRPr="009B1BB0">
        <w:rPr>
          <w:rFonts w:cstheme="minorHAnsi"/>
          <w:szCs w:val="24"/>
          <w:lang w:eastAsia="lv-LV"/>
        </w:rPr>
        <w:t>Zemāk tabulā ir iekļauti enerģijas patēriņa apjomi, kas ir aprēķināti saskaņā ar Direktīvas 2012/27/ES (un Direktīvas 2018/2002) definīcijām:</w:t>
      </w:r>
    </w:p>
    <w:p w14:paraId="6A06385F" w14:textId="77777777" w:rsidR="006179BB" w:rsidRPr="009B1BB0" w:rsidRDefault="006179BB" w:rsidP="00847BE3">
      <w:pPr>
        <w:pStyle w:val="ListParagraph"/>
        <w:numPr>
          <w:ilvl w:val="0"/>
          <w:numId w:val="26"/>
        </w:numPr>
        <w:spacing w:before="120" w:after="120" w:line="240" w:lineRule="auto"/>
        <w:ind w:left="397" w:hanging="397"/>
        <w:contextualSpacing w:val="0"/>
        <w:jc w:val="both"/>
        <w:rPr>
          <w:rFonts w:cstheme="minorHAnsi"/>
          <w:szCs w:val="24"/>
          <w:lang w:eastAsia="lv-LV"/>
        </w:rPr>
      </w:pPr>
      <w:r w:rsidRPr="009B1BB0">
        <w:rPr>
          <w:rFonts w:eastAsia="Arial Unicode MS" w:cstheme="minorHAnsi"/>
          <w:szCs w:val="24"/>
          <w:shd w:val="clear" w:color="auto" w:fill="FFFFFF"/>
        </w:rPr>
        <w:t>primārās enerģijas patēriņš – bruto iekšzemes energoresursu patēriņš, izņemot ar enerģētiku nesaistītu izmantošanu;</w:t>
      </w:r>
    </w:p>
    <w:p w14:paraId="0BAD7FAA" w14:textId="77777777" w:rsidR="006179BB" w:rsidRPr="009B1BB0" w:rsidRDefault="006179BB" w:rsidP="00847BE3">
      <w:pPr>
        <w:pStyle w:val="ListParagraph"/>
        <w:numPr>
          <w:ilvl w:val="0"/>
          <w:numId w:val="26"/>
        </w:numPr>
        <w:spacing w:before="120" w:after="120" w:line="240" w:lineRule="auto"/>
        <w:ind w:left="397" w:hanging="397"/>
        <w:contextualSpacing w:val="0"/>
        <w:jc w:val="both"/>
        <w:rPr>
          <w:rFonts w:cstheme="minorHAnsi"/>
          <w:szCs w:val="24"/>
          <w:lang w:eastAsia="lv-LV"/>
        </w:rPr>
      </w:pPr>
      <w:r w:rsidRPr="009B1BB0">
        <w:rPr>
          <w:rFonts w:eastAsia="Arial Unicode MS" w:cstheme="minorHAnsi"/>
          <w:szCs w:val="24"/>
          <w:shd w:val="clear" w:color="auto" w:fill="FFFFFF"/>
        </w:rPr>
        <w:t>enerģijas galapatēriņš – visa enerģija, kas piegādāta rūpniecībai, transportam, mājsaimniecībām, pakalpojumu nozarei un lauksaimniecībai, neietverot enerģijas piegādi enerģijas pārveidošanas nozarei un pašai enerģētikas nozarei.</w:t>
      </w:r>
    </w:p>
    <w:p w14:paraId="1A07467F" w14:textId="77777777" w:rsidR="006179BB" w:rsidRPr="009B1BB0" w:rsidRDefault="006179BB" w:rsidP="00847BE3">
      <w:pPr>
        <w:pStyle w:val="ListParagraph"/>
        <w:numPr>
          <w:ilvl w:val="0"/>
          <w:numId w:val="26"/>
        </w:numPr>
        <w:spacing w:before="120" w:after="120" w:line="240" w:lineRule="auto"/>
        <w:ind w:left="397" w:hanging="397"/>
        <w:contextualSpacing w:val="0"/>
        <w:jc w:val="both"/>
        <w:rPr>
          <w:rFonts w:cstheme="minorHAnsi"/>
          <w:szCs w:val="24"/>
          <w:lang w:eastAsia="lv-LV"/>
        </w:rPr>
      </w:pPr>
      <w:r w:rsidRPr="009B1BB0">
        <w:rPr>
          <w:rFonts w:cstheme="minorHAnsi"/>
          <w:szCs w:val="24"/>
          <w:lang w:eastAsia="lv-LV"/>
        </w:rPr>
        <w:t>enerģijas ietaupījums – ietaupītās enerģijas apjoms, ko nosaka, izmērot un/vai aplēšot patēriņu pirms un pēc energoefektivitātes uzlabošanas pasākuma īstenošanas, vienlaikus nodrošinot, ka tiek standartizēti ārējie apstākļi, kas ietekmē enerģijas patēriņu</w:t>
      </w:r>
    </w:p>
    <w:p w14:paraId="24283048" w14:textId="2956392D" w:rsidR="006179BB" w:rsidRPr="009B1BB0" w:rsidRDefault="006179BB" w:rsidP="006179BB">
      <w:pPr>
        <w:pStyle w:val="Caption"/>
        <w:rPr>
          <w:rFonts w:asciiTheme="minorHAnsi" w:hAnsiTheme="minorHAnsi" w:cstheme="minorHAnsi"/>
        </w:rPr>
      </w:pPr>
      <w:r w:rsidRPr="009B1BB0">
        <w:rPr>
          <w:rFonts w:asciiTheme="minorHAnsi" w:hAnsiTheme="minorHAnsi" w:cstheme="minorHAnsi"/>
          <w:noProof/>
        </w:rPr>
        <w:fldChar w:fldCharType="begin"/>
      </w:r>
      <w:r w:rsidRPr="009B1BB0">
        <w:rPr>
          <w:rFonts w:asciiTheme="minorHAnsi" w:hAnsiTheme="minorHAnsi" w:cstheme="minorHAnsi"/>
          <w:noProof/>
        </w:rPr>
        <w:instrText xml:space="preserve"> SEQ Tabula \* ARABIC </w:instrText>
      </w:r>
      <w:r w:rsidRPr="009B1BB0">
        <w:rPr>
          <w:rFonts w:asciiTheme="minorHAnsi" w:hAnsiTheme="minorHAnsi" w:cstheme="minorHAnsi"/>
          <w:noProof/>
        </w:rPr>
        <w:fldChar w:fldCharType="separate"/>
      </w:r>
      <w:r w:rsidR="006E6675">
        <w:rPr>
          <w:rFonts w:asciiTheme="minorHAnsi" w:hAnsiTheme="minorHAnsi" w:cstheme="minorHAnsi"/>
          <w:noProof/>
        </w:rPr>
        <w:t>17</w:t>
      </w:r>
      <w:r w:rsidRPr="009B1BB0">
        <w:rPr>
          <w:rFonts w:asciiTheme="minorHAnsi" w:hAnsiTheme="minorHAnsi" w:cstheme="minorHAnsi"/>
          <w:noProof/>
        </w:rPr>
        <w:fldChar w:fldCharType="end"/>
      </w:r>
      <w:r w:rsidRPr="009B1BB0">
        <w:rPr>
          <w:rFonts w:asciiTheme="minorHAnsi" w:hAnsiTheme="minorHAnsi" w:cstheme="minorHAnsi"/>
        </w:rPr>
        <w:t>. tabula. Latvijas energoefektivitātes uzlabošanas politikas mērķi un to rezultatīvie radītāji</w:t>
      </w:r>
    </w:p>
    <w:tbl>
      <w:tblPr>
        <w:tblW w:w="906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08"/>
        <w:gridCol w:w="1701"/>
        <w:gridCol w:w="1418"/>
        <w:gridCol w:w="1842"/>
      </w:tblGrid>
      <w:tr w:rsidR="006179BB" w:rsidRPr="009B1BB0" w14:paraId="55E752B7" w14:textId="77777777" w:rsidTr="0007326F">
        <w:trPr>
          <w:tblHeader/>
          <w:jc w:val="center"/>
        </w:trPr>
        <w:tc>
          <w:tcPr>
            <w:tcW w:w="4108" w:type="dxa"/>
            <w:vMerge w:val="restart"/>
            <w:shd w:val="clear" w:color="auto" w:fill="F2F2F2" w:themeFill="background1" w:themeFillShade="F2"/>
            <w:vAlign w:val="center"/>
          </w:tcPr>
          <w:p w14:paraId="34D11233" w14:textId="77777777" w:rsidR="006179BB" w:rsidRPr="009B1BB0" w:rsidRDefault="006179BB" w:rsidP="006179BB">
            <w:pPr>
              <w:spacing w:after="0" w:line="240" w:lineRule="auto"/>
              <w:rPr>
                <w:rFonts w:cstheme="minorHAnsi"/>
                <w:b/>
                <w:color w:val="000000" w:themeColor="text1"/>
                <w:sz w:val="22"/>
              </w:rPr>
            </w:pPr>
            <w:r w:rsidRPr="009B1BB0">
              <w:rPr>
                <w:rFonts w:cstheme="minorHAnsi"/>
                <w:b/>
                <w:color w:val="000000" w:themeColor="text1"/>
                <w:sz w:val="22"/>
              </w:rPr>
              <w:t>Politikas rezultāts energoefektivitātes dimensijā</w:t>
            </w:r>
          </w:p>
        </w:tc>
        <w:tc>
          <w:tcPr>
            <w:tcW w:w="1701" w:type="dxa"/>
            <w:shd w:val="clear" w:color="auto" w:fill="F2F2F2" w:themeFill="background1" w:themeFillShade="F2"/>
            <w:vAlign w:val="center"/>
          </w:tcPr>
          <w:p w14:paraId="53B3F269"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Faktiskā vērtība</w:t>
            </w:r>
          </w:p>
        </w:tc>
        <w:tc>
          <w:tcPr>
            <w:tcW w:w="3260" w:type="dxa"/>
            <w:gridSpan w:val="2"/>
            <w:shd w:val="clear" w:color="auto" w:fill="F2F2F2" w:themeFill="background1" w:themeFillShade="F2"/>
            <w:vAlign w:val="center"/>
          </w:tcPr>
          <w:p w14:paraId="396795B7"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Mērķa vērtība</w:t>
            </w:r>
            <w:r w:rsidRPr="009B1BB0">
              <w:rPr>
                <w:rStyle w:val="FootnoteReference"/>
                <w:rFonts w:cstheme="minorHAnsi"/>
                <w:sz w:val="22"/>
              </w:rPr>
              <w:footnoteReference w:id="129"/>
            </w:r>
          </w:p>
        </w:tc>
      </w:tr>
      <w:tr w:rsidR="006179BB" w:rsidRPr="009B1BB0" w14:paraId="1A58F4A6" w14:textId="77777777" w:rsidTr="0007326F">
        <w:trPr>
          <w:tblHeader/>
          <w:jc w:val="center"/>
        </w:trPr>
        <w:tc>
          <w:tcPr>
            <w:tcW w:w="4108" w:type="dxa"/>
            <w:vMerge/>
            <w:shd w:val="clear" w:color="auto" w:fill="F2F2F2" w:themeFill="background1" w:themeFillShade="F2"/>
            <w:vAlign w:val="center"/>
          </w:tcPr>
          <w:p w14:paraId="265D0A07" w14:textId="77777777" w:rsidR="006179BB" w:rsidRPr="009B1BB0" w:rsidRDefault="006179BB" w:rsidP="006179BB">
            <w:pPr>
              <w:spacing w:after="0" w:line="240" w:lineRule="auto"/>
              <w:rPr>
                <w:rFonts w:cstheme="minorHAnsi"/>
                <w:b/>
                <w:color w:val="000000" w:themeColor="text1"/>
                <w:sz w:val="22"/>
              </w:rPr>
            </w:pPr>
          </w:p>
        </w:tc>
        <w:tc>
          <w:tcPr>
            <w:tcW w:w="1701" w:type="dxa"/>
            <w:shd w:val="clear" w:color="auto" w:fill="F2F2F2" w:themeFill="background1" w:themeFillShade="F2"/>
            <w:vAlign w:val="center"/>
          </w:tcPr>
          <w:p w14:paraId="5A567653"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2017</w:t>
            </w:r>
          </w:p>
        </w:tc>
        <w:tc>
          <w:tcPr>
            <w:tcW w:w="1418" w:type="dxa"/>
            <w:shd w:val="clear" w:color="auto" w:fill="F2F2F2" w:themeFill="background1" w:themeFillShade="F2"/>
            <w:vAlign w:val="center"/>
          </w:tcPr>
          <w:p w14:paraId="42062871"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2020</w:t>
            </w:r>
          </w:p>
        </w:tc>
        <w:tc>
          <w:tcPr>
            <w:tcW w:w="1842" w:type="dxa"/>
            <w:shd w:val="clear" w:color="auto" w:fill="F2F2F2" w:themeFill="background1" w:themeFillShade="F2"/>
            <w:vAlign w:val="center"/>
          </w:tcPr>
          <w:p w14:paraId="014A4C2C"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2030</w:t>
            </w:r>
          </w:p>
        </w:tc>
      </w:tr>
      <w:tr w:rsidR="006179BB" w:rsidRPr="009B1BB0" w14:paraId="77F73EC7" w14:textId="77777777" w:rsidTr="0007326F">
        <w:trPr>
          <w:jc w:val="center"/>
        </w:trPr>
        <w:tc>
          <w:tcPr>
            <w:tcW w:w="9069" w:type="dxa"/>
            <w:gridSpan w:val="4"/>
            <w:shd w:val="clear" w:color="auto" w:fill="auto"/>
            <w:vAlign w:val="center"/>
          </w:tcPr>
          <w:p w14:paraId="61AE54C7" w14:textId="77777777" w:rsidR="006179BB" w:rsidRPr="009B1BB0" w:rsidRDefault="006179BB" w:rsidP="006179BB">
            <w:pPr>
              <w:spacing w:after="0" w:line="240" w:lineRule="auto"/>
              <w:rPr>
                <w:rFonts w:cstheme="minorHAnsi"/>
                <w:color w:val="000000" w:themeColor="text1"/>
                <w:szCs w:val="24"/>
              </w:rPr>
            </w:pPr>
            <w:r w:rsidRPr="009B1BB0">
              <w:rPr>
                <w:rFonts w:cstheme="minorHAnsi"/>
                <w:bCs/>
                <w:color w:val="000000" w:themeColor="text1"/>
                <w:szCs w:val="24"/>
              </w:rPr>
              <w:t xml:space="preserve">neobligātais mērķis – primārās enerģijas patēriņš </w:t>
            </w:r>
          </w:p>
        </w:tc>
      </w:tr>
      <w:tr w:rsidR="006179BB" w:rsidRPr="009B1BB0" w14:paraId="1B110061" w14:textId="77777777" w:rsidTr="0007326F">
        <w:trPr>
          <w:jc w:val="center"/>
        </w:trPr>
        <w:tc>
          <w:tcPr>
            <w:tcW w:w="4108" w:type="dxa"/>
            <w:shd w:val="clear" w:color="auto" w:fill="auto"/>
            <w:vAlign w:val="center"/>
          </w:tcPr>
          <w:p w14:paraId="633050C7" w14:textId="77777777" w:rsidR="006179BB" w:rsidRPr="009B1BB0" w:rsidRDefault="006179BB" w:rsidP="006179BB">
            <w:pPr>
              <w:spacing w:after="0" w:line="240" w:lineRule="auto"/>
              <w:ind w:firstLine="284"/>
              <w:rPr>
                <w:rFonts w:cstheme="minorHAnsi"/>
                <w:color w:val="000000" w:themeColor="text1"/>
                <w:szCs w:val="24"/>
              </w:rPr>
            </w:pPr>
            <w:r w:rsidRPr="009B1BB0">
              <w:rPr>
                <w:rFonts w:cstheme="minorHAnsi"/>
                <w:bCs/>
                <w:color w:val="000000" w:themeColor="text1"/>
                <w:szCs w:val="24"/>
              </w:rPr>
              <w:t>PJ</w:t>
            </w:r>
          </w:p>
        </w:tc>
        <w:tc>
          <w:tcPr>
            <w:tcW w:w="1701" w:type="dxa"/>
            <w:shd w:val="clear" w:color="auto" w:fill="auto"/>
            <w:vAlign w:val="center"/>
          </w:tcPr>
          <w:p w14:paraId="4F97BF21" w14:textId="78B4382B"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18</w:t>
            </w:r>
            <w:r w:rsidR="00F733D5">
              <w:rPr>
                <w:rFonts w:cstheme="minorHAnsi"/>
                <w:color w:val="000000" w:themeColor="text1"/>
                <w:szCs w:val="24"/>
              </w:rPr>
              <w:t>6</w:t>
            </w:r>
            <w:r w:rsidRPr="009B1BB0">
              <w:rPr>
                <w:rFonts w:cstheme="minorHAnsi"/>
                <w:color w:val="000000" w:themeColor="text1"/>
                <w:szCs w:val="24"/>
              </w:rPr>
              <w:t>,</w:t>
            </w:r>
            <w:r w:rsidR="00F733D5">
              <w:rPr>
                <w:rFonts w:cstheme="minorHAnsi"/>
                <w:color w:val="000000" w:themeColor="text1"/>
                <w:szCs w:val="24"/>
              </w:rPr>
              <w:t>9</w:t>
            </w:r>
          </w:p>
        </w:tc>
        <w:tc>
          <w:tcPr>
            <w:tcW w:w="1418" w:type="dxa"/>
            <w:shd w:val="clear" w:color="auto" w:fill="auto"/>
            <w:vAlign w:val="center"/>
          </w:tcPr>
          <w:p w14:paraId="0B8C30DB"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225</w:t>
            </w:r>
          </w:p>
        </w:tc>
        <w:tc>
          <w:tcPr>
            <w:tcW w:w="1842" w:type="dxa"/>
            <w:shd w:val="clear" w:color="auto" w:fill="auto"/>
            <w:vAlign w:val="center"/>
          </w:tcPr>
          <w:p w14:paraId="1C3AE933" w14:textId="7AB1CCA5" w:rsidR="006179BB" w:rsidRPr="009B1BB0" w:rsidRDefault="00C22CAB" w:rsidP="006179BB">
            <w:pPr>
              <w:spacing w:after="0" w:line="240" w:lineRule="auto"/>
              <w:jc w:val="center"/>
              <w:rPr>
                <w:rFonts w:cstheme="minorHAnsi"/>
                <w:i/>
                <w:iCs/>
                <w:color w:val="000000" w:themeColor="text1"/>
                <w:szCs w:val="24"/>
              </w:rPr>
            </w:pPr>
            <w:r>
              <w:rPr>
                <w:rFonts w:cstheme="minorHAnsi"/>
                <w:i/>
                <w:iCs/>
                <w:color w:val="000000" w:themeColor="text1"/>
                <w:szCs w:val="24"/>
              </w:rPr>
              <w:t xml:space="preserve">165 – </w:t>
            </w:r>
            <w:r w:rsidR="006179BB" w:rsidRPr="009B1BB0">
              <w:rPr>
                <w:rFonts w:cstheme="minorHAnsi"/>
                <w:i/>
                <w:iCs/>
                <w:color w:val="000000" w:themeColor="text1"/>
                <w:szCs w:val="24"/>
              </w:rPr>
              <w:t>170</w:t>
            </w:r>
          </w:p>
        </w:tc>
      </w:tr>
      <w:tr w:rsidR="006179BB" w:rsidRPr="009B1BB0" w14:paraId="34178181" w14:textId="77777777" w:rsidTr="0007326F">
        <w:trPr>
          <w:jc w:val="center"/>
        </w:trPr>
        <w:tc>
          <w:tcPr>
            <w:tcW w:w="4108" w:type="dxa"/>
            <w:shd w:val="clear" w:color="auto" w:fill="auto"/>
            <w:vAlign w:val="center"/>
          </w:tcPr>
          <w:p w14:paraId="76483B36" w14:textId="77777777" w:rsidR="006179BB" w:rsidRPr="009B1BB0" w:rsidRDefault="006179BB" w:rsidP="006179BB">
            <w:pPr>
              <w:spacing w:after="0" w:line="240" w:lineRule="auto"/>
              <w:ind w:firstLine="284"/>
              <w:rPr>
                <w:rFonts w:cstheme="minorHAnsi"/>
                <w:color w:val="000000" w:themeColor="text1"/>
                <w:szCs w:val="24"/>
              </w:rPr>
            </w:pPr>
            <w:r w:rsidRPr="009B1BB0">
              <w:rPr>
                <w:rFonts w:cstheme="minorHAnsi"/>
                <w:bCs/>
                <w:color w:val="000000" w:themeColor="text1"/>
                <w:szCs w:val="24"/>
              </w:rPr>
              <w:t>GWh</w:t>
            </w:r>
          </w:p>
        </w:tc>
        <w:tc>
          <w:tcPr>
            <w:tcW w:w="1701" w:type="dxa"/>
            <w:shd w:val="clear" w:color="auto" w:fill="auto"/>
            <w:vAlign w:val="center"/>
          </w:tcPr>
          <w:p w14:paraId="4C148CBD" w14:textId="12F3992D"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52 058,3</w:t>
            </w:r>
          </w:p>
        </w:tc>
        <w:tc>
          <w:tcPr>
            <w:tcW w:w="1418" w:type="dxa"/>
            <w:shd w:val="clear" w:color="auto" w:fill="auto"/>
            <w:vAlign w:val="center"/>
          </w:tcPr>
          <w:p w14:paraId="4B680DE5"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62 500</w:t>
            </w:r>
          </w:p>
        </w:tc>
        <w:tc>
          <w:tcPr>
            <w:tcW w:w="1842" w:type="dxa"/>
            <w:shd w:val="clear" w:color="auto" w:fill="auto"/>
            <w:vAlign w:val="center"/>
          </w:tcPr>
          <w:p w14:paraId="71E9DEDC" w14:textId="082FD46D" w:rsidR="006179BB" w:rsidRPr="009B1BB0" w:rsidRDefault="00C22CAB">
            <w:pPr>
              <w:spacing w:after="0" w:line="240" w:lineRule="auto"/>
              <w:jc w:val="center"/>
              <w:rPr>
                <w:rFonts w:cstheme="minorHAnsi"/>
                <w:i/>
                <w:iCs/>
                <w:color w:val="000000" w:themeColor="text1"/>
                <w:szCs w:val="24"/>
              </w:rPr>
            </w:pPr>
            <w:r>
              <w:rPr>
                <w:rFonts w:cstheme="minorHAnsi"/>
                <w:i/>
                <w:iCs/>
                <w:color w:val="000000" w:themeColor="text1"/>
                <w:szCs w:val="24"/>
              </w:rPr>
              <w:t xml:space="preserve">45 833 – </w:t>
            </w:r>
            <w:r w:rsidR="006179BB" w:rsidRPr="009B1BB0">
              <w:rPr>
                <w:rFonts w:cstheme="minorHAnsi"/>
                <w:i/>
                <w:iCs/>
                <w:color w:val="000000" w:themeColor="text1"/>
                <w:szCs w:val="24"/>
              </w:rPr>
              <w:t>47 222</w:t>
            </w:r>
          </w:p>
        </w:tc>
      </w:tr>
      <w:tr w:rsidR="006179BB" w:rsidRPr="009B1BB0" w14:paraId="0721D9BE" w14:textId="77777777" w:rsidTr="0007326F">
        <w:trPr>
          <w:jc w:val="center"/>
        </w:trPr>
        <w:tc>
          <w:tcPr>
            <w:tcW w:w="4108" w:type="dxa"/>
            <w:shd w:val="clear" w:color="auto" w:fill="auto"/>
            <w:vAlign w:val="center"/>
          </w:tcPr>
          <w:p w14:paraId="04CFF4C7" w14:textId="77777777" w:rsidR="006179BB" w:rsidRPr="009B1BB0" w:rsidRDefault="006179BB" w:rsidP="006179BB">
            <w:pPr>
              <w:spacing w:after="0" w:line="240" w:lineRule="auto"/>
              <w:ind w:firstLine="284"/>
              <w:rPr>
                <w:rFonts w:cstheme="minorHAnsi"/>
                <w:color w:val="000000" w:themeColor="text1"/>
                <w:szCs w:val="24"/>
              </w:rPr>
            </w:pPr>
            <w:r w:rsidRPr="009B1BB0">
              <w:rPr>
                <w:rFonts w:cstheme="minorHAnsi"/>
                <w:bCs/>
                <w:color w:val="000000" w:themeColor="text1"/>
                <w:szCs w:val="24"/>
              </w:rPr>
              <w:t>Mtoe</w:t>
            </w:r>
          </w:p>
        </w:tc>
        <w:tc>
          <w:tcPr>
            <w:tcW w:w="1701" w:type="dxa"/>
            <w:shd w:val="clear" w:color="auto" w:fill="auto"/>
            <w:vAlign w:val="center"/>
          </w:tcPr>
          <w:p w14:paraId="38EE31A3"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4,48</w:t>
            </w:r>
          </w:p>
        </w:tc>
        <w:tc>
          <w:tcPr>
            <w:tcW w:w="1418" w:type="dxa"/>
            <w:shd w:val="clear" w:color="auto" w:fill="auto"/>
            <w:vAlign w:val="center"/>
          </w:tcPr>
          <w:p w14:paraId="24F30EA9"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5,4</w:t>
            </w:r>
          </w:p>
        </w:tc>
        <w:tc>
          <w:tcPr>
            <w:tcW w:w="1842" w:type="dxa"/>
            <w:shd w:val="clear" w:color="auto" w:fill="auto"/>
            <w:vAlign w:val="center"/>
          </w:tcPr>
          <w:p w14:paraId="1B863812" w14:textId="29891C86" w:rsidR="006179BB" w:rsidRPr="009B1BB0" w:rsidRDefault="00C22CAB" w:rsidP="006179BB">
            <w:pPr>
              <w:spacing w:after="0" w:line="240" w:lineRule="auto"/>
              <w:jc w:val="center"/>
              <w:rPr>
                <w:rFonts w:cstheme="minorHAnsi"/>
                <w:i/>
                <w:iCs/>
                <w:color w:val="000000" w:themeColor="text1"/>
                <w:szCs w:val="24"/>
              </w:rPr>
            </w:pPr>
            <w:r>
              <w:rPr>
                <w:rFonts w:cstheme="minorHAnsi"/>
                <w:i/>
                <w:iCs/>
                <w:color w:val="000000" w:themeColor="text1"/>
                <w:szCs w:val="24"/>
              </w:rPr>
              <w:t xml:space="preserve">3,94 – </w:t>
            </w:r>
            <w:r w:rsidR="006179BB" w:rsidRPr="009B1BB0">
              <w:rPr>
                <w:rFonts w:cstheme="minorHAnsi"/>
                <w:i/>
                <w:iCs/>
                <w:color w:val="000000" w:themeColor="text1"/>
                <w:szCs w:val="24"/>
              </w:rPr>
              <w:t>4,06</w:t>
            </w:r>
          </w:p>
        </w:tc>
      </w:tr>
      <w:tr w:rsidR="006179BB" w:rsidRPr="009B1BB0" w14:paraId="135CBD90" w14:textId="77777777" w:rsidTr="0007326F">
        <w:trPr>
          <w:jc w:val="center"/>
        </w:trPr>
        <w:tc>
          <w:tcPr>
            <w:tcW w:w="9069" w:type="dxa"/>
            <w:gridSpan w:val="4"/>
            <w:shd w:val="clear" w:color="auto" w:fill="auto"/>
            <w:vAlign w:val="center"/>
          </w:tcPr>
          <w:p w14:paraId="38AB0146" w14:textId="77777777" w:rsidR="006179BB" w:rsidRPr="009B1BB0" w:rsidRDefault="006179BB" w:rsidP="006179BB">
            <w:pPr>
              <w:spacing w:after="0" w:line="240" w:lineRule="auto"/>
              <w:rPr>
                <w:rFonts w:cstheme="minorHAnsi"/>
                <w:color w:val="000000" w:themeColor="text1"/>
                <w:szCs w:val="24"/>
              </w:rPr>
            </w:pPr>
            <w:r w:rsidRPr="009B1BB0">
              <w:rPr>
                <w:rFonts w:cstheme="minorHAnsi"/>
                <w:color w:val="000000" w:themeColor="text1"/>
                <w:szCs w:val="24"/>
              </w:rPr>
              <w:t>neobligātais mērķis – enerģijas galapatēriņš</w:t>
            </w:r>
          </w:p>
        </w:tc>
      </w:tr>
      <w:tr w:rsidR="006179BB" w:rsidRPr="009B1BB0" w14:paraId="7BFFED47" w14:textId="77777777" w:rsidTr="0007326F">
        <w:trPr>
          <w:jc w:val="center"/>
        </w:trPr>
        <w:tc>
          <w:tcPr>
            <w:tcW w:w="4108" w:type="dxa"/>
            <w:shd w:val="clear" w:color="auto" w:fill="auto"/>
            <w:vAlign w:val="center"/>
          </w:tcPr>
          <w:p w14:paraId="67E0FCB3" w14:textId="77777777" w:rsidR="006179BB" w:rsidRPr="009B1BB0" w:rsidRDefault="006179BB" w:rsidP="006179BB">
            <w:pPr>
              <w:spacing w:after="0" w:line="240" w:lineRule="auto"/>
              <w:ind w:firstLine="284"/>
              <w:rPr>
                <w:rFonts w:cstheme="minorHAnsi"/>
                <w:bCs/>
                <w:color w:val="000000" w:themeColor="text1"/>
                <w:szCs w:val="24"/>
              </w:rPr>
            </w:pPr>
            <w:r w:rsidRPr="009B1BB0">
              <w:rPr>
                <w:rFonts w:cstheme="minorHAnsi"/>
                <w:bCs/>
                <w:color w:val="000000" w:themeColor="text1"/>
                <w:szCs w:val="24"/>
              </w:rPr>
              <w:t>PJ</w:t>
            </w:r>
          </w:p>
        </w:tc>
        <w:tc>
          <w:tcPr>
            <w:tcW w:w="1701" w:type="dxa"/>
            <w:shd w:val="clear" w:color="auto" w:fill="auto"/>
            <w:vAlign w:val="center"/>
          </w:tcPr>
          <w:p w14:paraId="3D4B527E"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168,01</w:t>
            </w:r>
          </w:p>
        </w:tc>
        <w:tc>
          <w:tcPr>
            <w:tcW w:w="1418" w:type="dxa"/>
            <w:shd w:val="clear" w:color="auto" w:fill="auto"/>
            <w:vAlign w:val="center"/>
          </w:tcPr>
          <w:p w14:paraId="0DA88218"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187</w:t>
            </w:r>
          </w:p>
        </w:tc>
        <w:tc>
          <w:tcPr>
            <w:tcW w:w="1842" w:type="dxa"/>
            <w:shd w:val="clear" w:color="auto" w:fill="auto"/>
            <w:vAlign w:val="center"/>
          </w:tcPr>
          <w:p w14:paraId="14938FCA" w14:textId="68C39399" w:rsidR="006179BB" w:rsidRPr="009B1BB0" w:rsidRDefault="006179BB" w:rsidP="006179BB">
            <w:pPr>
              <w:spacing w:after="0" w:line="240" w:lineRule="auto"/>
              <w:jc w:val="center"/>
              <w:rPr>
                <w:rFonts w:cstheme="minorHAnsi"/>
                <w:i/>
                <w:iCs/>
                <w:color w:val="000000" w:themeColor="text1"/>
                <w:szCs w:val="24"/>
              </w:rPr>
            </w:pPr>
            <w:r w:rsidRPr="009B1BB0">
              <w:rPr>
                <w:rFonts w:cstheme="minorHAnsi"/>
                <w:i/>
                <w:iCs/>
                <w:color w:val="000000" w:themeColor="text1"/>
                <w:szCs w:val="24"/>
              </w:rPr>
              <w:t>145</w:t>
            </w:r>
            <w:r w:rsidR="00C22CAB">
              <w:rPr>
                <w:rFonts w:cstheme="minorHAnsi"/>
                <w:i/>
                <w:iCs/>
                <w:color w:val="000000" w:themeColor="text1"/>
                <w:szCs w:val="24"/>
              </w:rPr>
              <w:t xml:space="preserve"> – 149</w:t>
            </w:r>
          </w:p>
        </w:tc>
      </w:tr>
      <w:tr w:rsidR="006179BB" w:rsidRPr="009B1BB0" w14:paraId="28EA271A" w14:textId="77777777" w:rsidTr="0007326F">
        <w:trPr>
          <w:jc w:val="center"/>
        </w:trPr>
        <w:tc>
          <w:tcPr>
            <w:tcW w:w="4108" w:type="dxa"/>
            <w:shd w:val="clear" w:color="auto" w:fill="auto"/>
            <w:vAlign w:val="center"/>
          </w:tcPr>
          <w:p w14:paraId="243EC623" w14:textId="77777777" w:rsidR="006179BB" w:rsidRPr="009B1BB0" w:rsidRDefault="006179BB" w:rsidP="006179BB">
            <w:pPr>
              <w:spacing w:after="0" w:line="240" w:lineRule="auto"/>
              <w:ind w:firstLine="284"/>
              <w:rPr>
                <w:rFonts w:cstheme="minorHAnsi"/>
                <w:bCs/>
                <w:color w:val="000000" w:themeColor="text1"/>
                <w:szCs w:val="24"/>
              </w:rPr>
            </w:pPr>
            <w:r w:rsidRPr="009B1BB0">
              <w:rPr>
                <w:rFonts w:cstheme="minorHAnsi"/>
                <w:bCs/>
                <w:color w:val="000000" w:themeColor="text1"/>
                <w:szCs w:val="24"/>
              </w:rPr>
              <w:t>GWh</w:t>
            </w:r>
          </w:p>
        </w:tc>
        <w:tc>
          <w:tcPr>
            <w:tcW w:w="1701" w:type="dxa"/>
            <w:shd w:val="clear" w:color="auto" w:fill="auto"/>
            <w:vAlign w:val="center"/>
          </w:tcPr>
          <w:p w14:paraId="1744049C" w14:textId="2647FF42"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46 669,4</w:t>
            </w:r>
          </w:p>
        </w:tc>
        <w:tc>
          <w:tcPr>
            <w:tcW w:w="1418" w:type="dxa"/>
            <w:shd w:val="clear" w:color="auto" w:fill="auto"/>
            <w:vAlign w:val="center"/>
          </w:tcPr>
          <w:p w14:paraId="27718A9F"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51 944</w:t>
            </w:r>
          </w:p>
        </w:tc>
        <w:tc>
          <w:tcPr>
            <w:tcW w:w="1842" w:type="dxa"/>
            <w:shd w:val="clear" w:color="auto" w:fill="auto"/>
            <w:vAlign w:val="center"/>
          </w:tcPr>
          <w:p w14:paraId="49DFC735" w14:textId="5C543A01" w:rsidR="006179BB" w:rsidRPr="009B1BB0" w:rsidRDefault="006179BB">
            <w:pPr>
              <w:spacing w:after="0" w:line="240" w:lineRule="auto"/>
              <w:jc w:val="center"/>
              <w:rPr>
                <w:rFonts w:cstheme="minorHAnsi"/>
                <w:i/>
                <w:iCs/>
                <w:color w:val="000000" w:themeColor="text1"/>
                <w:szCs w:val="24"/>
              </w:rPr>
            </w:pPr>
            <w:r w:rsidRPr="009B1BB0">
              <w:rPr>
                <w:rFonts w:cstheme="minorHAnsi"/>
                <w:i/>
                <w:iCs/>
                <w:color w:val="000000" w:themeColor="text1"/>
                <w:szCs w:val="24"/>
              </w:rPr>
              <w:t>40</w:t>
            </w:r>
            <w:r w:rsidR="00C22CAB">
              <w:rPr>
                <w:rFonts w:cstheme="minorHAnsi"/>
                <w:i/>
                <w:iCs/>
                <w:color w:val="000000" w:themeColor="text1"/>
                <w:szCs w:val="24"/>
              </w:rPr>
              <w:t> </w:t>
            </w:r>
            <w:r w:rsidRPr="009B1BB0">
              <w:rPr>
                <w:rFonts w:cstheme="minorHAnsi"/>
                <w:i/>
                <w:iCs/>
                <w:color w:val="000000" w:themeColor="text1"/>
                <w:szCs w:val="24"/>
              </w:rPr>
              <w:t>278</w:t>
            </w:r>
            <w:r w:rsidR="00C22CAB">
              <w:rPr>
                <w:rFonts w:cstheme="minorHAnsi"/>
                <w:i/>
                <w:iCs/>
                <w:color w:val="000000" w:themeColor="text1"/>
                <w:szCs w:val="24"/>
              </w:rPr>
              <w:t xml:space="preserve"> –</w:t>
            </w:r>
            <w:r w:rsidR="000B4D63">
              <w:rPr>
                <w:rFonts w:cstheme="minorHAnsi"/>
                <w:i/>
                <w:iCs/>
                <w:color w:val="000000" w:themeColor="text1"/>
                <w:szCs w:val="24"/>
              </w:rPr>
              <w:t xml:space="preserve"> </w:t>
            </w:r>
            <w:r w:rsidR="00C22CAB">
              <w:rPr>
                <w:rFonts w:cstheme="minorHAnsi"/>
                <w:i/>
                <w:iCs/>
                <w:color w:val="000000" w:themeColor="text1"/>
                <w:szCs w:val="24"/>
              </w:rPr>
              <w:t>41 389</w:t>
            </w:r>
          </w:p>
        </w:tc>
      </w:tr>
      <w:tr w:rsidR="006179BB" w:rsidRPr="009B1BB0" w14:paraId="75495CFC" w14:textId="77777777" w:rsidTr="0007326F">
        <w:trPr>
          <w:jc w:val="center"/>
        </w:trPr>
        <w:tc>
          <w:tcPr>
            <w:tcW w:w="4108" w:type="dxa"/>
            <w:shd w:val="clear" w:color="auto" w:fill="auto"/>
            <w:vAlign w:val="center"/>
          </w:tcPr>
          <w:p w14:paraId="39EAEB09" w14:textId="77777777" w:rsidR="006179BB" w:rsidRPr="009B1BB0" w:rsidRDefault="006179BB" w:rsidP="006179BB">
            <w:pPr>
              <w:spacing w:after="0" w:line="240" w:lineRule="auto"/>
              <w:ind w:firstLine="284"/>
              <w:rPr>
                <w:rFonts w:cstheme="minorHAnsi"/>
                <w:bCs/>
                <w:color w:val="000000" w:themeColor="text1"/>
                <w:szCs w:val="24"/>
              </w:rPr>
            </w:pPr>
            <w:r w:rsidRPr="009B1BB0">
              <w:rPr>
                <w:rFonts w:cstheme="minorHAnsi"/>
                <w:bCs/>
                <w:color w:val="000000" w:themeColor="text1"/>
                <w:szCs w:val="24"/>
              </w:rPr>
              <w:t>Mtoe</w:t>
            </w:r>
          </w:p>
        </w:tc>
        <w:tc>
          <w:tcPr>
            <w:tcW w:w="1701" w:type="dxa"/>
            <w:shd w:val="clear" w:color="auto" w:fill="auto"/>
            <w:vAlign w:val="center"/>
          </w:tcPr>
          <w:p w14:paraId="044782E7"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4,01</w:t>
            </w:r>
          </w:p>
        </w:tc>
        <w:tc>
          <w:tcPr>
            <w:tcW w:w="1418" w:type="dxa"/>
            <w:shd w:val="clear" w:color="auto" w:fill="auto"/>
            <w:vAlign w:val="center"/>
          </w:tcPr>
          <w:p w14:paraId="46758819" w14:textId="77777777" w:rsidR="006179BB" w:rsidRPr="009B1BB0" w:rsidRDefault="006179BB" w:rsidP="006179BB">
            <w:pPr>
              <w:pStyle w:val="ListParagraph"/>
              <w:spacing w:after="0" w:line="240" w:lineRule="auto"/>
              <w:ind w:left="0"/>
              <w:contextualSpacing w:val="0"/>
              <w:jc w:val="center"/>
              <w:rPr>
                <w:rFonts w:cstheme="minorHAnsi"/>
                <w:color w:val="000000" w:themeColor="text1"/>
                <w:szCs w:val="24"/>
              </w:rPr>
            </w:pPr>
            <w:r w:rsidRPr="009B1BB0">
              <w:rPr>
                <w:rFonts w:cstheme="minorHAnsi"/>
                <w:color w:val="000000" w:themeColor="text1"/>
                <w:szCs w:val="24"/>
              </w:rPr>
              <w:t>4,47</w:t>
            </w:r>
          </w:p>
        </w:tc>
        <w:tc>
          <w:tcPr>
            <w:tcW w:w="1842" w:type="dxa"/>
            <w:shd w:val="clear" w:color="auto" w:fill="auto"/>
            <w:vAlign w:val="center"/>
          </w:tcPr>
          <w:p w14:paraId="25F2F90E" w14:textId="72DE539F" w:rsidR="006179BB" w:rsidRPr="009B1BB0" w:rsidRDefault="006179BB" w:rsidP="006179BB">
            <w:pPr>
              <w:spacing w:after="0" w:line="240" w:lineRule="auto"/>
              <w:jc w:val="center"/>
              <w:rPr>
                <w:rFonts w:cstheme="minorHAnsi"/>
                <w:i/>
                <w:iCs/>
                <w:color w:val="000000" w:themeColor="text1"/>
                <w:szCs w:val="24"/>
              </w:rPr>
            </w:pPr>
            <w:r w:rsidRPr="009B1BB0">
              <w:rPr>
                <w:rFonts w:cstheme="minorHAnsi"/>
                <w:i/>
                <w:iCs/>
                <w:color w:val="000000" w:themeColor="text1"/>
                <w:szCs w:val="24"/>
              </w:rPr>
              <w:t>3,46</w:t>
            </w:r>
            <w:r w:rsidR="00C22CAB">
              <w:rPr>
                <w:rFonts w:cstheme="minorHAnsi"/>
                <w:i/>
                <w:iCs/>
                <w:color w:val="000000" w:themeColor="text1"/>
                <w:szCs w:val="24"/>
              </w:rPr>
              <w:t xml:space="preserve"> – 3,56</w:t>
            </w:r>
          </w:p>
        </w:tc>
      </w:tr>
      <w:tr w:rsidR="006179BB" w:rsidRPr="009B1BB0" w14:paraId="64DBBAEB" w14:textId="77777777" w:rsidTr="0007326F">
        <w:trPr>
          <w:jc w:val="center"/>
        </w:trPr>
        <w:tc>
          <w:tcPr>
            <w:tcW w:w="9069" w:type="dxa"/>
            <w:gridSpan w:val="4"/>
            <w:shd w:val="clear" w:color="auto" w:fill="auto"/>
            <w:vAlign w:val="center"/>
          </w:tcPr>
          <w:p w14:paraId="1A8113A7" w14:textId="210A6A28" w:rsidR="006179BB" w:rsidRPr="009B1BB0" w:rsidRDefault="006179BB" w:rsidP="006179BB">
            <w:pPr>
              <w:spacing w:after="0" w:line="240" w:lineRule="auto"/>
              <w:rPr>
                <w:rFonts w:cstheme="minorHAnsi"/>
                <w:color w:val="000000" w:themeColor="text1"/>
                <w:szCs w:val="24"/>
              </w:rPr>
            </w:pPr>
            <w:r w:rsidRPr="009B1BB0">
              <w:rPr>
                <w:rFonts w:cstheme="minorHAnsi"/>
                <w:szCs w:val="24"/>
              </w:rPr>
              <w:t xml:space="preserve">valsts obligātais mērķis – </w:t>
            </w:r>
            <w:bookmarkStart w:id="353" w:name="_Hlk21333891"/>
            <w:r w:rsidRPr="009B1BB0">
              <w:rPr>
                <w:rFonts w:cstheme="minorHAnsi"/>
                <w:szCs w:val="24"/>
              </w:rPr>
              <w:t>kumulatīvs enerģijas galapatēriņa ietaupījums</w:t>
            </w:r>
            <w:bookmarkEnd w:id="353"/>
            <w:r w:rsidR="00AD4781">
              <w:rPr>
                <w:rStyle w:val="FootnoteReference"/>
                <w:rFonts w:cstheme="minorHAnsi"/>
                <w:szCs w:val="24"/>
              </w:rPr>
              <w:footnoteReference w:id="130"/>
            </w:r>
          </w:p>
        </w:tc>
      </w:tr>
      <w:tr w:rsidR="006179BB" w:rsidRPr="009B1BB0" w14:paraId="3C973813" w14:textId="77777777" w:rsidTr="0007326F">
        <w:trPr>
          <w:jc w:val="center"/>
        </w:trPr>
        <w:tc>
          <w:tcPr>
            <w:tcW w:w="4108" w:type="dxa"/>
            <w:shd w:val="clear" w:color="auto" w:fill="auto"/>
            <w:vAlign w:val="center"/>
          </w:tcPr>
          <w:p w14:paraId="5C9EADA0" w14:textId="77777777" w:rsidR="006179BB" w:rsidRPr="009B1BB0" w:rsidRDefault="006179BB" w:rsidP="006179BB">
            <w:pPr>
              <w:spacing w:after="0" w:line="240" w:lineRule="auto"/>
              <w:ind w:firstLine="284"/>
              <w:rPr>
                <w:rFonts w:cstheme="minorHAnsi"/>
                <w:bCs/>
                <w:color w:val="000000" w:themeColor="text1"/>
                <w:szCs w:val="24"/>
              </w:rPr>
            </w:pPr>
            <w:r w:rsidRPr="009B1BB0">
              <w:rPr>
                <w:rFonts w:cstheme="minorHAnsi"/>
                <w:bCs/>
                <w:color w:val="000000" w:themeColor="text1"/>
                <w:szCs w:val="24"/>
              </w:rPr>
              <w:t>PJ</w:t>
            </w:r>
          </w:p>
        </w:tc>
        <w:tc>
          <w:tcPr>
            <w:tcW w:w="1701" w:type="dxa"/>
            <w:shd w:val="clear" w:color="auto" w:fill="auto"/>
            <w:vAlign w:val="center"/>
          </w:tcPr>
          <w:p w14:paraId="4E77AE50"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7,54</w:t>
            </w:r>
          </w:p>
        </w:tc>
        <w:tc>
          <w:tcPr>
            <w:tcW w:w="1418" w:type="dxa"/>
            <w:shd w:val="clear" w:color="auto" w:fill="auto"/>
            <w:vAlign w:val="center"/>
          </w:tcPr>
          <w:p w14:paraId="60670F13"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35,6</w:t>
            </w:r>
          </w:p>
        </w:tc>
        <w:tc>
          <w:tcPr>
            <w:tcW w:w="1842" w:type="dxa"/>
            <w:shd w:val="clear" w:color="auto" w:fill="auto"/>
            <w:vAlign w:val="center"/>
          </w:tcPr>
          <w:p w14:paraId="6CBA27D6" w14:textId="77777777" w:rsidR="006179BB" w:rsidRPr="009B1BB0" w:rsidRDefault="006179BB" w:rsidP="006179BB">
            <w:pPr>
              <w:spacing w:after="0" w:line="240" w:lineRule="auto"/>
              <w:jc w:val="center"/>
              <w:rPr>
                <w:rFonts w:cstheme="minorHAnsi"/>
                <w:b/>
                <w:bCs/>
                <w:color w:val="000000" w:themeColor="text1"/>
                <w:szCs w:val="24"/>
              </w:rPr>
            </w:pPr>
            <w:r w:rsidRPr="009B1BB0">
              <w:rPr>
                <w:rFonts w:cstheme="minorHAnsi"/>
                <w:b/>
                <w:bCs/>
                <w:color w:val="000000" w:themeColor="text1"/>
                <w:szCs w:val="24"/>
              </w:rPr>
              <w:t>74,31</w:t>
            </w:r>
          </w:p>
        </w:tc>
      </w:tr>
      <w:tr w:rsidR="006179BB" w:rsidRPr="009B1BB0" w14:paraId="0FE7CADE" w14:textId="77777777" w:rsidTr="0007326F">
        <w:trPr>
          <w:jc w:val="center"/>
        </w:trPr>
        <w:tc>
          <w:tcPr>
            <w:tcW w:w="4108" w:type="dxa"/>
            <w:shd w:val="clear" w:color="auto" w:fill="auto"/>
            <w:vAlign w:val="center"/>
          </w:tcPr>
          <w:p w14:paraId="104F0A25" w14:textId="77777777" w:rsidR="006179BB" w:rsidRPr="009B1BB0" w:rsidRDefault="006179BB" w:rsidP="006179BB">
            <w:pPr>
              <w:spacing w:after="0" w:line="240" w:lineRule="auto"/>
              <w:ind w:firstLine="284"/>
              <w:rPr>
                <w:rFonts w:cstheme="minorHAnsi"/>
                <w:bCs/>
                <w:color w:val="000000" w:themeColor="text1"/>
                <w:szCs w:val="24"/>
              </w:rPr>
            </w:pPr>
            <w:r w:rsidRPr="009B1BB0">
              <w:rPr>
                <w:rFonts w:cstheme="minorHAnsi"/>
                <w:bCs/>
                <w:color w:val="000000" w:themeColor="text1"/>
                <w:szCs w:val="24"/>
              </w:rPr>
              <w:t>GWh</w:t>
            </w:r>
          </w:p>
        </w:tc>
        <w:tc>
          <w:tcPr>
            <w:tcW w:w="1701" w:type="dxa"/>
            <w:shd w:val="clear" w:color="auto" w:fill="auto"/>
            <w:vAlign w:val="center"/>
          </w:tcPr>
          <w:p w14:paraId="4344EDBB"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2093,4</w:t>
            </w:r>
          </w:p>
        </w:tc>
        <w:tc>
          <w:tcPr>
            <w:tcW w:w="1418" w:type="dxa"/>
            <w:shd w:val="clear" w:color="auto" w:fill="auto"/>
            <w:vAlign w:val="center"/>
          </w:tcPr>
          <w:p w14:paraId="4660F2EE"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9 896</w:t>
            </w:r>
          </w:p>
        </w:tc>
        <w:tc>
          <w:tcPr>
            <w:tcW w:w="1842" w:type="dxa"/>
            <w:shd w:val="clear" w:color="auto" w:fill="auto"/>
            <w:vAlign w:val="center"/>
          </w:tcPr>
          <w:p w14:paraId="10545FB1" w14:textId="77777777" w:rsidR="006179BB" w:rsidRPr="009B1BB0" w:rsidRDefault="006179BB" w:rsidP="006179BB">
            <w:pPr>
              <w:spacing w:after="0" w:line="240" w:lineRule="auto"/>
              <w:jc w:val="center"/>
              <w:rPr>
                <w:rFonts w:cstheme="minorHAnsi"/>
                <w:b/>
                <w:bCs/>
                <w:color w:val="000000" w:themeColor="text1"/>
                <w:szCs w:val="24"/>
              </w:rPr>
            </w:pPr>
            <w:r w:rsidRPr="009B1BB0">
              <w:rPr>
                <w:rFonts w:cstheme="minorHAnsi"/>
                <w:b/>
                <w:bCs/>
                <w:color w:val="000000" w:themeColor="text1"/>
                <w:szCs w:val="24"/>
              </w:rPr>
              <w:t>20 473</w:t>
            </w:r>
          </w:p>
        </w:tc>
      </w:tr>
      <w:tr w:rsidR="006179BB" w:rsidRPr="009B1BB0" w14:paraId="46E2FFA5" w14:textId="77777777" w:rsidTr="0007326F">
        <w:trPr>
          <w:jc w:val="center"/>
        </w:trPr>
        <w:tc>
          <w:tcPr>
            <w:tcW w:w="4108" w:type="dxa"/>
            <w:shd w:val="clear" w:color="auto" w:fill="auto"/>
            <w:vAlign w:val="center"/>
          </w:tcPr>
          <w:p w14:paraId="4A5E57A7" w14:textId="77777777" w:rsidR="006179BB" w:rsidRPr="009B1BB0" w:rsidRDefault="006179BB" w:rsidP="006179BB">
            <w:pPr>
              <w:spacing w:after="0" w:line="240" w:lineRule="auto"/>
              <w:ind w:firstLine="284"/>
              <w:rPr>
                <w:rFonts w:cstheme="minorHAnsi"/>
                <w:bCs/>
                <w:color w:val="000000" w:themeColor="text1"/>
                <w:szCs w:val="24"/>
              </w:rPr>
            </w:pPr>
            <w:r w:rsidRPr="009B1BB0">
              <w:rPr>
                <w:rFonts w:cstheme="minorHAnsi"/>
                <w:bCs/>
                <w:color w:val="000000" w:themeColor="text1"/>
                <w:szCs w:val="24"/>
              </w:rPr>
              <w:t>Mtoe</w:t>
            </w:r>
          </w:p>
        </w:tc>
        <w:tc>
          <w:tcPr>
            <w:tcW w:w="1701" w:type="dxa"/>
            <w:shd w:val="clear" w:color="auto" w:fill="auto"/>
            <w:vAlign w:val="center"/>
          </w:tcPr>
          <w:p w14:paraId="20557391"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0,18</w:t>
            </w:r>
          </w:p>
        </w:tc>
        <w:tc>
          <w:tcPr>
            <w:tcW w:w="1418" w:type="dxa"/>
            <w:shd w:val="clear" w:color="auto" w:fill="auto"/>
            <w:vAlign w:val="center"/>
          </w:tcPr>
          <w:p w14:paraId="093F499C" w14:textId="77777777" w:rsidR="006179BB" w:rsidRPr="009B1BB0" w:rsidRDefault="006179BB" w:rsidP="006179BB">
            <w:pPr>
              <w:pStyle w:val="ListParagraph"/>
              <w:spacing w:after="0" w:line="240" w:lineRule="auto"/>
              <w:ind w:left="0"/>
              <w:contextualSpacing w:val="0"/>
              <w:jc w:val="center"/>
              <w:rPr>
                <w:rFonts w:cstheme="minorHAnsi"/>
                <w:color w:val="000000" w:themeColor="text1"/>
                <w:szCs w:val="24"/>
              </w:rPr>
            </w:pPr>
            <w:r w:rsidRPr="009B1BB0">
              <w:rPr>
                <w:rFonts w:cstheme="minorHAnsi"/>
                <w:color w:val="000000" w:themeColor="text1"/>
                <w:szCs w:val="24"/>
              </w:rPr>
              <w:t>0,85</w:t>
            </w:r>
          </w:p>
        </w:tc>
        <w:tc>
          <w:tcPr>
            <w:tcW w:w="1842" w:type="dxa"/>
            <w:shd w:val="clear" w:color="auto" w:fill="auto"/>
            <w:vAlign w:val="center"/>
          </w:tcPr>
          <w:p w14:paraId="5BF7A788" w14:textId="77777777" w:rsidR="006179BB" w:rsidRPr="009B1BB0" w:rsidRDefault="006179BB" w:rsidP="006179BB">
            <w:pPr>
              <w:spacing w:after="0" w:line="240" w:lineRule="auto"/>
              <w:jc w:val="center"/>
              <w:rPr>
                <w:rFonts w:cstheme="minorHAnsi"/>
                <w:b/>
                <w:bCs/>
                <w:color w:val="000000" w:themeColor="text1"/>
                <w:szCs w:val="24"/>
              </w:rPr>
            </w:pPr>
            <w:r w:rsidRPr="009B1BB0">
              <w:rPr>
                <w:rFonts w:cstheme="minorHAnsi"/>
                <w:b/>
                <w:bCs/>
                <w:color w:val="000000" w:themeColor="text1"/>
                <w:szCs w:val="24"/>
              </w:rPr>
              <w:t>1,76</w:t>
            </w:r>
          </w:p>
        </w:tc>
      </w:tr>
    </w:tbl>
    <w:p w14:paraId="0D7644B8" w14:textId="77777777" w:rsidR="006179BB" w:rsidRPr="009B1BB0" w:rsidRDefault="006179BB" w:rsidP="006179BB">
      <w:pPr>
        <w:spacing w:before="120" w:after="120" w:line="240" w:lineRule="auto"/>
        <w:jc w:val="both"/>
        <w:rPr>
          <w:rFonts w:cstheme="minorHAnsi"/>
          <w:szCs w:val="24"/>
          <w:lang w:eastAsia="lv-LV"/>
        </w:rPr>
      </w:pPr>
      <w:bookmarkStart w:id="354" w:name="_Toc520978816"/>
      <w:bookmarkStart w:id="355" w:name="_Toc527529451"/>
      <w:r w:rsidRPr="009B1BB0">
        <w:rPr>
          <w:rFonts w:cstheme="minorHAnsi"/>
          <w:bCs/>
          <w:szCs w:val="26"/>
        </w:rPr>
        <w:t xml:space="preserve">Ņemot vērā Regulas 2018/1999 6.panta 2.punktu, Latvija </w:t>
      </w:r>
      <w:r w:rsidRPr="009B1BB0">
        <w:rPr>
          <w:rFonts w:cstheme="minorHAnsi"/>
          <w:szCs w:val="24"/>
          <w:lang w:eastAsia="lv-LV"/>
        </w:rPr>
        <w:t>sava devuma izstrādāšanā ņēma vērā šādas būtiskus apstākļus:</w:t>
      </w:r>
    </w:p>
    <w:p w14:paraId="0D371047" w14:textId="77777777" w:rsidR="006179BB" w:rsidRPr="009B1BB0"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9B1BB0">
        <w:rPr>
          <w:rFonts w:cstheme="minorHAnsi"/>
          <w:szCs w:val="24"/>
          <w:lang w:eastAsia="lv-LV"/>
        </w:rPr>
        <w:t>Latvijai ir nepieciešams nodrošināt pastāvīgu jaudu enerģētiskās drošības un sistēmu balansēšanas nodrošināšanai, kur Latvijas ģeogrāfiskā novietojuma dēļ Latvijai var būt nepieciešams būtisks papildu jaudu apjoms gada aukstākajos mēnešos.</w:t>
      </w:r>
    </w:p>
    <w:p w14:paraId="14782792" w14:textId="77777777" w:rsidR="006179BB" w:rsidRPr="009B1BB0"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9B1BB0">
        <w:rPr>
          <w:rFonts w:cstheme="minorHAnsi"/>
          <w:szCs w:val="24"/>
          <w:lang w:eastAsia="lv-LV"/>
        </w:rPr>
        <w:t>Latvijai ir nepieciešams nodrošināt Latvijas starpsavienojumu jaudu, un ņemt vērā kaimiņvalstu, ar kurām ir izveidoti minētie starpsavienojumi, pieprasījumu pēc elektroenerģijas palielinājuma. 2018. gada oktobrī apstiprinātais Lietuvas Enerģētikas ministrijas izstrādātais likums, ar kuru līdz ar Astravjecas atomelektrostacijas darbības uzsākšanu, kas plānota 2020. gada sākumā, tiks ierobežota Baltijas valstu elektroenerģijas tirdzniecība ar trešajām valstīm, nozīmēs jaudu samazinājumu visās Baltijas valstīs un palielinās nepieciešamību pēc lielāka elektroenerģijas ražošanas apjoma.</w:t>
      </w:r>
    </w:p>
    <w:p w14:paraId="6092D338" w14:textId="77777777" w:rsidR="006179BB" w:rsidRPr="009B1BB0" w:rsidRDefault="006179BB" w:rsidP="00847BE3">
      <w:pPr>
        <w:pStyle w:val="ListParagraph"/>
        <w:numPr>
          <w:ilvl w:val="0"/>
          <w:numId w:val="25"/>
        </w:numPr>
        <w:spacing w:before="120" w:after="120" w:line="240" w:lineRule="auto"/>
        <w:ind w:left="397" w:hanging="397"/>
        <w:contextualSpacing w:val="0"/>
        <w:jc w:val="both"/>
        <w:rPr>
          <w:rFonts w:cstheme="minorHAnsi"/>
          <w:szCs w:val="24"/>
          <w:lang w:eastAsia="lv-LV"/>
        </w:rPr>
      </w:pPr>
      <w:r w:rsidRPr="009B1BB0">
        <w:rPr>
          <w:rFonts w:cstheme="minorHAnsi"/>
          <w:szCs w:val="24"/>
          <w:lang w:eastAsia="lv-LV"/>
        </w:rPr>
        <w:t>Latvijai ir jāņem vērā arvien pieaugošais vietējais pieprasījums pēc elektroenerģijas, ko arī veicinās Plānā iekļautie elektrifikācijas pasākumi, vienlaicīgi, uzlabojot enerģētisko drošību, Latvijai ir jāspēj uzlabot pašnodrošinājums ar pašu saražoto elektroenerģiju.</w:t>
      </w:r>
    </w:p>
    <w:bookmarkEnd w:id="354"/>
    <w:bookmarkEnd w:id="355"/>
    <w:p w14:paraId="7BBDFA9C" w14:textId="77777777" w:rsidR="006179BB" w:rsidRPr="009B1BB0" w:rsidRDefault="006179BB" w:rsidP="006179BB">
      <w:pPr>
        <w:pStyle w:val="paragraph"/>
        <w:spacing w:before="120" w:beforeAutospacing="0" w:after="120" w:afterAutospacing="0"/>
        <w:jc w:val="both"/>
        <w:textAlignment w:val="baseline"/>
        <w:rPr>
          <w:rStyle w:val="normaltextrun"/>
          <w:rFonts w:asciiTheme="minorHAnsi" w:eastAsiaTheme="majorEastAsia" w:hAnsiTheme="minorHAnsi" w:cstheme="minorHAnsi"/>
        </w:rPr>
      </w:pPr>
      <w:r w:rsidRPr="009B1BB0">
        <w:rPr>
          <w:rStyle w:val="normaltextrun"/>
          <w:rFonts w:asciiTheme="minorHAnsi" w:eastAsiaTheme="majorEastAsia" w:hAnsiTheme="minorHAnsi" w:cstheme="minorHAnsi"/>
        </w:rPr>
        <w:t>Latvijas obligāto energoefektivitātes mērķi – kumulatīvo enerģijas galapatēriņa ietaupījumu, visā periodā, nosaka Direktīvas 2012/27/ES 7.pants, kur tiek dota arī metode kopējā kumulatīvā uzkrājuma aprēķināšanai. Direktīvā 2012/27/ES ir noteikts, ka Latvijai katru gadu ir jānodrošina jauni ietaupījumi 0,8% apmērā no ikgadējā enerģijas galapatēriņa, aprēķinot to kā vidējo no pēdējo triju gadu rādītājiem pirms 2019. gada 1. janvāra.</w:t>
      </w:r>
    </w:p>
    <w:p w14:paraId="424428C2" w14:textId="77777777" w:rsidR="006179BB" w:rsidRPr="009B1BB0" w:rsidRDefault="006179BB" w:rsidP="006179BB">
      <w:pPr>
        <w:pStyle w:val="paragraph"/>
        <w:spacing w:before="120" w:beforeAutospacing="0" w:after="120" w:afterAutospacing="0"/>
        <w:jc w:val="center"/>
        <w:textAlignment w:val="baseline"/>
        <w:rPr>
          <w:rStyle w:val="normaltextrun"/>
          <w:rFonts w:asciiTheme="minorHAnsi" w:eastAsiaTheme="majorEastAsia" w:hAnsiTheme="minorHAnsi" w:cstheme="minorHAnsi"/>
        </w:rPr>
      </w:pPr>
      <w:r w:rsidRPr="009B1BB0">
        <w:rPr>
          <w:rFonts w:asciiTheme="minorHAnsi" w:hAnsiTheme="minorHAnsi" w:cstheme="minorHAnsi"/>
          <w:noProof/>
        </w:rPr>
        <w:drawing>
          <wp:inline distT="0" distB="0" distL="0" distR="0" wp14:anchorId="58DAECC8" wp14:editId="61BAA1AD">
            <wp:extent cx="4258925" cy="2438400"/>
            <wp:effectExtent l="0" t="0" r="8890" b="0"/>
            <wp:docPr id="62" name="Picture 4">
              <a:extLst xmlns:a="http://schemas.openxmlformats.org/drawingml/2006/main">
                <a:ext uri="{FF2B5EF4-FFF2-40B4-BE49-F238E27FC236}">
                  <a16:creationId xmlns:a16="http://schemas.microsoft.com/office/drawing/2014/main" id="{9D5804A1-8021-4391-A524-2A0C956F95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D5804A1-8021-4391-A524-2A0C956F950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62593" cy="2440500"/>
                    </a:xfrm>
                    <a:prstGeom prst="rect">
                      <a:avLst/>
                    </a:prstGeom>
                    <a:noFill/>
                  </pic:spPr>
                </pic:pic>
              </a:graphicData>
            </a:graphic>
          </wp:inline>
        </w:drawing>
      </w:r>
    </w:p>
    <w:p w14:paraId="4BDC7E81" w14:textId="75560F99" w:rsidR="006179BB" w:rsidRPr="009B1BB0" w:rsidRDefault="006179BB" w:rsidP="006179BB">
      <w:pPr>
        <w:pStyle w:val="Caption"/>
        <w:rPr>
          <w:rStyle w:val="normaltextrun"/>
          <w:rFonts w:asciiTheme="minorHAnsi" w:hAnsiTheme="minorHAnsi" w:cstheme="minorHAnsi"/>
        </w:rPr>
      </w:pPr>
      <w:r w:rsidRPr="009B1BB0">
        <w:rPr>
          <w:rStyle w:val="normaltextrun"/>
          <w:rFonts w:asciiTheme="minorHAnsi" w:hAnsiTheme="minorHAnsi" w:cstheme="minorHAnsi"/>
        </w:rPr>
        <w:fldChar w:fldCharType="begin"/>
      </w:r>
      <w:r w:rsidRPr="009B1BB0">
        <w:rPr>
          <w:rStyle w:val="normaltextrun"/>
          <w:rFonts w:asciiTheme="minorHAnsi" w:hAnsiTheme="minorHAnsi" w:cstheme="minorHAnsi"/>
        </w:rPr>
        <w:instrText xml:space="preserve"> SEQ Ilustrācija \* ARABIC </w:instrText>
      </w:r>
      <w:r w:rsidRPr="009B1BB0">
        <w:rPr>
          <w:rStyle w:val="normaltextrun"/>
          <w:rFonts w:asciiTheme="minorHAnsi" w:hAnsiTheme="minorHAnsi" w:cstheme="minorHAnsi"/>
        </w:rPr>
        <w:fldChar w:fldCharType="separate"/>
      </w:r>
      <w:bookmarkStart w:id="356" w:name="_Toc531333088"/>
      <w:bookmarkStart w:id="357" w:name="_Toc23782717"/>
      <w:r w:rsidR="006E6675">
        <w:rPr>
          <w:rStyle w:val="normaltextrun"/>
          <w:rFonts w:asciiTheme="minorHAnsi" w:hAnsiTheme="minorHAnsi" w:cstheme="minorHAnsi"/>
          <w:noProof/>
        </w:rPr>
        <w:t>37</w:t>
      </w:r>
      <w:r w:rsidRPr="009B1BB0">
        <w:rPr>
          <w:rStyle w:val="normaltextrun"/>
          <w:rFonts w:asciiTheme="minorHAnsi" w:hAnsiTheme="minorHAnsi" w:cstheme="minorHAnsi"/>
        </w:rPr>
        <w:fldChar w:fldCharType="end"/>
      </w:r>
      <w:r w:rsidRPr="009B1BB0">
        <w:rPr>
          <w:rFonts w:asciiTheme="minorHAnsi" w:hAnsiTheme="minorHAnsi" w:cstheme="minorHAnsi"/>
        </w:rPr>
        <w:t>.attēls. Obligātā mērķa – kumulatīvs enerģijas galapatēriņa ietaupījums, teorētiskais aprēķins 2021.-2030.g. (PJ)</w:t>
      </w:r>
      <w:bookmarkEnd w:id="356"/>
      <w:bookmarkEnd w:id="357"/>
    </w:p>
    <w:p w14:paraId="64EE0782" w14:textId="77777777" w:rsidR="006179BB" w:rsidRPr="009B1BB0" w:rsidRDefault="006179BB" w:rsidP="0007326F">
      <w:pPr>
        <w:pStyle w:val="Heading30"/>
      </w:pPr>
      <w:bookmarkStart w:id="358" w:name="_Toc520978817"/>
      <w:bookmarkStart w:id="359" w:name="_Toc527529452"/>
      <w:bookmarkStart w:id="360" w:name="_Toc23245811"/>
      <w:bookmarkStart w:id="361" w:name="_Toc23246024"/>
      <w:bookmarkStart w:id="362" w:name="_Toc24408038"/>
      <w:r w:rsidRPr="009B1BB0">
        <w:t>Ēku atjaunošanas ilgtermiņa stratēģija</w:t>
      </w:r>
      <w:bookmarkEnd w:id="358"/>
      <w:bookmarkEnd w:id="359"/>
      <w:r w:rsidRPr="009B1BB0">
        <w:t>, neobligātie starpposma mērķi</w:t>
      </w:r>
      <w:bookmarkEnd w:id="360"/>
      <w:bookmarkEnd w:id="361"/>
      <w:bookmarkEnd w:id="362"/>
    </w:p>
    <w:p w14:paraId="1AA2EE9B" w14:textId="77777777" w:rsidR="006179BB" w:rsidRPr="009B1BB0" w:rsidRDefault="006179BB" w:rsidP="006179BB">
      <w:pPr>
        <w:shd w:val="clear" w:color="auto" w:fill="FFFFFF"/>
        <w:suppressAutoHyphens/>
        <w:autoSpaceDN w:val="0"/>
        <w:spacing w:before="120" w:after="120" w:line="240" w:lineRule="auto"/>
        <w:jc w:val="both"/>
        <w:textAlignment w:val="baseline"/>
        <w:rPr>
          <w:rFonts w:cstheme="minorHAnsi"/>
        </w:rPr>
      </w:pPr>
      <w:r w:rsidRPr="009B1BB0">
        <w:rPr>
          <w:rFonts w:eastAsia="Calibri" w:cstheme="minorHAnsi"/>
          <w:szCs w:val="24"/>
        </w:rPr>
        <w:t xml:space="preserve">Šobrīd saskaņā ar Direktīvu 2012/27/ES Latvijas 2020.gada mērķis ir </w:t>
      </w:r>
      <w:r w:rsidRPr="009B1BB0">
        <w:rPr>
          <w:rFonts w:cstheme="minorHAnsi"/>
        </w:rPr>
        <w:t>ikgadējs 3% centrālās valdības ēku platības atjaunošanas mērķis, un Latvija piedāvā šo mērķi turpināt arī periodā līdz 2030.gadam. Latvija vēl nav aprēķinājusi maksimālo prognozi kopējai renovētajai ēku platībai.</w:t>
      </w:r>
    </w:p>
    <w:p w14:paraId="77A864C1" w14:textId="77777777" w:rsidR="006179BB" w:rsidRPr="009B1BB0" w:rsidRDefault="006179BB" w:rsidP="006179BB">
      <w:pPr>
        <w:shd w:val="clear" w:color="auto" w:fill="FFFFFF"/>
        <w:suppressAutoHyphens/>
        <w:autoSpaceDN w:val="0"/>
        <w:spacing w:before="120" w:after="120" w:line="240" w:lineRule="auto"/>
        <w:jc w:val="both"/>
        <w:textAlignment w:val="baseline"/>
        <w:rPr>
          <w:rFonts w:cstheme="minorHAnsi"/>
          <w:sz w:val="22"/>
        </w:rPr>
      </w:pPr>
      <w:r w:rsidRPr="009B1BB0">
        <w:rPr>
          <w:rFonts w:cstheme="minorHAnsi"/>
        </w:rPr>
        <w:t>Periodā līdz 2030.gadam Latvija piedāvā nodrošināt vidējā īpatnējā siltumenerģijas patēriņa ēkās apkurei samazinājumu līdz 100 kWh/m</w:t>
      </w:r>
      <w:r w:rsidRPr="009B1BB0">
        <w:rPr>
          <w:rFonts w:cstheme="minorHAnsi"/>
          <w:vertAlign w:val="superscript"/>
        </w:rPr>
        <w:t>2</w:t>
      </w:r>
      <w:r w:rsidRPr="009B1BB0">
        <w:rPr>
          <w:rFonts w:cstheme="minorHAnsi"/>
        </w:rPr>
        <w:t>/gadā.</w:t>
      </w:r>
    </w:p>
    <w:p w14:paraId="122E4603" w14:textId="610E8C81" w:rsidR="006179BB" w:rsidRPr="009B1BB0" w:rsidRDefault="006179BB" w:rsidP="006179BB">
      <w:pPr>
        <w:pStyle w:val="Caption"/>
        <w:rPr>
          <w:rFonts w:asciiTheme="minorHAnsi" w:eastAsia="Calibri" w:hAnsiTheme="minorHAnsi" w:cstheme="minorHAnsi"/>
        </w:rPr>
      </w:pPr>
      <w:r w:rsidRPr="009B1BB0">
        <w:rPr>
          <w:rFonts w:asciiTheme="minorHAnsi" w:eastAsia="Calibri" w:hAnsiTheme="minorHAnsi" w:cstheme="minorHAnsi"/>
        </w:rPr>
        <w:fldChar w:fldCharType="begin"/>
      </w:r>
      <w:r w:rsidRPr="009B1BB0">
        <w:rPr>
          <w:rFonts w:asciiTheme="minorHAnsi" w:eastAsia="Calibri" w:hAnsiTheme="minorHAnsi" w:cstheme="minorHAnsi"/>
        </w:rPr>
        <w:instrText xml:space="preserve"> SEQ Tabula \* ARABIC </w:instrText>
      </w:r>
      <w:r w:rsidRPr="009B1BB0">
        <w:rPr>
          <w:rFonts w:asciiTheme="minorHAnsi" w:eastAsia="Calibri" w:hAnsiTheme="minorHAnsi" w:cstheme="minorHAnsi"/>
        </w:rPr>
        <w:fldChar w:fldCharType="separate"/>
      </w:r>
      <w:bookmarkStart w:id="363" w:name="_Toc531333146"/>
      <w:r w:rsidR="006E6675">
        <w:rPr>
          <w:rFonts w:asciiTheme="minorHAnsi" w:eastAsia="Calibri" w:hAnsiTheme="minorHAnsi" w:cstheme="minorHAnsi"/>
          <w:noProof/>
        </w:rPr>
        <w:t>18</w:t>
      </w:r>
      <w:r w:rsidRPr="009B1BB0">
        <w:rPr>
          <w:rFonts w:asciiTheme="minorHAnsi" w:eastAsia="Calibri" w:hAnsiTheme="minorHAnsi" w:cstheme="minorHAnsi"/>
        </w:rPr>
        <w:fldChar w:fldCharType="end"/>
      </w:r>
      <w:r w:rsidRPr="009B1BB0">
        <w:rPr>
          <w:rFonts w:asciiTheme="minorHAnsi" w:hAnsiTheme="minorHAnsi" w:cstheme="minorHAnsi"/>
        </w:rPr>
        <w:t xml:space="preserve">.tabula. </w:t>
      </w:r>
      <w:r w:rsidRPr="009B1BB0">
        <w:rPr>
          <w:rFonts w:asciiTheme="minorHAnsi" w:eastAsia="Calibri" w:hAnsiTheme="minorHAnsi" w:cstheme="minorHAnsi"/>
        </w:rPr>
        <w:t>Latvijas ēku energoefektivitātes politikas mērķi</w:t>
      </w:r>
      <w:bookmarkEnd w:id="363"/>
      <w:r w:rsidRPr="009B1BB0">
        <w:rPr>
          <w:rFonts w:asciiTheme="minorHAnsi" w:eastAsia="Calibri" w:hAnsiTheme="minorHAnsi" w:cstheme="minorHAnsi"/>
        </w:rPr>
        <w:t xml:space="preserve"> un rezultatīvie rādītāji</w:t>
      </w:r>
    </w:p>
    <w:tbl>
      <w:tblPr>
        <w:tblW w:w="906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95"/>
        <w:gridCol w:w="1414"/>
        <w:gridCol w:w="1843"/>
        <w:gridCol w:w="1417"/>
      </w:tblGrid>
      <w:tr w:rsidR="006179BB" w:rsidRPr="009B1BB0" w14:paraId="59A3A812" w14:textId="77777777" w:rsidTr="006179BB">
        <w:trPr>
          <w:tblHeader/>
          <w:jc w:val="center"/>
        </w:trPr>
        <w:tc>
          <w:tcPr>
            <w:tcW w:w="4395" w:type="dxa"/>
            <w:vMerge w:val="restart"/>
            <w:shd w:val="clear" w:color="auto" w:fill="F2F2F2" w:themeFill="background1" w:themeFillShade="F2"/>
            <w:vAlign w:val="center"/>
          </w:tcPr>
          <w:p w14:paraId="1440AB59" w14:textId="77777777" w:rsidR="006179BB" w:rsidRPr="009B1BB0" w:rsidRDefault="006179BB" w:rsidP="006179BB">
            <w:pPr>
              <w:spacing w:after="0" w:line="240" w:lineRule="auto"/>
              <w:rPr>
                <w:rFonts w:cstheme="minorHAnsi"/>
                <w:b/>
                <w:color w:val="000000" w:themeColor="text1"/>
                <w:sz w:val="22"/>
              </w:rPr>
            </w:pPr>
            <w:r w:rsidRPr="009B1BB0">
              <w:rPr>
                <w:rFonts w:cstheme="minorHAnsi"/>
                <w:b/>
                <w:color w:val="000000" w:themeColor="text1"/>
                <w:sz w:val="22"/>
              </w:rPr>
              <w:t>Politikas rezultāts energoefektivitātes dimensijā ēku energoefektivitātes apakšdimensijā</w:t>
            </w:r>
          </w:p>
        </w:tc>
        <w:tc>
          <w:tcPr>
            <w:tcW w:w="1414" w:type="dxa"/>
            <w:shd w:val="clear" w:color="auto" w:fill="F2F2F2" w:themeFill="background1" w:themeFillShade="F2"/>
            <w:vAlign w:val="center"/>
          </w:tcPr>
          <w:p w14:paraId="0FFA2909"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Faktiskā vērtība</w:t>
            </w:r>
          </w:p>
        </w:tc>
        <w:tc>
          <w:tcPr>
            <w:tcW w:w="3260" w:type="dxa"/>
            <w:gridSpan w:val="2"/>
            <w:shd w:val="clear" w:color="auto" w:fill="F2F2F2" w:themeFill="background1" w:themeFillShade="F2"/>
            <w:vAlign w:val="center"/>
          </w:tcPr>
          <w:p w14:paraId="0B04FE7D"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Mērķa vērtība</w:t>
            </w:r>
            <w:r w:rsidRPr="009B1BB0">
              <w:rPr>
                <w:rStyle w:val="FootnoteReference"/>
                <w:rFonts w:cstheme="minorHAnsi"/>
                <w:sz w:val="22"/>
              </w:rPr>
              <w:footnoteReference w:id="131"/>
            </w:r>
          </w:p>
        </w:tc>
      </w:tr>
      <w:tr w:rsidR="006179BB" w:rsidRPr="009B1BB0" w14:paraId="284941F1" w14:textId="77777777" w:rsidTr="006179BB">
        <w:trPr>
          <w:tblHeader/>
          <w:jc w:val="center"/>
        </w:trPr>
        <w:tc>
          <w:tcPr>
            <w:tcW w:w="4395" w:type="dxa"/>
            <w:vMerge/>
            <w:shd w:val="clear" w:color="auto" w:fill="F2F2F2" w:themeFill="background1" w:themeFillShade="F2"/>
            <w:vAlign w:val="center"/>
          </w:tcPr>
          <w:p w14:paraId="7673B040" w14:textId="77777777" w:rsidR="006179BB" w:rsidRPr="009B1BB0" w:rsidRDefault="006179BB" w:rsidP="006179BB">
            <w:pPr>
              <w:spacing w:after="0" w:line="240" w:lineRule="auto"/>
              <w:rPr>
                <w:rFonts w:cstheme="minorHAnsi"/>
                <w:b/>
                <w:color w:val="000000" w:themeColor="text1"/>
                <w:sz w:val="22"/>
              </w:rPr>
            </w:pPr>
          </w:p>
        </w:tc>
        <w:tc>
          <w:tcPr>
            <w:tcW w:w="1414" w:type="dxa"/>
            <w:shd w:val="clear" w:color="auto" w:fill="F2F2F2" w:themeFill="background1" w:themeFillShade="F2"/>
            <w:vAlign w:val="center"/>
          </w:tcPr>
          <w:p w14:paraId="4F3D6ECD"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2017</w:t>
            </w:r>
          </w:p>
        </w:tc>
        <w:tc>
          <w:tcPr>
            <w:tcW w:w="1843" w:type="dxa"/>
            <w:shd w:val="clear" w:color="auto" w:fill="F2F2F2" w:themeFill="background1" w:themeFillShade="F2"/>
            <w:vAlign w:val="center"/>
          </w:tcPr>
          <w:p w14:paraId="02D08984"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2020</w:t>
            </w:r>
          </w:p>
        </w:tc>
        <w:tc>
          <w:tcPr>
            <w:tcW w:w="1417" w:type="dxa"/>
            <w:shd w:val="clear" w:color="auto" w:fill="F2F2F2" w:themeFill="background1" w:themeFillShade="F2"/>
            <w:vAlign w:val="center"/>
          </w:tcPr>
          <w:p w14:paraId="153834AB"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2030</w:t>
            </w:r>
          </w:p>
        </w:tc>
      </w:tr>
      <w:tr w:rsidR="006179BB" w:rsidRPr="009B1BB0" w14:paraId="0AFC00E5" w14:textId="77777777" w:rsidTr="006179BB">
        <w:trPr>
          <w:jc w:val="center"/>
        </w:trPr>
        <w:tc>
          <w:tcPr>
            <w:tcW w:w="4395" w:type="dxa"/>
            <w:vAlign w:val="center"/>
          </w:tcPr>
          <w:p w14:paraId="1D737F6A" w14:textId="77777777" w:rsidR="006179BB" w:rsidRPr="009B1BB0" w:rsidRDefault="006179BB" w:rsidP="006179BB">
            <w:pPr>
              <w:spacing w:after="0" w:line="240" w:lineRule="auto"/>
              <w:rPr>
                <w:rFonts w:cstheme="minorHAnsi"/>
                <w:szCs w:val="24"/>
              </w:rPr>
            </w:pPr>
            <w:r w:rsidRPr="009B1BB0">
              <w:rPr>
                <w:rFonts w:cstheme="minorHAnsi"/>
                <w:szCs w:val="24"/>
              </w:rPr>
              <w:t>katru gadu renovētas 3% no tiešās pārvaldes ēku platības (kopā renovēti, m</w:t>
            </w:r>
            <w:r w:rsidRPr="009B1BB0">
              <w:rPr>
                <w:rFonts w:cstheme="minorHAnsi"/>
                <w:szCs w:val="24"/>
                <w:vertAlign w:val="superscript"/>
              </w:rPr>
              <w:t>2</w:t>
            </w:r>
            <w:r w:rsidRPr="009B1BB0">
              <w:rPr>
                <w:rFonts w:cstheme="minorHAnsi"/>
                <w:szCs w:val="24"/>
              </w:rPr>
              <w:t>)</w:t>
            </w:r>
          </w:p>
        </w:tc>
        <w:tc>
          <w:tcPr>
            <w:tcW w:w="1414" w:type="dxa"/>
            <w:vAlign w:val="center"/>
          </w:tcPr>
          <w:p w14:paraId="72EBB635"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color w:val="000000" w:themeColor="text1"/>
                <w:szCs w:val="24"/>
              </w:rPr>
              <w:t>398 707</w:t>
            </w:r>
          </w:p>
        </w:tc>
        <w:tc>
          <w:tcPr>
            <w:tcW w:w="1843" w:type="dxa"/>
            <w:vAlign w:val="center"/>
          </w:tcPr>
          <w:p w14:paraId="57BA1201" w14:textId="77777777" w:rsidR="006179BB" w:rsidRPr="009B1BB0" w:rsidRDefault="006179BB" w:rsidP="006179BB">
            <w:pPr>
              <w:pStyle w:val="ListParagraph"/>
              <w:spacing w:after="0" w:line="240" w:lineRule="auto"/>
              <w:ind w:left="0"/>
              <w:contextualSpacing w:val="0"/>
              <w:jc w:val="center"/>
              <w:rPr>
                <w:rFonts w:cstheme="minorHAnsi"/>
                <w:color w:val="000000" w:themeColor="text1"/>
                <w:szCs w:val="24"/>
              </w:rPr>
            </w:pPr>
            <w:r w:rsidRPr="009B1BB0">
              <w:rPr>
                <w:rFonts w:cstheme="minorHAnsi"/>
                <w:color w:val="000000" w:themeColor="text1"/>
                <w:szCs w:val="24"/>
              </w:rPr>
              <w:t>678 460</w:t>
            </w:r>
            <w:r w:rsidRPr="009B1BB0">
              <w:rPr>
                <w:rStyle w:val="FootnoteReference"/>
                <w:rFonts w:cstheme="minorHAnsi"/>
                <w:color w:val="000000" w:themeColor="text1"/>
                <w:szCs w:val="24"/>
              </w:rPr>
              <w:footnoteReference w:id="132"/>
            </w:r>
          </w:p>
        </w:tc>
        <w:tc>
          <w:tcPr>
            <w:tcW w:w="1417" w:type="dxa"/>
            <w:vAlign w:val="center"/>
          </w:tcPr>
          <w:p w14:paraId="185188DB" w14:textId="77777777" w:rsidR="006179BB" w:rsidRPr="009B1BB0" w:rsidRDefault="006179BB" w:rsidP="006179BB">
            <w:pPr>
              <w:spacing w:after="0" w:line="240" w:lineRule="auto"/>
              <w:jc w:val="center"/>
              <w:rPr>
                <w:rFonts w:cstheme="minorHAnsi"/>
                <w:b/>
                <w:bCs/>
                <w:iCs/>
                <w:color w:val="000000" w:themeColor="text1"/>
                <w:szCs w:val="24"/>
              </w:rPr>
            </w:pPr>
            <w:r w:rsidRPr="009B1BB0">
              <w:rPr>
                <w:rFonts w:cstheme="minorHAnsi"/>
                <w:b/>
                <w:bCs/>
                <w:iCs/>
                <w:color w:val="000000" w:themeColor="text1"/>
                <w:szCs w:val="24"/>
              </w:rPr>
              <w:t>500 000</w:t>
            </w:r>
            <w:r w:rsidRPr="007635F3">
              <w:rPr>
                <w:rStyle w:val="FootnoteReference"/>
                <w:rFonts w:cstheme="minorHAnsi"/>
                <w:iCs/>
                <w:color w:val="000000" w:themeColor="text1"/>
                <w:szCs w:val="24"/>
              </w:rPr>
              <w:footnoteReference w:id="133"/>
            </w:r>
          </w:p>
        </w:tc>
      </w:tr>
      <w:tr w:rsidR="006179BB" w:rsidRPr="009B1BB0" w14:paraId="635B80B1" w14:textId="77777777" w:rsidTr="006179BB">
        <w:trPr>
          <w:jc w:val="center"/>
        </w:trPr>
        <w:tc>
          <w:tcPr>
            <w:tcW w:w="4395" w:type="dxa"/>
            <w:vAlign w:val="center"/>
          </w:tcPr>
          <w:p w14:paraId="00BB01AD" w14:textId="77777777" w:rsidR="006179BB" w:rsidRPr="009B1BB0" w:rsidRDefault="006179BB" w:rsidP="006179BB">
            <w:pPr>
              <w:spacing w:after="0" w:line="240" w:lineRule="auto"/>
              <w:rPr>
                <w:rFonts w:cstheme="minorHAnsi"/>
                <w:szCs w:val="24"/>
              </w:rPr>
            </w:pPr>
            <w:r w:rsidRPr="009B1BB0">
              <w:rPr>
                <w:rFonts w:cstheme="minorHAnsi"/>
                <w:szCs w:val="24"/>
              </w:rPr>
              <w:t>īpatnējais siltumenerģijas patēriņš ēkās apkurei (kWh/m</w:t>
            </w:r>
            <w:r w:rsidRPr="009B1BB0">
              <w:rPr>
                <w:rFonts w:cstheme="minorHAnsi"/>
                <w:szCs w:val="24"/>
                <w:vertAlign w:val="superscript"/>
              </w:rPr>
              <w:t>2</w:t>
            </w:r>
            <w:r w:rsidRPr="009B1BB0">
              <w:rPr>
                <w:rFonts w:cstheme="minorHAnsi"/>
                <w:szCs w:val="24"/>
              </w:rPr>
              <w:t>/gadā)</w:t>
            </w:r>
          </w:p>
        </w:tc>
        <w:tc>
          <w:tcPr>
            <w:tcW w:w="1414" w:type="dxa"/>
            <w:vAlign w:val="center"/>
          </w:tcPr>
          <w:p w14:paraId="213BEAF8" w14:textId="77777777" w:rsidR="006179BB" w:rsidRPr="009B1BB0" w:rsidRDefault="006179BB" w:rsidP="006179BB">
            <w:pPr>
              <w:spacing w:after="0" w:line="240" w:lineRule="auto"/>
              <w:jc w:val="center"/>
              <w:rPr>
                <w:rFonts w:cstheme="minorHAnsi"/>
                <w:color w:val="000000" w:themeColor="text1"/>
                <w:szCs w:val="24"/>
              </w:rPr>
            </w:pPr>
            <w:r w:rsidRPr="009B1BB0">
              <w:rPr>
                <w:rFonts w:cstheme="minorHAnsi"/>
                <w:i/>
                <w:color w:val="000000" w:themeColor="text1"/>
                <w:szCs w:val="24"/>
              </w:rPr>
              <w:t>tbu</w:t>
            </w:r>
          </w:p>
        </w:tc>
        <w:tc>
          <w:tcPr>
            <w:tcW w:w="1843" w:type="dxa"/>
            <w:vAlign w:val="center"/>
          </w:tcPr>
          <w:p w14:paraId="12B1EA83" w14:textId="77777777" w:rsidR="006179BB" w:rsidRPr="009B1BB0" w:rsidRDefault="006179BB" w:rsidP="006179BB">
            <w:pPr>
              <w:pStyle w:val="ListParagraph"/>
              <w:spacing w:after="0" w:line="240" w:lineRule="auto"/>
              <w:ind w:left="0"/>
              <w:contextualSpacing w:val="0"/>
              <w:jc w:val="center"/>
              <w:rPr>
                <w:rFonts w:cstheme="minorHAnsi"/>
                <w:color w:val="000000" w:themeColor="text1"/>
                <w:szCs w:val="24"/>
              </w:rPr>
            </w:pPr>
            <w:r w:rsidRPr="009B1BB0">
              <w:rPr>
                <w:rFonts w:cstheme="minorHAnsi"/>
                <w:color w:val="000000" w:themeColor="text1"/>
                <w:szCs w:val="24"/>
              </w:rPr>
              <w:t>150</w:t>
            </w:r>
          </w:p>
        </w:tc>
        <w:tc>
          <w:tcPr>
            <w:tcW w:w="1417" w:type="dxa"/>
            <w:vAlign w:val="center"/>
          </w:tcPr>
          <w:p w14:paraId="4E7E6E55" w14:textId="32486D67" w:rsidR="006179BB" w:rsidRPr="00B4234A" w:rsidRDefault="006179BB" w:rsidP="006179BB">
            <w:pPr>
              <w:spacing w:after="0" w:line="240" w:lineRule="auto"/>
              <w:jc w:val="center"/>
              <w:rPr>
                <w:rFonts w:cstheme="minorHAnsi"/>
                <w:i/>
                <w:color w:val="000000" w:themeColor="text1"/>
                <w:szCs w:val="24"/>
              </w:rPr>
            </w:pPr>
            <w:r w:rsidRPr="0007326F">
              <w:rPr>
                <w:rFonts w:cstheme="minorHAnsi"/>
                <w:i/>
                <w:color w:val="000000" w:themeColor="text1"/>
                <w:szCs w:val="24"/>
              </w:rPr>
              <w:t>1</w:t>
            </w:r>
            <w:r w:rsidR="00A83529" w:rsidRPr="0007326F">
              <w:rPr>
                <w:rFonts w:cstheme="minorHAnsi"/>
                <w:i/>
                <w:color w:val="000000" w:themeColor="text1"/>
                <w:szCs w:val="24"/>
              </w:rPr>
              <w:t>2</w:t>
            </w:r>
            <w:r w:rsidRPr="0007326F">
              <w:rPr>
                <w:rFonts w:cstheme="minorHAnsi"/>
                <w:i/>
                <w:color w:val="000000" w:themeColor="text1"/>
                <w:szCs w:val="24"/>
              </w:rPr>
              <w:t>0</w:t>
            </w:r>
          </w:p>
        </w:tc>
      </w:tr>
    </w:tbl>
    <w:p w14:paraId="4864E54F" w14:textId="77777777" w:rsidR="006179BB" w:rsidRPr="009B1BB0" w:rsidRDefault="006179BB" w:rsidP="006179BB">
      <w:pPr>
        <w:pStyle w:val="paragraph"/>
        <w:spacing w:before="120" w:beforeAutospacing="0" w:after="120" w:afterAutospacing="0"/>
        <w:jc w:val="both"/>
        <w:textAlignment w:val="baseline"/>
        <w:rPr>
          <w:rFonts w:asciiTheme="minorHAnsi" w:hAnsiTheme="minorHAnsi" w:cstheme="minorHAnsi"/>
          <w:b/>
          <w:bCs/>
          <w:color w:val="000000" w:themeColor="text1"/>
        </w:rPr>
      </w:pPr>
      <w:bookmarkStart w:id="364" w:name="_Toc520978818"/>
      <w:bookmarkStart w:id="365" w:name="_Toc527529453"/>
      <w:r w:rsidRPr="009B1BB0">
        <w:rPr>
          <w:rFonts w:asciiTheme="minorHAnsi" w:hAnsiTheme="minorHAnsi" w:cstheme="minorHAnsi"/>
          <w:color w:val="000000" w:themeColor="text1"/>
        </w:rPr>
        <w:t xml:space="preserve">Saskaņā ar </w:t>
      </w:r>
      <w:r w:rsidRPr="009B1BB0">
        <w:rPr>
          <w:rFonts w:asciiTheme="minorHAnsi" w:eastAsia="Calibri" w:hAnsiTheme="minorHAnsi" w:cstheme="minorHAnsi"/>
        </w:rPr>
        <w:t>Direktīvas 2010/31/ES</w:t>
      </w:r>
      <w:r w:rsidRPr="009B1BB0">
        <w:rPr>
          <w:rStyle w:val="FootnoteReference"/>
          <w:rFonts w:asciiTheme="minorHAnsi" w:hAnsiTheme="minorHAnsi" w:cstheme="minorHAnsi"/>
          <w:color w:val="000000" w:themeColor="text1"/>
        </w:rPr>
        <w:t xml:space="preserve"> </w:t>
      </w:r>
      <w:r w:rsidRPr="009B1BB0">
        <w:rPr>
          <w:rFonts w:asciiTheme="minorHAnsi" w:hAnsiTheme="minorHAnsi" w:cstheme="minorHAnsi"/>
          <w:color w:val="000000" w:themeColor="text1"/>
        </w:rPr>
        <w:t xml:space="preserve"> 2 (a) pantu dalībvalstīm ilgtermiņa stratēģijas ir jāatjaunina un jāiesniedz EK kopā ar Plāna galaversiju, kas ir iesniedzama EK līdz 2019. gada 31. decembrim. Tomēr ir noteikta arī atkāpe no šī nosacījuma pirmajai ilgtermiņa atjaunošanas stratēģijai, ka tā ir iesniedzama EK līdz 2020. gada 10. martam.</w:t>
      </w:r>
      <w:r w:rsidRPr="009B1BB0">
        <w:rPr>
          <w:rFonts w:asciiTheme="minorHAnsi" w:hAnsiTheme="minorHAnsi" w:cstheme="minorHAnsi"/>
          <w:b/>
          <w:bCs/>
          <w:color w:val="000000" w:themeColor="text1"/>
        </w:rPr>
        <w:t xml:space="preserve"> Līdz ar to šajā Plānā Latvijas ilgtermiņa ēku atjaunošanas stratēģija netiek iekļauta, bet tā tiks iesniegta </w:t>
      </w:r>
      <w:r w:rsidRPr="009B1BB0">
        <w:rPr>
          <w:rFonts w:asciiTheme="minorHAnsi" w:eastAsia="Calibri" w:hAnsiTheme="minorHAnsi" w:cstheme="minorHAnsi"/>
          <w:b/>
          <w:bCs/>
        </w:rPr>
        <w:t>Direktīvā 2010/31/ES</w:t>
      </w:r>
      <w:r w:rsidRPr="009B1BB0">
        <w:rPr>
          <w:rFonts w:asciiTheme="minorHAnsi" w:hAnsiTheme="minorHAnsi" w:cstheme="minorHAnsi"/>
          <w:b/>
          <w:bCs/>
          <w:color w:val="000000" w:themeColor="text1"/>
        </w:rPr>
        <w:t xml:space="preserve"> noteiktajā termiņā.</w:t>
      </w:r>
    </w:p>
    <w:p w14:paraId="61BDEDD3" w14:textId="77777777" w:rsidR="006179BB" w:rsidRPr="009B1BB0" w:rsidRDefault="006179BB" w:rsidP="0007326F">
      <w:pPr>
        <w:pStyle w:val="Heading30"/>
      </w:pPr>
      <w:bookmarkStart w:id="366" w:name="_Toc520978820"/>
      <w:bookmarkStart w:id="367" w:name="_Toc527529455"/>
      <w:bookmarkStart w:id="368" w:name="_Toc23245812"/>
      <w:bookmarkStart w:id="369" w:name="_Toc23246025"/>
      <w:bookmarkStart w:id="370" w:name="_Toc24408039"/>
      <w:bookmarkEnd w:id="364"/>
      <w:bookmarkEnd w:id="365"/>
      <w:r w:rsidRPr="009B1BB0">
        <w:t>Citi nacionālie mērķi</w:t>
      </w:r>
      <w:bookmarkEnd w:id="366"/>
      <w:bookmarkEnd w:id="367"/>
      <w:bookmarkEnd w:id="368"/>
      <w:bookmarkEnd w:id="369"/>
      <w:bookmarkEnd w:id="370"/>
      <w:r w:rsidRPr="009B1BB0">
        <w:t> </w:t>
      </w:r>
    </w:p>
    <w:p w14:paraId="4E59A798" w14:textId="77777777" w:rsidR="006179BB" w:rsidRPr="009B1BB0" w:rsidRDefault="006179BB" w:rsidP="006179BB">
      <w:pPr>
        <w:spacing w:before="120" w:after="120" w:line="240" w:lineRule="auto"/>
        <w:jc w:val="both"/>
        <w:rPr>
          <w:rFonts w:cstheme="minorHAnsi"/>
          <w:color w:val="000000"/>
          <w:szCs w:val="24"/>
        </w:rPr>
      </w:pPr>
      <w:r w:rsidRPr="009B1BB0">
        <w:rPr>
          <w:rFonts w:eastAsia="Times New Roman" w:cstheme="minorHAnsi"/>
          <w:color w:val="000000"/>
          <w:szCs w:val="24"/>
        </w:rPr>
        <w:t xml:space="preserve">NIPP2020 kā Latvijas Nacionālās industriālās politikas mērķis ir noteikts mērķis </w:t>
      </w:r>
      <w:r w:rsidRPr="009B1BB0">
        <w:rPr>
          <w:rFonts w:cstheme="minorHAnsi"/>
          <w:color w:val="000000"/>
          <w:szCs w:val="24"/>
        </w:rPr>
        <w:t xml:space="preserve">veicināt ekonomikas strukturālās izmaiņas par labu preču un pakalpojumu ar augstāku pievienoto vērtību ražošanai, t.sk. rūpniecības lomas palielināšanai, rūpniecības un pakalpojumu modernizācijai un </w:t>
      </w:r>
      <w:r w:rsidRPr="009B1BB0">
        <w:rPr>
          <w:rFonts w:cstheme="minorHAnsi"/>
          <w:szCs w:val="24"/>
        </w:rPr>
        <w:t xml:space="preserve">sarežģītāku preču ar augstāku pievienoto vērtību </w:t>
      </w:r>
      <w:r w:rsidRPr="009B1BB0">
        <w:rPr>
          <w:rFonts w:cstheme="minorHAnsi"/>
          <w:color w:val="000000"/>
          <w:szCs w:val="24"/>
        </w:rPr>
        <w:t>eksporta attīstībai, ko attiecīgi var veicināt sekmīga energoefektivitātes uzlabošanas politika, kā arī kas var veicināt energoefektivitātes mērķu sasniegšanu, nodrošinot energointensīvāko nozaru pārorientāciju.</w:t>
      </w:r>
    </w:p>
    <w:p w14:paraId="607F5A4B" w14:textId="77777777" w:rsidR="006179BB" w:rsidRPr="009B1BB0" w:rsidRDefault="006179BB" w:rsidP="0007326F">
      <w:pPr>
        <w:pStyle w:val="Heading20"/>
      </w:pPr>
      <w:bookmarkStart w:id="371" w:name="_Toc520978821"/>
      <w:bookmarkStart w:id="372" w:name="_Toc527529456"/>
      <w:bookmarkStart w:id="373" w:name="_Toc17878346"/>
      <w:bookmarkStart w:id="374" w:name="_Toc23245813"/>
      <w:bookmarkStart w:id="375" w:name="_Toc23246026"/>
      <w:bookmarkStart w:id="376" w:name="_Toc24408040"/>
      <w:bookmarkStart w:id="377" w:name="_Toc24408108"/>
      <w:r w:rsidRPr="009B1BB0">
        <w:t>Enerģētiskā drošība</w:t>
      </w:r>
      <w:bookmarkEnd w:id="371"/>
      <w:bookmarkEnd w:id="372"/>
      <w:bookmarkEnd w:id="373"/>
      <w:bookmarkEnd w:id="374"/>
      <w:bookmarkEnd w:id="375"/>
      <w:bookmarkEnd w:id="376"/>
      <w:bookmarkEnd w:id="377"/>
      <w:r w:rsidRPr="009B1BB0">
        <w:t xml:space="preserve"> </w:t>
      </w:r>
    </w:p>
    <w:p w14:paraId="10B7D48D" w14:textId="77777777" w:rsidR="006179BB" w:rsidRPr="009B1BB0" w:rsidRDefault="006179BB" w:rsidP="006179BB">
      <w:pPr>
        <w:pStyle w:val="Default"/>
        <w:spacing w:before="120" w:after="120"/>
        <w:jc w:val="both"/>
        <w:rPr>
          <w:rFonts w:asciiTheme="minorHAnsi" w:hAnsiTheme="minorHAnsi" w:cstheme="minorHAnsi"/>
        </w:rPr>
      </w:pPr>
      <w:bookmarkStart w:id="378" w:name="_Toc520978823"/>
      <w:bookmarkStart w:id="379" w:name="_Toc527529458"/>
      <w:r w:rsidRPr="009B1BB0">
        <w:rPr>
          <w:rFonts w:asciiTheme="minorHAnsi" w:hAnsiTheme="minorHAnsi" w:cstheme="minorHAnsi"/>
        </w:rPr>
        <w:t>LIAS2030 ir noteikts energoatkarības samazināšanas mērķis 2030.gadam – mazāk nekā 50% neto energoresursu imports bruto iekšzemes enerģijas patēriņā (plus bunkurēšana), kas saskan ar LEIS2030 iekļauto mērķi – par 50% samazināt enerģijas un energoresursu importu no esošajiem trešo valstu piegādātājiem, salīdzinot ar 2011. gadu.</w:t>
      </w:r>
    </w:p>
    <w:p w14:paraId="7761EEE0" w14:textId="72A5876B" w:rsidR="006179BB" w:rsidRPr="009B1BB0" w:rsidRDefault="006179BB" w:rsidP="006179BB">
      <w:pPr>
        <w:pStyle w:val="Caption"/>
        <w:rPr>
          <w:rFonts w:asciiTheme="minorHAnsi" w:hAnsiTheme="minorHAnsi" w:cstheme="minorHAnsi"/>
        </w:rPr>
      </w:pPr>
      <w:r w:rsidRPr="009B1BB0">
        <w:rPr>
          <w:rFonts w:asciiTheme="minorHAnsi" w:hAnsiTheme="minorHAnsi" w:cstheme="minorHAnsi"/>
          <w:noProof/>
        </w:rPr>
        <w:fldChar w:fldCharType="begin"/>
      </w:r>
      <w:r w:rsidRPr="009B1BB0">
        <w:rPr>
          <w:rFonts w:asciiTheme="minorHAnsi" w:hAnsiTheme="minorHAnsi" w:cstheme="minorHAnsi"/>
          <w:noProof/>
        </w:rPr>
        <w:instrText xml:space="preserve"> SEQ Tabula \* ARABIC </w:instrText>
      </w:r>
      <w:r w:rsidRPr="009B1BB0">
        <w:rPr>
          <w:rFonts w:asciiTheme="minorHAnsi" w:hAnsiTheme="minorHAnsi" w:cstheme="minorHAnsi"/>
          <w:noProof/>
        </w:rPr>
        <w:fldChar w:fldCharType="separate"/>
      </w:r>
      <w:r w:rsidR="006E6675">
        <w:rPr>
          <w:rFonts w:asciiTheme="minorHAnsi" w:hAnsiTheme="minorHAnsi" w:cstheme="minorHAnsi"/>
          <w:noProof/>
        </w:rPr>
        <w:t>19</w:t>
      </w:r>
      <w:r w:rsidRPr="009B1BB0">
        <w:rPr>
          <w:rFonts w:asciiTheme="minorHAnsi" w:hAnsiTheme="minorHAnsi" w:cstheme="minorHAnsi"/>
          <w:noProof/>
        </w:rPr>
        <w:fldChar w:fldCharType="end"/>
      </w:r>
      <w:r w:rsidRPr="009B1BB0">
        <w:rPr>
          <w:rFonts w:asciiTheme="minorHAnsi" w:hAnsiTheme="minorHAnsi" w:cstheme="minorHAnsi"/>
        </w:rPr>
        <w:t>. tabula. Latvijas enerģētiskās drošības uzlabošanas politikas mērķi un to rezultatīvie radītāji</w:t>
      </w:r>
    </w:p>
    <w:tbl>
      <w:tblPr>
        <w:tblW w:w="89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529"/>
        <w:gridCol w:w="1424"/>
        <w:gridCol w:w="982"/>
        <w:gridCol w:w="1002"/>
      </w:tblGrid>
      <w:tr w:rsidR="006179BB" w:rsidRPr="009B1BB0" w14:paraId="33CC2DEB" w14:textId="77777777" w:rsidTr="006179BB">
        <w:trPr>
          <w:tblHeader/>
          <w:jc w:val="center"/>
        </w:trPr>
        <w:tc>
          <w:tcPr>
            <w:tcW w:w="5529" w:type="dxa"/>
            <w:vMerge w:val="restart"/>
            <w:shd w:val="clear" w:color="auto" w:fill="F2F2F2" w:themeFill="background1" w:themeFillShade="F2"/>
            <w:vAlign w:val="center"/>
          </w:tcPr>
          <w:p w14:paraId="0315F66C" w14:textId="77777777" w:rsidR="006179BB" w:rsidRPr="009B1BB0" w:rsidRDefault="006179BB" w:rsidP="006179BB">
            <w:pPr>
              <w:spacing w:after="0" w:line="240" w:lineRule="auto"/>
              <w:rPr>
                <w:rFonts w:cstheme="minorHAnsi"/>
                <w:b/>
                <w:color w:val="000000" w:themeColor="text1"/>
                <w:sz w:val="22"/>
              </w:rPr>
            </w:pPr>
            <w:r w:rsidRPr="009B1BB0">
              <w:rPr>
                <w:rFonts w:cstheme="minorHAnsi"/>
                <w:b/>
                <w:color w:val="000000" w:themeColor="text1"/>
                <w:sz w:val="22"/>
              </w:rPr>
              <w:t>Politikas rezultāts enerģētiskās drošības dimensijā</w:t>
            </w:r>
          </w:p>
        </w:tc>
        <w:tc>
          <w:tcPr>
            <w:tcW w:w="1424" w:type="dxa"/>
            <w:shd w:val="clear" w:color="auto" w:fill="F2F2F2" w:themeFill="background1" w:themeFillShade="F2"/>
            <w:vAlign w:val="center"/>
          </w:tcPr>
          <w:p w14:paraId="7C9B4833"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Faktiskā vērtība</w:t>
            </w:r>
          </w:p>
        </w:tc>
        <w:tc>
          <w:tcPr>
            <w:tcW w:w="1984" w:type="dxa"/>
            <w:gridSpan w:val="2"/>
            <w:shd w:val="clear" w:color="auto" w:fill="F2F2F2" w:themeFill="background1" w:themeFillShade="F2"/>
            <w:vAlign w:val="center"/>
          </w:tcPr>
          <w:p w14:paraId="6C2DCADB"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Mērķa vērtība</w:t>
            </w:r>
          </w:p>
        </w:tc>
      </w:tr>
      <w:tr w:rsidR="006179BB" w:rsidRPr="009B1BB0" w14:paraId="706D8932" w14:textId="77777777" w:rsidTr="006179BB">
        <w:trPr>
          <w:tblHeader/>
          <w:jc w:val="center"/>
        </w:trPr>
        <w:tc>
          <w:tcPr>
            <w:tcW w:w="5529" w:type="dxa"/>
            <w:vMerge/>
            <w:shd w:val="clear" w:color="auto" w:fill="F2F2F2" w:themeFill="background1" w:themeFillShade="F2"/>
            <w:vAlign w:val="center"/>
          </w:tcPr>
          <w:p w14:paraId="3B0A5BAD" w14:textId="77777777" w:rsidR="006179BB" w:rsidRPr="009B1BB0" w:rsidRDefault="006179BB" w:rsidP="006179BB">
            <w:pPr>
              <w:spacing w:after="0" w:line="240" w:lineRule="auto"/>
              <w:rPr>
                <w:rFonts w:cstheme="minorHAnsi"/>
                <w:b/>
                <w:color w:val="000000" w:themeColor="text1"/>
                <w:sz w:val="22"/>
              </w:rPr>
            </w:pPr>
          </w:p>
        </w:tc>
        <w:tc>
          <w:tcPr>
            <w:tcW w:w="1424" w:type="dxa"/>
            <w:shd w:val="clear" w:color="auto" w:fill="F2F2F2" w:themeFill="background1" w:themeFillShade="F2"/>
            <w:vAlign w:val="center"/>
          </w:tcPr>
          <w:p w14:paraId="176BC462"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2017</w:t>
            </w:r>
          </w:p>
        </w:tc>
        <w:tc>
          <w:tcPr>
            <w:tcW w:w="982" w:type="dxa"/>
            <w:shd w:val="clear" w:color="auto" w:fill="F2F2F2" w:themeFill="background1" w:themeFillShade="F2"/>
            <w:vAlign w:val="center"/>
          </w:tcPr>
          <w:p w14:paraId="1C59907C"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2020</w:t>
            </w:r>
          </w:p>
        </w:tc>
        <w:tc>
          <w:tcPr>
            <w:tcW w:w="1002" w:type="dxa"/>
            <w:shd w:val="clear" w:color="auto" w:fill="F2F2F2" w:themeFill="background1" w:themeFillShade="F2"/>
            <w:vAlign w:val="center"/>
          </w:tcPr>
          <w:p w14:paraId="3308B752"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2030</w:t>
            </w:r>
            <w:r w:rsidRPr="009B1BB0">
              <w:rPr>
                <w:rStyle w:val="FootnoteReference"/>
                <w:rFonts w:cstheme="minorHAnsi"/>
                <w:sz w:val="22"/>
              </w:rPr>
              <w:footnoteReference w:id="134"/>
            </w:r>
          </w:p>
        </w:tc>
      </w:tr>
      <w:tr w:rsidR="006179BB" w:rsidRPr="009B1BB0" w14:paraId="43854CD0" w14:textId="77777777" w:rsidTr="006179BB">
        <w:trPr>
          <w:jc w:val="center"/>
        </w:trPr>
        <w:tc>
          <w:tcPr>
            <w:tcW w:w="5529" w:type="dxa"/>
            <w:vAlign w:val="center"/>
          </w:tcPr>
          <w:p w14:paraId="35353D26" w14:textId="77777777" w:rsidR="006179BB" w:rsidRPr="009B1BB0" w:rsidRDefault="006179BB" w:rsidP="006179BB">
            <w:pPr>
              <w:pStyle w:val="ListParagraph"/>
              <w:spacing w:after="0" w:line="240" w:lineRule="auto"/>
              <w:ind w:left="0"/>
              <w:contextualSpacing w:val="0"/>
              <w:rPr>
                <w:rFonts w:cstheme="minorHAnsi"/>
                <w:b/>
                <w:color w:val="000000" w:themeColor="text1"/>
                <w:szCs w:val="24"/>
              </w:rPr>
            </w:pPr>
            <w:r w:rsidRPr="009B1BB0">
              <w:rPr>
                <w:rFonts w:cstheme="minorHAnsi"/>
                <w:color w:val="000000" w:themeColor="text1"/>
                <w:szCs w:val="24"/>
              </w:rPr>
              <w:t>Importa īpatsvars bruto iekšzemes enerģijas patēriņā (t.sk. bunkurēšana) (%)</w:t>
            </w:r>
          </w:p>
        </w:tc>
        <w:tc>
          <w:tcPr>
            <w:tcW w:w="1424" w:type="dxa"/>
            <w:vAlign w:val="center"/>
          </w:tcPr>
          <w:p w14:paraId="5677A98E" w14:textId="77777777" w:rsidR="006179BB" w:rsidRPr="009B1BB0" w:rsidRDefault="006179BB" w:rsidP="006179BB">
            <w:pPr>
              <w:spacing w:after="0" w:line="240" w:lineRule="auto"/>
              <w:jc w:val="center"/>
              <w:rPr>
                <w:rFonts w:cstheme="minorHAnsi"/>
                <w:iCs/>
                <w:color w:val="000000" w:themeColor="text1"/>
                <w:szCs w:val="24"/>
              </w:rPr>
            </w:pPr>
            <w:r w:rsidRPr="009B1BB0">
              <w:rPr>
                <w:rFonts w:cstheme="minorHAnsi"/>
                <w:iCs/>
                <w:color w:val="000000" w:themeColor="text1"/>
                <w:szCs w:val="24"/>
              </w:rPr>
              <w:t>44,1</w:t>
            </w:r>
          </w:p>
        </w:tc>
        <w:tc>
          <w:tcPr>
            <w:tcW w:w="982" w:type="dxa"/>
            <w:vAlign w:val="center"/>
          </w:tcPr>
          <w:p w14:paraId="47B082C1" w14:textId="77777777" w:rsidR="006179BB" w:rsidRPr="009B1BB0" w:rsidRDefault="006179BB" w:rsidP="006179BB">
            <w:pPr>
              <w:spacing w:after="0" w:line="240" w:lineRule="auto"/>
              <w:jc w:val="center"/>
              <w:rPr>
                <w:rFonts w:cstheme="minorHAnsi"/>
                <w:bCs/>
                <w:iCs/>
                <w:color w:val="000000" w:themeColor="text1"/>
                <w:szCs w:val="24"/>
              </w:rPr>
            </w:pPr>
            <w:r w:rsidRPr="009B1BB0">
              <w:rPr>
                <w:rFonts w:cstheme="minorHAnsi"/>
                <w:bCs/>
                <w:iCs/>
                <w:color w:val="000000" w:themeColor="text1"/>
                <w:szCs w:val="24"/>
              </w:rPr>
              <w:t>44,1</w:t>
            </w:r>
          </w:p>
        </w:tc>
        <w:tc>
          <w:tcPr>
            <w:tcW w:w="1002" w:type="dxa"/>
            <w:vAlign w:val="center"/>
          </w:tcPr>
          <w:p w14:paraId="5994FB9B" w14:textId="77777777" w:rsidR="006179BB" w:rsidRPr="009B1BB0" w:rsidRDefault="006179BB" w:rsidP="006179BB">
            <w:pPr>
              <w:spacing w:after="0" w:line="240" w:lineRule="auto"/>
              <w:jc w:val="center"/>
              <w:rPr>
                <w:rFonts w:cstheme="minorHAnsi"/>
                <w:b/>
                <w:iCs/>
                <w:color w:val="000000" w:themeColor="text1"/>
                <w:szCs w:val="24"/>
              </w:rPr>
            </w:pPr>
            <w:r w:rsidRPr="009B1BB0">
              <w:rPr>
                <w:rFonts w:cstheme="minorHAnsi"/>
                <w:b/>
                <w:iCs/>
                <w:color w:val="000000" w:themeColor="text1"/>
                <w:szCs w:val="24"/>
              </w:rPr>
              <w:t>30-40</w:t>
            </w:r>
          </w:p>
        </w:tc>
      </w:tr>
      <w:tr w:rsidR="006179BB" w:rsidRPr="009B1BB0" w14:paraId="5EF391E5" w14:textId="77777777" w:rsidTr="006179BB">
        <w:trPr>
          <w:jc w:val="center"/>
        </w:trPr>
        <w:tc>
          <w:tcPr>
            <w:tcW w:w="5529" w:type="dxa"/>
            <w:vAlign w:val="center"/>
          </w:tcPr>
          <w:p w14:paraId="6BE0A9CB" w14:textId="77777777" w:rsidR="006179BB" w:rsidRPr="009B1BB0" w:rsidRDefault="006179BB" w:rsidP="006179BB">
            <w:pPr>
              <w:pStyle w:val="ListParagraph"/>
              <w:spacing w:after="0" w:line="240" w:lineRule="auto"/>
              <w:ind w:left="0"/>
              <w:contextualSpacing w:val="0"/>
              <w:rPr>
                <w:rFonts w:cstheme="minorHAnsi"/>
                <w:color w:val="000000" w:themeColor="text1"/>
                <w:szCs w:val="24"/>
              </w:rPr>
            </w:pPr>
            <w:r w:rsidRPr="009B1BB0">
              <w:rPr>
                <w:rFonts w:cstheme="minorHAnsi"/>
                <w:color w:val="000000" w:themeColor="text1"/>
                <w:szCs w:val="24"/>
              </w:rPr>
              <w:t>Importa no trešajām valstīm īpatsvars bruto iekšzemes enerģijas patēriņā (t.sk. bunkurēšana) (TWh)</w:t>
            </w:r>
          </w:p>
        </w:tc>
        <w:tc>
          <w:tcPr>
            <w:tcW w:w="1424" w:type="dxa"/>
            <w:vAlign w:val="center"/>
          </w:tcPr>
          <w:p w14:paraId="24DEAF9B" w14:textId="77777777" w:rsidR="006179BB" w:rsidRPr="009B1BB0" w:rsidRDefault="006179BB" w:rsidP="006179BB">
            <w:pPr>
              <w:spacing w:after="0" w:line="240" w:lineRule="auto"/>
              <w:jc w:val="center"/>
              <w:rPr>
                <w:rFonts w:cstheme="minorHAnsi"/>
                <w:bCs/>
                <w:color w:val="000000" w:themeColor="text1"/>
                <w:szCs w:val="24"/>
              </w:rPr>
            </w:pPr>
            <w:r w:rsidRPr="009B1BB0">
              <w:rPr>
                <w:rFonts w:cstheme="minorHAnsi"/>
                <w:bCs/>
                <w:color w:val="000000" w:themeColor="text1"/>
                <w:szCs w:val="24"/>
              </w:rPr>
              <w:t>17,7</w:t>
            </w:r>
          </w:p>
        </w:tc>
        <w:tc>
          <w:tcPr>
            <w:tcW w:w="982" w:type="dxa"/>
            <w:vAlign w:val="center"/>
          </w:tcPr>
          <w:p w14:paraId="0E03A5A7" w14:textId="77777777" w:rsidR="006179BB" w:rsidRPr="009B1BB0" w:rsidRDefault="006179BB" w:rsidP="006179BB">
            <w:pPr>
              <w:spacing w:after="0" w:line="240" w:lineRule="auto"/>
              <w:jc w:val="center"/>
              <w:rPr>
                <w:rFonts w:cstheme="minorHAnsi"/>
                <w:bCs/>
                <w:iCs/>
                <w:color w:val="000000" w:themeColor="text1"/>
                <w:szCs w:val="24"/>
              </w:rPr>
            </w:pPr>
            <w:r w:rsidRPr="009B1BB0">
              <w:rPr>
                <w:rFonts w:cstheme="minorHAnsi"/>
                <w:bCs/>
                <w:iCs/>
                <w:color w:val="000000" w:themeColor="text1"/>
                <w:szCs w:val="24"/>
              </w:rPr>
              <w:t>-</w:t>
            </w:r>
          </w:p>
        </w:tc>
        <w:tc>
          <w:tcPr>
            <w:tcW w:w="1002" w:type="dxa"/>
            <w:vAlign w:val="center"/>
          </w:tcPr>
          <w:p w14:paraId="3CF6B110" w14:textId="77777777" w:rsidR="006179BB" w:rsidRPr="009B1BB0" w:rsidRDefault="006179BB" w:rsidP="006179BB">
            <w:pPr>
              <w:spacing w:after="0" w:line="240" w:lineRule="auto"/>
              <w:jc w:val="center"/>
              <w:rPr>
                <w:rFonts w:cstheme="minorHAnsi"/>
                <w:b/>
                <w:iCs/>
                <w:color w:val="000000" w:themeColor="text1"/>
                <w:szCs w:val="24"/>
              </w:rPr>
            </w:pPr>
            <w:r w:rsidRPr="009B1BB0">
              <w:rPr>
                <w:rFonts w:cstheme="minorHAnsi"/>
                <w:b/>
                <w:iCs/>
                <w:color w:val="000000" w:themeColor="text1"/>
                <w:szCs w:val="24"/>
              </w:rPr>
              <w:t>14,1</w:t>
            </w:r>
          </w:p>
        </w:tc>
      </w:tr>
      <w:tr w:rsidR="006179BB" w:rsidRPr="009B1BB0" w14:paraId="6C981B0F" w14:textId="77777777" w:rsidTr="006179BB">
        <w:trPr>
          <w:jc w:val="center"/>
        </w:trPr>
        <w:tc>
          <w:tcPr>
            <w:tcW w:w="5529" w:type="dxa"/>
            <w:vAlign w:val="center"/>
          </w:tcPr>
          <w:p w14:paraId="4130EB4A" w14:textId="77777777" w:rsidR="006179BB" w:rsidRPr="009B1BB0" w:rsidRDefault="006179BB" w:rsidP="006179BB">
            <w:pPr>
              <w:pStyle w:val="ListParagraph"/>
              <w:spacing w:after="0" w:line="240" w:lineRule="auto"/>
              <w:ind w:left="0"/>
              <w:contextualSpacing w:val="0"/>
              <w:rPr>
                <w:rFonts w:cstheme="minorHAnsi"/>
                <w:color w:val="000000" w:themeColor="text1"/>
                <w:szCs w:val="24"/>
              </w:rPr>
            </w:pPr>
            <w:r w:rsidRPr="009B1BB0">
              <w:rPr>
                <w:rFonts w:cstheme="minorHAnsi"/>
                <w:color w:val="000000" w:themeColor="text1"/>
                <w:szCs w:val="24"/>
              </w:rPr>
              <w:t>Iespējas pirkt dabasgāzi no dažādiem avotiem (</w:t>
            </w:r>
            <w:r w:rsidRPr="009B1BB0">
              <w:rPr>
                <w:rFonts w:cstheme="minorHAnsi"/>
                <w:i/>
                <w:color w:val="000000" w:themeColor="text1"/>
                <w:szCs w:val="24"/>
              </w:rPr>
              <w:t>avotu skaits</w:t>
            </w:r>
            <w:r w:rsidRPr="009B1BB0">
              <w:rPr>
                <w:rFonts w:cstheme="minorHAnsi"/>
                <w:color w:val="000000" w:themeColor="text1"/>
                <w:szCs w:val="24"/>
              </w:rPr>
              <w:t>)</w:t>
            </w:r>
          </w:p>
        </w:tc>
        <w:tc>
          <w:tcPr>
            <w:tcW w:w="1424" w:type="dxa"/>
            <w:vAlign w:val="center"/>
          </w:tcPr>
          <w:p w14:paraId="0CBF3B58" w14:textId="77777777" w:rsidR="006179BB" w:rsidRPr="009B1BB0" w:rsidRDefault="006179BB" w:rsidP="006179BB">
            <w:pPr>
              <w:spacing w:after="0" w:line="240" w:lineRule="auto"/>
              <w:jc w:val="center"/>
              <w:rPr>
                <w:rFonts w:cstheme="minorHAnsi"/>
                <w:bCs/>
                <w:color w:val="000000" w:themeColor="text1"/>
                <w:szCs w:val="24"/>
              </w:rPr>
            </w:pPr>
            <w:r w:rsidRPr="009B1BB0">
              <w:rPr>
                <w:rFonts w:cstheme="minorHAnsi"/>
                <w:bCs/>
                <w:color w:val="000000" w:themeColor="text1"/>
                <w:szCs w:val="24"/>
              </w:rPr>
              <w:t>&gt;2</w:t>
            </w:r>
          </w:p>
        </w:tc>
        <w:tc>
          <w:tcPr>
            <w:tcW w:w="982" w:type="dxa"/>
            <w:vAlign w:val="center"/>
          </w:tcPr>
          <w:p w14:paraId="1F54610F" w14:textId="77777777" w:rsidR="006179BB" w:rsidRPr="009B1BB0" w:rsidRDefault="006179BB" w:rsidP="006179BB">
            <w:pPr>
              <w:spacing w:after="0" w:line="240" w:lineRule="auto"/>
              <w:jc w:val="center"/>
              <w:rPr>
                <w:rFonts w:cstheme="minorHAnsi"/>
                <w:bCs/>
                <w:color w:val="000000" w:themeColor="text1"/>
                <w:szCs w:val="24"/>
              </w:rPr>
            </w:pPr>
            <w:r w:rsidRPr="009B1BB0">
              <w:rPr>
                <w:rFonts w:cstheme="minorHAnsi"/>
                <w:bCs/>
                <w:color w:val="000000" w:themeColor="text1"/>
                <w:szCs w:val="24"/>
              </w:rPr>
              <w:t>≥</w:t>
            </w:r>
            <w:r>
              <w:rPr>
                <w:rFonts w:cstheme="minorHAnsi"/>
                <w:bCs/>
                <w:color w:val="000000" w:themeColor="text1"/>
                <w:szCs w:val="24"/>
              </w:rPr>
              <w:t>1</w:t>
            </w:r>
          </w:p>
        </w:tc>
        <w:tc>
          <w:tcPr>
            <w:tcW w:w="1002" w:type="dxa"/>
            <w:vAlign w:val="center"/>
          </w:tcPr>
          <w:p w14:paraId="031C37DF" w14:textId="77777777" w:rsidR="006179BB" w:rsidRPr="009B1BB0" w:rsidRDefault="006179BB" w:rsidP="006179BB">
            <w:pPr>
              <w:spacing w:after="0" w:line="240" w:lineRule="auto"/>
              <w:jc w:val="center"/>
              <w:rPr>
                <w:rFonts w:cstheme="minorHAnsi"/>
                <w:b/>
                <w:color w:val="000000" w:themeColor="text1"/>
                <w:szCs w:val="24"/>
              </w:rPr>
            </w:pPr>
            <w:r w:rsidRPr="009B1BB0">
              <w:rPr>
                <w:rFonts w:cstheme="minorHAnsi"/>
                <w:b/>
                <w:color w:val="000000" w:themeColor="text1"/>
                <w:szCs w:val="24"/>
              </w:rPr>
              <w:t>&gt;2</w:t>
            </w:r>
          </w:p>
        </w:tc>
      </w:tr>
    </w:tbl>
    <w:p w14:paraId="2252FF5F" w14:textId="77777777" w:rsidR="006179BB" w:rsidRPr="009B1BB0" w:rsidRDefault="006179BB" w:rsidP="006179BB">
      <w:pPr>
        <w:pStyle w:val="Default"/>
        <w:spacing w:before="120" w:after="120"/>
        <w:jc w:val="both"/>
        <w:rPr>
          <w:rFonts w:asciiTheme="minorHAnsi" w:hAnsiTheme="minorHAnsi" w:cstheme="minorHAnsi"/>
        </w:rPr>
      </w:pPr>
      <w:r w:rsidRPr="009B1BB0">
        <w:rPr>
          <w:rFonts w:asciiTheme="minorHAnsi" w:hAnsiTheme="minorHAnsi" w:cstheme="minorHAnsi"/>
        </w:rPr>
        <w:t>Tāpat enerģētiskās drošības nodrošināšana un uzlabošana tiek risināta ar AER īpatsvara palielināšanu un energoefektivitātes uzlabošanu, lai būtiski samazinātos nepieciešamība pēc energoresursiem (vietējiem vai importētajiem), bet pārējie izmantotie energoresursi pēc iespējas būtu dažādu tehnoloģiju un avotu AER.</w:t>
      </w:r>
    </w:p>
    <w:p w14:paraId="651B9FB9" w14:textId="77777777" w:rsidR="006179BB" w:rsidRPr="009B1BB0" w:rsidRDefault="006179BB" w:rsidP="0007326F">
      <w:pPr>
        <w:pStyle w:val="Heading30"/>
      </w:pPr>
      <w:bookmarkStart w:id="380" w:name="_Toc23245814"/>
      <w:bookmarkStart w:id="381" w:name="_Toc23246027"/>
      <w:bookmarkStart w:id="382" w:name="_Toc24408041"/>
      <w:r w:rsidRPr="009B1BB0">
        <w:t>Energoavotu un enerģijas piegāžu no trešajām valstīm dažādošanai</w:t>
      </w:r>
      <w:bookmarkEnd w:id="378"/>
      <w:bookmarkEnd w:id="379"/>
      <w:bookmarkEnd w:id="380"/>
      <w:bookmarkEnd w:id="381"/>
      <w:bookmarkEnd w:id="382"/>
    </w:p>
    <w:p w14:paraId="6FCB6F98" w14:textId="77777777" w:rsidR="006179BB" w:rsidRPr="009B1BB0" w:rsidRDefault="006179BB" w:rsidP="006179BB">
      <w:pPr>
        <w:pStyle w:val="Default"/>
        <w:spacing w:before="120" w:after="120"/>
        <w:jc w:val="both"/>
        <w:rPr>
          <w:rFonts w:asciiTheme="minorHAnsi" w:hAnsiTheme="minorHAnsi" w:cstheme="minorHAnsi"/>
        </w:rPr>
      </w:pPr>
      <w:bookmarkStart w:id="383" w:name="_Toc520978824"/>
      <w:bookmarkStart w:id="384" w:name="_Toc527529459"/>
      <w:r w:rsidRPr="009B1BB0">
        <w:rPr>
          <w:rFonts w:asciiTheme="minorHAnsi" w:hAnsiTheme="minorHAnsi" w:cstheme="minorHAnsi"/>
        </w:rPr>
        <w:t>Attiecībā uz mērķiem energoavotu dažādošanai Latvijas mērķis ir būtiski palielināt uzstādīto vēja un saules tehnoloģiju jaudu, kā arī siltumsūkņu jaudu, kur šobrīd šis apjoms ir nebūtisks, tāpat ir mērķis attīstīt saspiestās dabasgāzes (CNG) / sašķidrinātās dabasgāzes (LNG) izmantošanu transportā un uzsākt biometāna ražošanu tā tālākai izmantošanai transportā vai elektroenerģijas / siltumenerģijas ražošanā.</w:t>
      </w:r>
    </w:p>
    <w:p w14:paraId="6A850FEE" w14:textId="77777777" w:rsidR="006179BB" w:rsidRPr="009B1BB0" w:rsidRDefault="006179BB" w:rsidP="006179BB">
      <w:pPr>
        <w:pStyle w:val="Default"/>
        <w:spacing w:before="120" w:after="120"/>
        <w:jc w:val="both"/>
        <w:rPr>
          <w:rFonts w:asciiTheme="minorHAnsi" w:hAnsiTheme="minorHAnsi" w:cstheme="minorHAnsi"/>
        </w:rPr>
      </w:pPr>
      <w:r w:rsidRPr="009B1BB0">
        <w:rPr>
          <w:rFonts w:asciiTheme="minorHAnsi" w:hAnsiTheme="minorHAnsi" w:cstheme="minorHAnsi"/>
        </w:rPr>
        <w:t>Attiecībā uz mērķiem enerģijas piegāžu no trešajām valstīm dažādošanai Latvija jau šobrīd ir veikusi elektroenerģijas un dabasgāzes tirgus atvēršanas pasākumus un dažādojusi minēto energoresursu piegādātājus.</w:t>
      </w:r>
    </w:p>
    <w:p w14:paraId="0DC10517" w14:textId="77777777" w:rsidR="006179BB" w:rsidRPr="009B1BB0" w:rsidRDefault="006179BB" w:rsidP="006179BB">
      <w:pPr>
        <w:pStyle w:val="Default"/>
        <w:spacing w:before="120" w:after="120"/>
        <w:jc w:val="both"/>
        <w:rPr>
          <w:rFonts w:asciiTheme="minorHAnsi" w:hAnsiTheme="minorHAnsi" w:cstheme="minorHAnsi"/>
        </w:rPr>
      </w:pPr>
      <w:r w:rsidRPr="009B1BB0">
        <w:rPr>
          <w:rFonts w:asciiTheme="minorHAnsi" w:hAnsiTheme="minorHAnsi" w:cstheme="minorHAnsi"/>
        </w:rPr>
        <w:t>Lai gan apmēram 100% no Latvijā patērētajiem naftas produktiem tiek importēts un 78% no naftas produktiem tiek patērēti transportā (tikai 2 no visām naftas produktu importētājvalstīm ir trešās valstis), Latvijas mērķis ir turpināt nodrošināt pēc iespējas lielāku naftas produktu piegādātāju skaitu Latvijā.</w:t>
      </w:r>
    </w:p>
    <w:p w14:paraId="40ECFED9" w14:textId="77777777" w:rsidR="006179BB" w:rsidRPr="009B1BB0" w:rsidRDefault="006179BB" w:rsidP="0007326F">
      <w:pPr>
        <w:pStyle w:val="Heading30"/>
      </w:pPr>
      <w:bookmarkStart w:id="385" w:name="_Toc23245815"/>
      <w:bookmarkStart w:id="386" w:name="_Toc23246028"/>
      <w:bookmarkStart w:id="387" w:name="_Toc24408042"/>
      <w:r w:rsidRPr="009B1BB0">
        <w:t>Energoimporta samazināšana</w:t>
      </w:r>
      <w:bookmarkEnd w:id="383"/>
      <w:bookmarkEnd w:id="384"/>
      <w:bookmarkEnd w:id="385"/>
      <w:bookmarkEnd w:id="386"/>
      <w:bookmarkEnd w:id="387"/>
    </w:p>
    <w:p w14:paraId="5EF9AD36" w14:textId="77777777" w:rsidR="006179BB" w:rsidRPr="009B1BB0" w:rsidRDefault="006179BB" w:rsidP="006179BB">
      <w:pPr>
        <w:pStyle w:val="Default"/>
        <w:spacing w:before="120" w:after="120"/>
        <w:jc w:val="both"/>
        <w:rPr>
          <w:rFonts w:asciiTheme="minorHAnsi" w:hAnsiTheme="minorHAnsi" w:cstheme="minorHAnsi"/>
        </w:rPr>
      </w:pPr>
      <w:bookmarkStart w:id="388" w:name="_Toc520978825"/>
      <w:bookmarkStart w:id="389" w:name="_Toc527529460"/>
      <w:r w:rsidRPr="009B1BB0">
        <w:rPr>
          <w:rFonts w:asciiTheme="minorHAnsi" w:hAnsiTheme="minorHAnsi" w:cstheme="minorHAnsi"/>
        </w:rPr>
        <w:t xml:space="preserve">EAP2020 nosaka mērķi energoatkarības (neto energoresursu imports/bruto iekšzemes enerģijas patēriņš plus bunkurēšana, %) mērķi 2020.gadam – 44,1% energoresursu importa attiecība bruto iekšzemes enerģijas patēriņā. </w:t>
      </w:r>
    </w:p>
    <w:p w14:paraId="2B76DD6A" w14:textId="77777777" w:rsidR="006179BB" w:rsidRPr="009B1BB0" w:rsidRDefault="006179BB" w:rsidP="006179BB">
      <w:pPr>
        <w:spacing w:before="120" w:after="120" w:line="240" w:lineRule="auto"/>
        <w:jc w:val="both"/>
        <w:rPr>
          <w:rFonts w:cstheme="minorHAnsi"/>
          <w:szCs w:val="24"/>
        </w:rPr>
      </w:pPr>
      <w:r w:rsidRPr="009B1BB0">
        <w:rPr>
          <w:rFonts w:cstheme="minorHAnsi"/>
          <w:szCs w:val="24"/>
        </w:rPr>
        <w:t>Šobrīd ir secināms, ka Latvijas enerģētiskā atkarība no importējamiem energoresursiem mazinās – no 55,9 % 2013. gadā līdz 44,1 % 2017. gadā. Līdz ar to ir uzskatāms, ka Latvija savu mērķi 2020.gadam un 2030.gadam izpilda esošo rīcībpolitiku un pasākumu īstenošanā. Līdz ar to Latvija kā enerģētiskās atkarības samazināšanas mērķi nosaka mērķi turpināt samazināt enerģētisko atkarību.</w:t>
      </w:r>
    </w:p>
    <w:p w14:paraId="0A18FB76" w14:textId="77777777" w:rsidR="006179BB" w:rsidRPr="009B1BB0" w:rsidRDefault="006179BB" w:rsidP="006179BB">
      <w:pPr>
        <w:pStyle w:val="Default"/>
        <w:spacing w:before="120" w:after="120"/>
        <w:jc w:val="both"/>
        <w:rPr>
          <w:rFonts w:asciiTheme="minorHAnsi" w:hAnsiTheme="minorHAnsi" w:cstheme="minorHAnsi"/>
        </w:rPr>
      </w:pPr>
      <w:r w:rsidRPr="009B1BB0">
        <w:rPr>
          <w:rFonts w:asciiTheme="minorHAnsi" w:hAnsiTheme="minorHAnsi" w:cstheme="minorHAnsi"/>
        </w:rPr>
        <w:t xml:space="preserve">Savukārt LEIS2030 nosaka neobligātu un nesaistošu 2030.gada mērķi – par 50% samazināt enerģijas un energoresursu importu no esošajiem trešo valstu piegādātājiem, salīdzinot ar 2011.gada rādītājiem, kur 2011.gadā energoresursu imports no ārpus Eiropas Ekonomikas zonas dalībvalstīm bija 28,2 TWh. Tātad 2030.gadā šim importa rādītājam ir jābūt ne lielākam kā 14,1 TWh. </w:t>
      </w:r>
    </w:p>
    <w:p w14:paraId="7B738A12" w14:textId="77777777" w:rsidR="006179BB" w:rsidRPr="009B1BB0" w:rsidRDefault="006179BB" w:rsidP="0007326F">
      <w:pPr>
        <w:pStyle w:val="Heading30"/>
      </w:pPr>
      <w:bookmarkStart w:id="390" w:name="_Toc23245816"/>
      <w:bookmarkStart w:id="391" w:name="_Toc23246029"/>
      <w:bookmarkStart w:id="392" w:name="_Toc24408043"/>
      <w:r w:rsidRPr="009B1BB0">
        <w:t>Enerģētikas sistēmas elastības palielināšana</w:t>
      </w:r>
      <w:bookmarkEnd w:id="388"/>
      <w:bookmarkEnd w:id="389"/>
      <w:bookmarkEnd w:id="390"/>
      <w:bookmarkEnd w:id="391"/>
      <w:bookmarkEnd w:id="392"/>
    </w:p>
    <w:p w14:paraId="1A84DB30" w14:textId="77777777" w:rsidR="006179BB" w:rsidRPr="009B1BB0" w:rsidRDefault="006179BB" w:rsidP="006179BB">
      <w:pPr>
        <w:pStyle w:val="Default"/>
        <w:spacing w:before="120" w:after="120"/>
        <w:jc w:val="both"/>
        <w:rPr>
          <w:rFonts w:asciiTheme="minorHAnsi" w:hAnsiTheme="minorHAnsi" w:cstheme="minorHAnsi"/>
        </w:rPr>
      </w:pPr>
      <w:bookmarkStart w:id="393" w:name="_Toc520978826"/>
      <w:bookmarkStart w:id="394" w:name="_Toc527529461"/>
      <w:r w:rsidRPr="009B1BB0">
        <w:rPr>
          <w:rFonts w:asciiTheme="minorHAnsi" w:hAnsiTheme="minorHAnsi" w:cstheme="minorHAnsi"/>
        </w:rPr>
        <w:t>Mērķis ir periodā līdz 2022.gadam izstrādāt tiesisko regulējumu agregatoru darbībai, nosakot agregatora tiesības un pienākumus, norēķinus par tā pakalpojumiem un attiecības starp agregatoru un citiem sistēmas un tirgus dalībniekiem. Tādējādi tiktu veicināta sistēmas balansēšanas kapacitāte un elastība.</w:t>
      </w:r>
    </w:p>
    <w:p w14:paraId="75D983A5" w14:textId="77777777" w:rsidR="006179BB" w:rsidRPr="009B1BB0" w:rsidRDefault="006179BB" w:rsidP="006179BB">
      <w:pPr>
        <w:pStyle w:val="Default"/>
        <w:spacing w:before="120" w:after="120"/>
        <w:jc w:val="both"/>
        <w:rPr>
          <w:rFonts w:asciiTheme="minorHAnsi" w:hAnsiTheme="minorHAnsi" w:cstheme="minorHAnsi"/>
          <w:color w:val="auto"/>
        </w:rPr>
      </w:pPr>
      <w:r w:rsidRPr="009B1BB0">
        <w:rPr>
          <w:rFonts w:asciiTheme="minorHAnsi" w:hAnsiTheme="minorHAnsi" w:cstheme="minorHAnsi"/>
        </w:rPr>
        <w:t>Agregatoru darbība Latvijā nav iespējama bez patērētājiem uzstādītiem un pieejamiem viedajiem skaitītājiem. Atbilstoši AS “Sadales tīkls” elektroenerģijas uzskaites modernizācijas plānam, līdz 2022. gadam viedos skaitītājus plānots uzstādīt visiem AS “Sadales tīkls” klientiem (aptver 99% no patērētājiem).</w:t>
      </w:r>
      <w:r w:rsidRPr="009B1BB0">
        <w:rPr>
          <w:rFonts w:asciiTheme="minorHAnsi" w:hAnsiTheme="minorHAnsi" w:cstheme="minorHAnsi"/>
          <w:color w:val="auto"/>
        </w:rPr>
        <w:t xml:space="preserve"> Viedo elektroenerģijas skaitītāju datu nolasīšanas sistēma tiek aizsargāta, izmantojot vairāku līmeņu piekļuves principus, kā arī visos tās līmeņos tiek izmantotas datu šifrēšanas metodes, tādējādi izslēdzot jebkādu iespēju datu apmaiņas procesā identificēt konkrētā lietotāja vārdu, uzvārdu vai adresi.</w:t>
      </w:r>
    </w:p>
    <w:p w14:paraId="6B7D2EA3" w14:textId="77777777" w:rsidR="006179BB" w:rsidRPr="009B1BB0" w:rsidRDefault="006179BB" w:rsidP="0007326F">
      <w:pPr>
        <w:pStyle w:val="Heading2"/>
        <w:ind w:left="623"/>
      </w:pPr>
      <w:bookmarkStart w:id="395" w:name="_Toc17878347"/>
      <w:bookmarkStart w:id="396" w:name="_Toc23245817"/>
      <w:bookmarkStart w:id="397" w:name="_Toc23246030"/>
      <w:bookmarkStart w:id="398" w:name="_Toc24408044"/>
      <w:bookmarkStart w:id="399" w:name="_Toc24408109"/>
      <w:r w:rsidRPr="009B1BB0">
        <w:t>Iekšējais enerģijas tirgus</w:t>
      </w:r>
      <w:bookmarkEnd w:id="393"/>
      <w:bookmarkEnd w:id="394"/>
      <w:bookmarkEnd w:id="395"/>
      <w:bookmarkEnd w:id="396"/>
      <w:bookmarkEnd w:id="397"/>
      <w:bookmarkEnd w:id="398"/>
      <w:bookmarkEnd w:id="399"/>
      <w:r w:rsidRPr="009B1BB0">
        <w:t xml:space="preserve"> </w:t>
      </w:r>
    </w:p>
    <w:p w14:paraId="3C7319C1" w14:textId="5B46519A" w:rsidR="006179BB" w:rsidRPr="009B1BB0" w:rsidRDefault="006179BB" w:rsidP="006179BB">
      <w:pPr>
        <w:pStyle w:val="Caption"/>
        <w:rPr>
          <w:rFonts w:asciiTheme="minorHAnsi" w:hAnsiTheme="minorHAnsi" w:cstheme="minorHAnsi"/>
        </w:rPr>
      </w:pPr>
      <w:r w:rsidRPr="009B1BB0">
        <w:rPr>
          <w:rFonts w:asciiTheme="minorHAnsi" w:hAnsiTheme="minorHAnsi" w:cstheme="minorHAnsi"/>
          <w:noProof/>
        </w:rPr>
        <w:fldChar w:fldCharType="begin"/>
      </w:r>
      <w:r w:rsidRPr="009B1BB0">
        <w:rPr>
          <w:rFonts w:asciiTheme="minorHAnsi" w:hAnsiTheme="minorHAnsi" w:cstheme="minorHAnsi"/>
          <w:noProof/>
        </w:rPr>
        <w:instrText xml:space="preserve"> SEQ Tabula \* ARABIC </w:instrText>
      </w:r>
      <w:r w:rsidRPr="009B1BB0">
        <w:rPr>
          <w:rFonts w:asciiTheme="minorHAnsi" w:hAnsiTheme="minorHAnsi" w:cstheme="minorHAnsi"/>
          <w:noProof/>
        </w:rPr>
        <w:fldChar w:fldCharType="separate"/>
      </w:r>
      <w:r w:rsidR="006E6675">
        <w:rPr>
          <w:rFonts w:asciiTheme="minorHAnsi" w:hAnsiTheme="minorHAnsi" w:cstheme="minorHAnsi"/>
          <w:noProof/>
        </w:rPr>
        <w:t>20</w:t>
      </w:r>
      <w:r w:rsidRPr="009B1BB0">
        <w:rPr>
          <w:rFonts w:asciiTheme="minorHAnsi" w:hAnsiTheme="minorHAnsi" w:cstheme="minorHAnsi"/>
          <w:noProof/>
        </w:rPr>
        <w:fldChar w:fldCharType="end"/>
      </w:r>
      <w:r w:rsidRPr="009B1BB0">
        <w:rPr>
          <w:rFonts w:asciiTheme="minorHAnsi" w:hAnsiTheme="minorHAnsi" w:cstheme="minorHAnsi"/>
        </w:rPr>
        <w:t>. tabula. Latvijas iekšējā enerģijas tirgus politikas mērķi un to rezultatīvie radītāji</w:t>
      </w:r>
    </w:p>
    <w:tbl>
      <w:tblPr>
        <w:tblW w:w="879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92"/>
        <w:gridCol w:w="1275"/>
        <w:gridCol w:w="1144"/>
        <w:gridCol w:w="1984"/>
      </w:tblGrid>
      <w:tr w:rsidR="006179BB" w:rsidRPr="009B1BB0" w14:paraId="28005FDC" w14:textId="77777777" w:rsidTr="006179BB">
        <w:trPr>
          <w:tblHeader/>
          <w:jc w:val="center"/>
        </w:trPr>
        <w:tc>
          <w:tcPr>
            <w:tcW w:w="4392" w:type="dxa"/>
            <w:vMerge w:val="restart"/>
            <w:shd w:val="clear" w:color="auto" w:fill="F2F2F2" w:themeFill="background1" w:themeFillShade="F2"/>
            <w:vAlign w:val="center"/>
          </w:tcPr>
          <w:p w14:paraId="26AFC261" w14:textId="77777777" w:rsidR="006179BB" w:rsidRPr="009B1BB0" w:rsidRDefault="006179BB" w:rsidP="006179BB">
            <w:pPr>
              <w:spacing w:after="0" w:line="240" w:lineRule="auto"/>
              <w:rPr>
                <w:rFonts w:cstheme="minorHAnsi"/>
                <w:b/>
                <w:color w:val="000000" w:themeColor="text1"/>
                <w:sz w:val="22"/>
              </w:rPr>
            </w:pPr>
            <w:r w:rsidRPr="009B1BB0">
              <w:rPr>
                <w:rFonts w:cstheme="minorHAnsi"/>
                <w:b/>
                <w:color w:val="000000" w:themeColor="text1"/>
                <w:sz w:val="22"/>
              </w:rPr>
              <w:t>Politikas rezultāts iekšējā enerģijas tirgus dimensijā</w:t>
            </w:r>
          </w:p>
        </w:tc>
        <w:tc>
          <w:tcPr>
            <w:tcW w:w="1275" w:type="dxa"/>
            <w:shd w:val="clear" w:color="auto" w:fill="F2F2F2" w:themeFill="background1" w:themeFillShade="F2"/>
            <w:vAlign w:val="center"/>
          </w:tcPr>
          <w:p w14:paraId="3FC0BEBB"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Faktiskā vērtība</w:t>
            </w:r>
          </w:p>
        </w:tc>
        <w:tc>
          <w:tcPr>
            <w:tcW w:w="3128" w:type="dxa"/>
            <w:gridSpan w:val="2"/>
            <w:shd w:val="clear" w:color="auto" w:fill="F2F2F2" w:themeFill="background1" w:themeFillShade="F2"/>
            <w:vAlign w:val="center"/>
          </w:tcPr>
          <w:p w14:paraId="6061EE50"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Mērķa vērtība</w:t>
            </w:r>
          </w:p>
        </w:tc>
      </w:tr>
      <w:tr w:rsidR="006179BB" w:rsidRPr="009B1BB0" w14:paraId="172EEA31" w14:textId="77777777" w:rsidTr="006179BB">
        <w:trPr>
          <w:tblHeader/>
          <w:jc w:val="center"/>
        </w:trPr>
        <w:tc>
          <w:tcPr>
            <w:tcW w:w="4392" w:type="dxa"/>
            <w:vMerge/>
            <w:shd w:val="clear" w:color="auto" w:fill="F2F2F2" w:themeFill="background1" w:themeFillShade="F2"/>
            <w:vAlign w:val="center"/>
          </w:tcPr>
          <w:p w14:paraId="316A4ADF" w14:textId="77777777" w:rsidR="006179BB" w:rsidRPr="009B1BB0" w:rsidRDefault="006179BB" w:rsidP="006179BB">
            <w:pPr>
              <w:spacing w:after="0" w:line="240" w:lineRule="auto"/>
              <w:rPr>
                <w:rFonts w:cstheme="minorHAnsi"/>
                <w:b/>
                <w:color w:val="000000" w:themeColor="text1"/>
                <w:sz w:val="22"/>
              </w:rPr>
            </w:pPr>
          </w:p>
        </w:tc>
        <w:tc>
          <w:tcPr>
            <w:tcW w:w="1275" w:type="dxa"/>
            <w:shd w:val="clear" w:color="auto" w:fill="F2F2F2" w:themeFill="background1" w:themeFillShade="F2"/>
            <w:vAlign w:val="center"/>
          </w:tcPr>
          <w:p w14:paraId="55C71F95"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2017</w:t>
            </w:r>
          </w:p>
        </w:tc>
        <w:tc>
          <w:tcPr>
            <w:tcW w:w="1144" w:type="dxa"/>
            <w:shd w:val="clear" w:color="auto" w:fill="F2F2F2" w:themeFill="background1" w:themeFillShade="F2"/>
            <w:vAlign w:val="center"/>
          </w:tcPr>
          <w:p w14:paraId="53137769"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2020</w:t>
            </w:r>
          </w:p>
        </w:tc>
        <w:tc>
          <w:tcPr>
            <w:tcW w:w="1984" w:type="dxa"/>
            <w:shd w:val="clear" w:color="auto" w:fill="F2F2F2" w:themeFill="background1" w:themeFillShade="F2"/>
            <w:vAlign w:val="center"/>
          </w:tcPr>
          <w:p w14:paraId="2CD8E0A5" w14:textId="77777777" w:rsidR="006179BB" w:rsidRPr="009B1BB0" w:rsidRDefault="006179BB" w:rsidP="006179BB">
            <w:pPr>
              <w:spacing w:after="0" w:line="240" w:lineRule="auto"/>
              <w:jc w:val="center"/>
              <w:rPr>
                <w:rFonts w:cstheme="minorHAnsi"/>
                <w:b/>
                <w:color w:val="000000" w:themeColor="text1"/>
                <w:sz w:val="22"/>
              </w:rPr>
            </w:pPr>
            <w:r w:rsidRPr="009B1BB0">
              <w:rPr>
                <w:rFonts w:cstheme="minorHAnsi"/>
                <w:b/>
                <w:color w:val="000000" w:themeColor="text1"/>
                <w:sz w:val="22"/>
              </w:rPr>
              <w:t>2030</w:t>
            </w:r>
            <w:r w:rsidRPr="009B1BB0">
              <w:rPr>
                <w:rStyle w:val="FootnoteReference"/>
                <w:rFonts w:cstheme="minorHAnsi"/>
                <w:sz w:val="22"/>
              </w:rPr>
              <w:footnoteReference w:id="135"/>
            </w:r>
          </w:p>
        </w:tc>
      </w:tr>
      <w:tr w:rsidR="006179BB" w:rsidRPr="009B1BB0" w14:paraId="03EF7B08" w14:textId="77777777" w:rsidTr="006179BB">
        <w:trPr>
          <w:jc w:val="center"/>
        </w:trPr>
        <w:tc>
          <w:tcPr>
            <w:tcW w:w="4392" w:type="dxa"/>
            <w:vAlign w:val="center"/>
          </w:tcPr>
          <w:p w14:paraId="7DDB21E1" w14:textId="77777777" w:rsidR="006179BB" w:rsidRPr="009B1BB0" w:rsidRDefault="006179BB" w:rsidP="006179BB">
            <w:pPr>
              <w:pStyle w:val="ListParagraph"/>
              <w:spacing w:after="0" w:line="240" w:lineRule="auto"/>
              <w:ind w:left="0"/>
              <w:contextualSpacing w:val="0"/>
              <w:rPr>
                <w:rFonts w:cstheme="minorHAnsi"/>
                <w:color w:val="000000" w:themeColor="text1"/>
                <w:szCs w:val="24"/>
              </w:rPr>
            </w:pPr>
            <w:r w:rsidRPr="009B1BB0">
              <w:rPr>
                <w:rFonts w:cstheme="minorHAnsi"/>
                <w:color w:val="000000" w:themeColor="text1"/>
                <w:szCs w:val="24"/>
              </w:rPr>
              <w:t>Starpsavienojumu jauda (% pret uzstādīto ģenerējošo jaudu)</w:t>
            </w:r>
          </w:p>
        </w:tc>
        <w:tc>
          <w:tcPr>
            <w:tcW w:w="1275" w:type="dxa"/>
            <w:vAlign w:val="center"/>
          </w:tcPr>
          <w:p w14:paraId="5AAFAAE6" w14:textId="77777777" w:rsidR="006179BB" w:rsidRPr="009B1BB0" w:rsidRDefault="006179BB" w:rsidP="006179BB">
            <w:pPr>
              <w:spacing w:after="0" w:line="240" w:lineRule="auto"/>
              <w:jc w:val="center"/>
              <w:rPr>
                <w:rFonts w:cstheme="minorHAnsi"/>
                <w:bCs/>
                <w:color w:val="000000" w:themeColor="text1"/>
                <w:szCs w:val="24"/>
              </w:rPr>
            </w:pPr>
            <w:r w:rsidRPr="009B1BB0">
              <w:rPr>
                <w:rFonts w:cstheme="minorHAnsi"/>
                <w:bCs/>
                <w:color w:val="000000" w:themeColor="text1"/>
                <w:szCs w:val="24"/>
              </w:rPr>
              <w:t>50-80</w:t>
            </w:r>
          </w:p>
        </w:tc>
        <w:tc>
          <w:tcPr>
            <w:tcW w:w="1144" w:type="dxa"/>
            <w:vAlign w:val="center"/>
          </w:tcPr>
          <w:p w14:paraId="203C24A1" w14:textId="77777777" w:rsidR="006179BB" w:rsidRPr="009B1BB0" w:rsidRDefault="006179BB" w:rsidP="006179BB">
            <w:pPr>
              <w:spacing w:after="0" w:line="240" w:lineRule="auto"/>
              <w:jc w:val="center"/>
              <w:rPr>
                <w:rFonts w:cstheme="minorHAnsi"/>
                <w:bCs/>
                <w:color w:val="000000" w:themeColor="text1"/>
                <w:szCs w:val="24"/>
              </w:rPr>
            </w:pPr>
            <w:r w:rsidRPr="009B1BB0">
              <w:rPr>
                <w:rFonts w:cstheme="minorHAnsi"/>
                <w:bCs/>
                <w:color w:val="000000" w:themeColor="text1"/>
                <w:szCs w:val="24"/>
              </w:rPr>
              <w:t>10</w:t>
            </w:r>
          </w:p>
        </w:tc>
        <w:tc>
          <w:tcPr>
            <w:tcW w:w="1984" w:type="dxa"/>
            <w:vAlign w:val="center"/>
          </w:tcPr>
          <w:p w14:paraId="3E55FD9E" w14:textId="77777777" w:rsidR="006179BB" w:rsidRPr="009B1BB0" w:rsidRDefault="006179BB" w:rsidP="006179BB">
            <w:pPr>
              <w:spacing w:after="0" w:line="240" w:lineRule="auto"/>
              <w:jc w:val="center"/>
              <w:rPr>
                <w:rFonts w:cstheme="minorHAnsi"/>
                <w:b/>
                <w:color w:val="000000" w:themeColor="text1"/>
                <w:szCs w:val="24"/>
              </w:rPr>
            </w:pPr>
            <w:r w:rsidRPr="009B1BB0">
              <w:rPr>
                <w:rFonts w:cstheme="minorHAnsi"/>
                <w:b/>
                <w:color w:val="000000" w:themeColor="text1"/>
                <w:szCs w:val="24"/>
              </w:rPr>
              <w:t>60</w:t>
            </w:r>
          </w:p>
        </w:tc>
      </w:tr>
      <w:tr w:rsidR="006179BB" w:rsidRPr="009B1BB0" w14:paraId="586F4C01" w14:textId="77777777" w:rsidTr="006179BB">
        <w:trPr>
          <w:jc w:val="center"/>
        </w:trPr>
        <w:tc>
          <w:tcPr>
            <w:tcW w:w="4392" w:type="dxa"/>
            <w:vAlign w:val="center"/>
          </w:tcPr>
          <w:p w14:paraId="154F9336" w14:textId="77777777" w:rsidR="006179BB" w:rsidRPr="009B1BB0" w:rsidRDefault="006179BB" w:rsidP="006179BB">
            <w:pPr>
              <w:pStyle w:val="ListParagraph"/>
              <w:spacing w:after="0" w:line="240" w:lineRule="auto"/>
              <w:ind w:left="0"/>
              <w:contextualSpacing w:val="0"/>
              <w:rPr>
                <w:rFonts w:cstheme="minorHAnsi"/>
                <w:color w:val="000000" w:themeColor="text1"/>
                <w:szCs w:val="24"/>
              </w:rPr>
            </w:pPr>
            <w:r w:rsidRPr="009B1BB0">
              <w:rPr>
                <w:rFonts w:cstheme="minorHAnsi"/>
                <w:color w:val="000000" w:themeColor="text1"/>
                <w:szCs w:val="24"/>
              </w:rPr>
              <w:t>Enerģētiskā nabadzības samazināšanas mērķis (%)</w:t>
            </w:r>
          </w:p>
        </w:tc>
        <w:tc>
          <w:tcPr>
            <w:tcW w:w="1275" w:type="dxa"/>
            <w:vAlign w:val="center"/>
          </w:tcPr>
          <w:p w14:paraId="28CF4607" w14:textId="77777777" w:rsidR="006179BB" w:rsidRPr="009B1BB0" w:rsidRDefault="006179BB" w:rsidP="006179BB">
            <w:pPr>
              <w:spacing w:after="0" w:line="240" w:lineRule="auto"/>
              <w:jc w:val="center"/>
              <w:rPr>
                <w:rFonts w:cstheme="minorHAnsi"/>
                <w:bCs/>
                <w:color w:val="000000" w:themeColor="text1"/>
                <w:szCs w:val="24"/>
              </w:rPr>
            </w:pPr>
            <w:r w:rsidRPr="009B1BB0">
              <w:rPr>
                <w:rFonts w:cstheme="minorHAnsi"/>
                <w:bCs/>
                <w:color w:val="000000" w:themeColor="text1"/>
                <w:szCs w:val="24"/>
              </w:rPr>
              <w:t>7,5</w:t>
            </w:r>
          </w:p>
        </w:tc>
        <w:tc>
          <w:tcPr>
            <w:tcW w:w="1144" w:type="dxa"/>
            <w:vAlign w:val="center"/>
          </w:tcPr>
          <w:p w14:paraId="32BE31FE" w14:textId="77777777" w:rsidR="006179BB" w:rsidRPr="009B1BB0" w:rsidRDefault="006179BB" w:rsidP="006179BB">
            <w:pPr>
              <w:spacing w:after="0" w:line="240" w:lineRule="auto"/>
              <w:jc w:val="center"/>
              <w:rPr>
                <w:rFonts w:cstheme="minorHAnsi"/>
                <w:bCs/>
                <w:color w:val="000000" w:themeColor="text1"/>
                <w:szCs w:val="24"/>
              </w:rPr>
            </w:pPr>
            <w:r w:rsidRPr="009B1BB0">
              <w:rPr>
                <w:rFonts w:cstheme="minorHAnsi"/>
                <w:bCs/>
                <w:color w:val="000000" w:themeColor="text1"/>
                <w:szCs w:val="24"/>
              </w:rPr>
              <w:t>-</w:t>
            </w:r>
          </w:p>
        </w:tc>
        <w:tc>
          <w:tcPr>
            <w:tcW w:w="1984" w:type="dxa"/>
            <w:vAlign w:val="center"/>
          </w:tcPr>
          <w:p w14:paraId="4590A0A2" w14:textId="77777777" w:rsidR="006179BB" w:rsidRPr="009B1BB0" w:rsidDel="00F93A5C" w:rsidRDefault="006179BB" w:rsidP="006179BB">
            <w:pPr>
              <w:spacing w:after="0" w:line="240" w:lineRule="auto"/>
              <w:jc w:val="center"/>
              <w:rPr>
                <w:rFonts w:cstheme="minorHAnsi"/>
                <w:b/>
                <w:color w:val="000000" w:themeColor="text1"/>
                <w:szCs w:val="24"/>
              </w:rPr>
            </w:pPr>
            <w:r w:rsidRPr="009B1BB0">
              <w:rPr>
                <w:rFonts w:cstheme="minorHAnsi"/>
                <w:b/>
                <w:color w:val="000000" w:themeColor="text1"/>
                <w:szCs w:val="24"/>
              </w:rPr>
              <w:t>&lt;7,5</w:t>
            </w:r>
          </w:p>
        </w:tc>
      </w:tr>
    </w:tbl>
    <w:p w14:paraId="40C3A472" w14:textId="77777777" w:rsidR="006179BB" w:rsidRPr="009B1BB0" w:rsidRDefault="006179BB" w:rsidP="0007326F">
      <w:pPr>
        <w:pStyle w:val="Heading30"/>
      </w:pPr>
      <w:bookmarkStart w:id="400" w:name="_Toc520978827"/>
      <w:bookmarkStart w:id="401" w:name="_Toc527529462"/>
      <w:bookmarkStart w:id="402" w:name="_Toc23245818"/>
      <w:bookmarkStart w:id="403" w:name="_Toc23246031"/>
      <w:bookmarkStart w:id="404" w:name="_Toc24408045"/>
      <w:r w:rsidRPr="009B1BB0">
        <w:t>Elektrotīklu starpsavienotība</w:t>
      </w:r>
      <w:bookmarkEnd w:id="400"/>
      <w:bookmarkEnd w:id="401"/>
      <w:bookmarkEnd w:id="402"/>
      <w:bookmarkEnd w:id="403"/>
      <w:bookmarkEnd w:id="404"/>
      <w:r w:rsidRPr="009B1BB0">
        <w:t xml:space="preserve"> </w:t>
      </w:r>
    </w:p>
    <w:p w14:paraId="0ACA15AE" w14:textId="77777777" w:rsidR="006179BB" w:rsidRPr="009B1BB0" w:rsidRDefault="006179BB" w:rsidP="006179BB">
      <w:pPr>
        <w:pStyle w:val="Default"/>
        <w:spacing w:before="120" w:after="120"/>
        <w:jc w:val="both"/>
        <w:rPr>
          <w:rFonts w:asciiTheme="minorHAnsi" w:hAnsiTheme="minorHAnsi" w:cstheme="minorHAnsi"/>
        </w:rPr>
      </w:pPr>
      <w:r w:rsidRPr="009B1BB0">
        <w:rPr>
          <w:rFonts w:asciiTheme="minorHAnsi" w:hAnsiTheme="minorHAnsi" w:cstheme="minorHAnsi"/>
        </w:rPr>
        <w:t xml:space="preserve">EAP2020 nosaka infrastruktūras savienojumu elektrības tirgū (starpsavienojumu jauda pret uzstādīto ģenerējošo jaudu izteikta procentos) mērķi 2020.gadam – 10%. Savukārt KEPS2030 nosaka šo mērķi 2030.gadam – 15%. </w:t>
      </w:r>
    </w:p>
    <w:p w14:paraId="05AE5EED" w14:textId="77777777" w:rsidR="006179BB" w:rsidRPr="009B1BB0" w:rsidRDefault="006179BB" w:rsidP="006179BB">
      <w:pPr>
        <w:spacing w:before="120" w:after="120" w:line="240" w:lineRule="auto"/>
        <w:jc w:val="both"/>
        <w:rPr>
          <w:rFonts w:cstheme="minorHAnsi"/>
          <w:szCs w:val="24"/>
        </w:rPr>
      </w:pPr>
      <w:bookmarkStart w:id="405" w:name="_Hlk531553073"/>
      <w:r w:rsidRPr="009B1BB0">
        <w:rPr>
          <w:rFonts w:cstheme="minorHAnsi"/>
          <w:szCs w:val="24"/>
          <w:lang w:eastAsia="lv-LV"/>
        </w:rPr>
        <w:t>Saskaņā ar esošos situāciju Latvijas starpsavienojumu līmenis 2017.gadā, kas aprēķināts izmantojot vismaz 8 formulas, sasniedz vismaz 50%,  (atkarībā no aprēķinā izmantotajām formulām sasniedz pat 80%), tāpēc ir uzskatāms, ka Latvija ir jau sasniegusi noteikto starpsavienojumu mērķi. Latvija nosaka 2030.gada mērķi palielināt šo starpsavienojuma līmeni, t.i., nodrošināt, ka Latvijas 2030.gada starpsavienojuma līmenis nav mazāks nekā 60%, aprēķinot visās formulās.</w:t>
      </w:r>
    </w:p>
    <w:p w14:paraId="0D7C4BBE" w14:textId="77777777" w:rsidR="006179BB" w:rsidRPr="009B1BB0" w:rsidRDefault="006179BB" w:rsidP="0007326F">
      <w:pPr>
        <w:pStyle w:val="Heading30"/>
      </w:pPr>
      <w:bookmarkStart w:id="406" w:name="_Toc520978828"/>
      <w:bookmarkStart w:id="407" w:name="_Toc527529464"/>
      <w:bookmarkStart w:id="408" w:name="_Toc23245820"/>
      <w:bookmarkStart w:id="409" w:name="_Toc23246032"/>
      <w:bookmarkStart w:id="410" w:name="_Toc24408046"/>
      <w:bookmarkEnd w:id="405"/>
      <w:r w:rsidRPr="009B1BB0">
        <w:t>Enerģijas pārvades infrastruktūra</w:t>
      </w:r>
      <w:bookmarkEnd w:id="406"/>
      <w:bookmarkEnd w:id="407"/>
      <w:bookmarkEnd w:id="408"/>
      <w:bookmarkEnd w:id="409"/>
      <w:bookmarkEnd w:id="410"/>
      <w:r w:rsidRPr="009B1BB0">
        <w:t xml:space="preserve"> </w:t>
      </w:r>
    </w:p>
    <w:p w14:paraId="747280DA" w14:textId="5A3BB4DC" w:rsidR="006179BB" w:rsidRDefault="006179BB" w:rsidP="006179BB">
      <w:pPr>
        <w:pStyle w:val="Default"/>
        <w:spacing w:before="120" w:after="120"/>
        <w:jc w:val="both"/>
        <w:rPr>
          <w:rFonts w:asciiTheme="minorHAnsi" w:hAnsiTheme="minorHAnsi" w:cstheme="minorHAnsi"/>
        </w:rPr>
      </w:pPr>
      <w:bookmarkStart w:id="411" w:name="_Ref518574488"/>
      <w:bookmarkStart w:id="412" w:name="_Toc527529466"/>
      <w:r w:rsidRPr="009B1BB0">
        <w:rPr>
          <w:rFonts w:asciiTheme="minorHAnsi" w:hAnsiTheme="minorHAnsi" w:cstheme="minorHAnsi"/>
        </w:rPr>
        <w:t xml:space="preserve">Starpsavienojumi starp dalībvalstīm Baltijas jūras reģionā un attiecīgi iekšējā tīkla infrastruktūras nostiprināšana paredzēta, lai novērstu Baltijas valstu izolētību, veicinātu tirgus integrāciju, </w:t>
      </w:r>
      <w:r w:rsidRPr="009B1BB0">
        <w:rPr>
          <w:rFonts w:asciiTheme="minorHAnsi" w:hAnsiTheme="minorHAnsi" w:cstheme="minorHAnsi"/>
          <w:iCs/>
        </w:rPr>
        <w:t>cita starpā,</w:t>
      </w:r>
      <w:r w:rsidRPr="009B1BB0">
        <w:rPr>
          <w:rFonts w:asciiTheme="minorHAnsi" w:hAnsiTheme="minorHAnsi" w:cstheme="minorHAnsi"/>
          <w:i/>
        </w:rPr>
        <w:t xml:space="preserve"> </w:t>
      </w:r>
      <w:r w:rsidRPr="009B1BB0">
        <w:rPr>
          <w:rFonts w:asciiTheme="minorHAnsi" w:hAnsiTheme="minorHAnsi" w:cstheme="minorHAnsi"/>
        </w:rPr>
        <w:t xml:space="preserve">strādājot pie AER integrācijas reģionā. </w:t>
      </w:r>
      <w:r>
        <w:rPr>
          <w:rFonts w:asciiTheme="minorHAnsi" w:hAnsiTheme="minorHAnsi" w:cstheme="minorHAnsi"/>
        </w:rPr>
        <w:t>Periodā līdz 202</w:t>
      </w:r>
      <w:r w:rsidR="00D96018">
        <w:rPr>
          <w:rFonts w:asciiTheme="minorHAnsi" w:hAnsiTheme="minorHAnsi" w:cstheme="minorHAnsi"/>
        </w:rPr>
        <w:t>5</w:t>
      </w:r>
      <w:r>
        <w:rPr>
          <w:rFonts w:asciiTheme="minorHAnsi" w:hAnsiTheme="minorHAnsi" w:cstheme="minorHAnsi"/>
        </w:rPr>
        <w:t>.gadam elektroenerģijas pārvades infrastruktūras uzlabošanai kā mērķis ir noteikts īstenot šādus projektus:</w:t>
      </w:r>
    </w:p>
    <w:p w14:paraId="67C61A50" w14:textId="77777777" w:rsidR="006179BB" w:rsidRDefault="006179BB" w:rsidP="00847BE3">
      <w:pPr>
        <w:pStyle w:val="Default"/>
        <w:numPr>
          <w:ilvl w:val="0"/>
          <w:numId w:val="29"/>
        </w:numPr>
        <w:spacing w:before="120" w:after="120"/>
        <w:ind w:left="397" w:hanging="397"/>
        <w:jc w:val="both"/>
        <w:rPr>
          <w:rFonts w:asciiTheme="minorHAnsi" w:hAnsiTheme="minorHAnsi" w:cstheme="minorHAnsi"/>
        </w:rPr>
      </w:pPr>
      <w:r w:rsidRPr="00BA392A">
        <w:rPr>
          <w:rFonts w:asciiTheme="minorHAnsi" w:hAnsiTheme="minorHAnsi" w:cstheme="minorHAnsi"/>
          <w:i/>
        </w:rPr>
        <w:t>Baltijas valstu elektrotīklu integrācija un sinhronizācija ar Eiropas tīkliem</w:t>
      </w:r>
      <w:r w:rsidRPr="00BA392A">
        <w:rPr>
          <w:rFonts w:asciiTheme="minorHAnsi" w:hAnsiTheme="minorHAnsi" w:cstheme="minorHAnsi"/>
        </w:rPr>
        <w:t xml:space="preserve">. </w:t>
      </w:r>
    </w:p>
    <w:p w14:paraId="35EC574A" w14:textId="77777777" w:rsidR="006179BB" w:rsidRDefault="006179BB" w:rsidP="00847BE3">
      <w:pPr>
        <w:pStyle w:val="Default"/>
        <w:numPr>
          <w:ilvl w:val="0"/>
          <w:numId w:val="29"/>
        </w:numPr>
        <w:spacing w:before="120" w:after="120"/>
        <w:ind w:left="397" w:hanging="397"/>
        <w:jc w:val="both"/>
        <w:rPr>
          <w:rFonts w:asciiTheme="minorHAnsi" w:hAnsiTheme="minorHAnsi" w:cstheme="minorHAnsi"/>
        </w:rPr>
      </w:pPr>
      <w:r w:rsidRPr="00FA5F2F">
        <w:rPr>
          <w:rFonts w:asciiTheme="minorHAnsi" w:hAnsiTheme="minorHAnsi" w:cstheme="minorHAnsi"/>
          <w:i/>
        </w:rPr>
        <w:t xml:space="preserve">Igaunijas – Latvijas trešais starpsavienojums – </w:t>
      </w:r>
      <w:r w:rsidRPr="00FA5F2F">
        <w:rPr>
          <w:rFonts w:asciiTheme="minorHAnsi" w:hAnsiTheme="minorHAnsi" w:cstheme="minorHAnsi"/>
        </w:rPr>
        <w:t>Kilingi-Nõmme (Igaunija) – Rīgas TEC-2 (LV) starpsavienojums, lai palielinātu caurlaides spējas Igaunijas-Latvijas šķērsgriezumā par 500/600 MW normālā shēmā un līdz 300/500 MW izolētā darba režīmā.</w:t>
      </w:r>
    </w:p>
    <w:p w14:paraId="46DD7EC2" w14:textId="77777777" w:rsidR="006179BB" w:rsidRPr="00FA5F2F" w:rsidRDefault="006179BB" w:rsidP="00847BE3">
      <w:pPr>
        <w:pStyle w:val="Default"/>
        <w:numPr>
          <w:ilvl w:val="0"/>
          <w:numId w:val="29"/>
        </w:numPr>
        <w:spacing w:before="120" w:after="120"/>
        <w:ind w:left="397" w:hanging="397"/>
        <w:jc w:val="both"/>
        <w:rPr>
          <w:rFonts w:asciiTheme="minorHAnsi" w:hAnsiTheme="minorHAnsi" w:cstheme="minorHAnsi"/>
        </w:rPr>
      </w:pPr>
      <w:r w:rsidRPr="00FA5F2F">
        <w:rPr>
          <w:rFonts w:asciiTheme="minorHAnsi" w:hAnsiTheme="minorHAnsi" w:cstheme="minorHAnsi"/>
          <w:i/>
        </w:rPr>
        <w:t>Starpsavienojums Tartu (Igaunija) - Valmiera (LV) un starpsavienojums Tsirgulina (Igaunija) - Valmiera (LV)</w:t>
      </w:r>
      <w:r w:rsidRPr="00FA5F2F">
        <w:rPr>
          <w:rFonts w:asciiTheme="minorHAnsi" w:hAnsiTheme="minorHAnsi" w:cstheme="minorHAnsi"/>
          <w:iCs/>
        </w:rPr>
        <w:t xml:space="preserve">, lai </w:t>
      </w:r>
      <w:r w:rsidRPr="00FA5F2F">
        <w:rPr>
          <w:rFonts w:asciiTheme="minorHAnsi" w:hAnsiTheme="minorHAnsi" w:cstheme="minorHAnsi"/>
        </w:rPr>
        <w:t xml:space="preserve">pilnībā likvidētu caurlaides spējas ierobežojumus Igaunijas-Latvijas šķērsgriezumā arī pēc 2020. gada, kā arī palielinātu summāro caurlaides spēju caur Baltijas valstīm par 600 MW. </w:t>
      </w:r>
    </w:p>
    <w:p w14:paraId="3A54C041" w14:textId="77777777" w:rsidR="006179BB" w:rsidRPr="009B1BB0" w:rsidRDefault="006179BB" w:rsidP="006179BB">
      <w:pPr>
        <w:pStyle w:val="Default"/>
        <w:spacing w:before="120" w:after="120"/>
        <w:jc w:val="center"/>
        <w:rPr>
          <w:rFonts w:asciiTheme="minorHAnsi" w:hAnsiTheme="minorHAnsi" w:cstheme="minorHAnsi"/>
        </w:rPr>
      </w:pPr>
      <w:r w:rsidRPr="009B1BB0">
        <w:rPr>
          <w:rFonts w:asciiTheme="minorHAnsi" w:hAnsiTheme="minorHAnsi" w:cstheme="minorHAnsi"/>
          <w:noProof/>
        </w:rPr>
        <w:drawing>
          <wp:inline distT="0" distB="0" distL="0" distR="0" wp14:anchorId="4FD94EB3" wp14:editId="5EAD1599">
            <wp:extent cx="4467225" cy="2851913"/>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478242" cy="2858946"/>
                    </a:xfrm>
                    <a:prstGeom prst="rect">
                      <a:avLst/>
                    </a:prstGeom>
                  </pic:spPr>
                </pic:pic>
              </a:graphicData>
            </a:graphic>
          </wp:inline>
        </w:drawing>
      </w:r>
    </w:p>
    <w:p w14:paraId="6060470B" w14:textId="4193A8DB" w:rsidR="006179BB" w:rsidRPr="009B1BB0" w:rsidRDefault="006179BB" w:rsidP="006179BB">
      <w:pPr>
        <w:pStyle w:val="Caption"/>
        <w:rPr>
          <w:rFonts w:asciiTheme="minorHAnsi" w:hAnsiTheme="minorHAnsi" w:cstheme="minorHAnsi"/>
        </w:rPr>
      </w:pPr>
      <w:r w:rsidRPr="009B1BB0">
        <w:rPr>
          <w:rFonts w:asciiTheme="minorHAnsi" w:hAnsiTheme="minorHAnsi" w:cstheme="minorHAnsi"/>
          <w:noProof/>
        </w:rPr>
        <w:fldChar w:fldCharType="begin"/>
      </w:r>
      <w:r w:rsidRPr="009B1BB0">
        <w:rPr>
          <w:rFonts w:asciiTheme="minorHAnsi" w:hAnsiTheme="minorHAnsi" w:cstheme="minorHAnsi"/>
          <w:noProof/>
        </w:rPr>
        <w:instrText xml:space="preserve"> SEQ Ilustrācija \* ARABIC </w:instrText>
      </w:r>
      <w:r w:rsidRPr="009B1BB0">
        <w:rPr>
          <w:rFonts w:asciiTheme="minorHAnsi" w:hAnsiTheme="minorHAnsi" w:cstheme="minorHAnsi"/>
          <w:noProof/>
        </w:rPr>
        <w:fldChar w:fldCharType="separate"/>
      </w:r>
      <w:bookmarkStart w:id="413" w:name="_Toc23782718"/>
      <w:r w:rsidR="006E6675">
        <w:rPr>
          <w:rFonts w:asciiTheme="minorHAnsi" w:hAnsiTheme="minorHAnsi" w:cstheme="minorHAnsi"/>
          <w:noProof/>
        </w:rPr>
        <w:t>38</w:t>
      </w:r>
      <w:r w:rsidRPr="009B1BB0">
        <w:rPr>
          <w:rFonts w:asciiTheme="minorHAnsi" w:hAnsiTheme="minorHAnsi" w:cstheme="minorHAnsi"/>
          <w:noProof/>
        </w:rPr>
        <w:fldChar w:fldCharType="end"/>
      </w:r>
      <w:r w:rsidRPr="009B1BB0">
        <w:rPr>
          <w:rFonts w:asciiTheme="minorHAnsi" w:hAnsiTheme="minorHAnsi" w:cstheme="minorHAnsi"/>
        </w:rPr>
        <w:t>.attēls. Esošais augstsprieguma infrastruktūras tīkls un plānotie projekti</w:t>
      </w:r>
      <w:r w:rsidRPr="009B1BB0">
        <w:rPr>
          <w:rStyle w:val="FootnoteReference"/>
          <w:rFonts w:asciiTheme="minorHAnsi" w:hAnsiTheme="minorHAnsi" w:cstheme="minorHAnsi"/>
        </w:rPr>
        <w:footnoteReference w:id="136"/>
      </w:r>
      <w:bookmarkEnd w:id="413"/>
    </w:p>
    <w:p w14:paraId="6A6D8A3F" w14:textId="77777777" w:rsidR="00D96018" w:rsidRDefault="00D96018" w:rsidP="00D96018">
      <w:pPr>
        <w:pStyle w:val="Default"/>
        <w:spacing w:before="120" w:after="120"/>
        <w:jc w:val="both"/>
        <w:rPr>
          <w:rFonts w:asciiTheme="minorHAnsi" w:hAnsiTheme="minorHAnsi" w:cstheme="minorHAnsi"/>
          <w:color w:val="auto"/>
        </w:rPr>
      </w:pPr>
      <w:bookmarkStart w:id="414" w:name="_Toc520978829"/>
      <w:bookmarkStart w:id="415" w:name="_Toc527529467"/>
      <w:bookmarkEnd w:id="411"/>
      <w:bookmarkEnd w:id="412"/>
      <w:r>
        <w:rPr>
          <w:rFonts w:asciiTheme="minorHAnsi" w:hAnsiTheme="minorHAnsi" w:cstheme="minorHAnsi"/>
          <w:color w:val="auto"/>
        </w:rPr>
        <w:t>Papildus minētajiem elektroenerģijas pārvades starpsavienojumu projektiem, tiek apsvērta ideja veidot starpsavienojumu starp Latviju un Zviedriju, ņemot vērā, ka Latvija ir vienīgā valsts Baltijas valstu starpā, kurai nav starpsavienojumu ar Ziemeļvalstīm vai citām ES valstīm ārpus Baltijas valstu reģiona. Starpsavienojuma jauda plānota 700 MW apmērā. Jau šobrīd Latvijas pārvades sistēmas operators ir izvērtējis vairākus trases maršrutu variantus un aptuvenās izmaksas. Lai projektu uzsāktu nepieciešams atbalsts no Zviedrijas puses, kā arī ES līdzfinansējums.</w:t>
      </w:r>
    </w:p>
    <w:p w14:paraId="4F5944E5" w14:textId="1C8D832C" w:rsidR="006179BB" w:rsidRDefault="006179BB" w:rsidP="006179BB">
      <w:pPr>
        <w:pStyle w:val="Default"/>
        <w:spacing w:before="120" w:after="120"/>
        <w:jc w:val="both"/>
        <w:rPr>
          <w:rFonts w:asciiTheme="minorHAnsi" w:hAnsiTheme="minorHAnsi" w:cstheme="minorHAnsi"/>
          <w:color w:val="auto"/>
        </w:rPr>
      </w:pPr>
      <w:r>
        <w:rPr>
          <w:rFonts w:asciiTheme="minorHAnsi" w:hAnsiTheme="minorHAnsi" w:cstheme="minorHAnsi"/>
          <w:color w:val="auto"/>
        </w:rPr>
        <w:t xml:space="preserve">Attiecībā uz valsts iekšējo elektroenerģijas ražošanas jaudu modernizēšanu Latvijas mērķis ir īstenot </w:t>
      </w:r>
      <w:r w:rsidRPr="009B1BB0">
        <w:rPr>
          <w:rFonts w:asciiTheme="minorHAnsi" w:hAnsiTheme="minorHAnsi" w:cstheme="minorHAnsi"/>
          <w:color w:val="auto"/>
        </w:rPr>
        <w:t>Pļaviņu HES pārgāznes projekt</w:t>
      </w:r>
      <w:r>
        <w:rPr>
          <w:rFonts w:asciiTheme="minorHAnsi" w:hAnsiTheme="minorHAnsi" w:cstheme="minorHAnsi"/>
          <w:color w:val="auto"/>
        </w:rPr>
        <w:t>u, lai palielinātu pašreizējo</w:t>
      </w:r>
      <w:r w:rsidRPr="00FA5F2F">
        <w:rPr>
          <w:rFonts w:asciiTheme="minorHAnsi" w:hAnsiTheme="minorHAnsi" w:cstheme="minorHAnsi"/>
          <w:color w:val="auto"/>
        </w:rPr>
        <w:t xml:space="preserve"> </w:t>
      </w:r>
      <w:r w:rsidRPr="009B1BB0">
        <w:rPr>
          <w:rFonts w:asciiTheme="minorHAnsi" w:hAnsiTheme="minorHAnsi" w:cstheme="minorHAnsi"/>
          <w:color w:val="auto"/>
        </w:rPr>
        <w:t>HES pārgāznes kapacitāt</w:t>
      </w:r>
      <w:r>
        <w:rPr>
          <w:rFonts w:asciiTheme="minorHAnsi" w:hAnsiTheme="minorHAnsi" w:cstheme="minorHAnsi"/>
          <w:color w:val="auto"/>
        </w:rPr>
        <w:t xml:space="preserve">i, lai novērstu </w:t>
      </w:r>
      <w:r w:rsidRPr="009B1BB0">
        <w:rPr>
          <w:rFonts w:asciiTheme="minorHAnsi" w:hAnsiTheme="minorHAnsi" w:cstheme="minorHAnsi"/>
          <w:color w:val="auto"/>
        </w:rPr>
        <w:t>aprēķināt</w:t>
      </w:r>
      <w:r>
        <w:rPr>
          <w:rFonts w:asciiTheme="minorHAnsi" w:hAnsiTheme="minorHAnsi" w:cstheme="minorHAnsi"/>
          <w:color w:val="auto"/>
        </w:rPr>
        <w:t>ās</w:t>
      </w:r>
      <w:r w:rsidRPr="009B1BB0">
        <w:rPr>
          <w:rFonts w:asciiTheme="minorHAnsi" w:hAnsiTheme="minorHAnsi" w:cstheme="minorHAnsi"/>
          <w:color w:val="auto"/>
        </w:rPr>
        <w:t>, 10 000 gadu periodā iespējam</w:t>
      </w:r>
      <w:r>
        <w:rPr>
          <w:rFonts w:asciiTheme="minorHAnsi" w:hAnsiTheme="minorHAnsi" w:cstheme="minorHAnsi"/>
          <w:color w:val="auto"/>
        </w:rPr>
        <w:t>ās</w:t>
      </w:r>
      <w:r w:rsidRPr="009B1BB0">
        <w:rPr>
          <w:rFonts w:asciiTheme="minorHAnsi" w:hAnsiTheme="minorHAnsi" w:cstheme="minorHAnsi"/>
          <w:color w:val="auto"/>
        </w:rPr>
        <w:t xml:space="preserve"> maksimālo iespējamo plūdu negatīv</w:t>
      </w:r>
      <w:r>
        <w:rPr>
          <w:rFonts w:asciiTheme="minorHAnsi" w:hAnsiTheme="minorHAnsi" w:cstheme="minorHAnsi"/>
          <w:color w:val="auto"/>
        </w:rPr>
        <w:t>ās</w:t>
      </w:r>
      <w:r w:rsidRPr="009B1BB0">
        <w:rPr>
          <w:rFonts w:asciiTheme="minorHAnsi" w:hAnsiTheme="minorHAnsi" w:cstheme="minorHAnsi"/>
          <w:color w:val="auto"/>
        </w:rPr>
        <w:t xml:space="preserve"> sekas un bīstamību ūdenskrātuves dambju drošībai.</w:t>
      </w:r>
    </w:p>
    <w:p w14:paraId="10D6889A" w14:textId="77777777" w:rsidR="00D96018" w:rsidRPr="00F1046D" w:rsidRDefault="00D96018" w:rsidP="00D96018">
      <w:pPr>
        <w:pStyle w:val="paragraph"/>
        <w:spacing w:before="120" w:beforeAutospacing="0" w:after="120" w:afterAutospacing="0"/>
        <w:jc w:val="both"/>
        <w:textAlignment w:val="baseline"/>
        <w:rPr>
          <w:rFonts w:asciiTheme="minorHAnsi" w:hAnsiTheme="minorHAnsi" w:cstheme="minorHAnsi"/>
        </w:rPr>
      </w:pPr>
      <w:r>
        <w:rPr>
          <w:rFonts w:asciiTheme="minorHAnsi" w:hAnsiTheme="minorHAnsi" w:cstheme="minorHAnsi"/>
        </w:rPr>
        <w:t>Arī gāzes sektorā ir virkne infrastruktūras projektu, lai veicinātu tirgus likvīdumu un</w:t>
      </w:r>
      <w:r w:rsidRPr="000E7DBB">
        <w:rPr>
          <w:rFonts w:asciiTheme="minorHAnsi" w:hAnsiTheme="minorHAnsi" w:cstheme="minorHAnsi"/>
        </w:rPr>
        <w:t xml:space="preserve"> nodrošin</w:t>
      </w:r>
      <w:r>
        <w:rPr>
          <w:rFonts w:asciiTheme="minorHAnsi" w:hAnsiTheme="minorHAnsi" w:cstheme="minorHAnsi"/>
        </w:rPr>
        <w:t>ā</w:t>
      </w:r>
      <w:r w:rsidRPr="000E7DBB">
        <w:rPr>
          <w:rFonts w:asciiTheme="minorHAnsi" w:hAnsiTheme="minorHAnsi" w:cstheme="minorHAnsi"/>
        </w:rPr>
        <w:t>t</w:t>
      </w:r>
      <w:r>
        <w:rPr>
          <w:rFonts w:asciiTheme="minorHAnsi" w:hAnsiTheme="minorHAnsi" w:cstheme="minorHAnsi"/>
        </w:rPr>
        <w:t>u</w:t>
      </w:r>
      <w:r w:rsidRPr="000E7DBB">
        <w:rPr>
          <w:rFonts w:asciiTheme="minorHAnsi" w:hAnsiTheme="minorHAnsi" w:cstheme="minorHAnsi"/>
        </w:rPr>
        <w:t xml:space="preserve"> reģiona gāzapgādes drošumu un stabilitāti</w:t>
      </w:r>
      <w:r>
        <w:rPr>
          <w:rFonts w:asciiTheme="minorHAnsi" w:hAnsiTheme="minorHAnsi" w:cstheme="minorHAnsi"/>
        </w:rPr>
        <w:t xml:space="preserve">. </w:t>
      </w:r>
      <w:r w:rsidRPr="00F1046D">
        <w:rPr>
          <w:rFonts w:asciiTheme="minorHAnsi" w:hAnsiTheme="minorHAnsi" w:cstheme="minorHAnsi"/>
        </w:rPr>
        <w:t xml:space="preserve">Periodā no 2020.gada līdz 2029.gadam </w:t>
      </w:r>
      <w:r>
        <w:rPr>
          <w:rFonts w:asciiTheme="minorHAnsi" w:hAnsiTheme="minorHAnsi" w:cstheme="minorHAnsi"/>
        </w:rPr>
        <w:t xml:space="preserve">tiks realizēti šādi </w:t>
      </w:r>
      <w:r w:rsidRPr="00F1046D">
        <w:rPr>
          <w:rFonts w:asciiTheme="minorHAnsi" w:hAnsiTheme="minorHAnsi" w:cstheme="minorHAnsi"/>
        </w:rPr>
        <w:t xml:space="preserve">Latvijas un Baltijas dabasgāzes tīkla attīstībai </w:t>
      </w:r>
      <w:r>
        <w:rPr>
          <w:rFonts w:asciiTheme="minorHAnsi" w:hAnsiTheme="minorHAnsi" w:cstheme="minorHAnsi"/>
        </w:rPr>
        <w:t>būtiski</w:t>
      </w:r>
      <w:r w:rsidRPr="00F1046D">
        <w:rPr>
          <w:rFonts w:asciiTheme="minorHAnsi" w:hAnsiTheme="minorHAnsi" w:cstheme="minorHAnsi"/>
        </w:rPr>
        <w:t xml:space="preserve"> projekti:</w:t>
      </w:r>
    </w:p>
    <w:p w14:paraId="11432323" w14:textId="478FE609" w:rsidR="00D96018" w:rsidRPr="00F1046D" w:rsidRDefault="00D96018" w:rsidP="00D9601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Igaunijas-Somijas starpsavienojum</w:t>
      </w:r>
      <w:r>
        <w:rPr>
          <w:rFonts w:asciiTheme="minorHAnsi" w:hAnsiTheme="minorHAnsi" w:cstheme="minorHAnsi"/>
        </w:rPr>
        <w:t>s</w:t>
      </w:r>
      <w:r w:rsidRPr="00F1046D">
        <w:rPr>
          <w:rFonts w:asciiTheme="minorHAnsi" w:hAnsiTheme="minorHAnsi" w:cstheme="minorHAnsi"/>
        </w:rPr>
        <w:t xml:space="preserve"> (Balticconector)</w:t>
      </w:r>
      <w:r>
        <w:rPr>
          <w:rFonts w:asciiTheme="minorHAnsi" w:hAnsiTheme="minorHAnsi" w:cstheme="minorHAnsi"/>
        </w:rPr>
        <w:t xml:space="preserve"> </w:t>
      </w:r>
      <w:r w:rsidR="0018280F">
        <w:rPr>
          <w:rFonts w:asciiTheme="minorHAnsi" w:hAnsiTheme="minorHAnsi" w:cstheme="minorHAnsi"/>
        </w:rPr>
        <w:t>–</w:t>
      </w:r>
      <w:r>
        <w:rPr>
          <w:rFonts w:asciiTheme="minorHAnsi" w:hAnsiTheme="minorHAnsi" w:cstheme="minorHAnsi"/>
        </w:rPr>
        <w:t xml:space="preserve"> </w:t>
      </w:r>
      <w:r w:rsidRPr="000E7DBB">
        <w:rPr>
          <w:rFonts w:asciiTheme="minorHAnsi" w:hAnsiTheme="minorHAnsi" w:cstheme="minorHAnsi"/>
        </w:rPr>
        <w:t>uzskatāms par vienu no nozīmīgajiem gāzes apgādes sektora projektiem Baltijas jūras reģionā, un tas ir priekšnosacījums kopīgā Baltijas valstu un Somijas reģionālā gāzes tirgus izveidei</w:t>
      </w:r>
      <w:r>
        <w:rPr>
          <w:rFonts w:asciiTheme="minorHAnsi" w:hAnsiTheme="minorHAnsi" w:cstheme="minorHAnsi"/>
        </w:rPr>
        <w:t>;</w:t>
      </w:r>
    </w:p>
    <w:p w14:paraId="57A7A91D" w14:textId="77777777" w:rsidR="00D96018" w:rsidRPr="00F1046D" w:rsidRDefault="00D96018" w:rsidP="00D9601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Latvijas-Igaunijas starpsavienojuma (Karksi) uzlabošana</w:t>
      </w:r>
      <w:r>
        <w:rPr>
          <w:rFonts w:asciiTheme="minorHAnsi" w:hAnsiTheme="minorHAnsi" w:cstheme="minorHAnsi"/>
        </w:rPr>
        <w:t xml:space="preserve">, </w:t>
      </w:r>
      <w:r>
        <w:t>lai nodrošinātu gāzes plūsmas vienotajā Baltijas gāzes tirgū pēc Balticconnector projekta īstenošanas, Somijas tirgotājiem sniedzot iespēju uzglabāt dabasgāzi Inčukalna pazemes gāzes krātuvē</w:t>
      </w:r>
      <w:r>
        <w:rPr>
          <w:rFonts w:asciiTheme="minorHAnsi" w:hAnsiTheme="minorHAnsi" w:cstheme="minorHAnsi"/>
        </w:rPr>
        <w:t>;</w:t>
      </w:r>
    </w:p>
    <w:p w14:paraId="560FAE9A" w14:textId="77777777" w:rsidR="00D96018" w:rsidRPr="00F1046D" w:rsidRDefault="00D96018" w:rsidP="00D9601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 xml:space="preserve">Inčukalna </w:t>
      </w:r>
      <w:r>
        <w:rPr>
          <w:rFonts w:asciiTheme="minorHAnsi" w:hAnsiTheme="minorHAnsi" w:cstheme="minorHAnsi"/>
        </w:rPr>
        <w:t xml:space="preserve">pazemes gāzes krātuves modernizācija, lai </w:t>
      </w:r>
      <w:r w:rsidRPr="000E7DBB">
        <w:rPr>
          <w:rFonts w:asciiTheme="minorHAnsi" w:hAnsiTheme="minorHAnsi" w:cstheme="minorHAnsi"/>
        </w:rPr>
        <w:t>paplašināt</w:t>
      </w:r>
      <w:r>
        <w:rPr>
          <w:rFonts w:asciiTheme="minorHAnsi" w:hAnsiTheme="minorHAnsi" w:cstheme="minorHAnsi"/>
        </w:rPr>
        <w:t>u</w:t>
      </w:r>
      <w:r w:rsidRPr="000E7DBB">
        <w:rPr>
          <w:rFonts w:asciiTheme="minorHAnsi" w:hAnsiTheme="minorHAnsi" w:cstheme="minorHAnsi"/>
        </w:rPr>
        <w:t xml:space="preserve"> krātuves darbību, lai </w:t>
      </w:r>
      <w:r>
        <w:rPr>
          <w:rFonts w:asciiTheme="minorHAnsi" w:hAnsiTheme="minorHAnsi" w:cstheme="minorHAnsi"/>
        </w:rPr>
        <w:t>tā</w:t>
      </w:r>
      <w:r w:rsidRPr="000E7DBB">
        <w:rPr>
          <w:rFonts w:asciiTheme="minorHAnsi" w:hAnsiTheme="minorHAnsi" w:cstheme="minorHAnsi"/>
        </w:rPr>
        <w:t xml:space="preserve"> varētu saglabāt savu funkcionalitāti pēc spiediena palielināšanas Baltijas pārvades sistēmā.</w:t>
      </w:r>
    </w:p>
    <w:p w14:paraId="32AA2775" w14:textId="77777777" w:rsidR="00D96018" w:rsidRPr="000E7DBB" w:rsidRDefault="00D96018" w:rsidP="00D9601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Polijas-Lietuvas starpsavienojums</w:t>
      </w:r>
      <w:r>
        <w:rPr>
          <w:rFonts w:asciiTheme="minorHAnsi" w:hAnsiTheme="minorHAnsi" w:cstheme="minorHAnsi"/>
        </w:rPr>
        <w:t xml:space="preserve"> (GIPL), kas nodrošinās </w:t>
      </w:r>
      <w:r w:rsidRPr="000E7DBB">
        <w:rPr>
          <w:rFonts w:asciiTheme="minorHAnsi" w:hAnsiTheme="minorHAnsi" w:cstheme="minorHAnsi"/>
        </w:rPr>
        <w:t>dabasgāzes piegādes ceļu un avotu diversifikācij</w:t>
      </w:r>
      <w:r>
        <w:rPr>
          <w:rFonts w:asciiTheme="minorHAnsi" w:hAnsiTheme="minorHAnsi" w:cstheme="minorHAnsi"/>
        </w:rPr>
        <w:t>u.</w:t>
      </w:r>
    </w:p>
    <w:p w14:paraId="44B8815B" w14:textId="77777777" w:rsidR="00D96018" w:rsidRPr="008D6E6F" w:rsidRDefault="00D96018" w:rsidP="00D96018">
      <w:pPr>
        <w:pStyle w:val="paragraph"/>
        <w:numPr>
          <w:ilvl w:val="0"/>
          <w:numId w:val="22"/>
        </w:numPr>
        <w:spacing w:before="120" w:beforeAutospacing="0" w:after="120" w:afterAutospacing="0"/>
        <w:ind w:left="397" w:hanging="397"/>
        <w:jc w:val="both"/>
        <w:textAlignment w:val="baseline"/>
        <w:rPr>
          <w:rFonts w:asciiTheme="minorHAnsi" w:hAnsiTheme="minorHAnsi" w:cstheme="minorHAnsi"/>
        </w:rPr>
      </w:pPr>
      <w:r w:rsidRPr="00F1046D">
        <w:rPr>
          <w:rFonts w:asciiTheme="minorHAnsi" w:hAnsiTheme="minorHAnsi" w:cstheme="minorHAnsi"/>
        </w:rPr>
        <w:t xml:space="preserve">Latvijas-Lietuvas starpsavienojuma </w:t>
      </w:r>
      <w:r>
        <w:rPr>
          <w:rFonts w:asciiTheme="minorHAnsi" w:hAnsiTheme="minorHAnsi" w:cstheme="minorHAnsi"/>
        </w:rPr>
        <w:t xml:space="preserve">jaudas palielināšana, kas ļautu </w:t>
      </w:r>
      <w:r w:rsidRPr="000E7DBB">
        <w:rPr>
          <w:rFonts w:asciiTheme="minorHAnsi" w:hAnsiTheme="minorHAnsi" w:cstheme="minorHAnsi"/>
        </w:rPr>
        <w:t>pārvadīt lielākus gāzes apjomus starp Latviju un Lietuvu, tostarp, pēc GIPL projekta īstenošanas</w:t>
      </w:r>
      <w:r>
        <w:rPr>
          <w:rFonts w:asciiTheme="minorHAnsi" w:hAnsiTheme="minorHAnsi" w:cstheme="minorHAnsi"/>
        </w:rPr>
        <w:t>;</w:t>
      </w:r>
    </w:p>
    <w:p w14:paraId="75474F54" w14:textId="77777777" w:rsidR="00D96018" w:rsidRPr="009B1BB0" w:rsidRDefault="00D96018" w:rsidP="00D96018">
      <w:pPr>
        <w:pStyle w:val="Default"/>
        <w:spacing w:before="120" w:after="120"/>
        <w:jc w:val="both"/>
        <w:rPr>
          <w:rFonts w:asciiTheme="minorHAnsi" w:hAnsiTheme="minorHAnsi" w:cstheme="minorHAnsi"/>
          <w:color w:val="auto"/>
        </w:rPr>
      </w:pPr>
      <w:r w:rsidRPr="009B1BB0">
        <w:rPr>
          <w:rFonts w:asciiTheme="minorHAnsi" w:hAnsiTheme="minorHAnsi" w:cstheme="minorHAnsi"/>
          <w:color w:val="auto"/>
        </w:rPr>
        <w:t xml:space="preserve">Latvijas mērķis ir turpināt </w:t>
      </w:r>
      <w:r w:rsidRPr="009B1BB0">
        <w:rPr>
          <w:rFonts w:asciiTheme="minorHAnsi" w:hAnsiTheme="minorHAnsi" w:cstheme="minorHAnsi"/>
        </w:rPr>
        <w:t>realizēt ieguldījumus</w:t>
      </w:r>
      <w:r>
        <w:rPr>
          <w:rFonts w:asciiTheme="minorHAnsi" w:hAnsiTheme="minorHAnsi" w:cstheme="minorHAnsi"/>
        </w:rPr>
        <w:t xml:space="preserve"> dabasgāzes</w:t>
      </w:r>
      <w:r w:rsidRPr="009B1BB0">
        <w:rPr>
          <w:rFonts w:asciiTheme="minorHAnsi" w:hAnsiTheme="minorHAnsi" w:cstheme="minorHAnsi"/>
        </w:rPr>
        <w:t xml:space="preserve"> infrastruktūras attīstībā pēc esošo infrastruktūras projektu pabeigšanas.</w:t>
      </w:r>
    </w:p>
    <w:p w14:paraId="2EB4F476" w14:textId="77777777" w:rsidR="006179BB" w:rsidRDefault="006179BB" w:rsidP="0007326F">
      <w:pPr>
        <w:pStyle w:val="Heading30"/>
      </w:pPr>
      <w:bookmarkStart w:id="416" w:name="_Toc23245821"/>
      <w:bookmarkStart w:id="417" w:name="_Toc23246033"/>
      <w:bookmarkStart w:id="418" w:name="_Toc24408047"/>
      <w:r w:rsidRPr="009B1BB0">
        <w:t>Tirgus integrācija</w:t>
      </w:r>
      <w:bookmarkEnd w:id="414"/>
      <w:bookmarkEnd w:id="415"/>
      <w:bookmarkEnd w:id="416"/>
      <w:bookmarkEnd w:id="417"/>
      <w:bookmarkEnd w:id="418"/>
      <w:r w:rsidRPr="009B1BB0">
        <w:t xml:space="preserve"> </w:t>
      </w:r>
    </w:p>
    <w:p w14:paraId="6F132297" w14:textId="77777777" w:rsidR="006179BB" w:rsidRDefault="006179BB" w:rsidP="006179BB">
      <w:pPr>
        <w:pStyle w:val="Default"/>
        <w:spacing w:before="120" w:after="120"/>
        <w:jc w:val="both"/>
        <w:rPr>
          <w:rFonts w:asciiTheme="minorHAnsi" w:hAnsiTheme="minorHAnsi" w:cstheme="minorHAnsi"/>
          <w:color w:val="auto"/>
        </w:rPr>
      </w:pPr>
      <w:r>
        <w:rPr>
          <w:rFonts w:asciiTheme="minorHAnsi" w:hAnsiTheme="minorHAnsi" w:cstheme="minorHAnsi"/>
          <w:color w:val="auto"/>
        </w:rPr>
        <w:t>Ņemot vērā, ka Latvijā ir liberalizēts gan elektroenerģijas, gan gāzes piegādes tirgus, kur gan komersanti, gan mājsaimniecības var izvēlēties tiem vēlamo elektroenerģijas un gāzes piegādātāju, nav plānots noteikt citus mērķus iekšējā elektroenerģijas un gāzes tirgus integrācijai. Arī attiecībā uz degvielas (transporta enerģijas) iekšējo tirgus integrāciju netiek noteikti kādi mērķi, jo šis tirgus nav bijis un nav neintegrēts.</w:t>
      </w:r>
    </w:p>
    <w:p w14:paraId="4C22DEE2" w14:textId="77777777" w:rsidR="006179BB" w:rsidRDefault="006179BB" w:rsidP="006179BB">
      <w:pPr>
        <w:pStyle w:val="Default"/>
        <w:spacing w:before="120" w:after="120"/>
        <w:jc w:val="both"/>
        <w:rPr>
          <w:rFonts w:asciiTheme="minorHAnsi" w:hAnsiTheme="minorHAnsi" w:cstheme="minorHAnsi"/>
          <w:color w:val="auto"/>
        </w:rPr>
      </w:pPr>
      <w:r>
        <w:rPr>
          <w:rFonts w:asciiTheme="minorHAnsi" w:hAnsiTheme="minorHAnsi" w:cstheme="minorHAnsi"/>
          <w:color w:val="auto"/>
        </w:rPr>
        <w:t>Attiecībā uz iekšējo siltumenerģijas tirgu, Latvija nosaka sev mērķi izvērtēt tā liberalizācijas iespējas, lai gan jau šobrīd v</w:t>
      </w:r>
      <w:r w:rsidRPr="0026795B">
        <w:rPr>
          <w:rFonts w:asciiTheme="minorHAnsi" w:hAnsiTheme="minorHAnsi" w:cstheme="minorHAnsi"/>
          <w:color w:val="auto"/>
        </w:rPr>
        <w:t>iena siltumenerģijas apgādes sistēmas operatora licences darbības zonā var darboties vairāki siltumenerģijas ražotāji, un šiem ražotājiem ir tiesības piedāvāt sistēmas operatoram iepirkt to saražoto siltumenerģiju par vienošanās cenu.</w:t>
      </w:r>
    </w:p>
    <w:p w14:paraId="70CD70D2" w14:textId="77777777" w:rsidR="006179BB" w:rsidRPr="009B1BB0" w:rsidRDefault="006179BB">
      <w:pPr>
        <w:pStyle w:val="Heading4"/>
      </w:pPr>
      <w:bookmarkStart w:id="419" w:name="_Ref518574495"/>
      <w:bookmarkStart w:id="420" w:name="_Toc527529468"/>
      <w:bookmarkStart w:id="421" w:name="_Toc23245822"/>
      <w:r w:rsidRPr="009B1BB0">
        <w:t>Citi iekšējā enerģijas tirgus aspekti</w:t>
      </w:r>
      <w:bookmarkEnd w:id="419"/>
      <w:bookmarkEnd w:id="420"/>
      <w:bookmarkEnd w:id="421"/>
    </w:p>
    <w:p w14:paraId="146E17A3" w14:textId="77777777" w:rsidR="006179BB" w:rsidRPr="009B1BB0" w:rsidRDefault="006179BB" w:rsidP="006179BB">
      <w:pPr>
        <w:pStyle w:val="Default"/>
        <w:spacing w:before="120" w:after="120"/>
        <w:jc w:val="both"/>
        <w:rPr>
          <w:rFonts w:asciiTheme="minorHAnsi" w:hAnsiTheme="minorHAnsi" w:cstheme="minorHAnsi"/>
          <w:color w:val="auto"/>
        </w:rPr>
      </w:pPr>
      <w:bookmarkStart w:id="422" w:name="_Ref518574500"/>
      <w:bookmarkStart w:id="423" w:name="_Toc527529469"/>
      <w:r w:rsidRPr="009B1BB0">
        <w:rPr>
          <w:rFonts w:asciiTheme="minorHAnsi" w:hAnsiTheme="minorHAnsi" w:cstheme="minorHAnsi"/>
          <w:color w:val="auto"/>
        </w:rPr>
        <w:t>Elektroenerģijas lietotāji turpināja optimizēt elektroenerģijas pieslēguma jaudas, vidēji pieslēguma jaudu izmantošanas efektivitāte pieaugusi līdz 7,5%. Kopš 2016. gada maija, kad SPRK apstiprināja AS “Sadales tīkls” tarifu izmaiņas, saņemti vairāk kā 42 000 pieslēguma jaudas izmaiņas pieteikumi, vairāk kā 14 000 lietotāji ar patēriņu 0 līdz 120 kWh/gadā lauzuši līgumus. 1 473 lietotāji izmantojuši tarifu izmaiņu ieviešanas pārejas perioda iespējas un pilnīgi vai daļēji atjaunojuši jaudu 123 398 kW apjomā. Elektrotīkla pieslēguma jaudas samazināšana ir bezmaksas pakalpojums.</w:t>
      </w:r>
    </w:p>
    <w:p w14:paraId="5E8D78B1" w14:textId="77777777" w:rsidR="006179BB" w:rsidRPr="009B1BB0" w:rsidRDefault="006179BB">
      <w:pPr>
        <w:pStyle w:val="Heading4"/>
      </w:pPr>
      <w:bookmarkStart w:id="424" w:name="_Toc23245823"/>
      <w:r w:rsidRPr="009B1BB0">
        <w:t>AER dalībnieku nediskriminācija</w:t>
      </w:r>
      <w:bookmarkEnd w:id="422"/>
      <w:bookmarkEnd w:id="423"/>
      <w:bookmarkEnd w:id="424"/>
    </w:p>
    <w:p w14:paraId="745C0C25" w14:textId="77777777" w:rsidR="006179BB" w:rsidRPr="009B1BB0" w:rsidRDefault="006179BB" w:rsidP="006179BB">
      <w:pPr>
        <w:pStyle w:val="NormalWeb"/>
        <w:spacing w:before="120" w:beforeAutospacing="0" w:after="120" w:afterAutospacing="0"/>
        <w:jc w:val="both"/>
        <w:rPr>
          <w:rFonts w:asciiTheme="minorHAnsi" w:hAnsiTheme="minorHAnsi" w:cstheme="minorHAnsi"/>
          <w:bCs/>
          <w:color w:val="000000" w:themeColor="text1"/>
        </w:rPr>
      </w:pPr>
      <w:r w:rsidRPr="009B1BB0">
        <w:rPr>
          <w:rFonts w:asciiTheme="minorHAnsi" w:hAnsiTheme="minorHAnsi" w:cstheme="minorHAnsi"/>
          <w:bCs/>
          <w:color w:val="000000" w:themeColor="text1"/>
        </w:rPr>
        <w:t xml:space="preserve">Latvijā nav noteikti specifiski aizliegumi kādai konkrētai AER tehnoloģijai vai veidam, bet ir noteikti konkrēti ierobežojumi tehnoloģiju atrašanās vietai vai atbilstībai vides, bioloģiskās daudzveidības, sabiedrības vai teritoriālajiem nosacījumiem. </w:t>
      </w:r>
    </w:p>
    <w:p w14:paraId="0A4ACC39" w14:textId="77777777" w:rsidR="006179BB" w:rsidRPr="009B1BB0" w:rsidRDefault="006179BB">
      <w:pPr>
        <w:pStyle w:val="Heading4"/>
      </w:pPr>
      <w:bookmarkStart w:id="425" w:name="_Ref518574504"/>
      <w:bookmarkStart w:id="426" w:name="_Toc527529470"/>
      <w:bookmarkStart w:id="427" w:name="_Toc23245824"/>
      <w:bookmarkStart w:id="428" w:name="_Hlk521920039"/>
      <w:r w:rsidRPr="009B1BB0">
        <w:t>Patērētāja dalība</w:t>
      </w:r>
      <w:bookmarkEnd w:id="425"/>
      <w:bookmarkEnd w:id="426"/>
      <w:bookmarkEnd w:id="427"/>
    </w:p>
    <w:p w14:paraId="72896605" w14:textId="77777777" w:rsidR="006179BB" w:rsidRPr="009B1BB0" w:rsidRDefault="006179BB" w:rsidP="006179BB">
      <w:pPr>
        <w:spacing w:before="120" w:after="120" w:line="240" w:lineRule="auto"/>
        <w:jc w:val="both"/>
        <w:rPr>
          <w:rFonts w:cstheme="minorHAnsi"/>
          <w:color w:val="000000" w:themeColor="text1"/>
          <w:szCs w:val="24"/>
        </w:rPr>
      </w:pPr>
      <w:bookmarkStart w:id="429" w:name="_Ref518574508"/>
      <w:bookmarkStart w:id="430" w:name="_Toc527529471"/>
      <w:bookmarkEnd w:id="428"/>
      <w:r w:rsidRPr="009B1BB0">
        <w:rPr>
          <w:rFonts w:cstheme="minorHAnsi"/>
          <w:color w:val="000000" w:themeColor="text1"/>
          <w:szCs w:val="24"/>
        </w:rPr>
        <w:t xml:space="preserve">Attīstot uz digitālām tehnoloģijām balstītu viedo elektrotīklu, AS “Sadales tīkls” turpina patērētājiem uzstādīt viedos elektroenerģijas skaitītājus. Pakāpeniski palielinot viedā elektrotīkla īpatsvaru, tiks samazinātas skaitītāju apkalpošanas un uzturēšanas izmaksas, sniedzot ātru, pārskatāmu, jebkurā laikā un vietā pieejamu, informāciju par patēriņu, noslodzi un pārtraukumiem elektrotīklā. </w:t>
      </w:r>
    </w:p>
    <w:p w14:paraId="1C1BBA51" w14:textId="77777777" w:rsidR="006179BB" w:rsidRPr="009B1BB0" w:rsidRDefault="006179BB" w:rsidP="006179BB">
      <w:pPr>
        <w:spacing w:before="120" w:after="120" w:line="240" w:lineRule="auto"/>
        <w:jc w:val="both"/>
        <w:rPr>
          <w:rFonts w:cstheme="minorHAnsi"/>
          <w:color w:val="000000" w:themeColor="text1"/>
          <w:szCs w:val="24"/>
        </w:rPr>
      </w:pPr>
      <w:r w:rsidRPr="009B1BB0">
        <w:rPr>
          <w:rFonts w:cstheme="minorHAnsi"/>
          <w:color w:val="000000" w:themeColor="text1"/>
          <w:szCs w:val="24"/>
        </w:rPr>
        <w:t>Patērētāju interesēs ar Elektroenerģijas tirgus likuma 30.</w:t>
      </w:r>
      <w:r w:rsidRPr="009B1BB0">
        <w:rPr>
          <w:rFonts w:cstheme="minorHAnsi"/>
          <w:color w:val="000000" w:themeColor="text1"/>
          <w:vertAlign w:val="superscript"/>
        </w:rPr>
        <w:t>1</w:t>
      </w:r>
      <w:r w:rsidRPr="009B1BB0">
        <w:rPr>
          <w:rFonts w:cstheme="minorHAnsi"/>
          <w:color w:val="000000" w:themeColor="text1"/>
          <w:szCs w:val="24"/>
        </w:rPr>
        <w:t xml:space="preserve"> pantu ieviesta arī elektroenerģijas neto norēķinu sistēma</w:t>
      </w:r>
      <w:r w:rsidRPr="009B1BB0">
        <w:rPr>
          <w:rStyle w:val="FootnoteReference"/>
          <w:rFonts w:cstheme="minorHAnsi"/>
        </w:rPr>
        <w:footnoteReference w:id="137"/>
      </w:r>
      <w:r w:rsidRPr="009B1BB0">
        <w:rPr>
          <w:rFonts w:cstheme="minorHAnsi"/>
          <w:color w:val="000000" w:themeColor="text1"/>
          <w:szCs w:val="24"/>
        </w:rPr>
        <w:t xml:space="preserve"> mikroģeneratoriem, un tā ir spēkā no 2014. gada 1.janvāra visām mājsaimniecībām, kas ražo elektroenerģiju savām vajadzībām no </w:t>
      </w:r>
      <w:r w:rsidRPr="009B1BB0">
        <w:rPr>
          <w:rFonts w:eastAsia="Calibri" w:cstheme="minorHAnsi"/>
          <w:szCs w:val="24"/>
        </w:rPr>
        <w:t>AER.</w:t>
      </w:r>
      <w:r w:rsidRPr="009B1BB0">
        <w:rPr>
          <w:rFonts w:cstheme="minorHAnsi"/>
          <w:color w:val="000000" w:themeColor="text1"/>
          <w:szCs w:val="24"/>
        </w:rPr>
        <w:t xml:space="preserve"> Elektroenerģijas ražošanai no AER patērētāji izmanto mikroģeneratorus, kas ir elektroenerģijas ražošanas iekārta un ar to saistītās aizsardzības un pārveidotājiekārtas (mikroģeneratora invertors) maiņstrāvas elektroenerģijas ražošanai ar darba strāvu līdz 16 ampēriem, kas paredzēta uzstādīšanai klienta elektroietaisē paralēlā darbā ar zemsprieguma sadales elektrotīklu. Šāda strāva atbilst attiecīgi 3,7 kW jaudai vienfāzes elektrotīklā un 11,1 kW jaudai trīsfāžu elektrotīklā. No 2012.gada Ekonomikas ministrija ir izdevusi aptuveni 600 atļaujas jaunu elektroenerģijas ražošanas iekārtu ieviešanai, no kurām lielākā daļa ir mikroģenerācijas iekārtām ar jaudu no 0,0035 MW līdz 0,01 MW.</w:t>
      </w:r>
    </w:p>
    <w:p w14:paraId="6EC76980" w14:textId="77777777" w:rsidR="006179BB" w:rsidRPr="009B1BB0" w:rsidRDefault="006179BB">
      <w:pPr>
        <w:pStyle w:val="Heading4"/>
      </w:pPr>
      <w:bookmarkStart w:id="431" w:name="_Toc23245825"/>
      <w:r w:rsidRPr="009B1BB0">
        <w:t>Elektroenerģijas sistēmas adekvātums</w:t>
      </w:r>
      <w:bookmarkEnd w:id="429"/>
      <w:bookmarkEnd w:id="430"/>
      <w:bookmarkEnd w:id="431"/>
    </w:p>
    <w:p w14:paraId="7327368D" w14:textId="77777777" w:rsidR="006179BB" w:rsidRPr="009B1BB0" w:rsidRDefault="006179BB" w:rsidP="006179BB">
      <w:pPr>
        <w:spacing w:before="120" w:after="120" w:line="240" w:lineRule="auto"/>
        <w:jc w:val="both"/>
        <w:rPr>
          <w:rFonts w:cstheme="minorHAnsi"/>
          <w:color w:val="000000" w:themeColor="text1"/>
          <w:szCs w:val="24"/>
        </w:rPr>
      </w:pPr>
      <w:r w:rsidRPr="009B1BB0">
        <w:rPr>
          <w:rFonts w:cstheme="minorHAnsi"/>
          <w:color w:val="000000" w:themeColor="text1"/>
          <w:szCs w:val="24"/>
        </w:rPr>
        <w:t>Jaunu bāzes jaudas elektrostaciju nodošana ekspluatācijā Latvijā līdz 2028. gadam nav paredzēta un līdz 2018.gada beigām nav pieņemti lēmumi par lielas jaudas elektrostaciju projektu īstenošanu Baltijas valstīs (t.sk. saistībā ar bāzes elektriskās jaudas pieaugumu) laika posmā līdz 2028. gadam. Vienlaikus, ir pieļaujams, ka tuvākajos gados Latvijā varētu tikt īstenoti lieljaudas vēja parku projekti ar uzstādīto jaudu vairāk nekā 200 MW.</w:t>
      </w:r>
    </w:p>
    <w:p w14:paraId="4264C485" w14:textId="77777777" w:rsidR="006179BB" w:rsidRPr="009B1BB0" w:rsidRDefault="006179BB">
      <w:pPr>
        <w:pStyle w:val="Heading4"/>
      </w:pPr>
      <w:bookmarkStart w:id="432" w:name="_Ref518574511"/>
      <w:bookmarkStart w:id="433" w:name="_Toc527529472"/>
      <w:bookmarkStart w:id="434" w:name="_Toc23245826"/>
      <w:r w:rsidRPr="009B1BB0">
        <w:t>Energopatērētāju aizsardzība</w:t>
      </w:r>
      <w:bookmarkEnd w:id="432"/>
      <w:bookmarkEnd w:id="433"/>
      <w:bookmarkEnd w:id="434"/>
    </w:p>
    <w:p w14:paraId="2ED4018D" w14:textId="77777777" w:rsidR="006179BB" w:rsidRPr="009B1BB0" w:rsidRDefault="006179BB" w:rsidP="006179BB">
      <w:pPr>
        <w:spacing w:before="120" w:after="120" w:line="240" w:lineRule="auto"/>
        <w:jc w:val="both"/>
        <w:rPr>
          <w:rFonts w:cstheme="minorHAnsi"/>
          <w:color w:val="000000" w:themeColor="text1"/>
          <w:szCs w:val="24"/>
        </w:rPr>
      </w:pPr>
      <w:r w:rsidRPr="009B1BB0">
        <w:rPr>
          <w:rFonts w:cstheme="minorHAnsi"/>
          <w:color w:val="000000" w:themeColor="text1"/>
          <w:szCs w:val="24"/>
        </w:rPr>
        <w:t xml:space="preserve">Ņemot vērā, ka pēc elektroenerģijas tirgus liberalizācijas elektroenerģija vairs netiek subsidēta visiem elektroenerģijas lietotājiem, sociāli neaizsargātākajai sabiedrības daļai nepieciešams sniegt atbalstu, lai mazinātu cenu pieauguma iespējamo negatīvo ietekmi. </w:t>
      </w:r>
    </w:p>
    <w:p w14:paraId="164C52E5" w14:textId="77777777" w:rsidR="006179BB" w:rsidRPr="009B1BB0" w:rsidRDefault="006179BB" w:rsidP="006179BB">
      <w:pPr>
        <w:spacing w:before="120" w:after="120" w:line="240" w:lineRule="auto"/>
        <w:jc w:val="both"/>
        <w:rPr>
          <w:rFonts w:cstheme="minorHAnsi"/>
          <w:color w:val="000000" w:themeColor="text1"/>
          <w:szCs w:val="24"/>
        </w:rPr>
      </w:pPr>
      <w:r w:rsidRPr="009B1BB0">
        <w:rPr>
          <w:rFonts w:cstheme="minorHAnsi"/>
          <w:color w:val="000000" w:themeColor="text1"/>
          <w:szCs w:val="24"/>
        </w:rPr>
        <w:t>Atbilstoši Elektroenerģijas tirgus likuma 33.</w:t>
      </w:r>
      <w:r w:rsidRPr="009B1BB0">
        <w:rPr>
          <w:rFonts w:cstheme="minorHAnsi"/>
          <w:color w:val="000000" w:themeColor="text1"/>
          <w:szCs w:val="24"/>
          <w:vertAlign w:val="superscript"/>
        </w:rPr>
        <w:t>1</w:t>
      </w:r>
      <w:r w:rsidRPr="009B1BB0">
        <w:rPr>
          <w:rFonts w:cstheme="minorHAnsi"/>
          <w:color w:val="000000" w:themeColor="text1"/>
          <w:szCs w:val="24"/>
        </w:rPr>
        <w:t xml:space="preserve"> panta pirmajai daļai aizsargātajiem lietotājiem</w:t>
      </w:r>
      <w:r w:rsidRPr="009B1BB0">
        <w:rPr>
          <w:rStyle w:val="FootnoteReference"/>
          <w:rFonts w:cstheme="minorHAnsi"/>
          <w:color w:val="000000" w:themeColor="text1"/>
          <w:szCs w:val="24"/>
        </w:rPr>
        <w:footnoteReference w:id="138"/>
      </w:r>
      <w:r w:rsidRPr="009B1BB0">
        <w:rPr>
          <w:rFonts w:cstheme="minorHAnsi"/>
          <w:color w:val="000000" w:themeColor="text1"/>
          <w:szCs w:val="24"/>
        </w:rPr>
        <w:t xml:space="preserve"> tiek nodrošinātas tiesības saņemt aizsargātā lietotāja elektroenerģijas tirdzniecības pakalpojumu, un sociāli mazaizsargātajām iedzīvotāju grupām tiek piedāvāts noteikts elektroenerģijas daudzums par samazinātu cenu:</w:t>
      </w:r>
    </w:p>
    <w:p w14:paraId="0914D869" w14:textId="77777777" w:rsidR="006179BB" w:rsidRPr="009B1BB0" w:rsidRDefault="006179BB" w:rsidP="00847BE3">
      <w:pPr>
        <w:pStyle w:val="ListParagraph"/>
        <w:numPr>
          <w:ilvl w:val="0"/>
          <w:numId w:val="27"/>
        </w:numPr>
        <w:spacing w:before="120" w:after="120" w:line="240" w:lineRule="auto"/>
        <w:ind w:left="397" w:hanging="397"/>
        <w:contextualSpacing w:val="0"/>
        <w:jc w:val="both"/>
        <w:rPr>
          <w:rFonts w:cstheme="minorHAnsi"/>
          <w:color w:val="000000" w:themeColor="text1"/>
          <w:szCs w:val="24"/>
        </w:rPr>
      </w:pPr>
      <w:r w:rsidRPr="009B1BB0">
        <w:rPr>
          <w:rFonts w:cstheme="minorHAnsi"/>
          <w:color w:val="000000" w:themeColor="text1"/>
          <w:szCs w:val="24"/>
        </w:rPr>
        <w:t>trūcīgai vai maznodrošinātai ģimenei (personai), kā arī ģimenei ar bērnu invalīdu un personai ar pirmās grupas invaliditāti – 100 kW par subsidēto cenu 0,03758 EUR/kWh  par vienu kilovatstundu katrā norēķinu periodā (kalendāra mēnesī)</w:t>
      </w:r>
    </w:p>
    <w:p w14:paraId="7FBEF6FA" w14:textId="77777777" w:rsidR="006179BB" w:rsidRPr="009B1BB0" w:rsidRDefault="006179BB" w:rsidP="00847BE3">
      <w:pPr>
        <w:pStyle w:val="ListParagraph"/>
        <w:numPr>
          <w:ilvl w:val="0"/>
          <w:numId w:val="27"/>
        </w:numPr>
        <w:spacing w:before="120" w:after="120" w:line="240" w:lineRule="auto"/>
        <w:ind w:left="397" w:hanging="397"/>
        <w:contextualSpacing w:val="0"/>
        <w:jc w:val="both"/>
        <w:rPr>
          <w:rFonts w:cstheme="minorHAnsi"/>
          <w:color w:val="000000" w:themeColor="text1"/>
          <w:szCs w:val="24"/>
        </w:rPr>
      </w:pPr>
      <w:r w:rsidRPr="009B1BB0">
        <w:rPr>
          <w:rFonts w:cstheme="minorHAnsi"/>
          <w:color w:val="000000" w:themeColor="text1"/>
          <w:szCs w:val="24"/>
        </w:rPr>
        <w:t>daudzbērnu ģimenei – 300 kWh par cenu 0,03758 EUR/kWh katrā norēķinu periodā (kalendāra mēnesī).</w:t>
      </w:r>
    </w:p>
    <w:p w14:paraId="5C15D5EC" w14:textId="77777777" w:rsidR="006179BB" w:rsidRPr="009B1BB0" w:rsidRDefault="006179BB" w:rsidP="006179BB">
      <w:pPr>
        <w:spacing w:before="120" w:after="120" w:line="240" w:lineRule="auto"/>
        <w:jc w:val="both"/>
        <w:rPr>
          <w:rFonts w:cstheme="minorHAnsi"/>
          <w:color w:val="000000" w:themeColor="text1"/>
          <w:szCs w:val="24"/>
        </w:rPr>
      </w:pPr>
      <w:r w:rsidRPr="009B1BB0">
        <w:rPr>
          <w:rFonts w:cstheme="minorHAnsi"/>
          <w:color w:val="000000" w:themeColor="text1"/>
          <w:szCs w:val="24"/>
        </w:rPr>
        <w:t>Tiek arī kompensēta fiksētā OIK un sadales sistēmas pakalpojuma maksa atkarībā no pieslēguma jaudas.</w:t>
      </w:r>
    </w:p>
    <w:p w14:paraId="4CBC9760" w14:textId="77777777" w:rsidR="006179BB" w:rsidRPr="009B1BB0" w:rsidRDefault="006179BB" w:rsidP="006179BB">
      <w:pPr>
        <w:spacing w:before="120" w:after="120" w:line="240" w:lineRule="auto"/>
        <w:jc w:val="both"/>
        <w:rPr>
          <w:rFonts w:cstheme="minorHAnsi"/>
          <w:color w:val="000000" w:themeColor="text1"/>
          <w:szCs w:val="24"/>
        </w:rPr>
      </w:pPr>
      <w:r w:rsidRPr="009B1BB0">
        <w:rPr>
          <w:rFonts w:cstheme="minorHAnsi"/>
          <w:color w:val="000000" w:themeColor="text1"/>
          <w:szCs w:val="24"/>
        </w:rPr>
        <w:t>Periodā līdz 2030.gadam tiek plānots turpināt īstenot aizsargātā lietotāja atbalstu iepriekšējā apjomā, bet arī ņemot vērā īstenotos pasākumus OIK reformēšanai.</w:t>
      </w:r>
    </w:p>
    <w:p w14:paraId="7A081324" w14:textId="77777777" w:rsidR="006179BB" w:rsidRPr="009B1BB0" w:rsidRDefault="006179BB" w:rsidP="0007326F">
      <w:pPr>
        <w:pStyle w:val="Heading30"/>
      </w:pPr>
      <w:bookmarkStart w:id="435" w:name="_Toc520978830"/>
      <w:bookmarkStart w:id="436" w:name="_Toc527529473"/>
      <w:bookmarkStart w:id="437" w:name="_Toc23245827"/>
      <w:bookmarkStart w:id="438" w:name="_Toc23246034"/>
      <w:bookmarkStart w:id="439" w:name="_Toc24408048"/>
      <w:r w:rsidRPr="009B1BB0">
        <w:t>Enerģētiskā nabadzība</w:t>
      </w:r>
      <w:bookmarkEnd w:id="435"/>
      <w:bookmarkEnd w:id="436"/>
      <w:bookmarkEnd w:id="437"/>
      <w:bookmarkEnd w:id="438"/>
      <w:bookmarkEnd w:id="439"/>
      <w:r w:rsidRPr="009B1BB0">
        <w:t xml:space="preserve"> </w:t>
      </w:r>
    </w:p>
    <w:p w14:paraId="22D3410B" w14:textId="77777777" w:rsidR="006179BB" w:rsidRPr="009B1BB0" w:rsidRDefault="006179BB" w:rsidP="006179BB">
      <w:pPr>
        <w:pStyle w:val="Default"/>
        <w:spacing w:before="120" w:after="120"/>
        <w:jc w:val="both"/>
        <w:rPr>
          <w:rFonts w:asciiTheme="minorHAnsi" w:hAnsiTheme="minorHAnsi" w:cstheme="minorHAnsi"/>
          <w:color w:val="auto"/>
        </w:rPr>
      </w:pPr>
      <w:r w:rsidRPr="009B1BB0">
        <w:rPr>
          <w:rFonts w:asciiTheme="minorHAnsi" w:hAnsiTheme="minorHAnsi" w:cstheme="minorHAnsi"/>
          <w:color w:val="auto"/>
        </w:rPr>
        <w:t>Latvija nosaka, ka periodā līdz 2030.gadam ir nepieciešams nepārtraukti samazināt enerģētiskās nabadzības rādītāju un nodrošināt, ka tas ir mazāks nekā ES vidējais rādītājs. Līdz ar to 2030.gada enerģētiskās nabadzības mērķis Latvijai ir – nodrošināt, ka enerģētiskās nabadzības līmenis Latvijā ir mazāks nekā 7,5%.</w:t>
      </w:r>
    </w:p>
    <w:p w14:paraId="61856DAD" w14:textId="77777777" w:rsidR="006179BB" w:rsidRPr="009B1BB0" w:rsidRDefault="006179BB" w:rsidP="0007326F">
      <w:pPr>
        <w:pStyle w:val="Heading2"/>
        <w:ind w:left="623"/>
      </w:pPr>
      <w:bookmarkStart w:id="440" w:name="_Toc14777195"/>
      <w:bookmarkStart w:id="441" w:name="_Toc14777243"/>
      <w:bookmarkStart w:id="442" w:name="_Toc14964250"/>
      <w:bookmarkStart w:id="443" w:name="_Toc14965403"/>
      <w:bookmarkStart w:id="444" w:name="_Toc15367300"/>
      <w:bookmarkStart w:id="445" w:name="_Toc17874621"/>
      <w:bookmarkStart w:id="446" w:name="_Toc17878350"/>
      <w:bookmarkStart w:id="447" w:name="_Toc14777196"/>
      <w:bookmarkStart w:id="448" w:name="_Toc14777244"/>
      <w:bookmarkStart w:id="449" w:name="_Toc14964251"/>
      <w:bookmarkStart w:id="450" w:name="_Toc14965404"/>
      <w:bookmarkStart w:id="451" w:name="_Toc15367301"/>
      <w:bookmarkStart w:id="452" w:name="_Toc17874622"/>
      <w:bookmarkStart w:id="453" w:name="_Toc17878351"/>
      <w:bookmarkStart w:id="454" w:name="_Toc14777197"/>
      <w:bookmarkStart w:id="455" w:name="_Toc14777245"/>
      <w:bookmarkStart w:id="456" w:name="_Toc14964252"/>
      <w:bookmarkStart w:id="457" w:name="_Toc14965405"/>
      <w:bookmarkStart w:id="458" w:name="_Toc15367302"/>
      <w:bookmarkStart w:id="459" w:name="_Toc17874623"/>
      <w:bookmarkStart w:id="460" w:name="_Toc17878352"/>
      <w:bookmarkStart w:id="461" w:name="_Toc14777198"/>
      <w:bookmarkStart w:id="462" w:name="_Toc14777246"/>
      <w:bookmarkStart w:id="463" w:name="_Toc14964253"/>
      <w:bookmarkStart w:id="464" w:name="_Toc14965406"/>
      <w:bookmarkStart w:id="465" w:name="_Toc15367303"/>
      <w:bookmarkStart w:id="466" w:name="_Toc17874624"/>
      <w:bookmarkStart w:id="467" w:name="_Toc17878353"/>
      <w:bookmarkStart w:id="468" w:name="_Toc14777199"/>
      <w:bookmarkStart w:id="469" w:name="_Toc14777247"/>
      <w:bookmarkStart w:id="470" w:name="_Toc14964254"/>
      <w:bookmarkStart w:id="471" w:name="_Toc14965407"/>
      <w:bookmarkStart w:id="472" w:name="_Toc15367304"/>
      <w:bookmarkStart w:id="473" w:name="_Toc17874625"/>
      <w:bookmarkStart w:id="474" w:name="_Toc17878354"/>
      <w:bookmarkStart w:id="475" w:name="_Toc14777200"/>
      <w:bookmarkStart w:id="476" w:name="_Toc14777248"/>
      <w:bookmarkStart w:id="477" w:name="_Toc14964255"/>
      <w:bookmarkStart w:id="478" w:name="_Toc14965408"/>
      <w:bookmarkStart w:id="479" w:name="_Toc15367305"/>
      <w:bookmarkStart w:id="480" w:name="_Toc17874626"/>
      <w:bookmarkStart w:id="481" w:name="_Toc17878355"/>
      <w:bookmarkStart w:id="482" w:name="_Toc14777201"/>
      <w:bookmarkStart w:id="483" w:name="_Toc14777249"/>
      <w:bookmarkStart w:id="484" w:name="_Toc14964256"/>
      <w:bookmarkStart w:id="485" w:name="_Toc14965409"/>
      <w:bookmarkStart w:id="486" w:name="_Toc15367306"/>
      <w:bookmarkStart w:id="487" w:name="_Toc17874627"/>
      <w:bookmarkStart w:id="488" w:name="_Toc17878356"/>
      <w:bookmarkStart w:id="489" w:name="_Toc14777202"/>
      <w:bookmarkStart w:id="490" w:name="_Toc14777250"/>
      <w:bookmarkStart w:id="491" w:name="_Toc14964257"/>
      <w:bookmarkStart w:id="492" w:name="_Toc14965410"/>
      <w:bookmarkStart w:id="493" w:name="_Toc15367307"/>
      <w:bookmarkStart w:id="494" w:name="_Toc17874628"/>
      <w:bookmarkStart w:id="495" w:name="_Toc17878357"/>
      <w:bookmarkStart w:id="496" w:name="_Toc520978831"/>
      <w:bookmarkStart w:id="497" w:name="_Toc17878358"/>
      <w:bookmarkStart w:id="498" w:name="_Toc23245828"/>
      <w:bookmarkStart w:id="499" w:name="_Toc23246035"/>
      <w:bookmarkStart w:id="500" w:name="_Toc24408049"/>
      <w:bookmarkStart w:id="501" w:name="_Toc24408110"/>
      <w:bookmarkStart w:id="502" w:name="_Toc527529475"/>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sidRPr="009B1BB0">
        <w:t>Pētniecība, inovācija un konkurētspēja</w:t>
      </w:r>
      <w:bookmarkEnd w:id="496"/>
      <w:bookmarkEnd w:id="497"/>
      <w:bookmarkEnd w:id="498"/>
      <w:bookmarkEnd w:id="499"/>
      <w:bookmarkEnd w:id="500"/>
      <w:bookmarkEnd w:id="501"/>
      <w:r w:rsidRPr="009B1BB0">
        <w:t xml:space="preserve"> </w:t>
      </w:r>
      <w:bookmarkEnd w:id="502"/>
    </w:p>
    <w:p w14:paraId="56CD647B" w14:textId="77777777" w:rsidR="006179BB" w:rsidRPr="009B1BB0" w:rsidRDefault="006179BB" w:rsidP="006179BB">
      <w:pPr>
        <w:pStyle w:val="Standard"/>
        <w:spacing w:before="120" w:after="120"/>
        <w:jc w:val="both"/>
        <w:rPr>
          <w:rFonts w:asciiTheme="minorHAnsi" w:hAnsiTheme="minorHAnsi" w:cstheme="minorHAnsi"/>
        </w:rPr>
      </w:pPr>
      <w:r w:rsidRPr="009B1BB0">
        <w:rPr>
          <w:rFonts w:asciiTheme="minorHAnsi" w:hAnsiTheme="minorHAnsi" w:cstheme="minorHAnsi"/>
        </w:rPr>
        <w:t xml:space="preserve">LIAS2030 ir iekļauts redzējums par inovāciju un pāreju uz preču un pakalpojumu radīšanu ar zemu oglekļa emisijas un energoietilpības līmeni, AER izmantošanu un tehnoloģiju attīstību, kā arī identificēta nepieciešamība attīstīt pētniecības iestāžu un uzņēmumu sadarbību AER jomā, taču nav definēti konkrēti mērķi, rīcības virzieni vai atbalsta pasākumi attiecībā uz P&amp;I attīstību definētajās prioritārajās jomās. </w:t>
      </w:r>
    </w:p>
    <w:p w14:paraId="2094AC56" w14:textId="77777777" w:rsidR="006179BB" w:rsidRPr="009B1BB0" w:rsidRDefault="006179BB" w:rsidP="0007326F">
      <w:pPr>
        <w:pStyle w:val="Heading30"/>
      </w:pPr>
      <w:bookmarkStart w:id="503" w:name="_Toc23245829"/>
      <w:bookmarkStart w:id="504" w:name="_Toc23246036"/>
      <w:bookmarkStart w:id="505" w:name="_Toc24408050"/>
      <w:r w:rsidRPr="009B1BB0">
        <w:t>Pētniecība un attīstība un inovācijas</w:t>
      </w:r>
      <w:bookmarkEnd w:id="503"/>
      <w:bookmarkEnd w:id="504"/>
      <w:bookmarkEnd w:id="505"/>
    </w:p>
    <w:p w14:paraId="02A41711" w14:textId="77777777" w:rsidR="006179BB" w:rsidRPr="009B1BB0" w:rsidRDefault="006179BB" w:rsidP="006179BB">
      <w:pPr>
        <w:pStyle w:val="Standard"/>
        <w:widowControl w:val="0"/>
        <w:spacing w:before="120" w:after="120"/>
        <w:jc w:val="both"/>
        <w:rPr>
          <w:rFonts w:asciiTheme="minorHAnsi" w:hAnsiTheme="minorHAnsi" w:cstheme="minorHAnsi"/>
        </w:rPr>
      </w:pPr>
      <w:r w:rsidRPr="009B1BB0">
        <w:rPr>
          <w:rFonts w:asciiTheme="minorHAnsi" w:hAnsiTheme="minorHAnsi" w:cstheme="minorHAnsi"/>
        </w:rPr>
        <w:t xml:space="preserve">2021.–2027. gada periodā paredzēts mērķfokusēts atbalsts P&amp;I klimata tehnoloģiju attīstīšanai un ieviešanai, jo īpaši Viedās specializācijas stratēģijas </w:t>
      </w:r>
      <w:r w:rsidRPr="009B1BB0">
        <w:rPr>
          <w:rFonts w:asciiTheme="minorHAnsi" w:eastAsia="Times New Roman" w:hAnsiTheme="minorHAnsi" w:cstheme="minorHAnsi"/>
        </w:rPr>
        <w:t>(</w:t>
      </w:r>
      <w:r w:rsidRPr="009B1BB0">
        <w:rPr>
          <w:rFonts w:asciiTheme="minorHAnsi" w:eastAsia="Times New Roman" w:hAnsiTheme="minorHAnsi" w:cstheme="minorHAnsi"/>
          <w:i/>
        </w:rPr>
        <w:t>Research and Innovation Strategies for Smart Specialisation – RIS3)</w:t>
      </w:r>
      <w:r w:rsidRPr="009B1BB0">
        <w:rPr>
          <w:rFonts w:asciiTheme="minorHAnsi" w:eastAsia="Times New Roman" w:hAnsiTheme="minorHAnsi" w:cstheme="minorHAnsi"/>
        </w:rPr>
        <w:t xml:space="preserve"> </w:t>
      </w:r>
      <w:r w:rsidRPr="009B1BB0">
        <w:rPr>
          <w:rFonts w:asciiTheme="minorHAnsi" w:hAnsiTheme="minorHAnsi" w:cstheme="minorHAnsi"/>
        </w:rPr>
        <w:t>īstenošanas un NIPP2020 tematisko stratēģisko ekosistēmu</w:t>
      </w:r>
      <w:r w:rsidRPr="009B1BB0">
        <w:rPr>
          <w:rStyle w:val="FootnoteReference"/>
          <w:rFonts w:asciiTheme="minorHAnsi" w:hAnsiTheme="minorHAnsi" w:cstheme="minorHAnsi"/>
        </w:rPr>
        <w:footnoteReference w:id="139"/>
      </w:r>
      <w:r w:rsidRPr="009B1BB0">
        <w:rPr>
          <w:rFonts w:asciiTheme="minorHAnsi" w:hAnsiTheme="minorHAnsi" w:cstheme="minorHAnsi"/>
        </w:rPr>
        <w:t xml:space="preserve"> ietvaros.</w:t>
      </w:r>
    </w:p>
    <w:p w14:paraId="6C15A703" w14:textId="77777777" w:rsidR="006179BB" w:rsidRPr="009B1BB0" w:rsidRDefault="006179BB" w:rsidP="006179BB">
      <w:pPr>
        <w:pStyle w:val="Standard"/>
        <w:spacing w:before="120" w:after="120"/>
        <w:jc w:val="both"/>
        <w:rPr>
          <w:rFonts w:asciiTheme="minorHAnsi" w:eastAsia="Times New Roman" w:hAnsiTheme="minorHAnsi" w:cstheme="minorHAnsi"/>
        </w:rPr>
      </w:pPr>
      <w:r w:rsidRPr="009B1BB0">
        <w:rPr>
          <w:rFonts w:asciiTheme="minorHAnsi" w:hAnsiTheme="minorHAnsi" w:cstheme="minorHAnsi"/>
        </w:rPr>
        <w:t>Viens no būtiskākajiem priekšnosacījumiem jaunu tehnoloģiju un inovatīvu produktu un pakalpojumu attīstīšanai un ieviešanai, ir ieguldījumi P&amp;A. LIAS2030 mērķa rādītājs ieguldījumiem P&amp;A paredzēts vairāk nekā 3% no IKP gadā, un attiecīgi LNAP2020</w:t>
      </w:r>
      <w:r w:rsidRPr="009B1BB0">
        <w:rPr>
          <w:rStyle w:val="FootnoteReference"/>
          <w:rFonts w:asciiTheme="minorHAnsi" w:hAnsiTheme="minorHAnsi" w:cstheme="minorHAnsi"/>
        </w:rPr>
        <w:footnoteReference w:id="140"/>
      </w:r>
      <w:r w:rsidRPr="009B1BB0">
        <w:rPr>
          <w:rFonts w:asciiTheme="minorHAnsi" w:hAnsiTheme="minorHAnsi" w:cstheme="minorHAnsi"/>
        </w:rPr>
        <w:t xml:space="preserve"> - 1,5% no IKP gadā apmērā no IKP. 2021.–2027.gada plānošanas periodā, atbilstoši ES tiesību aktu priekšlikumiem, plānots vismaz 25% no kopējiem publiskā finansējuma ieguldījumiem P&amp;I investēt klimata tehnoloģiju attīstīšanai un ieviešanai, un klimata mērķu sasniegšanai, īpaši atbalstot P&amp;I aktivitātes energoefektivitātes veicināšanai, pārejai uz atjaunojamo enerģiju, pasākumiem saistībā ar pielāgošanos klimata pārmaiņām un ar klimatu saistīto risku novēršanu, kā arī pasākumiem ūdenssaimniecības, lauksaimniecības un atkritumu apsaimniekošanas jomā.</w:t>
      </w:r>
    </w:p>
    <w:p w14:paraId="15B51502" w14:textId="5695A203" w:rsidR="006179BB" w:rsidRPr="009B1BB0" w:rsidRDefault="006179BB" w:rsidP="006179BB">
      <w:pPr>
        <w:pStyle w:val="Caption"/>
        <w:rPr>
          <w:rFonts w:asciiTheme="minorHAnsi" w:hAnsiTheme="minorHAnsi" w:cstheme="minorHAnsi"/>
        </w:rPr>
      </w:pPr>
      <w:r w:rsidRPr="009B1BB0">
        <w:rPr>
          <w:rFonts w:asciiTheme="minorHAnsi" w:hAnsiTheme="minorHAnsi" w:cstheme="minorHAnsi"/>
        </w:rPr>
        <w:fldChar w:fldCharType="begin"/>
      </w:r>
      <w:r w:rsidRPr="009B1BB0">
        <w:rPr>
          <w:rFonts w:asciiTheme="minorHAnsi" w:hAnsiTheme="minorHAnsi" w:cstheme="minorHAnsi"/>
        </w:rPr>
        <w:instrText xml:space="preserve"> SEQ Tabula \* ARABIC </w:instrText>
      </w:r>
      <w:r w:rsidRPr="009B1BB0">
        <w:rPr>
          <w:rFonts w:asciiTheme="minorHAnsi" w:hAnsiTheme="minorHAnsi" w:cstheme="minorHAnsi"/>
        </w:rPr>
        <w:fldChar w:fldCharType="separate"/>
      </w:r>
      <w:r w:rsidR="006E6675">
        <w:rPr>
          <w:rFonts w:asciiTheme="minorHAnsi" w:hAnsiTheme="minorHAnsi" w:cstheme="minorHAnsi"/>
          <w:noProof/>
        </w:rPr>
        <w:t>21</w:t>
      </w:r>
      <w:r w:rsidRPr="009B1BB0">
        <w:rPr>
          <w:rFonts w:asciiTheme="minorHAnsi" w:hAnsiTheme="minorHAnsi" w:cstheme="minorHAnsi"/>
        </w:rPr>
        <w:fldChar w:fldCharType="end"/>
      </w:r>
      <w:r w:rsidRPr="009B1BB0">
        <w:rPr>
          <w:rFonts w:asciiTheme="minorHAnsi" w:hAnsiTheme="minorHAnsi" w:cstheme="minorHAnsi"/>
        </w:rPr>
        <w:t>.tabula. Latvijas pētniecības un attīstības politikas mērķi un to rezultatīvie radītāji</w:t>
      </w:r>
    </w:p>
    <w:tbl>
      <w:tblPr>
        <w:tblStyle w:val="TableGrid"/>
        <w:tblW w:w="9297" w:type="dxa"/>
        <w:jc w:val="center"/>
        <w:tblLook w:val="04A0" w:firstRow="1" w:lastRow="0" w:firstColumn="1" w:lastColumn="0" w:noHBand="0" w:noVBand="1"/>
      </w:tblPr>
      <w:tblGrid>
        <w:gridCol w:w="4673"/>
        <w:gridCol w:w="1843"/>
        <w:gridCol w:w="1276"/>
        <w:gridCol w:w="1505"/>
      </w:tblGrid>
      <w:tr w:rsidR="006179BB" w:rsidRPr="009B1BB0" w14:paraId="6DDE136B" w14:textId="77777777" w:rsidTr="006179BB">
        <w:trPr>
          <w:tblHeader/>
          <w:jc w:val="center"/>
        </w:trPr>
        <w:tc>
          <w:tcPr>
            <w:tcW w:w="467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5EF39BF5" w14:textId="77777777" w:rsidR="006179BB" w:rsidRPr="009B1BB0" w:rsidRDefault="006179BB" w:rsidP="006179BB">
            <w:pPr>
              <w:rPr>
                <w:rFonts w:cstheme="minorHAnsi"/>
                <w:b/>
                <w:color w:val="000000" w:themeColor="text1"/>
                <w:sz w:val="22"/>
              </w:rPr>
            </w:pPr>
            <w:r w:rsidRPr="009B1BB0">
              <w:rPr>
                <w:rFonts w:cstheme="minorHAnsi"/>
                <w:b/>
                <w:color w:val="000000" w:themeColor="text1"/>
                <w:sz w:val="22"/>
              </w:rPr>
              <w:t>Politikas rezultāts pētniecības, inovāciju un konkurētspējas dimensijā</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B2E29E" w14:textId="77777777" w:rsidR="006179BB" w:rsidRPr="009B1BB0" w:rsidRDefault="006179BB" w:rsidP="006179BB">
            <w:pPr>
              <w:jc w:val="center"/>
              <w:rPr>
                <w:rFonts w:cstheme="minorHAnsi"/>
                <w:b/>
                <w:color w:val="000000" w:themeColor="text1"/>
                <w:sz w:val="22"/>
              </w:rPr>
            </w:pPr>
            <w:r w:rsidRPr="009B1BB0">
              <w:rPr>
                <w:rFonts w:cstheme="minorHAnsi"/>
                <w:b/>
                <w:color w:val="000000" w:themeColor="text1"/>
                <w:sz w:val="22"/>
              </w:rPr>
              <w:t>Faktiskā vērtība</w:t>
            </w:r>
          </w:p>
        </w:tc>
        <w:tc>
          <w:tcPr>
            <w:tcW w:w="27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AC8E5B" w14:textId="77777777" w:rsidR="006179BB" w:rsidRPr="009B1BB0" w:rsidRDefault="006179BB" w:rsidP="006179BB">
            <w:pPr>
              <w:jc w:val="center"/>
              <w:rPr>
                <w:rFonts w:cstheme="minorHAnsi"/>
                <w:b/>
                <w:color w:val="000000" w:themeColor="text1"/>
                <w:sz w:val="22"/>
              </w:rPr>
            </w:pPr>
            <w:r w:rsidRPr="009B1BB0">
              <w:rPr>
                <w:rFonts w:cstheme="minorHAnsi"/>
                <w:b/>
                <w:color w:val="000000" w:themeColor="text1"/>
                <w:sz w:val="22"/>
              </w:rPr>
              <w:t>Mērķa vērtība</w:t>
            </w:r>
          </w:p>
        </w:tc>
      </w:tr>
      <w:tr w:rsidR="006179BB" w:rsidRPr="009B1BB0" w14:paraId="5486EA5F" w14:textId="77777777" w:rsidTr="006179BB">
        <w:trPr>
          <w:tblHeader/>
          <w:jc w:val="center"/>
        </w:trPr>
        <w:tc>
          <w:tcPr>
            <w:tcW w:w="4673"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7B9BF251" w14:textId="77777777" w:rsidR="006179BB" w:rsidRPr="009B1BB0" w:rsidRDefault="006179BB" w:rsidP="006179BB">
            <w:pPr>
              <w:jc w:val="both"/>
              <w:rPr>
                <w:rFonts w:cstheme="minorHAnsi"/>
                <w:sz w:val="22"/>
              </w:rPr>
            </w:pP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AC16C5" w14:textId="77777777" w:rsidR="006179BB" w:rsidRPr="009B1BB0" w:rsidRDefault="006179BB" w:rsidP="006179BB">
            <w:pPr>
              <w:jc w:val="center"/>
              <w:rPr>
                <w:rFonts w:cstheme="minorHAnsi"/>
                <w:b/>
                <w:color w:val="000000" w:themeColor="text1"/>
                <w:sz w:val="22"/>
              </w:rPr>
            </w:pPr>
            <w:r w:rsidRPr="009B1BB0">
              <w:rPr>
                <w:rFonts w:cstheme="minorHAnsi"/>
                <w:b/>
                <w:color w:val="000000" w:themeColor="text1"/>
                <w:sz w:val="22"/>
              </w:rPr>
              <w:t>2017</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F25B74" w14:textId="77777777" w:rsidR="006179BB" w:rsidRPr="009B1BB0" w:rsidRDefault="006179BB" w:rsidP="006179BB">
            <w:pPr>
              <w:jc w:val="center"/>
              <w:rPr>
                <w:rFonts w:cstheme="minorHAnsi"/>
                <w:b/>
                <w:color w:val="000000" w:themeColor="text1"/>
                <w:sz w:val="22"/>
              </w:rPr>
            </w:pPr>
            <w:r w:rsidRPr="009B1BB0">
              <w:rPr>
                <w:rFonts w:cstheme="minorHAnsi"/>
                <w:b/>
                <w:color w:val="000000" w:themeColor="text1"/>
                <w:sz w:val="22"/>
              </w:rPr>
              <w:t>2020</w:t>
            </w:r>
          </w:p>
        </w:tc>
        <w:tc>
          <w:tcPr>
            <w:tcW w:w="15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AB73D1" w14:textId="77777777" w:rsidR="006179BB" w:rsidRPr="009B1BB0" w:rsidRDefault="006179BB" w:rsidP="006179BB">
            <w:pPr>
              <w:jc w:val="center"/>
              <w:rPr>
                <w:rFonts w:cstheme="minorHAnsi"/>
                <w:b/>
                <w:color w:val="000000" w:themeColor="text1"/>
                <w:sz w:val="22"/>
              </w:rPr>
            </w:pPr>
            <w:r w:rsidRPr="009B1BB0">
              <w:rPr>
                <w:rFonts w:cstheme="minorHAnsi"/>
                <w:b/>
                <w:color w:val="000000" w:themeColor="text1"/>
                <w:sz w:val="22"/>
              </w:rPr>
              <w:t>2030</w:t>
            </w:r>
            <w:r w:rsidRPr="009B1BB0">
              <w:rPr>
                <w:rStyle w:val="FootnoteReference"/>
                <w:rFonts w:cstheme="minorHAnsi"/>
                <w:sz w:val="22"/>
              </w:rPr>
              <w:footnoteReference w:id="141"/>
            </w:r>
          </w:p>
        </w:tc>
      </w:tr>
      <w:tr w:rsidR="006179BB" w:rsidRPr="009B1BB0" w14:paraId="510D5EF0"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56DA295C" w14:textId="77777777" w:rsidR="006179BB" w:rsidRPr="009B1BB0" w:rsidRDefault="006179BB" w:rsidP="006179BB">
            <w:pPr>
              <w:jc w:val="both"/>
              <w:rPr>
                <w:rFonts w:cstheme="minorHAnsi"/>
                <w:szCs w:val="24"/>
              </w:rPr>
            </w:pPr>
            <w:r w:rsidRPr="009B1BB0">
              <w:rPr>
                <w:rFonts w:cstheme="minorHAnsi"/>
              </w:rPr>
              <w:t>Inovatīvu produktu apgrozījums (% no kopējā apgrozījuma)</w:t>
            </w:r>
          </w:p>
        </w:tc>
        <w:tc>
          <w:tcPr>
            <w:tcW w:w="1843" w:type="dxa"/>
            <w:tcBorders>
              <w:top w:val="single" w:sz="4" w:space="0" w:color="auto"/>
              <w:left w:val="single" w:sz="4" w:space="0" w:color="auto"/>
              <w:bottom w:val="single" w:sz="4" w:space="0" w:color="auto"/>
              <w:right w:val="single" w:sz="4" w:space="0" w:color="auto"/>
            </w:tcBorders>
            <w:vAlign w:val="center"/>
          </w:tcPr>
          <w:p w14:paraId="0A718904" w14:textId="77777777" w:rsidR="006179BB" w:rsidRPr="009B1BB0" w:rsidRDefault="006179BB" w:rsidP="006179BB">
            <w:pPr>
              <w:jc w:val="center"/>
              <w:rPr>
                <w:rFonts w:cstheme="minorHAnsi"/>
                <w:szCs w:val="24"/>
              </w:rPr>
            </w:pPr>
            <w:r w:rsidRPr="009B1BB0">
              <w:rPr>
                <w:rFonts w:cstheme="minorHAnsi"/>
                <w:szCs w:val="24"/>
              </w:rPr>
              <w:t>46,5</w:t>
            </w:r>
            <w:r w:rsidRPr="009B1BB0">
              <w:rPr>
                <w:rStyle w:val="FootnoteReference"/>
                <w:rFonts w:cstheme="minorHAnsi"/>
                <w:szCs w:val="24"/>
              </w:rPr>
              <w:footnoteReference w:id="142"/>
            </w:r>
          </w:p>
        </w:tc>
        <w:tc>
          <w:tcPr>
            <w:tcW w:w="1276" w:type="dxa"/>
            <w:tcBorders>
              <w:top w:val="single" w:sz="4" w:space="0" w:color="auto"/>
              <w:left w:val="single" w:sz="4" w:space="0" w:color="auto"/>
              <w:bottom w:val="single" w:sz="4" w:space="0" w:color="auto"/>
              <w:right w:val="single" w:sz="4" w:space="0" w:color="auto"/>
            </w:tcBorders>
            <w:vAlign w:val="center"/>
          </w:tcPr>
          <w:p w14:paraId="40A202B8" w14:textId="77777777" w:rsidR="006179BB" w:rsidRPr="009B1BB0" w:rsidRDefault="006179BB" w:rsidP="006179BB">
            <w:pPr>
              <w:jc w:val="center"/>
              <w:rPr>
                <w:rFonts w:cstheme="minorHAnsi"/>
                <w:szCs w:val="24"/>
              </w:rPr>
            </w:pPr>
            <w:r w:rsidRPr="009B1BB0">
              <w:rPr>
                <w:rFonts w:cstheme="minorHAnsi"/>
              </w:rPr>
              <w:t>-</w:t>
            </w:r>
          </w:p>
        </w:tc>
        <w:tc>
          <w:tcPr>
            <w:tcW w:w="1505" w:type="dxa"/>
            <w:tcBorders>
              <w:top w:val="single" w:sz="4" w:space="0" w:color="auto"/>
              <w:left w:val="single" w:sz="4" w:space="0" w:color="auto"/>
              <w:bottom w:val="single" w:sz="4" w:space="0" w:color="auto"/>
              <w:right w:val="single" w:sz="4" w:space="0" w:color="auto"/>
            </w:tcBorders>
            <w:vAlign w:val="center"/>
          </w:tcPr>
          <w:p w14:paraId="224F2363" w14:textId="77777777" w:rsidR="006179BB" w:rsidRPr="009B1BB0" w:rsidRDefault="006179BB" w:rsidP="006179BB">
            <w:pPr>
              <w:jc w:val="center"/>
              <w:rPr>
                <w:rFonts w:cstheme="minorHAnsi"/>
                <w:b/>
                <w:bCs/>
                <w:szCs w:val="24"/>
              </w:rPr>
            </w:pPr>
            <w:r w:rsidRPr="009B1BB0">
              <w:rPr>
                <w:rFonts w:cstheme="minorHAnsi"/>
              </w:rPr>
              <w:t>&gt;14</w:t>
            </w:r>
          </w:p>
        </w:tc>
      </w:tr>
      <w:tr w:rsidR="006179BB" w:rsidRPr="009B1BB0" w14:paraId="3A55F8B1"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08FFEC17" w14:textId="77777777" w:rsidR="006179BB" w:rsidRPr="009B1BB0" w:rsidRDefault="006179BB" w:rsidP="006179BB">
            <w:pPr>
              <w:jc w:val="both"/>
              <w:rPr>
                <w:rFonts w:cstheme="minorHAnsi"/>
                <w:szCs w:val="24"/>
              </w:rPr>
            </w:pPr>
            <w:r w:rsidRPr="009B1BB0">
              <w:rPr>
                <w:rFonts w:cstheme="minorHAnsi"/>
              </w:rPr>
              <w:t>Inovatīvu uzņēmumu īpatsvars (%) no visiem uzņēmumiem)</w:t>
            </w:r>
          </w:p>
        </w:tc>
        <w:tc>
          <w:tcPr>
            <w:tcW w:w="1843" w:type="dxa"/>
            <w:tcBorders>
              <w:top w:val="single" w:sz="4" w:space="0" w:color="auto"/>
              <w:left w:val="single" w:sz="4" w:space="0" w:color="auto"/>
              <w:bottom w:val="single" w:sz="4" w:space="0" w:color="auto"/>
              <w:right w:val="single" w:sz="4" w:space="0" w:color="auto"/>
            </w:tcBorders>
            <w:vAlign w:val="center"/>
          </w:tcPr>
          <w:p w14:paraId="5D10EC18" w14:textId="77777777" w:rsidR="006179BB" w:rsidRPr="009B1BB0" w:rsidRDefault="006179BB" w:rsidP="006179BB">
            <w:pPr>
              <w:jc w:val="center"/>
              <w:rPr>
                <w:rFonts w:cstheme="minorHAnsi"/>
                <w:szCs w:val="24"/>
              </w:rPr>
            </w:pPr>
            <w:r w:rsidRPr="009B1BB0">
              <w:rPr>
                <w:rFonts w:cstheme="minorHAnsi"/>
                <w:szCs w:val="24"/>
              </w:rPr>
              <w:t>28,5</w:t>
            </w:r>
            <w:r w:rsidRPr="009B1BB0">
              <w:rPr>
                <w:rStyle w:val="FootnoteReference"/>
                <w:rFonts w:cstheme="minorHAnsi"/>
                <w:szCs w:val="24"/>
              </w:rPr>
              <w:footnoteReference w:id="143"/>
            </w:r>
          </w:p>
        </w:tc>
        <w:tc>
          <w:tcPr>
            <w:tcW w:w="1276" w:type="dxa"/>
            <w:tcBorders>
              <w:top w:val="single" w:sz="4" w:space="0" w:color="auto"/>
              <w:left w:val="single" w:sz="4" w:space="0" w:color="auto"/>
              <w:bottom w:val="single" w:sz="4" w:space="0" w:color="auto"/>
              <w:right w:val="single" w:sz="4" w:space="0" w:color="auto"/>
            </w:tcBorders>
            <w:vAlign w:val="center"/>
          </w:tcPr>
          <w:p w14:paraId="6D3E4855" w14:textId="77777777" w:rsidR="006179BB" w:rsidRPr="009B1BB0" w:rsidRDefault="006179BB" w:rsidP="006179BB">
            <w:pPr>
              <w:jc w:val="center"/>
              <w:rPr>
                <w:rFonts w:cstheme="minorHAnsi"/>
                <w:szCs w:val="24"/>
              </w:rPr>
            </w:pPr>
            <w:r w:rsidRPr="009B1BB0">
              <w:rPr>
                <w:rFonts w:cstheme="minorHAnsi"/>
              </w:rPr>
              <w:t>-</w:t>
            </w:r>
          </w:p>
        </w:tc>
        <w:tc>
          <w:tcPr>
            <w:tcW w:w="1505" w:type="dxa"/>
            <w:tcBorders>
              <w:top w:val="single" w:sz="4" w:space="0" w:color="auto"/>
              <w:left w:val="single" w:sz="4" w:space="0" w:color="auto"/>
              <w:bottom w:val="single" w:sz="4" w:space="0" w:color="auto"/>
              <w:right w:val="single" w:sz="4" w:space="0" w:color="auto"/>
            </w:tcBorders>
            <w:vAlign w:val="center"/>
          </w:tcPr>
          <w:p w14:paraId="0969C923" w14:textId="77777777" w:rsidR="006179BB" w:rsidRPr="009B1BB0" w:rsidRDefault="006179BB" w:rsidP="006179BB">
            <w:pPr>
              <w:jc w:val="center"/>
              <w:rPr>
                <w:rFonts w:cstheme="minorHAnsi"/>
                <w:b/>
                <w:bCs/>
                <w:szCs w:val="24"/>
              </w:rPr>
            </w:pPr>
            <w:r w:rsidRPr="009B1BB0">
              <w:rPr>
                <w:rFonts w:cstheme="minorHAnsi"/>
              </w:rPr>
              <w:t>&gt;40</w:t>
            </w:r>
          </w:p>
        </w:tc>
      </w:tr>
      <w:tr w:rsidR="006179BB" w:rsidRPr="009B1BB0" w14:paraId="1CC50393"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0F3261E4" w14:textId="77777777" w:rsidR="006179BB" w:rsidRPr="009B1BB0" w:rsidRDefault="006179BB" w:rsidP="006179BB">
            <w:pPr>
              <w:jc w:val="both"/>
              <w:rPr>
                <w:rFonts w:cstheme="minorHAnsi"/>
                <w:szCs w:val="24"/>
              </w:rPr>
            </w:pPr>
            <w:r w:rsidRPr="009B1BB0">
              <w:rPr>
                <w:rFonts w:cstheme="minorHAnsi"/>
              </w:rPr>
              <w:t>Augsto tehnoloģiju nozaru eksporta īpatsvars (% no visa eksporta gadā)</w:t>
            </w:r>
          </w:p>
        </w:tc>
        <w:tc>
          <w:tcPr>
            <w:tcW w:w="1843" w:type="dxa"/>
            <w:tcBorders>
              <w:top w:val="single" w:sz="4" w:space="0" w:color="auto"/>
              <w:left w:val="single" w:sz="4" w:space="0" w:color="auto"/>
              <w:bottom w:val="single" w:sz="4" w:space="0" w:color="auto"/>
              <w:right w:val="single" w:sz="4" w:space="0" w:color="auto"/>
            </w:tcBorders>
            <w:vAlign w:val="center"/>
          </w:tcPr>
          <w:p w14:paraId="1AE2152A" w14:textId="77777777" w:rsidR="006179BB" w:rsidRPr="009B1BB0" w:rsidRDefault="006179BB" w:rsidP="006179BB">
            <w:pPr>
              <w:jc w:val="center"/>
              <w:rPr>
                <w:rFonts w:cstheme="minorHAnsi"/>
                <w:szCs w:val="24"/>
              </w:rPr>
            </w:pPr>
            <w:r w:rsidRPr="009B1BB0">
              <w:rPr>
                <w:rFonts w:cstheme="minorHAnsi"/>
                <w:szCs w:val="24"/>
              </w:rPr>
              <w:t>10,2</w:t>
            </w:r>
          </w:p>
        </w:tc>
        <w:tc>
          <w:tcPr>
            <w:tcW w:w="1276" w:type="dxa"/>
            <w:tcBorders>
              <w:top w:val="single" w:sz="4" w:space="0" w:color="auto"/>
              <w:left w:val="single" w:sz="4" w:space="0" w:color="auto"/>
              <w:bottom w:val="single" w:sz="4" w:space="0" w:color="auto"/>
              <w:right w:val="single" w:sz="4" w:space="0" w:color="auto"/>
            </w:tcBorders>
            <w:vAlign w:val="center"/>
          </w:tcPr>
          <w:p w14:paraId="6E529B9C" w14:textId="77777777" w:rsidR="006179BB" w:rsidRPr="009B1BB0" w:rsidRDefault="006179BB" w:rsidP="006179BB">
            <w:pPr>
              <w:jc w:val="center"/>
              <w:rPr>
                <w:rFonts w:cstheme="minorHAnsi"/>
                <w:szCs w:val="24"/>
              </w:rPr>
            </w:pPr>
            <w:r w:rsidRPr="009B1BB0">
              <w:rPr>
                <w:rFonts w:cstheme="minorHAnsi"/>
              </w:rPr>
              <w:t>-</w:t>
            </w:r>
          </w:p>
        </w:tc>
        <w:tc>
          <w:tcPr>
            <w:tcW w:w="1505" w:type="dxa"/>
            <w:tcBorders>
              <w:top w:val="single" w:sz="4" w:space="0" w:color="auto"/>
              <w:left w:val="single" w:sz="4" w:space="0" w:color="auto"/>
              <w:bottom w:val="single" w:sz="4" w:space="0" w:color="auto"/>
              <w:right w:val="single" w:sz="4" w:space="0" w:color="auto"/>
            </w:tcBorders>
            <w:vAlign w:val="center"/>
          </w:tcPr>
          <w:p w14:paraId="7228A814" w14:textId="77777777" w:rsidR="006179BB" w:rsidRPr="009B1BB0" w:rsidRDefault="006179BB" w:rsidP="006179BB">
            <w:pPr>
              <w:jc w:val="center"/>
              <w:rPr>
                <w:rFonts w:cstheme="minorHAnsi"/>
                <w:b/>
                <w:bCs/>
                <w:szCs w:val="24"/>
              </w:rPr>
            </w:pPr>
            <w:r w:rsidRPr="009B1BB0">
              <w:rPr>
                <w:rFonts w:cstheme="minorHAnsi"/>
              </w:rPr>
              <w:t>&gt;15</w:t>
            </w:r>
          </w:p>
        </w:tc>
      </w:tr>
      <w:tr w:rsidR="006179BB" w:rsidRPr="009B1BB0" w14:paraId="0EAB3F56"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4D26DF11" w14:textId="77777777" w:rsidR="006179BB" w:rsidRPr="009B1BB0" w:rsidRDefault="006179BB" w:rsidP="006179BB">
            <w:pPr>
              <w:jc w:val="both"/>
              <w:rPr>
                <w:rFonts w:cstheme="minorHAnsi"/>
                <w:szCs w:val="24"/>
              </w:rPr>
            </w:pPr>
            <w:r w:rsidRPr="009B1BB0">
              <w:rPr>
                <w:rFonts w:cstheme="minorHAnsi"/>
              </w:rPr>
              <w:t>Globālās konkurētspējas indekss (vieta pasaulē)</w:t>
            </w:r>
          </w:p>
        </w:tc>
        <w:tc>
          <w:tcPr>
            <w:tcW w:w="1843" w:type="dxa"/>
            <w:tcBorders>
              <w:top w:val="single" w:sz="4" w:space="0" w:color="auto"/>
              <w:left w:val="single" w:sz="4" w:space="0" w:color="auto"/>
              <w:bottom w:val="single" w:sz="4" w:space="0" w:color="auto"/>
              <w:right w:val="single" w:sz="4" w:space="0" w:color="auto"/>
            </w:tcBorders>
            <w:vAlign w:val="center"/>
          </w:tcPr>
          <w:p w14:paraId="67485FA6" w14:textId="77777777" w:rsidR="006179BB" w:rsidRPr="009B1BB0" w:rsidRDefault="006179BB" w:rsidP="006179BB">
            <w:pPr>
              <w:jc w:val="center"/>
              <w:rPr>
                <w:rFonts w:cstheme="minorHAnsi"/>
                <w:szCs w:val="24"/>
              </w:rPr>
            </w:pPr>
            <w:r w:rsidRPr="009B1BB0">
              <w:rPr>
                <w:rFonts w:cstheme="minorHAnsi"/>
                <w:szCs w:val="24"/>
              </w:rPr>
              <w:t>42</w:t>
            </w:r>
          </w:p>
        </w:tc>
        <w:tc>
          <w:tcPr>
            <w:tcW w:w="1276" w:type="dxa"/>
            <w:tcBorders>
              <w:top w:val="single" w:sz="4" w:space="0" w:color="auto"/>
              <w:left w:val="single" w:sz="4" w:space="0" w:color="auto"/>
              <w:bottom w:val="single" w:sz="4" w:space="0" w:color="auto"/>
              <w:right w:val="single" w:sz="4" w:space="0" w:color="auto"/>
            </w:tcBorders>
            <w:vAlign w:val="center"/>
          </w:tcPr>
          <w:p w14:paraId="5E8A404A" w14:textId="77777777" w:rsidR="006179BB" w:rsidRPr="009B1BB0" w:rsidRDefault="006179BB" w:rsidP="006179BB">
            <w:pPr>
              <w:jc w:val="center"/>
              <w:rPr>
                <w:rFonts w:cstheme="minorHAnsi"/>
                <w:szCs w:val="24"/>
              </w:rPr>
            </w:pPr>
            <w:r w:rsidRPr="009B1BB0">
              <w:rPr>
                <w:rFonts w:cstheme="minorHAnsi"/>
              </w:rPr>
              <w:t>-</w:t>
            </w:r>
          </w:p>
        </w:tc>
        <w:tc>
          <w:tcPr>
            <w:tcW w:w="1505" w:type="dxa"/>
            <w:tcBorders>
              <w:top w:val="single" w:sz="4" w:space="0" w:color="auto"/>
              <w:left w:val="single" w:sz="4" w:space="0" w:color="auto"/>
              <w:bottom w:val="single" w:sz="4" w:space="0" w:color="auto"/>
              <w:right w:val="single" w:sz="4" w:space="0" w:color="auto"/>
            </w:tcBorders>
            <w:vAlign w:val="center"/>
          </w:tcPr>
          <w:p w14:paraId="78D140AE" w14:textId="77777777" w:rsidR="006179BB" w:rsidRPr="009B1BB0" w:rsidRDefault="006179BB" w:rsidP="006179BB">
            <w:pPr>
              <w:jc w:val="center"/>
              <w:rPr>
                <w:rFonts w:cstheme="minorHAnsi"/>
                <w:b/>
                <w:bCs/>
                <w:szCs w:val="24"/>
              </w:rPr>
            </w:pPr>
            <w:r w:rsidRPr="009B1BB0">
              <w:rPr>
                <w:rFonts w:cstheme="minorHAnsi"/>
              </w:rPr>
              <w:t>&lt;40</w:t>
            </w:r>
          </w:p>
        </w:tc>
      </w:tr>
      <w:tr w:rsidR="006179BB" w:rsidRPr="009B1BB0" w14:paraId="1AD8D295"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5AA97DEA" w14:textId="77777777" w:rsidR="006179BB" w:rsidRPr="009B1BB0" w:rsidRDefault="006179BB" w:rsidP="006179BB">
            <w:pPr>
              <w:jc w:val="both"/>
              <w:rPr>
                <w:rFonts w:cstheme="minorHAnsi"/>
                <w:szCs w:val="24"/>
              </w:rPr>
            </w:pPr>
            <w:r w:rsidRPr="009B1BB0">
              <w:rPr>
                <w:rFonts w:cstheme="minorHAnsi"/>
                <w:szCs w:val="24"/>
              </w:rPr>
              <w:t>Ieguldījumi P&amp;</w:t>
            </w:r>
            <w:r>
              <w:rPr>
                <w:rFonts w:cstheme="minorHAnsi"/>
                <w:szCs w:val="24"/>
              </w:rPr>
              <w:t>I</w:t>
            </w:r>
            <w:r w:rsidRPr="009B1BB0">
              <w:rPr>
                <w:rFonts w:cstheme="minorHAnsi"/>
                <w:szCs w:val="24"/>
              </w:rPr>
              <w:t xml:space="preserve"> (% no IKP)</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3505246" w14:textId="77777777" w:rsidR="006179BB" w:rsidRPr="009B1BB0" w:rsidRDefault="006179BB" w:rsidP="006179BB">
            <w:pPr>
              <w:jc w:val="center"/>
              <w:rPr>
                <w:rFonts w:cstheme="minorHAnsi"/>
                <w:szCs w:val="24"/>
              </w:rPr>
            </w:pPr>
            <w:r w:rsidRPr="009B1BB0">
              <w:rPr>
                <w:rFonts w:cstheme="minorHAnsi"/>
                <w:szCs w:val="24"/>
              </w:rPr>
              <w:t>0,51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712039" w14:textId="77777777" w:rsidR="006179BB" w:rsidRPr="009B1BB0" w:rsidRDefault="006179BB" w:rsidP="006179BB">
            <w:pPr>
              <w:jc w:val="center"/>
              <w:rPr>
                <w:rFonts w:cstheme="minorHAnsi"/>
                <w:szCs w:val="24"/>
              </w:rPr>
            </w:pPr>
            <w:r w:rsidRPr="009B1BB0">
              <w:rPr>
                <w:rFonts w:cstheme="minorHAnsi"/>
                <w:szCs w:val="24"/>
              </w:rPr>
              <w:t>1,5</w:t>
            </w:r>
          </w:p>
        </w:tc>
        <w:tc>
          <w:tcPr>
            <w:tcW w:w="1505" w:type="dxa"/>
            <w:tcBorders>
              <w:top w:val="single" w:sz="4" w:space="0" w:color="auto"/>
              <w:left w:val="single" w:sz="4" w:space="0" w:color="auto"/>
              <w:bottom w:val="single" w:sz="4" w:space="0" w:color="auto"/>
              <w:right w:val="single" w:sz="4" w:space="0" w:color="auto"/>
            </w:tcBorders>
            <w:vAlign w:val="center"/>
            <w:hideMark/>
          </w:tcPr>
          <w:p w14:paraId="2DEDE78D" w14:textId="77777777" w:rsidR="006179BB" w:rsidRPr="009B1BB0" w:rsidRDefault="006179BB" w:rsidP="006179BB">
            <w:pPr>
              <w:jc w:val="center"/>
              <w:rPr>
                <w:rFonts w:cstheme="minorHAnsi"/>
                <w:b/>
                <w:bCs/>
                <w:szCs w:val="24"/>
              </w:rPr>
            </w:pPr>
            <w:r w:rsidRPr="009B1BB0">
              <w:rPr>
                <w:rFonts w:cstheme="minorHAnsi"/>
                <w:b/>
                <w:bCs/>
                <w:szCs w:val="24"/>
              </w:rPr>
              <w:t>&gt; 3</w:t>
            </w:r>
          </w:p>
        </w:tc>
      </w:tr>
      <w:tr w:rsidR="006179BB" w:rsidRPr="009B1BB0" w14:paraId="6820D525"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0B13671D" w14:textId="77777777" w:rsidR="006179BB" w:rsidRPr="009B1BB0" w:rsidRDefault="006179BB" w:rsidP="006179BB">
            <w:pPr>
              <w:jc w:val="both"/>
              <w:rPr>
                <w:rFonts w:cstheme="minorHAnsi"/>
                <w:szCs w:val="24"/>
              </w:rPr>
            </w:pPr>
            <w:r>
              <w:rPr>
                <w:rFonts w:cstheme="minorHAnsi"/>
                <w:szCs w:val="24"/>
              </w:rPr>
              <w:t>Ieguldījumi P&amp;I enerģētikas un klimata mērķu sasniegšanai (% no kopējā ieguldījuma P&amp;I)</w:t>
            </w:r>
          </w:p>
        </w:tc>
        <w:tc>
          <w:tcPr>
            <w:tcW w:w="1843" w:type="dxa"/>
            <w:tcBorders>
              <w:top w:val="single" w:sz="4" w:space="0" w:color="auto"/>
              <w:left w:val="single" w:sz="4" w:space="0" w:color="auto"/>
              <w:bottom w:val="single" w:sz="4" w:space="0" w:color="auto"/>
              <w:right w:val="single" w:sz="4" w:space="0" w:color="auto"/>
            </w:tcBorders>
            <w:vAlign w:val="center"/>
          </w:tcPr>
          <w:p w14:paraId="026773DE" w14:textId="77777777" w:rsidR="006179BB" w:rsidRPr="009B1BB0" w:rsidRDefault="006179BB" w:rsidP="006179BB">
            <w:pPr>
              <w:jc w:val="center"/>
              <w:rPr>
                <w:rFonts w:cstheme="minorHAnsi"/>
                <w:szCs w:val="24"/>
              </w:rPr>
            </w:pPr>
            <w:r>
              <w:rPr>
                <w:rFonts w:cstheme="minorHAnsi"/>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55D4C531" w14:textId="77777777" w:rsidR="006179BB" w:rsidRPr="009B1BB0" w:rsidRDefault="006179BB" w:rsidP="006179BB">
            <w:pPr>
              <w:jc w:val="center"/>
              <w:rPr>
                <w:rFonts w:cstheme="minorHAnsi"/>
                <w:szCs w:val="24"/>
              </w:rPr>
            </w:pPr>
            <w:r>
              <w:rPr>
                <w:rFonts w:cstheme="minorHAnsi"/>
                <w:szCs w:val="24"/>
              </w:rPr>
              <w:t>-</w:t>
            </w:r>
          </w:p>
        </w:tc>
        <w:tc>
          <w:tcPr>
            <w:tcW w:w="1505" w:type="dxa"/>
            <w:tcBorders>
              <w:top w:val="single" w:sz="4" w:space="0" w:color="auto"/>
              <w:left w:val="single" w:sz="4" w:space="0" w:color="auto"/>
              <w:bottom w:val="single" w:sz="4" w:space="0" w:color="auto"/>
              <w:right w:val="single" w:sz="4" w:space="0" w:color="auto"/>
            </w:tcBorders>
            <w:vAlign w:val="center"/>
          </w:tcPr>
          <w:p w14:paraId="5E9DD5D2" w14:textId="77777777" w:rsidR="006179BB" w:rsidRPr="009B1BB0" w:rsidRDefault="006179BB" w:rsidP="006179BB">
            <w:pPr>
              <w:jc w:val="center"/>
              <w:rPr>
                <w:rFonts w:cstheme="minorHAnsi"/>
                <w:szCs w:val="24"/>
              </w:rPr>
            </w:pPr>
            <w:r>
              <w:rPr>
                <w:rFonts w:cstheme="minorHAnsi"/>
                <w:szCs w:val="24"/>
              </w:rPr>
              <w:t>vismaz 20%</w:t>
            </w:r>
          </w:p>
        </w:tc>
      </w:tr>
      <w:tr w:rsidR="006179BB" w:rsidRPr="009B1BB0" w14:paraId="4DF6AE27"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4E9DCFF2" w14:textId="77777777" w:rsidR="006179BB" w:rsidRPr="009B1BB0" w:rsidRDefault="006179BB" w:rsidP="006179BB">
            <w:pPr>
              <w:jc w:val="both"/>
              <w:rPr>
                <w:rFonts w:cstheme="minorHAnsi"/>
                <w:szCs w:val="24"/>
              </w:rPr>
            </w:pPr>
            <w:r w:rsidRPr="009B1BB0">
              <w:rPr>
                <w:rFonts w:cstheme="minorHAnsi"/>
                <w:szCs w:val="24"/>
              </w:rPr>
              <w:t>Publiskā finansējuma</w:t>
            </w:r>
            <w:r w:rsidRPr="009B1BB0">
              <w:rPr>
                <w:rStyle w:val="FootnoteReference"/>
                <w:rFonts w:cstheme="minorHAnsi"/>
                <w:szCs w:val="24"/>
              </w:rPr>
              <w:footnoteReference w:id="144"/>
            </w:r>
            <w:r w:rsidRPr="009B1BB0">
              <w:rPr>
                <w:rFonts w:cstheme="minorHAnsi"/>
                <w:szCs w:val="24"/>
              </w:rPr>
              <w:t xml:space="preserve"> ieguldījumi P&amp;A</w:t>
            </w:r>
            <w:r>
              <w:rPr>
                <w:rFonts w:cstheme="minorHAnsi"/>
                <w:szCs w:val="24"/>
              </w:rPr>
              <w:t xml:space="preserve"> un P&amp;I enerģētikas un </w:t>
            </w:r>
            <w:r w:rsidRPr="009B1BB0">
              <w:rPr>
                <w:rFonts w:cstheme="minorHAnsi"/>
                <w:szCs w:val="24"/>
              </w:rPr>
              <w:t>klimata mērķu sasniegšanai (% no kopējiem ieguldījumiem P&amp;A)</w:t>
            </w:r>
          </w:p>
        </w:tc>
        <w:tc>
          <w:tcPr>
            <w:tcW w:w="1843" w:type="dxa"/>
            <w:tcBorders>
              <w:top w:val="single" w:sz="4" w:space="0" w:color="auto"/>
              <w:left w:val="single" w:sz="4" w:space="0" w:color="auto"/>
              <w:bottom w:val="single" w:sz="4" w:space="0" w:color="auto"/>
              <w:right w:val="single" w:sz="4" w:space="0" w:color="auto"/>
            </w:tcBorders>
            <w:vAlign w:val="center"/>
          </w:tcPr>
          <w:p w14:paraId="173F5926" w14:textId="77777777" w:rsidR="006179BB" w:rsidRPr="009B1BB0" w:rsidRDefault="006179BB" w:rsidP="006179BB">
            <w:pPr>
              <w:jc w:val="center"/>
              <w:rPr>
                <w:rFonts w:cstheme="minorHAnsi"/>
                <w:szCs w:val="24"/>
              </w:rPr>
            </w:pPr>
            <w:r w:rsidRPr="009B1BB0">
              <w:rPr>
                <w:rFonts w:cstheme="minorHAnsi"/>
                <w:szCs w:val="24"/>
              </w:rPr>
              <w:t>19</w:t>
            </w:r>
          </w:p>
        </w:tc>
        <w:tc>
          <w:tcPr>
            <w:tcW w:w="1276" w:type="dxa"/>
            <w:tcBorders>
              <w:top w:val="single" w:sz="4" w:space="0" w:color="auto"/>
              <w:left w:val="single" w:sz="4" w:space="0" w:color="auto"/>
              <w:bottom w:val="single" w:sz="4" w:space="0" w:color="auto"/>
              <w:right w:val="single" w:sz="4" w:space="0" w:color="auto"/>
            </w:tcBorders>
            <w:vAlign w:val="center"/>
          </w:tcPr>
          <w:p w14:paraId="744BBF4C" w14:textId="77777777" w:rsidR="006179BB" w:rsidRPr="009B1BB0" w:rsidRDefault="006179BB" w:rsidP="006179BB">
            <w:pPr>
              <w:jc w:val="center"/>
              <w:rPr>
                <w:rFonts w:cstheme="minorHAnsi"/>
                <w:szCs w:val="24"/>
              </w:rPr>
            </w:pPr>
            <w:r w:rsidRPr="009B1BB0">
              <w:rPr>
                <w:rFonts w:cstheme="minorHAnsi"/>
                <w:szCs w:val="24"/>
              </w:rPr>
              <w:t>-</w:t>
            </w:r>
          </w:p>
        </w:tc>
        <w:tc>
          <w:tcPr>
            <w:tcW w:w="1505" w:type="dxa"/>
            <w:tcBorders>
              <w:top w:val="single" w:sz="4" w:space="0" w:color="auto"/>
              <w:left w:val="single" w:sz="4" w:space="0" w:color="auto"/>
              <w:bottom w:val="single" w:sz="4" w:space="0" w:color="auto"/>
              <w:right w:val="single" w:sz="4" w:space="0" w:color="auto"/>
            </w:tcBorders>
            <w:vAlign w:val="center"/>
          </w:tcPr>
          <w:p w14:paraId="18F6C52A" w14:textId="77777777" w:rsidR="006179BB" w:rsidRPr="009B1BB0" w:rsidRDefault="006179BB" w:rsidP="006179BB">
            <w:pPr>
              <w:jc w:val="center"/>
              <w:rPr>
                <w:rFonts w:cstheme="minorHAnsi"/>
                <w:szCs w:val="24"/>
              </w:rPr>
            </w:pPr>
            <w:r w:rsidRPr="009B1BB0">
              <w:rPr>
                <w:rFonts w:cstheme="minorHAnsi"/>
                <w:szCs w:val="24"/>
              </w:rPr>
              <w:t>vismaz 25</w:t>
            </w:r>
          </w:p>
        </w:tc>
      </w:tr>
      <w:tr w:rsidR="006179BB" w:rsidRPr="009B1BB0" w14:paraId="5C233224" w14:textId="77777777" w:rsidTr="006179BB">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0B83FC77" w14:textId="77777777" w:rsidR="006179BB" w:rsidRPr="009B1BB0" w:rsidRDefault="006179BB" w:rsidP="006179BB">
            <w:pPr>
              <w:jc w:val="both"/>
              <w:rPr>
                <w:rFonts w:cstheme="minorHAnsi"/>
                <w:szCs w:val="24"/>
              </w:rPr>
            </w:pPr>
            <w:r w:rsidRPr="009B1BB0">
              <w:rPr>
                <w:rFonts w:cstheme="minorHAnsi"/>
                <w:szCs w:val="24"/>
              </w:rPr>
              <w:t>Piesaistītais publiskais ārvalstu finansējums P&amp;I klimata, enerģijas un transporta jomā (% no kopējā LV piesaistītā finansējuma)</w:t>
            </w:r>
          </w:p>
        </w:tc>
        <w:tc>
          <w:tcPr>
            <w:tcW w:w="1843" w:type="dxa"/>
            <w:tcBorders>
              <w:top w:val="single" w:sz="4" w:space="0" w:color="auto"/>
              <w:left w:val="single" w:sz="4" w:space="0" w:color="auto"/>
              <w:bottom w:val="single" w:sz="4" w:space="0" w:color="auto"/>
              <w:right w:val="single" w:sz="4" w:space="0" w:color="auto"/>
            </w:tcBorders>
            <w:vAlign w:val="center"/>
          </w:tcPr>
          <w:p w14:paraId="61792317" w14:textId="77777777" w:rsidR="006179BB" w:rsidRPr="009B1BB0" w:rsidRDefault="006179BB" w:rsidP="006179BB">
            <w:pPr>
              <w:jc w:val="center"/>
              <w:rPr>
                <w:rFonts w:cstheme="minorHAnsi"/>
                <w:szCs w:val="24"/>
              </w:rPr>
            </w:pPr>
            <w:r w:rsidRPr="009B1BB0">
              <w:rPr>
                <w:rFonts w:cstheme="minorHAnsi"/>
                <w:szCs w:val="24"/>
              </w:rPr>
              <w:t>24</w:t>
            </w:r>
            <w:r w:rsidRPr="009B1BB0">
              <w:rPr>
                <w:rStyle w:val="FootnoteReference"/>
                <w:rFonts w:cstheme="minorHAnsi"/>
                <w:szCs w:val="24"/>
              </w:rPr>
              <w:footnoteReference w:id="145"/>
            </w:r>
          </w:p>
        </w:tc>
        <w:tc>
          <w:tcPr>
            <w:tcW w:w="1276" w:type="dxa"/>
            <w:tcBorders>
              <w:top w:val="single" w:sz="4" w:space="0" w:color="auto"/>
              <w:left w:val="single" w:sz="4" w:space="0" w:color="auto"/>
              <w:bottom w:val="single" w:sz="4" w:space="0" w:color="auto"/>
              <w:right w:val="single" w:sz="4" w:space="0" w:color="auto"/>
            </w:tcBorders>
            <w:vAlign w:val="center"/>
          </w:tcPr>
          <w:p w14:paraId="7F441C97" w14:textId="77777777" w:rsidR="006179BB" w:rsidRPr="009B1BB0" w:rsidRDefault="006179BB" w:rsidP="006179BB">
            <w:pPr>
              <w:jc w:val="center"/>
              <w:rPr>
                <w:rFonts w:cstheme="minorHAnsi"/>
                <w:szCs w:val="24"/>
              </w:rPr>
            </w:pPr>
            <w:r w:rsidRPr="009B1BB0">
              <w:rPr>
                <w:rFonts w:cstheme="minorHAnsi"/>
                <w:szCs w:val="24"/>
              </w:rPr>
              <w:t>25%</w:t>
            </w:r>
          </w:p>
        </w:tc>
        <w:tc>
          <w:tcPr>
            <w:tcW w:w="1505" w:type="dxa"/>
            <w:tcBorders>
              <w:top w:val="single" w:sz="4" w:space="0" w:color="auto"/>
              <w:left w:val="single" w:sz="4" w:space="0" w:color="auto"/>
              <w:bottom w:val="single" w:sz="4" w:space="0" w:color="auto"/>
              <w:right w:val="single" w:sz="4" w:space="0" w:color="auto"/>
            </w:tcBorders>
            <w:vAlign w:val="center"/>
          </w:tcPr>
          <w:p w14:paraId="7309DAFE" w14:textId="77777777" w:rsidR="006179BB" w:rsidRPr="009B1BB0" w:rsidRDefault="006179BB" w:rsidP="006179BB">
            <w:pPr>
              <w:jc w:val="center"/>
              <w:rPr>
                <w:rFonts w:cstheme="minorHAnsi"/>
                <w:szCs w:val="24"/>
              </w:rPr>
            </w:pPr>
            <w:r w:rsidRPr="009B1BB0">
              <w:rPr>
                <w:rFonts w:cstheme="minorHAnsi"/>
                <w:szCs w:val="24"/>
              </w:rPr>
              <w:t>25%</w:t>
            </w:r>
          </w:p>
        </w:tc>
      </w:tr>
    </w:tbl>
    <w:p w14:paraId="4D477042" w14:textId="77777777" w:rsidR="006179BB" w:rsidRDefault="006179BB" w:rsidP="006179BB">
      <w:pPr>
        <w:spacing w:before="120" w:after="120" w:line="240" w:lineRule="auto"/>
        <w:jc w:val="both"/>
        <w:rPr>
          <w:rFonts w:cstheme="minorHAnsi"/>
          <w:szCs w:val="24"/>
        </w:rPr>
      </w:pPr>
      <w:bookmarkStart w:id="506" w:name="_Toc520978833"/>
      <w:bookmarkStart w:id="507" w:name="_Toc527529477"/>
      <w:r w:rsidRPr="00EA00FA">
        <w:rPr>
          <w:rFonts w:cstheme="minorHAnsi"/>
          <w:szCs w:val="24"/>
        </w:rPr>
        <w:t xml:space="preserve">Viens no galvenajiem Latvijas izaicinājumiem jaunajā 2021.-2027.gada plānošanas periodā ir produktivitātes palielināšana, kas ir cieši saistīta ar ražošanas efektivizāciju, tehnoloģiskajiem sasniegumiem un lielākiem ieguldījumiem </w:t>
      </w:r>
      <w:r>
        <w:rPr>
          <w:rFonts w:cstheme="minorHAnsi"/>
          <w:szCs w:val="24"/>
        </w:rPr>
        <w:t>P&amp;A un P&amp;I</w:t>
      </w:r>
      <w:r w:rsidRPr="00EA00FA">
        <w:rPr>
          <w:rFonts w:cstheme="minorHAnsi"/>
          <w:szCs w:val="24"/>
        </w:rPr>
        <w:t>.</w:t>
      </w:r>
    </w:p>
    <w:p w14:paraId="48AA845E" w14:textId="77777777" w:rsidR="006179BB" w:rsidRPr="00B9403F" w:rsidRDefault="006179BB" w:rsidP="006179BB">
      <w:pPr>
        <w:spacing w:before="120" w:after="120" w:line="240" w:lineRule="auto"/>
        <w:jc w:val="both"/>
        <w:rPr>
          <w:rFonts w:cstheme="minorHAnsi"/>
          <w:szCs w:val="24"/>
        </w:rPr>
      </w:pPr>
      <w:r w:rsidRPr="00B9403F">
        <w:rPr>
          <w:rFonts w:cstheme="minorHAnsi"/>
          <w:szCs w:val="24"/>
        </w:rPr>
        <w:t>Plāna ietvaros definēti</w:t>
      </w:r>
      <w:r>
        <w:rPr>
          <w:rFonts w:cstheme="minorHAnsi"/>
          <w:szCs w:val="24"/>
        </w:rPr>
        <w:t>e</w:t>
      </w:r>
      <w:r w:rsidRPr="00B9403F">
        <w:rPr>
          <w:rFonts w:cstheme="minorHAnsi"/>
          <w:szCs w:val="24"/>
        </w:rPr>
        <w:t xml:space="preserve"> iespējamie prioritārie rīcības virzieni RSI3 enerģētikā ir:</w:t>
      </w:r>
    </w:p>
    <w:p w14:paraId="50A4F5AB" w14:textId="77777777" w:rsidR="006179BB" w:rsidRDefault="006179BB" w:rsidP="00847BE3">
      <w:pPr>
        <w:pStyle w:val="ListParagraph"/>
        <w:numPr>
          <w:ilvl w:val="0"/>
          <w:numId w:val="28"/>
        </w:numPr>
        <w:spacing w:before="120" w:after="120" w:line="240" w:lineRule="auto"/>
        <w:ind w:left="397" w:hanging="397"/>
        <w:contextualSpacing w:val="0"/>
        <w:jc w:val="both"/>
        <w:rPr>
          <w:rFonts w:cstheme="minorHAnsi"/>
          <w:szCs w:val="24"/>
        </w:rPr>
      </w:pPr>
      <w:r w:rsidRPr="00601E78">
        <w:rPr>
          <w:rFonts w:cstheme="minorHAnsi"/>
          <w:szCs w:val="24"/>
        </w:rPr>
        <w:t>Inovatīvi risinājumi AER tehnoloģiju jomā, tai skaitā biometāna, ūdeņraža un moderno biodegvielu ražošanai un izmantošanai, biomasas viedai izmantošanai pirms sadedzināšanas</w:t>
      </w:r>
      <w:r>
        <w:rPr>
          <w:rFonts w:cstheme="minorHAnsi"/>
          <w:szCs w:val="24"/>
        </w:rPr>
        <w:t>, saules enerģijas izmantošanai transportā</w:t>
      </w:r>
      <w:r w:rsidRPr="00601E78">
        <w:rPr>
          <w:rFonts w:cstheme="minorHAnsi"/>
          <w:szCs w:val="24"/>
        </w:rPr>
        <w:t>.</w:t>
      </w:r>
    </w:p>
    <w:p w14:paraId="6371940F" w14:textId="77777777" w:rsidR="006179BB" w:rsidRPr="00601E78" w:rsidRDefault="006179BB" w:rsidP="00847BE3">
      <w:pPr>
        <w:pStyle w:val="ListParagraph"/>
        <w:numPr>
          <w:ilvl w:val="0"/>
          <w:numId w:val="28"/>
        </w:numPr>
        <w:spacing w:before="120" w:after="120" w:line="240" w:lineRule="auto"/>
        <w:ind w:left="397" w:hanging="397"/>
        <w:contextualSpacing w:val="0"/>
        <w:jc w:val="both"/>
        <w:rPr>
          <w:rFonts w:cstheme="minorHAnsi"/>
          <w:szCs w:val="24"/>
        </w:rPr>
      </w:pPr>
      <w:r>
        <w:rPr>
          <w:rFonts w:cstheme="minorHAnsi"/>
          <w:szCs w:val="24"/>
        </w:rPr>
        <w:t>Inovatīvi risinājumi enerģijas uzglabāšanai un viedai pārvadei.</w:t>
      </w:r>
    </w:p>
    <w:p w14:paraId="1749F5B8" w14:textId="77777777" w:rsidR="006179BB" w:rsidRPr="00B9403F" w:rsidRDefault="006179BB" w:rsidP="00847BE3">
      <w:pPr>
        <w:pStyle w:val="ListParagraph"/>
        <w:numPr>
          <w:ilvl w:val="0"/>
          <w:numId w:val="28"/>
        </w:numPr>
        <w:spacing w:before="120" w:after="120" w:line="240" w:lineRule="auto"/>
        <w:ind w:left="397" w:hanging="397"/>
        <w:contextualSpacing w:val="0"/>
        <w:jc w:val="both"/>
        <w:rPr>
          <w:rFonts w:eastAsia="Times New Roman" w:cstheme="minorHAnsi"/>
          <w:szCs w:val="24"/>
        </w:rPr>
      </w:pPr>
      <w:r w:rsidRPr="00601E78">
        <w:rPr>
          <w:rFonts w:cstheme="minorHAnsi"/>
          <w:szCs w:val="24"/>
        </w:rPr>
        <w:t>Inovatīvi risinājumi energoefektivitātes un ēku ilgtspējas jomā, tai skaitā inovatīvu siltināšanas materiālu un paņēmienu izstrāde, energoefektīvu materiālu un augstas resursefektivitātes materiālu izstrāde un izmantošana</w:t>
      </w:r>
      <w:r>
        <w:rPr>
          <w:rFonts w:eastAsia="Times New Roman" w:cstheme="minorHAnsi"/>
          <w:szCs w:val="24"/>
        </w:rPr>
        <w:t>.</w:t>
      </w:r>
    </w:p>
    <w:p w14:paraId="0B644766" w14:textId="77777777" w:rsidR="006179BB" w:rsidRPr="009B1BB0" w:rsidRDefault="006179BB" w:rsidP="0007326F">
      <w:pPr>
        <w:pStyle w:val="Heading30"/>
      </w:pPr>
      <w:bookmarkStart w:id="508" w:name="_Toc23245830"/>
      <w:bookmarkStart w:id="509" w:name="_Toc23246037"/>
      <w:bookmarkStart w:id="510" w:name="_Toc24408051"/>
      <w:r w:rsidRPr="009B1BB0">
        <w:t>Tīrās enerģijas tehnoloģiju veicināšana 2050.gadam</w:t>
      </w:r>
      <w:bookmarkEnd w:id="506"/>
      <w:bookmarkEnd w:id="507"/>
      <w:bookmarkEnd w:id="508"/>
      <w:bookmarkEnd w:id="509"/>
      <w:bookmarkEnd w:id="510"/>
      <w:r w:rsidRPr="009B1BB0">
        <w:t xml:space="preserve"> </w:t>
      </w:r>
    </w:p>
    <w:p w14:paraId="2113C655" w14:textId="77777777" w:rsidR="006179BB" w:rsidRPr="009B1BB0" w:rsidRDefault="006179BB" w:rsidP="006179BB">
      <w:pPr>
        <w:spacing w:before="120" w:after="120" w:line="240" w:lineRule="auto"/>
        <w:jc w:val="both"/>
        <w:rPr>
          <w:rFonts w:eastAsia="Times New Roman" w:cstheme="minorHAnsi"/>
          <w:szCs w:val="24"/>
        </w:rPr>
      </w:pPr>
      <w:r w:rsidRPr="009B1BB0">
        <w:rPr>
          <w:rFonts w:cstheme="minorHAnsi"/>
          <w:szCs w:val="24"/>
        </w:rPr>
        <w:t xml:space="preserve">Esošo rīcībpolitiku ietvaros nav izvirzīti specifiski P&amp;I mērķi vai mērķrādītāji tīro tehnoloģiju attīstībai un inovācijām, kas vērstas uz energoefektivitātes uzlabošanu un dekarbonizāciju. </w:t>
      </w:r>
      <w:r w:rsidRPr="009B1BB0">
        <w:rPr>
          <w:rFonts w:eastAsia="Times New Roman" w:cstheme="minorHAnsi"/>
          <w:szCs w:val="24"/>
        </w:rPr>
        <w:t xml:space="preserve">Latvijai ir aktuālas 4 no 6 SET plāna prioritātēm, kurās attīstīt P&amp;I. </w:t>
      </w:r>
    </w:p>
    <w:p w14:paraId="0EAC8027" w14:textId="5E5484EB" w:rsidR="006179BB" w:rsidRPr="009B1BB0" w:rsidRDefault="006179BB" w:rsidP="006179BB">
      <w:pPr>
        <w:pStyle w:val="Caption"/>
        <w:rPr>
          <w:rFonts w:asciiTheme="minorHAnsi" w:hAnsiTheme="minorHAnsi" w:cstheme="minorHAnsi"/>
        </w:rPr>
      </w:pPr>
      <w:r w:rsidRPr="009B1BB0">
        <w:rPr>
          <w:rFonts w:asciiTheme="minorHAnsi" w:hAnsiTheme="minorHAnsi" w:cstheme="minorHAnsi"/>
        </w:rPr>
        <w:fldChar w:fldCharType="begin"/>
      </w:r>
      <w:r w:rsidRPr="009B1BB0">
        <w:rPr>
          <w:rFonts w:asciiTheme="minorHAnsi" w:hAnsiTheme="minorHAnsi" w:cstheme="minorHAnsi"/>
        </w:rPr>
        <w:instrText xml:space="preserve"> SEQ Tabula \* ARABIC </w:instrText>
      </w:r>
      <w:r w:rsidRPr="009B1BB0">
        <w:rPr>
          <w:rFonts w:asciiTheme="minorHAnsi" w:hAnsiTheme="minorHAnsi" w:cstheme="minorHAnsi"/>
        </w:rPr>
        <w:fldChar w:fldCharType="separate"/>
      </w:r>
      <w:r w:rsidR="006E6675">
        <w:rPr>
          <w:rFonts w:asciiTheme="minorHAnsi" w:hAnsiTheme="minorHAnsi" w:cstheme="minorHAnsi"/>
          <w:noProof/>
        </w:rPr>
        <w:t>22</w:t>
      </w:r>
      <w:r w:rsidRPr="009B1BB0">
        <w:rPr>
          <w:rFonts w:asciiTheme="minorHAnsi" w:hAnsiTheme="minorHAnsi" w:cstheme="minorHAnsi"/>
        </w:rPr>
        <w:fldChar w:fldCharType="end"/>
      </w:r>
      <w:r w:rsidRPr="009B1BB0">
        <w:rPr>
          <w:rFonts w:asciiTheme="minorHAnsi" w:hAnsiTheme="minorHAnsi" w:cstheme="minorHAnsi"/>
        </w:rPr>
        <w:t>.tabula. Latvijas ieguldījumi SET plāna prioritātēs (% no kopējiem P&amp;I ieguldījumiem</w:t>
      </w:r>
      <w:r>
        <w:rPr>
          <w:rFonts w:asciiTheme="minorHAnsi" w:hAnsiTheme="minorHAnsi" w:cstheme="minorHAnsi"/>
        </w:rPr>
        <w:t xml:space="preserve"> enerģētikas jomā</w:t>
      </w:r>
      <w:r w:rsidRPr="009B1BB0">
        <w:rPr>
          <w:rFonts w:asciiTheme="minorHAnsi" w:hAnsiTheme="minorHAnsi" w:cstheme="minorHAnsi"/>
        </w:rPr>
        <w:t>)</w:t>
      </w:r>
    </w:p>
    <w:tbl>
      <w:tblPr>
        <w:tblStyle w:val="TableGrid"/>
        <w:tblW w:w="9351" w:type="dxa"/>
        <w:tblLook w:val="04A0" w:firstRow="1" w:lastRow="0" w:firstColumn="1" w:lastColumn="0" w:noHBand="0" w:noVBand="1"/>
      </w:tblPr>
      <w:tblGrid>
        <w:gridCol w:w="4425"/>
        <w:gridCol w:w="2233"/>
        <w:gridCol w:w="2693"/>
      </w:tblGrid>
      <w:tr w:rsidR="006179BB" w:rsidRPr="009B1BB0" w14:paraId="233F5F69" w14:textId="77777777" w:rsidTr="006179BB">
        <w:trPr>
          <w:tblHeader/>
        </w:trPr>
        <w:tc>
          <w:tcPr>
            <w:tcW w:w="4425" w:type="dxa"/>
            <w:vMerge w:val="restart"/>
            <w:shd w:val="clear" w:color="auto" w:fill="F2F2F2" w:themeFill="background1" w:themeFillShade="F2"/>
            <w:vAlign w:val="center"/>
          </w:tcPr>
          <w:p w14:paraId="0ABD0068" w14:textId="77777777" w:rsidR="006179BB" w:rsidRPr="009B1BB0" w:rsidRDefault="006179BB" w:rsidP="006179BB">
            <w:pPr>
              <w:pStyle w:val="Standard"/>
              <w:jc w:val="center"/>
              <w:rPr>
                <w:rFonts w:asciiTheme="minorHAnsi" w:eastAsia="Times New Roman" w:hAnsiTheme="minorHAnsi" w:cstheme="minorHAnsi"/>
                <w:b/>
                <w:sz w:val="22"/>
                <w:szCs w:val="22"/>
              </w:rPr>
            </w:pPr>
            <w:r w:rsidRPr="009B1BB0">
              <w:rPr>
                <w:rFonts w:asciiTheme="minorHAnsi" w:eastAsia="Times New Roman" w:hAnsiTheme="minorHAnsi" w:cstheme="minorHAnsi"/>
                <w:b/>
                <w:sz w:val="22"/>
                <w:szCs w:val="22"/>
              </w:rPr>
              <w:t>SET plāna prioritātes</w:t>
            </w:r>
            <w:r w:rsidRPr="009B1BB0">
              <w:rPr>
                <w:rStyle w:val="FootnoteReference"/>
                <w:rFonts w:asciiTheme="minorHAnsi" w:eastAsia="Times New Roman" w:hAnsiTheme="minorHAnsi" w:cstheme="minorHAnsi"/>
                <w:b/>
                <w:sz w:val="22"/>
                <w:szCs w:val="22"/>
              </w:rPr>
              <w:footnoteReference w:id="146"/>
            </w:r>
          </w:p>
        </w:tc>
        <w:tc>
          <w:tcPr>
            <w:tcW w:w="2233" w:type="dxa"/>
            <w:shd w:val="clear" w:color="auto" w:fill="F2F2F2" w:themeFill="background1" w:themeFillShade="F2"/>
            <w:vAlign w:val="center"/>
          </w:tcPr>
          <w:p w14:paraId="0FC55E04" w14:textId="77777777" w:rsidR="006179BB" w:rsidRPr="009B1BB0" w:rsidRDefault="006179BB" w:rsidP="006179BB">
            <w:pPr>
              <w:pStyle w:val="Standard"/>
              <w:jc w:val="center"/>
              <w:rPr>
                <w:rFonts w:asciiTheme="minorHAnsi" w:eastAsia="Times New Roman" w:hAnsiTheme="minorHAnsi" w:cstheme="minorHAnsi"/>
                <w:b/>
                <w:sz w:val="22"/>
                <w:szCs w:val="22"/>
              </w:rPr>
            </w:pPr>
            <w:r w:rsidRPr="009B1BB0">
              <w:rPr>
                <w:rFonts w:asciiTheme="minorHAnsi" w:hAnsiTheme="minorHAnsi" w:cstheme="minorHAnsi"/>
                <w:b/>
                <w:color w:val="000000" w:themeColor="text1"/>
                <w:sz w:val="22"/>
              </w:rPr>
              <w:t>Faktiskā vērtība</w:t>
            </w:r>
          </w:p>
        </w:tc>
        <w:tc>
          <w:tcPr>
            <w:tcW w:w="2693" w:type="dxa"/>
            <w:shd w:val="clear" w:color="auto" w:fill="F2F2F2" w:themeFill="background1" w:themeFillShade="F2"/>
            <w:vAlign w:val="center"/>
          </w:tcPr>
          <w:p w14:paraId="21B476D4" w14:textId="77777777" w:rsidR="006179BB" w:rsidRPr="009B1BB0" w:rsidRDefault="006179BB" w:rsidP="006179BB">
            <w:pPr>
              <w:pStyle w:val="Standard"/>
              <w:jc w:val="center"/>
              <w:rPr>
                <w:rFonts w:asciiTheme="minorHAnsi" w:eastAsia="Times New Roman" w:hAnsiTheme="minorHAnsi" w:cstheme="minorHAnsi"/>
                <w:b/>
                <w:sz w:val="22"/>
                <w:szCs w:val="22"/>
                <w:highlight w:val="yellow"/>
              </w:rPr>
            </w:pPr>
            <w:r w:rsidRPr="009B1BB0">
              <w:rPr>
                <w:rFonts w:asciiTheme="minorHAnsi" w:hAnsiTheme="minorHAnsi" w:cstheme="minorHAnsi"/>
                <w:b/>
                <w:color w:val="000000" w:themeColor="text1"/>
                <w:sz w:val="22"/>
              </w:rPr>
              <w:t>Mērķa vērtība</w:t>
            </w:r>
          </w:p>
        </w:tc>
      </w:tr>
      <w:tr w:rsidR="006179BB" w:rsidRPr="009B1BB0" w14:paraId="565ABA79" w14:textId="77777777" w:rsidTr="006179BB">
        <w:trPr>
          <w:tblHeader/>
        </w:trPr>
        <w:tc>
          <w:tcPr>
            <w:tcW w:w="4425" w:type="dxa"/>
            <w:vMerge/>
            <w:shd w:val="clear" w:color="auto" w:fill="F2F2F2" w:themeFill="background1" w:themeFillShade="F2"/>
            <w:vAlign w:val="center"/>
          </w:tcPr>
          <w:p w14:paraId="513C020E" w14:textId="77777777" w:rsidR="006179BB" w:rsidRPr="009B1BB0" w:rsidRDefault="006179BB" w:rsidP="006179BB">
            <w:pPr>
              <w:pStyle w:val="Standard"/>
              <w:jc w:val="center"/>
              <w:rPr>
                <w:rFonts w:asciiTheme="minorHAnsi" w:eastAsia="Times New Roman" w:hAnsiTheme="minorHAnsi" w:cstheme="minorHAnsi"/>
                <w:b/>
                <w:sz w:val="22"/>
                <w:szCs w:val="22"/>
              </w:rPr>
            </w:pPr>
          </w:p>
        </w:tc>
        <w:tc>
          <w:tcPr>
            <w:tcW w:w="2233" w:type="dxa"/>
            <w:shd w:val="clear" w:color="auto" w:fill="F2F2F2" w:themeFill="background1" w:themeFillShade="F2"/>
            <w:vAlign w:val="center"/>
          </w:tcPr>
          <w:p w14:paraId="0627B4CC" w14:textId="77777777" w:rsidR="006179BB" w:rsidRPr="009B1BB0" w:rsidRDefault="006179BB" w:rsidP="006179BB">
            <w:pPr>
              <w:pStyle w:val="Standard"/>
              <w:jc w:val="center"/>
              <w:rPr>
                <w:rFonts w:asciiTheme="minorHAnsi" w:eastAsia="Times New Roman" w:hAnsiTheme="minorHAnsi" w:cstheme="minorHAnsi"/>
                <w:b/>
                <w:sz w:val="22"/>
                <w:szCs w:val="22"/>
              </w:rPr>
            </w:pPr>
            <w:r w:rsidRPr="009B1BB0">
              <w:rPr>
                <w:rFonts w:asciiTheme="minorHAnsi" w:eastAsia="Times New Roman" w:hAnsiTheme="minorHAnsi" w:cstheme="minorHAnsi"/>
                <w:b/>
                <w:sz w:val="22"/>
                <w:szCs w:val="22"/>
              </w:rPr>
              <w:t>2014.-2018.g. periodā</w:t>
            </w:r>
          </w:p>
        </w:tc>
        <w:tc>
          <w:tcPr>
            <w:tcW w:w="2693" w:type="dxa"/>
            <w:shd w:val="clear" w:color="auto" w:fill="F2F2F2" w:themeFill="background1" w:themeFillShade="F2"/>
            <w:vAlign w:val="center"/>
          </w:tcPr>
          <w:p w14:paraId="3C4FA431" w14:textId="77777777" w:rsidR="006179BB" w:rsidRPr="009B1BB0" w:rsidRDefault="006179BB" w:rsidP="006179BB">
            <w:pPr>
              <w:pStyle w:val="Standard"/>
              <w:jc w:val="center"/>
              <w:rPr>
                <w:rFonts w:asciiTheme="minorHAnsi" w:eastAsia="Times New Roman" w:hAnsiTheme="minorHAnsi" w:cstheme="minorHAnsi"/>
                <w:b/>
                <w:sz w:val="22"/>
                <w:szCs w:val="22"/>
              </w:rPr>
            </w:pPr>
            <w:r w:rsidRPr="009B1BB0">
              <w:rPr>
                <w:rFonts w:asciiTheme="minorHAnsi" w:eastAsia="Times New Roman" w:hAnsiTheme="minorHAnsi" w:cstheme="minorHAnsi"/>
                <w:b/>
                <w:sz w:val="22"/>
                <w:szCs w:val="22"/>
              </w:rPr>
              <w:t>2021.-2027.g. periodā</w:t>
            </w:r>
          </w:p>
        </w:tc>
      </w:tr>
      <w:tr w:rsidR="00092AD6" w:rsidRPr="009B1BB0" w14:paraId="30D74B9C" w14:textId="77777777" w:rsidTr="006179BB">
        <w:tc>
          <w:tcPr>
            <w:tcW w:w="4425" w:type="dxa"/>
            <w:shd w:val="clear" w:color="auto" w:fill="E2EFD9" w:themeFill="accent6" w:themeFillTint="33"/>
            <w:vAlign w:val="center"/>
          </w:tcPr>
          <w:p w14:paraId="71B0A984" w14:textId="77777777" w:rsidR="00092AD6" w:rsidRPr="009B1BB0" w:rsidRDefault="00092AD6" w:rsidP="00092AD6">
            <w:pPr>
              <w:pStyle w:val="Standard"/>
              <w:jc w:val="both"/>
              <w:rPr>
                <w:rFonts w:asciiTheme="minorHAnsi" w:hAnsiTheme="minorHAnsi" w:cstheme="minorHAnsi"/>
                <w:bCs/>
              </w:rPr>
            </w:pPr>
            <w:r w:rsidRPr="009B1BB0">
              <w:rPr>
                <w:rFonts w:asciiTheme="minorHAnsi" w:hAnsiTheme="minorHAnsi" w:cstheme="minorHAnsi"/>
                <w:bCs/>
              </w:rPr>
              <w:t>Atjaunojamā enerģija</w:t>
            </w:r>
          </w:p>
        </w:tc>
        <w:tc>
          <w:tcPr>
            <w:tcW w:w="2233" w:type="dxa"/>
            <w:shd w:val="clear" w:color="auto" w:fill="E2EFD9" w:themeFill="accent6" w:themeFillTint="33"/>
            <w:vAlign w:val="center"/>
          </w:tcPr>
          <w:p w14:paraId="21642CEF" w14:textId="77777777" w:rsidR="00092AD6" w:rsidRPr="009B1BB0" w:rsidRDefault="00092AD6" w:rsidP="00092AD6">
            <w:pPr>
              <w:pStyle w:val="Standard"/>
              <w:jc w:val="center"/>
              <w:rPr>
                <w:rFonts w:asciiTheme="minorHAnsi" w:eastAsia="Times New Roman" w:hAnsiTheme="minorHAnsi" w:cstheme="minorHAnsi"/>
                <w:bCs/>
              </w:rPr>
            </w:pPr>
            <w:r w:rsidRPr="009B1BB0">
              <w:rPr>
                <w:rFonts w:asciiTheme="minorHAnsi" w:eastAsia="Times New Roman" w:hAnsiTheme="minorHAnsi" w:cstheme="minorHAnsi"/>
                <w:bCs/>
              </w:rPr>
              <w:t>10%</w:t>
            </w:r>
          </w:p>
        </w:tc>
        <w:tc>
          <w:tcPr>
            <w:tcW w:w="2693" w:type="dxa"/>
            <w:shd w:val="clear" w:color="auto" w:fill="E2EFD9" w:themeFill="accent6" w:themeFillTint="33"/>
            <w:vAlign w:val="center"/>
          </w:tcPr>
          <w:p w14:paraId="1B1C8998" w14:textId="438E5B9F" w:rsidR="00092AD6" w:rsidRPr="009B1BB0" w:rsidRDefault="00092AD6" w:rsidP="00092AD6">
            <w:pPr>
              <w:pStyle w:val="Standard"/>
              <w:jc w:val="center"/>
              <w:rPr>
                <w:rFonts w:asciiTheme="minorHAnsi" w:eastAsia="Times New Roman" w:hAnsiTheme="minorHAnsi" w:cstheme="minorHAnsi"/>
                <w:bCs/>
                <w:highlight w:val="yellow"/>
              </w:rPr>
            </w:pPr>
            <w:r>
              <w:rPr>
                <w:rFonts w:asciiTheme="minorHAnsi" w:hAnsiTheme="minorHAnsi" w:cstheme="minorHAnsi"/>
                <w:i/>
                <w:iCs/>
              </w:rPr>
              <w:t>15%</w:t>
            </w:r>
          </w:p>
        </w:tc>
      </w:tr>
      <w:tr w:rsidR="00092AD6" w:rsidRPr="009B1BB0" w14:paraId="37D5B0B0" w14:textId="77777777" w:rsidTr="006179BB">
        <w:tc>
          <w:tcPr>
            <w:tcW w:w="4425" w:type="dxa"/>
            <w:shd w:val="clear" w:color="auto" w:fill="E2EFD9" w:themeFill="accent6" w:themeFillTint="33"/>
            <w:vAlign w:val="center"/>
          </w:tcPr>
          <w:p w14:paraId="4E7C6CC6" w14:textId="77777777" w:rsidR="00092AD6" w:rsidRPr="009B1BB0" w:rsidRDefault="00092AD6" w:rsidP="00092AD6">
            <w:pPr>
              <w:pStyle w:val="Standard"/>
              <w:jc w:val="both"/>
              <w:rPr>
                <w:rFonts w:asciiTheme="minorHAnsi" w:eastAsia="Times New Roman" w:hAnsiTheme="minorHAnsi" w:cstheme="minorHAnsi"/>
                <w:bCs/>
              </w:rPr>
            </w:pPr>
            <w:r w:rsidRPr="009B1BB0">
              <w:rPr>
                <w:rFonts w:asciiTheme="minorHAnsi" w:hAnsiTheme="minorHAnsi" w:cstheme="minorHAnsi"/>
                <w:bCs/>
              </w:rPr>
              <w:t>Viedās enerģijas sistēmas</w:t>
            </w:r>
          </w:p>
        </w:tc>
        <w:tc>
          <w:tcPr>
            <w:tcW w:w="2233" w:type="dxa"/>
            <w:shd w:val="clear" w:color="auto" w:fill="E2EFD9" w:themeFill="accent6" w:themeFillTint="33"/>
            <w:vAlign w:val="center"/>
          </w:tcPr>
          <w:p w14:paraId="1665BE40" w14:textId="77777777" w:rsidR="00092AD6" w:rsidRPr="009B1BB0" w:rsidRDefault="00092AD6" w:rsidP="00092AD6">
            <w:pPr>
              <w:pStyle w:val="Standard"/>
              <w:jc w:val="center"/>
              <w:rPr>
                <w:rFonts w:asciiTheme="minorHAnsi" w:eastAsia="Times New Roman" w:hAnsiTheme="minorHAnsi" w:cstheme="minorHAnsi"/>
                <w:bCs/>
              </w:rPr>
            </w:pPr>
            <w:r w:rsidRPr="009B1BB0">
              <w:rPr>
                <w:rFonts w:asciiTheme="minorHAnsi" w:eastAsia="Times New Roman" w:hAnsiTheme="minorHAnsi" w:cstheme="minorHAnsi"/>
                <w:bCs/>
              </w:rPr>
              <w:t>26%</w:t>
            </w:r>
          </w:p>
        </w:tc>
        <w:tc>
          <w:tcPr>
            <w:tcW w:w="2693" w:type="dxa"/>
            <w:shd w:val="clear" w:color="auto" w:fill="E2EFD9" w:themeFill="accent6" w:themeFillTint="33"/>
            <w:vAlign w:val="center"/>
          </w:tcPr>
          <w:p w14:paraId="58405A51" w14:textId="7180D878" w:rsidR="00092AD6" w:rsidRPr="009B1BB0" w:rsidRDefault="0053715D" w:rsidP="00092AD6">
            <w:pPr>
              <w:pStyle w:val="Standard"/>
              <w:jc w:val="center"/>
              <w:rPr>
                <w:rFonts w:asciiTheme="minorHAnsi" w:eastAsia="Times New Roman" w:hAnsiTheme="minorHAnsi" w:cstheme="minorHAnsi"/>
                <w:bCs/>
                <w:highlight w:val="yellow"/>
              </w:rPr>
            </w:pPr>
            <w:r>
              <w:rPr>
                <w:rFonts w:asciiTheme="minorHAnsi" w:hAnsiTheme="minorHAnsi" w:cstheme="minorHAnsi"/>
                <w:i/>
                <w:iCs/>
              </w:rPr>
              <w:t>20</w:t>
            </w:r>
            <w:r w:rsidR="00092AD6">
              <w:rPr>
                <w:rFonts w:asciiTheme="minorHAnsi" w:hAnsiTheme="minorHAnsi" w:cstheme="minorHAnsi"/>
                <w:i/>
                <w:iCs/>
              </w:rPr>
              <w:t>%</w:t>
            </w:r>
          </w:p>
        </w:tc>
      </w:tr>
      <w:tr w:rsidR="00092AD6" w:rsidRPr="009B1BB0" w14:paraId="17BCBD3A" w14:textId="77777777" w:rsidTr="006179BB">
        <w:tc>
          <w:tcPr>
            <w:tcW w:w="4425" w:type="dxa"/>
            <w:shd w:val="clear" w:color="auto" w:fill="E2EFD9" w:themeFill="accent6" w:themeFillTint="33"/>
            <w:vAlign w:val="center"/>
          </w:tcPr>
          <w:p w14:paraId="1BE832EC" w14:textId="77777777" w:rsidR="00092AD6" w:rsidRPr="009B1BB0" w:rsidRDefault="00092AD6" w:rsidP="00092AD6">
            <w:pPr>
              <w:jc w:val="both"/>
              <w:rPr>
                <w:rFonts w:eastAsia="Times New Roman" w:cstheme="minorHAnsi"/>
                <w:bCs/>
                <w:color w:val="000000"/>
                <w:szCs w:val="24"/>
                <w:lang w:val="en-US"/>
              </w:rPr>
            </w:pPr>
            <w:r w:rsidRPr="009B1BB0">
              <w:rPr>
                <w:rFonts w:cstheme="minorHAnsi"/>
                <w:bCs/>
                <w:color w:val="000000"/>
                <w:szCs w:val="24"/>
              </w:rPr>
              <w:t>Energoefektīvas sistēmas (dzīvojamās ēkas un industrija)</w:t>
            </w:r>
          </w:p>
        </w:tc>
        <w:tc>
          <w:tcPr>
            <w:tcW w:w="2233" w:type="dxa"/>
            <w:shd w:val="clear" w:color="auto" w:fill="E2EFD9" w:themeFill="accent6" w:themeFillTint="33"/>
            <w:vAlign w:val="center"/>
          </w:tcPr>
          <w:p w14:paraId="35F63930" w14:textId="77777777" w:rsidR="00092AD6" w:rsidRPr="009B1BB0" w:rsidRDefault="00092AD6" w:rsidP="00092AD6">
            <w:pPr>
              <w:pStyle w:val="Standard"/>
              <w:jc w:val="center"/>
              <w:rPr>
                <w:rFonts w:asciiTheme="minorHAnsi" w:eastAsia="Times New Roman" w:hAnsiTheme="minorHAnsi" w:cstheme="minorHAnsi"/>
                <w:bCs/>
              </w:rPr>
            </w:pPr>
            <w:r w:rsidRPr="009B1BB0">
              <w:rPr>
                <w:rFonts w:asciiTheme="minorHAnsi" w:eastAsia="Times New Roman" w:hAnsiTheme="minorHAnsi" w:cstheme="minorHAnsi"/>
                <w:bCs/>
              </w:rPr>
              <w:t>28%</w:t>
            </w:r>
          </w:p>
        </w:tc>
        <w:tc>
          <w:tcPr>
            <w:tcW w:w="2693" w:type="dxa"/>
            <w:shd w:val="clear" w:color="auto" w:fill="E2EFD9" w:themeFill="accent6" w:themeFillTint="33"/>
            <w:vAlign w:val="center"/>
          </w:tcPr>
          <w:p w14:paraId="41FCBBC8" w14:textId="48FB5CD0" w:rsidR="00092AD6" w:rsidRPr="009B1BB0" w:rsidRDefault="0022577A" w:rsidP="00092AD6">
            <w:pPr>
              <w:pStyle w:val="Standard"/>
              <w:jc w:val="center"/>
              <w:rPr>
                <w:rFonts w:asciiTheme="minorHAnsi" w:eastAsia="Times New Roman" w:hAnsiTheme="minorHAnsi" w:cstheme="minorHAnsi"/>
                <w:bCs/>
                <w:highlight w:val="yellow"/>
              </w:rPr>
            </w:pPr>
            <w:r>
              <w:rPr>
                <w:rFonts w:asciiTheme="minorHAnsi" w:hAnsiTheme="minorHAnsi" w:cstheme="minorHAnsi"/>
                <w:i/>
                <w:iCs/>
              </w:rPr>
              <w:t>38</w:t>
            </w:r>
            <w:r w:rsidR="00092AD6">
              <w:rPr>
                <w:rFonts w:asciiTheme="minorHAnsi" w:hAnsiTheme="minorHAnsi" w:cstheme="minorHAnsi"/>
                <w:i/>
                <w:iCs/>
              </w:rPr>
              <w:t>%</w:t>
            </w:r>
          </w:p>
        </w:tc>
      </w:tr>
      <w:tr w:rsidR="00092AD6" w:rsidRPr="009B1BB0" w14:paraId="50D86C59" w14:textId="77777777" w:rsidTr="006179BB">
        <w:tc>
          <w:tcPr>
            <w:tcW w:w="4425" w:type="dxa"/>
            <w:shd w:val="clear" w:color="auto" w:fill="E2EFD9" w:themeFill="accent6" w:themeFillTint="33"/>
            <w:vAlign w:val="center"/>
          </w:tcPr>
          <w:p w14:paraId="3EB41E2E" w14:textId="77777777" w:rsidR="00092AD6" w:rsidRPr="009B1BB0" w:rsidRDefault="00092AD6" w:rsidP="00092AD6">
            <w:pPr>
              <w:jc w:val="both"/>
              <w:rPr>
                <w:rFonts w:eastAsia="Times New Roman" w:cstheme="minorHAnsi"/>
                <w:bCs/>
                <w:color w:val="000000"/>
                <w:szCs w:val="24"/>
                <w:lang w:val="en-US"/>
              </w:rPr>
            </w:pPr>
            <w:r w:rsidRPr="009B1BB0">
              <w:rPr>
                <w:rFonts w:cstheme="minorHAnsi"/>
                <w:bCs/>
                <w:color w:val="000000"/>
                <w:szCs w:val="24"/>
              </w:rPr>
              <w:t>Ilgtspējīgs transports</w:t>
            </w:r>
          </w:p>
        </w:tc>
        <w:tc>
          <w:tcPr>
            <w:tcW w:w="2233" w:type="dxa"/>
            <w:shd w:val="clear" w:color="auto" w:fill="E2EFD9" w:themeFill="accent6" w:themeFillTint="33"/>
            <w:vAlign w:val="center"/>
          </w:tcPr>
          <w:p w14:paraId="1EF6A8D3" w14:textId="77777777" w:rsidR="00092AD6" w:rsidRPr="009B1BB0" w:rsidRDefault="00092AD6" w:rsidP="00092AD6">
            <w:pPr>
              <w:pStyle w:val="Standard"/>
              <w:jc w:val="center"/>
              <w:rPr>
                <w:rFonts w:asciiTheme="minorHAnsi" w:eastAsia="Times New Roman" w:hAnsiTheme="minorHAnsi" w:cstheme="minorHAnsi"/>
                <w:bCs/>
              </w:rPr>
            </w:pPr>
            <w:r w:rsidRPr="009B1BB0">
              <w:rPr>
                <w:rFonts w:asciiTheme="minorHAnsi" w:eastAsia="Times New Roman" w:hAnsiTheme="minorHAnsi" w:cstheme="minorHAnsi"/>
                <w:bCs/>
              </w:rPr>
              <w:t>15%</w:t>
            </w:r>
          </w:p>
        </w:tc>
        <w:tc>
          <w:tcPr>
            <w:tcW w:w="2693" w:type="dxa"/>
            <w:shd w:val="clear" w:color="auto" w:fill="E2EFD9" w:themeFill="accent6" w:themeFillTint="33"/>
            <w:vAlign w:val="center"/>
          </w:tcPr>
          <w:p w14:paraId="77B75F85" w14:textId="1327AD7B" w:rsidR="00092AD6" w:rsidRPr="009B1BB0" w:rsidRDefault="0053715D" w:rsidP="00092AD6">
            <w:pPr>
              <w:pStyle w:val="Standard"/>
              <w:jc w:val="center"/>
              <w:rPr>
                <w:rFonts w:asciiTheme="minorHAnsi" w:eastAsia="Times New Roman" w:hAnsiTheme="minorHAnsi" w:cstheme="minorHAnsi"/>
                <w:bCs/>
                <w:highlight w:val="yellow"/>
              </w:rPr>
            </w:pPr>
            <w:r>
              <w:rPr>
                <w:rFonts w:asciiTheme="minorHAnsi" w:hAnsiTheme="minorHAnsi" w:cstheme="minorHAnsi"/>
                <w:i/>
                <w:iCs/>
              </w:rPr>
              <w:t>20</w:t>
            </w:r>
            <w:r w:rsidR="00092AD6">
              <w:rPr>
                <w:rFonts w:asciiTheme="minorHAnsi" w:hAnsiTheme="minorHAnsi" w:cstheme="minorHAnsi"/>
                <w:i/>
                <w:iCs/>
              </w:rPr>
              <w:t>%</w:t>
            </w:r>
          </w:p>
        </w:tc>
      </w:tr>
      <w:tr w:rsidR="00092AD6" w:rsidRPr="009B1BB0" w14:paraId="5F141339" w14:textId="77777777" w:rsidTr="006179BB">
        <w:tc>
          <w:tcPr>
            <w:tcW w:w="4425" w:type="dxa"/>
            <w:vAlign w:val="center"/>
          </w:tcPr>
          <w:p w14:paraId="19C17610" w14:textId="77777777" w:rsidR="00092AD6" w:rsidRPr="009B1BB0" w:rsidRDefault="00092AD6" w:rsidP="00092AD6">
            <w:pPr>
              <w:jc w:val="both"/>
              <w:rPr>
                <w:rFonts w:eastAsia="Times New Roman" w:cstheme="minorHAnsi"/>
                <w:bCs/>
                <w:color w:val="000000"/>
                <w:szCs w:val="24"/>
                <w:lang w:val="en-US"/>
              </w:rPr>
            </w:pPr>
            <w:r w:rsidRPr="009B1BB0">
              <w:rPr>
                <w:rFonts w:cstheme="minorHAnsi"/>
                <w:bCs/>
                <w:color w:val="000000"/>
                <w:szCs w:val="24"/>
              </w:rPr>
              <w:t>Oglekļa uztveršana un noglabāšana</w:t>
            </w:r>
          </w:p>
        </w:tc>
        <w:tc>
          <w:tcPr>
            <w:tcW w:w="2233" w:type="dxa"/>
            <w:vAlign w:val="center"/>
          </w:tcPr>
          <w:p w14:paraId="2DDB1496" w14:textId="77777777" w:rsidR="00092AD6" w:rsidRPr="009B1BB0" w:rsidRDefault="00092AD6" w:rsidP="00092AD6">
            <w:pPr>
              <w:pStyle w:val="Standard"/>
              <w:jc w:val="center"/>
              <w:rPr>
                <w:rFonts w:asciiTheme="minorHAnsi" w:eastAsia="Times New Roman" w:hAnsiTheme="minorHAnsi" w:cstheme="minorHAnsi"/>
                <w:bCs/>
              </w:rPr>
            </w:pPr>
            <w:r w:rsidRPr="009B1BB0">
              <w:rPr>
                <w:rFonts w:asciiTheme="minorHAnsi" w:eastAsia="Times New Roman" w:hAnsiTheme="minorHAnsi" w:cstheme="minorHAnsi"/>
                <w:bCs/>
              </w:rPr>
              <w:t>0%</w:t>
            </w:r>
          </w:p>
        </w:tc>
        <w:tc>
          <w:tcPr>
            <w:tcW w:w="2693" w:type="dxa"/>
            <w:vAlign w:val="center"/>
          </w:tcPr>
          <w:p w14:paraId="48B190FD" w14:textId="063C384F" w:rsidR="00092AD6" w:rsidRPr="009B1BB0" w:rsidRDefault="0022577A" w:rsidP="00092AD6">
            <w:pPr>
              <w:pStyle w:val="Standard"/>
              <w:jc w:val="center"/>
              <w:rPr>
                <w:rFonts w:asciiTheme="minorHAnsi" w:eastAsia="Times New Roman" w:hAnsiTheme="minorHAnsi" w:cstheme="minorHAnsi"/>
                <w:bCs/>
                <w:highlight w:val="yellow"/>
              </w:rPr>
            </w:pPr>
            <w:r>
              <w:rPr>
                <w:rFonts w:asciiTheme="minorHAnsi" w:hAnsiTheme="minorHAnsi" w:cstheme="minorHAnsi"/>
                <w:i/>
                <w:iCs/>
              </w:rPr>
              <w:t>2</w:t>
            </w:r>
            <w:r w:rsidR="0053715D">
              <w:rPr>
                <w:rFonts w:asciiTheme="minorHAnsi" w:hAnsiTheme="minorHAnsi" w:cstheme="minorHAnsi"/>
                <w:i/>
                <w:iCs/>
              </w:rPr>
              <w:t>%</w:t>
            </w:r>
          </w:p>
        </w:tc>
      </w:tr>
      <w:tr w:rsidR="00092AD6" w:rsidRPr="009B1BB0" w14:paraId="7D44CADD" w14:textId="77777777" w:rsidTr="006179BB">
        <w:tc>
          <w:tcPr>
            <w:tcW w:w="4425" w:type="dxa"/>
            <w:vAlign w:val="center"/>
          </w:tcPr>
          <w:p w14:paraId="20325F54" w14:textId="77777777" w:rsidR="00092AD6" w:rsidRPr="009B1BB0" w:rsidRDefault="00092AD6" w:rsidP="00092AD6">
            <w:pPr>
              <w:jc w:val="both"/>
              <w:rPr>
                <w:rFonts w:eastAsia="Times New Roman" w:cstheme="minorHAnsi"/>
                <w:bCs/>
                <w:color w:val="000000"/>
                <w:szCs w:val="24"/>
                <w:lang w:val="en-US"/>
              </w:rPr>
            </w:pPr>
            <w:r w:rsidRPr="009B1BB0">
              <w:rPr>
                <w:rFonts w:cstheme="minorHAnsi"/>
                <w:bCs/>
                <w:color w:val="000000"/>
                <w:szCs w:val="24"/>
              </w:rPr>
              <w:t>Droša kodolenerģija</w:t>
            </w:r>
          </w:p>
        </w:tc>
        <w:tc>
          <w:tcPr>
            <w:tcW w:w="2233" w:type="dxa"/>
            <w:vAlign w:val="center"/>
          </w:tcPr>
          <w:p w14:paraId="477FE964" w14:textId="77777777" w:rsidR="00092AD6" w:rsidRPr="009B1BB0" w:rsidRDefault="00092AD6" w:rsidP="00092AD6">
            <w:pPr>
              <w:pStyle w:val="Standard"/>
              <w:jc w:val="center"/>
              <w:rPr>
                <w:rFonts w:asciiTheme="minorHAnsi" w:eastAsia="Times New Roman" w:hAnsiTheme="minorHAnsi" w:cstheme="minorHAnsi"/>
                <w:bCs/>
              </w:rPr>
            </w:pPr>
            <w:r w:rsidRPr="009B1BB0">
              <w:rPr>
                <w:rFonts w:asciiTheme="minorHAnsi" w:eastAsia="Times New Roman" w:hAnsiTheme="minorHAnsi" w:cstheme="minorHAnsi"/>
                <w:bCs/>
              </w:rPr>
              <w:t>0%</w:t>
            </w:r>
          </w:p>
        </w:tc>
        <w:tc>
          <w:tcPr>
            <w:tcW w:w="2693" w:type="dxa"/>
            <w:vAlign w:val="center"/>
          </w:tcPr>
          <w:p w14:paraId="11296CEF" w14:textId="698580D2" w:rsidR="00092AD6" w:rsidRPr="009B1BB0" w:rsidRDefault="00092AD6" w:rsidP="00092AD6">
            <w:pPr>
              <w:pStyle w:val="Standard"/>
              <w:jc w:val="center"/>
              <w:rPr>
                <w:rFonts w:asciiTheme="minorHAnsi" w:eastAsia="Times New Roman" w:hAnsiTheme="minorHAnsi" w:cstheme="minorHAnsi"/>
                <w:bCs/>
                <w:highlight w:val="yellow"/>
              </w:rPr>
            </w:pPr>
            <w:r>
              <w:rPr>
                <w:rFonts w:asciiTheme="minorHAnsi" w:hAnsiTheme="minorHAnsi" w:cstheme="minorHAnsi"/>
                <w:i/>
                <w:iCs/>
              </w:rPr>
              <w:t>0%</w:t>
            </w:r>
          </w:p>
        </w:tc>
      </w:tr>
      <w:tr w:rsidR="00092AD6" w:rsidRPr="009B1BB0" w14:paraId="0BD1517C" w14:textId="77777777" w:rsidTr="006179BB">
        <w:tc>
          <w:tcPr>
            <w:tcW w:w="4425" w:type="dxa"/>
            <w:shd w:val="clear" w:color="auto" w:fill="E2EFD9" w:themeFill="accent6" w:themeFillTint="33"/>
            <w:vAlign w:val="center"/>
          </w:tcPr>
          <w:p w14:paraId="53276969" w14:textId="77777777" w:rsidR="00092AD6" w:rsidRPr="009B1BB0" w:rsidRDefault="00092AD6" w:rsidP="00092AD6">
            <w:pPr>
              <w:jc w:val="both"/>
              <w:rPr>
                <w:rFonts w:eastAsia="Times New Roman" w:cstheme="minorHAnsi"/>
                <w:bCs/>
                <w:color w:val="000000"/>
                <w:szCs w:val="24"/>
                <w:lang w:val="en-US"/>
              </w:rPr>
            </w:pPr>
            <w:r w:rsidRPr="009B1BB0">
              <w:rPr>
                <w:rFonts w:cstheme="minorHAnsi"/>
                <w:bCs/>
                <w:color w:val="000000"/>
                <w:szCs w:val="24"/>
              </w:rPr>
              <w:t>Energopārvaldība un tirgus</w:t>
            </w:r>
          </w:p>
        </w:tc>
        <w:tc>
          <w:tcPr>
            <w:tcW w:w="2233" w:type="dxa"/>
            <w:shd w:val="clear" w:color="auto" w:fill="E2EFD9" w:themeFill="accent6" w:themeFillTint="33"/>
            <w:vAlign w:val="center"/>
          </w:tcPr>
          <w:p w14:paraId="2A03B4FE" w14:textId="77777777" w:rsidR="00092AD6" w:rsidRPr="009B1BB0" w:rsidRDefault="00092AD6" w:rsidP="00092AD6">
            <w:pPr>
              <w:pStyle w:val="Standard"/>
              <w:jc w:val="center"/>
              <w:rPr>
                <w:rFonts w:asciiTheme="minorHAnsi" w:eastAsia="Times New Roman" w:hAnsiTheme="minorHAnsi" w:cstheme="minorHAnsi"/>
                <w:bCs/>
              </w:rPr>
            </w:pPr>
            <w:r w:rsidRPr="009B1BB0">
              <w:rPr>
                <w:rFonts w:asciiTheme="minorHAnsi" w:eastAsia="Times New Roman" w:hAnsiTheme="minorHAnsi" w:cstheme="minorHAnsi"/>
                <w:bCs/>
              </w:rPr>
              <w:t>20%</w:t>
            </w:r>
          </w:p>
        </w:tc>
        <w:tc>
          <w:tcPr>
            <w:tcW w:w="2693" w:type="dxa"/>
            <w:shd w:val="clear" w:color="auto" w:fill="E2EFD9" w:themeFill="accent6" w:themeFillTint="33"/>
            <w:vAlign w:val="center"/>
          </w:tcPr>
          <w:p w14:paraId="6B433190" w14:textId="7A0A723D" w:rsidR="00092AD6" w:rsidRPr="009B1BB0" w:rsidRDefault="00092AD6" w:rsidP="00092AD6">
            <w:pPr>
              <w:pStyle w:val="Standard"/>
              <w:jc w:val="center"/>
              <w:rPr>
                <w:rFonts w:asciiTheme="minorHAnsi" w:eastAsia="Times New Roman" w:hAnsiTheme="minorHAnsi" w:cstheme="minorHAnsi"/>
                <w:bCs/>
                <w:highlight w:val="yellow"/>
              </w:rPr>
            </w:pPr>
            <w:r>
              <w:rPr>
                <w:rFonts w:asciiTheme="minorHAnsi" w:hAnsiTheme="minorHAnsi" w:cstheme="minorHAnsi"/>
                <w:i/>
                <w:iCs/>
              </w:rPr>
              <w:t>5%</w:t>
            </w:r>
          </w:p>
        </w:tc>
      </w:tr>
    </w:tbl>
    <w:p w14:paraId="3CCEF70F" w14:textId="6576EFCD" w:rsidR="002D799E" w:rsidRDefault="002D799E" w:rsidP="002D799E">
      <w:pPr>
        <w:tabs>
          <w:tab w:val="left" w:pos="5040"/>
        </w:tabs>
        <w:rPr>
          <w:rFonts w:cstheme="minorHAnsi"/>
        </w:rPr>
      </w:pPr>
      <w:r>
        <w:rPr>
          <w:rFonts w:cstheme="minorHAnsi"/>
        </w:rPr>
        <w:tab/>
      </w:r>
    </w:p>
    <w:p w14:paraId="7F6A6462" w14:textId="7E678C1B" w:rsidR="002D799E" w:rsidRPr="002D799E" w:rsidRDefault="002D799E" w:rsidP="002D799E">
      <w:pPr>
        <w:tabs>
          <w:tab w:val="left" w:pos="5040"/>
        </w:tabs>
        <w:rPr>
          <w:rFonts w:cstheme="minorHAnsi"/>
        </w:rPr>
        <w:sectPr w:rsidR="002D799E" w:rsidRPr="002D799E" w:rsidSect="002D799E">
          <w:pgSz w:w="11906" w:h="16838" w:code="9"/>
          <w:pgMar w:top="1134" w:right="1134" w:bottom="1134" w:left="1701" w:header="567" w:footer="567" w:gutter="0"/>
          <w:cols w:space="708"/>
          <w:docGrid w:linePitch="360"/>
        </w:sectPr>
      </w:pPr>
      <w:r>
        <w:rPr>
          <w:rFonts w:cstheme="minorHAnsi"/>
        </w:rPr>
        <w:tab/>
      </w:r>
    </w:p>
    <w:p w14:paraId="6A304975" w14:textId="77777777" w:rsidR="009A0CBA" w:rsidRPr="00A21A23" w:rsidRDefault="009A0CBA" w:rsidP="001E38CE">
      <w:pPr>
        <w:pStyle w:val="Heading1"/>
      </w:pPr>
      <w:bookmarkStart w:id="511" w:name="_Toc520978835"/>
      <w:bookmarkStart w:id="512" w:name="_Toc527529479"/>
      <w:bookmarkStart w:id="513" w:name="_Toc17878359"/>
      <w:bookmarkStart w:id="514" w:name="_Toc23245831"/>
      <w:bookmarkStart w:id="515" w:name="_Toc23246038"/>
      <w:bookmarkStart w:id="516" w:name="_Toc24408052"/>
      <w:bookmarkStart w:id="517" w:name="_Toc24408111"/>
      <w:r w:rsidRPr="00A21A23">
        <w:t>RĪCĪBPOLITIKAS UN PASĀKUMI</w:t>
      </w:r>
      <w:bookmarkEnd w:id="511"/>
      <w:bookmarkEnd w:id="512"/>
      <w:bookmarkEnd w:id="513"/>
      <w:bookmarkEnd w:id="514"/>
      <w:bookmarkEnd w:id="515"/>
      <w:bookmarkEnd w:id="516"/>
      <w:bookmarkEnd w:id="517"/>
      <w:r w:rsidRPr="00A21A23">
        <w:t xml:space="preserve"> </w:t>
      </w:r>
    </w:p>
    <w:p w14:paraId="597F017E" w14:textId="77777777" w:rsidR="009A0CBA" w:rsidRPr="00A21A23" w:rsidRDefault="009A0CBA" w:rsidP="00A21A23">
      <w:pPr>
        <w:spacing w:before="120" w:after="120" w:line="240" w:lineRule="auto"/>
        <w:rPr>
          <w:rFonts w:cstheme="minorHAnsi"/>
        </w:rPr>
      </w:pPr>
      <w:r w:rsidRPr="00A21A23">
        <w:rPr>
          <w:rFonts w:cstheme="minorHAnsi"/>
        </w:rPr>
        <w:t>NEKP dimensijām un NEKP aptvēruma jomām ir izvērtētas pasākumu ietekmes, kur ir noteiktas vairākas horizontālās jomās: energoefektivitāte, nodokļu zaļināšana un sabiedrības informēšana un izglītošana, un daļēji horizontālie pasākumi – enerģētiskā drošība un iekšējais enerģijas tirgus, kā arī sektorālie pasākumi – ražošana, pārvade un patēriņš.</w:t>
      </w:r>
    </w:p>
    <w:p w14:paraId="78691F81" w14:textId="77777777" w:rsidR="009A0CBA" w:rsidRPr="00A21A23" w:rsidRDefault="009A0CBA" w:rsidP="00A21A23">
      <w:pPr>
        <w:spacing w:before="120" w:after="120" w:line="240" w:lineRule="auto"/>
        <w:jc w:val="center"/>
        <w:rPr>
          <w:rFonts w:cstheme="minorHAnsi"/>
        </w:rPr>
      </w:pPr>
      <w:r w:rsidRPr="00A21A23">
        <w:rPr>
          <w:rFonts w:cstheme="minorHAnsi"/>
          <w:noProof/>
        </w:rPr>
        <w:drawing>
          <wp:inline distT="0" distB="0" distL="0" distR="0" wp14:anchorId="204EF124" wp14:editId="0F85AB7A">
            <wp:extent cx="5939790" cy="4457065"/>
            <wp:effectExtent l="0" t="0" r="3810" b="635"/>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Untitled Diagram 7.jpg"/>
                    <pic:cNvPicPr/>
                  </pic:nvPicPr>
                  <pic:blipFill>
                    <a:blip r:embed="rId69">
                      <a:extLst>
                        <a:ext uri="{28A0092B-C50C-407E-A947-70E740481C1C}">
                          <a14:useLocalDpi xmlns:a14="http://schemas.microsoft.com/office/drawing/2010/main" val="0"/>
                        </a:ext>
                      </a:extLst>
                    </a:blip>
                    <a:stretch>
                      <a:fillRect/>
                    </a:stretch>
                  </pic:blipFill>
                  <pic:spPr>
                    <a:xfrm>
                      <a:off x="0" y="0"/>
                      <a:ext cx="5939790" cy="4457065"/>
                    </a:xfrm>
                    <a:prstGeom prst="rect">
                      <a:avLst/>
                    </a:prstGeom>
                  </pic:spPr>
                </pic:pic>
              </a:graphicData>
            </a:graphic>
          </wp:inline>
        </w:drawing>
      </w:r>
    </w:p>
    <w:p w14:paraId="73EA84CE" w14:textId="4BBEBE77" w:rsidR="009A0CBA" w:rsidRPr="00A21A23" w:rsidRDefault="009A0CBA" w:rsidP="00A21A23">
      <w:pPr>
        <w:pStyle w:val="Caption"/>
        <w:rPr>
          <w:rFonts w:asciiTheme="minorHAnsi" w:hAnsiTheme="minorHAnsi" w:cstheme="minorHAnsi"/>
        </w:rPr>
      </w:pPr>
      <w:r w:rsidRPr="00A21A23">
        <w:rPr>
          <w:rFonts w:asciiTheme="minorHAnsi" w:hAnsiTheme="minorHAnsi" w:cstheme="minorHAnsi"/>
        </w:rPr>
        <w:fldChar w:fldCharType="begin"/>
      </w:r>
      <w:r w:rsidRPr="00A21A23">
        <w:rPr>
          <w:rFonts w:asciiTheme="minorHAnsi" w:hAnsiTheme="minorHAnsi" w:cstheme="minorHAnsi"/>
        </w:rPr>
        <w:instrText xml:space="preserve"> SEQ Ilustrācija \* ARABIC </w:instrText>
      </w:r>
      <w:r w:rsidRPr="00A21A23">
        <w:rPr>
          <w:rFonts w:asciiTheme="minorHAnsi" w:hAnsiTheme="minorHAnsi" w:cstheme="minorHAnsi"/>
        </w:rPr>
        <w:fldChar w:fldCharType="separate"/>
      </w:r>
      <w:bookmarkStart w:id="518" w:name="_Toc23782719"/>
      <w:r w:rsidR="006E6675">
        <w:rPr>
          <w:rFonts w:asciiTheme="minorHAnsi" w:hAnsiTheme="minorHAnsi" w:cstheme="minorHAnsi"/>
          <w:noProof/>
        </w:rPr>
        <w:t>39</w:t>
      </w:r>
      <w:r w:rsidRPr="00A21A23">
        <w:rPr>
          <w:rFonts w:asciiTheme="minorHAnsi" w:hAnsiTheme="minorHAnsi" w:cstheme="minorHAnsi"/>
        </w:rPr>
        <w:fldChar w:fldCharType="end"/>
      </w:r>
      <w:r w:rsidRPr="00A21A23">
        <w:rPr>
          <w:rFonts w:asciiTheme="minorHAnsi" w:hAnsiTheme="minorHAnsi" w:cstheme="minorHAnsi"/>
        </w:rPr>
        <w:t>.attēls. NEKP jomu savstarpējās ietekmes</w:t>
      </w:r>
      <w:bookmarkEnd w:id="518"/>
    </w:p>
    <w:p w14:paraId="0310A039" w14:textId="01508431" w:rsidR="00686144" w:rsidRDefault="00686144" w:rsidP="007800F9">
      <w:pPr>
        <w:spacing w:before="120" w:after="120" w:line="240" w:lineRule="auto"/>
        <w:jc w:val="both"/>
      </w:pPr>
      <w:r>
        <w:t xml:space="preserve">Plānā ir izdalīti horizontālie pasākumi, kas aptver vairākus rīcības virzienus, tāpēc nebija iekļaujami kādā konkrētā rīcības virzienā, piemēram, </w:t>
      </w:r>
      <w:r w:rsidR="00B17E49">
        <w:t xml:space="preserve">tādi </w:t>
      </w:r>
      <w:r>
        <w:t>energoefektivitātes</w:t>
      </w:r>
      <w:r w:rsidR="00B17E49">
        <w:t xml:space="preserve"> uzlabošanas</w:t>
      </w:r>
      <w:r>
        <w:t xml:space="preserve"> pasākumi</w:t>
      </w:r>
      <w:r w:rsidR="00B17E49">
        <w:t xml:space="preserve"> kā “energoefektivitāte pirmajā vietā” principa ieviešana, EPS paplašināšana</w:t>
      </w:r>
      <w:r>
        <w:t>, biometāna izmantošanas veicināšanas pasākumi</w:t>
      </w:r>
      <w:r w:rsidR="00B17E49">
        <w:t>m kas aptver gan lauksaimniecības sektoru, gan transporta un elektroenerģijas / siltumenerģijas ražošanas darbības,</w:t>
      </w:r>
      <w:r>
        <w:t xml:space="preserve"> vai</w:t>
      </w:r>
      <w:r w:rsidR="00B17E49">
        <w:t xml:space="preserve"> izcelsmes apliecinājumu sistēmas izveidi un īstenošanu vairākās darbībās,</w:t>
      </w:r>
      <w:r>
        <w:t xml:space="preserve"> finansēšanas mehānismu izveide vai dalība finanšu mehānismos.</w:t>
      </w:r>
      <w:r w:rsidR="003F78FD">
        <w:t xml:space="preserve"> Arī pētniecības un inovāciju pasākumi, lai gan ir iekļauti vairākos atsevišķos rīcības virzienos, pēc būtības ir horizontālie pasākumi, kas ir īstenojami pietiekami plašā aptvērumā, lai vienlaicīgi pozitīvi ietekmētu vairākus Plānā iekļautos rīcības virzienus.</w:t>
      </w:r>
      <w:r>
        <w:t xml:space="preserve"> Tāpat plānā ir vairāki rīcības virzieni, kurā īstenojamie pasākumiem ir ietekme uz vairākiem citiem rīcības virzieniem</w:t>
      </w:r>
      <w:r w:rsidR="00B17E49">
        <w:t>. Plānā šie rīcības virzieni vai pasākumi ir apkopoti kā horizontālie pasākumi</w:t>
      </w:r>
      <w:r w:rsidR="007800F9">
        <w:t xml:space="preserve"> (4.1.-4.4.nodaļa). Sektorālo jautājumu risināšanai Plānā ir izvirzīti vairāki rīcības virzieni konkrētajam sektoram vai darbībām, kas lai gan ietekmē vairākus citus sektorus vai darbības, tomēr nav secināta to horizontālā ietekme (4.5.-4.13.nodaļa).</w:t>
      </w:r>
    </w:p>
    <w:p w14:paraId="06F5D73D" w14:textId="69692DD8" w:rsidR="002D799E" w:rsidRDefault="002D799E">
      <w:r>
        <w:br w:type="page"/>
      </w:r>
    </w:p>
    <w:p w14:paraId="7F1D736D" w14:textId="77777777" w:rsidR="002D799E" w:rsidRPr="00570B70" w:rsidRDefault="002D799E" w:rsidP="002D799E">
      <w:pPr>
        <w:spacing w:before="120" w:after="120" w:line="240" w:lineRule="auto"/>
        <w:rPr>
          <w:rFonts w:cstheme="minorHAnsi"/>
          <w:b/>
          <w:i/>
          <w:sz w:val="28"/>
          <w:szCs w:val="28"/>
          <w:u w:val="single"/>
        </w:rPr>
      </w:pPr>
      <w:r w:rsidRPr="00570B70">
        <w:rPr>
          <w:rFonts w:cstheme="minorHAnsi"/>
          <w:noProof/>
          <w:lang w:eastAsia="lv-LV"/>
        </w:rPr>
        <mc:AlternateContent>
          <mc:Choice Requires="wps">
            <w:drawing>
              <wp:anchor distT="0" distB="0" distL="114300" distR="114300" simplePos="0" relativeHeight="251658240" behindDoc="0" locked="0" layoutInCell="1" allowOverlap="1" wp14:anchorId="0B37DBE4" wp14:editId="0EF64909">
                <wp:simplePos x="0" y="0"/>
                <wp:positionH relativeFrom="margin">
                  <wp:align>left</wp:align>
                </wp:positionH>
                <wp:positionV relativeFrom="paragraph">
                  <wp:posOffset>131</wp:posOffset>
                </wp:positionV>
                <wp:extent cx="5779135" cy="552450"/>
                <wp:effectExtent l="0" t="0" r="0" b="0"/>
                <wp:wrapSquare wrapText="bothSides"/>
                <wp:docPr id="39" name="Rectangle: Single Corner Snipped 39"/>
                <wp:cNvGraphicFramePr/>
                <a:graphic xmlns:a="http://schemas.openxmlformats.org/drawingml/2006/main">
                  <a:graphicData uri="http://schemas.microsoft.com/office/word/2010/wordprocessingShape">
                    <wps:wsp>
                      <wps:cNvSpPr/>
                      <wps:spPr>
                        <a:xfrm>
                          <a:off x="0" y="0"/>
                          <a:ext cx="5779135" cy="552450"/>
                        </a:xfrm>
                        <a:prstGeom prst="snip1Rect">
                          <a:avLst/>
                        </a:prstGeom>
                        <a:solidFill>
                          <a:schemeClr val="accent6">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109D56F3" w14:textId="77F241DC"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19" w:name="_Toc24408053"/>
                            <w:bookmarkStart w:id="520" w:name="_Toc24408112"/>
                            <w:r w:rsidRPr="0007326F">
                              <w:rPr>
                                <w:color w:val="FFFFFF" w:themeColor="background1"/>
                                <w:sz w:val="40"/>
                                <w:szCs w:val="40"/>
                              </w:rPr>
                              <w:t>Energoefektivitāte</w:t>
                            </w:r>
                            <w:bookmarkEnd w:id="519"/>
                            <w:bookmarkEnd w:id="52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7DBE4" id="Rectangle: Single Corner Snipped 39" o:spid="_x0000_s1026" style="position:absolute;margin-left:0;margin-top:0;width:455.05pt;height:43.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" adj="-11796480,,5400" path="m,l5687058,r92077,92077l5779135,552450,,552450,,xe" fillcolor="#538135 [2409]" stroked="f" strokeweight="1pt">
                <v:stroke joinstyle="miter"/>
                <v:formulas/>
                <v:path arrowok="t" o:connecttype="custom" o:connectlocs="0,0;5687058,0;5779135,92077;5779135,552450;0,552450;0,0" o:connectangles="0,0,0,0,0,0" textboxrect="0,0,5779135,552450"/>
                <v:textbox>
                  <w:txbxContent>
                    <w:p w14:paraId="109D56F3" w14:textId="77F241DC"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21" w:name="_Toc24408053"/>
                      <w:bookmarkStart w:id="522" w:name="_Toc24408112"/>
                      <w:r w:rsidRPr="0007326F">
                        <w:rPr>
                          <w:color w:val="FFFFFF" w:themeColor="background1"/>
                          <w:sz w:val="40"/>
                          <w:szCs w:val="40"/>
                        </w:rPr>
                        <w:t>Energoefektivitāte</w:t>
                      </w:r>
                      <w:bookmarkEnd w:id="521"/>
                      <w:bookmarkEnd w:id="522"/>
                    </w:p>
                  </w:txbxContent>
                </v:textbox>
                <w10:wrap type="square" anchorx="margin"/>
              </v:shape>
            </w:pict>
          </mc:Fallback>
        </mc:AlternateContent>
      </w:r>
      <w:r w:rsidRPr="00570B70">
        <w:rPr>
          <w:rFonts w:cstheme="minorHAnsi"/>
          <w:b/>
          <w:i/>
          <w:sz w:val="28"/>
          <w:szCs w:val="28"/>
          <w:u w:val="single"/>
        </w:rPr>
        <w:t>Esošā situācija</w:t>
      </w:r>
    </w:p>
    <w:p w14:paraId="27E223EC" w14:textId="77777777" w:rsidR="002D799E" w:rsidRPr="00570B70" w:rsidRDefault="002D799E" w:rsidP="002D799E">
      <w:pPr>
        <w:spacing w:before="120" w:after="120" w:line="240" w:lineRule="auto"/>
        <w:jc w:val="both"/>
        <w:rPr>
          <w:rFonts w:cstheme="minorHAnsi"/>
          <w:szCs w:val="24"/>
        </w:rPr>
      </w:pPr>
      <w:r w:rsidRPr="00570B70">
        <w:rPr>
          <w:rFonts w:cstheme="minorHAnsi"/>
          <w:szCs w:val="24"/>
          <w:shd w:val="clear" w:color="auto" w:fill="FFFFFF"/>
        </w:rPr>
        <w:t xml:space="preserve">Latvijas enerģētikas politikā ir noteikts, ka energoefektivitāte ir viens no galvenajiem politikas instrumentiem, kas ļauj samazināt izmaksas un, samazinot enerģijas patēriņu,  paaugstina energoapgādes drošuma līmeni. Latvijas tiesību aktos ir </w:t>
      </w:r>
      <w:r w:rsidRPr="00570B70">
        <w:rPr>
          <w:rFonts w:cstheme="minorHAnsi"/>
          <w:szCs w:val="24"/>
        </w:rPr>
        <w:t>iekļautas prasības nodrošināt energoresursu racionālu izmantošanu un pārvaldību, lai sekmētu ilgtspējīgu tautsaimniecības attīstību. Lai gan Latvija ir apņēmusies sasniegt obligāto kumulatīvo enerģijas galapatēriņa ietaupījumu mērķi, tomēr līdz 2018.gadm Latvija ikgadējo mērķi ir izpildījusi par 54%.</w:t>
      </w:r>
    </w:p>
    <w:p w14:paraId="2988CA03" w14:textId="77777777" w:rsidR="002D799E" w:rsidRPr="00570B70" w:rsidRDefault="002D799E" w:rsidP="002D799E">
      <w:pPr>
        <w:spacing w:before="120" w:after="120" w:line="240" w:lineRule="auto"/>
        <w:jc w:val="both"/>
        <w:rPr>
          <w:rFonts w:cstheme="minorHAnsi"/>
          <w:szCs w:val="24"/>
        </w:rPr>
      </w:pPr>
      <w:r w:rsidRPr="00570B70">
        <w:rPr>
          <w:rFonts w:cstheme="minorHAnsi"/>
          <w:szCs w:val="24"/>
        </w:rPr>
        <w:t xml:space="preserve">Latvijā </w:t>
      </w:r>
      <w:r>
        <w:rPr>
          <w:rFonts w:cstheme="minorHAnsi"/>
          <w:szCs w:val="24"/>
        </w:rPr>
        <w:t>EPS</w:t>
      </w:r>
      <w:r w:rsidRPr="00570B70">
        <w:rPr>
          <w:rFonts w:cstheme="minorHAnsi"/>
          <w:szCs w:val="24"/>
        </w:rPr>
        <w:t xml:space="preserve"> shēma ir ieviesta </w:t>
      </w:r>
      <w:r w:rsidRPr="00570B70">
        <w:rPr>
          <w:rFonts w:cstheme="minorHAnsi"/>
          <w:szCs w:val="24"/>
          <w:shd w:val="clear" w:color="auto" w:fill="FFFFFF"/>
        </w:rPr>
        <w:t xml:space="preserve">vairākos posmos jeb periodos: ar starta periodu 2014.- 2017.gadā, kam sekoja 2018.-2020.gada saistību periods, kur pienākums sadarboties ar saviem galapatērētājiem energoefektivitātes jomā ir uzlikts tikai elektroenerģijas mazumtirdzniecības komersantiem. Pēc 2018.gada elektroenerģijas pārdošanas datiem, shēmā kā atbildīgās puses ir iekļauti 14 elektroenerģijas mazumtirdzniecības komersanti, kuri </w:t>
      </w:r>
      <w:bookmarkStart w:id="521" w:name="_Hlk20905049"/>
      <w:r w:rsidRPr="00570B70">
        <w:rPr>
          <w:rFonts w:cstheme="minorHAnsi"/>
          <w:szCs w:val="24"/>
          <w:shd w:val="clear" w:color="auto" w:fill="FFFFFF"/>
        </w:rPr>
        <w:t xml:space="preserve">savu enerģijas ietaupījuma pienākuma apjomu galvenokārt izpilda ar informatīvajiem un izglītojošiem pasākumiem, kā arī ar pasākumiem apgaismojuma energoefektivitātes uzlabošanā. Līdz 2017.gada beigām Latvijā ir noslēgtas tikai </w:t>
      </w:r>
      <w:bookmarkEnd w:id="521"/>
      <w:r w:rsidRPr="00570B70">
        <w:rPr>
          <w:rFonts w:cstheme="minorHAnsi"/>
          <w:szCs w:val="24"/>
        </w:rPr>
        <w:t>2 brīvprātīgās vienošanās, jo, lai arī regulējums atļauj atbildīgajai ministrijai sniegt atbalstu energoauditiem un atsevišķiem energoefektivitātes uzlabošanas pasākumiem, kas tiek veikti saskaņā ar vienošanos, līdz šim finansējums no valsts budžeta vai valsts energoefektivitātes fonda nav bijis paredzēts.</w:t>
      </w:r>
    </w:p>
    <w:p w14:paraId="7FBA8E2F" w14:textId="77777777" w:rsidR="002D799E" w:rsidRPr="003F78FD" w:rsidRDefault="002D799E" w:rsidP="002D799E">
      <w:pPr>
        <w:spacing w:before="120" w:after="120" w:line="240" w:lineRule="auto"/>
        <w:jc w:val="both"/>
        <w:rPr>
          <w:rStyle w:val="Strong"/>
          <w:rFonts w:cstheme="minorHAnsi"/>
          <w:b w:val="0"/>
          <w:bCs w:val="0"/>
          <w:szCs w:val="24"/>
          <w:bdr w:val="none" w:sz="0" w:space="0" w:color="auto" w:frame="1"/>
          <w:shd w:val="clear" w:color="auto" w:fill="FFFFFF"/>
        </w:rPr>
      </w:pPr>
      <w:r w:rsidRPr="00570B70">
        <w:rPr>
          <w:rFonts w:cstheme="minorHAnsi"/>
          <w:szCs w:val="24"/>
        </w:rPr>
        <w:t xml:space="preserve">Šobrīd lielajiem uzņēmumiem un lielajiem  elektroenerģijas patērētājiem ir jāievieš sertificēta energopārvaldības sistēma vai regulāri jāveic energoaudits, kā arī ir jāievieš trīs energoaudita ziņojumā ieteiktie energoefektivitātes uzlabošanas pasākumi ar vislielāko novērtēto enerģijas ietaupījumu vai ekonomisko atdevi. Uzņēmumos  lielākie enerģijas ietaupījumi sasniegti  </w:t>
      </w:r>
      <w:r w:rsidRPr="003F78FD">
        <w:rPr>
          <w:rFonts w:cstheme="minorHAnsi"/>
          <w:szCs w:val="24"/>
        </w:rPr>
        <w:t>iekārtu nomaiņas un efektīvākas transporta izmantošanas rezultātā un periodā līdz 2020.gadam</w:t>
      </w:r>
      <w:r w:rsidRPr="003F78FD">
        <w:rPr>
          <w:rStyle w:val="Strong"/>
          <w:rFonts w:cstheme="minorHAnsi"/>
          <w:b w:val="0"/>
          <w:bCs w:val="0"/>
          <w:szCs w:val="24"/>
          <w:bdr w:val="none" w:sz="0" w:space="0" w:color="auto" w:frame="1"/>
          <w:shd w:val="clear" w:color="auto" w:fill="FFFFFF"/>
        </w:rPr>
        <w:t xml:space="preserve"> uzņēmumiem ir pieejamas atbalsta programmas energoefektivitātes pasākumu īstenošanai apstrādes rūpniecības uzņēmumos.</w:t>
      </w:r>
    </w:p>
    <w:p w14:paraId="32ED8AA6" w14:textId="77777777" w:rsidR="002D799E" w:rsidRPr="00570B70" w:rsidRDefault="002D799E" w:rsidP="002D799E">
      <w:pPr>
        <w:spacing w:before="120" w:after="120" w:line="240" w:lineRule="auto"/>
        <w:jc w:val="both"/>
        <w:rPr>
          <w:rFonts w:cstheme="minorHAnsi"/>
          <w:szCs w:val="24"/>
        </w:rPr>
      </w:pPr>
      <w:r w:rsidRPr="003F78FD">
        <w:rPr>
          <w:rStyle w:val="Strong"/>
          <w:rFonts w:cstheme="minorHAnsi"/>
          <w:b w:val="0"/>
          <w:bCs w:val="0"/>
          <w:szCs w:val="24"/>
          <w:bdr w:val="none" w:sz="0" w:space="0" w:color="auto" w:frame="1"/>
          <w:shd w:val="clear" w:color="auto" w:fill="FFFFFF"/>
        </w:rPr>
        <w:t xml:space="preserve">Šobrīd </w:t>
      </w:r>
      <w:r w:rsidRPr="003F78FD">
        <w:rPr>
          <w:rFonts w:cstheme="minorHAnsi"/>
          <w:szCs w:val="24"/>
        </w:rPr>
        <w:t>pašvaldībām un valsts iestādēm ir tiesības izmantot ESKO un slēgt energoefektivitātes</w:t>
      </w:r>
      <w:r w:rsidRPr="00570B70">
        <w:rPr>
          <w:rFonts w:cstheme="minorHAnsi"/>
          <w:szCs w:val="24"/>
        </w:rPr>
        <w:t xml:space="preserve"> pakalpojuma līgumus uz termiņu ne ilgāku par 20 gadiem, tomēr līguma ietvaros veiktās investīcijas tiek uzskaitītās kā publiskais parāds ar ietekmi uz fiskālo telpu, lai gan faktiski ESKO modeļa pamatprincips pašvaldībai papildus budžeta izdevumus nerada (fiskāli neitrāli projekti), jo privātās investīcijas tiek atmaksātas no sasniegtā enerģijas ietaupījuma izmaksām.</w:t>
      </w:r>
    </w:p>
    <w:p w14:paraId="5DECD998" w14:textId="77777777" w:rsidR="002D799E" w:rsidRPr="00570B70" w:rsidRDefault="002D799E" w:rsidP="002D799E">
      <w:pPr>
        <w:shd w:val="clear" w:color="auto" w:fill="E7E6E6" w:themeFill="background2"/>
        <w:spacing w:before="120" w:after="120" w:line="240" w:lineRule="auto"/>
        <w:rPr>
          <w:rFonts w:cstheme="minorHAnsi"/>
          <w:b/>
          <w:sz w:val="28"/>
          <w:szCs w:val="28"/>
          <w:u w:val="single"/>
        </w:rPr>
      </w:pPr>
      <w:r w:rsidRPr="00570B70">
        <w:rPr>
          <w:rFonts w:cstheme="minorHAnsi"/>
          <w:b/>
          <w:sz w:val="28"/>
          <w:szCs w:val="28"/>
          <w:u w:val="single"/>
        </w:rPr>
        <w:t>Vēlamā situācija 2030.gadam:</w:t>
      </w:r>
    </w:p>
    <w:p w14:paraId="62648D82" w14:textId="77777777" w:rsidR="002D799E" w:rsidRPr="00570B70" w:rsidRDefault="002D799E" w:rsidP="00847BE3">
      <w:pPr>
        <w:pStyle w:val="ListParagraph"/>
        <w:numPr>
          <w:ilvl w:val="0"/>
          <w:numId w:val="31"/>
        </w:numPr>
        <w:shd w:val="clear" w:color="auto" w:fill="E7E6E6" w:themeFill="background2"/>
        <w:spacing w:before="120" w:after="120" w:line="240" w:lineRule="auto"/>
        <w:contextualSpacing w:val="0"/>
        <w:rPr>
          <w:rFonts w:cstheme="minorHAnsi"/>
          <w:bCs/>
          <w:i/>
          <w:iCs/>
          <w:szCs w:val="24"/>
        </w:rPr>
      </w:pPr>
      <w:r w:rsidRPr="00570B70">
        <w:rPr>
          <w:rFonts w:cstheme="minorHAnsi"/>
          <w:bCs/>
          <w:i/>
          <w:iCs/>
          <w:szCs w:val="24"/>
        </w:rPr>
        <w:t>Attīstības un politikas plānošanas, kā arī investīciju plānošanas un ieviešanas procesā ir pilnībā ieviests “energoefektivitāte pirmajā vietā” princips</w:t>
      </w:r>
    </w:p>
    <w:p w14:paraId="4695A6A4" w14:textId="77777777" w:rsidR="002D799E" w:rsidRPr="00570B70" w:rsidRDefault="002D799E" w:rsidP="00847BE3">
      <w:pPr>
        <w:pStyle w:val="ListParagraph"/>
        <w:numPr>
          <w:ilvl w:val="0"/>
          <w:numId w:val="31"/>
        </w:numPr>
        <w:shd w:val="clear" w:color="auto" w:fill="E7E6E6" w:themeFill="background2"/>
        <w:spacing w:before="120" w:after="120" w:line="240" w:lineRule="auto"/>
        <w:contextualSpacing w:val="0"/>
        <w:rPr>
          <w:rFonts w:cstheme="minorHAnsi"/>
          <w:bCs/>
          <w:i/>
          <w:iCs/>
          <w:szCs w:val="24"/>
        </w:rPr>
      </w:pPr>
      <w:r w:rsidRPr="00570B70">
        <w:rPr>
          <w:rFonts w:cstheme="minorHAnsi"/>
          <w:bCs/>
          <w:i/>
          <w:iCs/>
          <w:szCs w:val="24"/>
        </w:rPr>
        <w:t>Valsts nosprausto energoefektivitātes mērķu sasniegšana</w:t>
      </w:r>
    </w:p>
    <w:p w14:paraId="7626C96D" w14:textId="77777777" w:rsidR="002D799E" w:rsidRPr="00570B70" w:rsidRDefault="002D799E" w:rsidP="00847BE3">
      <w:pPr>
        <w:pStyle w:val="ListParagraph"/>
        <w:numPr>
          <w:ilvl w:val="0"/>
          <w:numId w:val="31"/>
        </w:numPr>
        <w:shd w:val="clear" w:color="auto" w:fill="E7E6E6" w:themeFill="background2"/>
        <w:spacing w:before="120" w:after="120" w:line="240" w:lineRule="auto"/>
        <w:contextualSpacing w:val="0"/>
        <w:rPr>
          <w:rFonts w:cstheme="minorHAnsi"/>
          <w:bCs/>
          <w:i/>
          <w:iCs/>
          <w:szCs w:val="24"/>
        </w:rPr>
      </w:pPr>
      <w:r w:rsidRPr="00570B70">
        <w:rPr>
          <w:rFonts w:cstheme="minorHAnsi"/>
          <w:bCs/>
          <w:i/>
          <w:iCs/>
          <w:szCs w:val="24"/>
        </w:rPr>
        <w:t xml:space="preserve">Komersanti ne tikai nodrošina savu energoefektivitāti, bet palīdz un veicina savu klientu energoefektivitāti </w:t>
      </w:r>
    </w:p>
    <w:p w14:paraId="490A515C" w14:textId="77777777" w:rsidR="002D799E" w:rsidRPr="00570B70" w:rsidRDefault="002D799E" w:rsidP="00847BE3">
      <w:pPr>
        <w:pStyle w:val="ListParagraph"/>
        <w:numPr>
          <w:ilvl w:val="0"/>
          <w:numId w:val="31"/>
        </w:numPr>
        <w:shd w:val="clear" w:color="auto" w:fill="E7E6E6" w:themeFill="background2"/>
        <w:spacing w:before="120" w:after="120" w:line="240" w:lineRule="auto"/>
        <w:contextualSpacing w:val="0"/>
        <w:rPr>
          <w:rFonts w:cstheme="minorHAnsi"/>
          <w:bCs/>
          <w:i/>
          <w:iCs/>
          <w:szCs w:val="24"/>
        </w:rPr>
      </w:pPr>
      <w:r w:rsidRPr="00570B70">
        <w:rPr>
          <w:rFonts w:cstheme="minorHAnsi"/>
          <w:bCs/>
          <w:i/>
          <w:iCs/>
          <w:szCs w:val="24"/>
        </w:rPr>
        <w:t>Sabiedrībā būtiski pieaugusi izpratne un par energoefektivitātes jautājumiem un palielinājusies iesaiste un vēlme nodrošināt energoefektivitāti savā un sabiedrības ikdienas dzīvē</w:t>
      </w:r>
    </w:p>
    <w:p w14:paraId="2BE00C84" w14:textId="77777777" w:rsidR="002D799E" w:rsidRPr="00570B70" w:rsidRDefault="002D799E" w:rsidP="002D799E">
      <w:pPr>
        <w:shd w:val="clear" w:color="auto" w:fill="E7E6E6" w:themeFill="background2"/>
        <w:spacing w:before="120" w:after="120" w:line="240" w:lineRule="auto"/>
        <w:rPr>
          <w:rFonts w:cstheme="minorHAnsi"/>
          <w:b/>
          <w:sz w:val="28"/>
          <w:szCs w:val="28"/>
          <w:u w:val="single"/>
        </w:rPr>
      </w:pPr>
      <w:r w:rsidRPr="00570B70">
        <w:rPr>
          <w:rFonts w:cstheme="minorHAnsi"/>
          <w:b/>
          <w:sz w:val="28"/>
          <w:szCs w:val="28"/>
          <w:u w:val="single"/>
        </w:rPr>
        <w:t>Ieguvumi sabiedrībai un tautsaimniecībai</w:t>
      </w:r>
    </w:p>
    <w:p w14:paraId="4D4CF27A" w14:textId="77777777" w:rsidR="002D799E" w:rsidRPr="00570B70" w:rsidRDefault="002D799E" w:rsidP="00847BE3">
      <w:pPr>
        <w:pStyle w:val="ListParagraph"/>
        <w:numPr>
          <w:ilvl w:val="0"/>
          <w:numId w:val="30"/>
        </w:numPr>
        <w:shd w:val="clear" w:color="auto" w:fill="E7E6E6" w:themeFill="background2"/>
        <w:spacing w:before="120" w:after="120" w:line="240" w:lineRule="auto"/>
        <w:ind w:left="397" w:hanging="397"/>
        <w:contextualSpacing w:val="0"/>
        <w:rPr>
          <w:rFonts w:cstheme="minorHAnsi"/>
          <w:i/>
          <w:iCs/>
          <w:szCs w:val="24"/>
        </w:rPr>
      </w:pPr>
      <w:r w:rsidRPr="00570B70">
        <w:rPr>
          <w:rFonts w:cstheme="minorHAnsi"/>
          <w:i/>
          <w:iCs/>
          <w:szCs w:val="24"/>
        </w:rPr>
        <w:t>energoresursu racionāla izmantošana un pārvaldība</w:t>
      </w:r>
    </w:p>
    <w:p w14:paraId="1BFF19F3" w14:textId="77777777" w:rsidR="002D799E" w:rsidRPr="00570B70" w:rsidRDefault="002D799E" w:rsidP="00847BE3">
      <w:pPr>
        <w:pStyle w:val="ListParagraph"/>
        <w:numPr>
          <w:ilvl w:val="0"/>
          <w:numId w:val="30"/>
        </w:numPr>
        <w:shd w:val="clear" w:color="auto" w:fill="E7E6E6" w:themeFill="background2"/>
        <w:spacing w:before="120" w:after="120" w:line="240" w:lineRule="auto"/>
        <w:ind w:left="397" w:hanging="397"/>
        <w:contextualSpacing w:val="0"/>
        <w:rPr>
          <w:rFonts w:cstheme="minorHAnsi"/>
          <w:i/>
          <w:iCs/>
          <w:szCs w:val="24"/>
        </w:rPr>
      </w:pPr>
      <w:r w:rsidRPr="00570B70">
        <w:rPr>
          <w:rFonts w:cstheme="minorHAnsi"/>
          <w:i/>
          <w:iCs/>
          <w:szCs w:val="24"/>
        </w:rPr>
        <w:t>ekonomikas konkurētspējas pieaugums</w:t>
      </w:r>
    </w:p>
    <w:p w14:paraId="24933AC6" w14:textId="77777777" w:rsidR="002D799E" w:rsidRPr="00570B70" w:rsidRDefault="002D799E" w:rsidP="00847BE3">
      <w:pPr>
        <w:pStyle w:val="ListParagraph"/>
        <w:numPr>
          <w:ilvl w:val="0"/>
          <w:numId w:val="30"/>
        </w:numPr>
        <w:shd w:val="clear" w:color="auto" w:fill="E7E6E6" w:themeFill="background2"/>
        <w:spacing w:before="120" w:after="120" w:line="240" w:lineRule="auto"/>
        <w:ind w:left="397" w:hanging="397"/>
        <w:contextualSpacing w:val="0"/>
        <w:rPr>
          <w:rFonts w:cstheme="minorHAnsi"/>
          <w:i/>
          <w:iCs/>
          <w:szCs w:val="24"/>
        </w:rPr>
      </w:pPr>
      <w:r w:rsidRPr="00570B70">
        <w:rPr>
          <w:rFonts w:cstheme="minorHAnsi"/>
          <w:i/>
          <w:iCs/>
          <w:szCs w:val="24"/>
        </w:rPr>
        <w:t>samazinātas izmaksas par enerģiju, kur ietaupītos līdzekļus ir iespējams ieguldīt attīstībā un komforta uzlabojumos</w:t>
      </w:r>
    </w:p>
    <w:p w14:paraId="3F4279F3" w14:textId="77777777" w:rsidR="002D799E" w:rsidRPr="00570B70" w:rsidRDefault="002D799E" w:rsidP="00847BE3">
      <w:pPr>
        <w:pStyle w:val="ListParagraph"/>
        <w:numPr>
          <w:ilvl w:val="0"/>
          <w:numId w:val="30"/>
        </w:numPr>
        <w:shd w:val="clear" w:color="auto" w:fill="E7E6E6" w:themeFill="background2"/>
        <w:spacing w:before="120" w:after="120" w:line="240" w:lineRule="auto"/>
        <w:ind w:left="397" w:hanging="397"/>
        <w:contextualSpacing w:val="0"/>
        <w:rPr>
          <w:rFonts w:cstheme="minorHAnsi"/>
          <w:i/>
          <w:iCs/>
          <w:szCs w:val="24"/>
        </w:rPr>
      </w:pPr>
      <w:r w:rsidRPr="00570B70">
        <w:rPr>
          <w:rFonts w:cstheme="minorHAnsi"/>
          <w:i/>
          <w:iCs/>
          <w:szCs w:val="24"/>
        </w:rPr>
        <w:t xml:space="preserve">samazināta ietekme uz vidi un klimata pārmaiņām  </w:t>
      </w:r>
    </w:p>
    <w:p w14:paraId="744D25B5" w14:textId="1C1F4CD1" w:rsidR="002D799E" w:rsidRDefault="002D799E" w:rsidP="002D799E">
      <w:pPr>
        <w:spacing w:before="120" w:after="120" w:line="240" w:lineRule="auto"/>
        <w:jc w:val="both"/>
        <w:rPr>
          <w:rFonts w:cstheme="minorHAnsi"/>
          <w:b/>
          <w:i/>
          <w:sz w:val="28"/>
          <w:szCs w:val="28"/>
          <w:u w:val="single"/>
        </w:rPr>
      </w:pPr>
      <w:r w:rsidRPr="009A5B56">
        <w:rPr>
          <w:rFonts w:cstheme="minorHAnsi"/>
          <w:b/>
          <w:i/>
          <w:sz w:val="28"/>
          <w:szCs w:val="28"/>
          <w:u w:val="single"/>
        </w:rPr>
        <w:t xml:space="preserve">Galvenie </w:t>
      </w:r>
      <w:r w:rsidR="00204E50">
        <w:rPr>
          <w:rFonts w:cstheme="minorHAnsi"/>
          <w:b/>
          <w:i/>
          <w:sz w:val="28"/>
          <w:szCs w:val="28"/>
          <w:u w:val="single"/>
        </w:rPr>
        <w:t>problēmjautājumi</w:t>
      </w:r>
    </w:p>
    <w:p w14:paraId="4EAC8711" w14:textId="77777777" w:rsidR="002D799E" w:rsidRPr="002268C1" w:rsidRDefault="002D799E" w:rsidP="002D799E">
      <w:pPr>
        <w:spacing w:before="120" w:after="120" w:line="240" w:lineRule="auto"/>
        <w:jc w:val="both"/>
        <w:rPr>
          <w:rFonts w:cstheme="minorHAnsi"/>
          <w:color w:val="000000"/>
          <w:szCs w:val="24"/>
          <w:u w:val="single"/>
          <w:shd w:val="clear" w:color="auto" w:fill="FFFFFF"/>
        </w:rPr>
      </w:pPr>
      <w:r w:rsidRPr="002268C1">
        <w:rPr>
          <w:rFonts w:cstheme="minorHAnsi"/>
          <w:bCs/>
          <w:iCs/>
          <w:szCs w:val="24"/>
          <w:u w:val="single"/>
        </w:rPr>
        <w:t>1)</w:t>
      </w:r>
      <w:r w:rsidRPr="002268C1">
        <w:rPr>
          <w:rFonts w:cstheme="minorHAnsi"/>
          <w:color w:val="000000"/>
          <w:szCs w:val="24"/>
          <w:u w:val="single"/>
          <w:shd w:val="clear" w:color="auto" w:fill="FFFFFF"/>
        </w:rPr>
        <w:t xml:space="preserve"> </w:t>
      </w:r>
      <w:r w:rsidRPr="002268C1">
        <w:rPr>
          <w:rFonts w:cstheme="minorHAnsi"/>
          <w:b/>
          <w:bCs/>
          <w:color w:val="000000"/>
          <w:szCs w:val="24"/>
          <w:u w:val="single"/>
          <w:shd w:val="clear" w:color="auto" w:fill="FFFFFF"/>
        </w:rPr>
        <w:t>nepilnīga energoefektivitātes</w:t>
      </w:r>
      <w:r w:rsidRPr="002268C1">
        <w:rPr>
          <w:rFonts w:cstheme="minorHAnsi"/>
          <w:color w:val="000000"/>
          <w:szCs w:val="24"/>
          <w:u w:val="single"/>
          <w:shd w:val="clear" w:color="auto" w:fill="FFFFFF"/>
        </w:rPr>
        <w:t xml:space="preserve"> uzlabošanas nepieciešamības </w:t>
      </w:r>
      <w:r w:rsidRPr="002268C1">
        <w:rPr>
          <w:rFonts w:cstheme="minorHAnsi"/>
          <w:b/>
          <w:bCs/>
          <w:color w:val="000000"/>
          <w:szCs w:val="24"/>
          <w:u w:val="single"/>
          <w:shd w:val="clear" w:color="auto" w:fill="FFFFFF"/>
        </w:rPr>
        <w:t>vērā ņemšana</w:t>
      </w:r>
      <w:r w:rsidRPr="002268C1">
        <w:rPr>
          <w:rFonts w:cstheme="minorHAnsi"/>
          <w:color w:val="000000"/>
          <w:szCs w:val="24"/>
          <w:u w:val="single"/>
          <w:shd w:val="clear" w:color="auto" w:fill="FFFFFF"/>
        </w:rPr>
        <w:t xml:space="preserve"> politikas un investīciju plānošanā un īstenošanā</w:t>
      </w:r>
    </w:p>
    <w:p w14:paraId="4BC669D2" w14:textId="77777777" w:rsidR="002D799E" w:rsidRPr="00D32576" w:rsidRDefault="002D799E" w:rsidP="002D799E">
      <w:pPr>
        <w:spacing w:before="120" w:after="120" w:line="240" w:lineRule="auto"/>
        <w:jc w:val="both"/>
        <w:rPr>
          <w:rFonts w:cstheme="minorHAnsi"/>
          <w:color w:val="000000"/>
          <w:szCs w:val="24"/>
          <w:shd w:val="clear" w:color="auto" w:fill="FFFFFF"/>
        </w:rPr>
      </w:pPr>
      <w:r w:rsidRPr="00D32576">
        <w:rPr>
          <w:rFonts w:cstheme="minorHAnsi"/>
          <w:color w:val="000000"/>
          <w:szCs w:val="24"/>
          <w:shd w:val="clear" w:color="auto" w:fill="FFFFFF"/>
        </w:rPr>
        <w:t>Šobrīd “energoefektivitāte pirmajā vietā” princips nav ieviests Latvijas politikas plānošanas sistēmā un tas arī ļoti selektīvi tiek ņemts vērā investīciju plānošanā. Nozaru attīstības plānošana notiek nozaru nepieciešamības ietvaros un tāpēc bieži vien netiek izvērtētas iespējamās efektīvākās alternatīvas.</w:t>
      </w:r>
    </w:p>
    <w:p w14:paraId="15D6848B" w14:textId="77777777" w:rsidR="002D799E" w:rsidRPr="00D32576" w:rsidRDefault="002D799E" w:rsidP="002D799E">
      <w:pPr>
        <w:spacing w:before="120" w:after="120" w:line="240" w:lineRule="auto"/>
        <w:jc w:val="both"/>
        <w:rPr>
          <w:rFonts w:cstheme="minorHAnsi"/>
          <w:color w:val="000000"/>
          <w:szCs w:val="24"/>
          <w:shd w:val="clear" w:color="auto" w:fill="FFFFFF"/>
        </w:rPr>
      </w:pPr>
      <w:r w:rsidRPr="00D32576">
        <w:rPr>
          <w:rFonts w:cstheme="minorHAnsi"/>
          <w:color w:val="000000"/>
          <w:szCs w:val="24"/>
          <w:shd w:val="clear" w:color="auto" w:fill="FFFFFF"/>
        </w:rPr>
        <w:t>Ņemot vērā to, ka pasākumu plānošanā un īstenošanā netiek izvērtēts arī energoefektivitātes potenciāls un alternatīvas un netiek noteikts, ka pasākums cita starpā arī nodrošina energoefektivitātes uzlabošanu, tad bieži vien šādi pasākumi netiek īstenoti ar labākajiem pieejamiem un iespējamiem paņēmieniem un tehnoloģijām.</w:t>
      </w:r>
    </w:p>
    <w:p w14:paraId="61A78782" w14:textId="77777777" w:rsidR="002D799E" w:rsidRPr="002268C1" w:rsidRDefault="002D799E" w:rsidP="002D799E">
      <w:pPr>
        <w:spacing w:before="120" w:after="120" w:line="240" w:lineRule="auto"/>
        <w:jc w:val="both"/>
        <w:rPr>
          <w:rFonts w:cstheme="minorHAnsi"/>
          <w:szCs w:val="24"/>
          <w:u w:val="single"/>
        </w:rPr>
      </w:pPr>
      <w:r w:rsidRPr="002268C1">
        <w:rPr>
          <w:rFonts w:cstheme="minorHAnsi"/>
          <w:szCs w:val="24"/>
          <w:u w:val="single"/>
        </w:rPr>
        <w:t xml:space="preserve">2) </w:t>
      </w:r>
      <w:r w:rsidRPr="002268C1">
        <w:rPr>
          <w:rFonts w:cstheme="minorHAnsi"/>
          <w:b/>
          <w:bCs/>
          <w:szCs w:val="24"/>
          <w:u w:val="single"/>
        </w:rPr>
        <w:t>neefektīva</w:t>
      </w:r>
      <w:r w:rsidRPr="002268C1">
        <w:rPr>
          <w:rFonts w:cstheme="minorHAnsi"/>
          <w:szCs w:val="24"/>
          <w:u w:val="single"/>
        </w:rPr>
        <w:t xml:space="preserve"> </w:t>
      </w:r>
      <w:r w:rsidRPr="002268C1">
        <w:rPr>
          <w:rFonts w:cstheme="minorHAnsi"/>
          <w:b/>
          <w:bCs/>
          <w:szCs w:val="24"/>
          <w:u w:val="single"/>
        </w:rPr>
        <w:t>EPS un vienošanos</w:t>
      </w:r>
      <w:r w:rsidRPr="002268C1">
        <w:rPr>
          <w:rFonts w:cstheme="minorHAnsi"/>
          <w:szCs w:val="24"/>
          <w:u w:val="single"/>
        </w:rPr>
        <w:t xml:space="preserve"> par energoefektivitātes uzlabošanu </w:t>
      </w:r>
      <w:r w:rsidRPr="002268C1">
        <w:rPr>
          <w:rFonts w:cstheme="minorHAnsi"/>
          <w:b/>
          <w:bCs/>
          <w:szCs w:val="24"/>
          <w:u w:val="single"/>
        </w:rPr>
        <w:t>īstenošana</w:t>
      </w:r>
    </w:p>
    <w:p w14:paraId="73067D36" w14:textId="77777777" w:rsidR="002D799E" w:rsidRPr="002268C1" w:rsidRDefault="002D799E" w:rsidP="002D799E">
      <w:pPr>
        <w:spacing w:before="120" w:after="120" w:line="240" w:lineRule="auto"/>
        <w:jc w:val="both"/>
        <w:rPr>
          <w:rFonts w:cstheme="minorHAnsi"/>
          <w:szCs w:val="24"/>
          <w:shd w:val="clear" w:color="auto" w:fill="FFFFFF"/>
        </w:rPr>
      </w:pPr>
      <w:r w:rsidRPr="002268C1">
        <w:rPr>
          <w:rFonts w:cstheme="minorHAnsi"/>
          <w:szCs w:val="24"/>
        </w:rPr>
        <w:t xml:space="preserve">EPS viens no politikas pasākumiem, ar kuru palīdzību enerģijas mazumtirgotājus var iesaistīt energoefektivitātes jautājumu risināšanā. EPS ietvaros atbildīgajām pusēm pienākuma izpildei ir jāveic pasākumi, kuros tiek uzlabota energoefektivitāte un gūti enerģijas ietaupījumi gala patērētāju ēkās, iekārtās un transportā, kā arī noteiktā apjomā jāveic pasākumi enerģētikas nabadzības skartajos patērētājos. Šobrīd EPS ir attiecināma tikai uz elektroenerģijas </w:t>
      </w:r>
      <w:r w:rsidRPr="002268C1">
        <w:rPr>
          <w:rFonts w:cstheme="minorHAnsi"/>
          <w:szCs w:val="24"/>
          <w:shd w:val="clear" w:color="auto" w:fill="FFFFFF"/>
        </w:rPr>
        <w:t>mazumtirdzniecības komersantiem, kas ir tikai 14 komersanti, lai gan būtu jāattiecina uz lielākajiem enerģijas piegādātājiem, nespecificējot piegādātās enerģijas veidu. Ņemot vērā šā brīža EPS nosacījumus ar to ir aptverts nebūtisks enerģijas piegādātāju skaits, līdz ar to arī obligāts pienākums īstenot energoefektivitātes uzlabošanas pasākumus gan savā darbībā, gan savu klientu darbībā attiecas tikai uz nelielu skaitu komersantu.</w:t>
      </w:r>
    </w:p>
    <w:p w14:paraId="5AFE6B8A" w14:textId="77777777" w:rsidR="002D799E" w:rsidRPr="00F34872" w:rsidRDefault="002D799E" w:rsidP="002D799E">
      <w:pPr>
        <w:spacing w:before="120" w:after="120" w:line="240" w:lineRule="auto"/>
        <w:jc w:val="both"/>
        <w:rPr>
          <w:rFonts w:cstheme="minorHAnsi"/>
          <w:szCs w:val="24"/>
        </w:rPr>
      </w:pPr>
      <w:r w:rsidRPr="002268C1">
        <w:rPr>
          <w:rFonts w:cstheme="minorHAnsi"/>
          <w:szCs w:val="24"/>
          <w:shd w:val="clear" w:color="auto" w:fill="FFFFFF"/>
        </w:rPr>
        <w:t xml:space="preserve">Tāpat arī vienošanos par energoefektivitātes uzlabošanu noslēgšana šobrīd tiek noslēgta uz brīvprātības principa, līdz ar to šādas vienošanās noslēgtas ir tikai divas, kas tika noslēgtas dēļ </w:t>
      </w:r>
      <w:r w:rsidRPr="00F34872">
        <w:rPr>
          <w:rFonts w:cstheme="minorHAnsi"/>
          <w:szCs w:val="24"/>
          <w:shd w:val="clear" w:color="auto" w:fill="FFFFFF"/>
        </w:rPr>
        <w:t>vienošanās noslēdzēju aktīvas iesaistīšanās un vēlmes uzlabot situāciju ar energoefektivitāti. Noslēgto vienošanos skaits ir nebūtisks dēļ tās brīvprātības principa un dēļ tā, ka tās ietvaros vienošanās noslēdzējiem nav redzami vai pieejami kādi papildu ieguvumi, kas atsvērtu ieguldītos resursu</w:t>
      </w:r>
    </w:p>
    <w:p w14:paraId="2C131B4B" w14:textId="66AEF407" w:rsidR="002D799E" w:rsidRPr="001B3D3B" w:rsidRDefault="00B12E83" w:rsidP="002D799E">
      <w:pPr>
        <w:spacing w:before="120" w:after="120" w:line="240" w:lineRule="auto"/>
        <w:rPr>
          <w:rFonts w:cstheme="minorHAnsi"/>
          <w:szCs w:val="24"/>
          <w:u w:val="single"/>
        </w:rPr>
      </w:pPr>
      <w:r>
        <w:rPr>
          <w:rFonts w:cstheme="minorHAnsi"/>
          <w:szCs w:val="24"/>
          <w:u w:val="single"/>
        </w:rPr>
        <w:t>3</w:t>
      </w:r>
      <w:r w:rsidR="002D799E" w:rsidRPr="001B3D3B">
        <w:rPr>
          <w:rFonts w:cstheme="minorHAnsi"/>
          <w:szCs w:val="24"/>
          <w:u w:val="single"/>
        </w:rPr>
        <w:t xml:space="preserve">) </w:t>
      </w:r>
      <w:r w:rsidR="002D799E" w:rsidRPr="001B3D3B">
        <w:rPr>
          <w:rFonts w:cstheme="minorHAnsi"/>
          <w:b/>
          <w:bCs/>
          <w:szCs w:val="24"/>
          <w:u w:val="single"/>
        </w:rPr>
        <w:t>nepilnīga</w:t>
      </w:r>
      <w:r w:rsidR="002D799E" w:rsidRPr="001B3D3B">
        <w:rPr>
          <w:rFonts w:cstheme="minorHAnsi"/>
          <w:szCs w:val="24"/>
          <w:u w:val="single"/>
        </w:rPr>
        <w:t xml:space="preserve"> energoefektivitātes </w:t>
      </w:r>
      <w:r w:rsidR="002D799E" w:rsidRPr="001B3D3B">
        <w:rPr>
          <w:rFonts w:cstheme="minorHAnsi"/>
          <w:b/>
          <w:bCs/>
          <w:szCs w:val="24"/>
          <w:u w:val="single"/>
        </w:rPr>
        <w:t>monitoringa</w:t>
      </w:r>
      <w:r w:rsidR="002D799E" w:rsidRPr="001B3D3B">
        <w:rPr>
          <w:rFonts w:cstheme="minorHAnsi"/>
          <w:szCs w:val="24"/>
          <w:u w:val="single"/>
        </w:rPr>
        <w:t xml:space="preserve"> sistēma</w:t>
      </w:r>
    </w:p>
    <w:p w14:paraId="740AE123" w14:textId="77777777" w:rsidR="002D799E" w:rsidRDefault="002D799E" w:rsidP="00204E50">
      <w:pPr>
        <w:spacing w:before="120" w:after="120" w:line="240" w:lineRule="auto"/>
        <w:jc w:val="both"/>
        <w:rPr>
          <w:rFonts w:cstheme="minorHAnsi"/>
          <w:szCs w:val="24"/>
        </w:rPr>
      </w:pPr>
      <w:r w:rsidRPr="00F34872">
        <w:rPr>
          <w:rFonts w:cstheme="minorHAnsi"/>
          <w:szCs w:val="24"/>
        </w:rPr>
        <w:t>Šobrīd energoefektivitātes monitoringa sistēma ir izveidota pārāk smagnēja, kur energoefektivitātes uzlabošanas pasākumu veicējam izdevumi un apgrūtinājumu no ziņošanas ir vairāk nekā ieguvumu no pasākumu veikšanas. Ziņojumu sagatavošana un iesniegšana papīra formātā, neizmantojot tiešsaistes ziņošanas rīkus apgrūtina ziņojumu sagatavošanu un iesniegšanu, īpaši privātpersonām.</w:t>
      </w:r>
      <w:r>
        <w:rPr>
          <w:rFonts w:cstheme="minorHAnsi"/>
          <w:szCs w:val="24"/>
        </w:rPr>
        <w:t xml:space="preserve"> </w:t>
      </w:r>
      <w:r w:rsidRPr="00F34872">
        <w:rPr>
          <w:rFonts w:cstheme="minorHAnsi"/>
          <w:szCs w:val="24"/>
        </w:rPr>
        <w:t xml:space="preserve">Tāpat arī nav noteikts obligāts (vēlams) pienākums par veiktajiem energoefektivitātes uzlabošanas pasākumiem ziņot visiem pasākumu veicējiem, arī tiem, kas šos pasākumus veic, neizmantojot publisko vai ES fondu nodrošināto finansējumu. </w:t>
      </w:r>
    </w:p>
    <w:p w14:paraId="2884255E" w14:textId="77777777" w:rsidR="002D799E" w:rsidRPr="00774D82" w:rsidRDefault="002D799E" w:rsidP="00204E50">
      <w:pPr>
        <w:shd w:val="clear" w:color="auto" w:fill="E7E6E6" w:themeFill="background2"/>
        <w:spacing w:before="120" w:after="120" w:line="240" w:lineRule="auto"/>
        <w:rPr>
          <w:rFonts w:cstheme="minorHAnsi"/>
          <w:b/>
          <w:i/>
          <w:iCs/>
          <w:szCs w:val="24"/>
        </w:rPr>
      </w:pPr>
      <w:r w:rsidRPr="00774D82">
        <w:rPr>
          <w:rFonts w:cstheme="minorHAnsi"/>
          <w:b/>
          <w:i/>
          <w:iCs/>
          <w:sz w:val="28"/>
          <w:szCs w:val="28"/>
        </w:rPr>
        <w:t xml:space="preserve">Galvenais rīcības virziens </w:t>
      </w:r>
      <w:r w:rsidRPr="00774D82">
        <w:rPr>
          <w:rFonts w:cstheme="minorHAnsi"/>
          <w:b/>
          <w:i/>
          <w:iCs/>
        </w:rPr>
        <w:t>(horizontāls rīcības virziens)</w:t>
      </w:r>
    </w:p>
    <w:p w14:paraId="709A3CA5" w14:textId="77777777" w:rsidR="002D799E" w:rsidRPr="001B3D3B" w:rsidRDefault="002D799E" w:rsidP="002D799E">
      <w:pPr>
        <w:shd w:val="clear" w:color="auto" w:fill="E7E6E6" w:themeFill="background2"/>
        <w:spacing w:before="120" w:after="120" w:line="240" w:lineRule="auto"/>
        <w:jc w:val="both"/>
        <w:rPr>
          <w:rFonts w:cstheme="minorHAnsi"/>
          <w:b/>
          <w:szCs w:val="24"/>
          <w:u w:val="single"/>
        </w:rPr>
      </w:pPr>
      <w:r w:rsidRPr="001B3D3B">
        <w:rPr>
          <w:rFonts w:cstheme="minorHAnsi"/>
          <w:b/>
          <w:szCs w:val="24"/>
          <w:u w:val="single"/>
        </w:rPr>
        <w:t>Energoefektivitātes uzlabošanas efektīva un visaptveroša ievērošana un īstenošana gan tautsaimniecības nozarēs, gan sabiedrībā</w:t>
      </w:r>
    </w:p>
    <w:p w14:paraId="1B01DFA0" w14:textId="77777777" w:rsidR="002D799E" w:rsidRPr="00317AE5" w:rsidRDefault="002D799E" w:rsidP="002D799E">
      <w:pPr>
        <w:spacing w:after="120" w:line="240" w:lineRule="auto"/>
        <w:jc w:val="both"/>
        <w:rPr>
          <w:rFonts w:cstheme="minorHAnsi"/>
          <w:b/>
          <w:i/>
          <w:sz w:val="28"/>
          <w:szCs w:val="28"/>
          <w:u w:val="single"/>
        </w:rPr>
      </w:pPr>
      <w:r w:rsidRPr="00317AE5">
        <w:rPr>
          <w:rFonts w:cstheme="minorHAnsi"/>
          <w:b/>
          <w:i/>
          <w:sz w:val="28"/>
          <w:szCs w:val="28"/>
          <w:u w:val="single"/>
        </w:rPr>
        <w:t>Galvenās rīcības un pasākumi</w:t>
      </w:r>
    </w:p>
    <w:p w14:paraId="31ECB612" w14:textId="77777777" w:rsidR="002D799E" w:rsidRPr="00317AE5" w:rsidRDefault="002D799E" w:rsidP="002D799E">
      <w:pPr>
        <w:spacing w:before="120" w:after="120" w:line="240" w:lineRule="auto"/>
        <w:jc w:val="both"/>
        <w:rPr>
          <w:rFonts w:cstheme="minorHAnsi"/>
          <w:szCs w:val="24"/>
          <w:u w:val="single"/>
        </w:rPr>
      </w:pPr>
      <w:r w:rsidRPr="00317AE5">
        <w:rPr>
          <w:rFonts w:cstheme="minorHAnsi"/>
          <w:szCs w:val="24"/>
          <w:u w:val="single"/>
        </w:rPr>
        <w:t xml:space="preserve">1) Visaptveroši </w:t>
      </w:r>
      <w:r w:rsidRPr="00317AE5">
        <w:rPr>
          <w:rFonts w:cstheme="minorHAnsi"/>
          <w:b/>
          <w:bCs/>
          <w:szCs w:val="24"/>
          <w:u w:val="single"/>
        </w:rPr>
        <w:t>ieviest un īstenot “energoefektivitāte pirmajā vietā” principu</w:t>
      </w:r>
      <w:r w:rsidRPr="00317AE5">
        <w:rPr>
          <w:rFonts w:cstheme="minorHAnsi"/>
          <w:szCs w:val="24"/>
          <w:u w:val="single"/>
        </w:rPr>
        <w:t xml:space="preserve">  (</w:t>
      </w:r>
      <w:r>
        <w:rPr>
          <w:rFonts w:cstheme="minorHAnsi"/>
          <w:szCs w:val="24"/>
          <w:u w:val="single"/>
        </w:rPr>
        <w:t xml:space="preserve">H.1 </w:t>
      </w:r>
      <w:r w:rsidRPr="00317AE5">
        <w:rPr>
          <w:rFonts w:cstheme="minorHAnsi"/>
          <w:szCs w:val="24"/>
          <w:u w:val="single"/>
        </w:rPr>
        <w:t>pasākums)</w:t>
      </w:r>
    </w:p>
    <w:p w14:paraId="6111AC2D" w14:textId="77777777" w:rsidR="002D799E" w:rsidRPr="00317AE5" w:rsidRDefault="002D799E" w:rsidP="002D799E">
      <w:pPr>
        <w:spacing w:before="120" w:after="120" w:line="240" w:lineRule="auto"/>
        <w:jc w:val="both"/>
        <w:rPr>
          <w:rFonts w:cstheme="minorHAnsi"/>
          <w:szCs w:val="24"/>
        </w:rPr>
      </w:pPr>
      <w:r w:rsidRPr="00317AE5">
        <w:rPr>
          <w:rFonts w:cstheme="minorHAnsi"/>
          <w:szCs w:val="24"/>
        </w:rPr>
        <w:t>“Energoefektivitāte pirmajā vietā” nozīmē, ka pirms nozares attīstības plānošanas, politiku noteikšanas un investīciju lēmumu apstiprināšanas ir jāizvērtē, vai minēto lēmumu mērķu sasniegšanu nevar nodrošināt ar alternatīviem līdzekļiem, piemēram – izmaksefektīvs enerģijas galapatēriņa ietaupījums, pieprasījuma reakcijas iniciatīvas un efektīvāka enerģijas pārveide, pārvade un sadale, kas ir izmaksefektīvi, tehniski, ekonomiski un videi nekaitīgi un kas vienlaikus joprojām nodrošina attiecīgo lēmumu mērķu sasniegšanu</w:t>
      </w:r>
    </w:p>
    <w:p w14:paraId="7E0719CE" w14:textId="77777777" w:rsidR="002D799E" w:rsidRDefault="002D799E" w:rsidP="002D799E">
      <w:pPr>
        <w:spacing w:before="120" w:after="120" w:line="240" w:lineRule="auto"/>
        <w:jc w:val="both"/>
        <w:rPr>
          <w:rFonts w:cstheme="minorHAnsi"/>
          <w:color w:val="000000"/>
          <w:szCs w:val="24"/>
          <w:shd w:val="clear" w:color="auto" w:fill="FFFFFF"/>
        </w:rPr>
      </w:pPr>
      <w:r w:rsidRPr="00317AE5">
        <w:rPr>
          <w:rFonts w:cstheme="minorHAnsi"/>
          <w:szCs w:val="24"/>
        </w:rPr>
        <w:t>Tāpat ir ierosināts arī ņemt vērā “energoefektivitāte pirmajā vietā” principu ES un publisko fondu finansējuma apguves nosacījumos (</w:t>
      </w:r>
      <w:r w:rsidRPr="00317AE5">
        <w:rPr>
          <w:rFonts w:cstheme="minorHAnsi"/>
          <w:color w:val="000000"/>
          <w:szCs w:val="24"/>
          <w:shd w:val="clear" w:color="auto" w:fill="FFFFFF"/>
        </w:rPr>
        <w:t>visos pasākumos, kas tiek finansēti ES fondu vai citu publiska finansējuma avotu ievaros)</w:t>
      </w:r>
      <w:r w:rsidRPr="00317AE5">
        <w:rPr>
          <w:rFonts w:cstheme="minorHAnsi"/>
          <w:szCs w:val="24"/>
        </w:rPr>
        <w:t xml:space="preserve"> un nodokļu izmaiņu pasākumos, ja attiecināmi. Tādējādi šo pasākumu īstenošanā būs jāievēro </w:t>
      </w:r>
      <w:r w:rsidRPr="00317AE5">
        <w:rPr>
          <w:rFonts w:cstheme="minorHAnsi"/>
          <w:color w:val="000000"/>
          <w:szCs w:val="24"/>
          <w:shd w:val="clear" w:color="auto" w:fill="FFFFFF"/>
        </w:rPr>
        <w:t>energoefektivitātes uzlabošanas nodrošināšana – energoresursu izmantošanas efektivitāte, resursu izmantošanas samazināšana</w:t>
      </w:r>
      <w:r>
        <w:rPr>
          <w:rFonts w:cstheme="minorHAnsi"/>
          <w:color w:val="000000"/>
          <w:szCs w:val="24"/>
          <w:shd w:val="clear" w:color="auto" w:fill="FFFFFF"/>
        </w:rPr>
        <w:t>.</w:t>
      </w:r>
    </w:p>
    <w:p w14:paraId="7175DD68" w14:textId="77777777" w:rsidR="002D799E" w:rsidRPr="00AE73DD" w:rsidRDefault="002D799E" w:rsidP="002D799E">
      <w:pPr>
        <w:spacing w:before="120" w:after="120" w:line="240" w:lineRule="auto"/>
        <w:jc w:val="both"/>
        <w:rPr>
          <w:rFonts w:cstheme="minorHAnsi"/>
          <w:b/>
          <w:bCs/>
          <w:szCs w:val="24"/>
          <w:u w:val="single"/>
        </w:rPr>
      </w:pPr>
      <w:r w:rsidRPr="00AE73DD">
        <w:rPr>
          <w:rFonts w:cstheme="minorHAnsi"/>
          <w:color w:val="000000"/>
          <w:szCs w:val="24"/>
          <w:u w:val="single"/>
          <w:shd w:val="clear" w:color="auto" w:fill="FFFFFF"/>
        </w:rPr>
        <w:t xml:space="preserve">2) </w:t>
      </w:r>
      <w:r w:rsidRPr="00AE73DD">
        <w:rPr>
          <w:rFonts w:cstheme="minorHAnsi"/>
          <w:szCs w:val="24"/>
          <w:u w:val="single"/>
        </w:rPr>
        <w:t xml:space="preserve">Paplašināt </w:t>
      </w:r>
      <w:r w:rsidRPr="00AE73DD">
        <w:rPr>
          <w:rFonts w:cstheme="minorHAnsi"/>
          <w:b/>
          <w:bCs/>
          <w:szCs w:val="24"/>
          <w:u w:val="single"/>
        </w:rPr>
        <w:t xml:space="preserve">EPS un vienošanos par energoefektivitātes uzlabošanu </w:t>
      </w:r>
      <w:r w:rsidRPr="00AE73DD">
        <w:rPr>
          <w:rFonts w:cstheme="minorHAnsi"/>
          <w:szCs w:val="24"/>
          <w:u w:val="single"/>
        </w:rPr>
        <w:t>stiprināšana un paplašināšana</w:t>
      </w:r>
      <w:r w:rsidRPr="00AE73DD">
        <w:rPr>
          <w:rFonts w:cstheme="minorHAnsi"/>
          <w:b/>
          <w:bCs/>
          <w:szCs w:val="24"/>
          <w:u w:val="single"/>
        </w:rPr>
        <w:t xml:space="preserve"> </w:t>
      </w:r>
      <w:r w:rsidRPr="00AE73DD">
        <w:rPr>
          <w:rFonts w:cstheme="minorHAnsi"/>
          <w:szCs w:val="24"/>
          <w:u w:val="single"/>
        </w:rPr>
        <w:t>(H.2, H.3 pasākums)</w:t>
      </w:r>
    </w:p>
    <w:p w14:paraId="51BBDC6F" w14:textId="77777777" w:rsidR="002D799E" w:rsidRPr="00AE73DD" w:rsidRDefault="002D799E" w:rsidP="002D799E">
      <w:pPr>
        <w:spacing w:before="120" w:after="120" w:line="240" w:lineRule="auto"/>
        <w:jc w:val="both"/>
        <w:rPr>
          <w:rFonts w:eastAsia="Times New Roman" w:cstheme="minorHAnsi"/>
          <w:szCs w:val="24"/>
        </w:rPr>
      </w:pPr>
      <w:r w:rsidRPr="00AE73DD">
        <w:rPr>
          <w:rFonts w:cstheme="minorHAnsi"/>
          <w:szCs w:val="24"/>
        </w:rPr>
        <w:t xml:space="preserve">Lai nodrošinātu efektīvu EPS darbību un nodrošinātu, ka tās ietvaros atbildīgās puses īstenot efektīvu energoefektivitātes uzlabošanas pasākumus savā uzņēmumā vai pie saviem klientiem, periodā pēc 2021.gada tiek piedāvāts būtiski paplašināt EPS aptvērumu, kā EPS </w:t>
      </w:r>
      <w:r w:rsidRPr="00AE73DD">
        <w:rPr>
          <w:rFonts w:eastAsia="Times New Roman" w:cstheme="minorHAnsi"/>
          <w:szCs w:val="24"/>
        </w:rPr>
        <w:t>atbildīgās puses nosakot visus enerģijas (tai skaitā degvielas un kurināmā), tirgotājus, kuru pārdotais enerģijas apjoms kopā veido 90% no patērētajiem pārdotās enerģijas. Tādējādi EPS aptvertu gan siltumenerģijas piegādātājus, gan degvielas un kurināmā – transporta enerģija un dabasgāze, piegādātājus. Paredzams, ka šāds EPS aptvērums aptvertu apmēram 27 enerģijas piegādātājus, no kuriem 14 būtu transporta enerģijas piegādātāji, 3 siltumenerģijas piegādātāji, 3 dabasgāzes piegādātāji un 7 elektroenerģijas piegādātāji. Tāpat tiktu arī veicināti EPS atbildīgo pušu ieguldījumi ne tikai informatīvajos pasākumos, bet arī pasākumos, kas tieši ietekmētu enerģijas patēriņu, jo sevišķi uzņēmumos.</w:t>
      </w:r>
    </w:p>
    <w:p w14:paraId="2F047FB1" w14:textId="77777777" w:rsidR="002D799E" w:rsidRPr="00AE73DD" w:rsidRDefault="002D799E" w:rsidP="002D799E">
      <w:pPr>
        <w:spacing w:before="120" w:after="120" w:line="240" w:lineRule="auto"/>
        <w:jc w:val="both"/>
        <w:rPr>
          <w:rFonts w:cstheme="minorHAnsi"/>
          <w:szCs w:val="24"/>
        </w:rPr>
      </w:pPr>
      <w:r w:rsidRPr="00AE73DD">
        <w:rPr>
          <w:rFonts w:cstheme="minorHAnsi"/>
          <w:szCs w:val="24"/>
        </w:rPr>
        <w:t>Vairāku Eiropas valstu prakse apliecinājusi, ka brīvprātīgās vienošanās ir efektīvs instruments energoefektivitātes veicināšanai un enerģijas ietaupījumu iegūšanai, tomēr visos veiksmīgajos gadījumos, valsts ir sniegusi uzņēmumiem vai pašvaldībām atbalstu. Latvija attiecībā uz vienošanos stiprināšanu periodam pēc 2021.gada ir piedāvājusi rīkoties 3 virzienos:</w:t>
      </w:r>
    </w:p>
    <w:p w14:paraId="5AA37C52" w14:textId="77777777" w:rsidR="002D799E" w:rsidRPr="00AE73DD" w:rsidRDefault="002D799E" w:rsidP="00847BE3">
      <w:pPr>
        <w:pStyle w:val="ListParagraph"/>
        <w:numPr>
          <w:ilvl w:val="0"/>
          <w:numId w:val="32"/>
        </w:numPr>
        <w:spacing w:before="120" w:after="120" w:line="240" w:lineRule="auto"/>
        <w:ind w:left="397" w:hanging="397"/>
        <w:contextualSpacing w:val="0"/>
        <w:jc w:val="both"/>
        <w:rPr>
          <w:rFonts w:cstheme="minorHAnsi"/>
          <w:szCs w:val="24"/>
        </w:rPr>
      </w:pPr>
      <w:r w:rsidRPr="00AE73DD">
        <w:rPr>
          <w:rFonts w:cstheme="minorHAnsi"/>
          <w:szCs w:val="24"/>
        </w:rPr>
        <w:t>tiek piedāvāts saglabāt brīvprātīgo vienošanos noslēgšanas iespēju visiem, bet šādas vienošanās noteikt kā obligātas nacionālās nozīmes attīstības centriem un noteiktām administratīvajām teritorijām (piemēram, energointensīvajām teritorijām)</w:t>
      </w:r>
      <w:r>
        <w:rPr>
          <w:rFonts w:cstheme="minorHAnsi"/>
          <w:szCs w:val="24"/>
        </w:rPr>
        <w:t>;</w:t>
      </w:r>
    </w:p>
    <w:p w14:paraId="4CE53985" w14:textId="77777777" w:rsidR="002D799E" w:rsidRPr="00AE73DD" w:rsidRDefault="002D799E" w:rsidP="00847BE3">
      <w:pPr>
        <w:pStyle w:val="ListParagraph"/>
        <w:numPr>
          <w:ilvl w:val="0"/>
          <w:numId w:val="32"/>
        </w:numPr>
        <w:spacing w:before="120" w:after="120" w:line="240" w:lineRule="auto"/>
        <w:ind w:left="397" w:hanging="397"/>
        <w:contextualSpacing w:val="0"/>
        <w:jc w:val="both"/>
        <w:rPr>
          <w:rFonts w:cstheme="minorHAnsi"/>
          <w:szCs w:val="24"/>
        </w:rPr>
      </w:pPr>
      <w:r w:rsidRPr="00AE73DD">
        <w:rPr>
          <w:rFonts w:cstheme="minorHAnsi"/>
          <w:szCs w:val="24"/>
        </w:rPr>
        <w:t>Tiek piedāvāts paplašināt vienošanos aptvērumu arī uz AER izmantošanas veicināšanas pasākumiem;</w:t>
      </w:r>
    </w:p>
    <w:p w14:paraId="10DC7418" w14:textId="77777777" w:rsidR="002D799E" w:rsidRPr="00AE73DD" w:rsidRDefault="002D799E" w:rsidP="00847BE3">
      <w:pPr>
        <w:pStyle w:val="ListParagraph"/>
        <w:numPr>
          <w:ilvl w:val="0"/>
          <w:numId w:val="32"/>
        </w:numPr>
        <w:spacing w:before="120" w:after="120" w:line="240" w:lineRule="auto"/>
        <w:ind w:left="397" w:hanging="397"/>
        <w:contextualSpacing w:val="0"/>
        <w:jc w:val="both"/>
        <w:rPr>
          <w:rFonts w:cstheme="minorHAnsi"/>
          <w:szCs w:val="24"/>
        </w:rPr>
      </w:pPr>
      <w:r w:rsidRPr="00AE73DD">
        <w:rPr>
          <w:rFonts w:cstheme="minorHAnsi"/>
          <w:szCs w:val="24"/>
        </w:rPr>
        <w:t>Tiek piedāvāta finansējuma programma, kurā tiktu noteikti atbalsta veidi un pieejamā līdzfinansējuma apjomi tiem komersantiem vai pašvaldībām, kas būs noslēguši vienošanos, kur atbalsts tiktu sniegts gan pasākumu veikšanai, gan energokonsultanta darbībai, gan energopakalpojumu  veicināšanas pasākumiem.</w:t>
      </w:r>
    </w:p>
    <w:p w14:paraId="745E68D9" w14:textId="49D6A9BC" w:rsidR="002D799E" w:rsidRPr="004E1244" w:rsidRDefault="002D799E" w:rsidP="002D799E">
      <w:pPr>
        <w:spacing w:before="120" w:after="120" w:line="240" w:lineRule="auto"/>
        <w:jc w:val="both"/>
        <w:rPr>
          <w:rFonts w:cstheme="minorHAnsi"/>
          <w:szCs w:val="24"/>
          <w:u w:val="single"/>
        </w:rPr>
      </w:pPr>
      <w:r w:rsidRPr="004E1244">
        <w:rPr>
          <w:rFonts w:cstheme="minorHAnsi"/>
          <w:szCs w:val="24"/>
          <w:u w:val="single"/>
        </w:rPr>
        <w:t>3) privāto investīciju piesaiste un šķēršļu novēršana</w:t>
      </w:r>
      <w:r w:rsidR="00B17E49">
        <w:rPr>
          <w:rFonts w:cstheme="minorHAnsi"/>
          <w:szCs w:val="24"/>
          <w:u w:val="single"/>
        </w:rPr>
        <w:t>, finanšu mehānismu izveide (H.3, H.8</w:t>
      </w:r>
      <w:r w:rsidR="00217A1E">
        <w:rPr>
          <w:rFonts w:cstheme="minorHAnsi"/>
          <w:szCs w:val="24"/>
          <w:u w:val="single"/>
        </w:rPr>
        <w:t xml:space="preserve">, H.9 </w:t>
      </w:r>
      <w:r w:rsidR="00B17E49">
        <w:rPr>
          <w:rFonts w:cstheme="minorHAnsi"/>
          <w:szCs w:val="24"/>
          <w:u w:val="single"/>
        </w:rPr>
        <w:t>pasākums)</w:t>
      </w:r>
    </w:p>
    <w:p w14:paraId="1BA0B5B1" w14:textId="7A690CCC" w:rsidR="00B17E49" w:rsidRPr="001E2A9B" w:rsidRDefault="002D799E" w:rsidP="002D799E">
      <w:pPr>
        <w:spacing w:before="120" w:after="120" w:line="240" w:lineRule="auto"/>
        <w:jc w:val="both"/>
        <w:rPr>
          <w:rFonts w:eastAsia="Times New Roman" w:cstheme="minorHAnsi"/>
          <w:szCs w:val="24"/>
        </w:rPr>
      </w:pPr>
      <w:r w:rsidRPr="001E2A9B">
        <w:rPr>
          <w:rStyle w:val="Strong"/>
          <w:rFonts w:cstheme="minorHAnsi"/>
          <w:b w:val="0"/>
          <w:bCs w:val="0"/>
          <w:szCs w:val="24"/>
          <w:bdr w:val="none" w:sz="0" w:space="0" w:color="auto" w:frame="1"/>
          <w:shd w:val="clear" w:color="auto" w:fill="FFFFFF"/>
        </w:rPr>
        <w:t>Finanšu institūcija ALTUM turpinās attīstīt finanšu instrumentus energoefektivitātes projektu finansēšanai, tostarp,</w:t>
      </w:r>
      <w:r w:rsidRPr="001E2A9B">
        <w:rPr>
          <w:rStyle w:val="Strong"/>
          <w:rFonts w:cstheme="minorHAnsi"/>
          <w:szCs w:val="24"/>
          <w:bdr w:val="none" w:sz="0" w:space="0" w:color="auto" w:frame="1"/>
          <w:shd w:val="clear" w:color="auto" w:fill="FFFFFF"/>
        </w:rPr>
        <w:t xml:space="preserve"> </w:t>
      </w:r>
      <w:r w:rsidRPr="001E2A9B">
        <w:rPr>
          <w:rFonts w:cstheme="minorHAnsi"/>
          <w:spacing w:val="2"/>
          <w:szCs w:val="24"/>
          <w:shd w:val="clear" w:color="auto" w:fill="FEFEFE"/>
        </w:rPr>
        <w:t>aizdevumu programmu uzņēmuma energoefektivitātei un atjaunojamo energoresursu projektu ieviešanai.</w:t>
      </w:r>
      <w:r w:rsidR="00B12E83">
        <w:rPr>
          <w:rFonts w:cstheme="minorHAnsi"/>
          <w:spacing w:val="2"/>
          <w:szCs w:val="24"/>
          <w:shd w:val="clear" w:color="auto" w:fill="FEFEFE"/>
        </w:rPr>
        <w:t xml:space="preserve"> </w:t>
      </w:r>
      <w:r w:rsidR="00B17E49" w:rsidRPr="001E2A9B">
        <w:rPr>
          <w:rFonts w:cstheme="minorHAnsi"/>
          <w:spacing w:val="2"/>
          <w:szCs w:val="24"/>
          <w:shd w:val="clear" w:color="auto" w:fill="FEFEFE"/>
        </w:rPr>
        <w:t>Lai nodrošinātu</w:t>
      </w:r>
      <w:r w:rsidR="001E2A9B" w:rsidRPr="001E2A9B">
        <w:rPr>
          <w:rFonts w:cstheme="minorHAnsi"/>
          <w:spacing w:val="2"/>
          <w:szCs w:val="24"/>
          <w:shd w:val="clear" w:color="auto" w:fill="FEFEFE"/>
        </w:rPr>
        <w:t xml:space="preserve"> papildu mērķtiecīga finansējuma radīšanu un izlietošanu, Plānā tiek piedāvāts izveidot AER veicināšanas un energoefektivitātes uzlabošanas fondu, kurā varētu tikt novirzīti finanšu līdzekļi no ienākumiem, kas iegūti no ar enerģētiku saistītām darbībām – akcīzes nodokļa un DRN, kas piemērots enerģijas ieguvei izmantotajam kurināmajam un degvielai, gūtajiem ieņēmumiem no meža zemju izsolēm un valsts nekustamo īpašumu iznomāšanas vēja parku būvniecībai un AER statistikas tirgošanas citām valstīm, kur minētā fonda finansējums būtu izlietojams cita starpā arī AE kopienām un AER pasākumu finansēšanai pašvaldībās. Tāpat, lai veicinātu energoefektivitātes uzlabošanas pasākumu īstenošanas pievilcīgumu, Plānā tiek piedāvāts izvērtēt iespēju izstrādāt energoietaupījumu tirdzniecības iespējas, kur viens sistēmas dalībnieks varētu nodot otram dalībniekam savus energoietaupījumus, kas dalībnieks ir pārsniedzis sev noteiktos ietaupījumu mērķus.</w:t>
      </w:r>
    </w:p>
    <w:p w14:paraId="71ABC8B4" w14:textId="1ABDE9A4" w:rsidR="002D799E" w:rsidRPr="001E2A9B" w:rsidRDefault="002D799E" w:rsidP="002D799E">
      <w:pPr>
        <w:spacing w:before="120" w:after="120" w:line="240" w:lineRule="auto"/>
        <w:jc w:val="both"/>
        <w:rPr>
          <w:rFonts w:cstheme="minorHAnsi"/>
          <w:szCs w:val="24"/>
          <w:u w:val="single"/>
        </w:rPr>
      </w:pPr>
      <w:r w:rsidRPr="001E2A9B">
        <w:rPr>
          <w:rFonts w:cstheme="minorHAnsi"/>
          <w:szCs w:val="24"/>
          <w:u w:val="single"/>
        </w:rPr>
        <w:t xml:space="preserve">4) Pilnveidot un efektivizēt </w:t>
      </w:r>
      <w:r w:rsidRPr="001E2A9B">
        <w:rPr>
          <w:rFonts w:cstheme="minorHAnsi"/>
          <w:b/>
          <w:bCs/>
          <w:szCs w:val="24"/>
          <w:u w:val="single"/>
        </w:rPr>
        <w:t xml:space="preserve">energoefektivitātes monitoringu </w:t>
      </w:r>
      <w:r w:rsidRPr="001E2A9B">
        <w:rPr>
          <w:rFonts w:cstheme="minorHAnsi"/>
          <w:szCs w:val="24"/>
          <w:u w:val="single"/>
        </w:rPr>
        <w:t>(</w:t>
      </w:r>
      <w:r w:rsidR="00B17E49" w:rsidRPr="001E2A9B">
        <w:rPr>
          <w:rFonts w:cstheme="minorHAnsi"/>
          <w:szCs w:val="24"/>
          <w:u w:val="single"/>
        </w:rPr>
        <w:t xml:space="preserve"> H.4 </w:t>
      </w:r>
      <w:r w:rsidRPr="001E2A9B">
        <w:rPr>
          <w:rFonts w:cstheme="minorHAnsi"/>
          <w:szCs w:val="24"/>
          <w:u w:val="single"/>
        </w:rPr>
        <w:t>pasākums</w:t>
      </w:r>
      <w:r w:rsidR="00B17E49" w:rsidRPr="001E2A9B">
        <w:rPr>
          <w:rFonts w:cstheme="minorHAnsi"/>
          <w:szCs w:val="24"/>
          <w:u w:val="single"/>
        </w:rPr>
        <w:t>)</w:t>
      </w:r>
    </w:p>
    <w:p w14:paraId="663F935B" w14:textId="77777777" w:rsidR="002D799E" w:rsidRPr="004E1244" w:rsidRDefault="002D799E" w:rsidP="002D799E">
      <w:pPr>
        <w:spacing w:before="120" w:after="120" w:line="240" w:lineRule="auto"/>
        <w:jc w:val="both"/>
        <w:rPr>
          <w:rFonts w:cstheme="minorHAnsi"/>
          <w:szCs w:val="24"/>
          <w:shd w:val="clear" w:color="auto" w:fill="FFFFFF"/>
        </w:rPr>
      </w:pPr>
      <w:r w:rsidRPr="001E2A9B">
        <w:rPr>
          <w:rFonts w:cstheme="minorHAnsi"/>
          <w:szCs w:val="24"/>
        </w:rPr>
        <w:t xml:space="preserve">Energoefektivitātes monitoringa sistēmas </w:t>
      </w:r>
      <w:r w:rsidRPr="001E2A9B">
        <w:rPr>
          <w:rFonts w:cstheme="minorHAnsi"/>
          <w:szCs w:val="24"/>
          <w:shd w:val="clear" w:color="auto" w:fill="FFFFFF"/>
        </w:rPr>
        <w:t xml:space="preserve">mērķis ir apkopot un sistematizēt informāciju par visiem energoefektivitātes uzlabošanas pasākumiem, kas veikti valsts un pašvaldību politiku ietvaros, kā arī jebkuru citu ar energoefektivitātes uzlabošanu saistītu informāciju, lai kontrolētu virzību uz  valsts energoefektivitātes mērķu sasniegšanu. Šobrīd monitoringa sistēmā ir apkopota informācija no vairāk nekā 1500 informācijas sniedzēju par projektiem, kā arī aprēķini par informatīviem un regulējošiem pasākumiem, kuru ieviešana ir devusi enerģijas </w:t>
      </w:r>
      <w:r w:rsidRPr="004E1244">
        <w:rPr>
          <w:rFonts w:cstheme="minorHAnsi"/>
          <w:szCs w:val="24"/>
          <w:shd w:val="clear" w:color="auto" w:fill="FFFFFF"/>
        </w:rPr>
        <w:t>ietaupījumu galapatēriņā.</w:t>
      </w:r>
    </w:p>
    <w:p w14:paraId="3004EE8A" w14:textId="77777777" w:rsidR="002D799E" w:rsidRPr="004E1244" w:rsidRDefault="002D799E" w:rsidP="001E2A9B">
      <w:pPr>
        <w:spacing w:before="120" w:after="120" w:line="240" w:lineRule="auto"/>
        <w:jc w:val="both"/>
        <w:rPr>
          <w:rFonts w:cstheme="minorHAnsi"/>
          <w:szCs w:val="24"/>
        </w:rPr>
      </w:pPr>
      <w:r w:rsidRPr="004E1244">
        <w:rPr>
          <w:rFonts w:cstheme="minorHAnsi"/>
          <w:szCs w:val="24"/>
        </w:rPr>
        <w:t xml:space="preserve">Lai novērtētu energoefektivitātes pasākumu ieviešanas rezultātā iegūto enerģijas ietaupījumu, ir būtiski pilnveidot esošo energoefektivitātes monitoringa sistēmu. Svarīgs uzdevums ir nodrošināt, lai informācijas sniedzējiem būtu iespējams informāciju iesniegt elektroniski. Papildus nepieciešams pilnveidot esošās enerģijas ietaupījumu aprēķināšanas metodes, lai tās būtu viegli izmantojamas gan aprēķinos, gan ziņojumu sagatavošanai Eiropas Komisijai. </w:t>
      </w:r>
    </w:p>
    <w:p w14:paraId="483FEDDD" w14:textId="77777777" w:rsidR="002D799E" w:rsidRPr="00E2491C" w:rsidRDefault="002D799E" w:rsidP="001E2A9B">
      <w:pPr>
        <w:shd w:val="clear" w:color="auto" w:fill="E7E6E6" w:themeFill="background2"/>
        <w:spacing w:before="120" w:after="120" w:line="240" w:lineRule="auto"/>
        <w:jc w:val="both"/>
        <w:rPr>
          <w:rFonts w:ascii="Calibri" w:hAnsi="Calibri" w:cs="Times New Roman"/>
          <w:b/>
          <w:i/>
          <w:sz w:val="28"/>
          <w:szCs w:val="28"/>
        </w:rPr>
      </w:pPr>
      <w:bookmarkStart w:id="522" w:name="_Hlk18065984"/>
      <w:r w:rsidRPr="00E2491C">
        <w:rPr>
          <w:rFonts w:ascii="Calibri" w:hAnsi="Calibri" w:cs="Times New Roman"/>
          <w:b/>
          <w:i/>
          <w:sz w:val="28"/>
          <w:szCs w:val="28"/>
        </w:rPr>
        <w:t>Saistītie rīcības virzieni</w:t>
      </w:r>
    </w:p>
    <w:p w14:paraId="579506EF" w14:textId="0402903D" w:rsidR="002D799E" w:rsidRPr="00006BD7" w:rsidRDefault="003F78FD" w:rsidP="001E2A9B">
      <w:pPr>
        <w:shd w:val="clear" w:color="auto" w:fill="E7E6E6" w:themeFill="background2"/>
        <w:spacing w:before="120" w:after="120" w:line="240" w:lineRule="auto"/>
        <w:jc w:val="both"/>
        <w:rPr>
          <w:rFonts w:ascii="Times New Roman" w:hAnsi="Times New Roman" w:cs="Times New Roman"/>
          <w:sz w:val="28"/>
          <w:szCs w:val="28"/>
        </w:rPr>
      </w:pPr>
      <w:r w:rsidRPr="00E2491C">
        <w:rPr>
          <w:rFonts w:ascii="Calibri" w:hAnsi="Calibri"/>
          <w:noProof/>
          <w:lang w:eastAsia="lv-LV"/>
        </w:rPr>
        <mc:AlternateContent>
          <mc:Choice Requires="wps">
            <w:drawing>
              <wp:anchor distT="0" distB="0" distL="114300" distR="114300" simplePos="0" relativeHeight="251670528" behindDoc="0" locked="0" layoutInCell="1" allowOverlap="1" wp14:anchorId="6D56D17A" wp14:editId="195C854F">
                <wp:simplePos x="0" y="0"/>
                <wp:positionH relativeFrom="margin">
                  <wp:align>left</wp:align>
                </wp:positionH>
                <wp:positionV relativeFrom="paragraph">
                  <wp:posOffset>322580</wp:posOffset>
                </wp:positionV>
                <wp:extent cx="5779135" cy="552450"/>
                <wp:effectExtent l="0" t="0" r="0" b="0"/>
                <wp:wrapSquare wrapText="bothSides"/>
                <wp:docPr id="28" name="Rectangle: Single Corner Snipped 28"/>
                <wp:cNvGraphicFramePr/>
                <a:graphic xmlns:a="http://schemas.openxmlformats.org/drawingml/2006/main">
                  <a:graphicData uri="http://schemas.microsoft.com/office/word/2010/wordprocessingShape">
                    <wps:wsp>
                      <wps:cNvSpPr/>
                      <wps:spPr>
                        <a:xfrm>
                          <a:off x="0" y="0"/>
                          <a:ext cx="5779135" cy="552450"/>
                        </a:xfrm>
                        <a:prstGeom prst="snip1Rect">
                          <a:avLst/>
                        </a:prstGeom>
                        <a:solidFill>
                          <a:schemeClr val="accent6">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3ECB7C47" w14:textId="195053FD"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23" w:name="_Toc24408054"/>
                            <w:bookmarkStart w:id="524" w:name="_Toc24408113"/>
                            <w:r w:rsidRPr="0007326F">
                              <w:rPr>
                                <w:color w:val="FFFFFF" w:themeColor="background1"/>
                                <w:sz w:val="40"/>
                                <w:szCs w:val="40"/>
                              </w:rPr>
                              <w:t>Pētniecība un inovācija</w:t>
                            </w:r>
                            <w:bookmarkEnd w:id="523"/>
                            <w:bookmarkEnd w:id="5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6D17A" id="Rectangle: Single Corner Snipped 28" o:spid="_x0000_s1027" style="position:absolute;left:0;text-align:left;margin-left:0;margin-top:25.4pt;width:455.05pt;height:43.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" adj="-11796480,,5400" path="m,l5687058,r92077,92077l5779135,552450,,552450,,xe" fillcolor="#538135 [2409]" stroked="f" strokeweight="1pt">
                <v:stroke joinstyle="miter"/>
                <v:formulas/>
                <v:path arrowok="t" o:connecttype="custom" o:connectlocs="0,0;5687058,0;5779135,92077;5779135,552450;0,552450;0,0" o:connectangles="0,0,0,0,0,0" textboxrect="0,0,5779135,552450"/>
                <v:textbox>
                  <w:txbxContent>
                    <w:p w14:paraId="3ECB7C47" w14:textId="195053FD"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27" w:name="_Toc24408054"/>
                      <w:bookmarkStart w:id="528" w:name="_Toc24408113"/>
                      <w:r w:rsidRPr="0007326F">
                        <w:rPr>
                          <w:color w:val="FFFFFF" w:themeColor="background1"/>
                          <w:sz w:val="40"/>
                          <w:szCs w:val="40"/>
                        </w:rPr>
                        <w:t>Pētniecība un inovācija</w:t>
                      </w:r>
                      <w:bookmarkEnd w:id="527"/>
                      <w:bookmarkEnd w:id="528"/>
                    </w:p>
                  </w:txbxContent>
                </v:textbox>
                <w10:wrap type="square" anchorx="margin"/>
              </v:shape>
            </w:pict>
          </mc:Fallback>
        </mc:AlternateContent>
      </w:r>
      <w:r w:rsidR="002D799E">
        <w:rPr>
          <w:rFonts w:ascii="Calibri" w:hAnsi="Calibri" w:cs="Times New Roman"/>
          <w:bCs/>
          <w:iCs/>
          <w:szCs w:val="24"/>
        </w:rPr>
        <w:t>V</w:t>
      </w:r>
      <w:r w:rsidR="002D799E" w:rsidRPr="00E2491C">
        <w:rPr>
          <w:rFonts w:ascii="Calibri" w:hAnsi="Calibri" w:cs="Times New Roman"/>
          <w:bCs/>
          <w:iCs/>
          <w:szCs w:val="24"/>
        </w:rPr>
        <w:t>isi NEKP iekļautie rīcības virzieni</w:t>
      </w:r>
      <w:bookmarkEnd w:id="522"/>
    </w:p>
    <w:p w14:paraId="7A8EE8E7" w14:textId="0BC447C9" w:rsidR="003F78FD" w:rsidRPr="005A322C" w:rsidRDefault="003F78FD" w:rsidP="003F78FD">
      <w:pPr>
        <w:spacing w:before="120" w:after="120" w:line="240" w:lineRule="auto"/>
        <w:rPr>
          <w:rFonts w:ascii="Calibri" w:hAnsi="Calibri" w:cs="Times New Roman"/>
          <w:b/>
          <w:i/>
          <w:sz w:val="28"/>
          <w:szCs w:val="28"/>
          <w:u w:val="single"/>
        </w:rPr>
      </w:pPr>
      <w:bookmarkStart w:id="525" w:name="_Hlk14417825"/>
      <w:r w:rsidRPr="005A322C">
        <w:rPr>
          <w:rFonts w:ascii="Calibri" w:hAnsi="Calibri" w:cs="Times New Roman"/>
          <w:b/>
          <w:i/>
          <w:sz w:val="28"/>
          <w:szCs w:val="28"/>
          <w:u w:val="single"/>
        </w:rPr>
        <w:t>Esošā situācija</w:t>
      </w:r>
    </w:p>
    <w:p w14:paraId="6D801A25" w14:textId="77777777" w:rsidR="0022577A" w:rsidRPr="00BF1D0A" w:rsidRDefault="0022577A" w:rsidP="0022577A">
      <w:pPr>
        <w:pStyle w:val="Standard"/>
        <w:spacing w:before="120" w:after="120"/>
        <w:jc w:val="both"/>
        <w:rPr>
          <w:rFonts w:asciiTheme="minorHAnsi" w:hAnsiTheme="minorHAnsi" w:cstheme="minorHAnsi"/>
        </w:rPr>
      </w:pPr>
      <w:r w:rsidRPr="00BF1D0A">
        <w:rPr>
          <w:rFonts w:asciiTheme="minorHAnsi" w:eastAsia="Times New Roman" w:hAnsiTheme="minorHAnsi" w:cstheme="minorHAnsi"/>
        </w:rPr>
        <w:t xml:space="preserve">P&amp;I Latvijā tiek attīstīta saskaņā ar </w:t>
      </w:r>
      <w:r>
        <w:rPr>
          <w:rFonts w:asciiTheme="minorHAnsi" w:eastAsia="Times New Roman" w:hAnsiTheme="minorHAnsi" w:cstheme="minorHAnsi"/>
        </w:rPr>
        <w:t>nacionālo Viedās specializācijas stratēģiju (</w:t>
      </w:r>
      <w:r w:rsidRPr="00BF1D0A">
        <w:rPr>
          <w:rFonts w:asciiTheme="minorHAnsi" w:eastAsia="Times New Roman" w:hAnsiTheme="minorHAnsi" w:cstheme="minorHAnsi"/>
        </w:rPr>
        <w:t>RIS3</w:t>
      </w:r>
      <w:r>
        <w:rPr>
          <w:rFonts w:asciiTheme="minorHAnsi" w:eastAsia="Times New Roman" w:hAnsiTheme="minorHAnsi" w:cstheme="minorHAnsi"/>
        </w:rPr>
        <w:t>)</w:t>
      </w:r>
      <w:r w:rsidRPr="00BF1D0A">
        <w:rPr>
          <w:rFonts w:asciiTheme="minorHAnsi" w:eastAsia="Times New Roman" w:hAnsiTheme="minorHAnsi" w:cstheme="minorHAnsi"/>
        </w:rPr>
        <w:t xml:space="preserve"> </w:t>
      </w:r>
      <w:r w:rsidRPr="00BF1D0A">
        <w:rPr>
          <w:rFonts w:asciiTheme="minorHAnsi" w:hAnsiTheme="minorHAnsi" w:cstheme="minorHAnsi"/>
        </w:rPr>
        <w:t xml:space="preserve">piecās specializācijas jomās: </w:t>
      </w:r>
      <w:r w:rsidRPr="00BF1D0A">
        <w:rPr>
          <w:rFonts w:asciiTheme="minorHAnsi" w:hAnsiTheme="minorHAnsi" w:cstheme="minorHAnsi"/>
          <w:b/>
        </w:rPr>
        <w:t xml:space="preserve">viedā enerģētika; </w:t>
      </w:r>
      <w:r w:rsidRPr="00BF1D0A">
        <w:rPr>
          <w:rFonts w:asciiTheme="minorHAnsi" w:hAnsiTheme="minorHAnsi" w:cstheme="minorHAnsi"/>
        </w:rPr>
        <w:t>zināšanu ietilpīga bioekonomika; biomedicīna, medicīnas tehnoloģijas, biofarmācija un biotehnoloģijas; viedie materiāli, tehnoloģijas un inženiersistēmas; informācijas un komunikācijas tehnoloģijas.</w:t>
      </w:r>
    </w:p>
    <w:p w14:paraId="6677FA45" w14:textId="32ACF67E" w:rsidR="0022577A" w:rsidRPr="00BF1D0A" w:rsidRDefault="0022577A" w:rsidP="0022577A">
      <w:pPr>
        <w:spacing w:before="120" w:after="120" w:line="240" w:lineRule="auto"/>
        <w:jc w:val="both"/>
        <w:rPr>
          <w:rFonts w:eastAsia="Calibri" w:cstheme="minorHAnsi"/>
        </w:rPr>
      </w:pPr>
      <w:r w:rsidRPr="00BF1D0A">
        <w:rPr>
          <w:rFonts w:cstheme="minorHAnsi"/>
          <w:szCs w:val="24"/>
        </w:rPr>
        <w:t xml:space="preserve">RIS3 specializācijas joma „Viedā enerģētika” ietver tīro tehnoloģiju attīstīšanu jeb jaunu materiālu, inženiertehnoloģisko un digitālo risinājumu izpēti un attīstīšanu atjaunojamās enerģijas ieguvei, uzkrāšanai un integrēšanai energosistēmā, energoefektivitātes uzlabošanai būvniecībā un ražošanas procesu automatizācijai un optimizācijai, kā arī alternatīvo degvielu attīstīšanu transportam. Tīro tehnoloģiju sektora attīstība ir tiešā veidā saistīta ar P&amp;I kapacitāti – pētnieku un augsti kvalificētu speciālistu skaitu un publiskā un privātā sektora ieguldījumiem </w:t>
      </w:r>
      <w:r>
        <w:rPr>
          <w:rFonts w:cstheme="minorHAnsi"/>
          <w:szCs w:val="24"/>
        </w:rPr>
        <w:t>P&amp;I</w:t>
      </w:r>
      <w:r w:rsidRPr="00BF1D0A">
        <w:rPr>
          <w:rFonts w:cstheme="minorHAnsi"/>
          <w:szCs w:val="24"/>
        </w:rPr>
        <w:t>. No kopējā Latvijas zinātniskā personāla skaita (PLE), aptuveni 1000 jeb 18% ir saistīti ar pētniecību EnS prioritārajās jomās</w:t>
      </w:r>
      <w:r w:rsidRPr="00BF1D0A">
        <w:rPr>
          <w:rStyle w:val="FootnoteReference"/>
          <w:rFonts w:cstheme="minorHAnsi"/>
          <w:szCs w:val="24"/>
        </w:rPr>
        <w:footnoteReference w:id="147"/>
      </w:r>
      <w:r w:rsidRPr="00BF1D0A">
        <w:rPr>
          <w:rFonts w:cstheme="minorHAnsi"/>
          <w:szCs w:val="24"/>
        </w:rPr>
        <w:t xml:space="preserve"> </w:t>
      </w:r>
      <w:r>
        <w:rPr>
          <w:rFonts w:cstheme="minorHAnsi"/>
          <w:szCs w:val="24"/>
        </w:rPr>
        <w:t>–</w:t>
      </w:r>
      <w:r w:rsidRPr="00BF1D0A">
        <w:rPr>
          <w:rFonts w:cstheme="minorHAnsi"/>
          <w:szCs w:val="24"/>
        </w:rPr>
        <w:t xml:space="preserve"> enerģētika, būvniecība, klimats, vides inženiertehnoloģijas, taču pētniecībā tieši enerģētikas jomā darbojas tikai 8%. </w:t>
      </w:r>
      <w:r w:rsidRPr="00BF1D0A">
        <w:rPr>
          <w:rFonts w:eastAsia="Calibri" w:cstheme="minorHAnsi"/>
          <w:szCs w:val="24"/>
        </w:rPr>
        <w:t xml:space="preserve">2014.-2018. gada periodā „Viedās enerģētikas” jomas </w:t>
      </w:r>
      <w:r>
        <w:rPr>
          <w:rFonts w:eastAsia="Calibri" w:cstheme="minorHAnsi"/>
          <w:szCs w:val="24"/>
        </w:rPr>
        <w:t xml:space="preserve">P&amp;I aktivitātēs </w:t>
      </w:r>
      <w:r w:rsidRPr="00BF1D0A">
        <w:rPr>
          <w:rFonts w:eastAsia="Calibri" w:cstheme="minorHAnsi"/>
          <w:szCs w:val="24"/>
        </w:rPr>
        <w:t xml:space="preserve">ieguldīti 34,3 milj. </w:t>
      </w:r>
      <w:r w:rsidR="00A45809">
        <w:rPr>
          <w:rFonts w:cstheme="minorHAnsi"/>
          <w:szCs w:val="24"/>
        </w:rPr>
        <w:t>EUR</w:t>
      </w:r>
      <w:r w:rsidR="00A45809" w:rsidRPr="00BF1D0A">
        <w:rPr>
          <w:rFonts w:eastAsia="Calibri" w:cstheme="minorHAnsi"/>
          <w:szCs w:val="24"/>
        </w:rPr>
        <w:t xml:space="preserve"> </w:t>
      </w:r>
      <w:r w:rsidRPr="00BF1D0A">
        <w:rPr>
          <w:rFonts w:eastAsia="Calibri" w:cstheme="minorHAnsi"/>
          <w:szCs w:val="24"/>
        </w:rPr>
        <w:t>jeb 19,8% no kopējā RIS3 jomās piesaistītā P&amp;I finansējuma apjoma</w:t>
      </w:r>
      <w:r w:rsidRPr="00BF1D0A">
        <w:rPr>
          <w:rStyle w:val="FootnoteReference"/>
          <w:rFonts w:eastAsia="Calibri" w:cstheme="minorHAnsi"/>
          <w:szCs w:val="24"/>
        </w:rPr>
        <w:footnoteReference w:id="148"/>
      </w:r>
      <w:r w:rsidRPr="00BF1D0A">
        <w:rPr>
          <w:rFonts w:eastAsia="Calibri" w:cstheme="minorHAnsi"/>
          <w:szCs w:val="24"/>
        </w:rPr>
        <w:t>, veicinot kompetenču un jaunu tehnoloģisko risinājumu attīstīšanu gan energoefektivitātes uzlabošanai, gan viedo tīklu attīstīšanai un energosistēmu vadības efektivitātes uzlabošanai, gan alternatīvo degvielu un atjaunojamās enerģijas ieguves avotu izpētē un testēšanā.</w:t>
      </w:r>
      <w:r w:rsidRPr="00BF1D0A">
        <w:rPr>
          <w:rFonts w:eastAsia="Calibri" w:cstheme="minorHAnsi"/>
        </w:rPr>
        <w:t xml:space="preserve"> Katru gadu ar “Viedā enerģētika” jomu saistītajās studiju programmās studē vidēji tikai 4,5% no kopējā Latvijas studentu skaita, turklāt vērojama tendence, ka no visiem imatrikulētajiem bakalaura un maģistra studiju programmu studentiem tikai aptuveni 50% studijas pabeidz. Arī doktorantūras studentu vidū situācija ir līdzīga. </w:t>
      </w:r>
      <w:r>
        <w:rPr>
          <w:rFonts w:eastAsia="Calibri" w:cstheme="minorHAnsi"/>
        </w:rPr>
        <w:t xml:space="preserve">RIS3 specializācijas joma </w:t>
      </w:r>
      <w:r w:rsidRPr="00BF1D0A">
        <w:rPr>
          <w:rFonts w:eastAsia="Calibri" w:cstheme="minorHAnsi"/>
        </w:rPr>
        <w:t>„Viedā enerģētika” Latvijā ir ar izteikti lietišķu ievirzi, vērsta uz industrijai aktuālu problēmjautājumu risināšanu, tajā pašā laikā pētniecības izcilība un starptautiskā redzamība, atzītība, sadarbība un konkurētspējasalīdzinājumā starp Baltijas valstīm un ar ES-28 valstu vidējiem rādītājiem ir būtiski paaugstināma.</w:t>
      </w:r>
    </w:p>
    <w:p w14:paraId="23C91A96" w14:textId="424C66DE" w:rsidR="0022577A" w:rsidRPr="00BF1D0A" w:rsidRDefault="0022577A" w:rsidP="0022577A">
      <w:pPr>
        <w:spacing w:before="120" w:after="120" w:line="240" w:lineRule="auto"/>
        <w:jc w:val="both"/>
        <w:rPr>
          <w:rFonts w:cstheme="minorHAnsi"/>
          <w:szCs w:val="24"/>
        </w:rPr>
      </w:pPr>
      <w:r w:rsidRPr="00BF1D0A">
        <w:rPr>
          <w:rFonts w:eastAsia="Calibri" w:cstheme="minorHAnsi"/>
          <w:szCs w:val="24"/>
        </w:rPr>
        <w:t xml:space="preserve">Publiskajā sektorā pētniecības kompetence </w:t>
      </w:r>
      <w:r>
        <w:rPr>
          <w:rFonts w:eastAsia="Calibri" w:cstheme="minorHAnsi"/>
          <w:szCs w:val="24"/>
        </w:rPr>
        <w:t xml:space="preserve">RIS3 specializācijas jomā </w:t>
      </w:r>
      <w:r w:rsidRPr="00BF1D0A">
        <w:rPr>
          <w:rFonts w:eastAsia="Calibri" w:cstheme="minorHAnsi"/>
          <w:szCs w:val="24"/>
        </w:rPr>
        <w:t xml:space="preserve">„Viedā enerģētika” </w:t>
      </w:r>
      <w:r>
        <w:rPr>
          <w:rFonts w:eastAsia="Calibri" w:cstheme="minorHAnsi"/>
          <w:szCs w:val="24"/>
        </w:rPr>
        <w:t xml:space="preserve">ir </w:t>
      </w:r>
      <w:r w:rsidRPr="00BF1D0A">
        <w:rPr>
          <w:rFonts w:eastAsia="Calibri" w:cstheme="minorHAnsi"/>
          <w:szCs w:val="24"/>
        </w:rPr>
        <w:t xml:space="preserve">koncentrēta 1) </w:t>
      </w:r>
      <w:r>
        <w:rPr>
          <w:rFonts w:eastAsia="Calibri" w:cstheme="minorHAnsi"/>
          <w:szCs w:val="24"/>
        </w:rPr>
        <w:t>RTU</w:t>
      </w:r>
      <w:r w:rsidRPr="00BF1D0A">
        <w:rPr>
          <w:rFonts w:eastAsia="Calibri" w:cstheme="minorHAnsi"/>
          <w:szCs w:val="24"/>
        </w:rPr>
        <w:t xml:space="preserve">, 2) </w:t>
      </w:r>
      <w:r>
        <w:rPr>
          <w:rFonts w:eastAsia="Calibri" w:cstheme="minorHAnsi"/>
          <w:szCs w:val="24"/>
        </w:rPr>
        <w:t>Latvijas Universitātes Cietvielu fizikas institūtā un 3) LLU.</w:t>
      </w:r>
      <w:r w:rsidRPr="00BF1D0A">
        <w:rPr>
          <w:rFonts w:eastAsia="Calibri" w:cstheme="minorHAnsi"/>
          <w:szCs w:val="24"/>
        </w:rPr>
        <w:t xml:space="preserve"> </w:t>
      </w:r>
      <w:r w:rsidRPr="00BF1D0A">
        <w:rPr>
          <w:rFonts w:cstheme="minorHAnsi"/>
          <w:szCs w:val="24"/>
        </w:rPr>
        <w:t xml:space="preserve">Privātajā sektorā nozīmīgākie vides, zaļo un tīro tehnoloģiju un jaunu produktu risinājumi galvenokārt tiek attīstīti </w:t>
      </w:r>
      <w:r>
        <w:rPr>
          <w:rFonts w:cstheme="minorHAnsi"/>
          <w:szCs w:val="24"/>
        </w:rPr>
        <w:t>vairākos kompetences centru ietvaros –</w:t>
      </w:r>
      <w:r w:rsidRPr="00BF1D0A">
        <w:rPr>
          <w:rFonts w:cstheme="minorHAnsi"/>
          <w:szCs w:val="24"/>
        </w:rPr>
        <w:t xml:space="preserve"> Viedo inženiersistēmu, transporta un enerģētikas kompetences centrā</w:t>
      </w:r>
      <w:r>
        <w:rPr>
          <w:rFonts w:cstheme="minorHAnsi"/>
          <w:szCs w:val="24"/>
        </w:rPr>
        <w:t xml:space="preserve">, </w:t>
      </w:r>
      <w:r w:rsidRPr="00BF1D0A">
        <w:rPr>
          <w:rFonts w:cstheme="minorHAnsi"/>
          <w:szCs w:val="24"/>
        </w:rPr>
        <w:t>Viedo materiālu un tehnoloģiju kompetences centrā</w:t>
      </w:r>
      <w:r>
        <w:rPr>
          <w:rFonts w:cstheme="minorHAnsi"/>
          <w:szCs w:val="24"/>
        </w:rPr>
        <w:t xml:space="preserve">, </w:t>
      </w:r>
      <w:r w:rsidRPr="00BF1D0A">
        <w:rPr>
          <w:rFonts w:cstheme="minorHAnsi"/>
          <w:szCs w:val="24"/>
        </w:rPr>
        <w:t>Mašīnbūves kompetences centrā un Informācijas un komunikācijas tehnoloģijas kompetences centrā. Pozitīvu ietekmi uz komersantu, pētniecības organizāciju un citu ieinteresēto pušu sadarbības tīklu veidošanu, kā arī vienas nozares uzņēmumu vai starpnozaru projektu attīstīšanu tīro un zaļo tehnoloģiju jomā rada arī Latvijā izveidoti klasteri, piemēram, Zaļo un viedo tehnoloģiju klasteris, Latvijas koka būvniecības klasteris, Tīro tehnoloģiju klasteris, Viedās pilsētas klasteris.</w:t>
      </w:r>
    </w:p>
    <w:p w14:paraId="750DA715" w14:textId="77777777" w:rsidR="0022577A" w:rsidRPr="00F01A33" w:rsidRDefault="0022577A" w:rsidP="0022577A">
      <w:pPr>
        <w:spacing w:before="120" w:after="120" w:line="240" w:lineRule="auto"/>
        <w:jc w:val="both"/>
      </w:pPr>
      <w:r w:rsidRPr="00F01A33">
        <w:t xml:space="preserve">Pārskata periodā no 2014.-2016.gadam 30,3% no visiem Latvijas uzņēmumiem bija inovatīvi, turpretī ES valstīs šis rādītājs vidēji ir 50,6% (2014.-2016.gads; Eurostat). </w:t>
      </w:r>
      <w:r>
        <w:t>Tas saistīts ar to, ka</w:t>
      </w:r>
      <w:r w:rsidRPr="00BF1D0A">
        <w:t xml:space="preserve"> </w:t>
      </w:r>
      <w:r>
        <w:t xml:space="preserve">kopējā uzņēmumu struktūrā </w:t>
      </w:r>
      <w:r w:rsidRPr="00BF1D0A">
        <w:t xml:space="preserve">Latvijā </w:t>
      </w:r>
      <w:r>
        <w:t xml:space="preserve">dominē </w:t>
      </w:r>
      <w:r w:rsidRPr="00BF1D0A">
        <w:t>mikro</w:t>
      </w:r>
      <w:r>
        <w:t xml:space="preserve"> un</w:t>
      </w:r>
      <w:r w:rsidRPr="00BF1D0A">
        <w:t xml:space="preserve"> mazie uzņēmumi</w:t>
      </w:r>
      <w:r>
        <w:t>, kuriem ir ierobežota kapacitāte (finansējums, atbilstoši cilvēkresursi) investēt P&amp;I darbībās, kā arī šiem uzņēmumiem t</w:t>
      </w:r>
      <w:r w:rsidRPr="00F01A33">
        <w:t>rūkst izpratne par ieguldījumu P&amp;</w:t>
      </w:r>
      <w:r>
        <w:t xml:space="preserve">I </w:t>
      </w:r>
      <w:r w:rsidRPr="00F01A33">
        <w:t>ietekmi uz uzņēmuma konkurētspēju</w:t>
      </w:r>
      <w:r>
        <w:t>. Kopumā vērtējams, ka RIS3 jomā “Viedā enerģētika” darbojošos inovatīvo uzņēmumu skaits Latvijā veido ap 50 uzņēmumiem.</w:t>
      </w:r>
      <w:r w:rsidRPr="00BF1D0A">
        <w:t>.</w:t>
      </w:r>
    </w:p>
    <w:p w14:paraId="197BBBB4" w14:textId="77777777" w:rsidR="003F78FD" w:rsidRPr="00652FF2" w:rsidRDefault="003F78FD" w:rsidP="003F78FD">
      <w:pPr>
        <w:shd w:val="clear" w:color="auto" w:fill="E7E6E6" w:themeFill="background2"/>
        <w:spacing w:before="240" w:after="120" w:line="240" w:lineRule="auto"/>
        <w:rPr>
          <w:rFonts w:ascii="Calibri" w:hAnsi="Calibri" w:cs="Times New Roman"/>
          <w:b/>
          <w:sz w:val="28"/>
          <w:szCs w:val="28"/>
          <w:u w:val="single"/>
        </w:rPr>
      </w:pPr>
      <w:r w:rsidRPr="00652FF2">
        <w:rPr>
          <w:rFonts w:ascii="Calibri" w:hAnsi="Calibri" w:cs="Times New Roman"/>
          <w:b/>
          <w:sz w:val="28"/>
          <w:szCs w:val="28"/>
          <w:u w:val="single"/>
        </w:rPr>
        <w:t>Vēlamā situācija 2030.gadam:</w:t>
      </w:r>
    </w:p>
    <w:p w14:paraId="3ADCB1E5" w14:textId="546B9F28" w:rsidR="003F78FD" w:rsidRPr="00233F58" w:rsidRDefault="003F78FD" w:rsidP="003F78FD">
      <w:pPr>
        <w:pStyle w:val="ListParagraph"/>
        <w:numPr>
          <w:ilvl w:val="0"/>
          <w:numId w:val="46"/>
        </w:numPr>
        <w:shd w:val="clear" w:color="auto" w:fill="E7E6E6" w:themeFill="background2"/>
        <w:spacing w:before="120" w:after="120" w:line="240" w:lineRule="auto"/>
        <w:ind w:left="397" w:hanging="397"/>
        <w:contextualSpacing w:val="0"/>
        <w:rPr>
          <w:rFonts w:ascii="Calibri" w:hAnsi="Calibri" w:cs="Times New Roman"/>
          <w:i/>
          <w:szCs w:val="24"/>
        </w:rPr>
      </w:pPr>
      <w:r w:rsidRPr="00233F58">
        <w:rPr>
          <w:rFonts w:ascii="Calibri" w:hAnsi="Calibri" w:cs="Times New Roman"/>
          <w:i/>
          <w:szCs w:val="24"/>
        </w:rPr>
        <w:t>Ieguldījumi pētniecībā un inovācijā ir 3% no IKP</w:t>
      </w:r>
      <w:r w:rsidR="0022577A">
        <w:rPr>
          <w:rFonts w:ascii="Calibri" w:hAnsi="Calibri" w:cs="Times New Roman"/>
          <w:i/>
          <w:szCs w:val="24"/>
        </w:rPr>
        <w:t xml:space="preserve"> (LIAS2030)</w:t>
      </w:r>
      <w:r w:rsidRPr="00233F58">
        <w:rPr>
          <w:rFonts w:ascii="Calibri" w:hAnsi="Calibri" w:cs="Times New Roman"/>
          <w:i/>
          <w:szCs w:val="24"/>
        </w:rPr>
        <w:t>, t.sk. vismaz 25% no kopējā apjoma tiek ieguldīti pētniecībā un inovācijā klimata mērķu sasniegšanai.</w:t>
      </w:r>
    </w:p>
    <w:p w14:paraId="3FA17F4C" w14:textId="77777777" w:rsidR="003F78FD" w:rsidRPr="00233F58" w:rsidRDefault="003F78FD" w:rsidP="003F78FD">
      <w:pPr>
        <w:pStyle w:val="ListParagraph"/>
        <w:numPr>
          <w:ilvl w:val="0"/>
          <w:numId w:val="46"/>
        </w:numPr>
        <w:shd w:val="clear" w:color="auto" w:fill="E7E6E6" w:themeFill="background2"/>
        <w:spacing w:before="120" w:after="120" w:line="240" w:lineRule="auto"/>
        <w:ind w:left="397" w:hanging="397"/>
        <w:contextualSpacing w:val="0"/>
        <w:rPr>
          <w:rFonts w:ascii="Calibri" w:hAnsi="Calibri" w:cs="Times New Roman"/>
          <w:i/>
          <w:szCs w:val="24"/>
        </w:rPr>
      </w:pPr>
      <w:r w:rsidRPr="00233F58">
        <w:rPr>
          <w:rFonts w:ascii="Calibri" w:hAnsi="Calibri" w:cs="Times New Roman"/>
          <w:i/>
          <w:szCs w:val="24"/>
        </w:rPr>
        <w:t>Zinātniskā personāla skaits (PLE) Enerģētikas savienības prioritārajās jomās – 1800.</w:t>
      </w:r>
    </w:p>
    <w:p w14:paraId="319D7009" w14:textId="77777777" w:rsidR="003F78FD" w:rsidRPr="00233F58" w:rsidRDefault="003F78FD" w:rsidP="003F78FD">
      <w:pPr>
        <w:shd w:val="clear" w:color="auto" w:fill="E7E6E6" w:themeFill="background2"/>
        <w:spacing w:before="120" w:after="120" w:line="240" w:lineRule="auto"/>
        <w:rPr>
          <w:rFonts w:ascii="Calibri" w:hAnsi="Calibri" w:cs="Times New Roman"/>
          <w:b/>
          <w:sz w:val="28"/>
          <w:szCs w:val="28"/>
          <w:u w:val="single"/>
        </w:rPr>
      </w:pPr>
      <w:r w:rsidRPr="00233F58">
        <w:rPr>
          <w:rFonts w:ascii="Calibri" w:hAnsi="Calibri" w:cs="Times New Roman"/>
          <w:b/>
          <w:sz w:val="28"/>
          <w:szCs w:val="28"/>
          <w:u w:val="single"/>
        </w:rPr>
        <w:t>Ieguvumi sabiedrībai un tautsaimniecībai</w:t>
      </w:r>
    </w:p>
    <w:p w14:paraId="7FDFD28C" w14:textId="77777777" w:rsidR="003F78FD" w:rsidRPr="00233F58" w:rsidRDefault="003F78FD" w:rsidP="003F78FD">
      <w:pPr>
        <w:pStyle w:val="ListParagraph"/>
        <w:numPr>
          <w:ilvl w:val="0"/>
          <w:numId w:val="30"/>
        </w:numPr>
        <w:shd w:val="clear" w:color="auto" w:fill="E7E6E6" w:themeFill="background2"/>
        <w:spacing w:before="120" w:after="120" w:line="240" w:lineRule="auto"/>
        <w:ind w:left="397" w:hanging="397"/>
        <w:contextualSpacing w:val="0"/>
        <w:rPr>
          <w:rFonts w:ascii="Calibri" w:hAnsi="Calibri" w:cs="Times New Roman"/>
          <w:i/>
          <w:szCs w:val="24"/>
        </w:rPr>
      </w:pPr>
      <w:r w:rsidRPr="00233F58">
        <w:rPr>
          <w:rFonts w:ascii="Calibri" w:hAnsi="Calibri" w:cs="Times New Roman"/>
          <w:i/>
          <w:szCs w:val="24"/>
        </w:rPr>
        <w:t>Inovatīv</w:t>
      </w:r>
      <w:r>
        <w:rPr>
          <w:rFonts w:ascii="Calibri" w:hAnsi="Calibri" w:cs="Times New Roman"/>
          <w:i/>
          <w:szCs w:val="24"/>
        </w:rPr>
        <w:t>u</w:t>
      </w:r>
      <w:r w:rsidRPr="00233F58">
        <w:rPr>
          <w:rFonts w:ascii="Calibri" w:hAnsi="Calibri" w:cs="Times New Roman"/>
          <w:i/>
          <w:szCs w:val="24"/>
        </w:rPr>
        <w:t xml:space="preserve"> risinājum</w:t>
      </w:r>
      <w:r>
        <w:rPr>
          <w:rFonts w:ascii="Calibri" w:hAnsi="Calibri" w:cs="Times New Roman"/>
          <w:i/>
          <w:szCs w:val="24"/>
        </w:rPr>
        <w:t>u pielietojums</w:t>
      </w:r>
      <w:r w:rsidRPr="00233F58">
        <w:rPr>
          <w:rFonts w:ascii="Calibri" w:hAnsi="Calibri" w:cs="Times New Roman"/>
          <w:i/>
          <w:szCs w:val="24"/>
        </w:rPr>
        <w:t xml:space="preserve"> energoefektivitātes paaugstināšanai visos tautsaimniecības sektoros ir ilgtspējīgs un izmaksu ziņā efektīvākais enerģētiskās drošības stiprināšanas veids.</w:t>
      </w:r>
    </w:p>
    <w:p w14:paraId="489D376D" w14:textId="77777777" w:rsidR="003F78FD" w:rsidRPr="00233F58" w:rsidRDefault="003F78FD" w:rsidP="003F78FD">
      <w:pPr>
        <w:pStyle w:val="ListParagraph"/>
        <w:numPr>
          <w:ilvl w:val="0"/>
          <w:numId w:val="30"/>
        </w:numPr>
        <w:shd w:val="clear" w:color="auto" w:fill="E7E6E6" w:themeFill="background2"/>
        <w:spacing w:before="120" w:after="120" w:line="240" w:lineRule="auto"/>
        <w:ind w:left="397" w:hanging="397"/>
        <w:contextualSpacing w:val="0"/>
        <w:rPr>
          <w:rFonts w:ascii="Calibri" w:hAnsi="Calibri" w:cs="Times New Roman"/>
          <w:i/>
          <w:szCs w:val="24"/>
        </w:rPr>
      </w:pPr>
      <w:r w:rsidRPr="00233F58">
        <w:rPr>
          <w:rFonts w:ascii="Calibri" w:hAnsi="Calibri" w:cs="Times New Roman"/>
          <w:i/>
          <w:szCs w:val="24"/>
        </w:rPr>
        <w:t>Pētniecībā balstīta inovācija ir pamatā resursefektīvāku, mazemisiju tehnoloģiju un augstākas pievienotās vērtības produktu un pakalpojumu radīšanai un ieviešanai, kas ne vien samazina negatīvo ietekmi uz klimatu un vidi, bet ilgtermiņā arī sekmētu Latvijas uzņēmumu eksportspēju, sadarbības iespējas un konkurētspēju globālā mērogā.</w:t>
      </w:r>
    </w:p>
    <w:p w14:paraId="52642019" w14:textId="77777777" w:rsidR="003F78FD" w:rsidRPr="00233F58" w:rsidRDefault="003F78FD" w:rsidP="003F78FD">
      <w:pPr>
        <w:pStyle w:val="ListParagraph"/>
        <w:numPr>
          <w:ilvl w:val="0"/>
          <w:numId w:val="30"/>
        </w:numPr>
        <w:shd w:val="clear" w:color="auto" w:fill="E7E6E6" w:themeFill="background2"/>
        <w:spacing w:before="120" w:after="120" w:line="240" w:lineRule="auto"/>
        <w:ind w:left="397" w:hanging="397"/>
        <w:contextualSpacing w:val="0"/>
        <w:rPr>
          <w:rFonts w:ascii="Calibri" w:hAnsi="Calibri" w:cs="Times New Roman"/>
          <w:i/>
          <w:szCs w:val="24"/>
        </w:rPr>
      </w:pPr>
      <w:r>
        <w:rPr>
          <w:rFonts w:ascii="Calibri" w:hAnsi="Calibri" w:cs="Times New Roman"/>
          <w:i/>
          <w:szCs w:val="24"/>
        </w:rPr>
        <w:t>P&amp;I</w:t>
      </w:r>
      <w:r w:rsidRPr="00233F58">
        <w:rPr>
          <w:rFonts w:ascii="Calibri" w:hAnsi="Calibri" w:cs="Times New Roman"/>
          <w:i/>
          <w:szCs w:val="24"/>
        </w:rPr>
        <w:t xml:space="preserve"> sistēmas attīstība veicinās jaunu zināšanu radīšanu un kompetenču attīstīšanu, kas būs nepieciešamas jaunajās profesijās un darba vietās, kas veidosies, pārkārtojot ekonomisko sistēmu atbilstoši pārejai uz tīru enerģiju un klimatneitralitāti.</w:t>
      </w:r>
    </w:p>
    <w:p w14:paraId="66302E34" w14:textId="34178563" w:rsidR="003F78FD" w:rsidRPr="009A5B56" w:rsidRDefault="003F78FD" w:rsidP="003F78FD">
      <w:pPr>
        <w:spacing w:before="240" w:after="120" w:line="240" w:lineRule="auto"/>
        <w:jc w:val="both"/>
        <w:rPr>
          <w:rFonts w:cstheme="minorHAnsi"/>
          <w:b/>
          <w:i/>
          <w:sz w:val="28"/>
          <w:szCs w:val="28"/>
          <w:u w:val="single"/>
        </w:rPr>
      </w:pPr>
      <w:r w:rsidRPr="009A5B56">
        <w:rPr>
          <w:rFonts w:cstheme="minorHAnsi"/>
          <w:b/>
          <w:i/>
          <w:sz w:val="28"/>
          <w:szCs w:val="28"/>
          <w:u w:val="single"/>
        </w:rPr>
        <w:t xml:space="preserve">Galvenie </w:t>
      </w:r>
      <w:r w:rsidR="00B75C0D">
        <w:rPr>
          <w:rFonts w:cstheme="minorHAnsi"/>
          <w:b/>
          <w:i/>
          <w:sz w:val="28"/>
          <w:szCs w:val="28"/>
          <w:u w:val="single"/>
        </w:rPr>
        <w:t>problēmjautājumi</w:t>
      </w:r>
    </w:p>
    <w:p w14:paraId="4C12417E" w14:textId="77777777" w:rsidR="0022577A" w:rsidRPr="00BF1D0A" w:rsidRDefault="0022577A" w:rsidP="0022577A">
      <w:pPr>
        <w:spacing w:before="120" w:after="120" w:line="240" w:lineRule="auto"/>
        <w:jc w:val="both"/>
        <w:rPr>
          <w:rFonts w:eastAsia="Calibri" w:cstheme="minorHAnsi"/>
          <w:b/>
          <w:u w:val="single"/>
        </w:rPr>
      </w:pPr>
      <w:r w:rsidRPr="009A5B56">
        <w:rPr>
          <w:rFonts w:eastAsia="Calibri" w:cstheme="minorHAnsi"/>
          <w:bCs/>
          <w:u w:val="single"/>
        </w:rPr>
        <w:t>1)</w:t>
      </w:r>
      <w:r>
        <w:rPr>
          <w:rFonts w:eastAsia="Calibri" w:cstheme="minorHAnsi"/>
          <w:bCs/>
          <w:u w:val="single"/>
        </w:rPr>
        <w:t xml:space="preserve"> </w:t>
      </w:r>
      <w:r>
        <w:rPr>
          <w:rFonts w:eastAsia="Calibri" w:cstheme="minorHAnsi"/>
          <w:b/>
          <w:u w:val="single"/>
        </w:rPr>
        <w:t xml:space="preserve"> palielināt pētniecības un inovācijas kapacitāti enerģētikas jomā un veidot pilnvērtīgāku sasaisti starp pētniecību, inovāciju un enerģētikas nozares attīstības prioritātēm </w:t>
      </w:r>
    </w:p>
    <w:p w14:paraId="73676592" w14:textId="77777777" w:rsidR="0022577A" w:rsidRPr="006C5327" w:rsidRDefault="0022577A" w:rsidP="0022577A">
      <w:pPr>
        <w:spacing w:before="120" w:after="120" w:line="240" w:lineRule="auto"/>
        <w:jc w:val="both"/>
      </w:pPr>
      <w:r>
        <w:t xml:space="preserve">Lai gan </w:t>
      </w:r>
      <w:r w:rsidRPr="006C5327">
        <w:t xml:space="preserve">Latvijā </w:t>
      </w:r>
      <w:r>
        <w:t>plaši</w:t>
      </w:r>
      <w:r w:rsidRPr="006C5327">
        <w:t xml:space="preserve"> tiek attīstīti pētījumi siltumener</w:t>
      </w:r>
      <w:r>
        <w:t>ģ</w:t>
      </w:r>
      <w:r w:rsidRPr="006C5327">
        <w:t>ētikas, energoefektivitātes, elektrotehnikas un bioener</w:t>
      </w:r>
      <w:r>
        <w:t>ģ</w:t>
      </w:r>
      <w:r w:rsidRPr="006C5327">
        <w:t>ijas ražošanas jomās, kā arī pētījumi viedo tīklu un energosistēmu pārvaldības uzlabošanai</w:t>
      </w:r>
      <w:r>
        <w:t xml:space="preserve">, šobrīd joprojām nav skaidri identificējami tematiskās nišas, kurās tiek </w:t>
      </w:r>
      <w:r w:rsidRPr="006C5327">
        <w:t xml:space="preserve">pētniecības kompetence. </w:t>
      </w:r>
      <w:r>
        <w:t>Līdz ar to nepieciešams skaidri definēt enerģētikas nozares (kā arī citu nozaru, kuras sniedz pienesumu klimata mērķu sasniegšanai) prioritātes, kurās nepieciešams attīstīt</w:t>
      </w:r>
      <w:r w:rsidRPr="006C5327">
        <w:t xml:space="preserve"> pētniecīb</w:t>
      </w:r>
      <w:r>
        <w:t>u</w:t>
      </w:r>
      <w:r w:rsidRPr="006C5327">
        <w:t xml:space="preserve"> un inovāci</w:t>
      </w:r>
      <w:r>
        <w:t>jas kapacitāti.</w:t>
      </w:r>
    </w:p>
    <w:p w14:paraId="2479EB37" w14:textId="77777777" w:rsidR="003F78FD" w:rsidRPr="009A5B56" w:rsidRDefault="003F78FD" w:rsidP="003F78FD">
      <w:pPr>
        <w:spacing w:before="120" w:after="120" w:line="240" w:lineRule="auto"/>
        <w:jc w:val="both"/>
        <w:rPr>
          <w:rFonts w:eastAsia="Calibri" w:cstheme="minorHAnsi"/>
          <w:bCs/>
          <w:u w:val="single"/>
        </w:rPr>
      </w:pPr>
      <w:r>
        <w:rPr>
          <w:rFonts w:eastAsia="Calibri" w:cstheme="minorHAnsi"/>
          <w:bCs/>
          <w:u w:val="single"/>
        </w:rPr>
        <w:t>2</w:t>
      </w:r>
      <w:r w:rsidRPr="009A5B56">
        <w:rPr>
          <w:rFonts w:eastAsia="Calibri" w:cstheme="minorHAnsi"/>
          <w:bCs/>
          <w:u w:val="single"/>
        </w:rPr>
        <w:t xml:space="preserve">) Izveidot pilnvērtīgu </w:t>
      </w:r>
      <w:r w:rsidRPr="009A5B56">
        <w:rPr>
          <w:rFonts w:eastAsia="Calibri" w:cstheme="minorHAnsi"/>
          <w:b/>
          <w:u w:val="single"/>
        </w:rPr>
        <w:t>sasaisti starp fundamentālo pētniecību</w:t>
      </w:r>
      <w:r w:rsidRPr="009A5B56">
        <w:rPr>
          <w:rFonts w:eastAsia="Calibri" w:cstheme="minorHAnsi"/>
          <w:bCs/>
          <w:u w:val="single"/>
        </w:rPr>
        <w:t xml:space="preserve"> un pētniecības </w:t>
      </w:r>
      <w:r w:rsidRPr="009A5B56">
        <w:rPr>
          <w:rFonts w:eastAsia="Calibri" w:cstheme="minorHAnsi"/>
          <w:b/>
          <w:u w:val="single"/>
        </w:rPr>
        <w:t>rezultātu komercializāciju</w:t>
      </w:r>
    </w:p>
    <w:p w14:paraId="74416D9A" w14:textId="77777777" w:rsidR="003F78FD" w:rsidRDefault="003F78FD" w:rsidP="003F78FD">
      <w:pPr>
        <w:spacing w:before="120" w:after="120" w:line="240" w:lineRule="auto"/>
        <w:jc w:val="both"/>
        <w:rPr>
          <w:rFonts w:eastAsia="Calibri" w:cstheme="minorHAnsi"/>
          <w:szCs w:val="24"/>
        </w:rPr>
      </w:pPr>
      <w:r w:rsidRPr="009A5B56">
        <w:rPr>
          <w:rFonts w:eastAsia="Calibri" w:cstheme="minorHAnsi"/>
          <w:bCs/>
        </w:rPr>
        <w:t>Ņemot vērā Plāna un ilgtermiņa mērķu ambiciozitāti, ir jānodrošina, ka P&amp;I rezultāti tiek izmantoti un sniedz ieguldījumu mērķu sasniegšanā. Līdz ar to ir nepieciešams izveidot efektīvu sasaisti starp pētniecību un tās rezultātu komercializāciju, t.sk. pētniecības pilotprojektus un demonstrāciju projektu veidā,</w:t>
      </w:r>
      <w:r w:rsidRPr="009A5B56">
        <w:rPr>
          <w:rFonts w:eastAsia="Calibri" w:cstheme="minorHAnsi"/>
          <w:b/>
        </w:rPr>
        <w:t xml:space="preserve"> </w:t>
      </w:r>
      <w:r w:rsidRPr="009A5B56">
        <w:rPr>
          <w:rFonts w:eastAsia="Calibri" w:cstheme="minorHAnsi"/>
        </w:rPr>
        <w:t xml:space="preserve">paredzot finanšu instrumentus un attīstot koordinētāku un mērķfokusētāku sadarbību starp pētniecības organizācijām, uzņēmumiem un pašvaldībām. Šādas iniciatīvas praktiski demonstrētu </w:t>
      </w:r>
      <w:r w:rsidRPr="009A5B56">
        <w:rPr>
          <w:rFonts w:eastAsia="Calibri" w:cstheme="minorHAnsi"/>
          <w:szCs w:val="24"/>
        </w:rPr>
        <w:t>pētniecības kompetences, inovācijas potenciālu, sadarbības kultūru un atbalstošu institucionālo vidi, kas gan tiešā, gan netiešā veidā var paaugstināt Latvijas konkurētspēju gan starptautisku sadarbības partneru, gan investoru piesaistē.</w:t>
      </w:r>
    </w:p>
    <w:p w14:paraId="0D1697DF" w14:textId="77777777" w:rsidR="003F78FD" w:rsidRPr="009A5B56" w:rsidRDefault="003F78FD" w:rsidP="003F78FD">
      <w:pPr>
        <w:spacing w:before="120" w:after="120" w:line="240" w:lineRule="auto"/>
        <w:jc w:val="both"/>
        <w:rPr>
          <w:rFonts w:eastAsia="Calibri" w:cstheme="minorHAnsi"/>
        </w:rPr>
      </w:pPr>
      <w:r w:rsidRPr="009A5B56">
        <w:rPr>
          <w:rFonts w:eastAsia="Calibri" w:cstheme="minorHAnsi"/>
          <w:bCs/>
        </w:rPr>
        <w:t xml:space="preserve">Lai sasniegtu ambiciozos Plānā iekļautos mērķus, kā arī izpildītu Latvijas ambīcijas ilgtermiņa mērķiem ir nepieciešams nodrošināt to, ka P&amp;I arvien vairāk un būtiskā apjomā tiek investētas privātās investīcijas, īpaši </w:t>
      </w:r>
      <w:r w:rsidRPr="009A5B56">
        <w:rPr>
          <w:rFonts w:eastAsia="Calibri" w:cstheme="minorHAnsi"/>
        </w:rPr>
        <w:t>tīrās enerģijas tehnoloģiju, jo īpaši atjaunojamās enerģijas ieguves avotu un tehnoloģisko risinājumu, izpētē un attīstīšanā, un energoefektivitātes risinājumu attīstīšanā un ieviešanā.</w:t>
      </w:r>
    </w:p>
    <w:p w14:paraId="36CD0148" w14:textId="77777777" w:rsidR="003F78FD" w:rsidRPr="00E2491C" w:rsidRDefault="003F78FD" w:rsidP="003F78FD">
      <w:pPr>
        <w:shd w:val="clear" w:color="auto" w:fill="E7E6E6" w:themeFill="background2"/>
        <w:spacing w:before="240" w:after="120" w:line="240" w:lineRule="auto"/>
        <w:rPr>
          <w:rFonts w:ascii="Calibri" w:hAnsi="Calibri" w:cs="Times New Roman"/>
          <w:b/>
          <w:i/>
          <w:iCs/>
          <w:szCs w:val="24"/>
        </w:rPr>
      </w:pPr>
      <w:r w:rsidRPr="00E2491C">
        <w:rPr>
          <w:rFonts w:ascii="Calibri" w:hAnsi="Calibri" w:cs="Times New Roman"/>
          <w:b/>
          <w:i/>
          <w:iCs/>
          <w:sz w:val="28"/>
          <w:szCs w:val="28"/>
        </w:rPr>
        <w:t xml:space="preserve">Galvenais rīcības virziens </w:t>
      </w:r>
      <w:r w:rsidRPr="00D92F55">
        <w:rPr>
          <w:rFonts w:ascii="Calibri" w:hAnsi="Calibri" w:cs="Times New Roman"/>
          <w:b/>
          <w:i/>
          <w:iCs/>
          <w:sz w:val="22"/>
        </w:rPr>
        <w:t>(</w:t>
      </w:r>
      <w:r>
        <w:rPr>
          <w:rFonts w:ascii="Calibri" w:hAnsi="Calibri" w:cs="Times New Roman"/>
          <w:b/>
          <w:i/>
          <w:iCs/>
          <w:sz w:val="22"/>
        </w:rPr>
        <w:t xml:space="preserve">horizontāls </w:t>
      </w:r>
      <w:r w:rsidRPr="00D92F55">
        <w:rPr>
          <w:rFonts w:ascii="Calibri" w:hAnsi="Calibri" w:cs="Times New Roman"/>
          <w:b/>
          <w:i/>
          <w:iCs/>
          <w:sz w:val="22"/>
        </w:rPr>
        <w:t>rīcības virziens)</w:t>
      </w:r>
    </w:p>
    <w:p w14:paraId="71B6F4A1" w14:textId="77777777" w:rsidR="003F78FD" w:rsidRPr="00E2491C" w:rsidRDefault="003F78FD" w:rsidP="0007326F">
      <w:pPr>
        <w:shd w:val="clear" w:color="auto" w:fill="E7E6E6" w:themeFill="background2"/>
        <w:spacing w:before="120" w:after="120" w:line="240" w:lineRule="auto"/>
        <w:jc w:val="both"/>
        <w:rPr>
          <w:rFonts w:ascii="Calibri" w:hAnsi="Calibri" w:cs="Times New Roman"/>
          <w:b/>
          <w:szCs w:val="24"/>
          <w:u w:val="single"/>
        </w:rPr>
      </w:pPr>
      <w:r>
        <w:rPr>
          <w:rFonts w:ascii="Calibri" w:hAnsi="Calibri" w:cs="Times New Roman"/>
          <w:b/>
          <w:szCs w:val="24"/>
          <w:u w:val="single"/>
        </w:rPr>
        <w:t>Pētniecības un inovāciju pilnība integrācija un efektīva īstenošana Plānā noteikto mērķu sasniegšanai</w:t>
      </w:r>
    </w:p>
    <w:p w14:paraId="601F5834" w14:textId="77777777" w:rsidR="003F78FD" w:rsidRPr="005D6EC6" w:rsidRDefault="003F78FD" w:rsidP="0007326F">
      <w:pPr>
        <w:spacing w:before="120" w:after="120" w:line="240" w:lineRule="auto"/>
        <w:jc w:val="both"/>
        <w:rPr>
          <w:rFonts w:cstheme="minorHAnsi"/>
          <w:b/>
          <w:i/>
          <w:sz w:val="28"/>
          <w:szCs w:val="28"/>
          <w:u w:val="single"/>
        </w:rPr>
      </w:pPr>
      <w:r w:rsidRPr="005D6EC6">
        <w:rPr>
          <w:rFonts w:cstheme="minorHAnsi"/>
          <w:b/>
          <w:i/>
          <w:sz w:val="28"/>
          <w:szCs w:val="28"/>
          <w:u w:val="single"/>
        </w:rPr>
        <w:t>Galvenās rīcības un pasākumi</w:t>
      </w:r>
    </w:p>
    <w:p w14:paraId="2D87A6FF" w14:textId="77777777" w:rsidR="003F78FD" w:rsidRPr="005D6EC6" w:rsidRDefault="003F78FD" w:rsidP="0007326F">
      <w:pPr>
        <w:pStyle w:val="Standard"/>
        <w:widowControl w:val="0"/>
        <w:spacing w:before="120" w:after="120"/>
        <w:jc w:val="both"/>
        <w:rPr>
          <w:rFonts w:asciiTheme="minorHAnsi" w:hAnsiTheme="minorHAnsi" w:cstheme="minorHAnsi"/>
          <w:color w:val="auto"/>
          <w:u w:val="single"/>
        </w:rPr>
      </w:pPr>
      <w:r w:rsidRPr="005D6EC6">
        <w:rPr>
          <w:rFonts w:asciiTheme="minorHAnsi" w:hAnsiTheme="minorHAnsi" w:cstheme="minorHAnsi"/>
          <w:color w:val="auto"/>
          <w:u w:val="single"/>
        </w:rPr>
        <w:t xml:space="preserve">1) </w:t>
      </w:r>
      <w:r w:rsidRPr="005D6EC6">
        <w:rPr>
          <w:rFonts w:asciiTheme="minorHAnsi" w:hAnsiTheme="minorHAnsi" w:cstheme="minorHAnsi"/>
          <w:b/>
          <w:bCs/>
          <w:color w:val="auto"/>
          <w:u w:val="single"/>
        </w:rPr>
        <w:t>P&amp;I ieguldījuma</w:t>
      </w:r>
      <w:r w:rsidRPr="005D6EC6">
        <w:rPr>
          <w:rFonts w:asciiTheme="minorHAnsi" w:hAnsiTheme="minorHAnsi" w:cstheme="minorHAnsi"/>
          <w:color w:val="auto"/>
          <w:u w:val="single"/>
        </w:rPr>
        <w:t xml:space="preserve"> enerģētikas un klimata mērķu sasniegšanā </w:t>
      </w:r>
      <w:r w:rsidRPr="005D6EC6">
        <w:rPr>
          <w:rFonts w:asciiTheme="minorHAnsi" w:hAnsiTheme="minorHAnsi" w:cstheme="minorHAnsi"/>
          <w:b/>
          <w:bCs/>
          <w:color w:val="auto"/>
          <w:u w:val="single"/>
        </w:rPr>
        <w:t>stiprināšana</w:t>
      </w:r>
      <w:r w:rsidRPr="005D6EC6">
        <w:rPr>
          <w:rFonts w:asciiTheme="minorHAnsi" w:hAnsiTheme="minorHAnsi" w:cstheme="minorHAnsi"/>
          <w:color w:val="auto"/>
          <w:u w:val="single"/>
        </w:rPr>
        <w:t xml:space="preserve"> un </w:t>
      </w:r>
      <w:r w:rsidRPr="005D6EC6">
        <w:rPr>
          <w:rFonts w:asciiTheme="minorHAnsi" w:hAnsiTheme="minorHAnsi" w:cstheme="minorHAnsi"/>
          <w:b/>
          <w:bCs/>
          <w:color w:val="auto"/>
          <w:u w:val="single"/>
        </w:rPr>
        <w:t>prioritāšu definēšana</w:t>
      </w:r>
      <w:r w:rsidRPr="005D6EC6">
        <w:rPr>
          <w:rFonts w:asciiTheme="minorHAnsi" w:hAnsiTheme="minorHAnsi" w:cstheme="minorHAnsi"/>
          <w:color w:val="auto"/>
          <w:u w:val="single"/>
        </w:rPr>
        <w:t xml:space="preserve"> mērķtiecīgām inves</w:t>
      </w:r>
      <w:r>
        <w:rPr>
          <w:rFonts w:asciiTheme="minorHAnsi" w:hAnsiTheme="minorHAnsi" w:cstheme="minorHAnsi"/>
          <w:color w:val="auto"/>
          <w:u w:val="single"/>
        </w:rPr>
        <w:t>t</w:t>
      </w:r>
      <w:r w:rsidRPr="005D6EC6">
        <w:rPr>
          <w:rFonts w:asciiTheme="minorHAnsi" w:hAnsiTheme="minorHAnsi" w:cstheme="minorHAnsi"/>
          <w:color w:val="auto"/>
          <w:u w:val="single"/>
        </w:rPr>
        <w:t>īcijām</w:t>
      </w:r>
    </w:p>
    <w:p w14:paraId="481E51E3" w14:textId="77777777" w:rsidR="003F78FD" w:rsidRPr="005D6EC6" w:rsidRDefault="003F78FD" w:rsidP="0007326F">
      <w:pPr>
        <w:spacing w:before="120" w:after="120" w:line="240" w:lineRule="auto"/>
        <w:jc w:val="both"/>
        <w:rPr>
          <w:rFonts w:cstheme="minorHAnsi"/>
          <w:szCs w:val="24"/>
        </w:rPr>
      </w:pPr>
      <w:r w:rsidRPr="005D6EC6">
        <w:rPr>
          <w:rFonts w:cstheme="minorHAnsi"/>
          <w:szCs w:val="24"/>
        </w:rPr>
        <w:t>Plāna ietvaros definētie iespējamie prioritārie rīcības virzieni RSI3 enerģētikā ir:</w:t>
      </w:r>
    </w:p>
    <w:p w14:paraId="4E3855B8" w14:textId="77777777" w:rsidR="003F78FD" w:rsidRPr="005D6EC6" w:rsidRDefault="003F78FD" w:rsidP="0007326F">
      <w:pPr>
        <w:pStyle w:val="ListParagraph"/>
        <w:numPr>
          <w:ilvl w:val="0"/>
          <w:numId w:val="28"/>
        </w:numPr>
        <w:spacing w:before="120" w:after="120" w:line="240" w:lineRule="auto"/>
        <w:ind w:left="397" w:hanging="397"/>
        <w:contextualSpacing w:val="0"/>
        <w:jc w:val="both"/>
        <w:rPr>
          <w:rFonts w:cstheme="minorHAnsi"/>
          <w:szCs w:val="24"/>
        </w:rPr>
      </w:pPr>
      <w:r w:rsidRPr="005D6EC6">
        <w:rPr>
          <w:rFonts w:cstheme="minorHAnsi"/>
          <w:szCs w:val="24"/>
        </w:rPr>
        <w:t>Inovatīvi risinājumi AER tehnoloģiju jomā, tai skaitā biometāna, ūdeņraža un moderno biodegvielu ražošanai un izmantošanai, biomasas viedai izmantošanai pirms sadedzināšanas, saules enerģijas izmantošanai transportā.</w:t>
      </w:r>
    </w:p>
    <w:p w14:paraId="623D4F08" w14:textId="77777777" w:rsidR="003F78FD" w:rsidRPr="005D6EC6" w:rsidRDefault="003F78FD" w:rsidP="0007326F">
      <w:pPr>
        <w:pStyle w:val="ListParagraph"/>
        <w:numPr>
          <w:ilvl w:val="0"/>
          <w:numId w:val="28"/>
        </w:numPr>
        <w:spacing w:before="120" w:after="120" w:line="240" w:lineRule="auto"/>
        <w:ind w:left="397" w:hanging="397"/>
        <w:contextualSpacing w:val="0"/>
        <w:jc w:val="both"/>
        <w:rPr>
          <w:rFonts w:cstheme="minorHAnsi"/>
          <w:szCs w:val="24"/>
        </w:rPr>
      </w:pPr>
      <w:r w:rsidRPr="005D6EC6">
        <w:rPr>
          <w:rFonts w:cstheme="minorHAnsi"/>
          <w:szCs w:val="24"/>
        </w:rPr>
        <w:t>Inovatīvi risinājumi enerģijas uzglabāšanai un viedai pārvadei.</w:t>
      </w:r>
    </w:p>
    <w:p w14:paraId="650DC1EB" w14:textId="77777777" w:rsidR="003F78FD" w:rsidRPr="005D6EC6" w:rsidRDefault="003F78FD" w:rsidP="0007326F">
      <w:pPr>
        <w:pStyle w:val="ListParagraph"/>
        <w:numPr>
          <w:ilvl w:val="0"/>
          <w:numId w:val="28"/>
        </w:numPr>
        <w:spacing w:before="120" w:after="120" w:line="240" w:lineRule="auto"/>
        <w:ind w:left="397" w:hanging="397"/>
        <w:contextualSpacing w:val="0"/>
        <w:jc w:val="both"/>
        <w:rPr>
          <w:rFonts w:eastAsia="Times New Roman" w:cstheme="minorHAnsi"/>
          <w:szCs w:val="24"/>
        </w:rPr>
      </w:pPr>
      <w:r w:rsidRPr="005D6EC6">
        <w:rPr>
          <w:rFonts w:cstheme="minorHAnsi"/>
          <w:szCs w:val="24"/>
        </w:rPr>
        <w:t>Inovatīvi risinājumi energoefektivitātes un ēku ilgtspējas jomā, tai skaitā inovatīvu siltināšanas materiālu un paņēmienu izstrāde, energoefektīvu materiālu un augstas resursefektivitātes materiālu izstrāde un izmantošana</w:t>
      </w:r>
      <w:r w:rsidRPr="005D6EC6">
        <w:rPr>
          <w:rFonts w:eastAsia="Times New Roman" w:cstheme="minorHAnsi"/>
          <w:szCs w:val="24"/>
        </w:rPr>
        <w:t>.</w:t>
      </w:r>
    </w:p>
    <w:p w14:paraId="5BD5304F" w14:textId="0D17DB08" w:rsidR="003F78FD" w:rsidRPr="005D6EC6" w:rsidRDefault="003F78FD" w:rsidP="0007326F">
      <w:pPr>
        <w:pStyle w:val="Standard"/>
        <w:widowControl w:val="0"/>
        <w:spacing w:before="120" w:after="120"/>
        <w:jc w:val="both"/>
        <w:rPr>
          <w:rFonts w:asciiTheme="minorHAnsi" w:hAnsiTheme="minorHAnsi" w:cstheme="minorHAnsi"/>
        </w:rPr>
      </w:pPr>
      <w:r w:rsidRPr="005D6EC6">
        <w:rPr>
          <w:rFonts w:asciiTheme="minorHAnsi" w:hAnsiTheme="minorHAnsi" w:cstheme="minorHAnsi"/>
          <w:color w:val="auto"/>
        </w:rPr>
        <w:t xml:space="preserve">Plānā noteikto mērķu sasniegšanai P&amp;I ietvaros tik sniegts </w:t>
      </w:r>
      <w:r w:rsidR="0022577A">
        <w:rPr>
          <w:rFonts w:asciiTheme="minorHAnsi" w:hAnsiTheme="minorHAnsi" w:cstheme="minorHAnsi"/>
          <w:color w:val="auto"/>
        </w:rPr>
        <w:t xml:space="preserve">(1) </w:t>
      </w:r>
      <w:r w:rsidRPr="005D6EC6">
        <w:rPr>
          <w:rFonts w:asciiTheme="minorHAnsi" w:hAnsiTheme="minorHAnsi" w:cstheme="minorHAnsi"/>
          <w:color w:val="auto"/>
        </w:rPr>
        <w:t xml:space="preserve">atbalsts </w:t>
      </w:r>
      <w:r w:rsidRPr="005D6EC6">
        <w:rPr>
          <w:rFonts w:asciiTheme="minorHAnsi" w:hAnsiTheme="minorHAnsi" w:cstheme="minorHAnsi"/>
        </w:rPr>
        <w:t xml:space="preserve">pētniecības, tehnoloģiju attīstīšanas un </w:t>
      </w:r>
      <w:r w:rsidR="0022577A">
        <w:rPr>
          <w:rFonts w:asciiTheme="minorHAnsi" w:hAnsiTheme="minorHAnsi" w:cstheme="minorHAnsi"/>
        </w:rPr>
        <w:t xml:space="preserve">(2) </w:t>
      </w:r>
      <w:r w:rsidRPr="005D6EC6">
        <w:rPr>
          <w:rFonts w:asciiTheme="minorHAnsi" w:hAnsiTheme="minorHAnsi" w:cstheme="minorHAnsi"/>
        </w:rPr>
        <w:t>demonstrēšanas projektu īstenošanai un jaunu tehnoloģiju, risinājumu un lietotājcentrētu produktu un pakalpojumu attīstīšanai šādā jomās:</w:t>
      </w:r>
    </w:p>
    <w:p w14:paraId="1CAB1BAC" w14:textId="77777777" w:rsidR="003F78FD" w:rsidRPr="005D6EC6" w:rsidRDefault="003F78FD" w:rsidP="0007326F">
      <w:pPr>
        <w:pStyle w:val="ListParagraph"/>
        <w:numPr>
          <w:ilvl w:val="0"/>
          <w:numId w:val="47"/>
        </w:numPr>
        <w:spacing w:before="120" w:after="120" w:line="240" w:lineRule="auto"/>
        <w:ind w:left="397" w:hanging="397"/>
        <w:contextualSpacing w:val="0"/>
        <w:jc w:val="both"/>
        <w:rPr>
          <w:rFonts w:eastAsia="Calibri" w:cstheme="minorHAnsi"/>
          <w:szCs w:val="24"/>
        </w:rPr>
      </w:pPr>
      <w:r w:rsidRPr="005D6EC6">
        <w:rPr>
          <w:rFonts w:eastAsia="Calibri" w:cstheme="minorHAnsi"/>
          <w:i/>
          <w:szCs w:val="24"/>
        </w:rPr>
        <w:t>Atjaunojamās elektroenerģijas un siltumenerģijas ražošana</w:t>
      </w:r>
      <w:r w:rsidRPr="005D6EC6">
        <w:rPr>
          <w:rFonts w:eastAsia="Calibri" w:cstheme="minorHAnsi"/>
          <w:iCs/>
          <w:szCs w:val="24"/>
        </w:rPr>
        <w:t>, piemēram:</w:t>
      </w:r>
      <w:r w:rsidRPr="005D6EC6">
        <w:rPr>
          <w:rFonts w:eastAsia="Calibri" w:cstheme="minorHAnsi"/>
          <w:i/>
          <w:szCs w:val="24"/>
        </w:rPr>
        <w:t xml:space="preserve"> </w:t>
      </w:r>
      <w:r w:rsidRPr="005D6EC6">
        <w:rPr>
          <w:rFonts w:eastAsia="Calibri" w:cstheme="minorHAnsi"/>
          <w:szCs w:val="24"/>
        </w:rPr>
        <w:t>materiālu un inženiertehnoloģiju pētījumi AE (jo īpaši, saules, ūdeņraža enerģijas) ieguvei un uzkrāšanai, bioenerģijas (biomasas, biogāzes) ieguves avotu un tehnoloģiju un to pilnveides iespēju izpēte, (piemēram, ražošanas atkritumu izmantošanas efektivitātes izpēte, biomasas sadedzināšanas iekārtu izstrāde un pilnveide), viļņu enerģijas ieguves tehnoloģiju izpēte.</w:t>
      </w:r>
    </w:p>
    <w:p w14:paraId="6B514835" w14:textId="77777777" w:rsidR="003F78FD" w:rsidRPr="005D6EC6" w:rsidRDefault="003F78FD" w:rsidP="0007326F">
      <w:pPr>
        <w:pStyle w:val="ListParagraph"/>
        <w:numPr>
          <w:ilvl w:val="0"/>
          <w:numId w:val="47"/>
        </w:numPr>
        <w:spacing w:before="120" w:after="120" w:line="240" w:lineRule="auto"/>
        <w:ind w:left="397" w:hanging="397"/>
        <w:contextualSpacing w:val="0"/>
        <w:jc w:val="both"/>
        <w:rPr>
          <w:rFonts w:eastAsia="Calibri" w:cstheme="minorHAnsi"/>
          <w:szCs w:val="24"/>
        </w:rPr>
      </w:pPr>
      <w:r w:rsidRPr="005D6EC6">
        <w:rPr>
          <w:rFonts w:eastAsia="Calibri" w:cstheme="minorHAnsi"/>
          <w:i/>
          <w:szCs w:val="24"/>
        </w:rPr>
        <w:t xml:space="preserve">Viedie tīkli, enerģijas uzkrāšana un atguve un atjaunojamās enerģijas integrēšana energosistēmā, </w:t>
      </w:r>
      <w:r w:rsidRPr="005D6EC6">
        <w:rPr>
          <w:rFonts w:eastAsia="Calibri" w:cstheme="minorHAnsi"/>
          <w:iCs/>
          <w:szCs w:val="24"/>
        </w:rPr>
        <w:t>piemēram</w:t>
      </w:r>
      <w:r w:rsidRPr="005D6EC6">
        <w:rPr>
          <w:rFonts w:eastAsia="Calibri" w:cstheme="minorHAnsi"/>
          <w:i/>
          <w:szCs w:val="24"/>
        </w:rPr>
        <w:t xml:space="preserve"> </w:t>
      </w:r>
      <w:r w:rsidRPr="005D6EC6">
        <w:rPr>
          <w:rFonts w:eastAsia="Calibri" w:cstheme="minorHAnsi"/>
          <w:szCs w:val="24"/>
        </w:rPr>
        <w:t>energosistēmu (elektrības un siltuma) pārvaldības automatizācija</w:t>
      </w:r>
      <w:r>
        <w:rPr>
          <w:rFonts w:eastAsia="Calibri" w:cstheme="minorHAnsi"/>
          <w:szCs w:val="24"/>
        </w:rPr>
        <w:t>, digitilizācija</w:t>
      </w:r>
      <w:r w:rsidRPr="005D6EC6">
        <w:rPr>
          <w:rFonts w:eastAsia="Calibri" w:cstheme="minorHAnsi"/>
          <w:szCs w:val="24"/>
        </w:rPr>
        <w:t xml:space="preserve"> un enerģijas pārveidošanas un uzkrāšanas tehnoloģijas, t.sk. baterijas, industriālās ražošanas automatizācijai, enerģijas pašražošanai un elektromobilitātei.</w:t>
      </w:r>
    </w:p>
    <w:p w14:paraId="284C1856" w14:textId="77777777" w:rsidR="003F78FD" w:rsidRPr="005D6EC6" w:rsidRDefault="003F78FD" w:rsidP="0007326F">
      <w:pPr>
        <w:pStyle w:val="ListParagraph"/>
        <w:numPr>
          <w:ilvl w:val="0"/>
          <w:numId w:val="47"/>
        </w:numPr>
        <w:spacing w:before="120" w:after="120" w:line="240" w:lineRule="auto"/>
        <w:ind w:left="397" w:hanging="397"/>
        <w:contextualSpacing w:val="0"/>
        <w:jc w:val="both"/>
        <w:rPr>
          <w:rFonts w:eastAsia="Calibri" w:cstheme="minorHAnsi"/>
          <w:szCs w:val="24"/>
        </w:rPr>
      </w:pPr>
      <w:r w:rsidRPr="005D6EC6">
        <w:rPr>
          <w:rFonts w:eastAsia="Calibri" w:cstheme="minorHAnsi"/>
          <w:i/>
          <w:szCs w:val="24"/>
        </w:rPr>
        <w:t>Ēku energoefektivitāte</w:t>
      </w:r>
      <w:r w:rsidRPr="005D6EC6">
        <w:rPr>
          <w:rFonts w:eastAsia="Calibri" w:cstheme="minorHAnsi"/>
          <w:iCs/>
          <w:szCs w:val="24"/>
        </w:rPr>
        <w:t xml:space="preserve">, piemēram, </w:t>
      </w:r>
      <w:r w:rsidRPr="005D6EC6">
        <w:rPr>
          <w:rFonts w:eastAsia="Calibri" w:cstheme="minorHAnsi"/>
          <w:szCs w:val="24"/>
        </w:rPr>
        <w:t xml:space="preserve">materiāli un tehnoloģijas energoefektivitātes uzlabošanai, siltuma atguvei ēkās – logu siltināšanas hermētiķi, biobāzēti siltumizolācijas materiāli, energosistēmu pārvaldības automatizācija. </w:t>
      </w:r>
    </w:p>
    <w:p w14:paraId="0A4E511F" w14:textId="77777777" w:rsidR="003F78FD" w:rsidRPr="004F6C11" w:rsidRDefault="003F78FD" w:rsidP="0007326F">
      <w:pPr>
        <w:pStyle w:val="ListParagraph"/>
        <w:numPr>
          <w:ilvl w:val="0"/>
          <w:numId w:val="47"/>
        </w:numPr>
        <w:spacing w:before="120" w:after="120" w:line="240" w:lineRule="auto"/>
        <w:ind w:left="397" w:hanging="397"/>
        <w:contextualSpacing w:val="0"/>
        <w:jc w:val="both"/>
        <w:rPr>
          <w:rFonts w:eastAsia="Calibri" w:cstheme="minorHAnsi"/>
          <w:szCs w:val="24"/>
        </w:rPr>
      </w:pPr>
      <w:r w:rsidRPr="005D6EC6">
        <w:rPr>
          <w:rFonts w:eastAsia="Calibri" w:cstheme="minorHAnsi"/>
          <w:i/>
          <w:szCs w:val="24"/>
        </w:rPr>
        <w:t>Viedā mobilitāte</w:t>
      </w:r>
      <w:r w:rsidRPr="005D6EC6">
        <w:rPr>
          <w:rFonts w:eastAsia="Calibri" w:cstheme="minorHAnsi"/>
          <w:iCs/>
          <w:szCs w:val="24"/>
        </w:rPr>
        <w:t xml:space="preserve">, piemēram </w:t>
      </w:r>
      <w:r w:rsidRPr="005D6EC6">
        <w:rPr>
          <w:rFonts w:eastAsia="Calibri" w:cstheme="minorHAnsi"/>
          <w:szCs w:val="24"/>
        </w:rPr>
        <w:t xml:space="preserve">alternatīvās degvielas un biodegvielas – ūdeņradis, biogāze, elektropiedziņas un enerģijas atguves tehnoloģijas, automatizētais transports un inteliģentās </w:t>
      </w:r>
      <w:r w:rsidRPr="004F6C11">
        <w:rPr>
          <w:rFonts w:eastAsia="Calibri" w:cstheme="minorHAnsi"/>
          <w:szCs w:val="24"/>
        </w:rPr>
        <w:t>transporta sistēmas, tehnoloģijas elektromobiļu (bezvadu) uzlādes attīstīšanai.</w:t>
      </w:r>
    </w:p>
    <w:p w14:paraId="798AB660" w14:textId="77777777" w:rsidR="003F78FD" w:rsidRPr="004F6C11" w:rsidRDefault="003F78FD" w:rsidP="0007326F">
      <w:pPr>
        <w:pStyle w:val="ListParagraph"/>
        <w:numPr>
          <w:ilvl w:val="0"/>
          <w:numId w:val="47"/>
        </w:numPr>
        <w:spacing w:before="120" w:after="120" w:line="240" w:lineRule="auto"/>
        <w:ind w:left="397" w:hanging="397"/>
        <w:contextualSpacing w:val="0"/>
        <w:jc w:val="both"/>
        <w:rPr>
          <w:rFonts w:eastAsia="Calibri" w:cstheme="minorHAnsi"/>
          <w:szCs w:val="24"/>
        </w:rPr>
      </w:pPr>
      <w:r w:rsidRPr="004F6C11">
        <w:rPr>
          <w:rFonts w:eastAsia="Calibri" w:cstheme="minorHAnsi"/>
          <w:i/>
          <w:szCs w:val="24"/>
        </w:rPr>
        <w:t>Jauna tipa tirgus modeļu attīstība –</w:t>
      </w:r>
      <w:r w:rsidRPr="004F6C11">
        <w:rPr>
          <w:rFonts w:eastAsia="Calibri" w:cstheme="minorHAnsi"/>
          <w:iCs/>
          <w:szCs w:val="24"/>
        </w:rPr>
        <w:t xml:space="preserve"> tiešā tirdzniecība (P2P, agregācijas pakalpojumi, enerģija kā pakalpojums, vietējās kopienas enerģētiskās sistēmas. </w:t>
      </w:r>
    </w:p>
    <w:p w14:paraId="59836FD8" w14:textId="77777777" w:rsidR="003F78FD" w:rsidRPr="005D6EC6" w:rsidRDefault="003F78FD" w:rsidP="0007326F">
      <w:pPr>
        <w:spacing w:before="120" w:after="120" w:line="240" w:lineRule="auto"/>
        <w:jc w:val="both"/>
        <w:rPr>
          <w:rFonts w:eastAsia="Calibri" w:cstheme="minorHAnsi"/>
          <w:bCs/>
          <w:szCs w:val="24"/>
          <w:u w:val="single"/>
        </w:rPr>
      </w:pPr>
      <w:r>
        <w:rPr>
          <w:rFonts w:eastAsia="Calibri" w:cstheme="minorHAnsi"/>
          <w:bCs/>
          <w:szCs w:val="24"/>
          <w:u w:val="single"/>
        </w:rPr>
        <w:t>2</w:t>
      </w:r>
      <w:r w:rsidRPr="005D6EC6">
        <w:rPr>
          <w:rFonts w:eastAsia="Calibri" w:cstheme="minorHAnsi"/>
          <w:bCs/>
          <w:szCs w:val="24"/>
          <w:u w:val="single"/>
        </w:rPr>
        <w:t xml:space="preserve">) Pilnvērtīgas sasaistes starp P&amp;I īstenotājiem un ieinteresētajām pusēm pētniecības </w:t>
      </w:r>
      <w:r w:rsidRPr="005D6EC6">
        <w:rPr>
          <w:rFonts w:eastAsia="Calibri" w:cstheme="minorHAnsi"/>
          <w:b/>
          <w:szCs w:val="24"/>
          <w:u w:val="single"/>
        </w:rPr>
        <w:t>rezultātu komercializācijai</w:t>
      </w:r>
    </w:p>
    <w:p w14:paraId="22668BC2" w14:textId="77777777" w:rsidR="003F78FD" w:rsidRPr="005D6EC6" w:rsidRDefault="003F78FD" w:rsidP="0007326F">
      <w:pPr>
        <w:spacing w:before="120" w:after="120" w:line="240" w:lineRule="auto"/>
        <w:jc w:val="both"/>
        <w:rPr>
          <w:rFonts w:cstheme="minorHAnsi"/>
          <w:szCs w:val="24"/>
        </w:rPr>
      </w:pPr>
      <w:r w:rsidRPr="005D6EC6">
        <w:rPr>
          <w:rFonts w:cstheme="minorHAnsi"/>
          <w:szCs w:val="24"/>
        </w:rPr>
        <w:t xml:space="preserve">Plānā noteikto mērķu sasniegšanai P&amp;I ietvaros tik sniegts atbalsts vai nefinansiāli pasākumi savstarpējās sadarbības sekmēšanai starp komersantiem, augstākās izglītības iestādēm un pētniecības organizācijām, valsts un pašvaldību iestādēm, NVO u.c. ieinteresētajām pusēm jaunu tehnoloģiju un inovatīvu risinājumu ieviešanai. </w:t>
      </w:r>
      <w:r w:rsidRPr="005D6EC6">
        <w:rPr>
          <w:rFonts w:eastAsia="Calibri" w:cstheme="minorHAnsi"/>
          <w:szCs w:val="24"/>
        </w:rPr>
        <w:t>Uzņēmumu izaugsme un konkurētspēja ir balstīta spējā uz zinātnes bāzes radīt un pārdot pieprasītus, zināšanu ietilpīgus produktus un pakalpojumus, iekļaujoties arvien augstākas pievienotās vērtības globālajās ķēdēs. Līdz ar to Latvijai ir nepieciešams spēt pilnvērtīgi integrēties globālajās vērtību ķēdēs</w:t>
      </w:r>
    </w:p>
    <w:p w14:paraId="530C6698" w14:textId="77777777" w:rsidR="003F78FD" w:rsidRPr="005D6EC6" w:rsidRDefault="003F78FD" w:rsidP="0007326F">
      <w:pPr>
        <w:spacing w:before="120" w:after="120" w:line="240" w:lineRule="auto"/>
        <w:jc w:val="both"/>
        <w:rPr>
          <w:rFonts w:cstheme="minorHAnsi"/>
          <w:szCs w:val="24"/>
        </w:rPr>
      </w:pPr>
      <w:r w:rsidRPr="005D6EC6">
        <w:rPr>
          <w:rFonts w:cstheme="minorHAnsi"/>
          <w:szCs w:val="24"/>
        </w:rPr>
        <w:t>Lai sekmētu konkurētspēju un digitalizācijas attīstību uzņēmējdarbībā, tiks turpināts līdz šim uzsāktais darbs pie digitālās transformācijas. Detalizētāks turpmākās rīcības plāns ar pasākumiem konkurētspējas celšanai tiks iekļauts Nacionālās industriālās politikas pamatnostādnēs 2021.- 2027.gadam.</w:t>
      </w:r>
    </w:p>
    <w:p w14:paraId="1DC8BC3F" w14:textId="77777777" w:rsidR="003F78FD" w:rsidRPr="00765C88" w:rsidRDefault="003F78FD" w:rsidP="0007326F">
      <w:pPr>
        <w:spacing w:before="120" w:after="120" w:line="240" w:lineRule="auto"/>
        <w:jc w:val="both"/>
        <w:rPr>
          <w:rFonts w:cstheme="minorHAnsi"/>
          <w:b/>
          <w:i/>
          <w:sz w:val="4"/>
          <w:szCs w:val="4"/>
          <w:u w:val="single"/>
        </w:rPr>
      </w:pPr>
    </w:p>
    <w:p w14:paraId="38EA8D5C" w14:textId="387B3EEE" w:rsidR="003F78FD" w:rsidRDefault="0022577A" w:rsidP="0007326F">
      <w:pPr>
        <w:spacing w:before="120" w:after="120" w:line="240" w:lineRule="auto"/>
        <w:jc w:val="both"/>
        <w:rPr>
          <w:rFonts w:cstheme="minorHAnsi"/>
          <w:b/>
          <w:i/>
          <w:sz w:val="28"/>
          <w:szCs w:val="28"/>
          <w:u w:val="single"/>
        </w:rPr>
      </w:pPr>
      <w:r>
        <w:rPr>
          <w:rFonts w:cstheme="minorHAnsi"/>
          <w:b/>
          <w:i/>
          <w:sz w:val="28"/>
          <w:szCs w:val="28"/>
          <w:u w:val="single"/>
        </w:rPr>
        <w:t xml:space="preserve">Pārrobežu </w:t>
      </w:r>
      <w:r w:rsidR="003F78FD">
        <w:rPr>
          <w:rFonts w:cstheme="minorHAnsi"/>
          <w:b/>
          <w:i/>
          <w:sz w:val="28"/>
          <w:szCs w:val="28"/>
          <w:u w:val="single"/>
        </w:rPr>
        <w:t>sadarbība</w:t>
      </w:r>
    </w:p>
    <w:p w14:paraId="6984BAFB" w14:textId="77777777" w:rsidR="0022577A" w:rsidRPr="0022577A" w:rsidRDefault="0022577A" w:rsidP="0007326F">
      <w:pPr>
        <w:spacing w:before="120" w:after="120" w:line="240" w:lineRule="auto"/>
        <w:jc w:val="both"/>
        <w:rPr>
          <w:rFonts w:cstheme="minorHAnsi"/>
          <w:szCs w:val="24"/>
        </w:rPr>
      </w:pPr>
      <w:r w:rsidRPr="001E38CE">
        <w:rPr>
          <w:rFonts w:cstheme="minorHAnsi"/>
          <w:szCs w:val="24"/>
        </w:rPr>
        <w:t>Lai attīstītu kompetenci RIS3 īstenošanā un veidotu sadarbību P&amp;I jomā ar citiem ES reģioniem, Latvija kopš 2014. gada ir pievienojusies ES RIS3 platformai</w:t>
      </w:r>
      <w:r w:rsidRPr="001E38CE">
        <w:rPr>
          <w:rStyle w:val="FootnoteReference"/>
          <w:rFonts w:cstheme="minorHAnsi"/>
          <w:szCs w:val="24"/>
        </w:rPr>
        <w:footnoteReference w:id="149"/>
      </w:r>
      <w:r w:rsidRPr="001E38CE">
        <w:rPr>
          <w:rFonts w:cstheme="minorHAnsi"/>
          <w:szCs w:val="24"/>
        </w:rPr>
        <w:t>. To koordinē EK izveidotais Kopīgais pētniecības centrs, kurš darbojas kā EK RIS3 politikas ieviešanas analītiskā, informatīvā un sadarbību veidošanas platforma un monitoringa aģentūrā.</w:t>
      </w:r>
      <w:r w:rsidRPr="0022577A">
        <w:rPr>
          <w:rFonts w:cstheme="minorHAnsi"/>
          <w:szCs w:val="24"/>
        </w:rPr>
        <w:t xml:space="preserve"> </w:t>
      </w:r>
    </w:p>
    <w:p w14:paraId="24060E45" w14:textId="77777777" w:rsidR="0022577A" w:rsidRPr="0022577A" w:rsidRDefault="0022577A" w:rsidP="0007326F">
      <w:pPr>
        <w:spacing w:before="120" w:after="120" w:line="240" w:lineRule="auto"/>
        <w:jc w:val="both"/>
        <w:rPr>
          <w:rFonts w:cstheme="minorHAnsi"/>
          <w:szCs w:val="24"/>
        </w:rPr>
      </w:pPr>
      <w:r w:rsidRPr="0022577A">
        <w:rPr>
          <w:rFonts w:cstheme="minorHAnsi"/>
          <w:szCs w:val="24"/>
        </w:rPr>
        <w:t>2018.gadā tika noslēgts sadarbības līgums 2018.-2021.gadam par enerģētikas pētniecības sadarbību Baltijas valstu un Ziemeļvalstu starpā, kura vispārējais mērķis ir veicināt pētniecību un analīzi enerģētikas jomā Baltijas valstīs, Baltijas valstu savstarpējo sadarbību, Baltijas valstu sadarbību ar Ziemeļvalstīm, kā arī pētniecību Baltijas valstīs un Ziemeļvalstīs. Šo mērķi paredzēts sasniegt, īstenojot trīs galvenos pasākumus:</w:t>
      </w:r>
    </w:p>
    <w:p w14:paraId="175E33CD" w14:textId="77777777" w:rsidR="0022577A" w:rsidRPr="001E38CE" w:rsidRDefault="0022577A" w:rsidP="0007326F">
      <w:pPr>
        <w:pStyle w:val="ListParagraph"/>
        <w:numPr>
          <w:ilvl w:val="0"/>
          <w:numId w:val="73"/>
        </w:numPr>
        <w:spacing w:before="120" w:after="120" w:line="240" w:lineRule="auto"/>
        <w:ind w:left="397" w:hanging="397"/>
        <w:contextualSpacing w:val="0"/>
        <w:jc w:val="both"/>
        <w:rPr>
          <w:rFonts w:cstheme="minorHAnsi"/>
          <w:szCs w:val="24"/>
        </w:rPr>
      </w:pPr>
      <w:r w:rsidRPr="001E38CE">
        <w:rPr>
          <w:rFonts w:cstheme="minorHAnsi"/>
          <w:szCs w:val="24"/>
        </w:rPr>
        <w:t>Baltijas valstu savstarpējo pētniecības projektu un Baltijas valstu un Ziemeļvalstu pētniecības projektu veicināšanu ar Baltijas valstu pētnieku piedalīšanos;</w:t>
      </w:r>
    </w:p>
    <w:p w14:paraId="13F604EF" w14:textId="77777777" w:rsidR="0022577A" w:rsidRPr="004910BB" w:rsidRDefault="0022577A" w:rsidP="0007326F">
      <w:pPr>
        <w:pStyle w:val="ListParagraph"/>
        <w:numPr>
          <w:ilvl w:val="0"/>
          <w:numId w:val="73"/>
        </w:numPr>
        <w:spacing w:before="120" w:after="120" w:line="240" w:lineRule="auto"/>
        <w:ind w:left="397" w:hanging="397"/>
        <w:contextualSpacing w:val="0"/>
        <w:jc w:val="both"/>
        <w:rPr>
          <w:rFonts w:cstheme="minorHAnsi"/>
          <w:szCs w:val="24"/>
        </w:rPr>
      </w:pPr>
      <w:r w:rsidRPr="001E38CE">
        <w:rPr>
          <w:rFonts w:cstheme="minorHAnsi"/>
          <w:szCs w:val="24"/>
        </w:rPr>
        <w:t>Baltijas valstu un Ziemeļvalstu sadarbība attiecībā uz doktorantūrām;</w:t>
      </w:r>
    </w:p>
    <w:p w14:paraId="602806E9" w14:textId="77777777" w:rsidR="0022577A" w:rsidRPr="004910BB" w:rsidRDefault="0022577A" w:rsidP="0007326F">
      <w:pPr>
        <w:pStyle w:val="ListParagraph"/>
        <w:numPr>
          <w:ilvl w:val="0"/>
          <w:numId w:val="73"/>
        </w:numPr>
        <w:spacing w:before="120" w:after="120" w:line="240" w:lineRule="auto"/>
        <w:ind w:left="397" w:hanging="397"/>
        <w:contextualSpacing w:val="0"/>
        <w:jc w:val="both"/>
        <w:rPr>
          <w:rFonts w:cstheme="minorHAnsi"/>
          <w:szCs w:val="24"/>
        </w:rPr>
      </w:pPr>
      <w:r w:rsidRPr="004910BB">
        <w:rPr>
          <w:rFonts w:cstheme="minorHAnsi"/>
          <w:szCs w:val="24"/>
        </w:rPr>
        <w:t>Enerģētikas jomas pētnieku apmaiņu starp Baltijas valstīm un Ziemeļvalstīm.</w:t>
      </w:r>
    </w:p>
    <w:p w14:paraId="75B08294" w14:textId="2399969A" w:rsidR="003F78FD" w:rsidRPr="001E38CE" w:rsidRDefault="0022577A" w:rsidP="0007326F">
      <w:pPr>
        <w:spacing w:before="120" w:after="120" w:line="240" w:lineRule="auto"/>
        <w:jc w:val="both"/>
        <w:rPr>
          <w:rFonts w:cstheme="minorHAnsi"/>
          <w:szCs w:val="24"/>
        </w:rPr>
      </w:pPr>
      <w:r w:rsidRPr="0007326F">
        <w:rPr>
          <w:rFonts w:cstheme="minorHAnsi"/>
          <w:color w:val="000000"/>
          <w:szCs w:val="24"/>
        </w:rPr>
        <w:t>Kopš 2019. gada Latvijas ir uzsākusi aktīvu iesaisti Eiropas Tehnoloģiju un inovācijas platformā Baterijas Eiropa</w:t>
      </w:r>
      <w:r w:rsidR="003F78FD" w:rsidRPr="001E38CE">
        <w:rPr>
          <w:rFonts w:cstheme="minorHAnsi"/>
          <w:szCs w:val="24"/>
        </w:rPr>
        <w:t>.</w:t>
      </w:r>
    </w:p>
    <w:p w14:paraId="0F8E53E4" w14:textId="77777777" w:rsidR="003F78FD" w:rsidRPr="00E2491C" w:rsidRDefault="003F78FD" w:rsidP="0007326F">
      <w:pPr>
        <w:shd w:val="clear" w:color="auto" w:fill="E7E6E6" w:themeFill="background2"/>
        <w:spacing w:before="120" w:after="120" w:line="240" w:lineRule="auto"/>
        <w:jc w:val="both"/>
        <w:rPr>
          <w:rFonts w:ascii="Calibri" w:hAnsi="Calibri" w:cs="Times New Roman"/>
          <w:b/>
          <w:i/>
          <w:sz w:val="28"/>
          <w:szCs w:val="28"/>
        </w:rPr>
      </w:pPr>
      <w:r w:rsidRPr="00E2491C">
        <w:rPr>
          <w:rFonts w:ascii="Calibri" w:hAnsi="Calibri" w:cs="Times New Roman"/>
          <w:b/>
          <w:i/>
          <w:sz w:val="28"/>
          <w:szCs w:val="28"/>
        </w:rPr>
        <w:t>Saistītie rīcības virzieni</w:t>
      </w:r>
    </w:p>
    <w:p w14:paraId="62350980" w14:textId="07731CF7" w:rsidR="003F78FD" w:rsidRPr="00E2491C" w:rsidRDefault="003F78FD" w:rsidP="003F78FD">
      <w:pPr>
        <w:shd w:val="clear" w:color="auto" w:fill="E7E6E6" w:themeFill="background2"/>
        <w:spacing w:before="120" w:after="240" w:line="240" w:lineRule="auto"/>
        <w:jc w:val="both"/>
        <w:rPr>
          <w:rFonts w:ascii="Calibri" w:hAnsi="Calibri" w:cs="Times New Roman"/>
          <w:b/>
          <w:i/>
          <w:szCs w:val="24"/>
        </w:rPr>
      </w:pPr>
      <w:r w:rsidRPr="00B804DD">
        <w:rPr>
          <w:rFonts w:cstheme="minorHAnsi"/>
          <w:noProof/>
          <w:lang w:eastAsia="lv-LV"/>
        </w:rPr>
        <mc:AlternateContent>
          <mc:Choice Requires="wps">
            <w:drawing>
              <wp:anchor distT="0" distB="0" distL="114300" distR="114300" simplePos="0" relativeHeight="251662336" behindDoc="0" locked="0" layoutInCell="1" allowOverlap="1" wp14:anchorId="29E02660" wp14:editId="0D72F388">
                <wp:simplePos x="0" y="0"/>
                <wp:positionH relativeFrom="margin">
                  <wp:align>left</wp:align>
                </wp:positionH>
                <wp:positionV relativeFrom="paragraph">
                  <wp:posOffset>314960</wp:posOffset>
                </wp:positionV>
                <wp:extent cx="5779135" cy="819150"/>
                <wp:effectExtent l="0" t="0" r="0" b="0"/>
                <wp:wrapSquare wrapText="bothSides"/>
                <wp:docPr id="19" name="Rectangle: Single Corner Snipped 19"/>
                <wp:cNvGraphicFramePr/>
                <a:graphic xmlns:a="http://schemas.openxmlformats.org/drawingml/2006/main">
                  <a:graphicData uri="http://schemas.microsoft.com/office/word/2010/wordprocessingShape">
                    <wps:wsp>
                      <wps:cNvSpPr/>
                      <wps:spPr>
                        <a:xfrm>
                          <a:off x="0" y="0"/>
                          <a:ext cx="5779135" cy="819150"/>
                        </a:xfrm>
                        <a:prstGeom prst="snip1Rect">
                          <a:avLst/>
                        </a:prstGeom>
                        <a:solidFill>
                          <a:schemeClr val="accent6">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5B9C713F" w14:textId="74AB7652"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26" w:name="_Toc24408055"/>
                            <w:bookmarkStart w:id="527" w:name="_Toc24408114"/>
                            <w:r w:rsidRPr="0007326F">
                              <w:rPr>
                                <w:color w:val="FFFFFF" w:themeColor="background1"/>
                                <w:sz w:val="40"/>
                                <w:szCs w:val="40"/>
                              </w:rPr>
                              <w:t>Sabiedrības informēšana, izglītošana un izpratnes veicināšana</w:t>
                            </w:r>
                            <w:bookmarkEnd w:id="526"/>
                            <w:bookmarkEnd w:id="52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02660" id="Rectangle: Single Corner Snipped 19" o:spid="_x0000_s1028" style="position:absolute;left:0;text-align:left;margin-left:0;margin-top:24.8pt;width:455.05pt;height:64.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81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" adj="-11796480,,5400" path="m,l5642607,r136528,136528l5779135,819150,,819150,,xe" fillcolor="#538135 [2409]" stroked="f" strokeweight="1pt">
                <v:stroke joinstyle="miter"/>
                <v:formulas/>
                <v:path arrowok="t" o:connecttype="custom" o:connectlocs="0,0;5642607,0;5779135,136528;5779135,819150;0,819150;0,0" o:connectangles="0,0,0,0,0,0" textboxrect="0,0,5779135,819150"/>
                <v:textbox>
                  <w:txbxContent>
                    <w:p w14:paraId="5B9C713F" w14:textId="74AB7652"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32" w:name="_Toc24408055"/>
                      <w:bookmarkStart w:id="533" w:name="_Toc24408114"/>
                      <w:r w:rsidRPr="0007326F">
                        <w:rPr>
                          <w:color w:val="FFFFFF" w:themeColor="background1"/>
                          <w:sz w:val="40"/>
                          <w:szCs w:val="40"/>
                        </w:rPr>
                        <w:t>Sabiedrības informēšana, izglītošana un izpratnes veicināšana</w:t>
                      </w:r>
                      <w:bookmarkEnd w:id="532"/>
                      <w:bookmarkEnd w:id="533"/>
                    </w:p>
                  </w:txbxContent>
                </v:textbox>
                <w10:wrap type="square" anchorx="margin"/>
              </v:shape>
            </w:pict>
          </mc:Fallback>
        </mc:AlternateContent>
      </w:r>
      <w:r>
        <w:rPr>
          <w:rFonts w:ascii="Calibri" w:hAnsi="Calibri" w:cs="Times New Roman"/>
          <w:bCs/>
          <w:iCs/>
          <w:szCs w:val="24"/>
        </w:rPr>
        <w:t>V</w:t>
      </w:r>
      <w:r w:rsidRPr="00E2491C">
        <w:rPr>
          <w:rFonts w:ascii="Calibri" w:hAnsi="Calibri" w:cs="Times New Roman"/>
          <w:bCs/>
          <w:iCs/>
          <w:szCs w:val="24"/>
        </w:rPr>
        <w:t>isi NEKP iekļautie rīcības virzieni</w:t>
      </w:r>
    </w:p>
    <w:p w14:paraId="01D7BA32" w14:textId="71F60D8F" w:rsidR="00204E50" w:rsidRPr="00B804DD" w:rsidRDefault="00204E50" w:rsidP="00D11941">
      <w:pPr>
        <w:spacing w:before="120" w:after="120" w:line="240" w:lineRule="auto"/>
        <w:rPr>
          <w:rFonts w:cstheme="minorHAnsi"/>
          <w:b/>
          <w:i/>
          <w:sz w:val="28"/>
          <w:szCs w:val="28"/>
          <w:u w:val="single"/>
        </w:rPr>
      </w:pPr>
      <w:r w:rsidRPr="00B804DD">
        <w:rPr>
          <w:rFonts w:cstheme="minorHAnsi"/>
          <w:b/>
          <w:i/>
          <w:sz w:val="28"/>
          <w:szCs w:val="28"/>
          <w:u w:val="single"/>
        </w:rPr>
        <w:t>Esošā situācija</w:t>
      </w:r>
    </w:p>
    <w:bookmarkEnd w:id="525"/>
    <w:p w14:paraId="4C0ED399"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Lai gan Latvijā informēšanas pasākumi attiecībā uz energoefektivitātes pasākumu īstenošanu tiek veikti pietiekami aktīvi, tomēr šobrīd trūkst sabiedrības informēšanas un izglītošanas pasākumi attiecībā uz atjaunojamās enerģijas popularizēšanas pasākumi. Ņemot vērā obligātā iepirkuma komponentes problemātikas risināšanu, sabiedrības noskaņojums par atjaunojamās enerģijas izmantošanu ir mainīgs, jo sabiedrība ir gatava atbalstīt atjaunojamās enerģijas risinājumus, ja tas neietekmē viņu ikdienas dzīves ritmu un dzīves apstākļus. Cilvēki nav gatavi mainīt savus ikdienas paradumus kopīga mērķa sasniegšanai. Šobrīd sabiedrība tiek informēta par nepieciešamību izpildīt noteiktus mērķus un mainīt savus ikdienas paradumus, jo mērķu sasniegšana tiek noteikta kā obligāta, tomēr sabiedrībai netiek sniegta informācija par iemesliem, kāpēc minētie mērķi tika noteikti un kāpēc ir svarīgi šos mērķus sasniegt. Līdz ar to ir secināms, ka sabiedrība par enerģētikā īstenotiem pasākumiem netiek informēta atbilstoši, jo netiek sniegta informācija par ieguvumiem sabiedrībai, lai cilvēki būtu ar mieru mainīt savus ikdienas paradumus un, iespējams, atteikties no daļas sava komforta, lai sasniegtu kopējo sabiedrības labumu. Latvijā ES EnS politiku visvairāk asociē ar konkurētspējīgākām enerģētikas cenām iedzīvotājiem, kā arī ar fosilā kurināmā / degielas aizvietošanu ar AER, lai tai skaitā nodrošinātu klimata pārmaiņu mazināšanu.</w:t>
      </w:r>
      <w:r w:rsidRPr="00B804DD">
        <w:rPr>
          <w:rStyle w:val="FootnoteReference"/>
          <w:rFonts w:cstheme="minorHAnsi"/>
          <w:szCs w:val="24"/>
        </w:rPr>
        <w:footnoteReference w:id="150"/>
      </w:r>
      <w:r w:rsidRPr="00B804DD">
        <w:rPr>
          <w:rFonts w:cstheme="minorHAnsi"/>
          <w:szCs w:val="24"/>
        </w:rPr>
        <w:t xml:space="preserve"> </w:t>
      </w:r>
    </w:p>
    <w:p w14:paraId="6FD880B4"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Jaunākā informācija liecina, ka ES iedzīvotājiem klimata pārmaiņas ir otra svarīgākā problēma, lai gan 2018.gada rudenī ES iedzīvotājiem klimata pārmaiņas bija tikai piektā svarīgākā problēma. Latvijā vides, klimata pārmaiņu un enerģētikas jautājumi ir tikai 11.vietā no 13 pozīcijām</w:t>
      </w:r>
      <w:r w:rsidRPr="00B804DD">
        <w:rPr>
          <w:rStyle w:val="FootnoteReference"/>
          <w:rFonts w:cstheme="minorHAnsi"/>
          <w:szCs w:val="24"/>
        </w:rPr>
        <w:footnoteReference w:id="151"/>
      </w:r>
      <w:r w:rsidRPr="00B804DD">
        <w:rPr>
          <w:rFonts w:cstheme="minorHAnsi"/>
          <w:szCs w:val="24"/>
        </w:rPr>
        <w:t xml:space="preserve"> (kāpums par 2% salīdzinot ar 2018.gada rudeni), kur tikai Grieķijai un Horvātijai šie jautājumi ir vēl mazsvarīgāki nekā Latvijai.  Tomēr Latvijas iedzīvotāji pēdējā gada laikā kļuvuši pilsoniski aktīvāki, paužot savu atbalstu klimata pārmaiņu mazināšanai, piemēram, iesaistoties globālajā klimata streikā, organizējot vairākas ar zaļo politiku saistītas protesta akcijas, kas pulcēja vairākus simtus jauniešu. Latvijā jau ir izveidots klimata pārmaiņu jautājumiem veltīts portāls</w:t>
      </w:r>
      <w:r w:rsidRPr="00B804DD">
        <w:rPr>
          <w:rStyle w:val="FootnoteReference"/>
          <w:rFonts w:cstheme="minorHAnsi"/>
          <w:szCs w:val="24"/>
        </w:rPr>
        <w:footnoteReference w:id="152"/>
      </w:r>
      <w:r w:rsidRPr="00B804DD">
        <w:rPr>
          <w:rFonts w:cstheme="minorHAnsi"/>
          <w:szCs w:val="24"/>
        </w:rPr>
        <w:t>, kas informē sabiedrību par klimatu un tā aktualitātēm, iesaistot iedzīvotājus kopējās situācijas apzināšanā.</w:t>
      </w:r>
    </w:p>
    <w:p w14:paraId="0D6C615E" w14:textId="020B6AB0" w:rsidR="00204E50" w:rsidRPr="00B804DD" w:rsidRDefault="00204E50" w:rsidP="00217A1E">
      <w:pPr>
        <w:spacing w:before="120" w:after="120" w:line="240" w:lineRule="auto"/>
        <w:jc w:val="both"/>
        <w:rPr>
          <w:rFonts w:cstheme="minorHAnsi"/>
          <w:sz w:val="8"/>
          <w:szCs w:val="8"/>
        </w:rPr>
      </w:pPr>
      <w:r w:rsidRPr="00B804DD">
        <w:rPr>
          <w:rFonts w:cstheme="minorHAnsi"/>
          <w:szCs w:val="24"/>
        </w:rPr>
        <w:t>Ambiciozu SEG emisiju ilgtermiņa mērķu sasniegšanā liela loma būs veicinošai videi, t.sk. sabiedrības iesaistei un sociālajām transformācijām, tādēļ būtiski nodrošināt skaidrus ilgtermiņa signālus un sniegt nepieciešamās vadlīnijas, informācijas pieejamību risku novērtēšanai.</w:t>
      </w:r>
    </w:p>
    <w:p w14:paraId="11E0117E" w14:textId="77777777" w:rsidR="00204E50" w:rsidRPr="00B804DD" w:rsidRDefault="00204E50" w:rsidP="00217A1E">
      <w:pPr>
        <w:shd w:val="clear" w:color="auto" w:fill="E7E6E6" w:themeFill="background2"/>
        <w:spacing w:before="120" w:after="120" w:line="240" w:lineRule="auto"/>
        <w:rPr>
          <w:rFonts w:cstheme="minorHAnsi"/>
          <w:b/>
          <w:sz w:val="28"/>
          <w:szCs w:val="28"/>
          <w:u w:val="single"/>
        </w:rPr>
      </w:pPr>
      <w:r w:rsidRPr="00B804DD">
        <w:rPr>
          <w:rFonts w:cstheme="minorHAnsi"/>
          <w:b/>
          <w:sz w:val="28"/>
          <w:szCs w:val="28"/>
          <w:u w:val="single"/>
        </w:rPr>
        <w:t>Vēlamā situācija 2030.gadā:</w:t>
      </w:r>
    </w:p>
    <w:p w14:paraId="5C0BC70B" w14:textId="77777777" w:rsidR="00204E50" w:rsidRPr="00B804DD" w:rsidRDefault="00204E50" w:rsidP="00217A1E">
      <w:pPr>
        <w:pStyle w:val="ListParagraph"/>
        <w:numPr>
          <w:ilvl w:val="0"/>
          <w:numId w:val="34"/>
        </w:numPr>
        <w:shd w:val="clear" w:color="auto" w:fill="E7E6E6" w:themeFill="background2"/>
        <w:spacing w:before="120" w:after="120" w:line="240" w:lineRule="auto"/>
        <w:ind w:left="360"/>
        <w:contextualSpacing w:val="0"/>
        <w:rPr>
          <w:rFonts w:cstheme="minorHAnsi"/>
          <w:i/>
          <w:szCs w:val="24"/>
        </w:rPr>
      </w:pPr>
      <w:r w:rsidRPr="00B804DD">
        <w:rPr>
          <w:rFonts w:cstheme="minorHAnsi"/>
          <w:i/>
          <w:szCs w:val="24"/>
        </w:rPr>
        <w:t xml:space="preserve">Būtiski uzlabots sabiedrības ieinteresētības līmenis un sabiedrības iesaistīšanās enerģētikas un klimata problemātikas risināšanā, sabiedrības grupas aktīvi īsteno resursefektivitātes uzlabošanas projektus </w:t>
      </w:r>
    </w:p>
    <w:p w14:paraId="4ADFDAA5" w14:textId="77777777" w:rsidR="00204E50" w:rsidRPr="00B804DD" w:rsidRDefault="00204E50" w:rsidP="00217A1E">
      <w:pPr>
        <w:pStyle w:val="ListParagraph"/>
        <w:numPr>
          <w:ilvl w:val="0"/>
          <w:numId w:val="34"/>
        </w:numPr>
        <w:shd w:val="clear" w:color="auto" w:fill="E7E6E6" w:themeFill="background2"/>
        <w:spacing w:before="120" w:after="120" w:line="240" w:lineRule="auto"/>
        <w:ind w:left="360"/>
        <w:contextualSpacing w:val="0"/>
        <w:rPr>
          <w:rFonts w:cstheme="minorHAnsi"/>
          <w:i/>
          <w:szCs w:val="24"/>
        </w:rPr>
      </w:pPr>
      <w:r w:rsidRPr="00B804DD">
        <w:rPr>
          <w:rFonts w:cstheme="minorHAnsi"/>
          <w:i/>
          <w:szCs w:val="24"/>
        </w:rPr>
        <w:t>Izglītošana par resursefektivitāti un ilgtspējīgu dzīvesveidu notiek jau sākot ar pirmsskolas izglītības iestādēm</w:t>
      </w:r>
    </w:p>
    <w:p w14:paraId="08D3CA21" w14:textId="77777777" w:rsidR="00204E50" w:rsidRPr="00B804DD" w:rsidRDefault="00204E50" w:rsidP="00217A1E">
      <w:pPr>
        <w:pStyle w:val="ListParagraph"/>
        <w:numPr>
          <w:ilvl w:val="0"/>
          <w:numId w:val="34"/>
        </w:numPr>
        <w:shd w:val="clear" w:color="auto" w:fill="E7E6E6" w:themeFill="background2"/>
        <w:spacing w:before="120" w:after="120" w:line="240" w:lineRule="auto"/>
        <w:ind w:left="360"/>
        <w:contextualSpacing w:val="0"/>
        <w:rPr>
          <w:rFonts w:cstheme="minorHAnsi"/>
          <w:i/>
          <w:szCs w:val="24"/>
        </w:rPr>
      </w:pPr>
      <w:r w:rsidRPr="00B804DD">
        <w:rPr>
          <w:rFonts w:cstheme="minorHAnsi"/>
          <w:i/>
          <w:szCs w:val="24"/>
        </w:rPr>
        <w:t>Enerģētikas un klimata problemātikas risināšanas nosacījumi ir pilnībā integrēti attīstības plānošanā gan valsts, gan pašvaldību līmenī</w:t>
      </w:r>
    </w:p>
    <w:p w14:paraId="3FFE13D4" w14:textId="77777777" w:rsidR="00204E50" w:rsidRPr="00B804DD" w:rsidRDefault="00204E50" w:rsidP="00217A1E">
      <w:pPr>
        <w:shd w:val="clear" w:color="auto" w:fill="E7E6E6" w:themeFill="background2"/>
        <w:spacing w:before="120" w:after="120" w:line="240" w:lineRule="auto"/>
        <w:rPr>
          <w:rFonts w:cstheme="minorHAnsi"/>
          <w:b/>
          <w:sz w:val="28"/>
          <w:szCs w:val="28"/>
          <w:u w:val="single"/>
        </w:rPr>
      </w:pPr>
      <w:r w:rsidRPr="00B804DD">
        <w:rPr>
          <w:rFonts w:cstheme="minorHAnsi"/>
          <w:b/>
          <w:sz w:val="28"/>
          <w:szCs w:val="28"/>
          <w:u w:val="single"/>
        </w:rPr>
        <w:t>Ieguvumi sabiedrībai un tautsaimniecībai:</w:t>
      </w:r>
    </w:p>
    <w:p w14:paraId="114B7C91" w14:textId="77777777" w:rsidR="00204E50" w:rsidRPr="00B804DD" w:rsidRDefault="00204E50" w:rsidP="00217A1E">
      <w:pPr>
        <w:pStyle w:val="ListParagraph"/>
        <w:numPr>
          <w:ilvl w:val="0"/>
          <w:numId w:val="33"/>
        </w:numPr>
        <w:shd w:val="clear" w:color="auto" w:fill="E7E6E6" w:themeFill="background2"/>
        <w:spacing w:before="120" w:after="120" w:line="240" w:lineRule="auto"/>
        <w:ind w:left="360" w:hanging="360"/>
        <w:contextualSpacing w:val="0"/>
        <w:rPr>
          <w:rFonts w:cstheme="minorHAnsi"/>
          <w:i/>
          <w:szCs w:val="24"/>
        </w:rPr>
      </w:pPr>
      <w:r w:rsidRPr="00B804DD">
        <w:rPr>
          <w:rFonts w:cstheme="minorHAnsi"/>
          <w:i/>
          <w:szCs w:val="24"/>
        </w:rPr>
        <w:t>uzlabots izglītības līmenis un izglītošanās kapacitāte, nodrošinot ilgtermiņa ieguldījumus P&amp;A, P&amp;I</w:t>
      </w:r>
    </w:p>
    <w:p w14:paraId="17F68445" w14:textId="77777777" w:rsidR="00204E50" w:rsidRPr="00B804DD" w:rsidRDefault="00204E50" w:rsidP="00217A1E">
      <w:pPr>
        <w:pStyle w:val="ListParagraph"/>
        <w:numPr>
          <w:ilvl w:val="0"/>
          <w:numId w:val="33"/>
        </w:numPr>
        <w:shd w:val="clear" w:color="auto" w:fill="E7E6E6" w:themeFill="background2"/>
        <w:spacing w:before="120" w:after="120" w:line="240" w:lineRule="auto"/>
        <w:ind w:left="360" w:hanging="360"/>
        <w:contextualSpacing w:val="0"/>
        <w:rPr>
          <w:rFonts w:cstheme="minorHAnsi"/>
          <w:i/>
          <w:szCs w:val="24"/>
        </w:rPr>
      </w:pPr>
      <w:r w:rsidRPr="00B804DD">
        <w:rPr>
          <w:rFonts w:cstheme="minorHAnsi"/>
          <w:i/>
          <w:szCs w:val="24"/>
        </w:rPr>
        <w:t>iesaistīta un ieinteresēta sabiedrība veic gaisa kvalitātes, resursefektivitātes un ilgtspējīguma uzlabošanas pasākumus, vienlaicīgi sev samazinot ar resursu izmantošanu saistītās izmaksas</w:t>
      </w:r>
    </w:p>
    <w:p w14:paraId="2BC417BC" w14:textId="71B1DBB5" w:rsidR="00204E50" w:rsidRPr="00B804DD" w:rsidRDefault="00204E50" w:rsidP="00217A1E">
      <w:pPr>
        <w:spacing w:before="120" w:after="120" w:line="240" w:lineRule="auto"/>
        <w:jc w:val="both"/>
        <w:rPr>
          <w:rFonts w:cstheme="minorHAnsi"/>
          <w:b/>
          <w:i/>
          <w:sz w:val="28"/>
          <w:szCs w:val="28"/>
          <w:u w:val="single"/>
        </w:rPr>
      </w:pPr>
      <w:r w:rsidRPr="00B804DD">
        <w:rPr>
          <w:rFonts w:cstheme="minorHAnsi"/>
          <w:b/>
          <w:i/>
          <w:sz w:val="28"/>
          <w:szCs w:val="28"/>
          <w:u w:val="single"/>
        </w:rPr>
        <w:t xml:space="preserve">Galvenie </w:t>
      </w:r>
      <w:r>
        <w:rPr>
          <w:rFonts w:cstheme="minorHAnsi"/>
          <w:b/>
          <w:i/>
          <w:sz w:val="28"/>
          <w:szCs w:val="28"/>
          <w:u w:val="single"/>
        </w:rPr>
        <w:t>problēmjautājumi</w:t>
      </w:r>
    </w:p>
    <w:p w14:paraId="1CCF61BD" w14:textId="77777777" w:rsidR="00204E50" w:rsidRPr="00B804DD" w:rsidRDefault="00204E50" w:rsidP="00217A1E">
      <w:pPr>
        <w:spacing w:before="120" w:after="120" w:line="240" w:lineRule="auto"/>
        <w:jc w:val="both"/>
        <w:rPr>
          <w:rFonts w:cstheme="minorHAnsi"/>
          <w:b/>
          <w:bCs/>
          <w:szCs w:val="24"/>
          <w:u w:val="single"/>
        </w:rPr>
      </w:pPr>
      <w:r w:rsidRPr="00B804DD">
        <w:rPr>
          <w:rFonts w:cstheme="minorHAnsi"/>
          <w:szCs w:val="24"/>
          <w:u w:val="single"/>
        </w:rPr>
        <w:t xml:space="preserve">1) </w:t>
      </w:r>
      <w:r w:rsidRPr="00B804DD">
        <w:rPr>
          <w:rFonts w:cstheme="minorHAnsi"/>
          <w:b/>
          <w:bCs/>
          <w:szCs w:val="24"/>
          <w:u w:val="single"/>
        </w:rPr>
        <w:t xml:space="preserve">Neefektīvi un nekoncentrēti </w:t>
      </w:r>
      <w:r w:rsidRPr="00B804DD">
        <w:rPr>
          <w:rFonts w:cstheme="minorHAnsi"/>
          <w:szCs w:val="24"/>
          <w:u w:val="single"/>
        </w:rPr>
        <w:t>sabiedrības informēšanas pasākumi</w:t>
      </w:r>
    </w:p>
    <w:p w14:paraId="5AE54C5A"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Katram Latvijas iedzīvotājam ir nozīmīga loma enerģētikas un klimata mērķu sasniegšanā, jo ikdienas dzīves veids, patēriņš, lēmumi, ietekmēt to cik daudz resursi tiek patērēti un cik daudz SEG emisijas radītas. Sabiedrībai nav noformulējusies izpratne, ka pilnīgi visas ikdienas darbības un ikdienas aktivitātes atstāj ietekmi uz SEG emisiju apjomu, CO</w:t>
      </w:r>
      <w:r w:rsidRPr="00B804DD">
        <w:rPr>
          <w:rFonts w:cstheme="minorHAnsi"/>
          <w:szCs w:val="24"/>
          <w:vertAlign w:val="subscript"/>
        </w:rPr>
        <w:t>2</w:t>
      </w:r>
      <w:r w:rsidRPr="00B804DD">
        <w:rPr>
          <w:rFonts w:cstheme="minorHAnsi"/>
          <w:szCs w:val="24"/>
        </w:rPr>
        <w:t xml:space="preserve"> piesaisti, gaisa kvalitāti, resursu patēriņu, jo cilvēka dzīves veida nodrošināšana vienmēr atstāj oglekļa pēdu</w:t>
      </w:r>
      <w:r w:rsidRPr="00B804DD">
        <w:rPr>
          <w:rStyle w:val="FootnoteReference"/>
          <w:rFonts w:cstheme="minorHAnsi"/>
          <w:szCs w:val="24"/>
        </w:rPr>
        <w:footnoteReference w:id="153"/>
      </w:r>
      <w:r w:rsidRPr="00B804DD">
        <w:rPr>
          <w:rFonts w:cstheme="minorHAnsi"/>
          <w:szCs w:val="24"/>
        </w:rPr>
        <w:t>.</w:t>
      </w:r>
    </w:p>
    <w:p w14:paraId="29AEF77B"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Šobrīd, lai gan sabiedrības informēšanas pasākumi ir veikti pietiekami bieži, tomēr tie ir ļoti sadrumstaloti. Sabiedrības informēšana galvenokārt tiek veikta:</w:t>
      </w:r>
    </w:p>
    <w:p w14:paraId="3858FAE8" w14:textId="77777777" w:rsidR="00204E50" w:rsidRPr="00B804DD" w:rsidRDefault="00204E50" w:rsidP="00847BE3">
      <w:pPr>
        <w:pStyle w:val="ListParagraph"/>
        <w:numPr>
          <w:ilvl w:val="0"/>
          <w:numId w:val="35"/>
        </w:numPr>
        <w:spacing w:before="120" w:after="120" w:line="240" w:lineRule="auto"/>
        <w:ind w:left="397" w:hanging="397"/>
        <w:contextualSpacing w:val="0"/>
        <w:jc w:val="both"/>
        <w:rPr>
          <w:rFonts w:cstheme="minorHAnsi"/>
          <w:szCs w:val="24"/>
        </w:rPr>
      </w:pPr>
      <w:r w:rsidRPr="00B804DD">
        <w:rPr>
          <w:rFonts w:cstheme="minorHAnsi"/>
          <w:szCs w:val="24"/>
        </w:rPr>
        <w:t>kad nepieciešams informēt par kāda politikas plānošanas dokumenta vai attīstības plānošanas dokumenta izstrādi;</w:t>
      </w:r>
    </w:p>
    <w:p w14:paraId="489E6C39" w14:textId="77777777" w:rsidR="00204E50" w:rsidRPr="00B804DD" w:rsidRDefault="00204E50" w:rsidP="00847BE3">
      <w:pPr>
        <w:pStyle w:val="ListParagraph"/>
        <w:numPr>
          <w:ilvl w:val="0"/>
          <w:numId w:val="35"/>
        </w:numPr>
        <w:spacing w:before="120" w:after="120" w:line="240" w:lineRule="auto"/>
        <w:ind w:left="397" w:hanging="397"/>
        <w:contextualSpacing w:val="0"/>
        <w:jc w:val="both"/>
        <w:rPr>
          <w:rFonts w:cstheme="minorHAnsi"/>
          <w:szCs w:val="24"/>
        </w:rPr>
      </w:pPr>
      <w:r w:rsidRPr="00B804DD">
        <w:rPr>
          <w:rFonts w:cstheme="minorHAnsi"/>
          <w:szCs w:val="24"/>
        </w:rPr>
        <w:t>kad ir nepieciešams popularizēt ES fondu finansējumu vai pieteikšanos uz šī finansējuma sadali;</w:t>
      </w:r>
    </w:p>
    <w:p w14:paraId="00AAADAA" w14:textId="77777777" w:rsidR="00204E50" w:rsidRPr="00B804DD" w:rsidRDefault="00204E50" w:rsidP="00847BE3">
      <w:pPr>
        <w:pStyle w:val="ListParagraph"/>
        <w:numPr>
          <w:ilvl w:val="0"/>
          <w:numId w:val="35"/>
        </w:numPr>
        <w:spacing w:before="120" w:after="120" w:line="240" w:lineRule="auto"/>
        <w:ind w:left="397" w:hanging="397"/>
        <w:contextualSpacing w:val="0"/>
        <w:jc w:val="both"/>
        <w:rPr>
          <w:rFonts w:cstheme="minorHAnsi"/>
          <w:szCs w:val="24"/>
        </w:rPr>
      </w:pPr>
      <w:r w:rsidRPr="00B804DD">
        <w:rPr>
          <w:rFonts w:cstheme="minorHAnsi"/>
          <w:szCs w:val="24"/>
        </w:rPr>
        <w:t>kad ir nepieciešams informēt sabiedrību par kāda jauna ES vai DV tiesību akta izstrādi.</w:t>
      </w:r>
    </w:p>
    <w:p w14:paraId="2ED4F5E7"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Nepieciešams sabiedrībai radīt vēlmi mainīties pašai un pašai rast vēlmi sev nodrošināt gaisa kvalitātes uzlabošanu, izmaksu samazināšanu, kas saistīta ar resursu izmantošanu  un vispārīgās dzīves kvalitātes uzlabošanu.</w:t>
      </w:r>
    </w:p>
    <w:p w14:paraId="3AEA59AA" w14:textId="77777777" w:rsidR="00204E50" w:rsidRPr="00B804DD" w:rsidRDefault="00204E50" w:rsidP="00204E50">
      <w:pPr>
        <w:spacing w:before="120" w:after="120" w:line="240" w:lineRule="auto"/>
        <w:jc w:val="both"/>
        <w:rPr>
          <w:rFonts w:cstheme="minorHAnsi"/>
          <w:szCs w:val="24"/>
          <w:u w:val="single"/>
        </w:rPr>
      </w:pPr>
      <w:r w:rsidRPr="00B804DD">
        <w:rPr>
          <w:rFonts w:cstheme="minorHAnsi"/>
          <w:szCs w:val="24"/>
          <w:u w:val="single"/>
        </w:rPr>
        <w:t xml:space="preserve">2) Neefektīvi un bieži novēloti </w:t>
      </w:r>
      <w:r w:rsidRPr="00B804DD">
        <w:rPr>
          <w:rFonts w:cstheme="minorHAnsi"/>
          <w:b/>
          <w:bCs/>
          <w:szCs w:val="24"/>
          <w:u w:val="single"/>
        </w:rPr>
        <w:t>izglītošanas pasākumi</w:t>
      </w:r>
    </w:p>
    <w:p w14:paraId="4B7E9D52"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Šobrīd pašās izglītības iestādēs tiek nolemts vai un kādā apjomā tiks veikti skolēnu vai studentu izglītošanas pasākumi par resursefektivitāti, ilgtspējīgu dzīves veidu, un līdz ar to par enerģētikas un klimata problemātiku risināšanu. Nav izveidoti un valstiskā līmenī ieviesti harmonizēti resursefektivitātes un ilgtspējas izglītošanas pasākumi.</w:t>
      </w:r>
    </w:p>
    <w:p w14:paraId="53662AC1"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Tāpat pārāk maz tiek plānoti un specifiski mērķēti izglītošanas pasākumi par ilgtspējīgu saimniekošanu, un liela daļa veikto izglītošanas pasākumu nedod vēlamo rezultātu. Esošo pasākumu īstenošanas efektivitāte netiek uzraudzīta vai izvērtēta.</w:t>
      </w:r>
    </w:p>
    <w:p w14:paraId="11831165" w14:textId="77777777" w:rsidR="00204E50" w:rsidRPr="00B804DD" w:rsidRDefault="00204E50" w:rsidP="00204E50">
      <w:pPr>
        <w:spacing w:before="120" w:after="120" w:line="240" w:lineRule="auto"/>
        <w:jc w:val="both"/>
        <w:rPr>
          <w:rFonts w:cstheme="minorHAnsi"/>
          <w:szCs w:val="24"/>
          <w:u w:val="single"/>
        </w:rPr>
      </w:pPr>
      <w:r w:rsidRPr="00B804DD">
        <w:rPr>
          <w:rFonts w:cstheme="minorHAnsi"/>
          <w:szCs w:val="24"/>
          <w:u w:val="single"/>
        </w:rPr>
        <w:t xml:space="preserve">3) Nepietiekama </w:t>
      </w:r>
      <w:r w:rsidRPr="00B804DD">
        <w:rPr>
          <w:rFonts w:cstheme="minorHAnsi"/>
          <w:b/>
          <w:bCs/>
          <w:szCs w:val="24"/>
          <w:u w:val="single"/>
        </w:rPr>
        <w:t>pašvaldību ieinteresētība un informēšana</w:t>
      </w:r>
    </w:p>
    <w:p w14:paraId="6C3F1D04" w14:textId="77777777" w:rsidR="00204E50" w:rsidRPr="00B804DD" w:rsidRDefault="00204E50" w:rsidP="00204E50">
      <w:pPr>
        <w:spacing w:before="120" w:after="120" w:line="240" w:lineRule="auto"/>
        <w:jc w:val="both"/>
        <w:rPr>
          <w:rFonts w:cstheme="minorHAnsi"/>
          <w:szCs w:val="24"/>
        </w:rPr>
      </w:pPr>
      <w:r w:rsidRPr="00B804DD">
        <w:rPr>
          <w:rFonts w:cstheme="minorHAnsi"/>
          <w:szCs w:val="24"/>
        </w:rPr>
        <w:t>Tieši pašvaldības un to darbinieki bieži ir tie, pie kuriem vēršas iedzīvotāji pēc informācijas vai pēc padoma. Pašvaldību darbinieki vislabāk pārzin situāciju savā administratīvajā teritorijā, kā arī pašvaldības ir atbildīgas par pašvaldības ēku energoefektivitātes uzlabošanu, par centralizētās siltumapgādes sistēmas attīstību, par nosacījumiem individuālai un lokālai siltumapgādei, par nosacījumiem attiecībā uz atkritumu un notekūdeņu apsaimniekošanu vai lauksaimnieciskajām darbībām. Pašvaldībām ir arī iespēja veicināt vai bremzēt energoresursu vai tehnoloģiju izmantošanu.</w:t>
      </w:r>
    </w:p>
    <w:p w14:paraId="4C490DAD" w14:textId="77777777" w:rsidR="00204E50" w:rsidRDefault="00204E50" w:rsidP="00204E50">
      <w:pPr>
        <w:spacing w:before="120" w:after="120" w:line="240" w:lineRule="auto"/>
        <w:jc w:val="both"/>
        <w:rPr>
          <w:rFonts w:cstheme="minorHAnsi"/>
          <w:szCs w:val="24"/>
        </w:rPr>
      </w:pPr>
      <w:r w:rsidRPr="00B804DD">
        <w:rPr>
          <w:rFonts w:cstheme="minorHAnsi"/>
          <w:szCs w:val="24"/>
        </w:rPr>
        <w:t xml:space="preserve">Tomēr šobrīd jāsecina, ka pašvaldību  iespējas nodrošināt pietiekamu kapacitāti un iedzīvotāju iesaisti nepieciešamo pasākumu īstenošanā </w:t>
      </w:r>
      <w:r>
        <w:rPr>
          <w:rFonts w:cstheme="minorHAnsi"/>
          <w:szCs w:val="24"/>
        </w:rPr>
        <w:t>nav pietiekama</w:t>
      </w:r>
      <w:r w:rsidRPr="00B804DD">
        <w:rPr>
          <w:rFonts w:cstheme="minorHAnsi"/>
          <w:szCs w:val="24"/>
        </w:rPr>
        <w:t xml:space="preserve"> ierobežota finansējuma, kapacitātes un noteikto citu prioritāšu dēļ.</w:t>
      </w:r>
      <w:r>
        <w:rPr>
          <w:rFonts w:cstheme="minorHAnsi"/>
          <w:szCs w:val="24"/>
        </w:rPr>
        <w:t xml:space="preserve"> Ņemot vērā sarežģīto līdzfinansējuma saņemšanas procedūru energoefektivitātes uzlabošanas pasākumu veikšanai, pašvaldībās ir nepieciešams nodrošināt lielāku administratīvo palīdzību iedzīvotājiem dokumentācijas sagatavošanā un procedūru īstenošanā.</w:t>
      </w:r>
    </w:p>
    <w:p w14:paraId="402DD944" w14:textId="77777777" w:rsidR="00204E50" w:rsidRPr="00B804DD" w:rsidRDefault="00204E50" w:rsidP="00204E50">
      <w:pPr>
        <w:shd w:val="clear" w:color="auto" w:fill="E7E6E6" w:themeFill="background2"/>
        <w:spacing w:before="120" w:after="120" w:line="240" w:lineRule="auto"/>
        <w:rPr>
          <w:rFonts w:cstheme="minorHAnsi"/>
          <w:b/>
          <w:i/>
          <w:sz w:val="28"/>
          <w:szCs w:val="28"/>
        </w:rPr>
      </w:pPr>
      <w:r w:rsidRPr="00B804DD">
        <w:rPr>
          <w:rFonts w:cstheme="minorHAnsi"/>
          <w:b/>
          <w:i/>
          <w:sz w:val="28"/>
          <w:szCs w:val="28"/>
        </w:rPr>
        <w:t xml:space="preserve">Galvenais rīcības virziens </w:t>
      </w:r>
      <w:r w:rsidRPr="00B804DD">
        <w:rPr>
          <w:rFonts w:cstheme="minorHAnsi"/>
          <w:b/>
          <w:i/>
          <w:szCs w:val="24"/>
        </w:rPr>
        <w:t>(12. rīcības virziens)</w:t>
      </w:r>
    </w:p>
    <w:p w14:paraId="39F4DA00" w14:textId="77777777" w:rsidR="00204E50" w:rsidRPr="00B804DD" w:rsidRDefault="00204E50" w:rsidP="00204E50">
      <w:pPr>
        <w:shd w:val="clear" w:color="auto" w:fill="E7E6E6" w:themeFill="background2"/>
        <w:spacing w:before="120" w:after="120" w:line="240" w:lineRule="auto"/>
        <w:rPr>
          <w:rFonts w:cstheme="minorHAnsi"/>
          <w:b/>
          <w:iCs/>
          <w:szCs w:val="24"/>
          <w:u w:val="single"/>
        </w:rPr>
      </w:pPr>
      <w:r w:rsidRPr="00B804DD">
        <w:rPr>
          <w:rFonts w:cstheme="minorHAnsi"/>
          <w:b/>
          <w:iCs/>
          <w:szCs w:val="24"/>
          <w:u w:val="single"/>
        </w:rPr>
        <w:t>Sabiedrības informēšana, izglītošana un izpratnes veicināšana</w:t>
      </w:r>
    </w:p>
    <w:p w14:paraId="3F7C141A" w14:textId="77777777" w:rsidR="00204E50" w:rsidRPr="00B804DD" w:rsidRDefault="00204E50" w:rsidP="00204E50">
      <w:pPr>
        <w:spacing w:before="120" w:after="120" w:line="240" w:lineRule="auto"/>
        <w:jc w:val="both"/>
        <w:rPr>
          <w:rFonts w:cstheme="minorHAnsi"/>
          <w:b/>
          <w:i/>
          <w:sz w:val="28"/>
          <w:szCs w:val="28"/>
          <w:u w:val="single"/>
        </w:rPr>
      </w:pPr>
      <w:bookmarkStart w:id="528" w:name="_Hlk14421965"/>
      <w:r w:rsidRPr="00B804DD">
        <w:rPr>
          <w:rFonts w:cstheme="minorHAnsi"/>
          <w:b/>
          <w:i/>
          <w:sz w:val="28"/>
          <w:szCs w:val="28"/>
          <w:u w:val="single"/>
        </w:rPr>
        <w:t>Galvenās rīcības un pasākumi</w:t>
      </w:r>
    </w:p>
    <w:bookmarkEnd w:id="528"/>
    <w:p w14:paraId="161C0250" w14:textId="7CD7ABC8" w:rsidR="00204E50" w:rsidRPr="00B804DD" w:rsidRDefault="00204E50" w:rsidP="00204E50">
      <w:pPr>
        <w:spacing w:before="120" w:after="120" w:line="240" w:lineRule="auto"/>
        <w:jc w:val="both"/>
        <w:rPr>
          <w:rFonts w:eastAsia="Calibri" w:cstheme="minorHAnsi"/>
          <w:szCs w:val="24"/>
          <w:u w:val="single"/>
        </w:rPr>
      </w:pPr>
      <w:r w:rsidRPr="00B804DD">
        <w:rPr>
          <w:rFonts w:eastAsia="Calibri" w:cstheme="minorHAnsi"/>
          <w:szCs w:val="24"/>
          <w:u w:val="single"/>
        </w:rPr>
        <w:t xml:space="preserve">1) uzlabot </w:t>
      </w:r>
      <w:r w:rsidRPr="00B804DD">
        <w:rPr>
          <w:rFonts w:eastAsia="Calibri" w:cstheme="minorHAnsi"/>
          <w:b/>
          <w:bCs/>
          <w:szCs w:val="24"/>
          <w:u w:val="single"/>
        </w:rPr>
        <w:t>sabiedrības izpratni par resursefektivitāti</w:t>
      </w:r>
      <w:r w:rsidRPr="00B804DD">
        <w:rPr>
          <w:rFonts w:eastAsia="Calibri" w:cstheme="minorHAnsi"/>
          <w:szCs w:val="24"/>
          <w:u w:val="single"/>
        </w:rPr>
        <w:t xml:space="preserve"> un nodrošināt </w:t>
      </w:r>
      <w:r w:rsidRPr="00B804DD">
        <w:rPr>
          <w:rFonts w:eastAsia="Calibri" w:cstheme="minorHAnsi"/>
          <w:b/>
          <w:bCs/>
          <w:szCs w:val="24"/>
          <w:u w:val="single"/>
        </w:rPr>
        <w:t>sabiedrības iesaisti enerģētikas pasākumu veikšanā</w:t>
      </w:r>
      <w:r w:rsidRPr="00B804DD">
        <w:rPr>
          <w:rFonts w:eastAsia="Calibri" w:cstheme="minorHAnsi"/>
          <w:szCs w:val="24"/>
          <w:u w:val="single"/>
        </w:rPr>
        <w:t xml:space="preserve"> (12.1.</w:t>
      </w:r>
      <w:r w:rsidR="005C0161">
        <w:rPr>
          <w:rFonts w:eastAsia="Calibri" w:cstheme="minorHAnsi"/>
          <w:szCs w:val="24"/>
          <w:u w:val="single"/>
        </w:rPr>
        <w:t>, 12.2.</w:t>
      </w:r>
      <w:r w:rsidRPr="00B804DD">
        <w:rPr>
          <w:rFonts w:eastAsia="Calibri" w:cstheme="minorHAnsi"/>
          <w:szCs w:val="24"/>
          <w:u w:val="single"/>
        </w:rPr>
        <w:t>pasākums)</w:t>
      </w:r>
    </w:p>
    <w:p w14:paraId="4B918656" w14:textId="77777777" w:rsidR="00204E50" w:rsidRPr="00B804DD" w:rsidRDefault="00204E50" w:rsidP="00204E50">
      <w:pPr>
        <w:spacing w:before="120" w:after="120" w:line="240" w:lineRule="auto"/>
        <w:jc w:val="both"/>
        <w:rPr>
          <w:rFonts w:eastAsia="Calibri" w:cstheme="minorHAnsi"/>
          <w:szCs w:val="24"/>
        </w:rPr>
      </w:pPr>
      <w:r w:rsidRPr="00B804DD">
        <w:rPr>
          <w:rFonts w:eastAsia="Calibri" w:cstheme="minorHAnsi"/>
          <w:szCs w:val="24"/>
        </w:rPr>
        <w:t>Ņemot vērā nosacījumu par nepieciešamību īstenot “energoefektivitāte pirmajā vietā” un resursefektivitātes mērķi, ir nepieciešams turpināt uzlabot sabiedrības izpratni par nepieciešamību veikt energoefektivitātes pasākumus visās nozarēs ne tikai ēku siltināšanas pasākumus. Tāpat ir nepieciešams uzlabot sabiedrības izpratni par resursefektivitāti, lai veicinātu un nodrošinātu sabiedrības paradumu maiņu, kā arī lai veicinātu videi un klimatam draudzīgu dzīvesveidu. Tāpēc tiek ierosināts turpināt programmu “Dzīvo siltāk”, kas tiek īstenota, lai uzlabotu iedzīvotāju iesaistīšanos ēku siltināšanas programmās un lai uzlabotu iedzīvotāju vēlmi pieteikties ēku siltināšanai pieejamajam finansējumam, tāpat tiek piedāvāts īstenot mērķtiecīgas un pastāvīgas informatīvās kampaņas par resursefektivitāti, par paradumu maiņu videi un klimatam draudzīga dzīvesveidam. Izvirzītie pasākumi ne tikai palīdz virzīties uz klimatam draudzīgāku saimniekošanu, bet arī uzlabo iedzīvotāju dzīves kvalitāti.</w:t>
      </w:r>
    </w:p>
    <w:p w14:paraId="28DB71D4" w14:textId="60F4BB6A" w:rsidR="00204E50" w:rsidRDefault="00204E50" w:rsidP="00204E50">
      <w:pPr>
        <w:spacing w:before="120" w:after="120" w:line="240" w:lineRule="auto"/>
        <w:jc w:val="both"/>
        <w:rPr>
          <w:rFonts w:eastAsia="Calibri" w:cstheme="minorHAnsi"/>
          <w:szCs w:val="24"/>
        </w:rPr>
      </w:pPr>
      <w:r w:rsidRPr="00B804DD">
        <w:rPr>
          <w:rFonts w:eastAsia="Calibri" w:cstheme="minorHAnsi"/>
          <w:szCs w:val="24"/>
        </w:rPr>
        <w:t>Attiecībā uz lielākā energoresursu patērētāja Latvijā – transporta sektoru, tiek ierosināts organizēt “diena bez auto” programmas nevis ieteicamā formā, bet uzliekot aizliegumu iebraukt ar transportlīdzekļiem pilsētas centrā un tiek ierosināts uzlabot sabiedrības izpratni par transporta enerģiju.</w:t>
      </w:r>
    </w:p>
    <w:p w14:paraId="27C6B1F1" w14:textId="43648310" w:rsidR="005C0161" w:rsidRPr="00B804DD" w:rsidRDefault="005C0161" w:rsidP="00204E50">
      <w:pPr>
        <w:spacing w:before="120" w:after="120" w:line="240" w:lineRule="auto"/>
        <w:jc w:val="both"/>
        <w:rPr>
          <w:rFonts w:eastAsia="Calibri" w:cstheme="minorHAnsi"/>
          <w:szCs w:val="24"/>
        </w:rPr>
      </w:pPr>
      <w:r>
        <w:rPr>
          <w:rFonts w:eastAsia="Calibri" w:cstheme="minorHAnsi"/>
          <w:szCs w:val="24"/>
        </w:rPr>
        <w:t>Tāpat tiek piedāvāts būtiski uzlabot informācijas pieejamību izglītības iestādēm, lai sākot jau no pirmsskolas izglītības iestādēm būtiski uzlabotu skolēnu un studentu zināšanas par klimatam un videi draudzīgu dzīves veidu.</w:t>
      </w:r>
    </w:p>
    <w:p w14:paraId="05AA8AAA" w14:textId="0F203097" w:rsidR="00204E50" w:rsidRPr="00B804DD" w:rsidRDefault="00204E50" w:rsidP="00204E50">
      <w:pPr>
        <w:spacing w:before="120" w:after="120" w:line="240" w:lineRule="auto"/>
        <w:jc w:val="both"/>
        <w:rPr>
          <w:rFonts w:eastAsia="Calibri" w:cstheme="minorHAnsi"/>
          <w:szCs w:val="24"/>
          <w:u w:val="single"/>
        </w:rPr>
      </w:pPr>
      <w:r w:rsidRPr="00B804DD">
        <w:rPr>
          <w:rFonts w:eastAsia="Calibri" w:cstheme="minorHAnsi"/>
          <w:szCs w:val="24"/>
          <w:u w:val="single"/>
        </w:rPr>
        <w:t xml:space="preserve">2) </w:t>
      </w:r>
      <w:r w:rsidRPr="00B804DD">
        <w:rPr>
          <w:rFonts w:eastAsia="Calibri" w:cstheme="minorHAnsi"/>
          <w:b/>
          <w:bCs/>
          <w:szCs w:val="24"/>
          <w:u w:val="single"/>
        </w:rPr>
        <w:t>uzlabot pašvaldību zināšanas un veicināt pašvaldību</w:t>
      </w:r>
      <w:r w:rsidRPr="00B804DD">
        <w:rPr>
          <w:rFonts w:eastAsia="Calibri" w:cstheme="minorHAnsi"/>
          <w:szCs w:val="24"/>
          <w:u w:val="single"/>
        </w:rPr>
        <w:t xml:space="preserve"> iesaisti videi un klimatam draudzīgas attīstības veicināšanā</w:t>
      </w:r>
      <w:r>
        <w:rPr>
          <w:rFonts w:eastAsia="Calibri" w:cstheme="minorHAnsi"/>
          <w:szCs w:val="24"/>
          <w:u w:val="single"/>
        </w:rPr>
        <w:t xml:space="preserve"> (12.</w:t>
      </w:r>
      <w:r w:rsidR="005C0161">
        <w:rPr>
          <w:rFonts w:eastAsia="Calibri" w:cstheme="minorHAnsi"/>
          <w:szCs w:val="24"/>
          <w:u w:val="single"/>
        </w:rPr>
        <w:t>3</w:t>
      </w:r>
      <w:r>
        <w:rPr>
          <w:rFonts w:eastAsia="Calibri" w:cstheme="minorHAnsi"/>
          <w:szCs w:val="24"/>
          <w:u w:val="single"/>
        </w:rPr>
        <w:t>., 12.</w:t>
      </w:r>
      <w:r w:rsidR="005C0161">
        <w:rPr>
          <w:rFonts w:eastAsia="Calibri" w:cstheme="minorHAnsi"/>
          <w:szCs w:val="24"/>
          <w:u w:val="single"/>
        </w:rPr>
        <w:t>4</w:t>
      </w:r>
      <w:r>
        <w:rPr>
          <w:rFonts w:eastAsia="Calibri" w:cstheme="minorHAnsi"/>
          <w:szCs w:val="24"/>
          <w:u w:val="single"/>
        </w:rPr>
        <w:t>., 12.</w:t>
      </w:r>
      <w:r w:rsidR="005C0161">
        <w:rPr>
          <w:rFonts w:eastAsia="Calibri" w:cstheme="minorHAnsi"/>
          <w:szCs w:val="24"/>
          <w:u w:val="single"/>
        </w:rPr>
        <w:t>5</w:t>
      </w:r>
      <w:r>
        <w:rPr>
          <w:rFonts w:eastAsia="Calibri" w:cstheme="minorHAnsi"/>
          <w:szCs w:val="24"/>
          <w:u w:val="single"/>
        </w:rPr>
        <w:t>.pasākums)</w:t>
      </w:r>
    </w:p>
    <w:p w14:paraId="7A965B85" w14:textId="77777777" w:rsidR="00204E50" w:rsidRPr="00B804DD" w:rsidRDefault="00204E50" w:rsidP="00204E50">
      <w:pPr>
        <w:spacing w:before="120" w:after="120" w:line="240" w:lineRule="auto"/>
        <w:jc w:val="both"/>
        <w:rPr>
          <w:rFonts w:eastAsia="Calibri" w:cstheme="minorHAnsi"/>
          <w:szCs w:val="24"/>
        </w:rPr>
      </w:pPr>
      <w:r w:rsidRPr="00B804DD">
        <w:rPr>
          <w:rFonts w:eastAsia="Calibri" w:cstheme="minorHAnsi"/>
          <w:szCs w:val="24"/>
        </w:rPr>
        <w:t>Tā kā pašvaldības ir tiesīgas izdot saistošus normatīvos aktus ir būtiski, ka tie tiek veidoti balstoties uz ilgtspējīgu inovāciju un lēmumu pamata.</w:t>
      </w:r>
    </w:p>
    <w:p w14:paraId="7541ED42" w14:textId="77777777" w:rsidR="00204E50" w:rsidRPr="00B804DD" w:rsidRDefault="00204E50" w:rsidP="00204E50">
      <w:pPr>
        <w:spacing w:before="120" w:after="120" w:line="240" w:lineRule="auto"/>
        <w:jc w:val="both"/>
        <w:rPr>
          <w:rFonts w:eastAsia="Calibri" w:cstheme="minorHAnsi"/>
          <w:szCs w:val="24"/>
        </w:rPr>
      </w:pPr>
      <w:r w:rsidRPr="00B804DD">
        <w:rPr>
          <w:rFonts w:eastAsia="Calibri" w:cstheme="minorHAnsi"/>
          <w:szCs w:val="24"/>
        </w:rPr>
        <w:t xml:space="preserve">Pašvaldībām ir liela loma nozīme reģionu attīstības veicināšanā, tādēļ būtu nepieciešams veicināt pašvaldību darbinieku izpratni par energoefektivitāti un klimata pārmaiņām. Lai pašvaldības attīstītos klimatam draudzīgā virzienā ir nepieciešams tās motivēt ieviest inovatīvas tehnoloģijas arī pašu darbā. </w:t>
      </w:r>
    </w:p>
    <w:p w14:paraId="6460C8D7" w14:textId="77777777" w:rsidR="00204E50" w:rsidRPr="00B804DD" w:rsidRDefault="00204E50" w:rsidP="000D4B98">
      <w:pPr>
        <w:shd w:val="clear" w:color="auto" w:fill="E7E6E6" w:themeFill="background2"/>
        <w:spacing w:before="120" w:after="120" w:line="240" w:lineRule="auto"/>
        <w:jc w:val="both"/>
        <w:rPr>
          <w:rFonts w:ascii="Calibri" w:hAnsi="Calibri" w:cs="Times New Roman"/>
          <w:b/>
          <w:i/>
          <w:sz w:val="28"/>
          <w:szCs w:val="28"/>
        </w:rPr>
      </w:pPr>
      <w:r w:rsidRPr="00B804DD">
        <w:rPr>
          <w:rFonts w:ascii="Calibri" w:hAnsi="Calibri" w:cs="Times New Roman"/>
          <w:b/>
          <w:i/>
          <w:sz w:val="28"/>
          <w:szCs w:val="28"/>
        </w:rPr>
        <w:t>Saistītie rīcības virzieni</w:t>
      </w:r>
    </w:p>
    <w:p w14:paraId="7005CEEC" w14:textId="28C034AF" w:rsidR="00204E50" w:rsidRPr="00B804DD" w:rsidRDefault="003F78FD" w:rsidP="000D4B98">
      <w:pPr>
        <w:shd w:val="clear" w:color="auto" w:fill="E7E6E6" w:themeFill="background2"/>
        <w:spacing w:before="120" w:after="120" w:line="240" w:lineRule="auto"/>
        <w:jc w:val="both"/>
        <w:rPr>
          <w:rFonts w:cstheme="minorHAnsi"/>
          <w:b/>
          <w:i/>
          <w:szCs w:val="24"/>
        </w:rPr>
      </w:pPr>
      <w:r w:rsidRPr="00E2491C">
        <w:rPr>
          <w:rFonts w:ascii="Calibri" w:hAnsi="Calibri"/>
          <w:noProof/>
          <w:lang w:eastAsia="lv-LV"/>
        </w:rPr>
        <mc:AlternateContent>
          <mc:Choice Requires="wps">
            <w:drawing>
              <wp:anchor distT="0" distB="0" distL="114300" distR="114300" simplePos="0" relativeHeight="251672576" behindDoc="0" locked="0" layoutInCell="1" allowOverlap="1" wp14:anchorId="52BF6362" wp14:editId="0DF554FE">
                <wp:simplePos x="0" y="0"/>
                <wp:positionH relativeFrom="margin">
                  <wp:align>center</wp:align>
                </wp:positionH>
                <wp:positionV relativeFrom="paragraph">
                  <wp:posOffset>304800</wp:posOffset>
                </wp:positionV>
                <wp:extent cx="5779135" cy="552450"/>
                <wp:effectExtent l="0" t="0" r="0" b="0"/>
                <wp:wrapSquare wrapText="bothSides"/>
                <wp:docPr id="13" name="Rectangle: Single Corner Snipped 13"/>
                <wp:cNvGraphicFramePr/>
                <a:graphic xmlns:a="http://schemas.openxmlformats.org/drawingml/2006/main">
                  <a:graphicData uri="http://schemas.microsoft.com/office/word/2010/wordprocessingShape">
                    <wps:wsp>
                      <wps:cNvSpPr/>
                      <wps:spPr>
                        <a:xfrm>
                          <a:off x="0" y="0"/>
                          <a:ext cx="5779135" cy="552450"/>
                        </a:xfrm>
                        <a:prstGeom prst="snip1Rect">
                          <a:avLst/>
                        </a:prstGeom>
                        <a:solidFill>
                          <a:schemeClr val="accent6">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6975C1D5" w14:textId="33F35DFD"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29" w:name="_Toc24408056"/>
                            <w:bookmarkStart w:id="530" w:name="_Toc24408115"/>
                            <w:r w:rsidRPr="0007326F">
                              <w:rPr>
                                <w:color w:val="FFFFFF" w:themeColor="background1"/>
                                <w:sz w:val="40"/>
                                <w:szCs w:val="40"/>
                              </w:rPr>
                              <w:t>Nodokļu zaļināšana</w:t>
                            </w:r>
                            <w:bookmarkEnd w:id="529"/>
                            <w:bookmarkEnd w:id="53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F6362" id="Rectangle: Single Corner Snipped 13" o:spid="_x0000_s1029" style="position:absolute;left:0;text-align:left;margin-left:0;margin-top:24pt;width:455.05pt;height:43.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779135,552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" adj="-11796480,,5400" path="m,l5687058,r92077,92077l5779135,552450,,552450,,xe" fillcolor="#538135 [2409]" stroked="f" strokeweight="1pt">
                <v:stroke joinstyle="miter"/>
                <v:formulas/>
                <v:path arrowok="t" o:connecttype="custom" o:connectlocs="0,0;5687058,0;5779135,92077;5779135,552450;0,552450;0,0" o:connectangles="0,0,0,0,0,0" textboxrect="0,0,5779135,552450"/>
                <v:textbox>
                  <w:txbxContent>
                    <w:p w14:paraId="6975C1D5" w14:textId="33F35DFD"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37" w:name="_Toc24408056"/>
                      <w:bookmarkStart w:id="538" w:name="_Toc24408115"/>
                      <w:r w:rsidRPr="0007326F">
                        <w:rPr>
                          <w:color w:val="FFFFFF" w:themeColor="background1"/>
                          <w:sz w:val="40"/>
                          <w:szCs w:val="40"/>
                        </w:rPr>
                        <w:t>Nodokļu zaļināšana</w:t>
                      </w:r>
                      <w:bookmarkEnd w:id="537"/>
                      <w:bookmarkEnd w:id="538"/>
                    </w:p>
                  </w:txbxContent>
                </v:textbox>
                <w10:wrap type="square" anchorx="margin"/>
              </v:shape>
            </w:pict>
          </mc:Fallback>
        </mc:AlternateContent>
      </w:r>
      <w:r w:rsidR="00204E50" w:rsidRPr="00B804DD">
        <w:rPr>
          <w:rFonts w:cstheme="minorHAnsi"/>
          <w:bCs/>
          <w:iCs/>
          <w:szCs w:val="24"/>
        </w:rPr>
        <w:t xml:space="preserve">Visi </w:t>
      </w:r>
      <w:r w:rsidR="00204E50">
        <w:rPr>
          <w:rFonts w:cstheme="minorHAnsi"/>
          <w:bCs/>
          <w:iCs/>
          <w:szCs w:val="24"/>
        </w:rPr>
        <w:t>Plānā</w:t>
      </w:r>
      <w:r w:rsidR="00204E50" w:rsidRPr="00B804DD">
        <w:rPr>
          <w:rFonts w:cstheme="minorHAnsi"/>
          <w:bCs/>
          <w:iCs/>
          <w:szCs w:val="24"/>
        </w:rPr>
        <w:t xml:space="preserve"> iekļautie rīcības virzieni</w:t>
      </w:r>
    </w:p>
    <w:p w14:paraId="5DB3170E" w14:textId="77777777" w:rsidR="003F78FD" w:rsidRPr="005A322C" w:rsidRDefault="003F78FD" w:rsidP="003F78FD">
      <w:pPr>
        <w:spacing w:before="120" w:after="120" w:line="240" w:lineRule="auto"/>
        <w:jc w:val="both"/>
        <w:rPr>
          <w:rFonts w:ascii="Calibri" w:hAnsi="Calibri" w:cs="Times New Roman"/>
          <w:b/>
          <w:i/>
          <w:sz w:val="28"/>
          <w:szCs w:val="28"/>
          <w:u w:val="single"/>
        </w:rPr>
      </w:pPr>
      <w:r w:rsidRPr="005A322C">
        <w:rPr>
          <w:rFonts w:ascii="Calibri" w:hAnsi="Calibri" w:cs="Times New Roman"/>
          <w:b/>
          <w:i/>
          <w:sz w:val="28"/>
          <w:szCs w:val="28"/>
          <w:u w:val="single"/>
        </w:rPr>
        <w:t>Esošā situācija</w:t>
      </w:r>
    </w:p>
    <w:p w14:paraId="3A8857BE"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Latvijas nodokļu sistēmu uz 2019.gadu veido 14 nodokļi, no kuriem 7 iekļaujas vides vai enerģētikas nodokļu grupā: akcīzes nodoklis, PVN, elektroenerģijas nodoklis, TEN, DRN, muitas nodoklis, subsidētās elektroenerģijas nodoklis.</w:t>
      </w:r>
    </w:p>
    <w:p w14:paraId="1B9ADDD5"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2018.gadā no akcīzes nodokļa par naftas produktiem kopējie ieņēmumi Latvijā bija 539,6 milj.EUR, bet par dabasgāzi – 22,0 milj.EUR, ieņēmumi no elektroenerģijas nodokļa 2018.gadā bija 5,0 milj.EUR, no TEN – 94,3 milj.EUR, no uzņēmumu vieglo transportlīdzekļu nodokļa – 21,5 milj.EUR, no subsidētās elektroenerģijas nodokļa – 5,3 milj.EUR, un no DRN – 30,1 milj.EUR</w:t>
      </w:r>
      <w:r w:rsidRPr="00E2491C">
        <w:rPr>
          <w:rStyle w:val="FootnoteReference"/>
          <w:rFonts w:ascii="Calibri" w:hAnsi="Calibri"/>
        </w:rPr>
        <w:footnoteReference w:id="154"/>
      </w:r>
      <w:r w:rsidRPr="00E2491C">
        <w:rPr>
          <w:rFonts w:ascii="Calibri" w:hAnsi="Calibri" w:cs="Times New Roman"/>
          <w:szCs w:val="24"/>
        </w:rPr>
        <w:t>. Tātad kopumā ar enerģijas patēriņu un SEG emisiju radīšanu tiešā veidā saistīto nodokļu ieņēmumu 2018.gadā bija 717,8 milj.EUR, kas ir apmēram 8% kopbudžeta ieņēmumiem. Savukārt ieņēmumu no PVN, kas saistīti ar enerģijas ražošanu un izmantošanu nav iespējams izdalīt no kopējiem PVN ieņēmumiem.</w:t>
      </w:r>
    </w:p>
    <w:p w14:paraId="1F3CE4A3"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Šobrīd spēkā ir iepriekšminēto nodokļu atvieglojumi / atbrīvojumi no nodokļu maksāšanas vai tiek piemērotas dažādas nodokļa likmes (skatīt informāciju par enerģijas subsīdijām).</w:t>
      </w:r>
    </w:p>
    <w:p w14:paraId="7E1BF3CA" w14:textId="77777777" w:rsidR="003F78FD" w:rsidRPr="00652FF2" w:rsidRDefault="003F78FD" w:rsidP="003F78FD">
      <w:pPr>
        <w:shd w:val="clear" w:color="auto" w:fill="E7E6E6" w:themeFill="background2"/>
        <w:spacing w:before="120" w:after="120" w:line="240" w:lineRule="auto"/>
        <w:rPr>
          <w:rFonts w:ascii="Calibri" w:hAnsi="Calibri" w:cs="Times New Roman"/>
          <w:b/>
          <w:sz w:val="28"/>
          <w:szCs w:val="28"/>
          <w:u w:val="single"/>
        </w:rPr>
      </w:pPr>
      <w:r w:rsidRPr="00652FF2">
        <w:rPr>
          <w:rFonts w:ascii="Calibri" w:hAnsi="Calibri" w:cs="Times New Roman"/>
          <w:b/>
          <w:sz w:val="28"/>
          <w:szCs w:val="28"/>
          <w:u w:val="single"/>
        </w:rPr>
        <w:t>Vēlamā situācija 2030.gadam:</w:t>
      </w:r>
    </w:p>
    <w:p w14:paraId="11647D87" w14:textId="77777777" w:rsidR="003F78FD" w:rsidRPr="00E2491C" w:rsidRDefault="003F78FD" w:rsidP="003F78FD">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sidRPr="00E2491C">
        <w:rPr>
          <w:rFonts w:ascii="Calibri" w:hAnsi="Calibri" w:cs="Times New Roman"/>
          <w:i/>
          <w:szCs w:val="24"/>
        </w:rPr>
        <w:t>Nodokļu sistēmas ietvaros pēc būtības tiek īstenots “piesārņotājs maksā” princips un lielākajiem SEG emisiju radītājiem tiek piemērots lielākais nodokļu slogs;</w:t>
      </w:r>
    </w:p>
    <w:p w14:paraId="5730624F" w14:textId="77777777" w:rsidR="003F78FD" w:rsidRPr="00E2491C" w:rsidRDefault="003F78FD" w:rsidP="003F78FD">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sidRPr="00E2491C">
        <w:rPr>
          <w:rFonts w:ascii="Calibri" w:hAnsi="Calibri" w:cs="Times New Roman"/>
          <w:i/>
          <w:szCs w:val="24"/>
        </w:rPr>
        <w:t>Nodokļi tiek piemēroti atbilstoši radītajam SEG emisiju avotam un atbilstoši lielākajam energoresursu un enerģijas patēriņam;</w:t>
      </w:r>
    </w:p>
    <w:p w14:paraId="7638485D" w14:textId="77777777" w:rsidR="003F78FD" w:rsidRPr="00E2491C" w:rsidRDefault="003F78FD" w:rsidP="003F78FD">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sidRPr="00E2491C">
        <w:rPr>
          <w:rFonts w:ascii="Calibri" w:hAnsi="Calibri" w:cs="Times New Roman"/>
          <w:i/>
          <w:szCs w:val="24"/>
        </w:rPr>
        <w:t>Pēc būtības ir pilnībā samazināts enerģijas subsīdiju apjoms un nodokļu atbrīvojumi vairs netiek piemēroti;</w:t>
      </w:r>
    </w:p>
    <w:p w14:paraId="683D058E" w14:textId="77777777" w:rsidR="003F78FD" w:rsidRPr="00E2491C" w:rsidRDefault="003F78FD" w:rsidP="003F78FD">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sidRPr="00E2491C">
        <w:rPr>
          <w:rFonts w:ascii="Calibri" w:hAnsi="Calibri" w:cs="Times New Roman"/>
          <w:i/>
          <w:szCs w:val="24"/>
        </w:rPr>
        <w:t>Nodokļu atvieglojumi tiek piešķirti kā apbalvojums par veiktajiem energoefektivitātes uzlabošanas vai AER tehnoloģiju izmantošanas pasākumu veicējiem, vai īslaicīgi – lai veicinātu SEG emisiju samazināšanas pasākumu īstenošanu.</w:t>
      </w:r>
    </w:p>
    <w:p w14:paraId="080AF67A" w14:textId="77777777" w:rsidR="003F78FD" w:rsidRPr="00652FF2" w:rsidRDefault="003F78FD" w:rsidP="003F78FD">
      <w:pPr>
        <w:shd w:val="clear" w:color="auto" w:fill="E7E6E6" w:themeFill="background2"/>
        <w:spacing w:before="120" w:after="120" w:line="240" w:lineRule="auto"/>
        <w:rPr>
          <w:rFonts w:ascii="Calibri" w:hAnsi="Calibri" w:cs="Times New Roman"/>
          <w:b/>
          <w:sz w:val="28"/>
          <w:szCs w:val="28"/>
          <w:u w:val="single"/>
        </w:rPr>
      </w:pPr>
      <w:r w:rsidRPr="00652FF2">
        <w:rPr>
          <w:rFonts w:ascii="Calibri" w:hAnsi="Calibri" w:cs="Times New Roman"/>
          <w:b/>
          <w:sz w:val="28"/>
          <w:szCs w:val="28"/>
          <w:u w:val="single"/>
        </w:rPr>
        <w:t>Ieguvumi sabiedrībai un tautsaimniecībai:</w:t>
      </w:r>
    </w:p>
    <w:p w14:paraId="279E4A4A" w14:textId="77777777" w:rsidR="003F78FD" w:rsidRPr="00E2491C" w:rsidRDefault="003F78FD" w:rsidP="003F78FD">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E2491C">
        <w:rPr>
          <w:rFonts w:ascii="Calibri" w:hAnsi="Calibri" w:cs="Times New Roman"/>
          <w:i/>
          <w:szCs w:val="24"/>
        </w:rPr>
        <w:t xml:space="preserve">Ar nodokļu pasākumiem veicināts fosilās enerģijas samazinājums un veicināta pāreja un ne-emisiju energoresursu izmantošanu, kā rezultātā nodrošināta </w:t>
      </w:r>
      <w:r>
        <w:rPr>
          <w:rFonts w:ascii="Calibri" w:hAnsi="Calibri" w:cs="Times New Roman"/>
          <w:i/>
          <w:szCs w:val="24"/>
        </w:rPr>
        <w:t>g</w:t>
      </w:r>
      <w:r w:rsidRPr="00E2491C">
        <w:rPr>
          <w:rFonts w:ascii="Calibri" w:hAnsi="Calibri" w:cs="Times New Roman"/>
          <w:i/>
          <w:szCs w:val="24"/>
        </w:rPr>
        <w:t>aisa kvalitātes uzlabošanās;</w:t>
      </w:r>
    </w:p>
    <w:p w14:paraId="7E94B38C" w14:textId="77777777" w:rsidR="003F78FD" w:rsidRPr="00E2491C" w:rsidRDefault="003F78FD" w:rsidP="003F78FD">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szCs w:val="24"/>
        </w:rPr>
      </w:pPr>
      <w:r w:rsidRPr="00E2491C">
        <w:rPr>
          <w:rFonts w:ascii="Calibri" w:hAnsi="Calibri" w:cs="Times New Roman"/>
          <w:i/>
          <w:szCs w:val="24"/>
        </w:rPr>
        <w:t>Samazināta fosilo energoresursu patēriņa un AER tehnoloģiju izmantošanas būtiska attīstības rezultātā samazinātas energoresursu izmaksas;</w:t>
      </w:r>
    </w:p>
    <w:p w14:paraId="29B90AAE" w14:textId="77777777" w:rsidR="003F78FD" w:rsidRPr="00E2491C" w:rsidRDefault="003F78FD" w:rsidP="003F78FD">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szCs w:val="24"/>
        </w:rPr>
      </w:pPr>
      <w:r w:rsidRPr="00E2491C">
        <w:rPr>
          <w:rFonts w:ascii="Calibri" w:hAnsi="Calibri" w:cs="Times New Roman"/>
          <w:i/>
          <w:szCs w:val="24"/>
        </w:rPr>
        <w:t>Nodokļu sloga nepalielināšanās nekustamajam īpašumam energoefektivitātes pasākumu veikšanas vai AER tehnoloģiju uzstādīšanas rezultātā;</w:t>
      </w:r>
    </w:p>
    <w:p w14:paraId="3ADB82C3" w14:textId="77777777" w:rsidR="003F78FD" w:rsidRPr="00E2491C" w:rsidRDefault="003F78FD" w:rsidP="003F78FD">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E2491C">
        <w:rPr>
          <w:rFonts w:ascii="Calibri" w:hAnsi="Calibri" w:cs="Times New Roman"/>
          <w:i/>
          <w:szCs w:val="24"/>
        </w:rPr>
        <w:t>Papildus finanšu līdzekļi valsts budžetā gan energoefektivitātes pasākumu veikšanas vai AER tehnoloģiju uzstādīšanas atbalstam, gan citiem pasākumiem.</w:t>
      </w:r>
    </w:p>
    <w:p w14:paraId="12344C9B" w14:textId="77777777" w:rsidR="003F78FD" w:rsidRPr="00906FB8" w:rsidRDefault="003F78FD" w:rsidP="003F78FD">
      <w:pPr>
        <w:spacing w:before="120" w:after="120" w:line="240" w:lineRule="auto"/>
        <w:jc w:val="both"/>
        <w:rPr>
          <w:rFonts w:ascii="Calibri" w:hAnsi="Calibri" w:cs="Times New Roman"/>
          <w:b/>
          <w:i/>
          <w:sz w:val="28"/>
          <w:szCs w:val="28"/>
          <w:u w:val="single"/>
        </w:rPr>
      </w:pPr>
      <w:bookmarkStart w:id="531" w:name="_Hlk18066173"/>
      <w:r w:rsidRPr="00906FB8">
        <w:rPr>
          <w:rFonts w:ascii="Calibri" w:hAnsi="Calibri" w:cs="Times New Roman"/>
          <w:b/>
          <w:i/>
          <w:sz w:val="28"/>
          <w:szCs w:val="28"/>
          <w:u w:val="single"/>
        </w:rPr>
        <w:t xml:space="preserve">Galvenie </w:t>
      </w:r>
      <w:r>
        <w:rPr>
          <w:rFonts w:ascii="Calibri" w:hAnsi="Calibri" w:cs="Times New Roman"/>
          <w:b/>
          <w:i/>
          <w:sz w:val="28"/>
          <w:szCs w:val="28"/>
          <w:u w:val="single"/>
        </w:rPr>
        <w:t>problēmjautājumi</w:t>
      </w:r>
    </w:p>
    <w:bookmarkEnd w:id="531"/>
    <w:p w14:paraId="7B6BA102" w14:textId="77777777" w:rsidR="003F78FD" w:rsidRPr="00E2491C" w:rsidRDefault="003F78FD" w:rsidP="003F78FD">
      <w:pPr>
        <w:spacing w:before="120" w:after="120" w:line="240" w:lineRule="auto"/>
        <w:jc w:val="both"/>
        <w:rPr>
          <w:rFonts w:ascii="Calibri" w:hAnsi="Calibri" w:cs="Times New Roman"/>
          <w:szCs w:val="24"/>
          <w:u w:val="single"/>
        </w:rPr>
      </w:pPr>
      <w:r w:rsidRPr="00E2491C">
        <w:rPr>
          <w:rFonts w:ascii="Calibri" w:hAnsi="Calibri" w:cs="Times New Roman"/>
          <w:szCs w:val="24"/>
          <w:u w:val="single"/>
        </w:rPr>
        <w:t xml:space="preserve">1) </w:t>
      </w:r>
      <w:r w:rsidRPr="00E2491C">
        <w:rPr>
          <w:rFonts w:ascii="Calibri" w:hAnsi="Calibri" w:cs="Times New Roman"/>
          <w:b/>
          <w:bCs/>
          <w:szCs w:val="24"/>
          <w:u w:val="single"/>
        </w:rPr>
        <w:t>Neefektīvas un ietekmi neatspoguļojošas</w:t>
      </w:r>
      <w:r w:rsidRPr="00E2491C">
        <w:rPr>
          <w:rFonts w:ascii="Calibri" w:hAnsi="Calibri" w:cs="Times New Roman"/>
          <w:szCs w:val="24"/>
          <w:u w:val="single"/>
        </w:rPr>
        <w:t xml:space="preserve"> diferencētas nodokļu </w:t>
      </w:r>
      <w:r w:rsidRPr="00E2491C">
        <w:rPr>
          <w:rFonts w:ascii="Calibri" w:hAnsi="Calibri" w:cs="Times New Roman"/>
          <w:b/>
          <w:bCs/>
          <w:szCs w:val="24"/>
          <w:u w:val="single"/>
        </w:rPr>
        <w:t>likmes</w:t>
      </w:r>
    </w:p>
    <w:p w14:paraId="6B0CCD99"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No iepriekšminētajiem nodokļiem tieši akcīzes nodoklis par naftas produktu un dabasgāzes izmantošanu, DRN par CO</w:t>
      </w:r>
      <w:r w:rsidRPr="00E2491C">
        <w:rPr>
          <w:rFonts w:ascii="Calibri" w:hAnsi="Calibri" w:cs="Times New Roman"/>
          <w:szCs w:val="24"/>
          <w:vertAlign w:val="subscript"/>
        </w:rPr>
        <w:t>2</w:t>
      </w:r>
      <w:r w:rsidRPr="00E2491C">
        <w:rPr>
          <w:rFonts w:ascii="Calibri" w:hAnsi="Calibri" w:cs="Times New Roman"/>
          <w:szCs w:val="24"/>
        </w:rPr>
        <w:t xml:space="preserve"> emisijām un </w:t>
      </w:r>
      <w:r>
        <w:rPr>
          <w:rFonts w:ascii="Calibri" w:hAnsi="Calibri" w:cs="Times New Roman"/>
          <w:szCs w:val="24"/>
        </w:rPr>
        <w:t>TEN</w:t>
      </w:r>
      <w:r w:rsidRPr="00E2491C">
        <w:rPr>
          <w:rFonts w:ascii="Calibri" w:hAnsi="Calibri" w:cs="Times New Roman"/>
          <w:szCs w:val="24"/>
        </w:rPr>
        <w:t xml:space="preserve"> ir galvenie nodokļi, kas pēc būtības var regulēt un ietekmēt energoresursu patēriņu. Tomēr, lai gan Latvijā energoresursu ražošanas un enerģijas patēriņam piemērotie nodokļi tiek regulāri pārskatīti un palielināti, tas nenodrošina energoresursu izmantošanas samazinājumu, jo pēdējos gados enerģijas gala patēriņš nepārtraukti pieaug.</w:t>
      </w:r>
    </w:p>
    <w:p w14:paraId="65385ACB"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 xml:space="preserve">Lai gan ir noteikts, ka akcīzes nodokļa mērķis ir ierobežot to preču patēriņu, kas ir kaitīgas apkārtējai videi un cilvēkiem, tomēr pēc būtības akcīzes nodoklis netiek piemērots atbilstoši izmantotā energoresursa ietekmei uz klimata pārmaiņām. </w:t>
      </w:r>
      <w:r>
        <w:rPr>
          <w:rFonts w:ascii="Calibri" w:hAnsi="Calibri" w:cs="Times New Roman"/>
          <w:szCs w:val="24"/>
        </w:rPr>
        <w:t>Neskatoties uz to</w:t>
      </w:r>
      <w:r w:rsidRPr="00E2491C">
        <w:rPr>
          <w:rFonts w:ascii="Calibri" w:hAnsi="Calibri" w:cs="Times New Roman"/>
          <w:szCs w:val="24"/>
        </w:rPr>
        <w:t>, ka tieši dīzeļdegviela ir galvenais naftas produkta veids izmantošanai transportā – gandrīz 73% no transportā izmantotā naftas produktu apjoma ir dīzeļdegvielas izmantojums</w:t>
      </w:r>
      <w:r>
        <w:rPr>
          <w:rFonts w:ascii="Calibri" w:hAnsi="Calibri" w:cs="Times New Roman"/>
          <w:szCs w:val="24"/>
        </w:rPr>
        <w:t>, tieši n</w:t>
      </w:r>
      <w:r w:rsidRPr="00E2491C">
        <w:rPr>
          <w:rFonts w:ascii="Calibri" w:hAnsi="Calibri" w:cs="Times New Roman"/>
          <w:szCs w:val="24"/>
        </w:rPr>
        <w:t>aftas produktu akcīzes nodokļa likme visaugstākā ir auto benzīnam, bet dīzeļdegvielas akcīzes nodokļa likme ir gandrīz par 22% zemāka nekā benzīnam. Tajā pašā laikā auto benzīns ir ar mazāku SEG emisiju intensitāti nekā dīzeļdegviela. Savukārt akcīzes nodokļa likme LPG ir par 35% zemāka nekā dabasgāzei (ja to izmanto kā degvielu), lai gan tieši dabasgāzes CO</w:t>
      </w:r>
      <w:r w:rsidRPr="00E2491C">
        <w:rPr>
          <w:rFonts w:ascii="Calibri" w:hAnsi="Calibri" w:cs="Times New Roman"/>
          <w:szCs w:val="24"/>
          <w:vertAlign w:val="subscript"/>
        </w:rPr>
        <w:t>2</w:t>
      </w:r>
      <w:r w:rsidRPr="00E2491C">
        <w:rPr>
          <w:rFonts w:ascii="Calibri" w:hAnsi="Calibri" w:cs="Times New Roman"/>
          <w:szCs w:val="24"/>
        </w:rPr>
        <w:t xml:space="preserve"> emisiju ietilpība ir par 25% mazāka nekā LPG.</w:t>
      </w:r>
    </w:p>
    <w:p w14:paraId="3E001375" w14:textId="77777777" w:rsidR="003F78FD" w:rsidRPr="00E2491C" w:rsidRDefault="003F78FD" w:rsidP="003F78FD">
      <w:pPr>
        <w:spacing w:before="120" w:after="120" w:line="240" w:lineRule="auto"/>
        <w:jc w:val="both"/>
        <w:rPr>
          <w:rFonts w:ascii="Calibri" w:hAnsi="Calibri" w:cs="Times New Roman"/>
          <w:szCs w:val="24"/>
        </w:rPr>
      </w:pPr>
      <w:r>
        <w:rPr>
          <w:rFonts w:ascii="Calibri" w:hAnsi="Calibri" w:cs="Times New Roman"/>
          <w:szCs w:val="24"/>
        </w:rPr>
        <w:t>TEN</w:t>
      </w:r>
      <w:r w:rsidRPr="00E2491C">
        <w:rPr>
          <w:rFonts w:ascii="Calibri" w:hAnsi="Calibri" w:cs="Times New Roman"/>
          <w:szCs w:val="24"/>
        </w:rPr>
        <w:t xml:space="preserve"> tiek piemērots, ņemot vērā katra konkrēta transportlīdzekļu veida CO</w:t>
      </w:r>
      <w:r w:rsidRPr="00E2491C">
        <w:rPr>
          <w:rFonts w:ascii="Calibri" w:hAnsi="Calibri" w:cs="Times New Roman"/>
          <w:szCs w:val="24"/>
          <w:vertAlign w:val="subscript"/>
        </w:rPr>
        <w:t>2</w:t>
      </w:r>
      <w:r w:rsidRPr="00E2491C">
        <w:rPr>
          <w:rFonts w:ascii="Calibri" w:hAnsi="Calibri" w:cs="Times New Roman"/>
          <w:szCs w:val="24"/>
        </w:rPr>
        <w:t xml:space="preserve"> emisiju intensitāti un motora tilpumu. Tomēr maksimālā CO</w:t>
      </w:r>
      <w:r w:rsidRPr="00E2491C">
        <w:rPr>
          <w:rFonts w:ascii="Calibri" w:hAnsi="Calibri" w:cs="Times New Roman"/>
          <w:szCs w:val="24"/>
          <w:vertAlign w:val="subscript"/>
        </w:rPr>
        <w:t>2</w:t>
      </w:r>
      <w:r w:rsidRPr="00E2491C">
        <w:rPr>
          <w:rFonts w:ascii="Calibri" w:hAnsi="Calibri" w:cs="Times New Roman"/>
          <w:szCs w:val="24"/>
        </w:rPr>
        <w:t xml:space="preserve"> emisiju intensitātes likme ir 1056 eiro transportlīdzekļiem ar motora tilpumu virs 3500 cm</w:t>
      </w:r>
      <w:r w:rsidRPr="00E2491C">
        <w:rPr>
          <w:rFonts w:ascii="Calibri" w:hAnsi="Calibri" w:cs="Times New Roman"/>
          <w:szCs w:val="24"/>
          <w:vertAlign w:val="superscript"/>
        </w:rPr>
        <w:t>3</w:t>
      </w:r>
      <w:r w:rsidRPr="00E2491C">
        <w:rPr>
          <w:rFonts w:ascii="Calibri" w:hAnsi="Calibri" w:cs="Times New Roman"/>
          <w:szCs w:val="24"/>
        </w:rPr>
        <w:t>, kas var sastādīt ļoti mazu īpatsvaru no auto iegādes vērtības.</w:t>
      </w:r>
    </w:p>
    <w:p w14:paraId="23F7570F"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DRN par CO</w:t>
      </w:r>
      <w:r w:rsidRPr="00E2491C">
        <w:rPr>
          <w:rFonts w:ascii="Calibri" w:hAnsi="Calibri" w:cs="Times New Roman"/>
          <w:szCs w:val="24"/>
          <w:vertAlign w:val="subscript"/>
        </w:rPr>
        <w:t>2</w:t>
      </w:r>
      <w:r w:rsidRPr="00E2491C">
        <w:rPr>
          <w:rFonts w:ascii="Calibri" w:hAnsi="Calibri" w:cs="Times New Roman"/>
          <w:szCs w:val="24"/>
        </w:rPr>
        <w:t xml:space="preserve"> emisijām šobrīd ir 4,5 </w:t>
      </w:r>
      <w:r w:rsidRPr="00E2491C">
        <w:rPr>
          <w:rFonts w:ascii="Calibri" w:hAnsi="Calibri" w:cs="Times New Roman"/>
          <w:i/>
          <w:iCs/>
          <w:szCs w:val="24"/>
        </w:rPr>
        <w:t>eiro</w:t>
      </w:r>
      <w:r w:rsidRPr="00E2491C">
        <w:rPr>
          <w:rFonts w:ascii="Calibri" w:hAnsi="Calibri" w:cs="Times New Roman"/>
          <w:szCs w:val="24"/>
        </w:rPr>
        <w:t xml:space="preserve"> par CO</w:t>
      </w:r>
      <w:r w:rsidRPr="00E2491C">
        <w:rPr>
          <w:rFonts w:ascii="Calibri" w:hAnsi="Calibri" w:cs="Times New Roman"/>
          <w:szCs w:val="24"/>
          <w:vertAlign w:val="subscript"/>
        </w:rPr>
        <w:t>2</w:t>
      </w:r>
      <w:r w:rsidRPr="00E2491C">
        <w:rPr>
          <w:rFonts w:ascii="Calibri" w:hAnsi="Calibri" w:cs="Times New Roman"/>
          <w:szCs w:val="24"/>
        </w:rPr>
        <w:t xml:space="preserve"> emisiju tonnu, lai gan ES ETS ietvaros emisijas kvotas cena svārstās no 25 EUR par emisijas kvotu līdz 30 EUR par kvotu (CO</w:t>
      </w:r>
      <w:r w:rsidRPr="00E2491C">
        <w:rPr>
          <w:rFonts w:ascii="Calibri" w:hAnsi="Calibri" w:cs="Times New Roman"/>
          <w:szCs w:val="24"/>
          <w:vertAlign w:val="subscript"/>
        </w:rPr>
        <w:t>2</w:t>
      </w:r>
      <w:r w:rsidRPr="00E2491C">
        <w:rPr>
          <w:rFonts w:ascii="Calibri" w:hAnsi="Calibri" w:cs="Times New Roman"/>
          <w:szCs w:val="24"/>
        </w:rPr>
        <w:t xml:space="preserve"> emisiju tonnu).</w:t>
      </w:r>
    </w:p>
    <w:p w14:paraId="62D38EF9" w14:textId="77777777" w:rsidR="003F78FD" w:rsidRPr="00E2491C" w:rsidRDefault="003F78FD" w:rsidP="003F78FD">
      <w:pPr>
        <w:spacing w:before="120" w:after="120" w:line="240" w:lineRule="auto"/>
        <w:jc w:val="both"/>
        <w:rPr>
          <w:rFonts w:ascii="Calibri" w:hAnsi="Calibri" w:cs="Times New Roman"/>
          <w:szCs w:val="24"/>
          <w:u w:val="single"/>
        </w:rPr>
      </w:pPr>
      <w:r w:rsidRPr="00E2491C">
        <w:rPr>
          <w:rFonts w:ascii="Calibri" w:hAnsi="Calibri" w:cs="Times New Roman"/>
          <w:szCs w:val="24"/>
          <w:u w:val="single"/>
        </w:rPr>
        <w:t xml:space="preserve">2) Enerģētikas un SEG emisiju avotiem piemērotie </w:t>
      </w:r>
      <w:r w:rsidRPr="00E2491C">
        <w:rPr>
          <w:rFonts w:ascii="Calibri" w:hAnsi="Calibri" w:cs="Times New Roman"/>
          <w:b/>
          <w:bCs/>
          <w:szCs w:val="24"/>
          <w:u w:val="single"/>
        </w:rPr>
        <w:t>nodokļu atvieglojumi un atbrīvojumi</w:t>
      </w:r>
    </w:p>
    <w:p w14:paraId="6920CCF5"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Akcīzes nodoklis netiek piemērots ogļu, lignīta, brūnogļu, kūdras izmantošanai, jo dažiem minētā energoresursu izmantošanas veidiem tiek piemērots DRN.</w:t>
      </w:r>
    </w:p>
    <w:p w14:paraId="2A63BF6D" w14:textId="77777777" w:rsidR="003F78FD" w:rsidRPr="00E2491C" w:rsidRDefault="003F78FD" w:rsidP="003F78FD">
      <w:pPr>
        <w:spacing w:before="120" w:after="120" w:line="240" w:lineRule="auto"/>
        <w:jc w:val="both"/>
        <w:rPr>
          <w:rFonts w:ascii="Calibri" w:hAnsi="Calibri"/>
          <w:szCs w:val="24"/>
        </w:rPr>
      </w:pPr>
      <w:r w:rsidRPr="00E2491C">
        <w:rPr>
          <w:rFonts w:ascii="Calibri" w:hAnsi="Calibri"/>
          <w:szCs w:val="24"/>
        </w:rPr>
        <w:t>DRN par oglekļa dioksīda emisijām netiek piemērots:</w:t>
      </w:r>
    </w:p>
    <w:p w14:paraId="4FB38C11" w14:textId="77777777" w:rsidR="003F78FD" w:rsidRPr="00E2491C" w:rsidRDefault="003F78FD" w:rsidP="003F78FD">
      <w:pPr>
        <w:pStyle w:val="ListParagraph"/>
        <w:numPr>
          <w:ilvl w:val="0"/>
          <w:numId w:val="18"/>
        </w:numPr>
        <w:spacing w:before="120" w:after="120" w:line="240" w:lineRule="auto"/>
        <w:ind w:left="454" w:hanging="454"/>
        <w:contextualSpacing w:val="0"/>
        <w:jc w:val="both"/>
        <w:rPr>
          <w:rFonts w:ascii="Calibri" w:hAnsi="Calibri"/>
          <w:szCs w:val="24"/>
        </w:rPr>
      </w:pPr>
      <w:r w:rsidRPr="00E2491C">
        <w:rPr>
          <w:rFonts w:ascii="Calibri" w:hAnsi="Calibri"/>
          <w:szCs w:val="24"/>
        </w:rPr>
        <w:t>iekārtām, kuras ir iekļautas ES ETS (iekārtas ar uzstādīto nominālo siltuma jaudu &gt; 20MW);</w:t>
      </w:r>
    </w:p>
    <w:p w14:paraId="36114F5A" w14:textId="77777777" w:rsidR="003F78FD" w:rsidRPr="00E2491C" w:rsidRDefault="003F78FD" w:rsidP="003F78FD">
      <w:pPr>
        <w:pStyle w:val="ListParagraph"/>
        <w:numPr>
          <w:ilvl w:val="0"/>
          <w:numId w:val="18"/>
        </w:numPr>
        <w:spacing w:before="120" w:after="120" w:line="240" w:lineRule="auto"/>
        <w:ind w:left="454" w:hanging="454"/>
        <w:contextualSpacing w:val="0"/>
        <w:jc w:val="both"/>
        <w:rPr>
          <w:rFonts w:ascii="Calibri" w:hAnsi="Calibri"/>
          <w:szCs w:val="24"/>
        </w:rPr>
      </w:pPr>
      <w:r w:rsidRPr="00E2491C">
        <w:rPr>
          <w:rFonts w:ascii="Calibri" w:hAnsi="Calibri"/>
          <w:szCs w:val="24"/>
        </w:rPr>
        <w:t>biomasas un kūdras sadedzināšanai;</w:t>
      </w:r>
    </w:p>
    <w:p w14:paraId="511E0E1B" w14:textId="77777777" w:rsidR="003F78FD" w:rsidRPr="00E2491C" w:rsidRDefault="003F78FD" w:rsidP="003F78FD">
      <w:pPr>
        <w:pStyle w:val="ListParagraph"/>
        <w:numPr>
          <w:ilvl w:val="0"/>
          <w:numId w:val="18"/>
        </w:numPr>
        <w:spacing w:before="120" w:after="120" w:line="240" w:lineRule="auto"/>
        <w:ind w:left="454" w:hanging="454"/>
        <w:contextualSpacing w:val="0"/>
        <w:jc w:val="both"/>
        <w:rPr>
          <w:rFonts w:ascii="Calibri" w:hAnsi="Calibri"/>
          <w:szCs w:val="24"/>
        </w:rPr>
      </w:pPr>
      <w:r w:rsidRPr="00E2491C">
        <w:rPr>
          <w:rFonts w:ascii="Calibri" w:hAnsi="Calibri"/>
          <w:szCs w:val="24"/>
        </w:rPr>
        <w:t>Akmeņoglēm, koksam un lignītam (brūnoglēm), kuru izmanto elektroenerģijas ražošanai, kā arī siltumenerģijas un elektroenerģijas ražošanai koģenerācijas procesā;</w:t>
      </w:r>
    </w:p>
    <w:p w14:paraId="090FF68E" w14:textId="77777777" w:rsidR="003F78FD" w:rsidRPr="00E2491C" w:rsidRDefault="003F78FD" w:rsidP="003F78FD">
      <w:pPr>
        <w:pStyle w:val="ListParagraph"/>
        <w:numPr>
          <w:ilvl w:val="0"/>
          <w:numId w:val="18"/>
        </w:numPr>
        <w:spacing w:before="120" w:after="120" w:line="240" w:lineRule="auto"/>
        <w:ind w:left="454" w:hanging="454"/>
        <w:contextualSpacing w:val="0"/>
        <w:jc w:val="both"/>
        <w:rPr>
          <w:rFonts w:ascii="Calibri" w:hAnsi="Calibri"/>
          <w:szCs w:val="24"/>
        </w:rPr>
      </w:pPr>
      <w:r w:rsidRPr="00E2491C">
        <w:rPr>
          <w:rFonts w:ascii="Calibri" w:hAnsi="Calibri"/>
          <w:szCs w:val="24"/>
        </w:rPr>
        <w:t>akmeņogļu, koksa un lignīta (brūnogles) realizēšanai, ja personai, kura veic šo realizāciju, ir licence elektroenerģijas ražošanai vai licence siltumenerģijas un elektroenerģijas ražošanai koģenerācijas procesā.</w:t>
      </w:r>
    </w:p>
    <w:p w14:paraId="447269C5"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TEN tiek piemērots, ņemot vērā katra konkrēta transportlīdzekļu veida CO</w:t>
      </w:r>
      <w:r w:rsidRPr="00E2491C">
        <w:rPr>
          <w:rFonts w:ascii="Calibri" w:hAnsi="Calibri" w:cs="Times New Roman"/>
          <w:szCs w:val="24"/>
          <w:vertAlign w:val="subscript"/>
        </w:rPr>
        <w:t>2</w:t>
      </w:r>
      <w:r w:rsidRPr="00E2491C">
        <w:rPr>
          <w:rFonts w:ascii="Calibri" w:hAnsi="Calibri" w:cs="Times New Roman"/>
          <w:szCs w:val="24"/>
        </w:rPr>
        <w:t xml:space="preserve"> emisiju intensitāti un motora tilpumu. Šis piemērojums attiecas tikai uz transportlīdzekļiem, kas pirmo reizi ir reģistrēti pēc 2008.gada 31.decembra, lai gan 72% no Latvijā 2017.gadā izmantotajiem transportlīdzekļiem ir reģistrēti pirms 2008.gada. </w:t>
      </w:r>
      <w:r>
        <w:rPr>
          <w:rFonts w:ascii="Calibri" w:hAnsi="Calibri" w:cs="Times New Roman"/>
          <w:szCs w:val="24"/>
        </w:rPr>
        <w:t xml:space="preserve">Līdz ar to ir secināms, ka tieši šiem 72% TEN likmes ir būtiski atvieglotākas un mazākas. </w:t>
      </w:r>
      <w:r w:rsidRPr="00E2491C">
        <w:rPr>
          <w:rFonts w:ascii="Calibri" w:hAnsi="Calibri" w:cs="Times New Roman"/>
          <w:szCs w:val="24"/>
        </w:rPr>
        <w:t>TEN un uzņēmumu vieglo transportlīdzekļu nodokļa atvieglojumi 2017.gadā bija 14,3 milj. Ja atvieglojumu summa 2018.gadā ir līdzvērtīga, tad kopējie atvieglojumi būtu vairāk nekā 11% no nodokļu ieņēmumu summas.</w:t>
      </w:r>
    </w:p>
    <w:p w14:paraId="74508FA4" w14:textId="77777777" w:rsidR="003F78FD" w:rsidRPr="00E2491C" w:rsidRDefault="003F78FD" w:rsidP="003F78FD">
      <w:pPr>
        <w:spacing w:before="120" w:after="120" w:line="240" w:lineRule="auto"/>
        <w:jc w:val="both"/>
        <w:rPr>
          <w:rFonts w:ascii="Calibri" w:hAnsi="Calibri" w:cs="Times New Roman"/>
          <w:szCs w:val="24"/>
          <w:u w:val="single"/>
        </w:rPr>
      </w:pPr>
      <w:r w:rsidRPr="00E2491C">
        <w:rPr>
          <w:rFonts w:ascii="Calibri" w:hAnsi="Calibri" w:cs="Times New Roman"/>
          <w:szCs w:val="24"/>
          <w:u w:val="single"/>
        </w:rPr>
        <w:t xml:space="preserve">3) Nodokļu sistēma </w:t>
      </w:r>
      <w:r w:rsidRPr="00E2491C">
        <w:rPr>
          <w:rFonts w:ascii="Calibri" w:hAnsi="Calibri" w:cs="Times New Roman"/>
          <w:b/>
          <w:bCs/>
          <w:szCs w:val="24"/>
          <w:u w:val="single"/>
        </w:rPr>
        <w:t>neveicina pasākumu īstenošanu</w:t>
      </w:r>
    </w:p>
    <w:p w14:paraId="51A3880E" w14:textId="77777777" w:rsidR="003F78FD"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 xml:space="preserve">Šobrīd siltumenerģijas patēriņam ir </w:t>
      </w:r>
      <w:r>
        <w:rPr>
          <w:rFonts w:ascii="Calibri" w:hAnsi="Calibri" w:cs="Times New Roman"/>
          <w:szCs w:val="24"/>
        </w:rPr>
        <w:t>noteikta</w:t>
      </w:r>
      <w:r w:rsidRPr="00E2491C">
        <w:rPr>
          <w:rFonts w:ascii="Calibri" w:hAnsi="Calibri" w:cs="Times New Roman"/>
          <w:szCs w:val="24"/>
        </w:rPr>
        <w:t xml:space="preserve"> samazinātā PVN likme, tādējādi samazinot iespējamos izdevumus sabiedrībai par siltumapgādi. Tāpat mājsaimniecības ir atbrīvotas no elektroenerģijas nodokļa maksāšanas. Savukārt tiem, kas ir veikuši energoefektivitātes uzlabošanas pasākumus vai uzstādījuši ne-emisiju AER tehnoloģijas uz tā pamata harmonizētā veidā netiek piešķirti nodokļu atvieglojumi vai atbrīvojumi, piemēram, samazināta NĪN likme vai IIN atmaksa. Tāpat arī šādiem pasākumiem nevienā no tā īstenošanas posmiem netiek piemērota PVN samazinātā likme. Energoefektivitātes uzlabošanas pasākumu īstenošanas vai ne-emisiju AER tehnoloģiju uzstādīšanas gadījumā pasākuma veicēja īpašumam var tikt palielināta kadastrālā vērtība, kā rezultātā NĪN pat varētu tikt palielināts.</w:t>
      </w:r>
    </w:p>
    <w:p w14:paraId="09A75622" w14:textId="77777777" w:rsidR="003F78FD" w:rsidRPr="00E2491C" w:rsidRDefault="003F78FD" w:rsidP="003F78FD">
      <w:pPr>
        <w:shd w:val="clear" w:color="auto" w:fill="E7E6E6" w:themeFill="background2"/>
        <w:spacing w:before="120" w:after="120" w:line="240" w:lineRule="auto"/>
        <w:rPr>
          <w:rFonts w:ascii="Calibri" w:hAnsi="Calibri" w:cs="Times New Roman"/>
          <w:b/>
          <w:i/>
          <w:iCs/>
          <w:szCs w:val="24"/>
        </w:rPr>
      </w:pPr>
      <w:r w:rsidRPr="00E2491C">
        <w:rPr>
          <w:rFonts w:ascii="Calibri" w:hAnsi="Calibri" w:cs="Times New Roman"/>
          <w:b/>
          <w:i/>
          <w:iCs/>
          <w:sz w:val="28"/>
          <w:szCs w:val="28"/>
        </w:rPr>
        <w:t xml:space="preserve">Galvenais rīcības virziens </w:t>
      </w:r>
      <w:r w:rsidRPr="00D92F55">
        <w:rPr>
          <w:rFonts w:ascii="Calibri" w:hAnsi="Calibri" w:cs="Times New Roman"/>
          <w:b/>
          <w:i/>
          <w:iCs/>
          <w:sz w:val="22"/>
        </w:rPr>
        <w:t>(11. rīcības virziens)</w:t>
      </w:r>
    </w:p>
    <w:p w14:paraId="73A0100B" w14:textId="77777777" w:rsidR="003F78FD" w:rsidRPr="00E2491C" w:rsidRDefault="003F78FD" w:rsidP="003F78FD">
      <w:pPr>
        <w:shd w:val="clear" w:color="auto" w:fill="E7E6E6" w:themeFill="background2"/>
        <w:spacing w:before="120" w:after="120" w:line="240" w:lineRule="auto"/>
        <w:jc w:val="both"/>
        <w:rPr>
          <w:rFonts w:ascii="Calibri" w:hAnsi="Calibri" w:cs="Times New Roman"/>
          <w:b/>
          <w:szCs w:val="24"/>
          <w:u w:val="single"/>
        </w:rPr>
      </w:pPr>
      <w:r w:rsidRPr="00E2491C">
        <w:rPr>
          <w:rFonts w:ascii="Calibri" w:hAnsi="Calibri" w:cs="Times New Roman"/>
          <w:b/>
          <w:szCs w:val="24"/>
          <w:u w:val="single"/>
        </w:rPr>
        <w:t xml:space="preserve">Nodokļu sistēmas “zaļināšana” un pievilcīguma energoefektivitātei un AER tehnoloģijām uzlabošana </w:t>
      </w:r>
    </w:p>
    <w:p w14:paraId="5E9470F4" w14:textId="77777777" w:rsidR="003F78FD" w:rsidRPr="00906FB8" w:rsidRDefault="003F78FD" w:rsidP="003F78FD">
      <w:pPr>
        <w:spacing w:before="120" w:after="120" w:line="240" w:lineRule="auto"/>
        <w:jc w:val="both"/>
        <w:rPr>
          <w:rFonts w:ascii="Calibri" w:hAnsi="Calibri" w:cs="Times New Roman"/>
          <w:b/>
          <w:i/>
          <w:sz w:val="28"/>
          <w:szCs w:val="28"/>
          <w:u w:val="single"/>
        </w:rPr>
      </w:pPr>
      <w:r w:rsidRPr="00906FB8">
        <w:rPr>
          <w:rFonts w:ascii="Calibri" w:hAnsi="Calibri" w:cs="Times New Roman"/>
          <w:b/>
          <w:i/>
          <w:sz w:val="28"/>
          <w:szCs w:val="28"/>
          <w:u w:val="single"/>
        </w:rPr>
        <w:t>Galvenās rīcības un pasākumi</w:t>
      </w:r>
    </w:p>
    <w:p w14:paraId="7FBE1D53" w14:textId="77777777" w:rsidR="003F78FD" w:rsidRPr="00E2491C" w:rsidRDefault="003F78FD" w:rsidP="003F78FD">
      <w:pPr>
        <w:spacing w:before="120" w:after="120" w:line="240" w:lineRule="auto"/>
        <w:jc w:val="both"/>
        <w:rPr>
          <w:rFonts w:ascii="Calibri" w:hAnsi="Calibri" w:cs="Times New Roman"/>
          <w:szCs w:val="24"/>
          <w:u w:val="single"/>
        </w:rPr>
      </w:pPr>
      <w:r w:rsidRPr="00E2491C">
        <w:rPr>
          <w:rFonts w:ascii="Calibri" w:hAnsi="Calibri" w:cs="Times New Roman"/>
          <w:szCs w:val="24"/>
          <w:u w:val="single"/>
        </w:rPr>
        <w:t xml:space="preserve">1) Ar </w:t>
      </w:r>
      <w:r w:rsidRPr="00E2491C">
        <w:rPr>
          <w:rFonts w:ascii="Calibri" w:hAnsi="Calibri" w:cs="Times New Roman"/>
          <w:b/>
          <w:bCs/>
          <w:szCs w:val="24"/>
          <w:u w:val="single"/>
        </w:rPr>
        <w:t>nodokļu sloga nepalielināšanu</w:t>
      </w:r>
      <w:r w:rsidRPr="00E2491C">
        <w:rPr>
          <w:rFonts w:ascii="Calibri" w:hAnsi="Calibri" w:cs="Times New Roman"/>
          <w:szCs w:val="24"/>
          <w:u w:val="single"/>
        </w:rPr>
        <w:t xml:space="preserve"> motivēt pasākumu ieviešanu un veikšanu</w:t>
      </w:r>
      <w:r>
        <w:rPr>
          <w:rFonts w:ascii="Calibri" w:hAnsi="Calibri" w:cs="Times New Roman"/>
          <w:szCs w:val="24"/>
          <w:u w:val="single"/>
        </w:rPr>
        <w:t xml:space="preserve"> (11.1.pasākums)</w:t>
      </w:r>
    </w:p>
    <w:p w14:paraId="3B77ED71"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 xml:space="preserve">Galvenais pasākums, kā ar nodokļa sloga nepalielināšanu varētu veicināt energoefektivitātes uzlabošanas vai AER tehnoloģiju uzstādīšanas pasākumus, ir izvērtēt iespēju pārskatīt NĪN atvieglojumu nodokļu politikas pamatnostādņu un pašvaldību ietvaros, ņemot vērā arī </w:t>
      </w:r>
      <w:r>
        <w:rPr>
          <w:rFonts w:ascii="Calibri" w:hAnsi="Calibri" w:cs="Times New Roman"/>
          <w:szCs w:val="24"/>
        </w:rPr>
        <w:t>Plānā</w:t>
      </w:r>
      <w:r w:rsidRPr="00E2491C">
        <w:rPr>
          <w:rFonts w:ascii="Calibri" w:hAnsi="Calibri" w:cs="Times New Roman"/>
          <w:szCs w:val="24"/>
        </w:rPr>
        <w:t xml:space="preserve"> noteiktos rīcības virzienus attiecībā uz enerģētikas un klimata jomu, kā arī nodrošināt, ka uzlabotā īpašuma īpašniekiem pasākumu veikšanas rezultātā netiek paaugstināta tā kadastrālā vērtība, kas tiek izmantota nekustamā īpašuma nodokļa aprēķinā. Tādējādi pat, ja īpašuma kadastrālā vērtība tiktu paaugstināta, šī vērtība neietekmētu nekustamā īpašuma nodokļa aprēķinu.</w:t>
      </w:r>
      <w:r w:rsidRPr="00E2491C">
        <w:rPr>
          <w:rFonts w:ascii="Calibri" w:hAnsi="Calibri"/>
          <w:color w:val="1F497D"/>
        </w:rPr>
        <w:t xml:space="preserve"> </w:t>
      </w:r>
    </w:p>
    <w:p w14:paraId="02DCDE4C"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 xml:space="preserve">Tiek izvirzīts </w:t>
      </w:r>
      <w:r>
        <w:rPr>
          <w:rFonts w:ascii="Calibri" w:hAnsi="Calibri" w:cs="Times New Roman"/>
          <w:szCs w:val="24"/>
        </w:rPr>
        <w:t xml:space="preserve">arī </w:t>
      </w:r>
      <w:r w:rsidRPr="00E2491C">
        <w:rPr>
          <w:rFonts w:ascii="Calibri" w:hAnsi="Calibri" w:cs="Times New Roman"/>
          <w:szCs w:val="24"/>
        </w:rPr>
        <w:t>pasākums uz noteiktu laiku piemērot samazinātu PVN likmi mājsaimniecībām tiem pakalpojumiem, kas attiecas uz energoefektivitātes uzlabošanas pakalpojumu saņemšanai un ne-emisiju tehnoloģiju uzstādīšanai.</w:t>
      </w:r>
    </w:p>
    <w:p w14:paraId="6E48BFB5" w14:textId="7920C46B" w:rsidR="003F78FD" w:rsidRPr="00E2491C" w:rsidRDefault="003F78FD" w:rsidP="003F78FD">
      <w:pPr>
        <w:spacing w:before="120" w:after="120" w:line="240" w:lineRule="auto"/>
        <w:jc w:val="both"/>
        <w:rPr>
          <w:rFonts w:ascii="Calibri" w:hAnsi="Calibri" w:cs="Times New Roman"/>
          <w:szCs w:val="24"/>
          <w:u w:val="single"/>
        </w:rPr>
      </w:pPr>
      <w:r w:rsidRPr="00E2491C">
        <w:rPr>
          <w:rFonts w:ascii="Calibri" w:hAnsi="Calibri" w:cs="Times New Roman"/>
          <w:szCs w:val="24"/>
          <w:u w:val="single"/>
        </w:rPr>
        <w:t xml:space="preserve">2) </w:t>
      </w:r>
      <w:r w:rsidRPr="00E2491C">
        <w:rPr>
          <w:rFonts w:ascii="Calibri" w:hAnsi="Calibri" w:cs="Times New Roman"/>
          <w:b/>
          <w:bCs/>
          <w:szCs w:val="24"/>
          <w:u w:val="single"/>
        </w:rPr>
        <w:t xml:space="preserve">“piesārņotājs maksā” principa </w:t>
      </w:r>
      <w:r>
        <w:rPr>
          <w:rFonts w:ascii="Calibri" w:hAnsi="Calibri" w:cs="Times New Roman"/>
          <w:b/>
          <w:bCs/>
          <w:szCs w:val="24"/>
          <w:u w:val="single"/>
        </w:rPr>
        <w:t>īstenošana</w:t>
      </w:r>
      <w:r w:rsidRPr="00E2491C">
        <w:rPr>
          <w:rFonts w:ascii="Calibri" w:hAnsi="Calibri" w:cs="Times New Roman"/>
          <w:szCs w:val="24"/>
          <w:u w:val="single"/>
        </w:rPr>
        <w:t xml:space="preserve"> un fosilā kurināmā </w:t>
      </w:r>
      <w:r w:rsidRPr="00E2491C">
        <w:rPr>
          <w:rFonts w:ascii="Calibri" w:hAnsi="Calibri" w:cs="Times New Roman"/>
          <w:b/>
          <w:bCs/>
          <w:szCs w:val="24"/>
          <w:u w:val="single"/>
        </w:rPr>
        <w:t>subsīdiju pārtraukšana</w:t>
      </w:r>
      <w:r>
        <w:rPr>
          <w:rFonts w:ascii="Calibri" w:hAnsi="Calibri" w:cs="Times New Roman"/>
          <w:b/>
          <w:bCs/>
          <w:szCs w:val="24"/>
          <w:u w:val="single"/>
        </w:rPr>
        <w:t xml:space="preserve"> </w:t>
      </w:r>
      <w:r w:rsidRPr="005A651C">
        <w:rPr>
          <w:rFonts w:ascii="Calibri" w:hAnsi="Calibri" w:cs="Times New Roman"/>
          <w:szCs w:val="24"/>
          <w:u w:val="single"/>
        </w:rPr>
        <w:t>(11.2., 11.3.</w:t>
      </w:r>
      <w:r>
        <w:rPr>
          <w:rFonts w:ascii="Calibri" w:hAnsi="Calibri" w:cs="Times New Roman"/>
          <w:szCs w:val="24"/>
          <w:u w:val="single"/>
        </w:rPr>
        <w:t>, 11.6. un 11.7.</w:t>
      </w:r>
      <w:r w:rsidRPr="005A651C">
        <w:rPr>
          <w:rFonts w:ascii="Calibri" w:hAnsi="Calibri" w:cs="Times New Roman"/>
          <w:szCs w:val="24"/>
          <w:u w:val="single"/>
        </w:rPr>
        <w:t>pasākums</w:t>
      </w:r>
      <w:r w:rsidR="00B52DF2">
        <w:rPr>
          <w:rFonts w:ascii="Calibri" w:hAnsi="Calibri" w:cs="Times New Roman"/>
          <w:szCs w:val="24"/>
          <w:u w:val="single"/>
        </w:rPr>
        <w:t>, H.8 pasākums</w:t>
      </w:r>
      <w:r w:rsidRPr="005A651C">
        <w:rPr>
          <w:rFonts w:ascii="Calibri" w:hAnsi="Calibri" w:cs="Times New Roman"/>
          <w:szCs w:val="24"/>
          <w:u w:val="single"/>
        </w:rPr>
        <w:t>)</w:t>
      </w:r>
    </w:p>
    <w:p w14:paraId="77EF6223" w14:textId="32D63020" w:rsidR="003F78FD"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Galvenais pasākums fosilā kurināmā izmantošanas samazināšanai ir DRN par CO</w:t>
      </w:r>
      <w:r w:rsidRPr="00E2491C">
        <w:rPr>
          <w:rFonts w:ascii="Calibri" w:hAnsi="Calibri" w:cs="Times New Roman"/>
          <w:szCs w:val="24"/>
          <w:vertAlign w:val="subscript"/>
        </w:rPr>
        <w:t>2</w:t>
      </w:r>
      <w:r w:rsidRPr="00E2491C">
        <w:rPr>
          <w:rFonts w:ascii="Calibri" w:hAnsi="Calibri" w:cs="Times New Roman"/>
          <w:szCs w:val="24"/>
        </w:rPr>
        <w:t xml:space="preserve"> emisijām un gaisu piesārņojošo vielu emisijām un akmeņogļu, koksa un lignīta izmantošanu likmes, kā arī akcīzes nodokļa likmes </w:t>
      </w:r>
      <w:r>
        <w:rPr>
          <w:rFonts w:ascii="Calibri" w:hAnsi="Calibri" w:cs="Times New Roman"/>
          <w:szCs w:val="24"/>
        </w:rPr>
        <w:t xml:space="preserve">un tās piemērošanas nosacījumu </w:t>
      </w:r>
      <w:r w:rsidRPr="00E2491C">
        <w:rPr>
          <w:rFonts w:ascii="Calibri" w:hAnsi="Calibri" w:cs="Times New Roman"/>
          <w:szCs w:val="24"/>
        </w:rPr>
        <w:t xml:space="preserve">pārskatīšana kurināmajam. Tiek arī piedāvāts piemērot </w:t>
      </w:r>
      <w:r w:rsidR="00B52DF2">
        <w:rPr>
          <w:rFonts w:ascii="Calibri" w:hAnsi="Calibri" w:cs="Times New Roman"/>
          <w:szCs w:val="24"/>
        </w:rPr>
        <w:t xml:space="preserve">palielinātu </w:t>
      </w:r>
      <w:r w:rsidRPr="00E2491C">
        <w:rPr>
          <w:rFonts w:ascii="Calibri" w:hAnsi="Calibri" w:cs="Times New Roman"/>
          <w:szCs w:val="24"/>
        </w:rPr>
        <w:t xml:space="preserve">DRN likmi tām visu jaudu sadedzināšanas iekārtām, kurās tiek uzstādīti jauni </w:t>
      </w:r>
      <w:r>
        <w:rPr>
          <w:rFonts w:ascii="Calibri" w:hAnsi="Calibri" w:cs="Times New Roman"/>
          <w:szCs w:val="24"/>
        </w:rPr>
        <w:t>tikai fosilā kurināmā iekārtas</w:t>
      </w:r>
      <w:r w:rsidRPr="00E2491C">
        <w:rPr>
          <w:rFonts w:ascii="Calibri" w:hAnsi="Calibri" w:cs="Times New Roman"/>
          <w:szCs w:val="24"/>
        </w:rPr>
        <w:t>, izņemot, ja katls tiek uzstādīts rezerves un pīķa jaudu nodrošināšanai</w:t>
      </w:r>
      <w:r>
        <w:rPr>
          <w:rFonts w:ascii="Calibri" w:hAnsi="Calibri" w:cs="Times New Roman"/>
          <w:szCs w:val="24"/>
        </w:rPr>
        <w:t xml:space="preserve"> vai ja tiek veikta esošā katla nomaiņa uz efektīvāku un modernāku katlu</w:t>
      </w:r>
      <w:r w:rsidRPr="00E2491C">
        <w:rPr>
          <w:rFonts w:ascii="Calibri" w:hAnsi="Calibri" w:cs="Times New Roman"/>
          <w:szCs w:val="24"/>
        </w:rPr>
        <w:t>. Tāpat ir nepieciešams izvērtēt iespēju piemērot DRN arī sadedzināšanas iekārtām (izņemot mājsaimniecības) ar jaudu mazāku nekā 0,2MW.</w:t>
      </w:r>
      <w:r>
        <w:rPr>
          <w:rFonts w:ascii="Calibri" w:hAnsi="Calibri" w:cs="Times New Roman"/>
          <w:szCs w:val="24"/>
        </w:rPr>
        <w:t xml:space="preserve"> </w:t>
      </w:r>
      <w:r w:rsidRPr="00E2491C">
        <w:rPr>
          <w:rFonts w:ascii="Calibri" w:hAnsi="Calibri" w:cs="Times New Roman"/>
          <w:szCs w:val="24"/>
        </w:rPr>
        <w:t>Nepieciešams arī pārskatīt un atcelt dažādus DRN atbrīvojumus un atvieglojumus kūdras izmantošanai un akmeņogļu, koksa un lignīta (brūnogles) izmantošanai elektroenerģijas ražošanai, kā arī akcīzes nodokļa atbrīvojumu siltumenerģijas un elektroenerģijas ražošanai koģenerācijas procesā.</w:t>
      </w:r>
    </w:p>
    <w:p w14:paraId="3594D253" w14:textId="77777777" w:rsidR="003F78FD" w:rsidRPr="00E2491C" w:rsidRDefault="003F78FD" w:rsidP="003F78FD">
      <w:pPr>
        <w:spacing w:before="120" w:after="120" w:line="240" w:lineRule="auto"/>
        <w:jc w:val="both"/>
        <w:rPr>
          <w:rFonts w:ascii="Calibri" w:hAnsi="Calibri" w:cs="Times New Roman"/>
          <w:szCs w:val="24"/>
        </w:rPr>
      </w:pPr>
      <w:r>
        <w:rPr>
          <w:rFonts w:ascii="Calibri" w:hAnsi="Calibri" w:cs="Times New Roman"/>
          <w:szCs w:val="24"/>
        </w:rPr>
        <w:t>Ņemot vērā, ka DRN un akcīzes nodoklis ir attiecināms uz energoresursu tiešajiem izmantotājiem un šiem nodokļiem netiek piemērotas diferencētas nodokļu likmes (piemēram, mājsaimniecībām, lielajiem enerģijas patērētājiem, komersantiem), Plānā tiek piedāvāts veikts plašu izvērtējumu par iespējām ieviest diversificētu (pēc patēriņa) CO</w:t>
      </w:r>
      <w:r w:rsidRPr="00D11941">
        <w:rPr>
          <w:rFonts w:ascii="Calibri" w:hAnsi="Calibri" w:cs="Times New Roman"/>
          <w:szCs w:val="24"/>
          <w:vertAlign w:val="subscript"/>
        </w:rPr>
        <w:t>2</w:t>
      </w:r>
      <w:r>
        <w:rPr>
          <w:rFonts w:ascii="Calibri" w:hAnsi="Calibri" w:cs="Times New Roman"/>
          <w:szCs w:val="24"/>
        </w:rPr>
        <w:t xml:space="preserve"> nodokli enerģijas patēriņam, vienlaikus pārskatot tarifu piemērošanas nosacījumus, nepieļaujot DRN izmaksu iekļaušanu tarifā (siltumenerģijai un elektroenerģijai).</w:t>
      </w:r>
    </w:p>
    <w:p w14:paraId="29558C80" w14:textId="77777777"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Tāpat tiek piedāvāts izveidot AER veicināšanas un energoefektivitātes uzlabošanas fondu, kurā tiktu novirzīti 25% no ienākumiem, kas iegūti no ar enerģētiku saistītām darbībām – akcīzes nodokļa un DRN, kas piemērots enerģijas ieguvei izmantotajam kurināmajam, lai gūtu līdzekļus pasākumu atbalstīšanai</w:t>
      </w:r>
      <w:r>
        <w:rPr>
          <w:rFonts w:ascii="Calibri" w:hAnsi="Calibri" w:cs="Times New Roman"/>
          <w:szCs w:val="24"/>
        </w:rPr>
        <w:t xml:space="preserve">, kā arī tiek piedāvāts veikt izvērtējumu par </w:t>
      </w:r>
      <w:r w:rsidRPr="00D11941">
        <w:rPr>
          <w:rFonts w:ascii="Calibri" w:hAnsi="Calibri" w:cs="Times New Roman"/>
          <w:szCs w:val="24"/>
        </w:rPr>
        <w:t>iespēju daļu no uzņēmuma ienākuma nodokļa, IIN un DRN, ko maksātu tikai par enerģijas ražošanu, novirzīt konkrētās pašvaldības budžetā, nosakot šo ieņēmumu konkrētu izlietojumu</w:t>
      </w:r>
      <w:r>
        <w:rPr>
          <w:rFonts w:ascii="Calibri" w:hAnsi="Calibri" w:cs="Times New Roman"/>
          <w:szCs w:val="24"/>
        </w:rPr>
        <w:t>.</w:t>
      </w:r>
    </w:p>
    <w:p w14:paraId="51FBD5E1" w14:textId="54874D60" w:rsidR="003F78FD" w:rsidRPr="00D11941" w:rsidRDefault="003F78FD" w:rsidP="003F78FD">
      <w:pPr>
        <w:spacing w:before="120" w:after="120" w:line="240" w:lineRule="auto"/>
        <w:jc w:val="both"/>
        <w:rPr>
          <w:rFonts w:ascii="Calibri" w:hAnsi="Calibri" w:cs="Times New Roman"/>
          <w:szCs w:val="24"/>
          <w:u w:val="single"/>
        </w:rPr>
      </w:pPr>
      <w:r w:rsidRPr="00E2491C">
        <w:rPr>
          <w:rFonts w:ascii="Calibri" w:hAnsi="Calibri" w:cs="Times New Roman"/>
          <w:szCs w:val="24"/>
          <w:u w:val="single"/>
        </w:rPr>
        <w:t xml:space="preserve">3) </w:t>
      </w:r>
      <w:r w:rsidRPr="00E2491C">
        <w:rPr>
          <w:rFonts w:ascii="Calibri" w:hAnsi="Calibri" w:cs="Times New Roman"/>
          <w:b/>
          <w:bCs/>
          <w:szCs w:val="24"/>
          <w:u w:val="single"/>
        </w:rPr>
        <w:t>transporta</w:t>
      </w:r>
      <w:r w:rsidRPr="00E2491C">
        <w:rPr>
          <w:rFonts w:ascii="Calibri" w:hAnsi="Calibri" w:cs="Times New Roman"/>
          <w:szCs w:val="24"/>
          <w:u w:val="single"/>
        </w:rPr>
        <w:t xml:space="preserve"> enerģijas un transportlīdzekļu izmantošanas </w:t>
      </w:r>
      <w:r w:rsidRPr="00E2491C">
        <w:rPr>
          <w:rFonts w:ascii="Calibri" w:hAnsi="Calibri" w:cs="Times New Roman"/>
          <w:b/>
          <w:bCs/>
          <w:szCs w:val="24"/>
          <w:u w:val="single"/>
        </w:rPr>
        <w:t>nodokļu pārskatīšana</w:t>
      </w:r>
      <w:r>
        <w:rPr>
          <w:rFonts w:ascii="Calibri" w:hAnsi="Calibri" w:cs="Times New Roman"/>
          <w:szCs w:val="24"/>
          <w:u w:val="single"/>
        </w:rPr>
        <w:t xml:space="preserve"> (11.4., 11.5.pasākums</w:t>
      </w:r>
      <w:r w:rsidR="00B52DF2">
        <w:rPr>
          <w:rFonts w:ascii="Calibri" w:hAnsi="Calibri" w:cs="Times New Roman"/>
          <w:szCs w:val="24"/>
          <w:u w:val="single"/>
        </w:rPr>
        <w:t>, H.8 pasākums</w:t>
      </w:r>
      <w:r>
        <w:rPr>
          <w:rFonts w:ascii="Calibri" w:hAnsi="Calibri" w:cs="Times New Roman"/>
          <w:szCs w:val="24"/>
          <w:u w:val="single"/>
        </w:rPr>
        <w:t>)</w:t>
      </w:r>
    </w:p>
    <w:p w14:paraId="4548E83D" w14:textId="28E0A6D2" w:rsidR="003F78FD" w:rsidRPr="00E2491C" w:rsidRDefault="003F78FD" w:rsidP="003F78FD">
      <w:pPr>
        <w:spacing w:before="120" w:after="120" w:line="240" w:lineRule="auto"/>
        <w:jc w:val="both"/>
        <w:rPr>
          <w:rFonts w:ascii="Calibri" w:hAnsi="Calibri" w:cs="Times New Roman"/>
          <w:szCs w:val="24"/>
        </w:rPr>
      </w:pPr>
      <w:r w:rsidRPr="00E2491C">
        <w:rPr>
          <w:rFonts w:ascii="Calibri" w:hAnsi="Calibri" w:cs="Times New Roman"/>
          <w:szCs w:val="24"/>
        </w:rPr>
        <w:t>Ņemot vērā, ka transports ir lielākais energoresursu patērētājs un SEG emisiju avots Latvijā, tad ir nepieciešams aktīvi īstenot pasākumus tieši transporta darbībās, lai būtiski veicinātu transporta enerģijas izmantošanas samazināšanu un mazāku transportlīdzekļu izmantošanu. Tāpēc tiek piedāvāts izvērtēt iespēju pārskatīt</w:t>
      </w:r>
      <w:r w:rsidR="00B52DF2">
        <w:rPr>
          <w:rFonts w:ascii="Calibri" w:hAnsi="Calibri" w:cs="Times New Roman"/>
          <w:szCs w:val="24"/>
        </w:rPr>
        <w:t xml:space="preserve"> akcīzes nodokļa likmju </w:t>
      </w:r>
      <w:r w:rsidRPr="00E2491C">
        <w:rPr>
          <w:rFonts w:ascii="Calibri" w:hAnsi="Calibri" w:cs="Times New Roman"/>
          <w:szCs w:val="24"/>
        </w:rPr>
        <w:t>piemērošanas nosacījumus – piemērot akcīzes nodokli, ņemot vērā konkrētās transporta enerģijas CO</w:t>
      </w:r>
      <w:r w:rsidRPr="00E2491C">
        <w:rPr>
          <w:rFonts w:ascii="Calibri" w:hAnsi="Calibri" w:cs="Times New Roman"/>
          <w:szCs w:val="24"/>
          <w:vertAlign w:val="subscript"/>
        </w:rPr>
        <w:t>2</w:t>
      </w:r>
      <w:r w:rsidRPr="00E2491C">
        <w:rPr>
          <w:rFonts w:ascii="Calibri" w:hAnsi="Calibri" w:cs="Times New Roman"/>
          <w:szCs w:val="24"/>
        </w:rPr>
        <w:t xml:space="preserve"> emisiju ietilpību (intensitāti). Tāpat tiek piedāvāts ieviest akcīzes nodokļa samazinātās likmes (pēc iespējas zemākas) biodegvielai (ilgtspējīgas pirmās paaudzes biodegvielas) vai modern</w:t>
      </w:r>
      <w:r>
        <w:rPr>
          <w:rFonts w:ascii="Calibri" w:hAnsi="Calibri" w:cs="Times New Roman"/>
          <w:szCs w:val="24"/>
        </w:rPr>
        <w:t>ām</w:t>
      </w:r>
      <w:r w:rsidRPr="00E2491C">
        <w:rPr>
          <w:rFonts w:ascii="Calibri" w:hAnsi="Calibri" w:cs="Times New Roman"/>
          <w:szCs w:val="24"/>
        </w:rPr>
        <w:t xml:space="preserve"> (alternatīvās) degviel</w:t>
      </w:r>
      <w:r>
        <w:rPr>
          <w:rFonts w:ascii="Calibri" w:hAnsi="Calibri" w:cs="Times New Roman"/>
          <w:szCs w:val="24"/>
        </w:rPr>
        <w:t>ām un biogāzei. Tiek arī piedāvāti vairāki nodokļu pasākumi, lai veicinātu komerctransporta ETL</w:t>
      </w:r>
      <w:r w:rsidR="00B52DF2">
        <w:rPr>
          <w:rFonts w:ascii="Calibri" w:hAnsi="Calibri" w:cs="Times New Roman"/>
          <w:szCs w:val="24"/>
        </w:rPr>
        <w:t xml:space="preserve"> un </w:t>
      </w:r>
      <w:r w:rsidR="00B52DF2" w:rsidRPr="0007326F">
        <w:rPr>
          <w:rFonts w:ascii="Calibri" w:hAnsi="Calibri" w:cs="Times New Roman"/>
          <w:i/>
          <w:iCs/>
          <w:szCs w:val="24"/>
        </w:rPr>
        <w:t>plug-in</w:t>
      </w:r>
      <w:r w:rsidR="00B52DF2">
        <w:rPr>
          <w:rFonts w:ascii="Calibri" w:hAnsi="Calibri" w:cs="Times New Roman"/>
          <w:szCs w:val="24"/>
        </w:rPr>
        <w:t xml:space="preserve"> hibrīdauto</w:t>
      </w:r>
      <w:r>
        <w:rPr>
          <w:rFonts w:ascii="Calibri" w:hAnsi="Calibri" w:cs="Times New Roman"/>
          <w:szCs w:val="24"/>
        </w:rPr>
        <w:t xml:space="preserve"> izmantošanu.</w:t>
      </w:r>
    </w:p>
    <w:p w14:paraId="19023B4A" w14:textId="095FDB7F" w:rsidR="003F78FD" w:rsidRPr="00B804DD" w:rsidRDefault="003F78FD" w:rsidP="003F78FD">
      <w:pPr>
        <w:spacing w:before="120" w:after="120" w:line="240" w:lineRule="auto"/>
        <w:jc w:val="both"/>
        <w:rPr>
          <w:rFonts w:eastAsia="Calibri" w:cstheme="minorHAnsi"/>
          <w:szCs w:val="24"/>
        </w:rPr>
      </w:pPr>
      <w:r w:rsidRPr="00E2491C">
        <w:rPr>
          <w:rFonts w:ascii="Calibri" w:hAnsi="Calibri" w:cs="Times New Roman"/>
          <w:szCs w:val="24"/>
        </w:rPr>
        <w:t xml:space="preserve">Savukārt, lai </w:t>
      </w:r>
      <w:r w:rsidR="00B52DF2">
        <w:rPr>
          <w:rFonts w:ascii="Calibri" w:hAnsi="Calibri" w:cs="Times New Roman"/>
          <w:szCs w:val="24"/>
        </w:rPr>
        <w:t xml:space="preserve">veicinātu privāto vieglo </w:t>
      </w:r>
      <w:r w:rsidRPr="00E2491C">
        <w:rPr>
          <w:rFonts w:ascii="Calibri" w:hAnsi="Calibri" w:cs="Times New Roman"/>
          <w:szCs w:val="24"/>
        </w:rPr>
        <w:t xml:space="preserve">transportlīdzekļu (izņemot sabiedrisko) izmantošanu, tiek piedāvāts pārskatīt </w:t>
      </w:r>
      <w:r>
        <w:rPr>
          <w:rFonts w:ascii="Calibri" w:hAnsi="Calibri" w:cs="Times New Roman"/>
          <w:szCs w:val="24"/>
        </w:rPr>
        <w:t>TEN</w:t>
      </w:r>
      <w:r w:rsidRPr="00E2491C">
        <w:rPr>
          <w:rFonts w:ascii="Calibri" w:hAnsi="Calibri" w:cs="Times New Roman"/>
          <w:szCs w:val="24"/>
        </w:rPr>
        <w:t xml:space="preserve">, īpaši attiecībā uz liela </w:t>
      </w:r>
      <w:r w:rsidR="00B52DF2">
        <w:rPr>
          <w:rFonts w:ascii="Calibri" w:hAnsi="Calibri" w:cs="Times New Roman"/>
          <w:szCs w:val="24"/>
        </w:rPr>
        <w:t xml:space="preserve">motora </w:t>
      </w:r>
      <w:r w:rsidRPr="00E2491C">
        <w:rPr>
          <w:rFonts w:ascii="Calibri" w:hAnsi="Calibri" w:cs="Times New Roman"/>
          <w:szCs w:val="24"/>
        </w:rPr>
        <w:t>tilpuma un lielas CO</w:t>
      </w:r>
      <w:r w:rsidRPr="00E2491C">
        <w:rPr>
          <w:rFonts w:ascii="Calibri" w:hAnsi="Calibri" w:cs="Times New Roman"/>
          <w:szCs w:val="24"/>
          <w:vertAlign w:val="subscript"/>
        </w:rPr>
        <w:t>2</w:t>
      </w:r>
      <w:r w:rsidRPr="00E2491C">
        <w:rPr>
          <w:rFonts w:ascii="Calibri" w:hAnsi="Calibri" w:cs="Times New Roman"/>
          <w:szCs w:val="24"/>
        </w:rPr>
        <w:t xml:space="preserve"> emisiju ietilpības transportlīdzekļiem. Tāpat tiek piedāvāta iespēja atcelt elektroenerģijas nodok</w:t>
      </w:r>
      <w:r>
        <w:rPr>
          <w:rFonts w:ascii="Calibri" w:hAnsi="Calibri" w:cs="Times New Roman"/>
          <w:szCs w:val="24"/>
        </w:rPr>
        <w:t>li, ja elektroenerģija tiek izmantota ETL</w:t>
      </w:r>
      <w:r w:rsidRPr="00E2491C">
        <w:rPr>
          <w:rFonts w:ascii="Calibri" w:hAnsi="Calibri" w:cs="Times New Roman"/>
          <w:szCs w:val="24"/>
        </w:rPr>
        <w:t>.</w:t>
      </w:r>
      <w:r>
        <w:rPr>
          <w:rFonts w:ascii="Calibri" w:hAnsi="Calibri" w:cs="Times New Roman"/>
          <w:szCs w:val="24"/>
        </w:rPr>
        <w:t xml:space="preserve"> Kā arī tiek piedāvāta iespēja ieviest pirmreizēju vieglo transportlīdzekļu reģistrācijas nodokli</w:t>
      </w:r>
      <w:r w:rsidR="00B52DF2">
        <w:rPr>
          <w:rFonts w:ascii="Calibri" w:hAnsi="Calibri" w:cs="Times New Roman"/>
          <w:szCs w:val="24"/>
        </w:rPr>
        <w:t xml:space="preserve"> vecākiem transportlīdzekļiem</w:t>
      </w:r>
      <w:r w:rsidRPr="00B804DD">
        <w:rPr>
          <w:rFonts w:eastAsia="Calibri" w:cstheme="minorHAnsi"/>
          <w:szCs w:val="24"/>
        </w:rPr>
        <w:t xml:space="preserve">. </w:t>
      </w:r>
    </w:p>
    <w:p w14:paraId="05A9322B" w14:textId="77777777" w:rsidR="003F78FD" w:rsidRPr="00B804DD" w:rsidRDefault="003F78FD" w:rsidP="003F78FD">
      <w:pPr>
        <w:shd w:val="clear" w:color="auto" w:fill="E7E6E6" w:themeFill="background2"/>
        <w:spacing w:before="120" w:after="120" w:line="240" w:lineRule="auto"/>
        <w:jc w:val="both"/>
        <w:rPr>
          <w:rFonts w:ascii="Calibri" w:hAnsi="Calibri" w:cs="Times New Roman"/>
          <w:b/>
          <w:i/>
          <w:sz w:val="28"/>
          <w:szCs w:val="28"/>
        </w:rPr>
      </w:pPr>
      <w:r w:rsidRPr="00B804DD">
        <w:rPr>
          <w:rFonts w:ascii="Calibri" w:hAnsi="Calibri" w:cs="Times New Roman"/>
          <w:b/>
          <w:i/>
          <w:sz w:val="28"/>
          <w:szCs w:val="28"/>
        </w:rPr>
        <w:t>Saistītie rīcības virzieni</w:t>
      </w:r>
    </w:p>
    <w:p w14:paraId="46F65C82" w14:textId="77777777" w:rsidR="003F78FD" w:rsidRPr="00B804DD" w:rsidRDefault="003F78FD" w:rsidP="003F78FD">
      <w:pPr>
        <w:shd w:val="clear" w:color="auto" w:fill="E7E6E6" w:themeFill="background2"/>
        <w:spacing w:before="120" w:after="120" w:line="240" w:lineRule="auto"/>
        <w:jc w:val="both"/>
        <w:rPr>
          <w:rFonts w:cstheme="minorHAnsi"/>
          <w:b/>
          <w:i/>
          <w:szCs w:val="24"/>
        </w:rPr>
      </w:pPr>
      <w:r w:rsidRPr="00B804DD">
        <w:rPr>
          <w:rFonts w:cstheme="minorHAnsi"/>
          <w:bCs/>
          <w:iCs/>
          <w:szCs w:val="24"/>
        </w:rPr>
        <w:t xml:space="preserve">Visi </w:t>
      </w:r>
      <w:r>
        <w:rPr>
          <w:rFonts w:cstheme="minorHAnsi"/>
          <w:bCs/>
          <w:iCs/>
          <w:szCs w:val="24"/>
        </w:rPr>
        <w:t>Plānā</w:t>
      </w:r>
      <w:r w:rsidRPr="00B804DD">
        <w:rPr>
          <w:rFonts w:cstheme="minorHAnsi"/>
          <w:bCs/>
          <w:iCs/>
          <w:szCs w:val="24"/>
        </w:rPr>
        <w:t xml:space="preserve"> iekļautie rīcības virzieni</w:t>
      </w:r>
    </w:p>
    <w:p w14:paraId="7418F2E5" w14:textId="2F518793" w:rsidR="000D4B98" w:rsidRPr="002C7602" w:rsidRDefault="003F78FD" w:rsidP="000D4B98">
      <w:pPr>
        <w:spacing w:before="120" w:after="120" w:line="240" w:lineRule="auto"/>
        <w:rPr>
          <w:rFonts w:ascii="Calibri" w:hAnsi="Calibri" w:cs="Times New Roman"/>
          <w:b/>
          <w:i/>
          <w:sz w:val="28"/>
          <w:szCs w:val="28"/>
          <w:u w:val="single"/>
        </w:rPr>
      </w:pPr>
      <w:r w:rsidRPr="00E2491C">
        <w:rPr>
          <w:rFonts w:ascii="Calibri" w:hAnsi="Calibri"/>
          <w:noProof/>
          <w:lang w:eastAsia="lv-LV"/>
        </w:rPr>
        <mc:AlternateContent>
          <mc:Choice Requires="wps">
            <w:drawing>
              <wp:anchor distT="0" distB="0" distL="114300" distR="114300" simplePos="0" relativeHeight="251666432" behindDoc="0" locked="0" layoutInCell="1" allowOverlap="1" wp14:anchorId="32D0E049" wp14:editId="17CA4AAD">
                <wp:simplePos x="0" y="0"/>
                <wp:positionH relativeFrom="margin">
                  <wp:align>left</wp:align>
                </wp:positionH>
                <wp:positionV relativeFrom="paragraph">
                  <wp:posOffset>0</wp:posOffset>
                </wp:positionV>
                <wp:extent cx="5777865" cy="543560"/>
                <wp:effectExtent l="0" t="0" r="0" b="8890"/>
                <wp:wrapSquare wrapText="bothSides"/>
                <wp:docPr id="23" name="Rectangle: Single Corner Snipped 23"/>
                <wp:cNvGraphicFramePr/>
                <a:graphic xmlns:a="http://schemas.openxmlformats.org/drawingml/2006/main">
                  <a:graphicData uri="http://schemas.microsoft.com/office/word/2010/wordprocessingShape">
                    <wps:wsp>
                      <wps:cNvSpPr/>
                      <wps:spPr>
                        <a:xfrm>
                          <a:off x="0" y="0"/>
                          <a:ext cx="5777865" cy="543560"/>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379A77CE" w14:textId="64C6BB82"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32" w:name="_Toc24408057"/>
                            <w:bookmarkStart w:id="533" w:name="_Toc24408116"/>
                            <w:r w:rsidRPr="0007326F">
                              <w:rPr>
                                <w:color w:val="FFFFFF" w:themeColor="background1"/>
                                <w:sz w:val="40"/>
                                <w:szCs w:val="40"/>
                              </w:rPr>
                              <w:t>Ēku energoefektivitātes uzlabošana</w:t>
                            </w:r>
                            <w:bookmarkEnd w:id="532"/>
                            <w:bookmarkEnd w:id="53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0E049" id="Rectangle: Single Corner Snipped 23" o:spid="_x0000_s1030" style="position:absolute;margin-left:0;margin-top:0;width:454.95pt;height:42.8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7865,543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" adj="-11796480,,5400" path="m,l5687270,r90595,90595l5777865,543560,,543560,,xe" fillcolor="#323e4f [2415]" stroked="f" strokeweight="1pt">
                <v:stroke joinstyle="miter"/>
                <v:formulas/>
                <v:path arrowok="t" o:connecttype="custom" o:connectlocs="0,0;5687270,0;5777865,90595;5777865,543560;0,543560;0,0" o:connectangles="0,0,0,0,0,0" textboxrect="0,0,5777865,543560"/>
                <v:textbox>
                  <w:txbxContent>
                    <w:p w14:paraId="379A77CE" w14:textId="64C6BB82"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42" w:name="_Toc24408057"/>
                      <w:bookmarkStart w:id="543" w:name="_Toc24408116"/>
                      <w:r w:rsidRPr="0007326F">
                        <w:rPr>
                          <w:color w:val="FFFFFF" w:themeColor="background1"/>
                          <w:sz w:val="40"/>
                          <w:szCs w:val="40"/>
                        </w:rPr>
                        <w:t>Ēku energoefektivitātes uzlabošana</w:t>
                      </w:r>
                      <w:bookmarkEnd w:id="542"/>
                      <w:bookmarkEnd w:id="543"/>
                    </w:p>
                  </w:txbxContent>
                </v:textbox>
                <w10:wrap type="square" anchorx="margin"/>
              </v:shape>
            </w:pict>
          </mc:Fallback>
        </mc:AlternateContent>
      </w:r>
      <w:r w:rsidR="000D4B98" w:rsidRPr="002C7602">
        <w:rPr>
          <w:rFonts w:ascii="Calibri" w:hAnsi="Calibri" w:cs="Times New Roman"/>
          <w:b/>
          <w:i/>
          <w:sz w:val="28"/>
          <w:szCs w:val="28"/>
          <w:u w:val="single"/>
        </w:rPr>
        <w:t>Esošā situācija</w:t>
      </w:r>
    </w:p>
    <w:p w14:paraId="3F773C96" w14:textId="11A62E81" w:rsidR="00B768AF" w:rsidRPr="003558DB" w:rsidRDefault="000D4B98" w:rsidP="00B768AF">
      <w:pPr>
        <w:spacing w:before="120" w:after="120" w:line="240" w:lineRule="auto"/>
        <w:jc w:val="both"/>
        <w:rPr>
          <w:rFonts w:cstheme="minorHAnsi"/>
          <w:szCs w:val="24"/>
          <w:shd w:val="clear" w:color="auto" w:fill="FFFFFF"/>
        </w:rPr>
      </w:pPr>
      <w:r w:rsidRPr="003558DB">
        <w:rPr>
          <w:rFonts w:cstheme="minorHAnsi"/>
          <w:szCs w:val="24"/>
          <w:shd w:val="clear" w:color="auto" w:fill="FFFFFF"/>
        </w:rPr>
        <w:t>Transports ir lielākais enerģijas galapatērētājs – 30,3% apmērā, savukārt otrs lielākais ir mājsaimniecības – 29,2%. Rūpniecība un būvniecība 2017.gadā bija trešais lielākais enerģijas galapatēriņa sektors – kopējais patēriņš šajā sektorā bija par 5,4 % vairāk nekā 2016. gadā.</w:t>
      </w:r>
      <w:r w:rsidRPr="003558DB">
        <w:rPr>
          <w:rStyle w:val="FootnoteReference"/>
          <w:rFonts w:cstheme="minorHAnsi"/>
          <w:shd w:val="clear" w:color="auto" w:fill="FFFFFF"/>
        </w:rPr>
        <w:footnoteReference w:id="155"/>
      </w:r>
      <w:r w:rsidRPr="003558DB">
        <w:rPr>
          <w:rFonts w:cstheme="minorHAnsi"/>
          <w:szCs w:val="24"/>
          <w:shd w:val="clear" w:color="auto" w:fill="FFFFFF"/>
        </w:rPr>
        <w:t xml:space="preserve"> </w:t>
      </w:r>
      <w:r w:rsidR="00B768AF" w:rsidRPr="00B768AF">
        <w:rPr>
          <w:rFonts w:cstheme="minorHAnsi"/>
          <w:szCs w:val="24"/>
          <w:shd w:val="clear" w:color="auto" w:fill="FFFFFF"/>
        </w:rPr>
        <w:t>Ēkās galvenokārt tiek izmantota cietā biomasa – 41,5%, centralizētā siltumenerģija – 30,5% un dabasgāze – 8,9%, un kopējais energoresursu patēriņš un SEG emisiju apjoms mājsaimniecībās katru gadu palielinās.</w:t>
      </w:r>
    </w:p>
    <w:p w14:paraId="7C2B28F5" w14:textId="769438BC" w:rsidR="000D4B98" w:rsidRPr="003558DB" w:rsidRDefault="000D4B98" w:rsidP="000D4B98">
      <w:pPr>
        <w:spacing w:before="120" w:after="120" w:line="240" w:lineRule="auto"/>
        <w:jc w:val="both"/>
        <w:rPr>
          <w:rFonts w:cstheme="minorHAnsi"/>
          <w:szCs w:val="24"/>
        </w:rPr>
      </w:pPr>
      <w:r w:rsidRPr="003558DB">
        <w:rPr>
          <w:rFonts w:cstheme="minorHAnsi"/>
          <w:szCs w:val="24"/>
        </w:rPr>
        <w:t>Ēku sektorā patērētā enerģija veido līdz 40% no visas energobilances, tādēļ ēku sektors ietver ievērojamu potenciālu kopējo energoefektivitātes mērķu sasniegšanā. Ēku fonds</w:t>
      </w:r>
      <w:r w:rsidRPr="003558DB">
        <w:rPr>
          <w:rFonts w:cstheme="minorHAnsi"/>
          <w:szCs w:val="24"/>
          <w:vertAlign w:val="superscript"/>
        </w:rPr>
        <w:footnoteReference w:id="156"/>
      </w:r>
      <w:r w:rsidRPr="003558DB">
        <w:rPr>
          <w:rFonts w:cstheme="minorHAnsi"/>
          <w:szCs w:val="24"/>
        </w:rPr>
        <w:t xml:space="preserve"> kopā sastāda 1.37 milj. ēku ar kopējo platību 204,7 milj. m</w:t>
      </w:r>
      <w:r w:rsidRPr="003558DB">
        <w:rPr>
          <w:rFonts w:cstheme="minorHAnsi"/>
          <w:szCs w:val="24"/>
          <w:vertAlign w:val="superscript"/>
        </w:rPr>
        <w:t>2</w:t>
      </w:r>
      <w:r w:rsidRPr="003558DB">
        <w:rPr>
          <w:rFonts w:cstheme="minorHAnsi"/>
          <w:szCs w:val="24"/>
        </w:rPr>
        <w:t>. Fonds sadalās divās daļās – dzīvojamās ēkās un nedzīvojamās ēkās. Dzīvojamās ēkas sastāda  367.9 tūkst. ēku ar kopējo platību 90.1 milj m</w:t>
      </w:r>
      <w:r w:rsidRPr="003558DB">
        <w:rPr>
          <w:rFonts w:cstheme="minorHAnsi"/>
          <w:szCs w:val="24"/>
          <w:vertAlign w:val="superscript"/>
        </w:rPr>
        <w:t>2</w:t>
      </w:r>
      <w:r w:rsidRPr="003558DB">
        <w:rPr>
          <w:rFonts w:cstheme="minorHAnsi"/>
          <w:szCs w:val="24"/>
        </w:rPr>
        <w:t xml:space="preserve"> (pēc platības 45%) un nedzīvojamās ēkās sastāda 1007.2 tūkst. ēku ar kopējo platību 114.64 milj. m</w:t>
      </w:r>
      <w:r w:rsidRPr="003558DB">
        <w:rPr>
          <w:rFonts w:cstheme="minorHAnsi"/>
          <w:szCs w:val="24"/>
          <w:vertAlign w:val="superscript"/>
        </w:rPr>
        <w:t>2</w:t>
      </w:r>
      <w:r w:rsidRPr="003558DB">
        <w:rPr>
          <w:rFonts w:cstheme="minorHAnsi"/>
          <w:szCs w:val="24"/>
        </w:rPr>
        <w:t xml:space="preserve"> (pēc platības 55%), no kurām 33 tūkst. ir ražošanas ēkas.</w:t>
      </w:r>
    </w:p>
    <w:p w14:paraId="1ECF4341" w14:textId="77777777" w:rsidR="000D4B98" w:rsidRPr="003558DB" w:rsidRDefault="000D4B98" w:rsidP="000D4B98">
      <w:pPr>
        <w:spacing w:before="120" w:after="120" w:line="240" w:lineRule="auto"/>
        <w:jc w:val="both"/>
        <w:rPr>
          <w:rFonts w:cstheme="minorHAnsi"/>
          <w:szCs w:val="24"/>
          <w:shd w:val="clear" w:color="auto" w:fill="FFFFFF"/>
        </w:rPr>
      </w:pPr>
      <w:r w:rsidRPr="003558DB">
        <w:rPr>
          <w:rFonts w:cstheme="minorHAnsi"/>
          <w:szCs w:val="24"/>
          <w:shd w:val="clear" w:color="auto" w:fill="FFFFFF"/>
        </w:rPr>
        <w:t>Lielākajai daļai esošo ēku ir augsts energoresursu patēriņš, un tām ir būtiski zemākas siltumtehniskās īpašības, nekā var nodrošināt ar šobrīd pieejamām tehnoloģijām. Vidējie enerģijas patēriņi apkurei</w:t>
      </w:r>
      <w:r w:rsidRPr="003558DB">
        <w:rPr>
          <w:rStyle w:val="FootnoteReference"/>
          <w:rFonts w:cstheme="minorHAnsi"/>
          <w:shd w:val="clear" w:color="auto" w:fill="FFFFFF"/>
        </w:rPr>
        <w:footnoteReference w:id="157"/>
      </w:r>
      <w:r w:rsidRPr="003558DB">
        <w:rPr>
          <w:rFonts w:cstheme="minorHAnsi"/>
          <w:szCs w:val="24"/>
          <w:shd w:val="clear" w:color="auto" w:fill="FFFFFF"/>
        </w:rPr>
        <w:t xml:space="preserve"> dažāda tipa viendzīvokļa ēkām sastāda – 139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daudzdzīvokļu ēkām – 137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biroju ēkām – 145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izglītības iestāžu ēkām – 147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ārstniecības iestāžu ēkām 154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viesnīcu un restorānu ēkām – 116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sporta iestāžu ēkām – 132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vairumtirdzniecības un mazumtirdzniecības ēkām – 102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cita veida ēkām – 185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w:t>
      </w:r>
    </w:p>
    <w:p w14:paraId="1053DF05" w14:textId="77777777" w:rsidR="000D4B98" w:rsidRPr="003558DB" w:rsidRDefault="000D4B98" w:rsidP="000D4B98">
      <w:pPr>
        <w:spacing w:before="120" w:after="120" w:line="240" w:lineRule="auto"/>
        <w:jc w:val="both"/>
        <w:rPr>
          <w:rFonts w:cstheme="minorHAnsi"/>
          <w:szCs w:val="24"/>
          <w:shd w:val="clear" w:color="auto" w:fill="FFFFFF"/>
        </w:rPr>
      </w:pPr>
      <w:r w:rsidRPr="003558DB">
        <w:rPr>
          <w:rFonts w:cstheme="minorHAnsi"/>
          <w:szCs w:val="24"/>
          <w:shd w:val="clear" w:color="auto" w:fill="FFFFFF"/>
        </w:rPr>
        <w:t>Valsts ēku sektorā</w:t>
      </w:r>
      <w:r w:rsidRPr="003558DB">
        <w:rPr>
          <w:rStyle w:val="FootnoteReference"/>
          <w:rFonts w:cstheme="minorHAnsi"/>
          <w:shd w:val="clear" w:color="auto" w:fill="FFFFFF"/>
        </w:rPr>
        <w:footnoteReference w:id="158"/>
      </w:r>
      <w:r w:rsidRPr="003558DB">
        <w:rPr>
          <w:rFonts w:cstheme="minorHAnsi"/>
          <w:szCs w:val="24"/>
          <w:shd w:val="clear" w:color="auto" w:fill="FFFFFF"/>
        </w:rPr>
        <w:t xml:space="preserve"> (atbilstoši centrālās valdības ēku definīcijai</w:t>
      </w:r>
      <w:r w:rsidRPr="003558DB">
        <w:rPr>
          <w:rStyle w:val="FootnoteReference"/>
          <w:rFonts w:cstheme="minorHAnsi"/>
          <w:shd w:val="clear" w:color="auto" w:fill="FFFFFF"/>
        </w:rPr>
        <w:footnoteReference w:id="159"/>
      </w:r>
      <w:r w:rsidRPr="003558DB">
        <w:rPr>
          <w:rFonts w:cstheme="minorHAnsi"/>
          <w:szCs w:val="24"/>
          <w:shd w:val="clear" w:color="auto" w:fill="FFFFFF"/>
        </w:rPr>
        <w:t>) ir 1245 ēkas, kuru vidējais siltumenerģijas patēriņš apkurei sastāda 126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Direktīvas 2012/27/ES 5.panta 5.punktā noteiktajā sarakstā, no kā aprēķināma ikgadējā 3% renovācijas norma, ietilpst 863 ēkas ar vidējo apkures enerģijas patēriņu 140 kWh/m</w:t>
      </w:r>
      <w:r w:rsidRPr="003558DB">
        <w:rPr>
          <w:rFonts w:cstheme="minorHAnsi"/>
          <w:szCs w:val="24"/>
          <w:shd w:val="clear" w:color="auto" w:fill="FFFFFF"/>
          <w:vertAlign w:val="superscript"/>
        </w:rPr>
        <w:t>2</w:t>
      </w:r>
      <w:r w:rsidRPr="003558DB">
        <w:rPr>
          <w:rFonts w:cstheme="minorHAnsi"/>
          <w:szCs w:val="24"/>
          <w:shd w:val="clear" w:color="auto" w:fill="FFFFFF"/>
        </w:rPr>
        <w:t xml:space="preserve"> gadā, no kurām 2014. – 2020.gada ES fondu plānošanas periodā plānots atjaunot 120 ēkas.</w:t>
      </w:r>
    </w:p>
    <w:p w14:paraId="7C9F8473" w14:textId="77777777" w:rsidR="000D4B98" w:rsidRDefault="000D4B98" w:rsidP="000D4B98">
      <w:pPr>
        <w:spacing w:before="120" w:after="120"/>
        <w:jc w:val="both"/>
        <w:rPr>
          <w:szCs w:val="24"/>
          <w:shd w:val="clear" w:color="auto" w:fill="FFFFFF"/>
        </w:rPr>
      </w:pPr>
      <w:r>
        <w:rPr>
          <w:szCs w:val="24"/>
          <w:shd w:val="clear" w:color="auto" w:fill="FFFFFF"/>
        </w:rPr>
        <w:t>Laika periodā no 2009.gada līdz 2019.gada septembrim daudzdzīvokļu ēku atjaunošanā ieguldīts kopējais finansējums 235,27 milj.EUR apmērā, t.sk. ES fondu finansējums 106,45 milj.EUR apmērā, atjaunojot 838 ēkas un nodrošinot vidējo siltumenerģijas patēriņu 95,61 kWh/m</w:t>
      </w:r>
      <w:r>
        <w:rPr>
          <w:szCs w:val="24"/>
          <w:shd w:val="clear" w:color="auto" w:fill="FFFFFF"/>
          <w:vertAlign w:val="superscript"/>
        </w:rPr>
        <w:t>2</w:t>
      </w:r>
      <w:r>
        <w:rPr>
          <w:szCs w:val="24"/>
          <w:shd w:val="clear" w:color="auto" w:fill="FFFFFF"/>
        </w:rPr>
        <w:t xml:space="preserve"> gadā.  Savukārt 2014. - 2020. gada ES fondu plānošanas periodā atjaunotas 15 valsts institūciju īpašumā, valdījumā un lietošanā esošās ēkās par kopējo finansējumu </w:t>
      </w:r>
      <w:r>
        <w:t xml:space="preserve">7,42 </w:t>
      </w:r>
      <w:r>
        <w:rPr>
          <w:szCs w:val="24"/>
          <w:shd w:val="clear" w:color="auto" w:fill="FFFFFF"/>
        </w:rPr>
        <w:t xml:space="preserve">milj.EUR apmērā, t.sk. ES fondu finansējums </w:t>
      </w:r>
      <w:r>
        <w:t>6,09 milj.EUR un valsts budžeta finansējums 1,08 milj.EUR</w:t>
      </w:r>
      <w:r>
        <w:rPr>
          <w:szCs w:val="24"/>
          <w:shd w:val="clear" w:color="auto" w:fill="FFFFFF"/>
        </w:rPr>
        <w:t>, nodrošinot vidējo siltumenerģijas patēriņu apkurei 66 kWh/m</w:t>
      </w:r>
      <w:r>
        <w:rPr>
          <w:szCs w:val="24"/>
          <w:shd w:val="clear" w:color="auto" w:fill="FFFFFF"/>
          <w:vertAlign w:val="superscript"/>
        </w:rPr>
        <w:t>2</w:t>
      </w:r>
      <w:r>
        <w:rPr>
          <w:szCs w:val="24"/>
          <w:shd w:val="clear" w:color="auto" w:fill="FFFFFF"/>
        </w:rPr>
        <w:t xml:space="preserve"> gadā. 2014. - 2020. gada ES fondu plānošanas periodā energoefektivitātes uzlabošanas pasākumi veikti 12 ražošanas ēkās par kopējo finansējumu 4,73 milj.EUR, t.sk. ES fondu finansējums 1,32 milj.EUR, siltumenerģijas patēriņš apkurei pēc projekta īstenošanas svārstās no 22,92 kWh/m</w:t>
      </w:r>
      <w:r>
        <w:rPr>
          <w:szCs w:val="24"/>
          <w:shd w:val="clear" w:color="auto" w:fill="FFFFFF"/>
          <w:vertAlign w:val="superscript"/>
        </w:rPr>
        <w:t>2</w:t>
      </w:r>
      <w:r>
        <w:rPr>
          <w:szCs w:val="24"/>
          <w:shd w:val="clear" w:color="auto" w:fill="FFFFFF"/>
        </w:rPr>
        <w:t xml:space="preserve"> līdz pat 161,34 kWh/m</w:t>
      </w:r>
      <w:r>
        <w:rPr>
          <w:szCs w:val="24"/>
          <w:shd w:val="clear" w:color="auto" w:fill="FFFFFF"/>
          <w:vertAlign w:val="superscript"/>
        </w:rPr>
        <w:t>2</w:t>
      </w:r>
      <w:r>
        <w:rPr>
          <w:szCs w:val="24"/>
          <w:shd w:val="clear" w:color="auto" w:fill="FFFFFF"/>
        </w:rPr>
        <w:t xml:space="preserve"> gadā, nodrošinot vidējo siltumenerģijas patēriņu 96,72 kWh/m</w:t>
      </w:r>
      <w:r>
        <w:rPr>
          <w:szCs w:val="24"/>
          <w:shd w:val="clear" w:color="auto" w:fill="FFFFFF"/>
          <w:vertAlign w:val="superscript"/>
        </w:rPr>
        <w:t>2</w:t>
      </w:r>
      <w:r>
        <w:rPr>
          <w:szCs w:val="24"/>
          <w:shd w:val="clear" w:color="auto" w:fill="FFFFFF"/>
        </w:rPr>
        <w:t xml:space="preserve"> gadā.</w:t>
      </w:r>
    </w:p>
    <w:p w14:paraId="4CE03942" w14:textId="77777777" w:rsidR="000D4B98" w:rsidRPr="000B4E38" w:rsidRDefault="000D4B98" w:rsidP="000D4B98">
      <w:pPr>
        <w:shd w:val="clear" w:color="auto" w:fill="E7E6E6" w:themeFill="background2"/>
        <w:spacing w:before="120" w:after="120" w:line="240" w:lineRule="auto"/>
        <w:rPr>
          <w:rFonts w:cstheme="minorHAnsi"/>
          <w:b/>
          <w:sz w:val="28"/>
          <w:szCs w:val="28"/>
          <w:u w:val="single"/>
        </w:rPr>
      </w:pPr>
      <w:r w:rsidRPr="000B4E38">
        <w:rPr>
          <w:rFonts w:cstheme="minorHAnsi"/>
          <w:b/>
          <w:sz w:val="28"/>
          <w:szCs w:val="28"/>
          <w:u w:val="single"/>
        </w:rPr>
        <w:t>Vēlamā situācija 2030.gadā:</w:t>
      </w:r>
    </w:p>
    <w:p w14:paraId="5101798F" w14:textId="77777777" w:rsidR="000D4B98" w:rsidRPr="004A0549" w:rsidRDefault="000D4B98" w:rsidP="000D4B98">
      <w:pPr>
        <w:pStyle w:val="ListParagraph"/>
        <w:numPr>
          <w:ilvl w:val="0"/>
          <w:numId w:val="44"/>
        </w:numPr>
        <w:shd w:val="clear" w:color="auto" w:fill="E7E6E6" w:themeFill="background2"/>
        <w:spacing w:before="120" w:after="120" w:line="240" w:lineRule="auto"/>
        <w:contextualSpacing w:val="0"/>
        <w:rPr>
          <w:rFonts w:cstheme="minorHAnsi"/>
          <w:i/>
          <w:szCs w:val="24"/>
        </w:rPr>
      </w:pPr>
      <w:r w:rsidRPr="004A0549">
        <w:rPr>
          <w:rFonts w:cstheme="minorHAnsi"/>
          <w:i/>
          <w:szCs w:val="24"/>
        </w:rPr>
        <w:t>Ēku fondā vidējais siltumenerģijas patēriņš apkurei ir vismaz par 30% mazāks nekā 2020.gadā;</w:t>
      </w:r>
    </w:p>
    <w:p w14:paraId="40A141F5" w14:textId="77777777" w:rsidR="000D4B98" w:rsidRPr="004A0549" w:rsidRDefault="000D4B98" w:rsidP="000D4B98">
      <w:pPr>
        <w:pStyle w:val="ListParagraph"/>
        <w:numPr>
          <w:ilvl w:val="0"/>
          <w:numId w:val="44"/>
        </w:numPr>
        <w:shd w:val="clear" w:color="auto" w:fill="E7E6E6" w:themeFill="background2"/>
        <w:spacing w:before="120" w:after="120" w:line="240" w:lineRule="auto"/>
        <w:contextualSpacing w:val="0"/>
        <w:rPr>
          <w:rFonts w:cstheme="minorHAnsi"/>
          <w:i/>
          <w:szCs w:val="24"/>
        </w:rPr>
      </w:pPr>
      <w:r w:rsidRPr="004A0549">
        <w:rPr>
          <w:rFonts w:cstheme="minorHAnsi"/>
          <w:i/>
          <w:szCs w:val="24"/>
        </w:rPr>
        <w:t>Atjaunotas vismaz 2000 daudzdzīvokļu dzīvojamās ēkas un vismaz 5000 privātmājas, tajās ir uzstādītas ne-emisiju AER tehnoloģijas</w:t>
      </w:r>
      <w:r>
        <w:rPr>
          <w:rFonts w:cstheme="minorHAnsi"/>
          <w:i/>
          <w:szCs w:val="24"/>
        </w:rPr>
        <w:t>, vai tās ir pieslēgtas CSA</w:t>
      </w:r>
      <w:r w:rsidRPr="004A0549">
        <w:rPr>
          <w:rFonts w:cstheme="minorHAnsi"/>
          <w:i/>
          <w:szCs w:val="24"/>
        </w:rPr>
        <w:t>;</w:t>
      </w:r>
    </w:p>
    <w:p w14:paraId="056C3A23" w14:textId="77777777" w:rsidR="000D4B98" w:rsidRPr="004A0549" w:rsidRDefault="000D4B98" w:rsidP="000D4B98">
      <w:pPr>
        <w:pStyle w:val="ListParagraph"/>
        <w:numPr>
          <w:ilvl w:val="0"/>
          <w:numId w:val="44"/>
        </w:numPr>
        <w:shd w:val="clear" w:color="auto" w:fill="E7E6E6" w:themeFill="background2"/>
        <w:spacing w:before="120" w:after="120" w:line="240" w:lineRule="auto"/>
        <w:contextualSpacing w:val="0"/>
        <w:rPr>
          <w:rFonts w:ascii="Calibri" w:hAnsi="Calibri" w:cs="Times New Roman"/>
          <w:bCs/>
          <w:i/>
          <w:szCs w:val="24"/>
        </w:rPr>
      </w:pPr>
      <w:r w:rsidRPr="004A0549">
        <w:rPr>
          <w:rFonts w:cstheme="minorHAnsi"/>
          <w:i/>
          <w:szCs w:val="24"/>
        </w:rPr>
        <w:t xml:space="preserve">Ir nodrošināta valsts un pašvaldību ēku </w:t>
      </w:r>
      <w:r w:rsidRPr="004A0549">
        <w:rPr>
          <w:rFonts w:ascii="Calibri" w:hAnsi="Calibri" w:cs="Times New Roman"/>
          <w:bCs/>
          <w:i/>
          <w:szCs w:val="24"/>
        </w:rPr>
        <w:t>energoefektivitātes paaugstināšana;</w:t>
      </w:r>
    </w:p>
    <w:p w14:paraId="23FEF3EF" w14:textId="77777777" w:rsidR="000D4B98" w:rsidRPr="004A0549" w:rsidRDefault="000D4B98" w:rsidP="000D4B98">
      <w:pPr>
        <w:pStyle w:val="ListParagraph"/>
        <w:numPr>
          <w:ilvl w:val="0"/>
          <w:numId w:val="44"/>
        </w:numPr>
        <w:shd w:val="clear" w:color="auto" w:fill="E7E6E6" w:themeFill="background2"/>
        <w:spacing w:before="120" w:after="120" w:line="240" w:lineRule="auto"/>
        <w:contextualSpacing w:val="0"/>
        <w:rPr>
          <w:rFonts w:cstheme="minorHAnsi"/>
          <w:i/>
          <w:szCs w:val="24"/>
        </w:rPr>
      </w:pPr>
      <w:r w:rsidRPr="004A0549">
        <w:rPr>
          <w:rFonts w:ascii="Calibri" w:hAnsi="Calibri" w:cs="Times New Roman"/>
          <w:bCs/>
          <w:i/>
          <w:szCs w:val="24"/>
        </w:rPr>
        <w:t>Izstrādāts un tiek īstenots dzīvojamā fonda energoefektivitātes paaugstināšanas</w:t>
      </w:r>
      <w:r w:rsidRPr="004A0549">
        <w:rPr>
          <w:rFonts w:cstheme="minorHAnsi"/>
          <w:i/>
          <w:szCs w:val="24"/>
          <w:shd w:val="clear" w:color="auto" w:fill="FFFFFF"/>
        </w:rPr>
        <w:t xml:space="preserve"> </w:t>
      </w:r>
      <w:r w:rsidRPr="004A0549">
        <w:rPr>
          <w:rFonts w:cstheme="minorHAnsi"/>
          <w:i/>
          <w:szCs w:val="24"/>
        </w:rPr>
        <w:t xml:space="preserve"> komplekss ilgtermiņa risinājums.</w:t>
      </w:r>
    </w:p>
    <w:p w14:paraId="06E0D98A" w14:textId="77777777" w:rsidR="000D4B98" w:rsidRPr="000B4E38" w:rsidRDefault="000D4B98" w:rsidP="000D4B98">
      <w:pPr>
        <w:shd w:val="clear" w:color="auto" w:fill="E7E6E6" w:themeFill="background2"/>
        <w:spacing w:before="120" w:after="120" w:line="240" w:lineRule="auto"/>
        <w:rPr>
          <w:rFonts w:cstheme="minorHAnsi"/>
          <w:b/>
          <w:sz w:val="28"/>
          <w:szCs w:val="28"/>
          <w:u w:val="single"/>
        </w:rPr>
      </w:pPr>
      <w:r w:rsidRPr="000B4E38">
        <w:rPr>
          <w:rFonts w:cstheme="minorHAnsi"/>
          <w:b/>
          <w:sz w:val="28"/>
          <w:szCs w:val="28"/>
          <w:u w:val="single"/>
        </w:rPr>
        <w:t>Ieguvumi sabiedrībai un tautsaimniecībai</w:t>
      </w:r>
    </w:p>
    <w:p w14:paraId="7B064212" w14:textId="77777777" w:rsidR="000D4B98" w:rsidRPr="007A39A6" w:rsidRDefault="000D4B98" w:rsidP="000D4B98">
      <w:pPr>
        <w:pStyle w:val="ListParagraph"/>
        <w:numPr>
          <w:ilvl w:val="0"/>
          <w:numId w:val="45"/>
        </w:numPr>
        <w:shd w:val="clear" w:color="auto" w:fill="E7E6E6" w:themeFill="background2"/>
        <w:spacing w:before="120" w:after="120" w:line="240" w:lineRule="auto"/>
        <w:contextualSpacing w:val="0"/>
        <w:rPr>
          <w:rFonts w:cstheme="minorHAnsi"/>
          <w:i/>
          <w:szCs w:val="24"/>
        </w:rPr>
      </w:pPr>
      <w:r w:rsidRPr="007A39A6">
        <w:rPr>
          <w:rFonts w:cstheme="minorHAnsi"/>
          <w:i/>
          <w:szCs w:val="24"/>
        </w:rPr>
        <w:t>Samazināts energoresursu patēriņš ēkās nodrošina zemākus komunālos rēķinus, gala rezultātā uzlabojas iedzīvotāju maksātspēja</w:t>
      </w:r>
    </w:p>
    <w:p w14:paraId="3A219C8F" w14:textId="77777777" w:rsidR="000D4B98" w:rsidRPr="007A39A6" w:rsidRDefault="000D4B98" w:rsidP="000D4B98">
      <w:pPr>
        <w:pStyle w:val="ListParagraph"/>
        <w:numPr>
          <w:ilvl w:val="0"/>
          <w:numId w:val="45"/>
        </w:numPr>
        <w:shd w:val="clear" w:color="auto" w:fill="E7E6E6" w:themeFill="background2"/>
        <w:spacing w:before="120" w:after="120" w:line="240" w:lineRule="auto"/>
        <w:contextualSpacing w:val="0"/>
        <w:rPr>
          <w:rFonts w:cstheme="minorHAnsi"/>
          <w:i/>
          <w:szCs w:val="24"/>
        </w:rPr>
      </w:pPr>
      <w:r w:rsidRPr="007A39A6">
        <w:rPr>
          <w:rFonts w:cstheme="minorHAnsi"/>
          <w:i/>
          <w:szCs w:val="24"/>
        </w:rPr>
        <w:t>Atjaunojot vai pārbūvējot ēkas, tiek uzlabota ēku vide, palielināta ēku ilgmūžība, uzlabots ēku komforta līmenis un palielināta nekustamā īpašuma vērtība</w:t>
      </w:r>
    </w:p>
    <w:p w14:paraId="367FE2B5" w14:textId="77777777" w:rsidR="000D4B98" w:rsidRPr="007A39A6" w:rsidRDefault="000D4B98" w:rsidP="000D4B98">
      <w:pPr>
        <w:pStyle w:val="ListParagraph"/>
        <w:numPr>
          <w:ilvl w:val="0"/>
          <w:numId w:val="45"/>
        </w:numPr>
        <w:shd w:val="clear" w:color="auto" w:fill="E7E6E6" w:themeFill="background2"/>
        <w:spacing w:before="120" w:after="120" w:line="240" w:lineRule="auto"/>
        <w:contextualSpacing w:val="0"/>
        <w:rPr>
          <w:rFonts w:cstheme="minorHAnsi"/>
          <w:i/>
          <w:szCs w:val="24"/>
        </w:rPr>
      </w:pPr>
      <w:r w:rsidRPr="007A39A6">
        <w:rPr>
          <w:rFonts w:cstheme="minorHAnsi"/>
          <w:i/>
          <w:szCs w:val="24"/>
        </w:rPr>
        <w:t>Ēku atjaunošanas vai pārbūves nodrošina jaunas darbavietas būvniecības sektorā, palielinot valsts budžeta ienākumus, kā arī veicina inovāciju un tehnoloģiju attīstību.</w:t>
      </w:r>
    </w:p>
    <w:p w14:paraId="3646C968" w14:textId="7BCA8C15" w:rsidR="000D4B98" w:rsidRPr="000B4E38" w:rsidRDefault="000D4B98" w:rsidP="000D4B98">
      <w:pPr>
        <w:spacing w:before="120" w:after="120" w:line="240" w:lineRule="auto"/>
        <w:jc w:val="both"/>
        <w:rPr>
          <w:rFonts w:ascii="Calibri" w:hAnsi="Calibri" w:cs="Times New Roman"/>
          <w:b/>
          <w:i/>
          <w:sz w:val="28"/>
          <w:szCs w:val="28"/>
          <w:u w:val="single"/>
        </w:rPr>
      </w:pPr>
      <w:r w:rsidRPr="000B4E38">
        <w:rPr>
          <w:rFonts w:ascii="Calibri" w:hAnsi="Calibri" w:cs="Times New Roman"/>
          <w:b/>
          <w:i/>
          <w:sz w:val="28"/>
          <w:szCs w:val="28"/>
          <w:u w:val="single"/>
        </w:rPr>
        <w:t xml:space="preserve">Galvenie </w:t>
      </w:r>
      <w:r>
        <w:rPr>
          <w:rFonts w:ascii="Calibri" w:hAnsi="Calibri" w:cs="Times New Roman"/>
          <w:b/>
          <w:i/>
          <w:sz w:val="28"/>
          <w:szCs w:val="28"/>
          <w:u w:val="single"/>
        </w:rPr>
        <w:t>problēmjautājumi</w:t>
      </w:r>
    </w:p>
    <w:p w14:paraId="54A96050" w14:textId="77777777" w:rsidR="000D4B98" w:rsidRPr="00551B92" w:rsidRDefault="000D4B98" w:rsidP="000D4B98">
      <w:pPr>
        <w:spacing w:before="120" w:after="120" w:line="240" w:lineRule="auto"/>
        <w:jc w:val="both"/>
        <w:rPr>
          <w:rFonts w:cstheme="minorHAnsi"/>
          <w:szCs w:val="24"/>
          <w:u w:val="single"/>
          <w:shd w:val="clear" w:color="auto" w:fill="FFFFFF"/>
        </w:rPr>
      </w:pPr>
      <w:r w:rsidRPr="00551B92">
        <w:rPr>
          <w:rFonts w:cstheme="minorHAnsi"/>
          <w:szCs w:val="24"/>
          <w:u w:val="single"/>
          <w:shd w:val="clear" w:color="auto" w:fill="FFFFFF"/>
        </w:rPr>
        <w:t xml:space="preserve">1) </w:t>
      </w:r>
      <w:r w:rsidRPr="00551B92">
        <w:rPr>
          <w:rFonts w:cstheme="minorHAnsi"/>
          <w:b/>
          <w:bCs/>
          <w:szCs w:val="24"/>
          <w:u w:val="single"/>
          <w:shd w:val="clear" w:color="auto" w:fill="FFFFFF"/>
        </w:rPr>
        <w:t>novecojis ēku fonds</w:t>
      </w:r>
      <w:r w:rsidRPr="00551B92">
        <w:rPr>
          <w:rFonts w:cstheme="minorHAnsi"/>
          <w:szCs w:val="24"/>
          <w:u w:val="single"/>
          <w:shd w:val="clear" w:color="auto" w:fill="FFFFFF"/>
        </w:rPr>
        <w:t xml:space="preserve"> arī īpaši zemu energoefektivitātes līmeni</w:t>
      </w:r>
    </w:p>
    <w:p w14:paraId="00E0CC7C" w14:textId="2EFAF641" w:rsidR="000D4B98" w:rsidRPr="00551B92" w:rsidRDefault="000D4B98" w:rsidP="000D4B98">
      <w:pPr>
        <w:spacing w:before="120" w:after="120" w:line="240" w:lineRule="auto"/>
        <w:jc w:val="both"/>
        <w:rPr>
          <w:rFonts w:cstheme="minorHAnsi"/>
          <w:szCs w:val="24"/>
          <w:shd w:val="clear" w:color="auto" w:fill="FFFFFF"/>
        </w:rPr>
      </w:pPr>
      <w:r w:rsidRPr="00551B92">
        <w:rPr>
          <w:rFonts w:cstheme="minorHAnsi"/>
          <w:szCs w:val="24"/>
          <w:shd w:val="clear" w:color="auto" w:fill="FFFFFF"/>
        </w:rPr>
        <w:t>Vairums neatjaunoto ēku</w:t>
      </w:r>
      <w:r>
        <w:rPr>
          <w:rFonts w:cstheme="minorHAnsi"/>
          <w:szCs w:val="24"/>
          <w:shd w:val="clear" w:color="auto" w:fill="FFFFFF"/>
        </w:rPr>
        <w:t xml:space="preserve">, kas pārsvarā ir pirms vairākiem gadu desmitiem īsā laika periodā lielos apjomos būvētās Latvijas klimata neatbilstošas ēkas, </w:t>
      </w:r>
      <w:r w:rsidRPr="00551B92">
        <w:rPr>
          <w:rFonts w:cstheme="minorHAnsi"/>
          <w:szCs w:val="24"/>
          <w:shd w:val="clear" w:color="auto" w:fill="FFFFFF"/>
        </w:rPr>
        <w:t>atbilstoši ēku klasifikācijas prasībām šobrīd sasniedz E un F klases ēku prasības. Paredzams, ka tās tiks ekspluatētas vēl ievērojamu laika periodu, līdz ar to aktuāla ir šo ēku pakāpeniska atjaunošana, uzlabojot to energoefektivitāti.</w:t>
      </w:r>
      <w:r w:rsidRPr="00551B92">
        <w:rPr>
          <w:rFonts w:cstheme="minorHAnsi"/>
          <w:szCs w:val="24"/>
        </w:rPr>
        <w:t xml:space="preserve"> T</w:t>
      </w:r>
      <w:r w:rsidRPr="00551B92">
        <w:rPr>
          <w:rFonts w:cstheme="minorHAnsi"/>
          <w:szCs w:val="24"/>
          <w:shd w:val="clear" w:color="auto" w:fill="FFFFFF"/>
        </w:rPr>
        <w:t>ikai 10-15</w:t>
      </w:r>
      <w:r>
        <w:rPr>
          <w:rFonts w:cstheme="minorHAnsi"/>
          <w:szCs w:val="24"/>
          <w:shd w:val="clear" w:color="auto" w:fill="FFFFFF"/>
        </w:rPr>
        <w:t>%</w:t>
      </w:r>
      <w:r w:rsidRPr="00551B92">
        <w:rPr>
          <w:rFonts w:cstheme="minorHAnsi"/>
          <w:szCs w:val="24"/>
          <w:shd w:val="clear" w:color="auto" w:fill="FFFFFF"/>
        </w:rPr>
        <w:t xml:space="preserve"> no visām dzīvojamajām ēkām Latvijā ir uzceltas pēdējo 10-15 gadu laikā un ir uzskatāmi par moderniem un labā stāvoklī esošiem mājokļiem.</w:t>
      </w:r>
    </w:p>
    <w:p w14:paraId="33B48BF9" w14:textId="58377BF5" w:rsidR="000D4B98" w:rsidRPr="00551B92" w:rsidRDefault="000D4B98" w:rsidP="000D4B98">
      <w:pPr>
        <w:spacing w:before="120" w:after="120" w:line="240" w:lineRule="auto"/>
        <w:jc w:val="both"/>
        <w:rPr>
          <w:rFonts w:cstheme="minorHAnsi"/>
          <w:szCs w:val="24"/>
          <w:shd w:val="clear" w:color="auto" w:fill="FFFFFF"/>
        </w:rPr>
      </w:pPr>
      <w:r w:rsidRPr="00551B92">
        <w:rPr>
          <w:rFonts w:cstheme="minorHAnsi"/>
          <w:szCs w:val="24"/>
          <w:shd w:val="clear" w:color="auto" w:fill="FFFFFF"/>
        </w:rPr>
        <w:t xml:space="preserve">Ēku energoefektivitātes </w:t>
      </w:r>
      <w:r>
        <w:rPr>
          <w:rFonts w:cstheme="minorHAnsi"/>
          <w:szCs w:val="24"/>
          <w:shd w:val="clear" w:color="auto" w:fill="FFFFFF"/>
        </w:rPr>
        <w:t>paaugstināšanas</w:t>
      </w:r>
      <w:r w:rsidRPr="00551B92">
        <w:rPr>
          <w:rFonts w:cstheme="minorHAnsi"/>
          <w:szCs w:val="24"/>
          <w:shd w:val="clear" w:color="auto" w:fill="FFFFFF"/>
        </w:rPr>
        <w:t xml:space="preserve"> pasākumu ietvaros ir jāskata ne tikai esošo ēku renovācijas / siltināšanas pasākumu īstenošanas problemātika, bet arī jānodrošina jauno dzīvojamo ēku būvniecība un jānodrošina tas, ka šī</w:t>
      </w:r>
      <w:r>
        <w:rPr>
          <w:rFonts w:cstheme="minorHAnsi"/>
          <w:szCs w:val="24"/>
          <w:shd w:val="clear" w:color="auto" w:fill="FFFFFF"/>
        </w:rPr>
        <w:t>s</w:t>
      </w:r>
      <w:r w:rsidRPr="00551B92">
        <w:rPr>
          <w:rFonts w:cstheme="minorHAnsi"/>
          <w:szCs w:val="24"/>
          <w:shd w:val="clear" w:color="auto" w:fill="FFFFFF"/>
        </w:rPr>
        <w:t xml:space="preserve"> ēkas atbilst augstākajām ēku energoefektivitātes prasībām. Šobrīd šādas prasības nav stiprinātas, jo ir nepieciešams vērtēt, lai prasību būtiska pastiprināšana nepalielinātu slogu ēku īpašniekiem, kā arī nemazinātu jauno ēku būvniecības interesi.</w:t>
      </w:r>
      <w:r w:rsidR="00B12E83">
        <w:rPr>
          <w:rFonts w:cstheme="minorHAnsi"/>
          <w:szCs w:val="24"/>
          <w:shd w:val="clear" w:color="auto" w:fill="FFFFFF"/>
        </w:rPr>
        <w:t xml:space="preserve"> </w:t>
      </w:r>
      <w:r w:rsidRPr="00551B92">
        <w:rPr>
          <w:rFonts w:cstheme="minorHAnsi"/>
          <w:szCs w:val="24"/>
          <w:shd w:val="clear" w:color="auto" w:fill="FFFFFF"/>
        </w:rPr>
        <w:t>Tāpat, ņemot vērā Latvijas ekonomikas lielumu un iedzīvotāju skaitu, jau šobrīd ir lielas problēmas nodrošināt nepieciešamo būvniecības nozares kapacitāti un izmaksu nepārtrauktu nepalielināšanos</w:t>
      </w:r>
      <w:r>
        <w:rPr>
          <w:rFonts w:cstheme="minorHAnsi"/>
          <w:szCs w:val="24"/>
          <w:shd w:val="clear" w:color="auto" w:fill="FFFFFF"/>
        </w:rPr>
        <w:t>.</w:t>
      </w:r>
      <w:r w:rsidRPr="00551B92">
        <w:rPr>
          <w:rFonts w:cstheme="minorHAnsi"/>
          <w:szCs w:val="24"/>
          <w:shd w:val="clear" w:color="auto" w:fill="FFFFFF"/>
        </w:rPr>
        <w:t xml:space="preserve"> </w:t>
      </w:r>
    </w:p>
    <w:p w14:paraId="306AA8D9" w14:textId="57D5BD27" w:rsidR="000D4B98" w:rsidRPr="00551B92" w:rsidRDefault="00B12E83" w:rsidP="000D4B98">
      <w:pPr>
        <w:spacing w:before="120" w:after="120" w:line="240" w:lineRule="auto"/>
        <w:jc w:val="both"/>
        <w:rPr>
          <w:rFonts w:cstheme="minorHAnsi"/>
          <w:szCs w:val="24"/>
          <w:u w:val="single"/>
          <w:shd w:val="clear" w:color="auto" w:fill="FFFFFF"/>
        </w:rPr>
      </w:pPr>
      <w:r>
        <w:rPr>
          <w:rFonts w:cstheme="minorHAnsi"/>
          <w:szCs w:val="24"/>
          <w:u w:val="single"/>
          <w:shd w:val="clear" w:color="auto" w:fill="FFFFFF"/>
        </w:rPr>
        <w:t>2</w:t>
      </w:r>
      <w:r w:rsidR="000D4B98" w:rsidRPr="00551B92">
        <w:rPr>
          <w:rFonts w:cstheme="minorHAnsi"/>
          <w:szCs w:val="24"/>
          <w:u w:val="single"/>
          <w:shd w:val="clear" w:color="auto" w:fill="FFFFFF"/>
        </w:rPr>
        <w:t xml:space="preserve">) </w:t>
      </w:r>
      <w:r w:rsidR="000D4B98" w:rsidRPr="00551B92">
        <w:rPr>
          <w:rFonts w:cstheme="minorHAnsi"/>
          <w:b/>
          <w:bCs/>
          <w:szCs w:val="24"/>
          <w:u w:val="single"/>
          <w:shd w:val="clear" w:color="auto" w:fill="FFFFFF"/>
        </w:rPr>
        <w:t>neaktīva sabiedrības interese</w:t>
      </w:r>
      <w:r w:rsidR="000D4B98" w:rsidRPr="00551B92">
        <w:rPr>
          <w:rFonts w:cstheme="minorHAnsi"/>
          <w:szCs w:val="24"/>
          <w:u w:val="single"/>
          <w:shd w:val="clear" w:color="auto" w:fill="FFFFFF"/>
        </w:rPr>
        <w:t xml:space="preserve"> veikt energoefektivitātes </w:t>
      </w:r>
      <w:r w:rsidR="000D4B98">
        <w:rPr>
          <w:rFonts w:cstheme="minorHAnsi"/>
          <w:szCs w:val="24"/>
          <w:u w:val="single"/>
          <w:shd w:val="clear" w:color="auto" w:fill="FFFFFF"/>
        </w:rPr>
        <w:t>paaugstināšanas</w:t>
      </w:r>
      <w:r w:rsidR="000D4B98" w:rsidRPr="00551B92">
        <w:rPr>
          <w:rFonts w:cstheme="minorHAnsi"/>
          <w:szCs w:val="24"/>
          <w:u w:val="single"/>
          <w:shd w:val="clear" w:color="auto" w:fill="FFFFFF"/>
        </w:rPr>
        <w:t xml:space="preserve"> pasākumus</w:t>
      </w:r>
    </w:p>
    <w:p w14:paraId="06DC5B10" w14:textId="3DC676E1" w:rsidR="000D4B98" w:rsidRDefault="000D4B98" w:rsidP="000D4B98">
      <w:pPr>
        <w:spacing w:before="120" w:after="120" w:line="240" w:lineRule="auto"/>
        <w:jc w:val="both"/>
        <w:rPr>
          <w:rFonts w:cstheme="minorHAnsi"/>
          <w:szCs w:val="24"/>
          <w:shd w:val="clear" w:color="auto" w:fill="FFFFFF"/>
        </w:rPr>
      </w:pPr>
      <w:r>
        <w:rPr>
          <w:rFonts w:cstheme="minorHAnsi"/>
          <w:szCs w:val="24"/>
          <w:shd w:val="clear" w:color="auto" w:fill="FFFFFF"/>
        </w:rPr>
        <w:t>D</w:t>
      </w:r>
      <w:r w:rsidRPr="00551B92">
        <w:rPr>
          <w:rFonts w:cstheme="minorHAnsi"/>
          <w:szCs w:val="24"/>
          <w:shd w:val="clear" w:color="auto" w:fill="FFFFFF"/>
        </w:rPr>
        <w:t xml:space="preserve">iemžēl sabiedrības interese iesaistīties energoefektivitātes </w:t>
      </w:r>
      <w:r>
        <w:rPr>
          <w:rFonts w:cstheme="minorHAnsi"/>
          <w:szCs w:val="24"/>
          <w:shd w:val="clear" w:color="auto" w:fill="FFFFFF"/>
        </w:rPr>
        <w:t>paaugstināšanas</w:t>
      </w:r>
      <w:r w:rsidRPr="00551B92">
        <w:rPr>
          <w:rFonts w:cstheme="minorHAnsi"/>
          <w:szCs w:val="24"/>
          <w:shd w:val="clear" w:color="auto" w:fill="FFFFFF"/>
        </w:rPr>
        <w:t xml:space="preserve"> pasākumos un nodrošināt sava īpašuma siltināšanu vai komplekso renovāciju</w:t>
      </w:r>
      <w:r>
        <w:rPr>
          <w:rFonts w:cstheme="minorHAnsi"/>
          <w:szCs w:val="24"/>
          <w:shd w:val="clear" w:color="auto" w:fill="FFFFFF"/>
        </w:rPr>
        <w:t xml:space="preserve"> ir zema</w:t>
      </w:r>
      <w:r w:rsidRPr="00551B92">
        <w:rPr>
          <w:rFonts w:cstheme="minorHAnsi"/>
          <w:szCs w:val="24"/>
          <w:shd w:val="clear" w:color="auto" w:fill="FFFFFF"/>
        </w:rPr>
        <w:t xml:space="preserve">. Bieži vien iedzīvotāji nevēlas iesaistīties tieši birokrātiskā un administratīvā sloga dēļ, jo ES fondu finansējuma atbalsta saņemšanai ir nepieciešams sagatavot liela apjoma dokumentāciju un iesaistīt daudz cilvēku. Tāpat ir nepieciešams nodrošināt lielākās daļas ēku iedzīvotāju piekrišanu, organizēt sapulces, iedzīvotāju izglītošanas un skaidrošanas pasākumus. Tāpēc daudzos gadījumos energoefektivitātes pasākumu īstenošana tiek pārtraukta tieši iedzīvotāju neieinteresētības, nezināšanas un nevēlēšanās iesaistīties dēļ. </w:t>
      </w:r>
    </w:p>
    <w:p w14:paraId="76925AC5" w14:textId="77777777" w:rsidR="00B12E83" w:rsidRPr="001B3D3B" w:rsidRDefault="00B12E83" w:rsidP="00B12E83">
      <w:pPr>
        <w:spacing w:before="120" w:after="120" w:line="240" w:lineRule="auto"/>
        <w:jc w:val="both"/>
        <w:rPr>
          <w:rFonts w:eastAsia="Times New Roman" w:cstheme="minorHAnsi"/>
          <w:szCs w:val="24"/>
          <w:u w:val="single"/>
        </w:rPr>
      </w:pPr>
      <w:r w:rsidRPr="001B3D3B">
        <w:rPr>
          <w:rFonts w:eastAsia="Times New Roman" w:cstheme="minorHAnsi"/>
          <w:szCs w:val="24"/>
          <w:u w:val="single"/>
        </w:rPr>
        <w:t xml:space="preserve">3) </w:t>
      </w:r>
      <w:r w:rsidRPr="001B3D3B">
        <w:rPr>
          <w:rFonts w:eastAsia="Times New Roman" w:cstheme="minorHAnsi"/>
          <w:b/>
          <w:bCs/>
          <w:szCs w:val="24"/>
          <w:u w:val="single"/>
        </w:rPr>
        <w:t xml:space="preserve">nepietiekama </w:t>
      </w:r>
      <w:r w:rsidRPr="001B3D3B">
        <w:rPr>
          <w:rFonts w:eastAsia="Times New Roman" w:cstheme="minorHAnsi"/>
          <w:szCs w:val="24"/>
          <w:u w:val="single"/>
        </w:rPr>
        <w:t xml:space="preserve">privāto </w:t>
      </w:r>
      <w:r w:rsidRPr="001B3D3B">
        <w:rPr>
          <w:rFonts w:eastAsia="Times New Roman" w:cstheme="minorHAnsi"/>
          <w:b/>
          <w:bCs/>
          <w:szCs w:val="24"/>
          <w:u w:val="single"/>
        </w:rPr>
        <w:t xml:space="preserve">investīciju iesaiste un šķēršļi ESKO </w:t>
      </w:r>
      <w:r w:rsidRPr="001B3D3B">
        <w:rPr>
          <w:rFonts w:eastAsia="Times New Roman" w:cstheme="minorHAnsi"/>
          <w:szCs w:val="24"/>
          <w:u w:val="single"/>
        </w:rPr>
        <w:t>veicināšanai</w:t>
      </w:r>
    </w:p>
    <w:p w14:paraId="67B11E12" w14:textId="77777777" w:rsidR="00B12E83" w:rsidRPr="00B12E83" w:rsidRDefault="00B12E83" w:rsidP="00B12E83">
      <w:pPr>
        <w:spacing w:before="120" w:after="120" w:line="240" w:lineRule="auto"/>
        <w:jc w:val="both"/>
        <w:rPr>
          <w:rStyle w:val="Strong"/>
          <w:rFonts w:cstheme="minorHAnsi"/>
          <w:b w:val="0"/>
          <w:bCs w:val="0"/>
          <w:color w:val="000000"/>
          <w:szCs w:val="24"/>
          <w:bdr w:val="none" w:sz="0" w:space="0" w:color="auto" w:frame="1"/>
          <w:shd w:val="clear" w:color="auto" w:fill="FFFFFF"/>
        </w:rPr>
      </w:pPr>
      <w:r w:rsidRPr="00B12E83">
        <w:rPr>
          <w:rFonts w:cstheme="minorHAnsi"/>
          <w:szCs w:val="24"/>
        </w:rPr>
        <w:t>Lai gan periodā pēc 2021.gada t</w:t>
      </w:r>
      <w:r w:rsidRPr="00B12E83">
        <w:rPr>
          <w:rStyle w:val="Strong"/>
          <w:rFonts w:cstheme="minorHAnsi"/>
          <w:b w:val="0"/>
          <w:bCs w:val="0"/>
          <w:color w:val="000000"/>
          <w:szCs w:val="24"/>
          <w:bdr w:val="none" w:sz="0" w:space="0" w:color="auto" w:frame="1"/>
          <w:shd w:val="clear" w:color="auto" w:fill="FFFFFF"/>
        </w:rPr>
        <w:t xml:space="preserve">iks turpināts darbs pie valsts atbalsta programmu rūpniecībā pilnveidošanas un īstenošanas, tomēr, lai sasniegtu pieņemtos valsts energoefektivitātes mērķus, nepieciešamas arī privātās investīcijas energoefektivitātes risinājumu ieviešanā gan apstrādes rūpniecībā, gan citās nozarēs. </w:t>
      </w:r>
    </w:p>
    <w:p w14:paraId="10DB75AE" w14:textId="77777777" w:rsidR="00B12E83" w:rsidRPr="00F34872" w:rsidRDefault="00B12E83" w:rsidP="00B12E83">
      <w:pPr>
        <w:spacing w:before="120" w:after="120" w:line="240" w:lineRule="auto"/>
        <w:jc w:val="both"/>
        <w:rPr>
          <w:rFonts w:eastAsia="Times New Roman" w:cstheme="minorHAnsi"/>
          <w:szCs w:val="24"/>
        </w:rPr>
      </w:pPr>
      <w:r w:rsidRPr="00B12E83">
        <w:rPr>
          <w:rStyle w:val="Strong"/>
          <w:rFonts w:cstheme="minorHAnsi"/>
          <w:b w:val="0"/>
          <w:bCs w:val="0"/>
          <w:color w:val="000000"/>
          <w:szCs w:val="24"/>
          <w:bdr w:val="none" w:sz="0" w:space="0" w:color="auto" w:frame="1"/>
          <w:shd w:val="clear" w:color="auto" w:fill="FFFFFF"/>
        </w:rPr>
        <w:t>Šķērslis ESKO v</w:t>
      </w:r>
      <w:r w:rsidRPr="00B12E83">
        <w:rPr>
          <w:rFonts w:cstheme="minorHAnsi"/>
          <w:color w:val="232324"/>
          <w:spacing w:val="2"/>
          <w:szCs w:val="24"/>
          <w:shd w:val="clear" w:color="auto" w:fill="FEFEFE"/>
        </w:rPr>
        <w:t xml:space="preserve">eicināšanai un ESKO projektu īstenošanai publiskajā sektorā </w:t>
      </w:r>
      <w:r w:rsidRPr="00B12E83">
        <w:rPr>
          <w:rFonts w:eastAsia="Times New Roman" w:cstheme="minorHAnsi"/>
          <w:szCs w:val="24"/>
        </w:rPr>
        <w:t xml:space="preserve">ir ilgtermiņa kredītsaistību (arī </w:t>
      </w:r>
      <w:r w:rsidRPr="00B12E83">
        <w:rPr>
          <w:rFonts w:cstheme="minorHAnsi"/>
          <w:szCs w:val="24"/>
        </w:rPr>
        <w:t xml:space="preserve">energoefektivitātes pakalpojuma līgumu </w:t>
      </w:r>
      <w:r w:rsidRPr="00B12E83">
        <w:rPr>
          <w:rFonts w:eastAsia="Times New Roman" w:cstheme="minorHAnsi"/>
          <w:szCs w:val="24"/>
        </w:rPr>
        <w:t>ietvaros uzņemto saistību) grāmatošanas nosacījumi, jo pašvaldību saistības, t.sk. līgumu ietvaros uzņemtās saistības, tiek iegrāmatotas pašvaldības bilancē, kas rada ietekmi uz valsts budžetu un fiskālo telpu.</w:t>
      </w:r>
      <w:r w:rsidRPr="00F34872">
        <w:rPr>
          <w:rFonts w:eastAsia="Times New Roman" w:cstheme="minorHAnsi"/>
          <w:szCs w:val="24"/>
        </w:rPr>
        <w:t xml:space="preserve"> Publiskajā sektorā nav pieredzes ESKO iepirkumu sagatavošanā un īstenošanā un nav pieejamas </w:t>
      </w:r>
      <w:r w:rsidRPr="00F34872">
        <w:rPr>
          <w:rFonts w:cstheme="minorHAnsi"/>
          <w:szCs w:val="24"/>
        </w:rPr>
        <w:t>vadlīnijas ESKO projektu sagatavošanai un iepirkumu organizēšanai.</w:t>
      </w:r>
    </w:p>
    <w:p w14:paraId="226008DF" w14:textId="77777777" w:rsidR="000D4B98" w:rsidRPr="000C37FE" w:rsidRDefault="000D4B98" w:rsidP="000D4B98">
      <w:pPr>
        <w:shd w:val="clear" w:color="auto" w:fill="E7E6E6" w:themeFill="background2"/>
        <w:spacing w:before="120" w:after="120" w:line="240" w:lineRule="auto"/>
        <w:rPr>
          <w:rFonts w:cstheme="minorHAnsi"/>
          <w:b/>
          <w:i/>
          <w:szCs w:val="24"/>
        </w:rPr>
      </w:pPr>
      <w:r w:rsidRPr="000C37FE">
        <w:rPr>
          <w:rFonts w:cstheme="minorHAnsi"/>
          <w:b/>
          <w:i/>
          <w:sz w:val="28"/>
          <w:szCs w:val="28"/>
        </w:rPr>
        <w:t xml:space="preserve">Galvenais  rīcības virziens </w:t>
      </w:r>
      <w:r w:rsidRPr="000C37FE">
        <w:rPr>
          <w:rFonts w:cstheme="minorHAnsi"/>
          <w:b/>
          <w:i/>
          <w:szCs w:val="24"/>
        </w:rPr>
        <w:t>(1. rīcības virziens)</w:t>
      </w:r>
    </w:p>
    <w:p w14:paraId="59410D88" w14:textId="77777777" w:rsidR="000D4B98" w:rsidRPr="000C37FE" w:rsidRDefault="000D4B98" w:rsidP="000D4B98">
      <w:pPr>
        <w:shd w:val="clear" w:color="auto" w:fill="E7E6E6" w:themeFill="background2"/>
        <w:spacing w:before="120" w:after="120" w:line="240" w:lineRule="auto"/>
        <w:rPr>
          <w:rFonts w:cstheme="minorHAnsi"/>
          <w:b/>
          <w:iCs/>
          <w:szCs w:val="24"/>
          <w:u w:val="single"/>
        </w:rPr>
      </w:pPr>
      <w:r w:rsidRPr="000C37FE">
        <w:rPr>
          <w:rFonts w:cstheme="minorHAnsi"/>
          <w:b/>
          <w:iCs/>
          <w:szCs w:val="24"/>
          <w:u w:val="single"/>
        </w:rPr>
        <w:t xml:space="preserve">Ēku energoefektivitātes </w:t>
      </w:r>
      <w:r w:rsidRPr="007A39A6">
        <w:rPr>
          <w:rFonts w:cstheme="minorHAnsi"/>
          <w:b/>
          <w:iCs/>
          <w:szCs w:val="24"/>
          <w:u w:val="single"/>
        </w:rPr>
        <w:t>paaugstināšana</w:t>
      </w:r>
      <w:r>
        <w:rPr>
          <w:rFonts w:cstheme="minorHAnsi"/>
          <w:szCs w:val="24"/>
          <w:shd w:val="clear" w:color="auto" w:fill="FFFFFF"/>
        </w:rPr>
        <w:t xml:space="preserve"> </w:t>
      </w:r>
    </w:p>
    <w:p w14:paraId="31CACFBE" w14:textId="77777777" w:rsidR="000D4B98" w:rsidRPr="000C37FE" w:rsidRDefault="000D4B98" w:rsidP="000D4B98">
      <w:pPr>
        <w:spacing w:before="120" w:after="120" w:line="240" w:lineRule="auto"/>
        <w:jc w:val="both"/>
        <w:rPr>
          <w:rFonts w:cstheme="minorHAnsi"/>
          <w:b/>
          <w:i/>
          <w:sz w:val="28"/>
          <w:szCs w:val="28"/>
          <w:u w:val="single"/>
        </w:rPr>
      </w:pPr>
      <w:r w:rsidRPr="000C37FE">
        <w:rPr>
          <w:rFonts w:cstheme="minorHAnsi"/>
          <w:b/>
          <w:i/>
          <w:sz w:val="28"/>
          <w:szCs w:val="28"/>
          <w:u w:val="single"/>
        </w:rPr>
        <w:t>Galvenās rīcības un pasākumi</w:t>
      </w:r>
    </w:p>
    <w:p w14:paraId="4C90771A" w14:textId="072A6FF4" w:rsidR="000D4B98" w:rsidRPr="00313FA6" w:rsidRDefault="000D4B98" w:rsidP="000D4B98">
      <w:pPr>
        <w:spacing w:before="120" w:after="120" w:line="240" w:lineRule="auto"/>
        <w:jc w:val="both"/>
        <w:rPr>
          <w:rFonts w:cstheme="minorHAnsi"/>
          <w:szCs w:val="24"/>
          <w:u w:val="single"/>
        </w:rPr>
      </w:pPr>
      <w:r w:rsidRPr="000C37FE">
        <w:rPr>
          <w:rFonts w:cstheme="minorHAnsi"/>
          <w:szCs w:val="24"/>
          <w:u w:val="single"/>
        </w:rPr>
        <w:t xml:space="preserve">1) veicināt </w:t>
      </w:r>
      <w:r w:rsidRPr="000C37FE">
        <w:rPr>
          <w:rFonts w:cstheme="minorHAnsi"/>
          <w:b/>
          <w:bCs/>
          <w:szCs w:val="24"/>
          <w:u w:val="single"/>
        </w:rPr>
        <w:t>energoresursu patēriņa samazināšanu</w:t>
      </w:r>
      <w:r w:rsidRPr="000C37FE">
        <w:rPr>
          <w:rFonts w:cstheme="minorHAnsi"/>
          <w:szCs w:val="24"/>
          <w:u w:val="single"/>
        </w:rPr>
        <w:t xml:space="preserve"> valsts ēkās, dzīvojamās ēkās un pašvaldību un publiskās ēkās, kā arī ražošanas </w:t>
      </w:r>
      <w:r w:rsidRPr="000C37FE">
        <w:rPr>
          <w:rFonts w:cstheme="minorHAnsi"/>
          <w:b/>
          <w:bCs/>
          <w:szCs w:val="24"/>
          <w:u w:val="single"/>
        </w:rPr>
        <w:t>ēkās</w:t>
      </w:r>
      <w:r w:rsidR="00313FA6">
        <w:rPr>
          <w:rFonts w:cstheme="minorHAnsi"/>
          <w:szCs w:val="24"/>
          <w:u w:val="single"/>
        </w:rPr>
        <w:t xml:space="preserve"> (1.1., 1.2., 1.3., 1.6.pasākums)</w:t>
      </w:r>
    </w:p>
    <w:p w14:paraId="5D35FA6F" w14:textId="00A59D7B" w:rsidR="000D4B98" w:rsidRPr="000C37FE" w:rsidRDefault="000D4B98" w:rsidP="000D4B98">
      <w:pPr>
        <w:spacing w:before="120" w:after="120" w:line="240" w:lineRule="auto"/>
        <w:jc w:val="both"/>
        <w:rPr>
          <w:rFonts w:cstheme="minorHAnsi"/>
          <w:szCs w:val="24"/>
        </w:rPr>
      </w:pPr>
      <w:r w:rsidRPr="000C37FE">
        <w:rPr>
          <w:rFonts w:cstheme="minorHAnsi"/>
          <w:szCs w:val="24"/>
        </w:rPr>
        <w:t xml:space="preserve">Atbilstoši Direktīvas 2012/27/ES 5.panta 1.punkta prasībām dalībvalstij ir pienākums ik gadu veikt 3% </w:t>
      </w:r>
      <w:r w:rsidR="00B52DF2">
        <w:rPr>
          <w:rFonts w:cstheme="minorHAnsi"/>
          <w:szCs w:val="24"/>
        </w:rPr>
        <w:t xml:space="preserve">tiešās pārvaldes </w:t>
      </w:r>
      <w:r w:rsidRPr="000C37FE">
        <w:rPr>
          <w:rFonts w:cstheme="minorHAnsi"/>
          <w:szCs w:val="24"/>
        </w:rPr>
        <w:t xml:space="preserve">ēku kopējās platības atjaunošanu. Plāns paredz, ka periodā pēc 2021.gada tiks turpinātas esošās ēku energoefektivitātes </w:t>
      </w:r>
      <w:r>
        <w:rPr>
          <w:rFonts w:cstheme="minorHAnsi"/>
          <w:szCs w:val="24"/>
          <w:shd w:val="clear" w:color="auto" w:fill="FFFFFF"/>
        </w:rPr>
        <w:t>paaugstināšanas</w:t>
      </w:r>
      <w:r w:rsidRPr="00551B92">
        <w:rPr>
          <w:rFonts w:cstheme="minorHAnsi"/>
          <w:szCs w:val="24"/>
          <w:shd w:val="clear" w:color="auto" w:fill="FFFFFF"/>
        </w:rPr>
        <w:t xml:space="preserve"> </w:t>
      </w:r>
      <w:r w:rsidRPr="000C37FE">
        <w:rPr>
          <w:rFonts w:cstheme="minorHAnsi"/>
          <w:szCs w:val="24"/>
        </w:rPr>
        <w:t xml:space="preserve">programma, kur atbalsta sniegšana daudzdzīvokļu ēkām energoefektivitātes pasākumu veikšanai veiksmīgi tiek īstenota jau no 2009.gada. Tāpat plāns paredz piesaistīt privātās investīcijas energoefektivitātes paaugstināšanas projektiem (attīstīts ESKO tirgus), kas dos iespēju kopumā palielināt pieejamo finansējumu ēku atjaunošanai. </w:t>
      </w:r>
    </w:p>
    <w:p w14:paraId="7AD553EE" w14:textId="77777777" w:rsidR="000D4B98" w:rsidRPr="000C37FE" w:rsidRDefault="000D4B98" w:rsidP="000D4B98">
      <w:pPr>
        <w:spacing w:before="120" w:after="120" w:line="240" w:lineRule="auto"/>
        <w:jc w:val="both"/>
        <w:rPr>
          <w:rFonts w:cstheme="minorHAnsi"/>
          <w:szCs w:val="24"/>
        </w:rPr>
      </w:pPr>
      <w:r w:rsidRPr="000C37FE">
        <w:rPr>
          <w:rFonts w:cstheme="minorHAnsi"/>
          <w:szCs w:val="24"/>
        </w:rPr>
        <w:t xml:space="preserve">Svarīgi atbalstīt energoefektivitātes pasākumus arī pašvaldību ēku sektorā un plāns paredz arī pēc 2021.gada publiskā finansējuma ietvaros varētu īstenot esošu ēku pārbūves vai atjaunošanas, tai skaitā atjaunot individuālās vai lokālās siltumapgādes sistēmas, iegādāties un uzstādīt atjaunojamos energoresursus izmantojošas siltumenerģiju un elektroenerģiju ražojošas iekārtas. </w:t>
      </w:r>
    </w:p>
    <w:p w14:paraId="6501C8F8" w14:textId="77777777" w:rsidR="000D4B98" w:rsidRPr="000C37FE" w:rsidRDefault="000D4B98" w:rsidP="000D4B98">
      <w:pPr>
        <w:spacing w:before="120" w:after="120" w:line="240" w:lineRule="auto"/>
        <w:jc w:val="both"/>
        <w:rPr>
          <w:rFonts w:cstheme="minorHAnsi"/>
          <w:szCs w:val="24"/>
        </w:rPr>
      </w:pPr>
      <w:r w:rsidRPr="000C37FE">
        <w:rPr>
          <w:rFonts w:cstheme="minorHAnsi"/>
          <w:szCs w:val="24"/>
        </w:rPr>
        <w:t xml:space="preserve">Plāns paredz arī turpmāk īstenot energoefektivitātes </w:t>
      </w:r>
      <w:r>
        <w:rPr>
          <w:rFonts w:cstheme="minorHAnsi"/>
          <w:szCs w:val="24"/>
          <w:shd w:val="clear" w:color="auto" w:fill="FFFFFF"/>
        </w:rPr>
        <w:t xml:space="preserve">paaugstināšanas </w:t>
      </w:r>
      <w:r w:rsidRPr="000C37FE">
        <w:rPr>
          <w:rFonts w:cstheme="minorHAnsi"/>
          <w:szCs w:val="24"/>
        </w:rPr>
        <w:t xml:space="preserve"> pasākumus un AER izmantošanas veicināšanas pasākumus rūpniecībā, paredzot esošo rūpnieciskās ražošanas jaudu modernizēšanu, uzstādot energoefektīvākas ražošanas un ražošanu nodrošinošas blakusprocesu iekārtas, kā arī ražošanas ēku  un teritoriju sakārtošanu, t.sk., ražošanas teritorijā esošo iekšējo un ārējo inženiertīklu un inženiertehnisko sistēmu nomaiņu pret energoefektīvākām.</w:t>
      </w:r>
    </w:p>
    <w:p w14:paraId="1087C782" w14:textId="601C450C" w:rsidR="000D4B98" w:rsidRPr="00313FA6" w:rsidRDefault="000D4B98" w:rsidP="000D4B98">
      <w:pPr>
        <w:spacing w:before="120" w:after="120" w:line="240" w:lineRule="auto"/>
        <w:jc w:val="both"/>
        <w:rPr>
          <w:rFonts w:cstheme="minorHAnsi"/>
          <w:szCs w:val="24"/>
          <w:u w:val="single"/>
        </w:rPr>
      </w:pPr>
      <w:r w:rsidRPr="00B12E83">
        <w:rPr>
          <w:rFonts w:cstheme="minorHAnsi"/>
          <w:szCs w:val="24"/>
          <w:u w:val="single"/>
        </w:rPr>
        <w:t xml:space="preserve">2) nodrošināt ēku energoefektivitātes </w:t>
      </w:r>
      <w:r w:rsidRPr="00B12E83">
        <w:rPr>
          <w:rFonts w:cstheme="minorHAnsi"/>
          <w:szCs w:val="24"/>
          <w:u w:val="single"/>
          <w:shd w:val="clear" w:color="auto" w:fill="FFFFFF"/>
        </w:rPr>
        <w:t xml:space="preserve">paaugstināšanas </w:t>
      </w:r>
      <w:r w:rsidRPr="00B12E83">
        <w:rPr>
          <w:rFonts w:cstheme="minorHAnsi"/>
          <w:szCs w:val="24"/>
          <w:u w:val="single"/>
        </w:rPr>
        <w:t xml:space="preserve"> pasākumu īstenošanu </w:t>
      </w:r>
      <w:r w:rsidRPr="00B12E83">
        <w:rPr>
          <w:rFonts w:cstheme="minorHAnsi"/>
          <w:b/>
          <w:bCs/>
          <w:szCs w:val="24"/>
          <w:u w:val="single"/>
        </w:rPr>
        <w:t>privātmājās vai neliela skaita ēku kompleksos</w:t>
      </w:r>
      <w:r w:rsidR="00313FA6">
        <w:rPr>
          <w:rFonts w:cstheme="minorHAnsi"/>
          <w:szCs w:val="24"/>
          <w:u w:val="single"/>
        </w:rPr>
        <w:t xml:space="preserve"> (1.4., 1.5., 1.6.pasākums)</w:t>
      </w:r>
    </w:p>
    <w:p w14:paraId="43FD91E7" w14:textId="77777777" w:rsidR="000D4B98" w:rsidRPr="000C37FE" w:rsidRDefault="000D4B98" w:rsidP="000D4B98">
      <w:pPr>
        <w:spacing w:before="120" w:after="120" w:line="240" w:lineRule="auto"/>
        <w:jc w:val="both"/>
        <w:rPr>
          <w:rFonts w:cstheme="minorHAnsi"/>
          <w:szCs w:val="24"/>
        </w:rPr>
      </w:pPr>
      <w:r w:rsidRPr="000C37FE">
        <w:rPr>
          <w:rFonts w:cstheme="minorHAnsi"/>
          <w:szCs w:val="24"/>
        </w:rPr>
        <w:t xml:space="preserve">Līdz šim no valsts puses privātmājas un individuālie kompleksi ir atbalstīti minimālā apjomā. Tomēr, tā kā Latvijā vidēji privātmājas ir būtiski mazāk efektīvas kā daudzdzīvokļu dzīvojamās ēkas, tad ir nepieciešams periodā pēc 2021.gada sniegt arī atbalstu privātmājās veicamajiem energoefektivitātes </w:t>
      </w:r>
      <w:r>
        <w:rPr>
          <w:rFonts w:cstheme="minorHAnsi"/>
          <w:szCs w:val="24"/>
          <w:shd w:val="clear" w:color="auto" w:fill="FFFFFF"/>
        </w:rPr>
        <w:t xml:space="preserve">paaugstināšanas </w:t>
      </w:r>
      <w:r w:rsidRPr="000C37FE">
        <w:rPr>
          <w:rFonts w:cstheme="minorHAnsi"/>
          <w:szCs w:val="24"/>
        </w:rPr>
        <w:t xml:space="preserve"> pasākumiem, vienlaikus tiek piedāvāts noteikts obligātu nosacījumu ne-emisiju AER tehnoloģiju uzstādīšanai šajās ēkās energoefektivitātes </w:t>
      </w:r>
      <w:r>
        <w:rPr>
          <w:rFonts w:cstheme="minorHAnsi"/>
          <w:szCs w:val="24"/>
          <w:shd w:val="clear" w:color="auto" w:fill="FFFFFF"/>
        </w:rPr>
        <w:t xml:space="preserve">paaugstināšanas </w:t>
      </w:r>
      <w:r w:rsidRPr="000C37FE">
        <w:rPr>
          <w:rFonts w:cstheme="minorHAnsi"/>
          <w:szCs w:val="24"/>
        </w:rPr>
        <w:t xml:space="preserve"> pasākumu īstenošanas laikā. Tā kā minēto pasākumu īstenotāji ir privātpersonas, ir nepieciešams nodrošināt pēc iespējas vienkāršāku pieteikšanās atbalstam procedūru, kur tā tiktu veidota pēc principa “</w:t>
      </w:r>
      <w:r w:rsidRPr="000C37FE">
        <w:rPr>
          <w:rFonts w:cstheme="minorHAnsi"/>
          <w:i/>
          <w:iCs/>
          <w:szCs w:val="24"/>
        </w:rPr>
        <w:t>first come-first serve</w:t>
      </w:r>
      <w:r w:rsidRPr="000C37FE">
        <w:rPr>
          <w:rFonts w:cstheme="minorHAnsi"/>
          <w:szCs w:val="24"/>
        </w:rPr>
        <w:t xml:space="preserve">” ar iespēju pieteiktie tīmekļa vietnē, kas paredz iespēju pieteikties konkursā rindas kārtībā, to pamatojot ar izdevumu apliecinošiem dokumentiem, ja Latvijas normatīvajos aktos nav noteikts citādi. Tāpat potenciālajiem atbalsta saņēmējiem būtu iespējams administratīvajai palīdzībai izmantot pašvaldību energokonsultantus vai AER vienas pieturas aģentūru. Tāpat iespēju robežās jāizstrādā līdzmaksājuma diversificēšanas nosacījumi, ņemot vērā īpašuma, kurā tiek veikti pasākumi, vērtību un iedzīvotāju maksātspēju, kā arī attiecībā uz apkures iekārtu  nomaiņu – esošo gaisa kvalitāti teritorijā. </w:t>
      </w:r>
    </w:p>
    <w:p w14:paraId="71D3364A" w14:textId="2AB4C168" w:rsidR="000D4B98" w:rsidRPr="000C37FE" w:rsidRDefault="000D4B98" w:rsidP="000D4B98">
      <w:pPr>
        <w:spacing w:before="120" w:after="120" w:line="240" w:lineRule="auto"/>
        <w:jc w:val="both"/>
        <w:rPr>
          <w:rFonts w:cstheme="minorHAnsi"/>
          <w:szCs w:val="24"/>
          <w:u w:val="single"/>
        </w:rPr>
      </w:pPr>
      <w:r w:rsidRPr="000C37FE">
        <w:rPr>
          <w:rFonts w:cstheme="minorHAnsi"/>
          <w:szCs w:val="24"/>
          <w:u w:val="single"/>
        </w:rPr>
        <w:t xml:space="preserve">3) Nodrošināt </w:t>
      </w:r>
      <w:r w:rsidRPr="000C37FE">
        <w:rPr>
          <w:rFonts w:cstheme="minorHAnsi"/>
          <w:b/>
          <w:bCs/>
          <w:szCs w:val="24"/>
          <w:u w:val="single"/>
        </w:rPr>
        <w:t>ilgtermiņa risinājumus</w:t>
      </w:r>
      <w:r w:rsidRPr="000C37FE">
        <w:rPr>
          <w:rFonts w:cstheme="minorHAnsi"/>
          <w:szCs w:val="24"/>
          <w:u w:val="single"/>
        </w:rPr>
        <w:t xml:space="preserve"> enerģijas patēriņa mazināšanai Latvijas dzīvojamā fondā </w:t>
      </w:r>
      <w:r w:rsidR="00B12E83">
        <w:rPr>
          <w:rFonts w:cstheme="minorHAnsi"/>
          <w:szCs w:val="24"/>
          <w:u w:val="single"/>
        </w:rPr>
        <w:t>un piesaistīt nepieciešamās papildu investīcijas</w:t>
      </w:r>
      <w:r w:rsidR="00313FA6">
        <w:rPr>
          <w:rFonts w:cstheme="minorHAnsi"/>
          <w:szCs w:val="24"/>
          <w:u w:val="single"/>
        </w:rPr>
        <w:t xml:space="preserve"> (1.7., 1.8.pasākums)</w:t>
      </w:r>
    </w:p>
    <w:p w14:paraId="4ED699E3" w14:textId="47501A15" w:rsidR="000D4B98" w:rsidRDefault="000D4B98" w:rsidP="000D4B98">
      <w:pPr>
        <w:spacing w:before="120" w:after="120" w:line="240" w:lineRule="auto"/>
        <w:jc w:val="both"/>
        <w:rPr>
          <w:rFonts w:cstheme="minorHAnsi"/>
          <w:szCs w:val="24"/>
        </w:rPr>
      </w:pPr>
      <w:r w:rsidRPr="000C37FE">
        <w:rPr>
          <w:rFonts w:cstheme="minorHAnsi"/>
          <w:szCs w:val="24"/>
        </w:rPr>
        <w:t xml:space="preserve">Lai gan plāns ir paredzēts vidējam termiņam, proti, līdz 2030.gadam, tajā paredzēts radīt ilgtermiņa risinājumu dzīvojamo ēku fondam ar nosakāmo mērķi līdz 2050.gadam. Plāns paredz veikt attiecīgus pētījumus un izstrādāt dzīvojamā fonda energoefektivitātes </w:t>
      </w:r>
      <w:r>
        <w:rPr>
          <w:rFonts w:cstheme="minorHAnsi"/>
          <w:szCs w:val="24"/>
          <w:shd w:val="clear" w:color="auto" w:fill="FFFFFF"/>
        </w:rPr>
        <w:t>paaugstināšanas</w:t>
      </w:r>
      <w:r w:rsidRPr="00551B92">
        <w:rPr>
          <w:rFonts w:cstheme="minorHAnsi"/>
          <w:szCs w:val="24"/>
          <w:shd w:val="clear" w:color="auto" w:fill="FFFFFF"/>
        </w:rPr>
        <w:t xml:space="preserve"> </w:t>
      </w:r>
      <w:r w:rsidRPr="000C37FE">
        <w:rPr>
          <w:rFonts w:cstheme="minorHAnsi"/>
          <w:szCs w:val="24"/>
        </w:rPr>
        <w:t>kompleksu ilgtermiņa risinājumu, kur 2023.gadā plāns tiks papildināts/aktualizēts ar atrasto risinājumu. Plāna pētījumu un risinājuma izveides finansējums paredzēts esošā budžeta ietvaros.</w:t>
      </w:r>
    </w:p>
    <w:p w14:paraId="56633FD3" w14:textId="77777777" w:rsidR="00B12E83" w:rsidRPr="001E2A9B" w:rsidRDefault="00B12E83" w:rsidP="00B12E83">
      <w:pPr>
        <w:spacing w:before="120" w:after="120" w:line="240" w:lineRule="auto"/>
        <w:jc w:val="both"/>
        <w:rPr>
          <w:rFonts w:cstheme="minorHAnsi"/>
          <w:spacing w:val="2"/>
          <w:szCs w:val="24"/>
          <w:shd w:val="clear" w:color="auto" w:fill="FEFEFE"/>
        </w:rPr>
      </w:pPr>
      <w:r w:rsidRPr="00F13C94">
        <w:rPr>
          <w:rFonts w:eastAsia="Times New Roman" w:cstheme="minorHAnsi"/>
          <w:szCs w:val="24"/>
        </w:rPr>
        <w:t xml:space="preserve">Ņemot vērā to, ka publiskajā sektorā nav pieredzes ESKO iepirkumu sagatavošanā un īstenošanā, </w:t>
      </w:r>
      <w:r w:rsidRPr="00F13C94">
        <w:rPr>
          <w:rFonts w:cstheme="minorHAnsi"/>
          <w:szCs w:val="24"/>
        </w:rPr>
        <w:t xml:space="preserve">nepieciešams izstrādāt vadlīnijas publiskā sektora ESKO projektu sagatavošanai un iepirkumu organizēšanai, tāpat ir </w:t>
      </w:r>
      <w:r w:rsidRPr="00F13C94">
        <w:rPr>
          <w:rFonts w:eastAsia="Times New Roman" w:cstheme="minorHAnsi"/>
          <w:szCs w:val="24"/>
        </w:rPr>
        <w:t xml:space="preserve">plānots izstrādāt publiski pieejamas vadlīnijas </w:t>
      </w:r>
      <w:r w:rsidRPr="00F13C94">
        <w:rPr>
          <w:rFonts w:cstheme="minorHAnsi"/>
          <w:szCs w:val="24"/>
        </w:rPr>
        <w:t>energoefektivitātes pakalpojuma līgumu</w:t>
      </w:r>
      <w:r w:rsidRPr="00F13C94">
        <w:rPr>
          <w:rFonts w:eastAsia="Times New Roman" w:cstheme="minorHAnsi"/>
          <w:szCs w:val="24"/>
        </w:rPr>
        <w:t xml:space="preserve"> sagatavošanai un iepirkumu organizēšanai par līgumu</w:t>
      </w:r>
      <w:r w:rsidRPr="00F13C94">
        <w:rPr>
          <w:rFonts w:cstheme="minorHAnsi"/>
          <w:szCs w:val="24"/>
        </w:rPr>
        <w:t xml:space="preserve">. Tāpat tiek plānots izstrādāt </w:t>
      </w:r>
      <w:r w:rsidRPr="00F13C94">
        <w:rPr>
          <w:rFonts w:eastAsia="Times New Roman" w:cstheme="minorHAnsi"/>
          <w:szCs w:val="24"/>
        </w:rPr>
        <w:t xml:space="preserve">fiskāli neitrālu </w:t>
      </w:r>
      <w:r>
        <w:rPr>
          <w:rFonts w:eastAsia="Times New Roman" w:cstheme="minorHAnsi"/>
          <w:szCs w:val="24"/>
        </w:rPr>
        <w:t>līgumu</w:t>
      </w:r>
      <w:r w:rsidRPr="00F13C94">
        <w:rPr>
          <w:rFonts w:eastAsia="Times New Roman" w:cstheme="minorHAnsi"/>
          <w:szCs w:val="24"/>
        </w:rPr>
        <w:t xml:space="preserve"> paraugu, kas nodrošina, ka ESKO projektos ieguldītās privātās investīcijas netiktu uzskaitītas kā publiskais parāds. </w:t>
      </w:r>
      <w:r w:rsidRPr="00F13C94">
        <w:rPr>
          <w:rFonts w:cstheme="minorHAnsi"/>
          <w:color w:val="000000"/>
          <w:szCs w:val="24"/>
          <w:bdr w:val="none" w:sz="0" w:space="0" w:color="auto" w:frame="1"/>
          <w:shd w:val="clear" w:color="auto" w:fill="FFFFFF"/>
        </w:rPr>
        <w:t>Vienlaikus ir nepieciešams nodrošināt</w:t>
      </w:r>
      <w:r w:rsidRPr="00F13C94">
        <w:rPr>
          <w:rFonts w:eastAsia="Times New Roman" w:cstheme="minorHAnsi"/>
          <w:szCs w:val="24"/>
        </w:rPr>
        <w:t xml:space="preserve">, ka pašvaldības un valsts iestādes  var uzņemties ilgtermiņa saistības </w:t>
      </w:r>
      <w:r w:rsidRPr="004E1244">
        <w:rPr>
          <w:rFonts w:eastAsia="Times New Roman" w:cstheme="minorHAnsi"/>
          <w:szCs w:val="24"/>
        </w:rPr>
        <w:t xml:space="preserve">(līdz 20 gadiem), ja tiek īstenots ESKO projekts. </w:t>
      </w:r>
      <w:r w:rsidRPr="004E1244">
        <w:rPr>
          <w:rFonts w:cstheme="minorHAnsi"/>
          <w:szCs w:val="24"/>
        </w:rPr>
        <w:t>Bet l</w:t>
      </w:r>
      <w:r w:rsidRPr="004E1244">
        <w:rPr>
          <w:rFonts w:eastAsia="Times New Roman" w:cstheme="minorHAnsi"/>
          <w:szCs w:val="24"/>
        </w:rPr>
        <w:t xml:space="preserve">ai veidotu praktisku pieredzi par ESKO projektiem publiskajā sektorā, kā arī radītu lielāku izpratni gan par attiecīgo projektu </w:t>
      </w:r>
      <w:r w:rsidRPr="001E2A9B">
        <w:rPr>
          <w:rFonts w:eastAsia="Times New Roman" w:cstheme="minorHAnsi"/>
          <w:szCs w:val="24"/>
        </w:rPr>
        <w:t xml:space="preserve">lietderīgumu, ir nepieciešams apvienot gan publiskās, gan privātās investīcijas. </w:t>
      </w:r>
      <w:r w:rsidRPr="001E2A9B">
        <w:rPr>
          <w:rStyle w:val="Strong"/>
          <w:rFonts w:cstheme="minorHAnsi"/>
          <w:b w:val="0"/>
          <w:bCs w:val="0"/>
          <w:szCs w:val="24"/>
          <w:bdr w:val="none" w:sz="0" w:space="0" w:color="auto" w:frame="1"/>
          <w:shd w:val="clear" w:color="auto" w:fill="FFFFFF"/>
        </w:rPr>
        <w:t>Finanšu institūcija ALTUM turpinās attīstīt finanšu instrumentus energoefektivitātes projektu finansēšanai, tostarp,</w:t>
      </w:r>
      <w:r w:rsidRPr="001E2A9B">
        <w:rPr>
          <w:rStyle w:val="Strong"/>
          <w:rFonts w:cstheme="minorHAnsi"/>
          <w:szCs w:val="24"/>
          <w:bdr w:val="none" w:sz="0" w:space="0" w:color="auto" w:frame="1"/>
          <w:shd w:val="clear" w:color="auto" w:fill="FFFFFF"/>
        </w:rPr>
        <w:t xml:space="preserve"> </w:t>
      </w:r>
      <w:r w:rsidRPr="001E2A9B">
        <w:rPr>
          <w:rFonts w:cstheme="minorHAnsi"/>
          <w:spacing w:val="2"/>
          <w:szCs w:val="24"/>
          <w:shd w:val="clear" w:color="auto" w:fill="FEFEFE"/>
        </w:rPr>
        <w:t>aizdevumu programmu uzņēmuma energoefektivitātei un atjaunojamo energoresursu projektu ieviešanai.</w:t>
      </w:r>
    </w:p>
    <w:p w14:paraId="6BABD2D6" w14:textId="77777777" w:rsidR="000D4B98" w:rsidRDefault="000D4B98" w:rsidP="000D4B98">
      <w:pPr>
        <w:shd w:val="clear" w:color="auto" w:fill="E7E6E6" w:themeFill="background2"/>
        <w:spacing w:before="120" w:after="120" w:line="240" w:lineRule="auto"/>
        <w:jc w:val="both"/>
        <w:rPr>
          <w:rFonts w:ascii="Calibri" w:hAnsi="Calibri" w:cs="Times New Roman"/>
          <w:b/>
          <w:i/>
          <w:sz w:val="28"/>
          <w:szCs w:val="28"/>
        </w:rPr>
      </w:pPr>
      <w:r w:rsidRPr="00954C71">
        <w:rPr>
          <w:rFonts w:ascii="Calibri" w:hAnsi="Calibri" w:cs="Times New Roman"/>
          <w:b/>
          <w:i/>
          <w:sz w:val="28"/>
          <w:szCs w:val="28"/>
        </w:rPr>
        <w:t>Saistītie rīcības virzieni</w:t>
      </w:r>
    </w:p>
    <w:p w14:paraId="39C43B6D" w14:textId="58A4864D" w:rsidR="000D4B98" w:rsidRPr="000D4B98" w:rsidRDefault="000D4B98" w:rsidP="000D4B98">
      <w:pPr>
        <w:shd w:val="clear" w:color="auto" w:fill="E7E6E6" w:themeFill="background2"/>
        <w:spacing w:before="120" w:after="120" w:line="240" w:lineRule="auto"/>
        <w:jc w:val="both"/>
        <w:rPr>
          <w:rFonts w:cs="Times New Roman"/>
          <w:bCs/>
          <w:iCs/>
          <w:szCs w:val="24"/>
        </w:rPr>
      </w:pPr>
      <w:r>
        <w:rPr>
          <w:rFonts w:ascii="Calibri" w:hAnsi="Calibri" w:cs="Times New Roman"/>
          <w:bCs/>
          <w:iCs/>
          <w:szCs w:val="24"/>
        </w:rPr>
        <w:t xml:space="preserve">1) </w:t>
      </w:r>
      <w:r w:rsidRPr="00954C71">
        <w:rPr>
          <w:rFonts w:ascii="Calibri" w:hAnsi="Calibri" w:cs="Times New Roman"/>
          <w:bCs/>
          <w:iCs/>
          <w:szCs w:val="24"/>
        </w:rPr>
        <w:t xml:space="preserve">Energoefektivitātes </w:t>
      </w:r>
      <w:r w:rsidRPr="007A39A6">
        <w:rPr>
          <w:rFonts w:ascii="Calibri" w:hAnsi="Calibri" w:cs="Times New Roman"/>
          <w:bCs/>
          <w:iCs/>
          <w:szCs w:val="24"/>
        </w:rPr>
        <w:t xml:space="preserve">paaugstināšana </w:t>
      </w:r>
      <w:r w:rsidRPr="00954C71">
        <w:rPr>
          <w:rFonts w:ascii="Calibri" w:hAnsi="Calibri" w:cs="Times New Roman"/>
          <w:bCs/>
          <w:iCs/>
          <w:szCs w:val="24"/>
        </w:rPr>
        <w:t xml:space="preserve">un AER tehnoloģiju izmantošanas veicināšana </w:t>
      </w:r>
      <w:r w:rsidRPr="000D4B98">
        <w:rPr>
          <w:rFonts w:cs="Times New Roman"/>
          <w:bCs/>
          <w:iCs/>
          <w:szCs w:val="24"/>
        </w:rPr>
        <w:t xml:space="preserve">siltumapgādē un aukstumapgādē, un rūpniecībā (2.rīcības virziens), jo uzlabojumi šajā virzienā ietekmē galapatērētāju finansiālos aspektus, primārās enerģijas un </w:t>
      </w:r>
      <w:r w:rsidR="00EA0909">
        <w:rPr>
          <w:rFonts w:cs="Times New Roman"/>
          <w:bCs/>
          <w:iCs/>
          <w:szCs w:val="24"/>
        </w:rPr>
        <w:t xml:space="preserve">SEG </w:t>
      </w:r>
      <w:r w:rsidRPr="000D4B98">
        <w:rPr>
          <w:rFonts w:cs="Times New Roman"/>
          <w:bCs/>
          <w:iCs/>
          <w:szCs w:val="24"/>
        </w:rPr>
        <w:t>novērtējumu ēkām.</w:t>
      </w:r>
    </w:p>
    <w:p w14:paraId="38289CCA" w14:textId="715901DE" w:rsidR="000D4B98" w:rsidRDefault="000D4B98" w:rsidP="000D4B98">
      <w:pPr>
        <w:shd w:val="clear" w:color="auto" w:fill="E7E6E6" w:themeFill="background2"/>
        <w:spacing w:before="120" w:after="120" w:line="240" w:lineRule="auto"/>
        <w:jc w:val="both"/>
        <w:rPr>
          <w:rFonts w:cs="Times New Roman"/>
          <w:bCs/>
          <w:iCs/>
          <w:szCs w:val="24"/>
        </w:rPr>
      </w:pPr>
      <w:r w:rsidRPr="000D4B98">
        <w:rPr>
          <w:rFonts w:cs="Times New Roman"/>
          <w:bCs/>
          <w:iCs/>
          <w:szCs w:val="24"/>
        </w:rPr>
        <w:t xml:space="preserve">2) </w:t>
      </w:r>
      <w:r w:rsidR="002E0F59" w:rsidRPr="002E0F59">
        <w:rPr>
          <w:rFonts w:cs="Times New Roman"/>
          <w:bCs/>
          <w:iCs/>
          <w:szCs w:val="24"/>
        </w:rPr>
        <w:t xml:space="preserve">Ekonomiski pamatotas enerģijas pašražošanas, pašpatēriņa un </w:t>
      </w:r>
      <w:r w:rsidR="002E0F59">
        <w:rPr>
          <w:rFonts w:cs="Times New Roman"/>
          <w:bCs/>
          <w:iCs/>
          <w:szCs w:val="24"/>
        </w:rPr>
        <w:t>AE</w:t>
      </w:r>
      <w:r w:rsidR="002E0F59" w:rsidRPr="002E0F59">
        <w:rPr>
          <w:rFonts w:cs="Times New Roman"/>
          <w:bCs/>
          <w:iCs/>
          <w:szCs w:val="24"/>
        </w:rPr>
        <w:t xml:space="preserve"> kopienu veicināšana </w:t>
      </w:r>
      <w:r w:rsidRPr="000D4B98">
        <w:rPr>
          <w:rFonts w:cs="Times New Roman"/>
          <w:bCs/>
          <w:iCs/>
          <w:szCs w:val="24"/>
        </w:rPr>
        <w:t>(4.rīcības virziens), jo uzlabojumi šajā virzienā ietekmē galapatērētāju finansiālos aspektus, primārās enerģijas un SEG novērtējumu ēkām.</w:t>
      </w:r>
    </w:p>
    <w:p w14:paraId="26F4595B" w14:textId="604EAF43" w:rsidR="00EA0909" w:rsidRPr="000D4B98" w:rsidRDefault="00EA0909" w:rsidP="000D4B98">
      <w:pPr>
        <w:shd w:val="clear" w:color="auto" w:fill="E7E6E6" w:themeFill="background2"/>
        <w:spacing w:before="120" w:after="120" w:line="240" w:lineRule="auto"/>
        <w:jc w:val="both"/>
        <w:rPr>
          <w:rFonts w:cs="Times New Roman"/>
          <w:bCs/>
          <w:iCs/>
          <w:szCs w:val="24"/>
        </w:rPr>
      </w:pPr>
      <w:r>
        <w:rPr>
          <w:rFonts w:cs="Times New Roman"/>
          <w:bCs/>
          <w:iCs/>
          <w:szCs w:val="24"/>
        </w:rPr>
        <w:t xml:space="preserve">3) </w:t>
      </w:r>
      <w:r w:rsidRPr="00EA0909">
        <w:rPr>
          <w:rFonts w:cs="Times New Roman"/>
          <w:bCs/>
          <w:iCs/>
          <w:szCs w:val="24"/>
        </w:rPr>
        <w:t>Enerģētiskā drošība, enerģētiskās atkarības mazināšana, pilnīga enerģijas tirgu integrācija un infrastruktūras modernizācija</w:t>
      </w:r>
      <w:r>
        <w:rPr>
          <w:rFonts w:cs="Times New Roman"/>
          <w:bCs/>
          <w:iCs/>
          <w:szCs w:val="24"/>
        </w:rPr>
        <w:t xml:space="preserve"> (6.rīcības virziens), jo importēto energoresursu izmantošanas samazināšana, uzlabo Latvijas enerģētisko drošību un mazina enerģētisko atkarību</w:t>
      </w:r>
      <w:r w:rsidR="001E6837">
        <w:rPr>
          <w:rFonts w:cs="Times New Roman"/>
          <w:bCs/>
          <w:iCs/>
          <w:szCs w:val="24"/>
        </w:rPr>
        <w:t>.</w:t>
      </w:r>
    </w:p>
    <w:p w14:paraId="0913C335" w14:textId="719B045D" w:rsidR="000D4B98" w:rsidRPr="000D4B98" w:rsidRDefault="00EA0909" w:rsidP="000D4B98">
      <w:pPr>
        <w:shd w:val="clear" w:color="auto" w:fill="E7E6E6" w:themeFill="background2"/>
        <w:spacing w:before="120" w:after="120" w:line="240" w:lineRule="auto"/>
        <w:jc w:val="both"/>
        <w:rPr>
          <w:rFonts w:cs="Times New Roman"/>
          <w:bCs/>
          <w:iCs/>
          <w:szCs w:val="24"/>
        </w:rPr>
      </w:pPr>
      <w:r>
        <w:rPr>
          <w:rFonts w:cs="Times New Roman"/>
          <w:bCs/>
          <w:iCs/>
          <w:szCs w:val="24"/>
        </w:rPr>
        <w:t>4</w:t>
      </w:r>
      <w:r w:rsidR="000D4B98" w:rsidRPr="000D4B98">
        <w:rPr>
          <w:rFonts w:cs="Times New Roman"/>
          <w:bCs/>
          <w:iCs/>
          <w:szCs w:val="24"/>
        </w:rPr>
        <w:t>) Nodokļu sistēmas “zaļināšana” un pievilcīguma energoefektivitātei un AER tehnoloģijām uzlabošana (11.rīcības virziens), jo uzlabojumi šajā virzienā ietekmē galapatērētāju finansiālos aspektus, veicina energoefektivitāti kopumā</w:t>
      </w:r>
      <w:r w:rsidR="001E6837">
        <w:rPr>
          <w:rFonts w:cs="Times New Roman"/>
          <w:bCs/>
          <w:iCs/>
          <w:szCs w:val="24"/>
        </w:rPr>
        <w:t>.</w:t>
      </w:r>
    </w:p>
    <w:p w14:paraId="56348937" w14:textId="6024811E" w:rsidR="000D4B98" w:rsidRPr="000D4B98" w:rsidRDefault="000D4B98" w:rsidP="000D4B98">
      <w:pPr>
        <w:shd w:val="clear" w:color="auto" w:fill="E7E6E6" w:themeFill="background2"/>
        <w:spacing w:before="120" w:after="120" w:line="240" w:lineRule="auto"/>
        <w:jc w:val="both"/>
        <w:rPr>
          <w:rFonts w:cs="Times New Roman"/>
          <w:bCs/>
          <w:iCs/>
          <w:szCs w:val="24"/>
        </w:rPr>
      </w:pPr>
      <w:r w:rsidRPr="00E2491C">
        <w:rPr>
          <w:rFonts w:ascii="Calibri" w:hAnsi="Calibri"/>
          <w:noProof/>
          <w:lang w:eastAsia="lv-LV"/>
        </w:rPr>
        <mc:AlternateContent>
          <mc:Choice Requires="wps">
            <w:drawing>
              <wp:anchor distT="0" distB="0" distL="114300" distR="114300" simplePos="0" relativeHeight="251668480" behindDoc="0" locked="0" layoutInCell="1" allowOverlap="1" wp14:anchorId="2D2EA90F" wp14:editId="469F7D61">
                <wp:simplePos x="0" y="0"/>
                <wp:positionH relativeFrom="margin">
                  <wp:align>left</wp:align>
                </wp:positionH>
                <wp:positionV relativeFrom="paragraph">
                  <wp:posOffset>320675</wp:posOffset>
                </wp:positionV>
                <wp:extent cx="5779135" cy="532130"/>
                <wp:effectExtent l="0" t="0" r="0" b="1270"/>
                <wp:wrapSquare wrapText="bothSides"/>
                <wp:docPr id="26" name="Rectangle: Single Corner Snipped 26"/>
                <wp:cNvGraphicFramePr/>
                <a:graphic xmlns:a="http://schemas.openxmlformats.org/drawingml/2006/main">
                  <a:graphicData uri="http://schemas.microsoft.com/office/word/2010/wordprocessingShape">
                    <wps:wsp>
                      <wps:cNvSpPr/>
                      <wps:spPr>
                        <a:xfrm>
                          <a:off x="0" y="0"/>
                          <a:ext cx="5779135" cy="532130"/>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194FBF73" w14:textId="6962C30A"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34" w:name="_Toc24408058"/>
                            <w:bookmarkStart w:id="535" w:name="_Toc24408117"/>
                            <w:r w:rsidRPr="0007326F">
                              <w:rPr>
                                <w:color w:val="FFFFFF" w:themeColor="background1"/>
                                <w:sz w:val="40"/>
                                <w:szCs w:val="40"/>
                              </w:rPr>
                              <w:t>Siltumapgāde un aukstumapgāde</w:t>
                            </w:r>
                            <w:bookmarkEnd w:id="534"/>
                            <w:bookmarkEnd w:id="53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EA90F" id="Rectangle: Single Corner Snipped 26" o:spid="_x0000_s1031" style="position:absolute;left:0;text-align:left;margin-left:0;margin-top:25.25pt;width:455.05pt;height:41.9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532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" adj="-11796480,,5400" path="m,l5690445,r88690,88690l5779135,532130,,532130,,xe" fillcolor="#323e4f [2415]" stroked="f" strokeweight="1pt">
                <v:stroke joinstyle="miter"/>
                <v:formulas/>
                <v:path arrowok="t" o:connecttype="custom" o:connectlocs="0,0;5690445,0;5779135,88690;5779135,532130;0,532130;0,0" o:connectangles="0,0,0,0,0,0" textboxrect="0,0,5779135,532130"/>
                <v:textbox>
                  <w:txbxContent>
                    <w:p w14:paraId="194FBF73" w14:textId="6962C30A"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46" w:name="_Toc24408058"/>
                      <w:bookmarkStart w:id="547" w:name="_Toc24408117"/>
                      <w:r w:rsidRPr="0007326F">
                        <w:rPr>
                          <w:color w:val="FFFFFF" w:themeColor="background1"/>
                          <w:sz w:val="40"/>
                          <w:szCs w:val="40"/>
                        </w:rPr>
                        <w:t>Siltumapgāde un aukstumapgāde</w:t>
                      </w:r>
                      <w:bookmarkEnd w:id="546"/>
                      <w:bookmarkEnd w:id="547"/>
                    </w:p>
                  </w:txbxContent>
                </v:textbox>
                <w10:wrap type="square" anchorx="margin"/>
              </v:shape>
            </w:pict>
          </mc:Fallback>
        </mc:AlternateContent>
      </w:r>
      <w:r w:rsidR="00EA0909">
        <w:rPr>
          <w:rFonts w:cs="Times New Roman"/>
          <w:bCs/>
          <w:iCs/>
          <w:szCs w:val="24"/>
        </w:rPr>
        <w:t>5</w:t>
      </w:r>
      <w:r w:rsidRPr="000D4B98">
        <w:rPr>
          <w:rFonts w:cs="Times New Roman"/>
          <w:bCs/>
          <w:iCs/>
          <w:szCs w:val="24"/>
        </w:rPr>
        <w:t xml:space="preserve">) Sabiedrības informēšana, izglītošana un izpratnes veicināšana (12.rīcības virziens). </w:t>
      </w:r>
    </w:p>
    <w:p w14:paraId="27C57124" w14:textId="067B8784" w:rsidR="000D4B98" w:rsidRPr="00812E5C" w:rsidRDefault="000D4B98" w:rsidP="000D4B98">
      <w:pPr>
        <w:spacing w:before="120" w:after="120" w:line="240" w:lineRule="auto"/>
        <w:rPr>
          <w:rFonts w:ascii="Calibri" w:hAnsi="Calibri" w:cs="Times New Roman"/>
          <w:b/>
          <w:i/>
          <w:sz w:val="28"/>
          <w:szCs w:val="28"/>
          <w:u w:val="single"/>
        </w:rPr>
      </w:pPr>
      <w:r w:rsidRPr="00812E5C">
        <w:rPr>
          <w:rFonts w:ascii="Calibri" w:hAnsi="Calibri" w:cs="Times New Roman"/>
          <w:b/>
          <w:i/>
          <w:sz w:val="28"/>
          <w:szCs w:val="28"/>
          <w:u w:val="single"/>
        </w:rPr>
        <w:t>Esošā situācija</w:t>
      </w:r>
    </w:p>
    <w:p w14:paraId="5C922E05" w14:textId="77777777" w:rsidR="000D4B98" w:rsidRPr="00E54F21" w:rsidRDefault="000D4B98" w:rsidP="000D4B98">
      <w:pPr>
        <w:spacing w:before="120" w:after="120" w:line="240" w:lineRule="auto"/>
        <w:jc w:val="both"/>
        <w:rPr>
          <w:rFonts w:cstheme="minorHAnsi"/>
          <w:szCs w:val="24"/>
          <w:shd w:val="clear" w:color="auto" w:fill="FFFFFF"/>
        </w:rPr>
      </w:pPr>
      <w:r w:rsidRPr="00E54F21">
        <w:rPr>
          <w:rFonts w:cstheme="minorHAnsi"/>
          <w:szCs w:val="24"/>
          <w:shd w:val="clear" w:color="auto" w:fill="FFFFFF"/>
        </w:rPr>
        <w:t>Latvijā siltumapgāde tiek nodrošināta, izmantojot CSA, LSA un individuālo siltumapgādi. Siltumapgādi savā administratīvajā teritorijā organizē pašvaldības saskaņā ar tām likumā noteikto autonomo funkciju.</w:t>
      </w:r>
    </w:p>
    <w:p w14:paraId="6EFC5BA4" w14:textId="2F52C648" w:rsidR="000D4B98" w:rsidRPr="00E54F21" w:rsidRDefault="000D4B98" w:rsidP="000D4B98">
      <w:pPr>
        <w:pStyle w:val="NormalWeb"/>
        <w:spacing w:before="120" w:beforeAutospacing="0" w:after="120" w:afterAutospacing="0"/>
        <w:jc w:val="both"/>
        <w:textAlignment w:val="baseline"/>
        <w:rPr>
          <w:rFonts w:asciiTheme="minorHAnsi" w:hAnsiTheme="minorHAnsi" w:cstheme="minorHAnsi"/>
        </w:rPr>
      </w:pPr>
      <w:r w:rsidRPr="00B768AF">
        <w:rPr>
          <w:rFonts w:asciiTheme="minorHAnsi" w:hAnsiTheme="minorHAnsi" w:cstheme="minorHAnsi"/>
          <w:shd w:val="clear" w:color="auto" w:fill="FFFFFF"/>
        </w:rPr>
        <w:t>2018.gadā Latvijā dzīvojamās mājas ar siltumu apgādāja vairāk nekā 633 katlumājas un 175 koģenerācijas stacijas, patērētājiem piegādājot 6998 GWh siltumenerģijas</w:t>
      </w:r>
      <w:r w:rsidRPr="00B768AF">
        <w:rPr>
          <w:rFonts w:cstheme="minorHAnsi"/>
          <w:shd w:val="clear" w:color="auto" w:fill="FFFFFF"/>
        </w:rPr>
        <w:t xml:space="preserve">. </w:t>
      </w:r>
      <w:r w:rsidRPr="00B768AF">
        <w:rPr>
          <w:rFonts w:asciiTheme="minorHAnsi" w:hAnsiTheme="minorHAnsi" w:cstheme="minorHAnsi"/>
          <w:shd w:val="clear" w:color="auto" w:fill="FFFFFF"/>
        </w:rPr>
        <w:t>2018.gadā Latvijā pavisam tika saražotas 8247 GWh siltumenerģijas, tostarp koģenerācijas stacijās 5892 GWh.</w:t>
      </w:r>
      <w:r w:rsidRPr="00E54F21">
        <w:rPr>
          <w:rFonts w:asciiTheme="minorHAnsi" w:hAnsiTheme="minorHAnsi" w:cstheme="minorHAnsi"/>
          <w:shd w:val="clear" w:color="auto" w:fill="FFFFFF"/>
        </w:rPr>
        <w:t xml:space="preserve"> </w:t>
      </w:r>
      <w:r w:rsidRPr="00E54F21">
        <w:rPr>
          <w:rFonts w:asciiTheme="minorHAnsi" w:hAnsiTheme="minorHAnsi" w:cstheme="minorHAnsi"/>
        </w:rPr>
        <w:t>Latvijā ir vēl vismaz 260 katlumājas, kurās kā kurināmais tiek izmantots fosilais energoresurss. Papildus jāvērš uzmanība, ka Latvijā darbojas katli, kas izmanto AER, bet to efektivitāte ir samazinājusies un tie ir nolietojušies.</w:t>
      </w:r>
      <w:r>
        <w:rPr>
          <w:rStyle w:val="FootnoteReference"/>
          <w:rFonts w:eastAsiaTheme="majorEastAsia" w:cstheme="minorHAnsi"/>
          <w:shd w:val="clear" w:color="auto" w:fill="FFFFFF"/>
        </w:rPr>
        <w:footnoteReference w:id="160"/>
      </w:r>
    </w:p>
    <w:p w14:paraId="62549D02" w14:textId="77777777" w:rsidR="000D4B98" w:rsidRDefault="000D4B98" w:rsidP="00217A1E">
      <w:pPr>
        <w:spacing w:before="120" w:after="120"/>
        <w:jc w:val="both"/>
        <w:rPr>
          <w:szCs w:val="24"/>
          <w:shd w:val="clear" w:color="auto" w:fill="FFFFFF"/>
        </w:rPr>
      </w:pPr>
      <w:r>
        <w:rPr>
          <w:szCs w:val="24"/>
          <w:shd w:val="clear" w:color="auto" w:fill="FFFFFF"/>
        </w:rPr>
        <w:t>Kopējais siltumtīklu garums Latvijā ir apmēram 2000 km, no kuriem 2007.-2020.g. ar ES fondu līdzfinansējumu būs atjaunoti (gan rekonstruēti, gan jauni izveidoti) siltumtīkli kopumā 238 km garumā, ieguldot kopumā 198,63 milj.EUR, t.sk. ES fondu līdzfinansējums 85,4 milj.EUR Līdz ar to joprojām ir vajadzība pēc siltumtīklu nomaiņu, t.sk. pieslēdzot jaunus lietotājus, lai aizvietotu vietējās apkures iekārtas pret centralizēto siltumapgādi. Vidējie siltuma zudumi siltumapgādes pārvades un sadales tīklos 2018.gadā sasniedza 11,7%. Lielākā daļa CSA sistēmu ir būvētas vairāk nekā pirms 25 gadiem, līdz ar to atsevišķi posmi ir ar lieliem zudumiem. Piemēram, Jēkabpilī siltuma zudumi sasniedz 14%, savukārt Daugavpilī 15,7%.</w:t>
      </w:r>
    </w:p>
    <w:p w14:paraId="63184E6F" w14:textId="77777777" w:rsidR="000D4B98" w:rsidRPr="00E54F21" w:rsidRDefault="000D4B98" w:rsidP="00217A1E">
      <w:pPr>
        <w:pStyle w:val="NormalWeb"/>
        <w:spacing w:before="120" w:beforeAutospacing="0" w:after="120" w:afterAutospacing="0"/>
        <w:jc w:val="both"/>
        <w:textAlignment w:val="baseline"/>
        <w:rPr>
          <w:rFonts w:asciiTheme="minorHAnsi" w:hAnsiTheme="minorHAnsi" w:cstheme="minorHAnsi"/>
        </w:rPr>
      </w:pPr>
      <w:r>
        <w:rPr>
          <w:rFonts w:asciiTheme="minorHAnsi" w:hAnsiTheme="minorHAnsi" w:cstheme="minorHAnsi"/>
        </w:rPr>
        <w:t>Periodā līdz 2020.gadam</w:t>
      </w:r>
      <w:r w:rsidRPr="00E54F21">
        <w:rPr>
          <w:rFonts w:asciiTheme="minorHAnsi" w:hAnsiTheme="minorHAnsi" w:cstheme="minorHAnsi"/>
        </w:rPr>
        <w:t xml:space="preserve"> sniegts ES fondu atbalsts energoefektivitātes veicināšanai un vietējo AER izmantošanai centralizētajā siltumapgādē, sniedzot atbalstu 104 projektiem, </w:t>
      </w:r>
      <w:r>
        <w:rPr>
          <w:rFonts w:asciiTheme="minorHAnsi" w:hAnsiTheme="minorHAnsi" w:cstheme="minorHAnsi"/>
        </w:rPr>
        <w:t xml:space="preserve">kuros ir veiktas </w:t>
      </w:r>
      <w:r w:rsidRPr="00E54F21">
        <w:rPr>
          <w:rFonts w:asciiTheme="minorHAnsi" w:hAnsiTheme="minorHAnsi" w:cstheme="minorHAnsi"/>
        </w:rPr>
        <w:t>investīcijas akumulācijas sistēmas uzstādīšanai</w:t>
      </w:r>
      <w:r>
        <w:rPr>
          <w:rFonts w:asciiTheme="minorHAnsi" w:hAnsiTheme="minorHAnsi" w:cstheme="minorHAnsi"/>
        </w:rPr>
        <w:t xml:space="preserve">, veikti </w:t>
      </w:r>
      <w:r w:rsidRPr="00E54F21">
        <w:rPr>
          <w:rFonts w:asciiTheme="minorHAnsi" w:hAnsiTheme="minorHAnsi" w:cstheme="minorHAnsi"/>
        </w:rPr>
        <w:t xml:space="preserve">veikti ieguldījumi siltumenerģija ražošanas avotā </w:t>
      </w:r>
      <w:r>
        <w:rPr>
          <w:rFonts w:asciiTheme="minorHAnsi" w:hAnsiTheme="minorHAnsi" w:cstheme="minorHAnsi"/>
        </w:rPr>
        <w:t xml:space="preserve">un ir </w:t>
      </w:r>
      <w:r w:rsidRPr="00E54F21">
        <w:rPr>
          <w:rFonts w:asciiTheme="minorHAnsi" w:hAnsiTheme="minorHAnsi" w:cstheme="minorHAnsi"/>
        </w:rPr>
        <w:t xml:space="preserve">veikti ieguldījumi siltumtrašu atjaunošanā. </w:t>
      </w:r>
    </w:p>
    <w:p w14:paraId="3685EA11" w14:textId="77777777" w:rsidR="000D4B98" w:rsidRDefault="000D4B98" w:rsidP="00217A1E">
      <w:pPr>
        <w:pStyle w:val="NormalWeb"/>
        <w:spacing w:before="120" w:beforeAutospacing="0" w:after="120" w:afterAutospacing="0"/>
        <w:jc w:val="both"/>
        <w:textAlignment w:val="baseline"/>
        <w:rPr>
          <w:rFonts w:asciiTheme="minorHAnsi" w:hAnsiTheme="minorHAnsi" w:cstheme="minorHAnsi"/>
        </w:rPr>
      </w:pPr>
      <w:r w:rsidRPr="00E54F21">
        <w:rPr>
          <w:rFonts w:asciiTheme="minorHAnsi" w:hAnsiTheme="minorHAnsi" w:cstheme="minorHAnsi"/>
        </w:rPr>
        <w:t>Latvijā nav uzstādīta neviena centralizētās triģenerācijas stacija. Telpu dzesēšanai tiek izmantotas tradicionālās kondicionēšanas iekārtas, kas tāpat kā jebkura energoierīce, rada papildus slodzi pilsētas infrastruktūrai un lokālu risinājumu gadījumā rada nevajadzīgu slodzi ekoloģijai, papildus CO</w:t>
      </w:r>
      <w:r w:rsidRPr="00E54F21">
        <w:rPr>
          <w:rFonts w:asciiTheme="minorHAnsi" w:hAnsiTheme="minorHAnsi" w:cstheme="minorHAnsi"/>
          <w:vertAlign w:val="subscript"/>
        </w:rPr>
        <w:t>2</w:t>
      </w:r>
      <w:r w:rsidRPr="00E54F21">
        <w:rPr>
          <w:rFonts w:asciiTheme="minorHAnsi" w:hAnsiTheme="minorHAnsi" w:cstheme="minorHAnsi"/>
        </w:rPr>
        <w:t xml:space="preserve"> izmešu, izgarojumu un trokšņu veidā.</w:t>
      </w:r>
    </w:p>
    <w:p w14:paraId="4A715DAD" w14:textId="77777777" w:rsidR="000D4B98" w:rsidRPr="000E5785" w:rsidRDefault="000D4B98" w:rsidP="00217A1E">
      <w:pPr>
        <w:shd w:val="clear" w:color="auto" w:fill="E7E6E6" w:themeFill="background2"/>
        <w:spacing w:before="120" w:after="120" w:line="240" w:lineRule="auto"/>
        <w:rPr>
          <w:rFonts w:ascii="Calibri" w:hAnsi="Calibri" w:cs="Times New Roman"/>
          <w:b/>
          <w:sz w:val="28"/>
          <w:szCs w:val="28"/>
          <w:u w:val="single"/>
        </w:rPr>
      </w:pPr>
      <w:r w:rsidRPr="000E5785">
        <w:rPr>
          <w:rFonts w:ascii="Calibri" w:hAnsi="Calibri" w:cs="Times New Roman"/>
          <w:b/>
          <w:sz w:val="28"/>
          <w:szCs w:val="28"/>
          <w:u w:val="single"/>
        </w:rPr>
        <w:t>Vēlamā situācija 2030.gadā:</w:t>
      </w:r>
    </w:p>
    <w:p w14:paraId="7A2384F8" w14:textId="77777777" w:rsidR="000D4B98" w:rsidRPr="0024315C"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ascii="Calibri" w:hAnsi="Calibri" w:cs="Times New Roman"/>
          <w:i/>
          <w:szCs w:val="24"/>
        </w:rPr>
      </w:pPr>
      <w:r w:rsidRPr="0024315C">
        <w:rPr>
          <w:rFonts w:ascii="Calibri" w:hAnsi="Calibri" w:cs="Times New Roman"/>
          <w:i/>
          <w:szCs w:val="24"/>
        </w:rPr>
        <w:t>Ir attīstītas CSA sistēmas, kas ir kompleksi un ekonomiski pamatoti atjaunotas un kurās arvien vairāk tiek izmantotas AER tehnoloģijas (īpaši ne-emisiju tehnoloģijas);</w:t>
      </w:r>
    </w:p>
    <w:p w14:paraId="3FB1171A" w14:textId="77777777" w:rsidR="000D4B98" w:rsidRPr="0024315C"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ascii="Calibri" w:hAnsi="Calibri" w:cs="Times New Roman"/>
          <w:i/>
          <w:szCs w:val="24"/>
        </w:rPr>
      </w:pPr>
      <w:r w:rsidRPr="0024315C">
        <w:rPr>
          <w:rFonts w:ascii="Calibri" w:hAnsi="Calibri" w:cs="Times New Roman"/>
          <w:i/>
          <w:szCs w:val="24"/>
        </w:rPr>
        <w:t>Palielināts CSA un LSA pieslēgumu un līdz ar to CSA un LSA izmantotāju skaits;</w:t>
      </w:r>
    </w:p>
    <w:p w14:paraId="07D027C6" w14:textId="77777777" w:rsidR="000D4B98" w:rsidRPr="0024315C"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ascii="Calibri" w:hAnsi="Calibri" w:cs="Times New Roman"/>
          <w:i/>
          <w:szCs w:val="24"/>
        </w:rPr>
      </w:pPr>
      <w:r w:rsidRPr="0024315C">
        <w:rPr>
          <w:rFonts w:ascii="Calibri" w:hAnsi="Calibri" w:cs="Times New Roman"/>
          <w:i/>
          <w:szCs w:val="24"/>
        </w:rPr>
        <w:t>Efektivizēta individuālā siltumapgāde, kurās arvien vairāk tiek izmantotas AER tehnoloģijas (īpaši ne-emisiju tehnoloģijas);</w:t>
      </w:r>
    </w:p>
    <w:p w14:paraId="57929CE9" w14:textId="77777777" w:rsidR="000D4B98" w:rsidRPr="0024315C"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ascii="Calibri" w:hAnsi="Calibri" w:cs="Times New Roman"/>
          <w:i/>
          <w:szCs w:val="24"/>
        </w:rPr>
      </w:pPr>
      <w:r w:rsidRPr="0024315C">
        <w:rPr>
          <w:rFonts w:ascii="Calibri" w:hAnsi="Calibri" w:cs="Times New Roman"/>
          <w:i/>
          <w:szCs w:val="24"/>
        </w:rPr>
        <w:t>Arvien vairāk ieviesta centrālā un individuālā aukstumapgāde.</w:t>
      </w:r>
    </w:p>
    <w:p w14:paraId="2E9A8983" w14:textId="77777777" w:rsidR="000D4B98" w:rsidRPr="000E5785" w:rsidRDefault="000D4B98" w:rsidP="00217A1E">
      <w:pPr>
        <w:shd w:val="clear" w:color="auto" w:fill="E7E6E6" w:themeFill="background2"/>
        <w:spacing w:before="120" w:after="120" w:line="240" w:lineRule="auto"/>
        <w:rPr>
          <w:rFonts w:ascii="Calibri" w:hAnsi="Calibri" w:cs="Times New Roman"/>
          <w:b/>
          <w:sz w:val="28"/>
          <w:szCs w:val="28"/>
          <w:u w:val="single"/>
        </w:rPr>
      </w:pPr>
      <w:r w:rsidRPr="000E5785">
        <w:rPr>
          <w:rFonts w:ascii="Calibri" w:hAnsi="Calibri" w:cs="Times New Roman"/>
          <w:b/>
          <w:sz w:val="28"/>
          <w:szCs w:val="28"/>
          <w:u w:val="single"/>
        </w:rPr>
        <w:t>Ieguvumi sabiedrībai un tautsaimniecībai:</w:t>
      </w:r>
    </w:p>
    <w:p w14:paraId="799A2B85" w14:textId="77777777" w:rsidR="000D4B98" w:rsidRPr="0024315C"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ascii="Calibri" w:hAnsi="Calibri" w:cs="Times New Roman"/>
          <w:i/>
          <w:szCs w:val="24"/>
        </w:rPr>
      </w:pPr>
      <w:r w:rsidRPr="0024315C">
        <w:rPr>
          <w:rFonts w:ascii="Calibri" w:hAnsi="Calibri" w:cs="Times New Roman"/>
          <w:i/>
          <w:szCs w:val="24"/>
        </w:rPr>
        <w:t>būtiski uzlabota CSA sistēmu darbība, nodrošinot nepārtrauktu siltumenerģijas padevi par atbilstošām izmaksām un samazinātas siltumapgādes izmaksas patērētājiem</w:t>
      </w:r>
    </w:p>
    <w:p w14:paraId="2A8491B7" w14:textId="77777777" w:rsidR="000D4B98" w:rsidRPr="0024315C"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ascii="Calibri" w:hAnsi="Calibri" w:cs="Times New Roman"/>
          <w:i/>
          <w:szCs w:val="24"/>
        </w:rPr>
      </w:pPr>
      <w:r w:rsidRPr="0024315C">
        <w:rPr>
          <w:rFonts w:ascii="Calibri" w:hAnsi="Calibri" w:cs="Times New Roman"/>
          <w:i/>
          <w:szCs w:val="24"/>
        </w:rPr>
        <w:t>nodrošināta ilgtspējīga un efektīva lokālo un individuālo siltumapgādes sistēmu darbība, nodrošinot gaisa kvalitātes uzlabošanos un iedzīvotāju komforta līmeņa uzlabošanos,</w:t>
      </w:r>
    </w:p>
    <w:p w14:paraId="3AD6F1D2" w14:textId="77777777" w:rsidR="000D4B98" w:rsidRPr="0024315C" w:rsidRDefault="000D4B98" w:rsidP="00217A1E">
      <w:pPr>
        <w:pStyle w:val="ListParagraph"/>
        <w:numPr>
          <w:ilvl w:val="0"/>
          <w:numId w:val="34"/>
        </w:numPr>
        <w:shd w:val="clear" w:color="auto" w:fill="E7E6E6" w:themeFill="background2"/>
        <w:spacing w:before="120" w:after="120" w:line="240" w:lineRule="auto"/>
        <w:ind w:left="454" w:hanging="454"/>
        <w:contextualSpacing w:val="0"/>
        <w:rPr>
          <w:rFonts w:ascii="Calibri" w:hAnsi="Calibri" w:cs="Times New Roman"/>
          <w:i/>
          <w:szCs w:val="24"/>
        </w:rPr>
      </w:pPr>
      <w:r w:rsidRPr="0024315C">
        <w:rPr>
          <w:rFonts w:ascii="Calibri" w:hAnsi="Calibri" w:cs="Times New Roman"/>
          <w:i/>
          <w:szCs w:val="24"/>
        </w:rPr>
        <w:t>samazināta siltumenerģijas ražošanas ietekme uz klimata pārmaiņām un veicināta siltumapgādes un aukstumapgādes dekarbonizācija</w:t>
      </w:r>
    </w:p>
    <w:p w14:paraId="6307E50C" w14:textId="5C1334C9" w:rsidR="000D4B98" w:rsidRPr="00812E5C" w:rsidRDefault="000D4B98" w:rsidP="00217A1E">
      <w:pPr>
        <w:spacing w:before="120" w:after="120" w:line="240" w:lineRule="auto"/>
        <w:jc w:val="both"/>
        <w:rPr>
          <w:rFonts w:ascii="Calibri" w:hAnsi="Calibri" w:cs="Times New Roman"/>
          <w:b/>
          <w:i/>
          <w:sz w:val="28"/>
          <w:szCs w:val="28"/>
          <w:u w:val="single"/>
        </w:rPr>
      </w:pPr>
      <w:r w:rsidRPr="00812E5C">
        <w:rPr>
          <w:rFonts w:ascii="Calibri" w:hAnsi="Calibri" w:cs="Times New Roman"/>
          <w:b/>
          <w:i/>
          <w:sz w:val="28"/>
          <w:szCs w:val="28"/>
          <w:u w:val="single"/>
        </w:rPr>
        <w:t xml:space="preserve">Galvenie </w:t>
      </w:r>
      <w:r>
        <w:rPr>
          <w:rFonts w:ascii="Calibri" w:hAnsi="Calibri" w:cs="Times New Roman"/>
          <w:b/>
          <w:i/>
          <w:sz w:val="28"/>
          <w:szCs w:val="28"/>
          <w:u w:val="single"/>
        </w:rPr>
        <w:t>problēmjautājumi</w:t>
      </w:r>
    </w:p>
    <w:p w14:paraId="40EADC72" w14:textId="77777777" w:rsidR="000D4B98" w:rsidRPr="0024315C" w:rsidRDefault="000D4B98" w:rsidP="00217A1E">
      <w:pPr>
        <w:spacing w:before="120" w:after="120" w:line="240" w:lineRule="auto"/>
        <w:jc w:val="both"/>
        <w:rPr>
          <w:rFonts w:cstheme="minorHAnsi"/>
          <w:szCs w:val="24"/>
        </w:rPr>
      </w:pPr>
      <w:r w:rsidRPr="0024315C">
        <w:rPr>
          <w:rFonts w:cstheme="minorHAnsi"/>
          <w:szCs w:val="24"/>
        </w:rPr>
        <w:t xml:space="preserve">1) </w:t>
      </w:r>
      <w:r w:rsidRPr="0024315C">
        <w:rPr>
          <w:rFonts w:cstheme="minorHAnsi"/>
          <w:b/>
          <w:bCs/>
          <w:szCs w:val="24"/>
        </w:rPr>
        <w:t>novecojušas</w:t>
      </w:r>
      <w:r w:rsidRPr="0024315C">
        <w:rPr>
          <w:rFonts w:cstheme="minorHAnsi"/>
          <w:szCs w:val="24"/>
        </w:rPr>
        <w:t xml:space="preserve"> esošās CSA sistēmu </w:t>
      </w:r>
      <w:r w:rsidRPr="0024315C">
        <w:rPr>
          <w:rFonts w:cstheme="minorHAnsi"/>
          <w:b/>
          <w:bCs/>
          <w:szCs w:val="24"/>
        </w:rPr>
        <w:t>jaudas un siltumtīkli</w:t>
      </w:r>
      <w:r w:rsidRPr="0024315C">
        <w:rPr>
          <w:rFonts w:cstheme="minorHAnsi"/>
          <w:szCs w:val="24"/>
        </w:rPr>
        <w:t xml:space="preserve">, </w:t>
      </w:r>
      <w:r w:rsidRPr="0024315C">
        <w:rPr>
          <w:rFonts w:cstheme="minorHAnsi"/>
          <w:b/>
          <w:bCs/>
          <w:szCs w:val="24"/>
        </w:rPr>
        <w:t>jaunu patērētāju pieslēgšana</w:t>
      </w:r>
      <w:r w:rsidRPr="0024315C">
        <w:rPr>
          <w:rFonts w:cstheme="minorHAnsi"/>
          <w:szCs w:val="24"/>
        </w:rPr>
        <w:t xml:space="preserve"> </w:t>
      </w:r>
    </w:p>
    <w:p w14:paraId="0D17C826" w14:textId="77777777" w:rsidR="000D4B98" w:rsidRPr="0024315C" w:rsidRDefault="000D4B98" w:rsidP="00217A1E">
      <w:pPr>
        <w:spacing w:before="120" w:after="120" w:line="240" w:lineRule="auto"/>
        <w:jc w:val="both"/>
        <w:rPr>
          <w:rFonts w:cstheme="minorHAnsi"/>
          <w:szCs w:val="24"/>
          <w:shd w:val="clear" w:color="auto" w:fill="FFFFFF"/>
        </w:rPr>
      </w:pPr>
      <w:r w:rsidRPr="0024315C">
        <w:rPr>
          <w:rFonts w:cstheme="minorHAnsi"/>
          <w:szCs w:val="24"/>
          <w:shd w:val="clear" w:color="auto" w:fill="FFFFFF"/>
        </w:rPr>
        <w:t>Latvija ieņem trešo vietu Eiropā aiz Islandes un Lietuvas pēc iedzīvotāju skaita (%), kuriem siltumenerģija tiek nodrošināta ar CSA. </w:t>
      </w:r>
      <w:r w:rsidRPr="0024315C">
        <w:rPr>
          <w:rFonts w:cstheme="minorHAnsi"/>
          <w:szCs w:val="24"/>
        </w:rPr>
        <w:t>Tā kā tiek pieņemts, ka vidējais apkures katla kalpošanas ilgums ir 10 – 15 gadi (apkures katliem, kuru kalpošanas ilgums ir lielāks, vērojami siltuma zudumi, un to efektivitātes koeficients ar katru ekspluatācijas gadu samazinās), jau šobrīd &gt;60% katlumājās uzstādīto katlu ekspluatācijas ilgums pārsniedz 15 gadus. Pēc ES fondu 2014. – 2020. gada plānošanas periodā esošās atbalsta programmas 4.3.1.specifiskais atbalsta mērķa “Veicināt energoefektivitāti un vietējo AER izmantošanu centralizētajā siltumapgādē”, varam novērot, ka katlu efektivitāte samazinās pat pēc 7 gadu lietošanas (tiek mainīti katli, kuri līdz šim tikuši izmantoti no 7 un līdz pat 24 gadiem). Straujāku</w:t>
      </w:r>
      <w:r w:rsidRPr="0024315C">
        <w:rPr>
          <w:rFonts w:cstheme="minorHAnsi"/>
          <w:szCs w:val="24"/>
          <w:shd w:val="clear" w:color="auto" w:fill="FFFFFF"/>
        </w:rPr>
        <w:t xml:space="preserve"> energoefektivitātes paaugstināšanas pasākumu īstenošanu CSA kavē trūkstošais investīciju apjoms, pašvaldību ierobežotās spējas ņemt kredītu, kā arī lēnais kapitāla apgrozījuma ātrums. Šo iemeslu dēļ vēl aizvien pašvaldībās tiek darbinātas neefektīvas iekārtas, kas rada paaugstinātu kurināmā patēriņu un nespēj nodrošināt siltuma apgādi nepieciešamā kvalitātē. Veicot kompleksu sistēmas (ražošana – pārvade – patēriņš) atjaunošanu, iespējams optimizēt enerģijas ražošanas procesu un samazināt siltumenerģijas zudumus pārvades sistēmās.</w:t>
      </w:r>
    </w:p>
    <w:p w14:paraId="64661F43" w14:textId="77777777" w:rsidR="000D4B98" w:rsidRPr="0024315C" w:rsidRDefault="000D4B98" w:rsidP="00217A1E">
      <w:pPr>
        <w:spacing w:before="120" w:after="120" w:line="240" w:lineRule="auto"/>
        <w:jc w:val="both"/>
        <w:rPr>
          <w:rFonts w:cstheme="minorHAnsi"/>
          <w:szCs w:val="24"/>
        </w:rPr>
      </w:pPr>
      <w:r w:rsidRPr="0024315C">
        <w:rPr>
          <w:rFonts w:cstheme="minorHAnsi"/>
          <w:szCs w:val="24"/>
        </w:rPr>
        <w:t>Lai gan Latvijā ir pietiekami augsts CSA pieslēgto iedzīvotāju skaits, šobrīd ir novērota aktīvas apdzīvotības decentralizācijas un privātās apbūves palielināšanās tendences, līdz ar to arvien vairāk palielinās individuālās siltumapgādes sistēmas.</w:t>
      </w:r>
    </w:p>
    <w:p w14:paraId="3CCA35CA" w14:textId="77777777" w:rsidR="000D4B98" w:rsidRPr="0024315C" w:rsidRDefault="000D4B98" w:rsidP="00217A1E">
      <w:pPr>
        <w:spacing w:before="120" w:after="120" w:line="240" w:lineRule="auto"/>
        <w:jc w:val="both"/>
        <w:rPr>
          <w:rFonts w:cstheme="minorHAnsi"/>
          <w:szCs w:val="24"/>
          <w:u w:val="single"/>
        </w:rPr>
      </w:pPr>
      <w:r w:rsidRPr="0024315C">
        <w:rPr>
          <w:rFonts w:cstheme="minorHAnsi"/>
          <w:szCs w:val="24"/>
          <w:u w:val="single"/>
        </w:rPr>
        <w:t xml:space="preserve">2) </w:t>
      </w:r>
      <w:r w:rsidRPr="0024315C">
        <w:rPr>
          <w:rFonts w:cstheme="minorHAnsi"/>
          <w:b/>
          <w:bCs/>
          <w:szCs w:val="24"/>
          <w:u w:val="single"/>
        </w:rPr>
        <w:t>AER</w:t>
      </w:r>
      <w:r w:rsidRPr="0024315C">
        <w:rPr>
          <w:rFonts w:cstheme="minorHAnsi"/>
          <w:szCs w:val="24"/>
          <w:u w:val="single"/>
        </w:rPr>
        <w:t xml:space="preserve"> neefektīva un nepietiekama izmantošana </w:t>
      </w:r>
      <w:r w:rsidRPr="0024315C">
        <w:rPr>
          <w:rFonts w:cstheme="minorHAnsi"/>
          <w:b/>
          <w:bCs/>
          <w:szCs w:val="24"/>
          <w:u w:val="single"/>
        </w:rPr>
        <w:t>siltumapgādē</w:t>
      </w:r>
    </w:p>
    <w:p w14:paraId="347E682A" w14:textId="3F0DE7D1" w:rsidR="000D4B98" w:rsidRPr="0024315C" w:rsidRDefault="000D4B98" w:rsidP="00217A1E">
      <w:pPr>
        <w:spacing w:before="120" w:after="120" w:line="240" w:lineRule="auto"/>
        <w:jc w:val="both"/>
        <w:rPr>
          <w:rFonts w:cstheme="minorHAnsi"/>
          <w:szCs w:val="24"/>
          <w:shd w:val="clear" w:color="auto" w:fill="FFFFFF"/>
        </w:rPr>
      </w:pPr>
      <w:r w:rsidRPr="0024315C">
        <w:rPr>
          <w:rFonts w:cstheme="minorHAnsi"/>
          <w:szCs w:val="24"/>
          <w:shd w:val="clear" w:color="auto" w:fill="FFFFFF"/>
        </w:rPr>
        <w:t xml:space="preserve">Viens no Latvijas enerģētikas </w:t>
      </w:r>
      <w:r w:rsidR="00B75C0D">
        <w:rPr>
          <w:rFonts w:cstheme="minorHAnsi"/>
          <w:szCs w:val="24"/>
          <w:shd w:val="clear" w:color="auto" w:fill="FFFFFF"/>
        </w:rPr>
        <w:t>problēmjautājumiem</w:t>
      </w:r>
      <w:r w:rsidRPr="0024315C">
        <w:rPr>
          <w:rFonts w:cstheme="minorHAnsi"/>
          <w:szCs w:val="24"/>
          <w:shd w:val="clear" w:color="auto" w:fill="FFFFFF"/>
        </w:rPr>
        <w:t xml:space="preserve"> ir augsta atkarība no importētajiem energoresursiem</w:t>
      </w:r>
      <w:r w:rsidRPr="0024315C">
        <w:rPr>
          <w:rFonts w:cstheme="minorHAnsi"/>
          <w:szCs w:val="24"/>
        </w:rPr>
        <w:t xml:space="preserve">, kur </w:t>
      </w:r>
      <w:r>
        <w:rPr>
          <w:rFonts w:cstheme="minorHAnsi"/>
          <w:szCs w:val="24"/>
        </w:rPr>
        <w:t>Latvijā ir būtiski augsta gan gāzveida kurināmā / degvielas, gan šķidrā kurināmā / degvielas, gan cietā fosilā kurināmā / degvielas atkarība</w:t>
      </w:r>
      <w:r w:rsidRPr="0024315C">
        <w:rPr>
          <w:rFonts w:cstheme="minorHAnsi"/>
          <w:szCs w:val="24"/>
        </w:rPr>
        <w:t>.</w:t>
      </w:r>
      <w:r w:rsidRPr="0024315C">
        <w:rPr>
          <w:rFonts w:cstheme="minorHAnsi"/>
          <w:szCs w:val="24"/>
          <w:shd w:val="clear" w:color="auto" w:fill="FFFFFF"/>
        </w:rPr>
        <w:t xml:space="preserve"> Šobrīd siltumapgādē un aukstumapgādē dominē cietās biomasas patēriņš. Koksnes biomasa ir nozīmīgākais vietējais kurināmais, kuru Latvijā izmanto gan CSA, gan LSA, bet īpaši individuālajā siltumapgādē (gandrīz). No AER saražotās enerģijas īpatsvars siltumapgādē un aukstumapgādē pieaudzis no 40,7% 2010.gadā līdz 54,6% 2017.gadā. Katlu māju skaits, kurās kā kurināmo izmanto koksnes biomasu, pieaudzis no 241 2010.gadā līdz 306 2018.gadā un uzstādītā siltumenerģijas jauda attiecīgi pieaudusi no 597,6MW līdz 994,2 MW. Savukārt mājsaimniecībās (individuālajā siltumapgādē) cietās biomasas izmantojums ir gandrīz 80% no mājsaimniecībās izmantotajiem energoresursiem.</w:t>
      </w:r>
    </w:p>
    <w:p w14:paraId="706EEEAB" w14:textId="77777777" w:rsidR="000D4B98" w:rsidRPr="0024315C" w:rsidRDefault="000D4B98" w:rsidP="00217A1E">
      <w:pPr>
        <w:spacing w:before="120" w:after="120" w:line="240" w:lineRule="auto"/>
        <w:jc w:val="both"/>
        <w:rPr>
          <w:rFonts w:cstheme="minorHAnsi"/>
          <w:szCs w:val="24"/>
          <w:shd w:val="clear" w:color="auto" w:fill="FFFFFF"/>
        </w:rPr>
      </w:pPr>
      <w:r w:rsidRPr="0024315C">
        <w:rPr>
          <w:rFonts w:cstheme="minorHAnsi"/>
          <w:szCs w:val="24"/>
          <w:shd w:val="clear" w:color="auto" w:fill="FFFFFF"/>
        </w:rPr>
        <w:t>Siltumapgādē un aukstumapgādē ne-emisiju tehnoloģijas tiek izmantotas ļoti nelielā apjomā, kur individuālajā un lokālajā siltumapgādē nelielā apjomā tiek izmantoti saules kolektori vai siltumsūkņi. Tāpat arī elektrības kā siltumapgādes energoresursa izmantošana ir niecīga – 2018.gadā no visas Latvijā saražotās siltumenerģijas, tikai 0,1% tika saražots izmantojot elektroenerģiju.</w:t>
      </w:r>
    </w:p>
    <w:p w14:paraId="6AC70709" w14:textId="77777777" w:rsidR="000D4B98" w:rsidRPr="00477CC4" w:rsidRDefault="000D4B98" w:rsidP="00217A1E">
      <w:pPr>
        <w:spacing w:before="120" w:after="120" w:line="240" w:lineRule="auto"/>
        <w:jc w:val="both"/>
        <w:rPr>
          <w:rFonts w:cstheme="minorHAnsi"/>
          <w:szCs w:val="24"/>
          <w:u w:val="single"/>
          <w:shd w:val="clear" w:color="auto" w:fill="FFFFFF"/>
        </w:rPr>
      </w:pPr>
      <w:r w:rsidRPr="00477CC4">
        <w:rPr>
          <w:rFonts w:cstheme="minorHAnsi"/>
          <w:szCs w:val="24"/>
          <w:u w:val="single"/>
          <w:shd w:val="clear" w:color="auto" w:fill="FFFFFF"/>
        </w:rPr>
        <w:t xml:space="preserve">3) neeksistējoša centralizētā un lokālā </w:t>
      </w:r>
      <w:r w:rsidRPr="00477CC4">
        <w:rPr>
          <w:rFonts w:cstheme="minorHAnsi"/>
          <w:b/>
          <w:bCs/>
          <w:szCs w:val="24"/>
          <w:u w:val="single"/>
          <w:shd w:val="clear" w:color="auto" w:fill="FFFFFF"/>
        </w:rPr>
        <w:t>aukstumapgāde</w:t>
      </w:r>
    </w:p>
    <w:p w14:paraId="7065DA47" w14:textId="77777777" w:rsidR="000D4B98" w:rsidRPr="0024315C" w:rsidRDefault="000D4B98" w:rsidP="00217A1E">
      <w:pPr>
        <w:spacing w:before="120" w:after="120" w:line="240" w:lineRule="auto"/>
        <w:jc w:val="both"/>
        <w:rPr>
          <w:rFonts w:cstheme="minorHAnsi"/>
          <w:szCs w:val="24"/>
          <w:shd w:val="clear" w:color="auto" w:fill="FFFFFF"/>
        </w:rPr>
      </w:pPr>
      <w:r w:rsidRPr="0024315C">
        <w:rPr>
          <w:rFonts w:cstheme="minorHAnsi"/>
          <w:szCs w:val="24"/>
          <w:shd w:val="clear" w:color="auto" w:fill="FFFFFF"/>
        </w:rPr>
        <w:t xml:space="preserve">Lai gan klimata pārmaiņu ietekmē Latvijā pēdējos gados ir būtiski palielinājusies vidējā gada gaisa temperatūra un arī vidējā vasaras sezonas gaisa temperatūra, Latvijā praktiski neeksistē centralizētā aukstumapgāde un šobrīd Latvijā aukstumapgāde (dzesēšana) tiek nodrošināta, izmantojot gaisa atsvaidzināšanas sistēmas, kurās tiek iepildīts fluorētās gāzes. Periodā no 2005.gada līdz 2017.gadam flurēto gāzu patēriņā radītais SEG emisiju apjoms ir palielinājies gandrīz 3.5 reizes. Centralizētā aukstumapgāde ir vienkārša, droša un komfortabla noslēgta cikla process, kas rada vismazāko ekoloģisko kaitējumu. </w:t>
      </w:r>
    </w:p>
    <w:p w14:paraId="0D63E3B2" w14:textId="77777777" w:rsidR="000D4B98" w:rsidRDefault="000D4B98" w:rsidP="00217A1E">
      <w:pPr>
        <w:shd w:val="clear" w:color="auto" w:fill="E7E6E6" w:themeFill="background2"/>
        <w:spacing w:before="120" w:after="120" w:line="240" w:lineRule="auto"/>
        <w:rPr>
          <w:rFonts w:ascii="Calibri" w:hAnsi="Calibri" w:cs="Times New Roman"/>
          <w:b/>
          <w:i/>
          <w:szCs w:val="24"/>
        </w:rPr>
      </w:pPr>
      <w:r w:rsidRPr="000E5785">
        <w:rPr>
          <w:rFonts w:ascii="Calibri" w:hAnsi="Calibri" w:cs="Times New Roman"/>
          <w:b/>
          <w:i/>
          <w:sz w:val="28"/>
          <w:szCs w:val="28"/>
        </w:rPr>
        <w:t>Galvenais rīcības virziens</w:t>
      </w:r>
      <w:r w:rsidRPr="000E5785">
        <w:rPr>
          <w:rFonts w:ascii="Calibri" w:hAnsi="Calibri" w:cs="Times New Roman"/>
          <w:b/>
          <w:i/>
          <w:szCs w:val="24"/>
        </w:rPr>
        <w:t xml:space="preserve"> (</w:t>
      </w:r>
      <w:r>
        <w:rPr>
          <w:rFonts w:ascii="Calibri" w:hAnsi="Calibri" w:cs="Times New Roman"/>
          <w:b/>
          <w:i/>
          <w:szCs w:val="24"/>
        </w:rPr>
        <w:t>2</w:t>
      </w:r>
      <w:r w:rsidRPr="000E5785">
        <w:rPr>
          <w:rFonts w:ascii="Calibri" w:hAnsi="Calibri" w:cs="Times New Roman"/>
          <w:b/>
          <w:i/>
          <w:szCs w:val="24"/>
        </w:rPr>
        <w:t>. rīcības virziens)</w:t>
      </w:r>
    </w:p>
    <w:p w14:paraId="4C22E826" w14:textId="77777777" w:rsidR="000D4B98" w:rsidRPr="0024315C" w:rsidRDefault="000D4B98" w:rsidP="00217A1E">
      <w:pPr>
        <w:shd w:val="clear" w:color="auto" w:fill="E7E6E6" w:themeFill="background2"/>
        <w:spacing w:before="120" w:after="120" w:line="240" w:lineRule="auto"/>
        <w:rPr>
          <w:rFonts w:ascii="Times New Roman" w:hAnsi="Times New Roman" w:cs="Times New Roman"/>
          <w:szCs w:val="24"/>
        </w:rPr>
      </w:pPr>
      <w:r w:rsidRPr="0024315C">
        <w:rPr>
          <w:rFonts w:ascii="Calibri" w:hAnsi="Calibri" w:cs="Times New Roman"/>
          <w:b/>
          <w:szCs w:val="24"/>
          <w:u w:val="single"/>
        </w:rPr>
        <w:t>E</w:t>
      </w:r>
      <w:r>
        <w:rPr>
          <w:rFonts w:ascii="Calibri" w:hAnsi="Calibri" w:cs="Times New Roman"/>
          <w:b/>
          <w:szCs w:val="24"/>
          <w:u w:val="single"/>
        </w:rPr>
        <w:t>ne</w:t>
      </w:r>
      <w:r w:rsidRPr="0024315C">
        <w:rPr>
          <w:rFonts w:ascii="Calibri" w:hAnsi="Calibri" w:cs="Times New Roman"/>
          <w:b/>
          <w:szCs w:val="24"/>
          <w:u w:val="single"/>
        </w:rPr>
        <w:t>rgoefektivitātes uzlabošana un AER tehnoloģiju izmantošanas veicināšana siltumapgādē un aukstumapgādē un rūpniecībā</w:t>
      </w:r>
    </w:p>
    <w:p w14:paraId="5650F152" w14:textId="77777777" w:rsidR="000D4B98" w:rsidRPr="00812E5C" w:rsidRDefault="000D4B98" w:rsidP="00217A1E">
      <w:pPr>
        <w:spacing w:before="120" w:after="120" w:line="240" w:lineRule="auto"/>
        <w:jc w:val="both"/>
        <w:rPr>
          <w:rFonts w:ascii="Calibri" w:hAnsi="Calibri" w:cs="Times New Roman"/>
          <w:b/>
          <w:i/>
          <w:sz w:val="28"/>
          <w:szCs w:val="28"/>
          <w:u w:val="single"/>
        </w:rPr>
      </w:pPr>
      <w:r w:rsidRPr="00812E5C">
        <w:rPr>
          <w:rFonts w:ascii="Calibri" w:hAnsi="Calibri" w:cs="Times New Roman"/>
          <w:b/>
          <w:i/>
          <w:sz w:val="28"/>
          <w:szCs w:val="28"/>
          <w:u w:val="single"/>
        </w:rPr>
        <w:t>Galvenās rīcības un pasākumi</w:t>
      </w:r>
    </w:p>
    <w:p w14:paraId="7A46AD54" w14:textId="77777777" w:rsidR="000D4B98" w:rsidRPr="001864F6" w:rsidRDefault="000D4B98" w:rsidP="00217A1E">
      <w:pPr>
        <w:spacing w:before="120" w:after="120" w:line="240" w:lineRule="auto"/>
        <w:jc w:val="both"/>
        <w:rPr>
          <w:rFonts w:cstheme="minorHAnsi"/>
          <w:szCs w:val="24"/>
          <w:u w:val="single"/>
        </w:rPr>
      </w:pPr>
      <w:r w:rsidRPr="001864F6">
        <w:rPr>
          <w:rFonts w:cstheme="minorHAnsi"/>
          <w:szCs w:val="24"/>
          <w:u w:val="single"/>
        </w:rPr>
        <w:t xml:space="preserve">1) nodrošināt enerģijas patēriņa samazinājumu un palielināt AER izmantošanu </w:t>
      </w:r>
      <w:r w:rsidRPr="001864F6">
        <w:rPr>
          <w:rFonts w:cstheme="minorHAnsi"/>
          <w:b/>
          <w:bCs/>
          <w:szCs w:val="24"/>
          <w:u w:val="single"/>
        </w:rPr>
        <w:t xml:space="preserve">CSA, </w:t>
      </w:r>
      <w:r w:rsidRPr="001864F6">
        <w:rPr>
          <w:rFonts w:cstheme="minorHAnsi"/>
          <w:szCs w:val="24"/>
          <w:u w:val="single"/>
        </w:rPr>
        <w:t xml:space="preserve">nodrošināt </w:t>
      </w:r>
      <w:r w:rsidRPr="001864F6">
        <w:rPr>
          <w:rFonts w:cstheme="minorHAnsi"/>
          <w:b/>
          <w:bCs/>
          <w:szCs w:val="24"/>
          <w:u w:val="single"/>
        </w:rPr>
        <w:t>CSA pievilcīgumu</w:t>
      </w:r>
      <w:r w:rsidRPr="001864F6">
        <w:rPr>
          <w:rFonts w:cstheme="minorHAnsi"/>
          <w:szCs w:val="24"/>
          <w:u w:val="single"/>
        </w:rPr>
        <w:t xml:space="preserve"> (</w:t>
      </w:r>
      <w:r>
        <w:rPr>
          <w:rFonts w:cstheme="minorHAnsi"/>
          <w:szCs w:val="24"/>
          <w:u w:val="single"/>
        </w:rPr>
        <w:t xml:space="preserve">H.1., H.2., H.3 pasākums, 2.1., </w:t>
      </w:r>
      <w:r w:rsidRPr="001864F6">
        <w:rPr>
          <w:rFonts w:cstheme="minorHAnsi"/>
          <w:szCs w:val="24"/>
          <w:u w:val="single"/>
        </w:rPr>
        <w:t>2.2., 2.5. pasākums)</w:t>
      </w:r>
    </w:p>
    <w:p w14:paraId="047467DB" w14:textId="77777777" w:rsidR="000D4B98" w:rsidRPr="001864F6" w:rsidRDefault="000D4B98" w:rsidP="000D4B98">
      <w:pPr>
        <w:spacing w:before="120" w:after="120" w:line="240" w:lineRule="auto"/>
        <w:jc w:val="both"/>
        <w:rPr>
          <w:rFonts w:cstheme="minorHAnsi"/>
          <w:szCs w:val="24"/>
        </w:rPr>
      </w:pPr>
      <w:r w:rsidRPr="001864F6">
        <w:rPr>
          <w:rFonts w:cstheme="minorHAnsi"/>
          <w:szCs w:val="24"/>
        </w:rPr>
        <w:t>Plānā būtiska loma ir noteikta CSA sistēmas darbības efektivitātes uzlabošanai un AER izmantojuma palielināšanai, kas būtu nodrošināma ar CSA izmantoto iekārtu nomaiņu uz efektīvākām, vienlaikus uzstādot dažādas AER tehnoloģijas, uzsvaru liekot uz ne-emisiju tehnoloģijām.</w:t>
      </w:r>
      <w:r>
        <w:rPr>
          <w:rFonts w:cstheme="minorHAnsi"/>
          <w:szCs w:val="24"/>
        </w:rPr>
        <w:t xml:space="preserve"> Tāpat Plānā ir ierosināts noteikt aizliegumu uzstādīt jauna tikai cieto vai šķidro fosilo kurināmo izmantojošās sadedzināšanas iekārtas (izņemot, ja šis kurināmais ļoti ierobežotā apjomā tiek izmantots kopā ar AER kurināmo).</w:t>
      </w:r>
    </w:p>
    <w:p w14:paraId="00C0E540" w14:textId="77777777" w:rsidR="000D4B98" w:rsidRPr="001864F6" w:rsidRDefault="000D4B98" w:rsidP="000D4B98">
      <w:pPr>
        <w:spacing w:before="120" w:after="120" w:line="240" w:lineRule="auto"/>
        <w:jc w:val="both"/>
        <w:rPr>
          <w:rFonts w:cstheme="minorHAnsi"/>
          <w:szCs w:val="24"/>
        </w:rPr>
      </w:pPr>
      <w:r w:rsidRPr="001864F6">
        <w:rPr>
          <w:rFonts w:cstheme="minorHAnsi"/>
          <w:szCs w:val="24"/>
        </w:rPr>
        <w:t>CSA efektivitātes uzlabošanu veicina jaunu patērētāju piesaiste, kas būtu veicama nodrošinot pastāvīgi zemu siltumenerģijas piegādes tarifu, nepārtrauktu un drošu siltumapgādi, kā arī dažādas iespējas galapatērētājam siltumenerģiju izmantot racionāli. Tāpēc ir arī nepieciešams izbūvēt jaunas īpaši efektīvas siltumenerģijas pārvades un sadales sistēmas, īpaši teritorijās ar pietiekami blīvu apbūvi un pietiekami lielu iedzīvotāju skaitu. Vēl viens no veidiem to nodrošināt ir siltumapgādes (tirgus) liberalizācija, līdz ar to ir nepieciešams veikt detālu izvērtējumu par šādu iespēju.</w:t>
      </w:r>
    </w:p>
    <w:p w14:paraId="03276D91" w14:textId="294D4531" w:rsidR="000D4B98" w:rsidRPr="001864F6" w:rsidRDefault="000D4B98" w:rsidP="000D4B98">
      <w:pPr>
        <w:spacing w:before="120" w:after="120" w:line="240" w:lineRule="auto"/>
        <w:jc w:val="both"/>
        <w:rPr>
          <w:rFonts w:cstheme="minorHAnsi"/>
          <w:szCs w:val="24"/>
          <w:u w:val="single"/>
        </w:rPr>
      </w:pPr>
      <w:r w:rsidRPr="001864F6">
        <w:rPr>
          <w:rFonts w:cstheme="minorHAnsi"/>
          <w:szCs w:val="24"/>
          <w:u w:val="single"/>
        </w:rPr>
        <w:t xml:space="preserve">2) veicināt AER izmantošanu un energoefektivitātes uzlabošanu </w:t>
      </w:r>
      <w:r w:rsidR="00217A1E">
        <w:rPr>
          <w:rFonts w:cstheme="minorHAnsi"/>
          <w:b/>
          <w:bCs/>
          <w:szCs w:val="24"/>
          <w:u w:val="single"/>
        </w:rPr>
        <w:t>LSA</w:t>
      </w:r>
      <w:r w:rsidRPr="001864F6">
        <w:rPr>
          <w:rFonts w:cstheme="minorHAnsi"/>
          <w:b/>
          <w:bCs/>
          <w:szCs w:val="24"/>
          <w:u w:val="single"/>
        </w:rPr>
        <w:t xml:space="preserve"> un individuālā siltumapgādē</w:t>
      </w:r>
      <w:r w:rsidRPr="001864F6">
        <w:rPr>
          <w:rFonts w:cstheme="minorHAnsi"/>
          <w:szCs w:val="24"/>
          <w:u w:val="single"/>
        </w:rPr>
        <w:t xml:space="preserve"> (</w:t>
      </w:r>
      <w:r>
        <w:rPr>
          <w:rFonts w:cstheme="minorHAnsi"/>
          <w:szCs w:val="24"/>
          <w:u w:val="single"/>
        </w:rPr>
        <w:t xml:space="preserve">H.1, H.2, H.3 pasākums, </w:t>
      </w:r>
      <w:r w:rsidRPr="001864F6">
        <w:rPr>
          <w:rFonts w:cstheme="minorHAnsi"/>
          <w:szCs w:val="24"/>
          <w:u w:val="single"/>
        </w:rPr>
        <w:t>2.3.pasākums)</w:t>
      </w:r>
    </w:p>
    <w:p w14:paraId="1AA318B0" w14:textId="77777777" w:rsidR="000D4B98" w:rsidRDefault="000D4B98" w:rsidP="000D4B98">
      <w:pPr>
        <w:pStyle w:val="ListParagraph"/>
        <w:spacing w:before="120" w:after="120" w:line="240" w:lineRule="auto"/>
        <w:ind w:left="0"/>
        <w:contextualSpacing w:val="0"/>
        <w:jc w:val="both"/>
        <w:rPr>
          <w:rFonts w:cstheme="minorHAnsi"/>
          <w:szCs w:val="24"/>
          <w:shd w:val="clear" w:color="auto" w:fill="FFFFFF"/>
        </w:rPr>
      </w:pPr>
      <w:r w:rsidRPr="001864F6">
        <w:rPr>
          <w:rFonts w:cstheme="minorHAnsi"/>
          <w:szCs w:val="24"/>
        </w:rPr>
        <w:t xml:space="preserve">Individuālajā un lokālajā siltumapgādē izmantojamo </w:t>
      </w:r>
      <w:r w:rsidRPr="001864F6">
        <w:rPr>
          <w:rFonts w:cstheme="minorHAnsi"/>
          <w:szCs w:val="24"/>
          <w:shd w:val="clear" w:color="auto" w:fill="FFFFFF"/>
        </w:rPr>
        <w:t xml:space="preserve">kurināmo koksni patērējošo iekārtu vecums pārsniedz 25 gadus un daudzos gadījumos to īpašnieki plāno šo iekārtu nomaiņu ar jaunākām, efektīvākām iekārtām. </w:t>
      </w:r>
      <w:r w:rsidRPr="001864F6">
        <w:rPr>
          <w:rFonts w:cstheme="minorHAnsi"/>
          <w:szCs w:val="24"/>
        </w:rPr>
        <w:t>Lai ilgtermiņā nodrošinātu, ka AER īpatsvars tiek paaugstināts, ir jāveicina individuālās un lokālās siltumapgādes energoefektivitāte, sniedzot atbalstu to atjaunošanai vai izbūvēšanai, uzsvaru liekot uz kompleksiem risinājumiem – siltumapgādes sistēmu energoefektivitātes uzlabošana</w:t>
      </w:r>
      <w:r>
        <w:rPr>
          <w:rFonts w:cstheme="minorHAnsi"/>
          <w:szCs w:val="24"/>
        </w:rPr>
        <w:t>,</w:t>
      </w:r>
      <w:r w:rsidRPr="001864F6">
        <w:rPr>
          <w:rFonts w:cstheme="minorHAnsi"/>
          <w:szCs w:val="24"/>
        </w:rPr>
        <w:t xml:space="preserve"> un vienlaicīg</w:t>
      </w:r>
      <w:r>
        <w:rPr>
          <w:rFonts w:cstheme="minorHAnsi"/>
          <w:szCs w:val="24"/>
        </w:rPr>
        <w:t>i</w:t>
      </w:r>
      <w:r w:rsidRPr="001864F6">
        <w:rPr>
          <w:rFonts w:cstheme="minorHAnsi"/>
          <w:szCs w:val="24"/>
        </w:rPr>
        <w:t xml:space="preserve"> pilnīg</w:t>
      </w:r>
      <w:r>
        <w:rPr>
          <w:rFonts w:cstheme="minorHAnsi"/>
          <w:szCs w:val="24"/>
        </w:rPr>
        <w:t>u</w:t>
      </w:r>
      <w:r w:rsidRPr="001864F6">
        <w:rPr>
          <w:rFonts w:cstheme="minorHAnsi"/>
          <w:szCs w:val="24"/>
        </w:rPr>
        <w:t xml:space="preserve"> vai daļēj</w:t>
      </w:r>
      <w:r>
        <w:rPr>
          <w:rFonts w:cstheme="minorHAnsi"/>
          <w:szCs w:val="24"/>
        </w:rPr>
        <w:t>u</w:t>
      </w:r>
      <w:r w:rsidRPr="001864F6">
        <w:rPr>
          <w:rFonts w:cstheme="minorHAnsi"/>
          <w:szCs w:val="24"/>
        </w:rPr>
        <w:t xml:space="preserve"> izmantotās tehnoloģijas nomaiņ</w:t>
      </w:r>
      <w:r>
        <w:rPr>
          <w:rFonts w:cstheme="minorHAnsi"/>
          <w:szCs w:val="24"/>
        </w:rPr>
        <w:t>u</w:t>
      </w:r>
      <w:r w:rsidRPr="001864F6">
        <w:rPr>
          <w:rFonts w:cstheme="minorHAnsi"/>
          <w:szCs w:val="24"/>
        </w:rPr>
        <w:t xml:space="preserve"> uz AER tehnoloģijām (īpaši ne-emisiju AER tehnoloģijām). </w:t>
      </w:r>
      <w:r w:rsidRPr="001864F6">
        <w:rPr>
          <w:rFonts w:cstheme="minorHAnsi"/>
          <w:szCs w:val="24"/>
          <w:shd w:val="clear" w:color="auto" w:fill="FFFFFF"/>
        </w:rPr>
        <w:t>Šādas iekārtas var būt ne tikai koksni patērējošas, bet arī cita veida iekārtas – siltumsūkņi, saules kolektori, vēja ģeneratori, u.c..</w:t>
      </w:r>
    </w:p>
    <w:p w14:paraId="7DF6E213" w14:textId="77777777" w:rsidR="000D4B98" w:rsidRPr="001864F6" w:rsidRDefault="000D4B98" w:rsidP="000D4B98">
      <w:pPr>
        <w:pStyle w:val="ListParagraph"/>
        <w:spacing w:before="120" w:after="120" w:line="240" w:lineRule="auto"/>
        <w:ind w:left="0"/>
        <w:contextualSpacing w:val="0"/>
        <w:jc w:val="both"/>
        <w:rPr>
          <w:rFonts w:cstheme="minorHAnsi"/>
          <w:szCs w:val="24"/>
          <w:shd w:val="clear" w:color="auto" w:fill="FFFFFF"/>
        </w:rPr>
      </w:pPr>
      <w:r>
        <w:rPr>
          <w:rFonts w:cstheme="minorHAnsi"/>
          <w:szCs w:val="24"/>
        </w:rPr>
        <w:t>Tāpat Plānā ir ierosināts noteikt aizliegumu uzstādīt jauna tikai cieto vai šķidro fosilo kurināmo izmantojošās sadedzināšanas iekārtas (izņemot, ja šis kurināmais ļoti ierobežotā apjomā tiek izmantots kopā ar AER kurināmo).</w:t>
      </w:r>
    </w:p>
    <w:p w14:paraId="034BE50F" w14:textId="14894D6D" w:rsidR="000D4B98" w:rsidRPr="001864F6" w:rsidRDefault="000D4B98" w:rsidP="000D4B98">
      <w:pPr>
        <w:pStyle w:val="ListParagraph"/>
        <w:spacing w:before="120" w:after="120" w:line="240" w:lineRule="auto"/>
        <w:ind w:left="0"/>
        <w:contextualSpacing w:val="0"/>
        <w:jc w:val="both"/>
        <w:rPr>
          <w:rFonts w:cstheme="minorHAnsi"/>
          <w:szCs w:val="24"/>
          <w:u w:val="single"/>
          <w:shd w:val="clear" w:color="auto" w:fill="FFFFFF"/>
        </w:rPr>
      </w:pPr>
      <w:r w:rsidRPr="001864F6">
        <w:rPr>
          <w:rFonts w:cstheme="minorHAnsi"/>
          <w:szCs w:val="24"/>
          <w:u w:val="single"/>
          <w:shd w:val="clear" w:color="auto" w:fill="FFFFFF"/>
        </w:rPr>
        <w:t xml:space="preserve">3) </w:t>
      </w:r>
      <w:r w:rsidRPr="00217A1E">
        <w:rPr>
          <w:rFonts w:cstheme="minorHAnsi"/>
          <w:szCs w:val="24"/>
          <w:u w:val="single"/>
          <w:shd w:val="clear" w:color="auto" w:fill="FFFFFF"/>
        </w:rPr>
        <w:t xml:space="preserve">nodrošināt </w:t>
      </w:r>
      <w:r w:rsidRPr="001864F6">
        <w:rPr>
          <w:rFonts w:cstheme="minorHAnsi"/>
          <w:b/>
          <w:bCs/>
          <w:szCs w:val="24"/>
          <w:u w:val="single"/>
          <w:shd w:val="clear" w:color="auto" w:fill="FFFFFF"/>
        </w:rPr>
        <w:t xml:space="preserve">efektīvākās </w:t>
      </w:r>
      <w:r w:rsidRPr="001864F6">
        <w:rPr>
          <w:rFonts w:cstheme="minorHAnsi"/>
          <w:szCs w:val="24"/>
          <w:u w:val="single"/>
          <w:shd w:val="clear" w:color="auto" w:fill="FFFFFF"/>
        </w:rPr>
        <w:t xml:space="preserve">siltumapgādes </w:t>
      </w:r>
      <w:r w:rsidRPr="001864F6">
        <w:rPr>
          <w:rFonts w:cstheme="minorHAnsi"/>
          <w:b/>
          <w:bCs/>
          <w:szCs w:val="24"/>
          <w:u w:val="single"/>
          <w:shd w:val="clear" w:color="auto" w:fill="FFFFFF"/>
        </w:rPr>
        <w:t>sistēmas</w:t>
      </w:r>
      <w:r w:rsidRPr="001864F6">
        <w:rPr>
          <w:rFonts w:cstheme="minorHAnsi"/>
          <w:szCs w:val="24"/>
          <w:u w:val="single"/>
          <w:shd w:val="clear" w:color="auto" w:fill="FFFFFF"/>
        </w:rPr>
        <w:t xml:space="preserve"> un pielietoto </w:t>
      </w:r>
      <w:r w:rsidRPr="001864F6">
        <w:rPr>
          <w:rFonts w:cstheme="minorHAnsi"/>
          <w:b/>
          <w:bCs/>
          <w:szCs w:val="24"/>
          <w:u w:val="single"/>
          <w:shd w:val="clear" w:color="auto" w:fill="FFFFFF"/>
        </w:rPr>
        <w:t>tehnoloģiju</w:t>
      </w:r>
      <w:r w:rsidRPr="001864F6">
        <w:rPr>
          <w:rFonts w:cstheme="minorHAnsi"/>
          <w:szCs w:val="24"/>
          <w:u w:val="single"/>
          <w:shd w:val="clear" w:color="auto" w:fill="FFFFFF"/>
        </w:rPr>
        <w:t xml:space="preserve"> </w:t>
      </w:r>
      <w:r w:rsidRPr="001864F6">
        <w:rPr>
          <w:rFonts w:cstheme="minorHAnsi"/>
          <w:b/>
          <w:bCs/>
          <w:szCs w:val="24"/>
          <w:u w:val="single"/>
          <w:shd w:val="clear" w:color="auto" w:fill="FFFFFF"/>
        </w:rPr>
        <w:t>izmantošanu</w:t>
      </w:r>
      <w:r w:rsidR="00217A1E">
        <w:rPr>
          <w:rFonts w:cstheme="minorHAnsi"/>
          <w:b/>
          <w:bCs/>
          <w:szCs w:val="24"/>
          <w:u w:val="single"/>
          <w:shd w:val="clear" w:color="auto" w:fill="FFFFFF"/>
        </w:rPr>
        <w:t xml:space="preserve">, </w:t>
      </w:r>
      <w:r w:rsidR="00217A1E" w:rsidRPr="00217A1E">
        <w:rPr>
          <w:rFonts w:cstheme="minorHAnsi"/>
          <w:szCs w:val="24"/>
          <w:u w:val="single"/>
          <w:shd w:val="clear" w:color="auto" w:fill="FFFFFF"/>
        </w:rPr>
        <w:t>uzlabot siltumenerģijas</w:t>
      </w:r>
      <w:r w:rsidR="00217A1E">
        <w:rPr>
          <w:rFonts w:cstheme="minorHAnsi"/>
          <w:b/>
          <w:bCs/>
          <w:szCs w:val="24"/>
          <w:u w:val="single"/>
          <w:shd w:val="clear" w:color="auto" w:fill="FFFFFF"/>
        </w:rPr>
        <w:t xml:space="preserve"> tirgu</w:t>
      </w:r>
      <w:r w:rsidRPr="001864F6">
        <w:rPr>
          <w:rFonts w:cstheme="minorHAnsi"/>
          <w:szCs w:val="24"/>
          <w:u w:val="single"/>
          <w:shd w:val="clear" w:color="auto" w:fill="FFFFFF"/>
        </w:rPr>
        <w:t xml:space="preserve"> (</w:t>
      </w:r>
      <w:r w:rsidR="00776032">
        <w:rPr>
          <w:rFonts w:cstheme="minorHAnsi"/>
          <w:szCs w:val="24"/>
          <w:u w:val="single"/>
          <w:shd w:val="clear" w:color="auto" w:fill="FFFFFF"/>
        </w:rPr>
        <w:t>H.6</w:t>
      </w:r>
      <w:r w:rsidR="00D13531">
        <w:rPr>
          <w:rFonts w:cstheme="minorHAnsi"/>
          <w:szCs w:val="24"/>
          <w:u w:val="single"/>
          <w:shd w:val="clear" w:color="auto" w:fill="FFFFFF"/>
        </w:rPr>
        <w:t>, H.13</w:t>
      </w:r>
      <w:r w:rsidR="00776032">
        <w:rPr>
          <w:rFonts w:cstheme="minorHAnsi"/>
          <w:szCs w:val="24"/>
          <w:u w:val="single"/>
          <w:shd w:val="clear" w:color="auto" w:fill="FFFFFF"/>
        </w:rPr>
        <w:t xml:space="preserve"> pasākums, </w:t>
      </w:r>
      <w:r w:rsidRPr="001864F6">
        <w:rPr>
          <w:rFonts w:cstheme="minorHAnsi"/>
          <w:szCs w:val="24"/>
          <w:u w:val="single"/>
          <w:shd w:val="clear" w:color="auto" w:fill="FFFFFF"/>
        </w:rPr>
        <w:t>2.1.</w:t>
      </w:r>
      <w:r w:rsidR="00217A1E">
        <w:rPr>
          <w:rFonts w:cstheme="minorHAnsi"/>
          <w:szCs w:val="24"/>
          <w:u w:val="single"/>
          <w:shd w:val="clear" w:color="auto" w:fill="FFFFFF"/>
        </w:rPr>
        <w:t>,</w:t>
      </w:r>
      <w:r w:rsidR="00776032">
        <w:rPr>
          <w:rFonts w:cstheme="minorHAnsi"/>
          <w:szCs w:val="24"/>
          <w:u w:val="single"/>
          <w:shd w:val="clear" w:color="auto" w:fill="FFFFFF"/>
        </w:rPr>
        <w:t xml:space="preserve"> 2.4., 2.5.</w:t>
      </w:r>
      <w:r w:rsidRPr="001864F6">
        <w:rPr>
          <w:rFonts w:cstheme="minorHAnsi"/>
          <w:szCs w:val="24"/>
          <w:u w:val="single"/>
          <w:shd w:val="clear" w:color="auto" w:fill="FFFFFF"/>
        </w:rPr>
        <w:t>pasākums)</w:t>
      </w:r>
    </w:p>
    <w:p w14:paraId="119F2CC5" w14:textId="1E265177" w:rsidR="000D4B98" w:rsidRDefault="000D4B98" w:rsidP="00776032">
      <w:pPr>
        <w:pStyle w:val="ListParagraph"/>
        <w:spacing w:before="120" w:after="120" w:line="240" w:lineRule="auto"/>
        <w:ind w:left="0"/>
        <w:contextualSpacing w:val="0"/>
        <w:jc w:val="both"/>
        <w:rPr>
          <w:rFonts w:cstheme="minorHAnsi"/>
          <w:szCs w:val="24"/>
        </w:rPr>
      </w:pPr>
      <w:r w:rsidRPr="001864F6">
        <w:rPr>
          <w:rFonts w:cstheme="minorHAnsi"/>
          <w:szCs w:val="24"/>
        </w:rPr>
        <w:t>Lai Latvijā siltumenerģijas ražošanai un apgādei tiktu izmantotas visatbilstošākās tehnoloģijas, ir jāveic izvērtējums par konkrētās siltumapgādes sistēmas efektīvāko veidu – ir jāizvērtē, vai LSA un individuālo siltumapgādes sistēmu var pieslēgt CSA, vai ir iespējams uzstādīt ne-emisiju tehnoloģijas siltumenerģijas ražošanai un, vai ir iespējams uzstādīt augstas efektivitātes biomasas izmantošanas iekārtas.</w:t>
      </w:r>
      <w:r w:rsidR="00217A1E">
        <w:rPr>
          <w:rFonts w:cstheme="minorHAnsi"/>
          <w:szCs w:val="24"/>
        </w:rPr>
        <w:t xml:space="preserve"> Tāpat būtu nepieciešams izstrādāt risinājumus </w:t>
      </w:r>
      <w:r w:rsidR="00217A1E" w:rsidRPr="00217A1E">
        <w:rPr>
          <w:rFonts w:cstheme="minorHAnsi"/>
          <w:szCs w:val="24"/>
        </w:rPr>
        <w:t>paralēli pieslēdzamo energoapgādes sistēmu skaita ierobežojumam</w:t>
      </w:r>
      <w:r w:rsidR="00217A1E">
        <w:rPr>
          <w:rFonts w:cstheme="minorHAnsi"/>
          <w:szCs w:val="24"/>
        </w:rPr>
        <w:t xml:space="preserve">, nosakot pašvaldībai stingras tiesības noteikt ierobežojumus </w:t>
      </w:r>
      <w:r w:rsidR="00217A1E" w:rsidRPr="00217A1E">
        <w:rPr>
          <w:rFonts w:cstheme="minorHAnsi"/>
          <w:szCs w:val="24"/>
        </w:rPr>
        <w:t>paralēli pieslēdzamo energoapgādes sistēmu skaitu vienam objektam</w:t>
      </w:r>
      <w:r w:rsidR="00776032">
        <w:rPr>
          <w:rFonts w:cstheme="minorHAnsi"/>
          <w:szCs w:val="24"/>
        </w:rPr>
        <w:t>, kur šis ierobežojums ir attiecināms uz teritorijas kopumu un uz siltumenerģijas, elektroenerģijas, gāzes apgādi.</w:t>
      </w:r>
    </w:p>
    <w:p w14:paraId="50A315C6" w14:textId="3866C619" w:rsidR="00776032" w:rsidRPr="00776032" w:rsidRDefault="00776032" w:rsidP="00776032">
      <w:pPr>
        <w:pStyle w:val="ListParagraph"/>
        <w:spacing w:before="120" w:after="120" w:line="240" w:lineRule="auto"/>
        <w:ind w:left="0"/>
        <w:contextualSpacing w:val="0"/>
        <w:jc w:val="both"/>
        <w:rPr>
          <w:rFonts w:cstheme="minorHAnsi"/>
          <w:szCs w:val="24"/>
        </w:rPr>
      </w:pPr>
      <w:r>
        <w:rPr>
          <w:rFonts w:cstheme="minorHAnsi"/>
          <w:szCs w:val="24"/>
        </w:rPr>
        <w:t xml:space="preserve">Tāpat, lai uzlabotu siltumenerģijas tirgu, Plānā tiek piedāvāts izstrādāt risinājumus siltumapgādes tirgus uzlabošanai, tai skaitā, izvērtējot iespējas siltumenerģijas tirgus nosacījumu atvēršanai. Tāpat Plānā tiek piedāvāta </w:t>
      </w:r>
      <w:r w:rsidR="00D13531">
        <w:rPr>
          <w:rFonts w:cstheme="minorHAnsi"/>
          <w:szCs w:val="24"/>
        </w:rPr>
        <w:t xml:space="preserve">izstrādāt </w:t>
      </w:r>
      <w:r w:rsidR="00D13531" w:rsidRPr="00D13531">
        <w:rPr>
          <w:rFonts w:cstheme="minorHAnsi"/>
          <w:szCs w:val="24"/>
        </w:rPr>
        <w:t>pētījum</w:t>
      </w:r>
      <w:r w:rsidR="00D13531">
        <w:rPr>
          <w:rFonts w:cstheme="minorHAnsi"/>
          <w:szCs w:val="24"/>
        </w:rPr>
        <w:t>u</w:t>
      </w:r>
      <w:r w:rsidR="00D13531" w:rsidRPr="00D13531">
        <w:rPr>
          <w:rFonts w:cstheme="minorHAnsi"/>
          <w:szCs w:val="24"/>
        </w:rPr>
        <w:t xml:space="preserve"> par energoapgādes sistēmu optimizāciju, izvērtējot iespēju pašvaldībām savā līmenī noteikt nosacījumus attiecībā uz paralēli pieslēdzamo energoapgādes sistēmu skaitu vienam objektam vienā teritorijā</w:t>
      </w:r>
      <w:r w:rsidR="00D13531">
        <w:rPr>
          <w:rFonts w:cstheme="minorHAnsi"/>
          <w:szCs w:val="24"/>
        </w:rPr>
        <w:t>.</w:t>
      </w:r>
    </w:p>
    <w:p w14:paraId="22853D83" w14:textId="77777777" w:rsidR="000D4B98" w:rsidRPr="001864F6" w:rsidRDefault="000D4B98" w:rsidP="000D4B98">
      <w:pPr>
        <w:shd w:val="clear" w:color="auto" w:fill="E7E6E6" w:themeFill="background2"/>
        <w:spacing w:before="120" w:after="120" w:line="240" w:lineRule="auto"/>
        <w:jc w:val="both"/>
        <w:rPr>
          <w:rFonts w:ascii="Calibri" w:hAnsi="Calibri" w:cs="Times New Roman"/>
          <w:b/>
          <w:i/>
          <w:sz w:val="28"/>
          <w:szCs w:val="28"/>
        </w:rPr>
      </w:pPr>
      <w:r w:rsidRPr="001864F6">
        <w:rPr>
          <w:rFonts w:ascii="Calibri" w:hAnsi="Calibri" w:cs="Times New Roman"/>
          <w:b/>
          <w:i/>
          <w:sz w:val="28"/>
          <w:szCs w:val="28"/>
        </w:rPr>
        <w:t>Saistītie rīcības virzieni</w:t>
      </w:r>
    </w:p>
    <w:p w14:paraId="43508774" w14:textId="0E9C2513" w:rsidR="000D4B98" w:rsidRPr="008D7107" w:rsidRDefault="00EA0909" w:rsidP="000D4B98">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1</w:t>
      </w:r>
      <w:r w:rsidR="000D4B98" w:rsidRPr="008D7107">
        <w:rPr>
          <w:rFonts w:ascii="Calibri" w:hAnsi="Calibri" w:cs="Times New Roman"/>
          <w:bCs/>
          <w:iCs/>
          <w:szCs w:val="24"/>
        </w:rPr>
        <w:t>) Ēku energoefektivitātes uzlabošana (1.rīcības virziens), jo, nodrošinot mazāku nepieciešamību pēc siltumenerģijas būs nepieciešams mazāks saražotās siltumenerģijas apjoms, tāpat ēku energoefektivitātes uzlabošanas laikā var nodrošināt ēku pieslēgšanu CSA vai LSA;</w:t>
      </w:r>
    </w:p>
    <w:p w14:paraId="04257E47" w14:textId="670D91B8" w:rsidR="00EA0909" w:rsidRPr="008D7107" w:rsidRDefault="00EA0909" w:rsidP="00EA090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2</w:t>
      </w:r>
      <w:r w:rsidRPr="008D7107">
        <w:rPr>
          <w:rFonts w:ascii="Calibri" w:hAnsi="Calibri" w:cs="Times New Roman"/>
          <w:bCs/>
          <w:iCs/>
          <w:szCs w:val="24"/>
        </w:rPr>
        <w:t>) Enerģijas pašražošanas un pašpatēriņa veicināšana</w:t>
      </w:r>
      <w:r>
        <w:rPr>
          <w:rFonts w:ascii="Calibri" w:hAnsi="Calibri" w:cs="Times New Roman"/>
          <w:bCs/>
          <w:iCs/>
          <w:szCs w:val="24"/>
        </w:rPr>
        <w:t xml:space="preserve"> (4.rīcības virziens)</w:t>
      </w:r>
      <w:r w:rsidRPr="008D7107">
        <w:rPr>
          <w:rFonts w:ascii="Calibri" w:hAnsi="Calibri" w:cs="Times New Roman"/>
          <w:bCs/>
          <w:iCs/>
          <w:szCs w:val="24"/>
        </w:rPr>
        <w:t>, lai efektivizētu individuālo siltumenerģijas ražošanu un veicinātu tajā izmantoto ne-emisiju tehnoloģiju izmantojumu;</w:t>
      </w:r>
    </w:p>
    <w:p w14:paraId="0369403D" w14:textId="666F0399" w:rsidR="000D4B98" w:rsidRPr="008D7107" w:rsidRDefault="000D4B98" w:rsidP="000D4B98">
      <w:pPr>
        <w:shd w:val="clear" w:color="auto" w:fill="E7E6E6" w:themeFill="background2"/>
        <w:spacing w:before="120" w:after="120" w:line="240" w:lineRule="auto"/>
        <w:jc w:val="both"/>
        <w:rPr>
          <w:rFonts w:ascii="Calibri" w:hAnsi="Calibri" w:cs="Times New Roman"/>
          <w:bCs/>
          <w:iCs/>
          <w:szCs w:val="24"/>
        </w:rPr>
      </w:pPr>
      <w:r w:rsidRPr="008D7107">
        <w:rPr>
          <w:rFonts w:ascii="Calibri" w:hAnsi="Calibri" w:cs="Times New Roman"/>
          <w:bCs/>
          <w:iCs/>
          <w:szCs w:val="24"/>
        </w:rPr>
        <w:t>3) Enerģētiskā drošība</w:t>
      </w:r>
      <w:r w:rsidR="00EA0909">
        <w:rPr>
          <w:rFonts w:ascii="Calibri" w:hAnsi="Calibri" w:cs="Times New Roman"/>
          <w:bCs/>
          <w:iCs/>
          <w:szCs w:val="24"/>
        </w:rPr>
        <w:t>, enerģētiskās atkarības mazināšana</w:t>
      </w:r>
      <w:r w:rsidRPr="008D7107">
        <w:rPr>
          <w:rFonts w:ascii="Calibri" w:hAnsi="Calibri" w:cs="Times New Roman"/>
          <w:bCs/>
          <w:iCs/>
          <w:szCs w:val="24"/>
        </w:rPr>
        <w:t xml:space="preserve">, pilnīga enerģijas tirgu integrācija, infrastruktūras modernizācija (6. rīcības virziens), jo samazināts importētā kurināmā apjoms </w:t>
      </w:r>
      <w:r w:rsidR="001E6837">
        <w:rPr>
          <w:rFonts w:ascii="Calibri" w:hAnsi="Calibri" w:cs="Times New Roman"/>
          <w:bCs/>
          <w:iCs/>
          <w:szCs w:val="24"/>
        </w:rPr>
        <w:t xml:space="preserve">samazina </w:t>
      </w:r>
      <w:r w:rsidRPr="008D7107">
        <w:rPr>
          <w:rFonts w:ascii="Calibri" w:hAnsi="Calibri" w:cs="Times New Roman"/>
          <w:bCs/>
          <w:iCs/>
          <w:szCs w:val="24"/>
        </w:rPr>
        <w:t>valsts enerģētisko atkarību, savukārt pasākumi gāzveida kurināmā uzlabošanā veicina CSA un LSA efektivitāti un nodrošina iespēju gāzveida AER izmantošanai CSA un LSA;</w:t>
      </w:r>
    </w:p>
    <w:p w14:paraId="3412517D" w14:textId="1BBAC9A9" w:rsidR="00EA0909" w:rsidRPr="008D7107" w:rsidRDefault="00EA0909" w:rsidP="00EA090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4</w:t>
      </w:r>
      <w:r w:rsidRPr="008D7107">
        <w:rPr>
          <w:rFonts w:ascii="Calibri" w:hAnsi="Calibri" w:cs="Times New Roman"/>
          <w:bCs/>
          <w:iCs/>
          <w:szCs w:val="24"/>
        </w:rPr>
        <w:t>) Nodokļu sistēmas “zaļināšana” un pievilcīguma energoefektivitātei un AER tehnoloģijām uzlabošana (11. rīcības virziens), kur tiek noteikts akcīzes nodokļa kurināmajam un DRN pārskats, nodokļu atvieglojumu izvērtējums un enerģijas subsīdiju pakāpeniska atcelšana;</w:t>
      </w:r>
    </w:p>
    <w:p w14:paraId="54685CCA" w14:textId="535523DD" w:rsidR="000D4B98" w:rsidRPr="008D7107" w:rsidRDefault="002E0F59" w:rsidP="000D4B98">
      <w:pPr>
        <w:shd w:val="clear" w:color="auto" w:fill="E7E6E6" w:themeFill="background2"/>
        <w:spacing w:before="120" w:after="120" w:line="240" w:lineRule="auto"/>
        <w:rPr>
          <w:rFonts w:ascii="Calibri" w:hAnsi="Calibri" w:cs="Times New Roman"/>
          <w:szCs w:val="24"/>
        </w:rPr>
      </w:pPr>
      <w:r>
        <w:rPr>
          <w:noProof/>
        </w:rPr>
        <mc:AlternateContent>
          <mc:Choice Requires="wps">
            <w:drawing>
              <wp:anchor distT="0" distB="0" distL="114300" distR="114300" simplePos="0" relativeHeight="251682816" behindDoc="0" locked="0" layoutInCell="1" allowOverlap="1" wp14:anchorId="14B06B2A" wp14:editId="6F99C45B">
                <wp:simplePos x="0" y="0"/>
                <wp:positionH relativeFrom="margin">
                  <wp:align>left</wp:align>
                </wp:positionH>
                <wp:positionV relativeFrom="paragraph">
                  <wp:posOffset>307975</wp:posOffset>
                </wp:positionV>
                <wp:extent cx="5779135" cy="542925"/>
                <wp:effectExtent l="0" t="0" r="0" b="9525"/>
                <wp:wrapSquare wrapText="bothSides"/>
                <wp:docPr id="16" name="Rectangle: Single Corner Snipped 16"/>
                <wp:cNvGraphicFramePr/>
                <a:graphic xmlns:a="http://schemas.openxmlformats.org/drawingml/2006/main">
                  <a:graphicData uri="http://schemas.microsoft.com/office/word/2010/wordprocessingShape">
                    <wps:wsp>
                      <wps:cNvSpPr/>
                      <wps:spPr>
                        <a:xfrm>
                          <a:off x="0" y="0"/>
                          <a:ext cx="5779135" cy="542925"/>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4F0BF436" w14:textId="4C6A729B"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36" w:name="_Toc24408059"/>
                            <w:bookmarkStart w:id="537" w:name="_Toc24408118"/>
                            <w:r w:rsidRPr="0007326F">
                              <w:rPr>
                                <w:color w:val="FFFFFF" w:themeColor="background1"/>
                                <w:sz w:val="40"/>
                                <w:szCs w:val="40"/>
                              </w:rPr>
                              <w:t>Elektroenerģijas ražošana</w:t>
                            </w:r>
                            <w:bookmarkEnd w:id="536"/>
                            <w:bookmarkEnd w:id="53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06B2A" id="Rectangle: Single Corner Snipped 16" o:spid="_x0000_s1032" style="position:absolute;margin-left:0;margin-top:24.25pt;width:455.05pt;height:42.7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" adj="-11796480,,5400" path="m,l5688646,r90489,90489l5779135,542925,,542925,,xe" fillcolor="#323e4f [2415]" stroked="f" strokeweight="1pt">
                <v:stroke joinstyle="miter"/>
                <v:formulas/>
                <v:path arrowok="t" o:connecttype="custom" o:connectlocs="0,0;5688646,0;5779135,90489;5779135,542925;0,542925;0,0" o:connectangles="0,0,0,0,0,0" textboxrect="0,0,5779135,542925"/>
                <v:textbox>
                  <w:txbxContent>
                    <w:p w14:paraId="4F0BF436" w14:textId="4C6A729B"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50" w:name="_Toc24408059"/>
                      <w:bookmarkStart w:id="551" w:name="_Toc24408118"/>
                      <w:r w:rsidRPr="0007326F">
                        <w:rPr>
                          <w:color w:val="FFFFFF" w:themeColor="background1"/>
                          <w:sz w:val="40"/>
                          <w:szCs w:val="40"/>
                        </w:rPr>
                        <w:t>Elektroenerģijas ražošana</w:t>
                      </w:r>
                      <w:bookmarkEnd w:id="550"/>
                      <w:bookmarkEnd w:id="551"/>
                    </w:p>
                  </w:txbxContent>
                </v:textbox>
                <w10:wrap type="square" anchorx="margin"/>
              </v:shape>
            </w:pict>
          </mc:Fallback>
        </mc:AlternateContent>
      </w:r>
      <w:r w:rsidR="000D4B98" w:rsidRPr="008D7107">
        <w:rPr>
          <w:rFonts w:ascii="Calibri" w:hAnsi="Calibri" w:cs="Times New Roman"/>
          <w:bCs/>
          <w:iCs/>
          <w:szCs w:val="24"/>
        </w:rPr>
        <w:t>5) Sabiedrības informēšana, izglītošana un izpratnes veicināšana (12. rīcības virziens).</w:t>
      </w:r>
    </w:p>
    <w:p w14:paraId="7EA188AE" w14:textId="5DDBC659" w:rsidR="00EA0909" w:rsidRDefault="00EA0909" w:rsidP="00EA0909">
      <w:pPr>
        <w:spacing w:before="120" w:after="120" w:line="240" w:lineRule="auto"/>
        <w:rPr>
          <w:rFonts w:ascii="Calibri" w:hAnsi="Calibri" w:cs="Times New Roman"/>
          <w:b/>
          <w:i/>
          <w:sz w:val="28"/>
          <w:szCs w:val="28"/>
          <w:u w:val="single"/>
        </w:rPr>
      </w:pPr>
      <w:r>
        <w:rPr>
          <w:rFonts w:ascii="Calibri" w:hAnsi="Calibri" w:cs="Times New Roman"/>
          <w:b/>
          <w:i/>
          <w:sz w:val="28"/>
          <w:szCs w:val="28"/>
          <w:u w:val="single"/>
        </w:rPr>
        <w:t>Esošā situācija</w:t>
      </w:r>
    </w:p>
    <w:p w14:paraId="16056D1B" w14:textId="77777777" w:rsidR="00EA0909" w:rsidRDefault="00EA0909" w:rsidP="00EA0909">
      <w:pPr>
        <w:spacing w:before="120" w:after="120" w:line="240" w:lineRule="auto"/>
        <w:jc w:val="both"/>
        <w:rPr>
          <w:rFonts w:ascii="Calibri" w:hAnsi="Calibri" w:cs="Times New Roman"/>
          <w:szCs w:val="24"/>
        </w:rPr>
      </w:pPr>
      <w:r>
        <w:rPr>
          <w:rFonts w:ascii="Calibri" w:hAnsi="Calibri" w:cs="Times New Roman"/>
          <w:szCs w:val="24"/>
        </w:rPr>
        <w:t xml:space="preserve">Būtiskākie elektroenerģijas ģenerācijas avoti Latvijā ir Rīgas dabasgāzes termoelektrocentrāles TEC-1 un TEC-2 ar kopējo uzstādīto elektrisko jaudu 2018.gadā 976 MW un Daugavas kaskādes HES ar uzstādīto jaudu 1536 MW. </w:t>
      </w:r>
      <w:r>
        <w:rPr>
          <w:rFonts w:ascii="Calibri" w:hAnsi="Calibri" w:cs="Times New Roman"/>
          <w:b/>
          <w:bCs/>
          <w:szCs w:val="24"/>
        </w:rPr>
        <w:t>Kopējā uzstādītā elektriskā jauda Latvijā 2018.gadā bija 2915 MW, no kā citas AER elektrostacijas bez Daugavas HES veido vien 9%</w:t>
      </w:r>
      <w:r>
        <w:rPr>
          <w:rFonts w:ascii="Calibri" w:hAnsi="Calibri" w:cs="Times New Roman"/>
          <w:szCs w:val="24"/>
        </w:rPr>
        <w:t xml:space="preserve"> (līdzīgās attiecībās VES, mazie HES, biomasas un biogāzes koģenerācijas stacijas). Pēdējos gados, kopš tiesības uz valsts atbalstu OI mehānisma ietvaros vairs netiek piešķirtas, nav novērojamas būtiskas izmaiņas AER elektroenerģijas ražošanas iekārtu ieviešanā. </w:t>
      </w:r>
    </w:p>
    <w:p w14:paraId="69375BE1" w14:textId="77777777" w:rsidR="00EA0909" w:rsidRDefault="00EA0909" w:rsidP="00EA0909">
      <w:pPr>
        <w:spacing w:before="120" w:after="120" w:line="240" w:lineRule="auto"/>
        <w:jc w:val="both"/>
        <w:rPr>
          <w:rFonts w:ascii="Calibri" w:hAnsi="Calibri" w:cs="Times New Roman"/>
          <w:szCs w:val="24"/>
        </w:rPr>
      </w:pPr>
      <w:r>
        <w:rPr>
          <w:rFonts w:ascii="Calibri" w:hAnsi="Calibri" w:cs="Times New Roman"/>
          <w:szCs w:val="24"/>
        </w:rPr>
        <w:t xml:space="preserve">Tādējādi, lai gan augsts uzstādītās jaudas īpatsvars ir Daugavas HES, ņemot vērā to svārstīgo ģenerāciju, kas ir ievērojami atkarīga no klimatiskajiem apstākļiem, būtiska loma Latvijas energoapgādē arvien ir dabasgāzes koģenerācijas stacijām. 2017.gadā pie HES darbībai labvēlīgiem apstākļiem vietējā ģenerācija Latvijas elektroenerģijas patēriņu nosedza 101% apmērā, savukārt 2018.gadā pie ievērojami nelabvēlīgākiem apstākļiem tikai 87,7% apmērā. No minētā secināms, ka Latvijā </w:t>
      </w:r>
      <w:r>
        <w:rPr>
          <w:rFonts w:ascii="Calibri" w:hAnsi="Calibri" w:cs="Times New Roman"/>
          <w:b/>
          <w:bCs/>
          <w:szCs w:val="24"/>
        </w:rPr>
        <w:t>elektroenerģijas ražošanā ir zema energoresursu diversifikācija, kas būtiski ietekmē elektroenerģijas pašnodrošinājumu un energoatkarību no importētajiem fosilajiem resursiem</w:t>
      </w:r>
      <w:r>
        <w:rPr>
          <w:rFonts w:ascii="Calibri" w:hAnsi="Calibri" w:cs="Times New Roman"/>
          <w:szCs w:val="24"/>
        </w:rPr>
        <w:t>.</w:t>
      </w:r>
    </w:p>
    <w:p w14:paraId="0BCCB3FD" w14:textId="77777777" w:rsidR="00EA0909" w:rsidRDefault="00EA0909" w:rsidP="00EA0909">
      <w:pPr>
        <w:shd w:val="clear" w:color="auto" w:fill="E7E6E6" w:themeFill="background2"/>
        <w:spacing w:before="120" w:after="120" w:line="240" w:lineRule="auto"/>
        <w:rPr>
          <w:rFonts w:ascii="Calibri" w:hAnsi="Calibri" w:cs="Times New Roman"/>
          <w:b/>
          <w:sz w:val="28"/>
          <w:szCs w:val="28"/>
          <w:u w:val="single"/>
        </w:rPr>
      </w:pPr>
      <w:r>
        <w:rPr>
          <w:rFonts w:ascii="Calibri" w:hAnsi="Calibri" w:cs="Times New Roman"/>
          <w:b/>
          <w:sz w:val="28"/>
          <w:szCs w:val="28"/>
          <w:u w:val="single"/>
        </w:rPr>
        <w:t>Vēlamā situācija 2030.gadā:</w:t>
      </w:r>
    </w:p>
    <w:p w14:paraId="47219DF1" w14:textId="77777777" w:rsidR="00EA0909" w:rsidRDefault="00EA0909" w:rsidP="00287C99">
      <w:pPr>
        <w:pStyle w:val="ListParagraph"/>
        <w:numPr>
          <w:ilvl w:val="0"/>
          <w:numId w:val="54"/>
        </w:numPr>
        <w:shd w:val="clear" w:color="auto" w:fill="E7E6E6" w:themeFill="background2"/>
        <w:spacing w:before="120" w:after="120" w:line="240" w:lineRule="auto"/>
        <w:contextualSpacing w:val="0"/>
        <w:rPr>
          <w:rFonts w:ascii="Calibri" w:hAnsi="Calibri" w:cs="Times New Roman"/>
          <w:i/>
          <w:szCs w:val="24"/>
        </w:rPr>
      </w:pPr>
      <w:r>
        <w:rPr>
          <w:rFonts w:ascii="Calibri" w:hAnsi="Calibri" w:cs="Times New Roman"/>
          <w:i/>
          <w:szCs w:val="24"/>
        </w:rPr>
        <w:t>Nodrošināta pietiekama ģenerējošo jaudu pieejamība un mazināta valsts energoatkarība no importa un fosilajiem resursiem</w:t>
      </w:r>
    </w:p>
    <w:p w14:paraId="6FB506C2" w14:textId="77777777" w:rsidR="00EA0909" w:rsidRDefault="00EA0909" w:rsidP="00287C99">
      <w:pPr>
        <w:pStyle w:val="ListParagraph"/>
        <w:numPr>
          <w:ilvl w:val="0"/>
          <w:numId w:val="54"/>
        </w:numPr>
        <w:shd w:val="clear" w:color="auto" w:fill="E7E6E6" w:themeFill="background2"/>
        <w:spacing w:before="120" w:after="120" w:line="240" w:lineRule="auto"/>
        <w:contextualSpacing w:val="0"/>
        <w:rPr>
          <w:rFonts w:ascii="Calibri" w:hAnsi="Calibri" w:cs="Times New Roman"/>
          <w:i/>
          <w:szCs w:val="24"/>
        </w:rPr>
      </w:pPr>
      <w:r>
        <w:rPr>
          <w:rFonts w:ascii="Calibri" w:hAnsi="Calibri" w:cs="Times New Roman"/>
          <w:i/>
          <w:szCs w:val="24"/>
        </w:rPr>
        <w:t>Lielā mērā ir apgūts vēja enerģijas ražošanas potenciāls atbilstoši pieejamās infrastruktūras kapacitātei un sekojoši palielināts AER īpatsvars izmaksu efektīvā, uz tirgus principiem balstītā veidā</w:t>
      </w:r>
    </w:p>
    <w:p w14:paraId="0ED12303" w14:textId="77777777" w:rsidR="00EA0909" w:rsidRDefault="00EA0909" w:rsidP="00287C99">
      <w:pPr>
        <w:pStyle w:val="ListParagraph"/>
        <w:numPr>
          <w:ilvl w:val="0"/>
          <w:numId w:val="54"/>
        </w:numPr>
        <w:shd w:val="clear" w:color="auto" w:fill="E7E6E6" w:themeFill="background2"/>
        <w:spacing w:before="120" w:after="120" w:line="240" w:lineRule="auto"/>
        <w:contextualSpacing w:val="0"/>
        <w:rPr>
          <w:rFonts w:ascii="Calibri" w:hAnsi="Calibri" w:cs="Times New Roman"/>
          <w:i/>
          <w:szCs w:val="24"/>
        </w:rPr>
      </w:pPr>
      <w:r>
        <w:rPr>
          <w:rFonts w:ascii="Calibri" w:hAnsi="Calibri" w:cs="Times New Roman"/>
          <w:i/>
          <w:szCs w:val="24"/>
        </w:rPr>
        <w:t>Nodrošināta elektroenerģijas cenu stabilitāte vai samazinājums</w:t>
      </w:r>
    </w:p>
    <w:p w14:paraId="0838D82D" w14:textId="77777777" w:rsidR="00EA0909" w:rsidRDefault="00EA0909" w:rsidP="00EA0909">
      <w:pPr>
        <w:shd w:val="clear" w:color="auto" w:fill="E7E6E6" w:themeFill="background2"/>
        <w:spacing w:before="120" w:after="120" w:line="240" w:lineRule="auto"/>
        <w:rPr>
          <w:rFonts w:ascii="Calibri" w:hAnsi="Calibri" w:cs="Times New Roman"/>
          <w:b/>
          <w:sz w:val="28"/>
          <w:szCs w:val="28"/>
          <w:u w:val="single"/>
        </w:rPr>
      </w:pPr>
      <w:r>
        <w:rPr>
          <w:rFonts w:ascii="Calibri" w:hAnsi="Calibri" w:cs="Times New Roman"/>
          <w:b/>
          <w:sz w:val="28"/>
          <w:szCs w:val="28"/>
          <w:u w:val="single"/>
        </w:rPr>
        <w:t>Ieguvumi sabiedrībai un tautsaimniecībai:</w:t>
      </w:r>
    </w:p>
    <w:p w14:paraId="07C9DEAA" w14:textId="77777777" w:rsidR="00EA0909" w:rsidRDefault="00EA0909" w:rsidP="00287C99">
      <w:pPr>
        <w:pStyle w:val="ListParagraph"/>
        <w:numPr>
          <w:ilvl w:val="0"/>
          <w:numId w:val="54"/>
        </w:numPr>
        <w:shd w:val="clear" w:color="auto" w:fill="E7E6E6" w:themeFill="background2"/>
        <w:spacing w:before="120" w:after="120" w:line="240" w:lineRule="auto"/>
        <w:contextualSpacing w:val="0"/>
        <w:rPr>
          <w:rFonts w:ascii="Calibri" w:hAnsi="Calibri" w:cs="Times New Roman"/>
          <w:i/>
          <w:szCs w:val="24"/>
        </w:rPr>
      </w:pPr>
      <w:r>
        <w:rPr>
          <w:rFonts w:ascii="Calibri" w:hAnsi="Calibri" w:cs="Times New Roman"/>
          <w:i/>
          <w:szCs w:val="24"/>
        </w:rPr>
        <w:t>Elektroenerģijas patērētājiem tiek nodrošinātas stabilas elektroenerģijas piegādes, mazinot riskus piegāžu pārrāvumiem</w:t>
      </w:r>
    </w:p>
    <w:p w14:paraId="666FC897" w14:textId="77777777" w:rsidR="00EA0909" w:rsidRDefault="00EA0909" w:rsidP="00287C99">
      <w:pPr>
        <w:pStyle w:val="ListParagraph"/>
        <w:numPr>
          <w:ilvl w:val="0"/>
          <w:numId w:val="54"/>
        </w:numPr>
        <w:shd w:val="clear" w:color="auto" w:fill="E7E6E6" w:themeFill="background2"/>
        <w:spacing w:before="120" w:after="120" w:line="240" w:lineRule="auto"/>
        <w:contextualSpacing w:val="0"/>
        <w:rPr>
          <w:rFonts w:ascii="Calibri" w:hAnsi="Calibri" w:cs="Times New Roman"/>
          <w:i/>
          <w:szCs w:val="24"/>
        </w:rPr>
      </w:pPr>
      <w:r>
        <w:rPr>
          <w:rFonts w:ascii="Calibri" w:hAnsi="Calibri" w:cs="Times New Roman"/>
          <w:i/>
          <w:szCs w:val="24"/>
        </w:rPr>
        <w:t>Elektroenerģijas patērētājiem tiek nodrošināta elektroenerģijas cenu stabilitāte vai samazinājums, tādējādi atbrīvojot finanšu līdzekļus citiem mērķiem un veicinot uzņēmēju konkurētspēju</w:t>
      </w:r>
    </w:p>
    <w:p w14:paraId="696F48D5" w14:textId="5B0BCF13" w:rsidR="00EA0909" w:rsidRDefault="00EA0909" w:rsidP="00EA0909">
      <w:pPr>
        <w:spacing w:before="120" w:after="120" w:line="240" w:lineRule="auto"/>
        <w:jc w:val="both"/>
        <w:rPr>
          <w:rFonts w:ascii="Calibri" w:hAnsi="Calibri" w:cs="Times New Roman"/>
          <w:b/>
          <w:i/>
          <w:sz w:val="28"/>
          <w:szCs w:val="28"/>
          <w:u w:val="single"/>
        </w:rPr>
      </w:pPr>
      <w:r>
        <w:rPr>
          <w:rFonts w:ascii="Calibri" w:hAnsi="Calibri" w:cs="Times New Roman"/>
          <w:b/>
          <w:i/>
          <w:sz w:val="28"/>
          <w:szCs w:val="28"/>
          <w:u w:val="single"/>
        </w:rPr>
        <w:t>Galvenie problēmjautājumi</w:t>
      </w:r>
    </w:p>
    <w:p w14:paraId="6D49F682" w14:textId="77777777" w:rsidR="00EA0909" w:rsidRDefault="00EA0909" w:rsidP="00EA0909">
      <w:pPr>
        <w:spacing w:before="120" w:after="120" w:line="240" w:lineRule="auto"/>
        <w:jc w:val="both"/>
        <w:rPr>
          <w:rFonts w:ascii="Calibri" w:hAnsi="Calibri" w:cs="Times New Roman"/>
          <w:b/>
          <w:bCs/>
          <w:szCs w:val="24"/>
          <w:u w:val="single"/>
        </w:rPr>
      </w:pPr>
      <w:r w:rsidRPr="009A6597">
        <w:rPr>
          <w:rFonts w:ascii="Calibri" w:hAnsi="Calibri" w:cs="Times New Roman"/>
          <w:szCs w:val="24"/>
          <w:u w:val="single"/>
        </w:rPr>
        <w:t>1) enerģētiskā</w:t>
      </w:r>
      <w:r>
        <w:rPr>
          <w:rFonts w:ascii="Calibri" w:hAnsi="Calibri" w:cs="Times New Roman"/>
          <w:b/>
          <w:bCs/>
          <w:szCs w:val="24"/>
          <w:u w:val="single"/>
        </w:rPr>
        <w:t xml:space="preserve"> drošība </w:t>
      </w:r>
      <w:r>
        <w:rPr>
          <w:rFonts w:ascii="Calibri" w:hAnsi="Calibri" w:cs="Times New Roman"/>
          <w:szCs w:val="24"/>
          <w:u w:val="single"/>
        </w:rPr>
        <w:t>un</w:t>
      </w:r>
      <w:r>
        <w:rPr>
          <w:rFonts w:ascii="Calibri" w:hAnsi="Calibri" w:cs="Times New Roman"/>
          <w:b/>
          <w:bCs/>
          <w:szCs w:val="24"/>
          <w:u w:val="single"/>
        </w:rPr>
        <w:t xml:space="preserve"> </w:t>
      </w:r>
      <w:r w:rsidRPr="009A6597">
        <w:rPr>
          <w:rFonts w:ascii="Calibri" w:hAnsi="Calibri" w:cs="Times New Roman"/>
          <w:szCs w:val="24"/>
          <w:u w:val="single"/>
        </w:rPr>
        <w:t>ģenerējošo</w:t>
      </w:r>
      <w:r>
        <w:rPr>
          <w:rFonts w:ascii="Calibri" w:hAnsi="Calibri" w:cs="Times New Roman"/>
          <w:b/>
          <w:bCs/>
          <w:szCs w:val="24"/>
          <w:u w:val="single"/>
        </w:rPr>
        <w:t xml:space="preserve"> jaudu pieejamība</w:t>
      </w:r>
    </w:p>
    <w:p w14:paraId="4982BEFB" w14:textId="77777777" w:rsidR="00EA0909" w:rsidRDefault="00EA0909" w:rsidP="00EA0909">
      <w:pPr>
        <w:spacing w:before="120" w:after="120" w:line="240" w:lineRule="auto"/>
        <w:jc w:val="both"/>
        <w:rPr>
          <w:rFonts w:ascii="Calibri" w:hAnsi="Calibri" w:cs="Times New Roman"/>
          <w:szCs w:val="24"/>
        </w:rPr>
      </w:pPr>
      <w:r>
        <w:rPr>
          <w:rFonts w:ascii="Calibri" w:hAnsi="Calibri" w:cs="Times New Roman"/>
          <w:szCs w:val="24"/>
        </w:rPr>
        <w:t>Saskaņā ar PSO vērtējumu turpmākajā desmitgadē sagaidāms ģenerējošo jaudu deficīts gan Latvijā, gan Baltijā kopumā. Baltijā tiks slēgtas ap 2300 MW, jeb turpat puse no lielo termoelektrostaciju ģenerācijas jaudām. Elektroenerģijas pieprasījuma segšanai pieaugoša loma būs starpsavienojumiem, pārvades tīkla pastiprināšanai un Baltijas elektroenerģijas sistēmas ciešākai integrācijai Eiropas elektroenerģijas tirgū, bet, lai turpmākajā desmitgadē nesamazinātos Latvijas elektroapgādes drošums, svarīgi nodrošināt arī Latvijas ģenerācijas jaudu nesamazināšanos.</w:t>
      </w:r>
    </w:p>
    <w:p w14:paraId="37E5706F" w14:textId="77777777" w:rsidR="00EA0909" w:rsidRDefault="00EA0909" w:rsidP="00EA0909">
      <w:pPr>
        <w:spacing w:before="120" w:after="120" w:line="240" w:lineRule="auto"/>
        <w:jc w:val="both"/>
        <w:rPr>
          <w:rFonts w:ascii="Calibri" w:hAnsi="Calibri" w:cs="Times New Roman"/>
          <w:szCs w:val="24"/>
        </w:rPr>
      </w:pPr>
      <w:r>
        <w:rPr>
          <w:rFonts w:ascii="Calibri" w:hAnsi="Calibri" w:cs="Times New Roman"/>
          <w:szCs w:val="24"/>
        </w:rPr>
        <w:t>Dažādi pētījumi liecina, ka turpinoties politiku ieviešanai klimata mērķu sasniegšanai, arvien pieaugs elektroenerģijas patēriņš. Vienlaikus, ņemot vērā, ka lielākā daļa elektrostaciju pēc valsts atbalsta perioda beigām OI mehānisma ietvaros savu darbu beigs, bez papildu pasākumiem elektroenerģijas ražošanas veicināšanai ģenerējošo jaudu apjoms Latvijā var samazināties</w:t>
      </w:r>
    </w:p>
    <w:p w14:paraId="78173693" w14:textId="77777777" w:rsidR="00EA0909" w:rsidRDefault="00EA0909" w:rsidP="00EA0909">
      <w:pPr>
        <w:spacing w:before="120" w:after="120" w:line="240" w:lineRule="auto"/>
        <w:jc w:val="both"/>
        <w:rPr>
          <w:rFonts w:ascii="Calibri" w:hAnsi="Calibri" w:cs="Times New Roman"/>
          <w:szCs w:val="24"/>
        </w:rPr>
      </w:pPr>
      <w:r>
        <w:rPr>
          <w:rFonts w:ascii="Calibri" w:hAnsi="Calibri" w:cs="Times New Roman"/>
          <w:szCs w:val="24"/>
        </w:rPr>
        <w:t xml:space="preserve">Vienlaikus šobrīd Latvijas elektroenerģijas ražošana ir lielā mērā atkarīga no dabasgāzes importa no trešajām valstīm, kas ir uzskatāms par vienu no valsts enerģētiskās drošības riskiem. </w:t>
      </w:r>
    </w:p>
    <w:p w14:paraId="2D95A6F4" w14:textId="77777777" w:rsidR="00EA0909" w:rsidRDefault="00EA0909" w:rsidP="00EA0909">
      <w:pPr>
        <w:spacing w:before="120" w:after="120" w:line="240" w:lineRule="auto"/>
        <w:jc w:val="both"/>
        <w:rPr>
          <w:rFonts w:cs="Times New Roman"/>
          <w:bCs/>
          <w:szCs w:val="24"/>
          <w:u w:val="single"/>
        </w:rPr>
      </w:pPr>
      <w:r>
        <w:rPr>
          <w:rFonts w:cs="Times New Roman"/>
          <w:bCs/>
          <w:szCs w:val="24"/>
          <w:u w:val="single"/>
        </w:rPr>
        <w:t xml:space="preserve">2) </w:t>
      </w:r>
      <w:r w:rsidRPr="009A6597">
        <w:rPr>
          <w:rFonts w:cs="Times New Roman"/>
          <w:bCs/>
          <w:szCs w:val="24"/>
          <w:u w:val="single"/>
        </w:rPr>
        <w:t>elektroenerģijas</w:t>
      </w:r>
      <w:r>
        <w:rPr>
          <w:rFonts w:cs="Times New Roman"/>
          <w:b/>
          <w:szCs w:val="24"/>
          <w:u w:val="single"/>
        </w:rPr>
        <w:t xml:space="preserve"> izmaksu mazināšana</w:t>
      </w:r>
      <w:r>
        <w:rPr>
          <w:rFonts w:cs="Times New Roman"/>
          <w:bCs/>
          <w:szCs w:val="24"/>
          <w:u w:val="single"/>
        </w:rPr>
        <w:t xml:space="preserve"> sabiedrībai</w:t>
      </w:r>
    </w:p>
    <w:p w14:paraId="6132BABA" w14:textId="77777777" w:rsidR="00EA0909" w:rsidRDefault="00EA0909" w:rsidP="00EA0909">
      <w:pPr>
        <w:spacing w:before="120" w:after="120" w:line="240" w:lineRule="auto"/>
        <w:jc w:val="both"/>
        <w:rPr>
          <w:rFonts w:cs="Times New Roman"/>
          <w:bCs/>
          <w:szCs w:val="24"/>
        </w:rPr>
      </w:pPr>
      <w:r>
        <w:rPr>
          <w:rFonts w:cs="Times New Roman"/>
          <w:bCs/>
          <w:szCs w:val="24"/>
        </w:rPr>
        <w:t>Līdzšinējais valsts atbalsta mehānisms elektroenerģijas ražošanai ir veicinājis kopējo elektroenerģijas izmaksu pieaugumu patērētājiem un tādējādi negatīvi ietekmējis dažādu uzņēmējdarbības nozaru, īpaši rūpniecības, konkurētspēju un attīstības iespējas, samazinot produktivitātes kāpināšanai pieejamos resursus. Pēdējos gados īstenotā politika ir risinājusi lielo un energointensīvo uzņēmumu problemātiku, savukārt maziem un vidējiem uzņēmumiem elektroenerģijas izmaksu mazināšana ir arvien aktuāla problēma, ņemot vērā to, ka tiem elektrības gala cena ir augstāka nekā citu valstu maziem un vidējiem uzņēmumiem Baltijas jūras reģionā. Vienlaikus prognozējams, ka pēc 2021.gada OIK izmaksas samazināsies. Ņemot vērā minēto, nepieciešams rast tādus ne-emisiju tehnoloģiju veicināšanas risinājumus, lai nodrošinātu, ka elektroenerģijas izmaksu slogs sabiedrībai mazinās.</w:t>
      </w:r>
    </w:p>
    <w:p w14:paraId="0FDF9D2C" w14:textId="6BEDA339" w:rsidR="00EA0909" w:rsidRDefault="00EA0909" w:rsidP="00EA0909">
      <w:pPr>
        <w:spacing w:before="120" w:after="120" w:line="240" w:lineRule="auto"/>
        <w:jc w:val="both"/>
        <w:rPr>
          <w:rFonts w:cs="Times New Roman"/>
          <w:bCs/>
          <w:szCs w:val="24"/>
        </w:rPr>
      </w:pPr>
      <w:r>
        <w:rPr>
          <w:rFonts w:cs="Times New Roman"/>
          <w:bCs/>
          <w:szCs w:val="24"/>
        </w:rPr>
        <w:t>Tāpat, ņemot vērā esošo un sagaidāmo jaudu nepietiekamību reģionā, ES emisiju kvotu cenu un dabasgāzes cenu prognozēto pieaugumu, elektroenerģijas vairumtirgus cenas prognozes liecina, ka tuvākajos gados Baltijas reģionā kopumā cenas augs, bet to samazinājumu var veicināt plašāks atjaunojamās elektroenerģijas ģenerācijas pieaugums.</w:t>
      </w:r>
      <w:r w:rsidR="00776032">
        <w:rPr>
          <w:rFonts w:cs="Times New Roman"/>
          <w:bCs/>
          <w:szCs w:val="24"/>
        </w:rPr>
        <w:t xml:space="preserve"> </w:t>
      </w:r>
      <w:r>
        <w:rPr>
          <w:rFonts w:cs="Times New Roman"/>
          <w:bCs/>
          <w:szCs w:val="24"/>
        </w:rPr>
        <w:t>Savukārt diversificētāka elektroenerģijas ražošanas struktūra var mazināt elektroenerģijas cenas pīķus brīžos, kad elektroenerģijas vairumtirgus cena būtu augsta.</w:t>
      </w:r>
    </w:p>
    <w:p w14:paraId="109D542A" w14:textId="77777777" w:rsidR="00EA0909" w:rsidRDefault="00EA0909" w:rsidP="00EA0909">
      <w:pPr>
        <w:spacing w:before="120" w:after="120" w:line="240" w:lineRule="auto"/>
        <w:jc w:val="both"/>
        <w:rPr>
          <w:rFonts w:cs="Times New Roman"/>
          <w:bCs/>
          <w:szCs w:val="24"/>
          <w:u w:val="single"/>
        </w:rPr>
      </w:pPr>
      <w:r>
        <w:rPr>
          <w:rFonts w:cs="Times New Roman"/>
          <w:bCs/>
          <w:szCs w:val="24"/>
          <w:u w:val="single"/>
        </w:rPr>
        <w:t xml:space="preserve">3) </w:t>
      </w:r>
      <w:r>
        <w:rPr>
          <w:rFonts w:cs="Times New Roman"/>
          <w:b/>
          <w:szCs w:val="24"/>
          <w:u w:val="single"/>
        </w:rPr>
        <w:t>neizmantots potenciāls</w:t>
      </w:r>
      <w:r>
        <w:rPr>
          <w:rFonts w:cs="Times New Roman"/>
          <w:bCs/>
          <w:szCs w:val="24"/>
          <w:u w:val="single"/>
        </w:rPr>
        <w:t xml:space="preserve"> elektroenerģijas ražošanai no ne-emisiju tehnoloģijām</w:t>
      </w:r>
    </w:p>
    <w:p w14:paraId="7EB2850E" w14:textId="77777777" w:rsidR="00EA0909" w:rsidRDefault="00EA0909" w:rsidP="00EA0909">
      <w:pPr>
        <w:spacing w:before="120" w:after="120" w:line="240" w:lineRule="auto"/>
        <w:jc w:val="both"/>
        <w:rPr>
          <w:rFonts w:cs="Times New Roman"/>
          <w:bCs/>
          <w:szCs w:val="24"/>
        </w:rPr>
      </w:pPr>
      <w:r>
        <w:rPr>
          <w:rFonts w:cs="Times New Roman"/>
          <w:bCs/>
          <w:szCs w:val="24"/>
        </w:rPr>
        <w:t xml:space="preserve">Kopš ir pabeigta to projektu īstenošana, kas saņēma tiesības uz valsts atbalstu OI mehānisma ietvaros, jaunu elektroenerģijas ražošanas jaudu ieviešana Latvijā ir jau ilgstoši stagnējusi. </w:t>
      </w:r>
    </w:p>
    <w:p w14:paraId="21A753F6" w14:textId="77777777" w:rsidR="00EA0909" w:rsidRDefault="00EA0909" w:rsidP="00EA0909">
      <w:pPr>
        <w:spacing w:before="120" w:after="120" w:line="240" w:lineRule="auto"/>
        <w:jc w:val="both"/>
        <w:rPr>
          <w:rFonts w:cs="Times New Roman"/>
          <w:bCs/>
          <w:szCs w:val="24"/>
        </w:rPr>
      </w:pPr>
      <w:r>
        <w:rPr>
          <w:rFonts w:cs="Times New Roman"/>
          <w:bCs/>
          <w:szCs w:val="24"/>
        </w:rPr>
        <w:t>Vienlaikus, lai nodrošinātu Latvijas enerģētisko drošību un nodrošinātu sabiedrību ar lētu un konkurētspējīgu enerģiju, Latvijai jānodrošina AER īpatsvara pieaugums, ko likumsakarīgi būtu jānodrošina ar izmaksu efektīvākajām tehnoloģijām. Izmaksas elektroenerģijas ražošanai sauszemes vēja parkos ir ievērojami samazinājušās un jaunākie pētījumi liecina, ka tās ir lētākās starp visiem jaunuzstādīto tehnoloģiju, tostarp fosilā kurināmā tehnoloģiju, veidiem elektroenerģijas ražošanai</w:t>
      </w:r>
      <w:r>
        <w:rPr>
          <w:rStyle w:val="FootnoteReference"/>
          <w:rFonts w:cs="Times New Roman"/>
          <w:bCs/>
          <w:szCs w:val="24"/>
        </w:rPr>
        <w:footnoteReference w:id="161"/>
      </w:r>
      <w:r>
        <w:rPr>
          <w:rFonts w:cs="Times New Roman"/>
          <w:bCs/>
          <w:szCs w:val="24"/>
        </w:rPr>
        <w:t>.</w:t>
      </w:r>
    </w:p>
    <w:p w14:paraId="2B4CD12C" w14:textId="77777777" w:rsidR="00EA0909" w:rsidRDefault="00EA0909" w:rsidP="00EA0909">
      <w:pPr>
        <w:spacing w:before="120" w:after="120" w:line="240" w:lineRule="auto"/>
        <w:jc w:val="both"/>
        <w:rPr>
          <w:rFonts w:cs="Times New Roman"/>
          <w:bCs/>
          <w:szCs w:val="24"/>
        </w:rPr>
      </w:pPr>
      <w:r>
        <w:rPr>
          <w:rFonts w:cs="Times New Roman"/>
          <w:bCs/>
          <w:szCs w:val="24"/>
        </w:rPr>
        <w:t>Projektu īstenotāji ir izrādījuši interesi un atsevišķos gadījumos uzsākuši īstenot vēja enerģijas projektus Latvijā bez papildu valsts finansiāla atbalsta garantijas, tomēr aizvien vairāk signālu no vēja enerģijas nozares tiek saņemts par to, ka pastāv daudz ierobežojošo faktoru straujākai šādu projektu attīstībai, kas galvenokārt saistīti ar teritorijas plānošanas nosacījumiem un administratīvajiem šķēršļiem.</w:t>
      </w:r>
    </w:p>
    <w:p w14:paraId="3D013F6E" w14:textId="77777777" w:rsidR="00EA0909" w:rsidRDefault="00EA0909" w:rsidP="00EA0909">
      <w:pPr>
        <w:spacing w:before="120" w:after="120" w:line="240" w:lineRule="auto"/>
        <w:jc w:val="both"/>
        <w:rPr>
          <w:rFonts w:cs="Times New Roman"/>
          <w:bCs/>
          <w:szCs w:val="24"/>
        </w:rPr>
      </w:pPr>
      <w:r>
        <w:rPr>
          <w:rFonts w:cs="Times New Roman"/>
          <w:bCs/>
          <w:szCs w:val="24"/>
        </w:rPr>
        <w:t>Tāpat Latvijā šobrīd nav attīstīta lielas jaudas elektroenerģijas ražošana no saules enerģijas, kam Latvijā varētu līdzīgs potenciāls kā citās Eiropas valstīs, kur šāda ražošana ir attīstīta</w:t>
      </w:r>
      <w:r>
        <w:rPr>
          <w:rStyle w:val="FootnoteReference"/>
          <w:rFonts w:cs="Times New Roman"/>
          <w:bCs/>
          <w:szCs w:val="24"/>
        </w:rPr>
        <w:footnoteReference w:id="162"/>
      </w:r>
      <w:r>
        <w:rPr>
          <w:rFonts w:cs="Times New Roman"/>
          <w:bCs/>
          <w:szCs w:val="24"/>
        </w:rPr>
        <w:t xml:space="preserve">.  </w:t>
      </w:r>
    </w:p>
    <w:p w14:paraId="73EB2C82" w14:textId="77777777" w:rsidR="00EA0909" w:rsidRDefault="00EA0909" w:rsidP="00EA0909">
      <w:pPr>
        <w:spacing w:before="120" w:after="120" w:line="240" w:lineRule="auto"/>
        <w:jc w:val="both"/>
        <w:rPr>
          <w:rFonts w:cs="Times New Roman"/>
          <w:bCs/>
          <w:szCs w:val="24"/>
        </w:rPr>
      </w:pPr>
      <w:r>
        <w:rPr>
          <w:rFonts w:cs="Times New Roman"/>
          <w:bCs/>
          <w:szCs w:val="24"/>
        </w:rPr>
        <w:t>Šobrīd Latvijas elektroenerģijas pārvades sistēma spēj uzņemt līdz 800 MW papildu jaunas AE jaudas, kas ir aptuveni trešā daļa no visas pašreiz Latvijā uzstādītās kopējās elektriskās jaudas.</w:t>
      </w:r>
    </w:p>
    <w:p w14:paraId="3F4AA8EA" w14:textId="77777777" w:rsidR="00EA0909" w:rsidRDefault="00EA0909" w:rsidP="00EA0909">
      <w:pPr>
        <w:shd w:val="clear" w:color="auto" w:fill="E7E6E6" w:themeFill="background2"/>
        <w:spacing w:before="120" w:after="120" w:line="240" w:lineRule="auto"/>
        <w:rPr>
          <w:rFonts w:ascii="Calibri" w:hAnsi="Calibri" w:cs="Times New Roman"/>
          <w:b/>
          <w:i/>
          <w:szCs w:val="24"/>
        </w:rPr>
      </w:pPr>
      <w:r>
        <w:rPr>
          <w:rFonts w:ascii="Calibri" w:hAnsi="Calibri" w:cs="Times New Roman"/>
          <w:b/>
          <w:i/>
          <w:sz w:val="28"/>
          <w:szCs w:val="28"/>
        </w:rPr>
        <w:t xml:space="preserve">Galvenās rīcības un pasākumi </w:t>
      </w:r>
      <w:r>
        <w:rPr>
          <w:rFonts w:ascii="Calibri" w:hAnsi="Calibri" w:cs="Times New Roman"/>
          <w:b/>
          <w:i/>
          <w:szCs w:val="24"/>
        </w:rPr>
        <w:t>(3. rīcības virziens)</w:t>
      </w:r>
    </w:p>
    <w:p w14:paraId="2E3EDE18" w14:textId="77777777" w:rsidR="00EA0909" w:rsidRDefault="00EA0909" w:rsidP="00EA0909">
      <w:pPr>
        <w:shd w:val="clear" w:color="auto" w:fill="E7E6E6" w:themeFill="background2"/>
        <w:spacing w:before="120" w:after="120" w:line="240" w:lineRule="auto"/>
        <w:jc w:val="both"/>
        <w:rPr>
          <w:rFonts w:ascii="Calibri" w:hAnsi="Calibri" w:cs="Times New Roman"/>
          <w:b/>
          <w:szCs w:val="24"/>
          <w:u w:val="single"/>
        </w:rPr>
      </w:pPr>
      <w:r>
        <w:rPr>
          <w:rFonts w:ascii="Calibri" w:hAnsi="Calibri" w:cs="Times New Roman"/>
          <w:b/>
          <w:szCs w:val="24"/>
          <w:u w:val="single"/>
        </w:rPr>
        <w:t>Ne-emisiju tehnoloģiju izmantošanas veicināšana elektroenerģijas ražošanā.</w:t>
      </w:r>
    </w:p>
    <w:p w14:paraId="3941DA8A" w14:textId="77777777" w:rsidR="00EA0909" w:rsidRDefault="00EA0909" w:rsidP="00EA0909">
      <w:pPr>
        <w:spacing w:before="120" w:after="120" w:line="240" w:lineRule="auto"/>
        <w:jc w:val="both"/>
        <w:rPr>
          <w:rFonts w:ascii="Calibri" w:hAnsi="Calibri" w:cs="Times New Roman"/>
          <w:b/>
          <w:i/>
          <w:sz w:val="28"/>
          <w:szCs w:val="28"/>
          <w:u w:val="single"/>
        </w:rPr>
      </w:pPr>
      <w:r>
        <w:rPr>
          <w:rFonts w:ascii="Calibri" w:hAnsi="Calibri" w:cs="Times New Roman"/>
          <w:b/>
          <w:i/>
          <w:sz w:val="28"/>
          <w:szCs w:val="28"/>
          <w:u w:val="single"/>
        </w:rPr>
        <w:t>Galvenās rīcības un pasākumi</w:t>
      </w:r>
    </w:p>
    <w:p w14:paraId="2E69B9AC" w14:textId="650133A5" w:rsidR="00EA0909" w:rsidRDefault="00EA0909" w:rsidP="00EA0909">
      <w:pPr>
        <w:spacing w:before="120" w:after="120" w:line="240" w:lineRule="auto"/>
        <w:jc w:val="both"/>
        <w:rPr>
          <w:rFonts w:cs="Times New Roman"/>
          <w:bCs/>
          <w:szCs w:val="24"/>
          <w:u w:val="single"/>
        </w:rPr>
      </w:pPr>
      <w:r>
        <w:rPr>
          <w:rFonts w:cs="Times New Roman"/>
          <w:bCs/>
          <w:szCs w:val="24"/>
          <w:u w:val="single"/>
        </w:rPr>
        <w:t xml:space="preserve">1) ne-emisiju tehnoloģiju izmantošanas veicināšana </w:t>
      </w:r>
      <w:r>
        <w:rPr>
          <w:rFonts w:cs="Times New Roman"/>
          <w:b/>
          <w:szCs w:val="24"/>
          <w:u w:val="single"/>
        </w:rPr>
        <w:t>tirgus apstākļos</w:t>
      </w:r>
      <w:r>
        <w:rPr>
          <w:rFonts w:cs="Times New Roman"/>
          <w:bCs/>
          <w:szCs w:val="24"/>
          <w:u w:val="single"/>
        </w:rPr>
        <w:t xml:space="preserve"> (3.2., 3.3.</w:t>
      </w:r>
      <w:r w:rsidR="00D13531">
        <w:rPr>
          <w:rFonts w:cs="Times New Roman"/>
          <w:bCs/>
          <w:szCs w:val="24"/>
          <w:u w:val="single"/>
        </w:rPr>
        <w:t xml:space="preserve"> pasākums, </w:t>
      </w:r>
      <w:r>
        <w:rPr>
          <w:rFonts w:cs="Times New Roman"/>
          <w:bCs/>
          <w:szCs w:val="24"/>
          <w:u w:val="single"/>
        </w:rPr>
        <w:t>H.6, H.7</w:t>
      </w:r>
      <w:r w:rsidR="00D13531">
        <w:rPr>
          <w:rFonts w:cs="Times New Roman"/>
          <w:bCs/>
          <w:szCs w:val="24"/>
          <w:u w:val="single"/>
        </w:rPr>
        <w:t xml:space="preserve"> </w:t>
      </w:r>
      <w:r>
        <w:rPr>
          <w:rFonts w:cs="Times New Roman"/>
          <w:bCs/>
          <w:szCs w:val="24"/>
          <w:u w:val="single"/>
        </w:rPr>
        <w:t>pasākums)</w:t>
      </w:r>
    </w:p>
    <w:p w14:paraId="2904D7A6" w14:textId="77777777" w:rsidR="00EA0909" w:rsidRDefault="00EA0909" w:rsidP="00EA0909">
      <w:pPr>
        <w:spacing w:before="120" w:after="120" w:line="240" w:lineRule="auto"/>
        <w:jc w:val="both"/>
        <w:rPr>
          <w:rFonts w:cs="Times New Roman"/>
          <w:szCs w:val="24"/>
        </w:rPr>
      </w:pPr>
      <w:r>
        <w:rPr>
          <w:rFonts w:cs="Times New Roman"/>
          <w:szCs w:val="24"/>
        </w:rPr>
        <w:t>Būtiska nozīmē ne-emisiju tehnoloģiju izmantošanas veicināšanai ir teritoriālo, būvniecības regulējuma ierobežojumu un administratīvo procedūru pārskatīšana un pilnveidošana, lai attiecīgo tehnoloģiju attīstība tirgus apstākļos varētu notikt bez liekiem šķēršļiem, kas radīti no valsts puses. Tostarp būtu jānodrošina, ka atļauju izsniegšanas procedūras projektu attīstītājiem ir pēc iespējas vienkāršākas un tiek veiktas īsākajā iespējamajā laikā, ko iespējams īstenot, izveidojot vienotu kontaktpunktu atļauju izsniegšanai AER tehnoloģiju ieviešanai un nosakot atļauju izsniegšanas termiņus.</w:t>
      </w:r>
    </w:p>
    <w:p w14:paraId="39D1BED1" w14:textId="77777777" w:rsidR="00EA0909" w:rsidRDefault="00EA0909" w:rsidP="00EA0909">
      <w:pPr>
        <w:spacing w:before="120" w:after="120" w:line="240" w:lineRule="auto"/>
        <w:jc w:val="both"/>
        <w:rPr>
          <w:rFonts w:cs="Times New Roman"/>
          <w:szCs w:val="24"/>
        </w:rPr>
      </w:pPr>
      <w:r>
        <w:rPr>
          <w:rFonts w:cs="Times New Roman"/>
          <w:szCs w:val="24"/>
        </w:rPr>
        <w:t>Tāpat būtu lietderīgi nodrošināt nacionālas nozīmes lauksaimniecības zemju un meža zemju izmantošanu vēja parku attīstībai, kā arī izstrādāt kārtību valsts mežu zemju izmantošanai, tostarp izstrādājot nosacījumus nomas maksai un ietekmes uz vidi mazināšanai.</w:t>
      </w:r>
    </w:p>
    <w:p w14:paraId="3E9224A7" w14:textId="77777777" w:rsidR="00EA0909" w:rsidRDefault="00EA0909" w:rsidP="00EA0909">
      <w:pPr>
        <w:spacing w:before="120" w:after="120" w:line="240" w:lineRule="auto"/>
        <w:jc w:val="both"/>
        <w:rPr>
          <w:rFonts w:cstheme="minorHAnsi"/>
          <w:color w:val="000000"/>
          <w:shd w:val="clear" w:color="auto" w:fill="FFFFFF"/>
        </w:rPr>
      </w:pPr>
      <w:r>
        <w:rPr>
          <w:rFonts w:cs="Times New Roman"/>
          <w:szCs w:val="24"/>
        </w:rPr>
        <w:t xml:space="preserve">Lietderīgi būtu izstrādāt publiski pieejamas kartes, kurās attēlots saules un vēja enerģijas parku attīstības potenciāls Latvijas teritorijā, ņemot vērā veiktos pētījumus par dažādiem ierobežojumiem, kā arī </w:t>
      </w:r>
      <w:r>
        <w:rPr>
          <w:rFonts w:cstheme="minorHAnsi"/>
          <w:color w:val="000000"/>
          <w:shd w:val="clear" w:color="auto" w:fill="FFFFFF"/>
        </w:rPr>
        <w:t>teritorijas plānojuma ierobežojumus.</w:t>
      </w:r>
    </w:p>
    <w:p w14:paraId="0794F483" w14:textId="7A273407" w:rsidR="00EA0909" w:rsidRDefault="00EA0909" w:rsidP="00EA0909">
      <w:pPr>
        <w:spacing w:before="120" w:after="120" w:line="240" w:lineRule="auto"/>
        <w:jc w:val="both"/>
        <w:rPr>
          <w:rFonts w:cstheme="minorHAnsi"/>
          <w:color w:val="000000"/>
          <w:shd w:val="clear" w:color="auto" w:fill="FFFFFF"/>
        </w:rPr>
      </w:pPr>
      <w:r>
        <w:rPr>
          <w:rFonts w:cstheme="minorHAnsi"/>
          <w:color w:val="000000"/>
          <w:shd w:val="clear" w:color="auto" w:fill="FFFFFF"/>
        </w:rPr>
        <w:t xml:space="preserve">Lai veicinātu AER elektroenerģijas ražošanu, nepieciešams arī veicināt tās pieprasījumu. Tādēļ, sekojoši elektroenerģijas izcelsmes apliecinājumu sistēmas pilnveidošanai, nepieciešams noteikt pienākumu elektroenerģijas tirgotājiem elektrības rēķinos norādīt AER elektroenerģijas īpatsvaru. Tāpat nepieciešams izstrādāt regulējumu AER elektroenerģijas  pirkuma līgumu un savstarpējās tirdzniecības mehānismu izmantošanai. Vienlaikus, ne-emisiju tehnoloģiju konkurētspēju var veicināt pārdomāta nodokļu pārskatīšana fosilajam kurināmajam. </w:t>
      </w:r>
    </w:p>
    <w:p w14:paraId="394A80F2" w14:textId="4D03F0BF" w:rsidR="00EA0909" w:rsidRDefault="00EA0909" w:rsidP="00EA0909">
      <w:pPr>
        <w:spacing w:before="120" w:after="120" w:line="240" w:lineRule="auto"/>
        <w:jc w:val="both"/>
        <w:rPr>
          <w:rFonts w:cs="Times New Roman"/>
          <w:bCs/>
          <w:szCs w:val="24"/>
          <w:u w:val="single"/>
        </w:rPr>
      </w:pPr>
      <w:r>
        <w:rPr>
          <w:rFonts w:cs="Times New Roman"/>
          <w:bCs/>
          <w:szCs w:val="24"/>
          <w:u w:val="single"/>
        </w:rPr>
        <w:t xml:space="preserve">2) </w:t>
      </w:r>
      <w:r>
        <w:rPr>
          <w:rFonts w:cs="Times New Roman"/>
          <w:b/>
          <w:szCs w:val="24"/>
          <w:u w:val="single"/>
        </w:rPr>
        <w:t>finansējuma piesaiste</w:t>
      </w:r>
      <w:r>
        <w:rPr>
          <w:rFonts w:cs="Times New Roman"/>
          <w:bCs/>
          <w:szCs w:val="24"/>
          <w:u w:val="single"/>
        </w:rPr>
        <w:t xml:space="preserve"> ne-emisiju projektu īstenošanai (3.1., 3.4., H.8 pasākums)</w:t>
      </w:r>
    </w:p>
    <w:p w14:paraId="40931AB4" w14:textId="791503D5" w:rsidR="00EA0909" w:rsidRDefault="00EA0909" w:rsidP="00EA0909">
      <w:pPr>
        <w:spacing w:before="120" w:after="120" w:line="240" w:lineRule="auto"/>
        <w:jc w:val="both"/>
        <w:rPr>
          <w:rFonts w:cs="Times New Roman"/>
          <w:szCs w:val="24"/>
        </w:rPr>
      </w:pPr>
      <w:r>
        <w:rPr>
          <w:rFonts w:cs="Times New Roman"/>
          <w:szCs w:val="24"/>
        </w:rPr>
        <w:t>Analizējot atkrastes vēja parku attīstības iespējas Baltijas jūras reģionā, ir konstatēts potenciāls izmaksu efektīvai elektroenerģijas ražošanai, īstenojot starpvalstu sadarbības projektus</w:t>
      </w:r>
      <w:r>
        <w:rPr>
          <w:rStyle w:val="FootnoteReference"/>
          <w:rFonts w:cs="Times New Roman"/>
          <w:szCs w:val="24"/>
        </w:rPr>
        <w:footnoteReference w:id="163"/>
      </w:r>
      <w:r>
        <w:rPr>
          <w:rFonts w:cs="Times New Roman"/>
          <w:szCs w:val="24"/>
        </w:rPr>
        <w:t xml:space="preserve">. Tāpēc, lai izmantotu atkrastes vēja enerģijas potenciālu pēc iespējas izmaksu efektīvākā veidā, paredzēts īstenot projektu Eiropas Savienošanas instrumenta un </w:t>
      </w:r>
      <w:r w:rsidR="00D13531">
        <w:rPr>
          <w:rFonts w:cs="Times New Roman"/>
          <w:szCs w:val="24"/>
        </w:rPr>
        <w:t>KIP</w:t>
      </w:r>
      <w:r>
        <w:rPr>
          <w:rFonts w:cs="Times New Roman"/>
          <w:szCs w:val="24"/>
        </w:rPr>
        <w:t xml:space="preserve"> finansējuma apguvei kopīga Baltijas valstu atkrastes vēja parka izveidei, vispirms piesaistot </w:t>
      </w:r>
      <w:r w:rsidR="00D13531">
        <w:rPr>
          <w:rFonts w:cs="Times New Roman"/>
          <w:szCs w:val="24"/>
        </w:rPr>
        <w:t xml:space="preserve">Eiropas Savienošanas instrumenta </w:t>
      </w:r>
      <w:r>
        <w:rPr>
          <w:rFonts w:cs="Times New Roman"/>
          <w:szCs w:val="24"/>
        </w:rPr>
        <w:t>finansējumu projekta priekšizpētei.</w:t>
      </w:r>
    </w:p>
    <w:p w14:paraId="6674333F" w14:textId="77777777" w:rsidR="00EA0909" w:rsidRDefault="00EA0909" w:rsidP="00EA0909">
      <w:pPr>
        <w:spacing w:before="120" w:after="120" w:line="240" w:lineRule="auto"/>
        <w:jc w:val="both"/>
        <w:rPr>
          <w:rFonts w:cs="Times New Roman"/>
          <w:szCs w:val="24"/>
        </w:rPr>
      </w:pPr>
      <w:r>
        <w:rPr>
          <w:rFonts w:cs="Times New Roman"/>
          <w:szCs w:val="24"/>
        </w:rPr>
        <w:t>Saules enerģijas ražošana Latvijā nav attīstījusies, tomēr pasaulē šīs tehnoloģijas ir vienas no lētākajām AER elektroenerģijas ražošanas tehnoloģijām, nereti konkurējot ar vēja parkiem</w:t>
      </w:r>
      <w:r>
        <w:rPr>
          <w:rFonts w:cs="Times New Roman"/>
          <w:szCs w:val="24"/>
          <w:vertAlign w:val="superscript"/>
        </w:rPr>
        <w:t>1</w:t>
      </w:r>
      <w:r>
        <w:rPr>
          <w:rFonts w:cs="Times New Roman"/>
          <w:szCs w:val="24"/>
        </w:rPr>
        <w:t>. Tāpēc nepieciešams izvērtēt iespēju izveidot atbalsta programmu finanšu instrumentu vai aizdevumu veidā saules elektroenerģijas ražošanas un akumulācijas iekārtām, lai veicinātu būtisku no saules enerģijas tehnoloģijām ražotas elektroenerģijas apjoma pieaugumu.</w:t>
      </w:r>
    </w:p>
    <w:p w14:paraId="12DED926" w14:textId="77777777" w:rsidR="00EA0909" w:rsidRDefault="00EA0909" w:rsidP="00EA0909">
      <w:pPr>
        <w:spacing w:before="120" w:after="120" w:line="240" w:lineRule="auto"/>
        <w:jc w:val="both"/>
        <w:rPr>
          <w:rFonts w:cstheme="minorHAnsi"/>
        </w:rPr>
      </w:pPr>
      <w:r>
        <w:rPr>
          <w:rFonts w:cs="Times New Roman"/>
          <w:szCs w:val="24"/>
        </w:rPr>
        <w:t xml:space="preserve">Tāpat plānots izveidot </w:t>
      </w:r>
      <w:r>
        <w:rPr>
          <w:rFonts w:cstheme="minorHAnsi"/>
        </w:rPr>
        <w:t xml:space="preserve">AER veicināšanas un energoefektivitātes uzlabošanas fondu, no kā varētu finansēt </w:t>
      </w:r>
      <w:r>
        <w:rPr>
          <w:rFonts w:cstheme="minorHAnsi"/>
          <w:bCs/>
        </w:rPr>
        <w:t>aizdevumus projektu attīstītājiem, kā arī pēc iespējas nodrošināt granta daļu projekta idejas attīstībai un tehniskai palīdzībai.</w:t>
      </w:r>
    </w:p>
    <w:p w14:paraId="689E7D16" w14:textId="4B5D7CDC" w:rsidR="00EA0909" w:rsidRDefault="00EA0909" w:rsidP="00EA0909">
      <w:pPr>
        <w:spacing w:before="120" w:after="120" w:line="240" w:lineRule="auto"/>
        <w:jc w:val="both"/>
        <w:rPr>
          <w:rFonts w:cs="Times New Roman"/>
          <w:szCs w:val="24"/>
          <w:u w:val="single"/>
        </w:rPr>
      </w:pPr>
      <w:r>
        <w:rPr>
          <w:rFonts w:cs="Times New Roman"/>
          <w:szCs w:val="24"/>
          <w:u w:val="single"/>
        </w:rPr>
        <w:t xml:space="preserve">3) </w:t>
      </w:r>
      <w:r>
        <w:rPr>
          <w:rFonts w:cs="Times New Roman"/>
          <w:b/>
          <w:bCs/>
          <w:szCs w:val="24"/>
          <w:u w:val="single"/>
        </w:rPr>
        <w:t xml:space="preserve">konceptuālu risinājumu izstrāde </w:t>
      </w:r>
      <w:r>
        <w:rPr>
          <w:rFonts w:cs="Times New Roman"/>
          <w:szCs w:val="24"/>
          <w:u w:val="single"/>
        </w:rPr>
        <w:t xml:space="preserve">tālākai ne-emisiju tehnoloģiju attīstībai elektroenerģijas ražošanai Latvijā </w:t>
      </w:r>
      <w:r w:rsidR="009A6597">
        <w:rPr>
          <w:rFonts w:cs="Times New Roman"/>
          <w:szCs w:val="24"/>
          <w:u w:val="single"/>
        </w:rPr>
        <w:t>(3.3., 3.5.pasākums)</w:t>
      </w:r>
    </w:p>
    <w:p w14:paraId="4312A715" w14:textId="3640F133" w:rsidR="00EA0909" w:rsidRDefault="00EA0909" w:rsidP="00EA0909">
      <w:pPr>
        <w:spacing w:before="120" w:after="120" w:line="240" w:lineRule="auto"/>
        <w:jc w:val="both"/>
        <w:rPr>
          <w:rFonts w:cs="Times New Roman"/>
          <w:szCs w:val="24"/>
        </w:rPr>
      </w:pPr>
      <w:r>
        <w:rPr>
          <w:rFonts w:cs="Times New Roman"/>
          <w:szCs w:val="24"/>
        </w:rPr>
        <w:t>Turpmākajai elektroenerģijas ražošanas attīstībai būtiska nozīme būs Baltijas elektrotīklu sinhronizācijai ar kontinentālo Eiropu, pārvades infrastruktūras attīstībai, elektroenerģijas tirgus cenas līmenim Baltijas reģionā, kā arī tam, vai tuvākajos gados tiks realizēti liela mēroga ne-emisiju tehnoloģiju projekti. Tādēļ atsevišķus iespējamos tālākās rīcības virzienus būs iespējams izvērtēt tikai tuvākajos gados.</w:t>
      </w:r>
      <w:r w:rsidR="00D13531">
        <w:rPr>
          <w:rFonts w:cs="Times New Roman"/>
          <w:szCs w:val="24"/>
        </w:rPr>
        <w:t xml:space="preserve"> </w:t>
      </w:r>
      <w:r>
        <w:rPr>
          <w:rFonts w:cs="Times New Roman"/>
          <w:szCs w:val="24"/>
        </w:rPr>
        <w:t xml:space="preserve">Tā, piemēram, no tā, vai un kāda apjomā tuvākajos gados Latvijā tiks īstenoti liela mēroga vēja parku projekti, būs atkarīga nepieciešamība palielināt pārvades sistēmas jaudas. Tāpēc šāds izvērtējams veicams līdz ar Plāna pārskatīšanu 2023.gadā. Papildus tam vērtējamas Latvijas </w:t>
      </w:r>
      <w:r>
        <w:rPr>
          <w:rFonts w:cstheme="minorHAnsi"/>
        </w:rPr>
        <w:t>energosistēmas spējas iekļaut lielas jaudas vēja parku saražoto elektroenerģiju un nepieciešams analizēt šīs jaudas balansēšanas iespējamos labākos tehnoloģiskos paņēmienus</w:t>
      </w:r>
    </w:p>
    <w:p w14:paraId="3DA095F0" w14:textId="7471FDE0" w:rsidR="00EA0909" w:rsidRDefault="00EA0909" w:rsidP="00EA0909">
      <w:pPr>
        <w:spacing w:before="60" w:after="60" w:line="240" w:lineRule="auto"/>
        <w:jc w:val="both"/>
        <w:rPr>
          <w:rFonts w:cstheme="minorHAnsi"/>
        </w:rPr>
      </w:pPr>
      <w:r>
        <w:rPr>
          <w:rFonts w:cstheme="minorHAnsi"/>
        </w:rPr>
        <w:t xml:space="preserve">Kopumā paredzams, ka elektroenerģijas vairumtirdzniecības cena Baltijas reģionā tuvākajos gados varētu pieaugt, tomēr, plaši attīstoties vēja parkiem reģionā un īstenojoties citiem nosacījumiem, iespējams arī elektroenerģijas cenu samazinājums un būtiska svārstība. Tādējādi tālākai vēja parku attīstībai nelabvēlīgos elektroenerģijas tirgus apstākļos izšķiroša var būt garantija investoriem minimālajai iepirkuma cenai, kā noteikšanai būtu iespējams organizēt izsoles. </w:t>
      </w:r>
      <w:r w:rsidR="00D13531">
        <w:rPr>
          <w:rFonts w:cstheme="minorHAnsi"/>
        </w:rPr>
        <w:t>Ī</w:t>
      </w:r>
      <w:r>
        <w:rPr>
          <w:rFonts w:cstheme="minorHAnsi"/>
        </w:rPr>
        <w:t>stenojot šādu pasākumu pie minētajiem apstākļiem, kopumā elektroenerģijas cena iedzīvotājiem nepalielināsies salīdzinājumā ar situāciju, ja vēja parku attīstība nebūtu notikusi, jo piemaksa tiktu nodrošināta tikai pie ļoti zemas elektroenerģijas tirgus cenas</w:t>
      </w:r>
      <w:r w:rsidR="00CA308F">
        <w:rPr>
          <w:rFonts w:cstheme="minorHAnsi"/>
        </w:rPr>
        <w:t>, izslēdzot negatīvas cenas scenāriju</w:t>
      </w:r>
      <w:r>
        <w:rPr>
          <w:rFonts w:cstheme="minorHAnsi"/>
        </w:rPr>
        <w:t>. Ņemot vērā minēto, par attiecīgo pasākumu īstenošanas nepieciešamību jāveic atsevišķs izvērtējums.</w:t>
      </w:r>
    </w:p>
    <w:p w14:paraId="54A4F2B3" w14:textId="54257E19" w:rsidR="00EA0909" w:rsidRDefault="00EA0909" w:rsidP="00EA0909">
      <w:pPr>
        <w:spacing w:before="60" w:after="60" w:line="240" w:lineRule="auto"/>
        <w:jc w:val="both"/>
        <w:rPr>
          <w:rFonts w:cstheme="minorHAnsi"/>
        </w:rPr>
      </w:pPr>
      <w:r>
        <w:rPr>
          <w:rFonts w:cstheme="minorHAnsi"/>
        </w:rPr>
        <w:t>Tāpat nepieciešams sekot līdzi, kā vēja parku attīstību Latvijā ietekmē paredzētā dažādu šķēršļu novēršana un jāizvērtē, vai nepieciešami tālāki risinājumi, kuru vidū varētu būt papildu pasākumi, lai veicinātu pašvaldību interesi vēja parku attīstībai lielas jaudas ne-emisiju tehnoloģijām.</w:t>
      </w:r>
    </w:p>
    <w:p w14:paraId="56FFA70D" w14:textId="77777777" w:rsidR="00EA0909" w:rsidRDefault="00EA0909" w:rsidP="00EA0909">
      <w:pPr>
        <w:shd w:val="clear" w:color="auto" w:fill="E7E6E6" w:themeFill="background2"/>
        <w:spacing w:before="120" w:after="120" w:line="240" w:lineRule="auto"/>
        <w:jc w:val="both"/>
        <w:rPr>
          <w:rFonts w:ascii="Calibri" w:hAnsi="Calibri" w:cs="Times New Roman"/>
          <w:b/>
          <w:i/>
          <w:sz w:val="28"/>
          <w:szCs w:val="28"/>
        </w:rPr>
      </w:pPr>
      <w:r>
        <w:rPr>
          <w:rFonts w:ascii="Calibri" w:hAnsi="Calibri" w:cs="Times New Roman"/>
          <w:b/>
          <w:i/>
          <w:sz w:val="28"/>
          <w:szCs w:val="28"/>
        </w:rPr>
        <w:t>Saistītie rīcības virzieni</w:t>
      </w:r>
    </w:p>
    <w:p w14:paraId="28B87863" w14:textId="319510A1" w:rsidR="00EA0909" w:rsidRDefault="00EA0909" w:rsidP="00EA090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 xml:space="preserve">1) Ekonomiski pamatotas enerģijas pašražošanas, pašpatēriņa un </w:t>
      </w:r>
      <w:r w:rsidR="002E0F59">
        <w:rPr>
          <w:rFonts w:ascii="Calibri" w:hAnsi="Calibri" w:cs="Times New Roman"/>
          <w:bCs/>
          <w:iCs/>
          <w:szCs w:val="24"/>
        </w:rPr>
        <w:t xml:space="preserve">AE </w:t>
      </w:r>
      <w:r>
        <w:rPr>
          <w:rFonts w:ascii="Calibri" w:hAnsi="Calibri" w:cs="Times New Roman"/>
          <w:bCs/>
          <w:iCs/>
          <w:szCs w:val="24"/>
        </w:rPr>
        <w:t>kopienu veicināšana (4.rīcības virziens), kas paredz elektroenerģijas ražošanas veicināšanu pašpatēriņam.</w:t>
      </w:r>
    </w:p>
    <w:p w14:paraId="47EF3F90" w14:textId="77777777" w:rsidR="00EA0909" w:rsidRDefault="00EA0909" w:rsidP="00EA090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2) Energoefektivitātes uzlabošana, alternatīvo degvielu un AER tehnoloģiju izmantošanas veicināšana transportā (5.rīcības virziens), ņemot vērā nepieciešamību pēc AER elektroenerģijas elektrotransportā.</w:t>
      </w:r>
    </w:p>
    <w:p w14:paraId="406649BC" w14:textId="323E8B5F" w:rsidR="00EA0909" w:rsidRDefault="00EA0909" w:rsidP="00EA090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3) Enerģētiskā drošība</w:t>
      </w:r>
      <w:r w:rsidR="002E0F59">
        <w:rPr>
          <w:rFonts w:ascii="Calibri" w:hAnsi="Calibri" w:cs="Times New Roman"/>
          <w:bCs/>
          <w:iCs/>
          <w:szCs w:val="24"/>
        </w:rPr>
        <w:t>, enerģētiskās atkarības mazināšana</w:t>
      </w:r>
      <w:r>
        <w:rPr>
          <w:rFonts w:ascii="Calibri" w:hAnsi="Calibri" w:cs="Times New Roman"/>
          <w:bCs/>
          <w:iCs/>
          <w:szCs w:val="24"/>
        </w:rPr>
        <w:t>, pilnīga enerģijas tirgu integrācija, infrastruktūras modernizācija (6. rīcības virziens), jo elektroenerģijas ražošana no vietējiem AER tiešā veidā veicina enerģētisko drošību un atkarības mazināšanu no trešajām valstīm, kā arī šo mērķu sasniegšanai būtiski nodrošināt bāzes jaudas elektroenerģijas ražošanai.</w:t>
      </w:r>
    </w:p>
    <w:p w14:paraId="2F2783A5" w14:textId="77777777" w:rsidR="00EA0909" w:rsidRDefault="00EA0909" w:rsidP="00EA090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4) Nodokļu sistēmas “zaļināšana” un pievilcīguma energoefektivitātei un AER tehnoloģijām uzlabošana (11. rīcības virziens), kas veicinātu AER tehnoloģiju konkurētspēju.</w:t>
      </w:r>
    </w:p>
    <w:p w14:paraId="19F21C52" w14:textId="269B31B6" w:rsidR="00EA0909" w:rsidRDefault="006A1055" w:rsidP="00621737">
      <w:pPr>
        <w:shd w:val="clear" w:color="auto" w:fill="E7E6E6" w:themeFill="background2"/>
        <w:spacing w:before="120" w:after="120" w:line="240" w:lineRule="auto"/>
        <w:rPr>
          <w:rFonts w:ascii="Calibri" w:hAnsi="Calibri" w:cs="Times New Roman"/>
          <w:szCs w:val="24"/>
        </w:rPr>
      </w:pPr>
      <w:r w:rsidRPr="00E2491C">
        <w:rPr>
          <w:rFonts w:ascii="Calibri" w:hAnsi="Calibri"/>
          <w:noProof/>
          <w:lang w:eastAsia="lv-LV"/>
        </w:rPr>
        <mc:AlternateContent>
          <mc:Choice Requires="wps">
            <w:drawing>
              <wp:anchor distT="0" distB="0" distL="114300" distR="114300" simplePos="0" relativeHeight="251692032" behindDoc="0" locked="0" layoutInCell="1" allowOverlap="1" wp14:anchorId="6DFA869A" wp14:editId="06379C9B">
                <wp:simplePos x="0" y="0"/>
                <wp:positionH relativeFrom="margin">
                  <wp:align>right</wp:align>
                </wp:positionH>
                <wp:positionV relativeFrom="paragraph">
                  <wp:posOffset>380593</wp:posOffset>
                </wp:positionV>
                <wp:extent cx="5779135" cy="496570"/>
                <wp:effectExtent l="0" t="0" r="0" b="0"/>
                <wp:wrapSquare wrapText="bothSides"/>
                <wp:docPr id="96" name="Rectangle: Single Corner Snipped 96"/>
                <wp:cNvGraphicFramePr/>
                <a:graphic xmlns:a="http://schemas.openxmlformats.org/drawingml/2006/main">
                  <a:graphicData uri="http://schemas.microsoft.com/office/word/2010/wordprocessingShape">
                    <wps:wsp>
                      <wps:cNvSpPr/>
                      <wps:spPr>
                        <a:xfrm>
                          <a:off x="0" y="0"/>
                          <a:ext cx="5779135" cy="496570"/>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4A76A252" w14:textId="4DF29BF2"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38" w:name="_Toc24408060"/>
                            <w:bookmarkStart w:id="539" w:name="_Toc24408119"/>
                            <w:r w:rsidRPr="0007326F">
                              <w:rPr>
                                <w:color w:val="FFFFFF" w:themeColor="background1"/>
                                <w:sz w:val="40"/>
                                <w:szCs w:val="40"/>
                              </w:rPr>
                              <w:t>Sabiedrības iesaiste enerģijas ražošanā</w:t>
                            </w:r>
                            <w:bookmarkEnd w:id="538"/>
                            <w:bookmarkEnd w:id="53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A869A" id="Rectangle: Single Corner Snipped 96" o:spid="_x0000_s1033" style="position:absolute;margin-left:403.85pt;margin-top:29.95pt;width:455.05pt;height:39.1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779135,496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" adj="-11796480,,5400" path="m,l5696372,r82763,82763l5779135,496570,,496570,,xe" fillcolor="#323e4f [2415]" stroked="f" strokeweight="1pt">
                <v:stroke joinstyle="miter"/>
                <v:formulas/>
                <v:path arrowok="t" o:connecttype="custom" o:connectlocs="0,0;5696372,0;5779135,82763;5779135,496570;0,496570;0,0" o:connectangles="0,0,0,0,0,0" textboxrect="0,0,5779135,496570"/>
                <v:textbox>
                  <w:txbxContent>
                    <w:p w14:paraId="4A76A252" w14:textId="4DF29BF2"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54" w:name="_Toc24408060"/>
                      <w:bookmarkStart w:id="555" w:name="_Toc24408119"/>
                      <w:r w:rsidRPr="0007326F">
                        <w:rPr>
                          <w:color w:val="FFFFFF" w:themeColor="background1"/>
                          <w:sz w:val="40"/>
                          <w:szCs w:val="40"/>
                        </w:rPr>
                        <w:t>Sabiedrības iesaiste enerģijas ražošanā</w:t>
                      </w:r>
                      <w:bookmarkEnd w:id="554"/>
                      <w:bookmarkEnd w:id="555"/>
                    </w:p>
                  </w:txbxContent>
                </v:textbox>
                <w10:wrap type="square" anchorx="margin"/>
              </v:shape>
            </w:pict>
          </mc:Fallback>
        </mc:AlternateContent>
      </w:r>
      <w:r w:rsidR="00EA0909">
        <w:rPr>
          <w:rFonts w:ascii="Calibri" w:hAnsi="Calibri" w:cs="Times New Roman"/>
          <w:bCs/>
          <w:iCs/>
          <w:szCs w:val="24"/>
        </w:rPr>
        <w:t>5) Sabiedrības informēšana, izglītošana un izpratnes veicināšana (12. rīcības virziens).</w:t>
      </w:r>
    </w:p>
    <w:p w14:paraId="0318DD96" w14:textId="3A2B34F3" w:rsidR="0047533B" w:rsidRPr="00DA4AD4" w:rsidRDefault="0047533B" w:rsidP="00621737">
      <w:pPr>
        <w:spacing w:before="120" w:after="120" w:line="240" w:lineRule="auto"/>
        <w:jc w:val="both"/>
        <w:rPr>
          <w:rFonts w:ascii="Calibri" w:hAnsi="Calibri" w:cs="Times New Roman"/>
          <w:szCs w:val="24"/>
        </w:rPr>
      </w:pPr>
      <w:r w:rsidRPr="00DA4AD4">
        <w:rPr>
          <w:rFonts w:ascii="Calibri" w:hAnsi="Calibri" w:cs="Times New Roman"/>
          <w:b/>
          <w:i/>
          <w:sz w:val="28"/>
          <w:szCs w:val="28"/>
          <w:u w:val="single"/>
        </w:rPr>
        <w:t>Esošā situācija</w:t>
      </w:r>
    </w:p>
    <w:p w14:paraId="6BF9637C" w14:textId="54B01ABC" w:rsidR="0047533B" w:rsidRPr="00DA4AD4" w:rsidRDefault="0047533B" w:rsidP="00621737">
      <w:pPr>
        <w:spacing w:before="120" w:after="120" w:line="240" w:lineRule="auto"/>
        <w:jc w:val="both"/>
      </w:pPr>
      <w:r w:rsidRPr="00DA4AD4">
        <w:t>Sabiedrības iesaisti enerģijas ražošanā līdz šim ir stimulējis pieejamais investīciju atbalsts KPFI programmas ietvaros, NETO sistēma elektroenerģijas ražošanas norēķiniem</w:t>
      </w:r>
      <w:r w:rsidRPr="00DA4AD4">
        <w:rPr>
          <w:rStyle w:val="FootnoteReference"/>
        </w:rPr>
        <w:footnoteReference w:id="164"/>
      </w:r>
      <w:r>
        <w:t xml:space="preserve">, </w:t>
      </w:r>
      <w:r>
        <w:rPr>
          <w:rFonts w:ascii="Calibri" w:hAnsi="Calibri" w:cs="Times New Roman"/>
          <w:szCs w:val="24"/>
        </w:rPr>
        <w:t xml:space="preserve">pēdējos gados pašvaldībām pieejamais EKII finansējums, kā arī </w:t>
      </w:r>
      <w:r w:rsidRPr="00DA4AD4">
        <w:rPr>
          <w:rFonts w:ascii="Calibri" w:hAnsi="Calibri" w:cs="Times New Roman"/>
          <w:szCs w:val="24"/>
        </w:rPr>
        <w:t>dažas AER siltumenerģijas ražošanas iekārtas pašpātēriņam ir uzstādītas daudzdzīvokļu māju siltināšanas programmas ietvaros.</w:t>
      </w:r>
      <w:r w:rsidRPr="00DA4AD4">
        <w:t xml:space="preserve"> </w:t>
      </w:r>
    </w:p>
    <w:p w14:paraId="596A7B64" w14:textId="77777777" w:rsidR="0047533B" w:rsidRDefault="0047533B" w:rsidP="00621737">
      <w:pPr>
        <w:spacing w:before="120" w:after="120" w:line="240" w:lineRule="auto"/>
        <w:jc w:val="both"/>
      </w:pPr>
      <w:r w:rsidRPr="00DA4AD4">
        <w:t>Sabiedrības iesaiste enerģijas ražošanā var veicināt arī Latvijai noteikto mērķu sasniegšanu, tomēr šobrīd šī ietekme ir neliela.</w:t>
      </w:r>
      <w:r>
        <w:t xml:space="preserve"> Tikpat būtiska ir sabiedrības iesaiste, lai veicinātu izpratni par energosistēmas darbību un AER nozīmi klimata mērķu sasniegšanā, kas sekojoši var veicināt izpratni par lielāka mēroga pasākumu ieviešanas nepieciešamību. </w:t>
      </w:r>
    </w:p>
    <w:p w14:paraId="650C9919" w14:textId="77777777" w:rsidR="0047533B" w:rsidRDefault="0047533B" w:rsidP="00621737">
      <w:pPr>
        <w:spacing w:before="120" w:after="120" w:line="240" w:lineRule="auto"/>
        <w:jc w:val="both"/>
      </w:pPr>
      <w:r w:rsidRPr="00DA4AD4">
        <w:t xml:space="preserve">Tāpat, vērtējot nepieciešamību veicināt sabiedrības plašāku iesaisti enerģijas ražošanā, jāņem vērā, ka pašpatērētāju saražotā enerģija aizvieto citus energoresursus.  Piemēram, vērtējot Latvijas elektroapgādei raksturīgos apstākļus, secināms, ka pašpatērētāju saražotā elektroenerģija pamatā aizvietos elektroenerģiju, kas ģenerēta, sadedzinot importēto dabasgāzi. </w:t>
      </w:r>
      <w:r>
        <w:t xml:space="preserve">Kopumā, t.sk., siltumenerģijas ražošanai pašpatēriņam primāri ir veicināma ne-emisiju tehnoloģiju uzstādīšana, kas sniedz arī ieguldījumu gaisa piesārņojuma mazināšanas mērķu sasniegšanai. </w:t>
      </w:r>
    </w:p>
    <w:p w14:paraId="2F5A31E5" w14:textId="77777777" w:rsidR="0047533B" w:rsidRPr="00DA262F" w:rsidRDefault="0047533B" w:rsidP="00621737">
      <w:pPr>
        <w:spacing w:before="120" w:after="120" w:line="240" w:lineRule="auto"/>
        <w:jc w:val="both"/>
      </w:pPr>
      <w:r>
        <w:rPr>
          <w:lang w:eastAsia="lv-LV"/>
        </w:rPr>
        <w:t>Šobrīd l</w:t>
      </w:r>
      <w:r w:rsidRPr="00DA4AD4">
        <w:rPr>
          <w:lang w:eastAsia="lv-LV"/>
        </w:rPr>
        <w:t>ielākā daļa pašpatērētāju</w:t>
      </w:r>
      <w:r w:rsidRPr="00DA4AD4">
        <w:t xml:space="preserve"> elektroenerģijas ražošanai ir uzstādījusi saules paneļus. </w:t>
      </w:r>
      <w:r>
        <w:t>Savukārt starp siltumenerģijas ražošanas ne-emisiju iekārtām populārākie ir dažāda veida siltumsūkņi un saules kolektori.</w:t>
      </w:r>
    </w:p>
    <w:p w14:paraId="3238E18E" w14:textId="77777777" w:rsidR="0047533B" w:rsidRPr="00652FF2" w:rsidRDefault="0047533B" w:rsidP="00621737">
      <w:pPr>
        <w:shd w:val="clear" w:color="auto" w:fill="E7E6E6" w:themeFill="background2"/>
        <w:spacing w:before="120" w:after="120" w:line="240" w:lineRule="auto"/>
        <w:rPr>
          <w:rFonts w:ascii="Calibri" w:hAnsi="Calibri" w:cs="Times New Roman"/>
          <w:b/>
          <w:sz w:val="28"/>
          <w:szCs w:val="28"/>
          <w:u w:val="single"/>
        </w:rPr>
      </w:pPr>
      <w:r w:rsidRPr="00652FF2">
        <w:rPr>
          <w:rFonts w:ascii="Calibri" w:hAnsi="Calibri" w:cs="Times New Roman"/>
          <w:b/>
          <w:sz w:val="28"/>
          <w:szCs w:val="28"/>
          <w:u w:val="single"/>
        </w:rPr>
        <w:t>Vēlamā situācija 2030.gadam:</w:t>
      </w:r>
    </w:p>
    <w:p w14:paraId="4B31C360" w14:textId="77777777" w:rsidR="0047533B" w:rsidRDefault="0047533B" w:rsidP="00621737">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Pr>
          <w:rFonts w:ascii="Calibri" w:hAnsi="Calibri" w:cs="Times New Roman"/>
          <w:i/>
          <w:szCs w:val="24"/>
        </w:rPr>
        <w:t>Iedzīvotāji iesaistās enerģijas ražošanā, lielākā apjomā tiek uzstādītas enerģijas ražošanas iekārtas pašu patēriņam</w:t>
      </w:r>
    </w:p>
    <w:p w14:paraId="4F211BF5" w14:textId="77777777" w:rsidR="0047533B" w:rsidRDefault="0047533B" w:rsidP="00621737">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Pr>
          <w:rFonts w:ascii="Calibri" w:hAnsi="Calibri" w:cs="Times New Roman"/>
          <w:i/>
          <w:szCs w:val="24"/>
        </w:rPr>
        <w:t>Ir veicināta sabiedrības izpratne par atjaunojamās enerģijas nozīmi un energosistēmas darbību</w:t>
      </w:r>
    </w:p>
    <w:p w14:paraId="443A56ED" w14:textId="77777777" w:rsidR="0047533B" w:rsidRPr="00DA262F" w:rsidRDefault="0047533B" w:rsidP="00621737">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Pr>
          <w:rFonts w:ascii="Calibri" w:hAnsi="Calibri" w:cs="Times New Roman"/>
          <w:i/>
          <w:szCs w:val="24"/>
        </w:rPr>
        <w:t>Enerģijas pašražošana un pašpatēriņš ir veicinājis efektīvu enerģijas tirgus un energosistēmas darbību</w:t>
      </w:r>
    </w:p>
    <w:p w14:paraId="0D25A289" w14:textId="77777777" w:rsidR="0047533B" w:rsidRPr="00652FF2" w:rsidRDefault="0047533B" w:rsidP="00621737">
      <w:pPr>
        <w:shd w:val="clear" w:color="auto" w:fill="E7E6E6" w:themeFill="background2"/>
        <w:spacing w:before="120" w:after="120" w:line="240" w:lineRule="auto"/>
        <w:rPr>
          <w:rFonts w:ascii="Calibri" w:hAnsi="Calibri" w:cs="Times New Roman"/>
          <w:b/>
          <w:sz w:val="28"/>
          <w:szCs w:val="28"/>
          <w:u w:val="single"/>
        </w:rPr>
      </w:pPr>
      <w:r w:rsidRPr="00652FF2">
        <w:rPr>
          <w:rFonts w:ascii="Calibri" w:hAnsi="Calibri" w:cs="Times New Roman"/>
          <w:b/>
          <w:sz w:val="28"/>
          <w:szCs w:val="28"/>
          <w:u w:val="single"/>
        </w:rPr>
        <w:t>Ieguvumi sabiedrībai un tautsaimniecībai:</w:t>
      </w:r>
    </w:p>
    <w:p w14:paraId="77D90C7A" w14:textId="77777777" w:rsidR="0047533B" w:rsidRDefault="0047533B" w:rsidP="00621737">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Pr>
          <w:rFonts w:ascii="Calibri" w:hAnsi="Calibri" w:cs="Times New Roman"/>
          <w:i/>
          <w:szCs w:val="24"/>
        </w:rPr>
        <w:t xml:space="preserve">Iedzīvotājiem un uzņēmējiem ir iespējas samazināt savus izdevumus, ražojot enerģiju pašiem </w:t>
      </w:r>
    </w:p>
    <w:p w14:paraId="5CC092B0" w14:textId="77777777" w:rsidR="0047533B" w:rsidRDefault="0047533B" w:rsidP="00621737">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D82999">
        <w:rPr>
          <w:rFonts w:ascii="Calibri" w:hAnsi="Calibri" w:cs="Times New Roman"/>
          <w:i/>
          <w:szCs w:val="24"/>
        </w:rPr>
        <w:t>Attīstoties atjaunojamās enerģijas kopienām, tiek veicināta vides kvalitātes uzlabošana un tiek stimulēta vietējā ekonomika</w:t>
      </w:r>
    </w:p>
    <w:p w14:paraId="62C85934" w14:textId="77777777" w:rsidR="0047533B" w:rsidRPr="00D82999" w:rsidRDefault="0047533B" w:rsidP="00621737">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Pr>
          <w:rFonts w:ascii="Calibri" w:hAnsi="Calibri" w:cs="Times New Roman"/>
          <w:i/>
          <w:szCs w:val="24"/>
        </w:rPr>
        <w:t>Izveidotas papildu darba vietas iekārtu ieviešanas pakalpojumu sniegšanā</w:t>
      </w:r>
    </w:p>
    <w:p w14:paraId="3B1315FA" w14:textId="77777777" w:rsidR="0047533B" w:rsidRPr="00906FB8" w:rsidRDefault="0047533B" w:rsidP="00621737">
      <w:pPr>
        <w:spacing w:before="120" w:after="120" w:line="240" w:lineRule="auto"/>
        <w:jc w:val="both"/>
        <w:rPr>
          <w:rFonts w:ascii="Calibri" w:hAnsi="Calibri" w:cs="Times New Roman"/>
          <w:b/>
          <w:i/>
          <w:sz w:val="28"/>
          <w:szCs w:val="28"/>
          <w:u w:val="single"/>
        </w:rPr>
      </w:pPr>
      <w:r w:rsidRPr="00906FB8">
        <w:rPr>
          <w:rFonts w:ascii="Calibri" w:hAnsi="Calibri" w:cs="Times New Roman"/>
          <w:b/>
          <w:i/>
          <w:sz w:val="28"/>
          <w:szCs w:val="28"/>
          <w:u w:val="single"/>
        </w:rPr>
        <w:t>Galvenie izaicinājumi</w:t>
      </w:r>
    </w:p>
    <w:p w14:paraId="663EFBD9" w14:textId="77777777" w:rsidR="0047533B" w:rsidRDefault="0047533B" w:rsidP="00621737">
      <w:pPr>
        <w:spacing w:before="120" w:after="120" w:line="240" w:lineRule="auto"/>
        <w:jc w:val="both"/>
        <w:rPr>
          <w:rFonts w:ascii="Calibri" w:hAnsi="Calibri" w:cs="Times New Roman"/>
          <w:szCs w:val="24"/>
          <w:u w:val="single"/>
        </w:rPr>
      </w:pPr>
      <w:r w:rsidRPr="00E2491C">
        <w:rPr>
          <w:rFonts w:ascii="Calibri" w:hAnsi="Calibri" w:cs="Times New Roman"/>
          <w:szCs w:val="24"/>
          <w:u w:val="single"/>
        </w:rPr>
        <w:t xml:space="preserve">1) </w:t>
      </w:r>
      <w:r w:rsidRPr="0000044C">
        <w:rPr>
          <w:rFonts w:ascii="Calibri" w:hAnsi="Calibri" w:cs="Times New Roman"/>
          <w:b/>
          <w:bCs/>
          <w:szCs w:val="24"/>
          <w:u w:val="single"/>
        </w:rPr>
        <w:t>zema sabiedrības līdzdalība</w:t>
      </w:r>
      <w:r w:rsidRPr="00263930">
        <w:rPr>
          <w:rFonts w:ascii="Calibri" w:hAnsi="Calibri" w:cs="Times New Roman"/>
          <w:szCs w:val="24"/>
          <w:u w:val="single"/>
        </w:rPr>
        <w:t xml:space="preserve"> enerģijas ražošanā</w:t>
      </w:r>
    </w:p>
    <w:p w14:paraId="1950A07B" w14:textId="77777777" w:rsidR="0047533B" w:rsidRDefault="0047533B" w:rsidP="00621737">
      <w:pPr>
        <w:spacing w:before="120" w:after="120" w:line="240" w:lineRule="auto"/>
        <w:jc w:val="both"/>
      </w:pPr>
      <w:r>
        <w:t>Sabiedrības iesaiste enerģijas ražošanā, izmantojot ne-emisiju tehnoloģijas, kopumā ir vērtējama kā zema un lielākajai daļai potenciālo pašpatērētāju nav pieejami stimulējoši instrumenti vai arī normatīvais regulējums neveicina pašpatēriņa iniciatīvas.</w:t>
      </w:r>
    </w:p>
    <w:p w14:paraId="5D09977A" w14:textId="18CF549B" w:rsidR="0047533B" w:rsidRPr="00DA262F" w:rsidRDefault="0047533B" w:rsidP="00621737">
      <w:pPr>
        <w:spacing w:before="120" w:after="120" w:line="240" w:lineRule="auto"/>
        <w:jc w:val="both"/>
        <w:rPr>
          <w:bCs/>
        </w:rPr>
      </w:pPr>
      <w:r w:rsidRPr="00215745">
        <w:t xml:space="preserve">2019. gada jūnijā Latvijā bija reģistrēti 550 mikroģeneratoru pieslēgumi (līdz 11,1 kW), to kopējā uzstādītā elektriskā jauda bija 3,23 MW, kas ir niecīga </w:t>
      </w:r>
      <w:r w:rsidRPr="00B66A3A">
        <w:t>daļa (~ 0,1%) no</w:t>
      </w:r>
      <w:r w:rsidRPr="00215745">
        <w:t xml:space="preserve"> kopējās Latvijā uzstādītās elektriskās jaudas</w:t>
      </w:r>
      <w:r w:rsidR="00621737">
        <w:rPr>
          <w:rStyle w:val="FootnoteReference"/>
        </w:rPr>
        <w:footnoteReference w:id="165"/>
      </w:r>
      <w:r w:rsidRPr="00215745">
        <w:t xml:space="preserve">. </w:t>
      </w:r>
      <w:r w:rsidRPr="00DA4AD4">
        <w:rPr>
          <w:rFonts w:ascii="Calibri" w:hAnsi="Calibri" w:cs="Times New Roman"/>
          <w:szCs w:val="24"/>
        </w:rPr>
        <w:t xml:space="preserve">NETO sistēma paredz, ka mājsaimniecības, kas ražo elektroenerģiju savām vajadzībām un pārpalikumu nodod tīklā, var izmantot NETO uzskaites sistēmu, ar ko gada ietvaros var uzkrāt elektroenerģijas apjoma vienības un, ņemot elektroenerģiju no tīkla, norēķināties tikai par obligātā iepirkuma, sadales un pārvades komponentēm. </w:t>
      </w:r>
      <w:r>
        <w:t xml:space="preserve">2019.gada vidū </w:t>
      </w:r>
      <w:r w:rsidRPr="00215745">
        <w:t xml:space="preserve">NETO sistēmu izmantoja </w:t>
      </w:r>
      <w:r w:rsidRPr="00215745">
        <w:rPr>
          <w:bCs/>
        </w:rPr>
        <w:t xml:space="preserve">384 mājsaimniecību pašpatērētāji un to kopējā uzstādītā jauda bija 2,12 MW. </w:t>
      </w:r>
      <w:r>
        <w:rPr>
          <w:bCs/>
        </w:rPr>
        <w:t xml:space="preserve">Vienlaikus ir mājsaimniecības un juridiskas personas, kas uzstāda lielākas jaudas iekārtas enerģijas ražošanai pašu vajadzībām, un juridiskām personām pašlaik nav pieejami veicinoši instrumenti. </w:t>
      </w:r>
    </w:p>
    <w:p w14:paraId="5F4B55BC" w14:textId="64ED711C" w:rsidR="0047533B" w:rsidRPr="00DA4AD4" w:rsidRDefault="0047533B" w:rsidP="00621737">
      <w:pPr>
        <w:spacing w:before="120" w:after="120" w:line="240" w:lineRule="auto"/>
        <w:jc w:val="both"/>
      </w:pPr>
      <w:r w:rsidRPr="008C4899">
        <w:rPr>
          <w:bCs/>
        </w:rPr>
        <w:t xml:space="preserve">Analizējot datus par izsniegtajām atļaujām jaunu ražošanas iekārtu ieviešanai, var secināt, ka visblīvākais esošo un potenciālo pašpatērētāju izvietojums ir Rīgā un Rīgas apkārtnē, kā arī tas ir koncentrēts valsts lielākajās pilsētās un to tuvumā – Ventspilī, Liepājā, Rēzeknē, Daugavpilī, kas saistāms ar pašpatērētāju maksātspēju. </w:t>
      </w:r>
      <w:r w:rsidRPr="008C4899">
        <w:t>V</w:t>
      </w:r>
      <w:r>
        <w:t>ienlaikus, v</w:t>
      </w:r>
      <w:r w:rsidRPr="008C4899">
        <w:t>eicinot elektroenerģijas pašpatērētāju skaita pieaugumu, jāņem vērā nepieciešamību</w:t>
      </w:r>
      <w:r>
        <w:t xml:space="preserve"> veicināt pašpatērētāju pielāgošanos elektroenerģijas tirgus signāliem un nodrošināt efektīvu energosistēmas darbību.</w:t>
      </w:r>
    </w:p>
    <w:p w14:paraId="6F8104CF" w14:textId="77777777" w:rsidR="0047533B" w:rsidRPr="008C4899" w:rsidRDefault="0047533B" w:rsidP="00621737">
      <w:pPr>
        <w:spacing w:before="120" w:after="120" w:line="240" w:lineRule="auto"/>
        <w:jc w:val="both"/>
        <w:rPr>
          <w:rFonts w:ascii="Calibri" w:hAnsi="Calibri"/>
          <w:szCs w:val="24"/>
          <w:u w:val="single"/>
        </w:rPr>
      </w:pPr>
      <w:r w:rsidRPr="008C4899">
        <w:rPr>
          <w:rFonts w:ascii="Calibri" w:hAnsi="Calibri"/>
          <w:szCs w:val="24"/>
          <w:u w:val="single"/>
        </w:rPr>
        <w:t xml:space="preserve">2) </w:t>
      </w:r>
      <w:r w:rsidRPr="002D28EC">
        <w:rPr>
          <w:rFonts w:ascii="Calibri" w:hAnsi="Calibri"/>
          <w:b/>
          <w:bCs/>
          <w:szCs w:val="24"/>
          <w:u w:val="single"/>
        </w:rPr>
        <w:t>augstas sākotnējās izmaksas</w:t>
      </w:r>
      <w:r>
        <w:rPr>
          <w:rFonts w:ascii="Calibri" w:hAnsi="Calibri"/>
          <w:szCs w:val="24"/>
          <w:u w:val="single"/>
        </w:rPr>
        <w:t xml:space="preserve"> un </w:t>
      </w:r>
      <w:r w:rsidRPr="0000044C">
        <w:rPr>
          <w:rFonts w:ascii="Calibri" w:hAnsi="Calibri"/>
          <w:b/>
          <w:bCs/>
          <w:szCs w:val="24"/>
          <w:u w:val="single"/>
        </w:rPr>
        <w:t>ilgs atmaksāšanās periods</w:t>
      </w:r>
      <w:r w:rsidRPr="008C4899">
        <w:rPr>
          <w:rFonts w:ascii="Calibri" w:hAnsi="Calibri"/>
          <w:szCs w:val="24"/>
          <w:u w:val="single"/>
        </w:rPr>
        <w:t>, ražojot enerģiju pašpatēriņam</w:t>
      </w:r>
    </w:p>
    <w:p w14:paraId="43A26C37" w14:textId="77777777" w:rsidR="0047533B" w:rsidRDefault="0047533B" w:rsidP="00621737">
      <w:pPr>
        <w:spacing w:before="120" w:after="120" w:line="240" w:lineRule="auto"/>
        <w:jc w:val="both"/>
      </w:pPr>
      <w:r w:rsidRPr="008C4899">
        <w:t>Pašpatēriņam piemērotu enerģijas ražotāju iekārtu izmaksas pēdējos gados ir samazinājušās un kļuvušas patērētājiem pieejamākas. Tāpat attīstās elektroenerģijas tirgotāju piedāvājumi, kas ietver saules paneļu uzstādīšanu un nosacījumus norēķiniem par tīklā nodoto elektroenerģiju, kas kopumā liecina par iedzīvotāju interesi ražot elektroenerģiju pašiem.</w:t>
      </w:r>
    </w:p>
    <w:p w14:paraId="24E658D1" w14:textId="52C18FAC" w:rsidR="0047533B" w:rsidRPr="00DA262F" w:rsidRDefault="0047533B" w:rsidP="00621737">
      <w:pPr>
        <w:spacing w:before="120" w:after="120" w:line="240" w:lineRule="auto"/>
        <w:jc w:val="both"/>
      </w:pPr>
      <w:r>
        <w:t>Tomēr, ņemot vērā iekārtu izmaksas attiecībā pret kopējo elektroenerģijas cenu, iekārtu atmaksāšanas periods vēl arvien ir salīdzinoši ilgs. Rīgas Tehniskās universitātes 2017.gada pētījumā 5,5 kW saules panelim mājsaimniecībā, kas izmanto NETO sistēmu, atmaksāšanās periods tika novērtēts pat līdz 26 gadiem. Tomēr to iespējams samazināt, informējot pašpatērētājus par optimālām uzstādāmajām jaudām, izstrādājot alternatīvus risinājumus pašreizējai NETO sistēmai, kā arī OIK izmaksu mazināšanai pašpatērētājiem. Arī ne-emisiju risinājumu ieviešanai siltumenerģijas ražošanā nav sagaidāms būtisks pieaugums bez papildu finansiāliem stimuliem. Tāpat pašpatērētājiem jābūt iespējai darboties kopīgi vai kopienu ietvaros, tādējādi arī veicinot enerģijas izmaksu efektīvu ražošanu.</w:t>
      </w:r>
    </w:p>
    <w:p w14:paraId="3742D532" w14:textId="77777777" w:rsidR="0047533B" w:rsidRPr="00E2491C" w:rsidRDefault="0047533B" w:rsidP="00621737">
      <w:pPr>
        <w:shd w:val="clear" w:color="auto" w:fill="E7E6E6" w:themeFill="background2"/>
        <w:spacing w:before="120" w:after="120" w:line="240" w:lineRule="auto"/>
        <w:rPr>
          <w:rFonts w:ascii="Calibri" w:hAnsi="Calibri" w:cs="Times New Roman"/>
          <w:b/>
          <w:i/>
          <w:iCs/>
          <w:szCs w:val="24"/>
        </w:rPr>
      </w:pPr>
      <w:r w:rsidRPr="00E2491C">
        <w:rPr>
          <w:rFonts w:ascii="Calibri" w:hAnsi="Calibri" w:cs="Times New Roman"/>
          <w:b/>
          <w:i/>
          <w:iCs/>
          <w:sz w:val="28"/>
          <w:szCs w:val="28"/>
        </w:rPr>
        <w:t xml:space="preserve">Galvenais rīcības virziens </w:t>
      </w:r>
    </w:p>
    <w:p w14:paraId="19F9BB07" w14:textId="77777777" w:rsidR="0047533B" w:rsidRPr="00E2491C" w:rsidRDefault="0047533B" w:rsidP="00621737">
      <w:pPr>
        <w:shd w:val="clear" w:color="auto" w:fill="E7E6E6" w:themeFill="background2"/>
        <w:spacing w:before="120" w:after="120" w:line="240" w:lineRule="auto"/>
        <w:jc w:val="both"/>
        <w:rPr>
          <w:rFonts w:ascii="Calibri" w:hAnsi="Calibri" w:cs="Times New Roman"/>
          <w:b/>
          <w:szCs w:val="24"/>
          <w:u w:val="single"/>
        </w:rPr>
      </w:pPr>
      <w:bookmarkStart w:id="540" w:name="_Hlk21593205"/>
      <w:r>
        <w:rPr>
          <w:rFonts w:cstheme="minorHAnsi"/>
          <w:b/>
        </w:rPr>
        <w:t>Ekonomiski pamatotas e</w:t>
      </w:r>
      <w:r w:rsidRPr="005E0800">
        <w:rPr>
          <w:rFonts w:cstheme="minorHAnsi"/>
          <w:b/>
        </w:rPr>
        <w:t xml:space="preserve">nerģijas </w:t>
      </w:r>
      <w:bookmarkEnd w:id="540"/>
      <w:r w:rsidRPr="005E0800">
        <w:rPr>
          <w:rFonts w:cstheme="minorHAnsi"/>
          <w:b/>
        </w:rPr>
        <w:t>pašražošanas</w:t>
      </w:r>
      <w:r>
        <w:rPr>
          <w:rFonts w:cstheme="minorHAnsi"/>
          <w:b/>
        </w:rPr>
        <w:t xml:space="preserve">, </w:t>
      </w:r>
      <w:r w:rsidRPr="005E0800">
        <w:rPr>
          <w:rFonts w:cstheme="minorHAnsi"/>
          <w:b/>
        </w:rPr>
        <w:t xml:space="preserve">pašpatēriņa </w:t>
      </w:r>
      <w:r>
        <w:rPr>
          <w:rFonts w:cstheme="minorHAnsi"/>
          <w:b/>
        </w:rPr>
        <w:t xml:space="preserve">un atjaunojamās enerģijas kopienu </w:t>
      </w:r>
      <w:r w:rsidRPr="005E0800">
        <w:rPr>
          <w:rFonts w:cstheme="minorHAnsi"/>
          <w:b/>
        </w:rPr>
        <w:t>veicināšana</w:t>
      </w:r>
      <w:r w:rsidRPr="00E2491C">
        <w:rPr>
          <w:rFonts w:ascii="Calibri" w:hAnsi="Calibri" w:cs="Times New Roman"/>
          <w:b/>
          <w:i/>
          <w:iCs/>
          <w:szCs w:val="24"/>
        </w:rPr>
        <w:t xml:space="preserve"> (</w:t>
      </w:r>
      <w:r>
        <w:rPr>
          <w:rFonts w:ascii="Calibri" w:hAnsi="Calibri" w:cs="Times New Roman"/>
          <w:b/>
          <w:i/>
          <w:iCs/>
          <w:szCs w:val="24"/>
        </w:rPr>
        <w:t>4</w:t>
      </w:r>
      <w:r w:rsidRPr="00E2491C">
        <w:rPr>
          <w:rFonts w:ascii="Calibri" w:hAnsi="Calibri" w:cs="Times New Roman"/>
          <w:b/>
          <w:i/>
          <w:iCs/>
          <w:szCs w:val="24"/>
        </w:rPr>
        <w:t>. rīcības virziens)</w:t>
      </w:r>
    </w:p>
    <w:p w14:paraId="51761618" w14:textId="77777777" w:rsidR="0047533B" w:rsidRPr="00906FB8" w:rsidRDefault="0047533B" w:rsidP="00621737">
      <w:pPr>
        <w:spacing w:before="120" w:after="120" w:line="240" w:lineRule="auto"/>
        <w:jc w:val="both"/>
        <w:rPr>
          <w:rFonts w:ascii="Calibri" w:hAnsi="Calibri" w:cs="Times New Roman"/>
          <w:b/>
          <w:i/>
          <w:sz w:val="28"/>
          <w:szCs w:val="28"/>
          <w:u w:val="single"/>
        </w:rPr>
      </w:pPr>
      <w:r w:rsidRPr="00906FB8">
        <w:rPr>
          <w:rFonts w:ascii="Calibri" w:hAnsi="Calibri" w:cs="Times New Roman"/>
          <w:b/>
          <w:i/>
          <w:sz w:val="28"/>
          <w:szCs w:val="28"/>
          <w:u w:val="single"/>
        </w:rPr>
        <w:t>Galvenās rīcības un pasākumi</w:t>
      </w:r>
    </w:p>
    <w:p w14:paraId="3A3A767A" w14:textId="77777777" w:rsidR="0047533B" w:rsidRPr="00263930" w:rsidRDefault="0047533B" w:rsidP="00621737">
      <w:pPr>
        <w:spacing w:before="120" w:after="120" w:line="240" w:lineRule="auto"/>
        <w:jc w:val="both"/>
        <w:rPr>
          <w:rFonts w:ascii="Calibri" w:hAnsi="Calibri" w:cs="Times New Roman"/>
          <w:szCs w:val="24"/>
          <w:u w:val="single"/>
        </w:rPr>
      </w:pPr>
      <w:r>
        <w:rPr>
          <w:rFonts w:ascii="Calibri" w:hAnsi="Calibri" w:cs="Times New Roman"/>
          <w:b/>
          <w:bCs/>
          <w:szCs w:val="24"/>
          <w:u w:val="single"/>
        </w:rPr>
        <w:t xml:space="preserve">1) </w:t>
      </w:r>
      <w:r w:rsidRPr="00263930">
        <w:rPr>
          <w:rFonts w:ascii="Calibri" w:hAnsi="Calibri" w:cs="Times New Roman"/>
          <w:b/>
          <w:bCs/>
          <w:szCs w:val="24"/>
          <w:u w:val="single"/>
        </w:rPr>
        <w:t>paplašināt personu loku</w:t>
      </w:r>
      <w:r w:rsidRPr="00263930">
        <w:rPr>
          <w:rFonts w:ascii="Calibri" w:hAnsi="Calibri" w:cs="Times New Roman"/>
          <w:szCs w:val="24"/>
          <w:u w:val="single"/>
        </w:rPr>
        <w:t xml:space="preserve">, kas </w:t>
      </w:r>
      <w:r>
        <w:rPr>
          <w:rFonts w:ascii="Calibri" w:hAnsi="Calibri" w:cs="Times New Roman"/>
          <w:szCs w:val="24"/>
          <w:u w:val="single"/>
        </w:rPr>
        <w:t xml:space="preserve">iesaistās elektroenerģijas </w:t>
      </w:r>
      <w:r w:rsidRPr="0018780C">
        <w:rPr>
          <w:rFonts w:ascii="Calibri" w:hAnsi="Calibri" w:cs="Times New Roman"/>
          <w:szCs w:val="24"/>
          <w:u w:val="single"/>
        </w:rPr>
        <w:t>ražošanā  (1.</w:t>
      </w:r>
      <w:r>
        <w:rPr>
          <w:rFonts w:ascii="Calibri" w:hAnsi="Calibri" w:cs="Times New Roman"/>
          <w:szCs w:val="24"/>
          <w:u w:val="single"/>
        </w:rPr>
        <w:t>3., 4.1., 4.2., 4.3., 4.4., H.7.)</w:t>
      </w:r>
    </w:p>
    <w:p w14:paraId="6FE00567" w14:textId="3237CDCE" w:rsidR="0047533B" w:rsidRPr="00195A67" w:rsidRDefault="0047533B" w:rsidP="00621737">
      <w:pPr>
        <w:spacing w:before="120" w:after="120" w:line="240" w:lineRule="auto"/>
        <w:jc w:val="both"/>
        <w:rPr>
          <w:rFonts w:ascii="Calibri" w:hAnsi="Calibri" w:cs="Times New Roman"/>
          <w:szCs w:val="24"/>
        </w:rPr>
      </w:pPr>
      <w:r>
        <w:rPr>
          <w:rFonts w:ascii="Calibri" w:hAnsi="Calibri" w:cs="Times New Roman"/>
          <w:szCs w:val="24"/>
        </w:rPr>
        <w:t xml:space="preserve">Lai </w:t>
      </w:r>
      <w:r w:rsidRPr="00690076">
        <w:rPr>
          <w:rFonts w:ascii="Calibri" w:hAnsi="Calibri" w:cs="Times New Roman"/>
          <w:szCs w:val="24"/>
        </w:rPr>
        <w:t>paplašināt personu loku, kas iesaistās elektroenerģijas ražošanā</w:t>
      </w:r>
      <w:r>
        <w:rPr>
          <w:rFonts w:ascii="Calibri" w:hAnsi="Calibri" w:cs="Times New Roman"/>
          <w:szCs w:val="24"/>
        </w:rPr>
        <w:t xml:space="preserve">, būtiski ir nodrošināt atbilstošu normatīvā regulējuma ietvaru, kas šādas iniciatīvas veicina. Tā, piemēram, izvērtējams, vai </w:t>
      </w:r>
      <w:r w:rsidR="003E5124">
        <w:rPr>
          <w:rFonts w:ascii="Calibri" w:hAnsi="Calibri" w:cs="Times New Roman"/>
          <w:szCs w:val="24"/>
        </w:rPr>
        <w:t xml:space="preserve">neto </w:t>
      </w:r>
      <w:r>
        <w:rPr>
          <w:rFonts w:ascii="Calibri" w:hAnsi="Calibri" w:cs="Times New Roman"/>
          <w:szCs w:val="24"/>
        </w:rPr>
        <w:t>sistēmu varētu piemērot arī juridiskām personām</w:t>
      </w:r>
      <w:r w:rsidR="00D13531">
        <w:rPr>
          <w:rFonts w:ascii="Calibri" w:hAnsi="Calibri" w:cs="Times New Roman"/>
          <w:szCs w:val="24"/>
        </w:rPr>
        <w:t>,</w:t>
      </w:r>
      <w:r w:rsidR="00D13531" w:rsidRPr="00D13531">
        <w:t xml:space="preserve"> </w:t>
      </w:r>
      <w:r w:rsidR="00D13531" w:rsidRPr="00D13531">
        <w:rPr>
          <w:rFonts w:ascii="Calibri" w:hAnsi="Calibri" w:cs="Times New Roman"/>
          <w:szCs w:val="24"/>
        </w:rPr>
        <w:t>ņemot vērā pieslēguma nodrošināšanas izmaksas / izmaksas par infrastruktūras lietošanu</w:t>
      </w:r>
      <w:r>
        <w:rPr>
          <w:rFonts w:ascii="Calibri" w:hAnsi="Calibri" w:cs="Times New Roman"/>
          <w:szCs w:val="24"/>
        </w:rPr>
        <w:t xml:space="preserve">. Tāpat atbilstoši ES regulējumam izstrādājami nosacījumi, lai atvieglotu procedūras pašpatērētājiem darbojoties kopīgi (piem., daudzdzīvokļu mājas iedzīvotāji), kā arī nepieciešams izstrādāt regulējumu AE kopienām. </w:t>
      </w:r>
      <w:r>
        <w:rPr>
          <w:rFonts w:cstheme="minorHAnsi"/>
          <w:color w:val="000000"/>
          <w:shd w:val="clear" w:color="auto" w:fill="FFFFFF"/>
        </w:rPr>
        <w:t>Sekojoši, i</w:t>
      </w:r>
      <w:r w:rsidRPr="00195A67">
        <w:rPr>
          <w:rFonts w:cstheme="minorHAnsi"/>
          <w:color w:val="000000"/>
          <w:shd w:val="clear" w:color="auto" w:fill="FFFFFF"/>
        </w:rPr>
        <w:t>zstrādā</w:t>
      </w:r>
      <w:r>
        <w:rPr>
          <w:rFonts w:cstheme="minorHAnsi"/>
          <w:color w:val="000000"/>
          <w:shd w:val="clear" w:color="auto" w:fill="FFFFFF"/>
        </w:rPr>
        <w:t>jot dažādus atbalsta pasākumus, izvērtējams un kur atbilstoši, starp atbalsta saņēmējiem iekļaujamas arī</w:t>
      </w:r>
      <w:r w:rsidRPr="00195A67">
        <w:rPr>
          <w:rFonts w:cstheme="minorHAnsi"/>
          <w:color w:val="000000"/>
          <w:shd w:val="clear" w:color="auto" w:fill="FFFFFF"/>
        </w:rPr>
        <w:t xml:space="preserve"> AE kopien</w:t>
      </w:r>
      <w:r>
        <w:rPr>
          <w:rFonts w:cstheme="minorHAnsi"/>
          <w:color w:val="000000"/>
          <w:shd w:val="clear" w:color="auto" w:fill="FFFFFF"/>
        </w:rPr>
        <w:t>as.</w:t>
      </w:r>
    </w:p>
    <w:p w14:paraId="003C2D85" w14:textId="77777777" w:rsidR="0047533B" w:rsidRDefault="0047533B" w:rsidP="00621737">
      <w:pPr>
        <w:spacing w:before="120" w:after="120" w:line="240" w:lineRule="auto"/>
        <w:jc w:val="both"/>
        <w:rPr>
          <w:rFonts w:cs="Times New Roman"/>
          <w:szCs w:val="24"/>
        </w:rPr>
      </w:pPr>
      <w:r>
        <w:rPr>
          <w:rFonts w:ascii="Calibri" w:hAnsi="Calibri" w:cs="Times New Roman"/>
          <w:szCs w:val="24"/>
        </w:rPr>
        <w:t xml:space="preserve">Tāpat būtu jāveicina enerģijas ražošana savām vajadzībām publiskajā sektorā. Viens no identificētajiem šķēršļiem lielākai pašvaldību iesaistei elektroenerģijas pašražošanā ir pieredzes trūkums publisko iepirkumu organizēšanai šādu tehnoloģiju un pakalpojumu iegādei, </w:t>
      </w:r>
      <w:r w:rsidRPr="001C5ABB">
        <w:rPr>
          <w:rFonts w:cs="Times New Roman"/>
          <w:szCs w:val="24"/>
        </w:rPr>
        <w:t>vienlaikus elektroenerģijas ražošanas iekārtu piegādātā</w:t>
      </w:r>
      <w:r>
        <w:rPr>
          <w:rFonts w:cs="Times New Roman"/>
          <w:szCs w:val="24"/>
        </w:rPr>
        <w:t xml:space="preserve">. </w:t>
      </w:r>
      <w:r w:rsidRPr="001C5ABB">
        <w:rPr>
          <w:rFonts w:cs="Times New Roman"/>
          <w:szCs w:val="24"/>
        </w:rPr>
        <w:t>Tāpēc lietderīgi būtu izstrādāt vadlīnijas publiskajiem iepirkumiem elektroenerģijas ražošanas iekārtu uzstādīšanai un izvērtēt nepieciešamību izstrādāt</w:t>
      </w:r>
      <w:r>
        <w:rPr>
          <w:rFonts w:cs="Times New Roman"/>
          <w:szCs w:val="24"/>
        </w:rPr>
        <w:t xml:space="preserve"> atbilstošus</w:t>
      </w:r>
      <w:r w:rsidRPr="001C5ABB">
        <w:rPr>
          <w:rFonts w:cs="Times New Roman"/>
          <w:szCs w:val="24"/>
        </w:rPr>
        <w:t xml:space="preserve"> Zaļā publiskā iepirkuma nosacījumus</w:t>
      </w:r>
      <w:r>
        <w:rPr>
          <w:rFonts w:cs="Times New Roman"/>
          <w:szCs w:val="24"/>
        </w:rPr>
        <w:t>.</w:t>
      </w:r>
    </w:p>
    <w:p w14:paraId="1FAAE66A" w14:textId="77777777" w:rsidR="0047533B" w:rsidRPr="00195A67" w:rsidRDefault="0047533B" w:rsidP="00621737">
      <w:pPr>
        <w:spacing w:before="120" w:after="120" w:line="240" w:lineRule="auto"/>
        <w:jc w:val="both"/>
        <w:rPr>
          <w:rFonts w:ascii="Calibri" w:hAnsi="Calibri" w:cs="Times New Roman"/>
          <w:szCs w:val="24"/>
        </w:rPr>
      </w:pPr>
      <w:r>
        <w:rPr>
          <w:rFonts w:cs="Times New Roman"/>
          <w:szCs w:val="24"/>
        </w:rPr>
        <w:t xml:space="preserve">Svarīgi arī veicināt </w:t>
      </w:r>
      <w:r w:rsidRPr="00195A67">
        <w:rPr>
          <w:rFonts w:cs="Times New Roman"/>
          <w:szCs w:val="24"/>
        </w:rPr>
        <w:t xml:space="preserve">atjaunojamās enerģijas ražošanu savām vajadzībām lauku reģionos. Tāpēc primāri būtu jāveicina </w:t>
      </w:r>
      <w:r w:rsidRPr="00195A67">
        <w:rPr>
          <w:rFonts w:ascii="Calibri" w:hAnsi="Calibri" w:cs="Times New Roman"/>
          <w:szCs w:val="24"/>
        </w:rPr>
        <w:t>finansējuma piesaiste ne-emisiju tehnoloģiju, tostarp akumulācijas iekārtu, uzstādīšanai lauku saimniecībās, tādējādi arī sniedzot lauksaimniekiem iespējas samazināt ar enerģijas izmaksām saistītos izdevumus.</w:t>
      </w:r>
    </w:p>
    <w:p w14:paraId="57DFE163" w14:textId="229FE401" w:rsidR="0047533B" w:rsidRPr="00263930" w:rsidRDefault="0047533B" w:rsidP="00621737">
      <w:pPr>
        <w:spacing w:before="120" w:after="120" w:line="240" w:lineRule="auto"/>
        <w:jc w:val="both"/>
        <w:rPr>
          <w:rFonts w:ascii="Calibri" w:hAnsi="Calibri" w:cs="Times New Roman"/>
          <w:szCs w:val="24"/>
          <w:u w:val="single"/>
        </w:rPr>
      </w:pPr>
      <w:r>
        <w:rPr>
          <w:rFonts w:ascii="Calibri" w:hAnsi="Calibri" w:cs="Times New Roman"/>
          <w:szCs w:val="24"/>
          <w:u w:val="single"/>
        </w:rPr>
        <w:t xml:space="preserve">2) </w:t>
      </w:r>
      <w:r w:rsidRPr="00263930">
        <w:rPr>
          <w:rFonts w:ascii="Calibri" w:hAnsi="Calibri" w:cs="Times New Roman"/>
          <w:szCs w:val="24"/>
          <w:u w:val="single"/>
        </w:rPr>
        <w:t xml:space="preserve">radīt </w:t>
      </w:r>
      <w:r w:rsidRPr="00263930">
        <w:rPr>
          <w:rFonts w:ascii="Calibri" w:hAnsi="Calibri" w:cs="Times New Roman"/>
          <w:b/>
          <w:bCs/>
          <w:szCs w:val="24"/>
          <w:u w:val="single"/>
        </w:rPr>
        <w:t xml:space="preserve">labvēlīgākus nosacījumus </w:t>
      </w:r>
      <w:r w:rsidRPr="001C5ABB">
        <w:rPr>
          <w:rFonts w:ascii="Calibri" w:hAnsi="Calibri" w:cs="Times New Roman"/>
          <w:szCs w:val="24"/>
          <w:u w:val="single"/>
        </w:rPr>
        <w:t>e</w:t>
      </w:r>
      <w:r>
        <w:rPr>
          <w:rFonts w:ascii="Calibri" w:hAnsi="Calibri" w:cs="Times New Roman"/>
          <w:szCs w:val="24"/>
          <w:u w:val="single"/>
        </w:rPr>
        <w:t>ne</w:t>
      </w:r>
      <w:r w:rsidRPr="001C5ABB">
        <w:rPr>
          <w:rFonts w:ascii="Calibri" w:hAnsi="Calibri" w:cs="Times New Roman"/>
          <w:szCs w:val="24"/>
          <w:u w:val="single"/>
        </w:rPr>
        <w:t>rģijas ražošanai savām vajadzībām</w:t>
      </w:r>
      <w:r>
        <w:rPr>
          <w:rFonts w:ascii="Calibri" w:hAnsi="Calibri" w:cs="Times New Roman"/>
          <w:szCs w:val="24"/>
          <w:u w:val="single"/>
        </w:rPr>
        <w:t xml:space="preserve"> (1.2., 1.3., 1.5., 2.3., 4.1., 4.2., 11.1.pasākums</w:t>
      </w:r>
      <w:r w:rsidR="00621737">
        <w:rPr>
          <w:rFonts w:ascii="Calibri" w:hAnsi="Calibri" w:cs="Times New Roman"/>
          <w:szCs w:val="24"/>
          <w:u w:val="single"/>
        </w:rPr>
        <w:t>)</w:t>
      </w:r>
    </w:p>
    <w:p w14:paraId="36A031F1" w14:textId="11AB45DA" w:rsidR="0047533B" w:rsidRPr="00195A67" w:rsidRDefault="0047533B" w:rsidP="00621737">
      <w:pPr>
        <w:spacing w:before="120" w:after="120" w:line="240" w:lineRule="auto"/>
        <w:jc w:val="both"/>
        <w:rPr>
          <w:rFonts w:ascii="Calibri" w:hAnsi="Calibri" w:cs="Times New Roman"/>
          <w:szCs w:val="24"/>
        </w:rPr>
      </w:pPr>
      <w:r>
        <w:rPr>
          <w:rFonts w:ascii="Calibri" w:hAnsi="Calibri" w:cs="Times New Roman"/>
          <w:szCs w:val="24"/>
        </w:rPr>
        <w:t>L</w:t>
      </w:r>
      <w:r w:rsidRPr="001C5ABB">
        <w:rPr>
          <w:rFonts w:ascii="Calibri" w:hAnsi="Calibri" w:cs="Times New Roman"/>
          <w:szCs w:val="24"/>
        </w:rPr>
        <w:t>ai veicinātu</w:t>
      </w:r>
      <w:r>
        <w:rPr>
          <w:rFonts w:ascii="Calibri" w:hAnsi="Calibri" w:cs="Times New Roman"/>
          <w:szCs w:val="24"/>
        </w:rPr>
        <w:t xml:space="preserve"> iedzīvotāju</w:t>
      </w:r>
      <w:r w:rsidRPr="001C5ABB">
        <w:rPr>
          <w:rFonts w:ascii="Calibri" w:hAnsi="Calibri" w:cs="Times New Roman"/>
          <w:szCs w:val="24"/>
        </w:rPr>
        <w:t xml:space="preserve"> interesi par elektroenerģijas ražošanu savām vajadzībām, </w:t>
      </w:r>
      <w:r>
        <w:rPr>
          <w:rFonts w:ascii="Calibri" w:hAnsi="Calibri" w:cs="Times New Roman"/>
          <w:szCs w:val="24"/>
        </w:rPr>
        <w:t xml:space="preserve">esošo </w:t>
      </w:r>
      <w:r w:rsidR="003E5124">
        <w:rPr>
          <w:rFonts w:ascii="Calibri" w:hAnsi="Calibri" w:cs="Times New Roman"/>
          <w:szCs w:val="24"/>
        </w:rPr>
        <w:t>neto</w:t>
      </w:r>
      <w:r>
        <w:rPr>
          <w:rFonts w:ascii="Calibri" w:hAnsi="Calibri" w:cs="Times New Roman"/>
          <w:szCs w:val="24"/>
        </w:rPr>
        <w:t xml:space="preserve"> </w:t>
      </w:r>
      <w:r w:rsidRPr="001C5ABB">
        <w:rPr>
          <w:rFonts w:ascii="Calibri" w:hAnsi="Calibri" w:cs="Times New Roman"/>
          <w:szCs w:val="24"/>
        </w:rPr>
        <w:t>sistēmu iespējams pilnveidot.</w:t>
      </w:r>
      <w:r>
        <w:rPr>
          <w:rFonts w:ascii="Calibri" w:hAnsi="Calibri" w:cs="Times New Roman"/>
          <w:szCs w:val="24"/>
        </w:rPr>
        <w:t xml:space="preserve"> Būtu jā</w:t>
      </w:r>
      <w:r w:rsidRPr="00263930">
        <w:rPr>
          <w:rFonts w:ascii="Calibri" w:hAnsi="Calibri" w:cs="Times New Roman"/>
          <w:szCs w:val="24"/>
        </w:rPr>
        <w:t>izvērtē</w:t>
      </w:r>
      <w:r>
        <w:rPr>
          <w:rFonts w:ascii="Calibri" w:hAnsi="Calibri" w:cs="Times New Roman"/>
          <w:szCs w:val="24"/>
        </w:rPr>
        <w:t>, kā iespējams veikt</w:t>
      </w:r>
      <w:r w:rsidRPr="00263930">
        <w:rPr>
          <w:rFonts w:ascii="Calibri" w:hAnsi="Calibri" w:cs="Times New Roman"/>
          <w:szCs w:val="24"/>
        </w:rPr>
        <w:t xml:space="preserve"> </w:t>
      </w:r>
      <w:r w:rsidR="003E5124">
        <w:rPr>
          <w:rFonts w:ascii="Calibri" w:hAnsi="Calibri" w:cs="Times New Roman"/>
          <w:szCs w:val="24"/>
        </w:rPr>
        <w:t>neto</w:t>
      </w:r>
      <w:r w:rsidRPr="00263930">
        <w:rPr>
          <w:rFonts w:ascii="Calibri" w:hAnsi="Calibri" w:cs="Times New Roman"/>
          <w:szCs w:val="24"/>
        </w:rPr>
        <w:t xml:space="preserve"> uzskaites sistēmas pārveid</w:t>
      </w:r>
      <w:r>
        <w:rPr>
          <w:rFonts w:ascii="Calibri" w:hAnsi="Calibri" w:cs="Times New Roman"/>
          <w:szCs w:val="24"/>
        </w:rPr>
        <w:t xml:space="preserve">i vai alternatīvas </w:t>
      </w:r>
      <w:r w:rsidR="003E5124">
        <w:rPr>
          <w:rFonts w:ascii="Calibri" w:hAnsi="Calibri" w:cs="Times New Roman"/>
          <w:szCs w:val="24"/>
        </w:rPr>
        <w:t>n</w:t>
      </w:r>
      <w:r>
        <w:rPr>
          <w:rFonts w:ascii="Calibri" w:hAnsi="Calibri" w:cs="Times New Roman"/>
          <w:szCs w:val="24"/>
        </w:rPr>
        <w:t>eto norēķinu sistēmas izveidi, kā ietvaros tiktu uzkrāta tīklā nodotās elektroenerģijas vērtība</w:t>
      </w:r>
      <w:r w:rsidRPr="00263930">
        <w:rPr>
          <w:rFonts w:ascii="Calibri" w:hAnsi="Calibri" w:cs="Times New Roman"/>
          <w:szCs w:val="24"/>
        </w:rPr>
        <w:t>, ņemot vērā elektroenerģijas ikstundas cenu</w:t>
      </w:r>
      <w:r>
        <w:rPr>
          <w:rFonts w:ascii="Calibri" w:hAnsi="Calibri" w:cs="Times New Roman"/>
          <w:szCs w:val="24"/>
        </w:rPr>
        <w:t xml:space="preserve">. </w:t>
      </w:r>
    </w:p>
    <w:p w14:paraId="3186AF62" w14:textId="02796C82" w:rsidR="0047533B" w:rsidRDefault="0047533B" w:rsidP="00621737">
      <w:pPr>
        <w:spacing w:before="120" w:after="120" w:line="240" w:lineRule="auto"/>
        <w:jc w:val="both"/>
        <w:rPr>
          <w:rFonts w:ascii="Calibri" w:hAnsi="Calibri" w:cs="Times New Roman"/>
          <w:szCs w:val="24"/>
        </w:rPr>
      </w:pPr>
      <w:r>
        <w:rPr>
          <w:rFonts w:ascii="Calibri" w:hAnsi="Calibri" w:cs="Times New Roman"/>
          <w:szCs w:val="24"/>
        </w:rPr>
        <w:t xml:space="preserve">Ņemot vērā pašpatērētāju ieguldījumu AER izmantošanas veicināšanā, nepieciešams arī izvērtēt </w:t>
      </w:r>
      <w:r>
        <w:rPr>
          <w:rFonts w:cstheme="minorHAnsi"/>
        </w:rPr>
        <w:t>iespēju pilnīgai OIK atcelšanai uzkrātajai un no tīkla atpakaļ saņemtajai elektroenerģijai.</w:t>
      </w:r>
      <w:r w:rsidR="003E5124">
        <w:rPr>
          <w:rFonts w:cstheme="minorHAnsi"/>
        </w:rPr>
        <w:t xml:space="preserve"> </w:t>
      </w:r>
      <w:r>
        <w:rPr>
          <w:rFonts w:ascii="Calibri" w:hAnsi="Calibri" w:cs="Times New Roman"/>
          <w:szCs w:val="24"/>
        </w:rPr>
        <w:t xml:space="preserve">Izvērtējama ir iespēja paplašināt </w:t>
      </w:r>
      <w:r w:rsidR="003E5124">
        <w:rPr>
          <w:rFonts w:ascii="Calibri" w:hAnsi="Calibri" w:cs="Times New Roman"/>
          <w:szCs w:val="24"/>
        </w:rPr>
        <w:t>n</w:t>
      </w:r>
      <w:r>
        <w:rPr>
          <w:rFonts w:ascii="Calibri" w:hAnsi="Calibri" w:cs="Times New Roman"/>
          <w:szCs w:val="24"/>
        </w:rPr>
        <w:t>eto sistēmu, iekļaujot tajā viena elektroenerģijas lietotāju vairākus objektus, tādējādi nodrošinot, ka vienā objektā saražotā un tīklā nodotā elektroenerģija var tikt virtuāli izmantota citā objektā. L</w:t>
      </w:r>
      <w:r w:rsidRPr="003868E8">
        <w:rPr>
          <w:rFonts w:ascii="Calibri" w:hAnsi="Calibri" w:cs="Times New Roman"/>
          <w:szCs w:val="24"/>
        </w:rPr>
        <w:t xml:space="preserve">ai pilnvērtīgi nodrošinātu </w:t>
      </w:r>
      <w:r>
        <w:rPr>
          <w:rFonts w:ascii="Calibri" w:hAnsi="Calibri" w:cs="Times New Roman"/>
          <w:szCs w:val="24"/>
        </w:rPr>
        <w:t>elektroenerģijas</w:t>
      </w:r>
      <w:r w:rsidRPr="003868E8">
        <w:rPr>
          <w:rFonts w:ascii="Calibri" w:hAnsi="Calibri" w:cs="Times New Roman"/>
          <w:szCs w:val="24"/>
        </w:rPr>
        <w:t xml:space="preserve"> pašpatērētāju tiesības pārdot saražotās elektroenerģijas pārpalikumu,</w:t>
      </w:r>
      <w:r>
        <w:rPr>
          <w:rFonts w:ascii="Calibri" w:hAnsi="Calibri" w:cs="Times New Roman"/>
          <w:szCs w:val="24"/>
        </w:rPr>
        <w:t xml:space="preserve"> nepieciešams izstrādāt </w:t>
      </w:r>
      <w:r w:rsidR="003E5124">
        <w:rPr>
          <w:rFonts w:ascii="Calibri" w:hAnsi="Calibri" w:cs="Times New Roman"/>
          <w:szCs w:val="24"/>
        </w:rPr>
        <w:t xml:space="preserve">līdzsvarotu </w:t>
      </w:r>
      <w:r w:rsidRPr="003868E8">
        <w:rPr>
          <w:rFonts w:ascii="Calibri" w:hAnsi="Calibri" w:cs="Times New Roman"/>
          <w:szCs w:val="24"/>
        </w:rPr>
        <w:t>savstarpējas tirdzniecības mehānism</w:t>
      </w:r>
      <w:r>
        <w:rPr>
          <w:rFonts w:ascii="Calibri" w:hAnsi="Calibri" w:cs="Times New Roman"/>
          <w:szCs w:val="24"/>
        </w:rPr>
        <w:t>u</w:t>
      </w:r>
      <w:r w:rsidRPr="003868E8">
        <w:rPr>
          <w:rFonts w:ascii="Calibri" w:hAnsi="Calibri" w:cs="Times New Roman"/>
          <w:szCs w:val="24"/>
        </w:rPr>
        <w:t xml:space="preserve"> (</w:t>
      </w:r>
      <w:r w:rsidRPr="003868E8">
        <w:rPr>
          <w:rFonts w:ascii="Calibri" w:hAnsi="Calibri" w:cs="Times New Roman"/>
          <w:i/>
          <w:iCs/>
          <w:szCs w:val="24"/>
        </w:rPr>
        <w:t>peer-to-peer trading</w:t>
      </w:r>
      <w:r w:rsidRPr="003868E8">
        <w:rPr>
          <w:rFonts w:ascii="Calibri" w:hAnsi="Calibri" w:cs="Times New Roman"/>
          <w:szCs w:val="24"/>
        </w:rPr>
        <w:t>)</w:t>
      </w:r>
      <w:r w:rsidR="003E5124">
        <w:rPr>
          <w:rFonts w:ascii="Calibri" w:hAnsi="Calibri" w:cs="Times New Roman"/>
          <w:szCs w:val="24"/>
        </w:rPr>
        <w:t xml:space="preserve"> dažādām AE pašpatērētāju grupām</w:t>
      </w:r>
      <w:r>
        <w:rPr>
          <w:rFonts w:ascii="Calibri" w:hAnsi="Calibri" w:cs="Times New Roman"/>
          <w:szCs w:val="24"/>
        </w:rPr>
        <w:t xml:space="preserve">, kā arī pārskatīt nodokļu politikas nosacījumus ārpus </w:t>
      </w:r>
      <w:r w:rsidR="003E5124">
        <w:rPr>
          <w:rFonts w:ascii="Calibri" w:hAnsi="Calibri" w:cs="Times New Roman"/>
          <w:szCs w:val="24"/>
        </w:rPr>
        <w:t xml:space="preserve">neto </w:t>
      </w:r>
      <w:r>
        <w:rPr>
          <w:rFonts w:ascii="Calibri" w:hAnsi="Calibri" w:cs="Times New Roman"/>
          <w:szCs w:val="24"/>
        </w:rPr>
        <w:t xml:space="preserve">sistēmas īstenotajiem darījumiem ar elektroenerģiju. </w:t>
      </w:r>
    </w:p>
    <w:p w14:paraId="68CC61BE" w14:textId="07446845" w:rsidR="0047533B" w:rsidRDefault="0047533B" w:rsidP="00621737">
      <w:pPr>
        <w:spacing w:before="120" w:after="120" w:line="240" w:lineRule="auto"/>
        <w:jc w:val="both"/>
        <w:rPr>
          <w:rFonts w:ascii="Calibri" w:hAnsi="Calibri" w:cs="Times New Roman"/>
          <w:szCs w:val="24"/>
        </w:rPr>
      </w:pPr>
      <w:r>
        <w:rPr>
          <w:rFonts w:ascii="Calibri" w:hAnsi="Calibri" w:cs="Times New Roman"/>
          <w:szCs w:val="24"/>
        </w:rPr>
        <w:t xml:space="preserve">Būtiski ir veicināt nepieciešamo investīciju samazināšanos enerģijas pašpatēriņa tehnoloģiju iekārtām. Primāri tas īstenojams energoefektivitātes pasākumu īstenošanas ietvaros, vienlaikus atbalstot ne-emisiju tehnoloģiju uzstādīšanu – gan elektroenerģijas, gan siltumenerģijas ražošanai. Sekojoši būtu jānodrošina, ka īpašumiem, kuros īstenoti minētie pasākumi atbilstoši nepaaugstinās nekustamā īpašuma nodokļu apjoms. Sākotnējo investīciju apmēra samazināšanos veicinātu arī PVN atlaižu piemērošana </w:t>
      </w:r>
      <w:r w:rsidRPr="005E0800">
        <w:rPr>
          <w:rFonts w:cstheme="minorHAnsi"/>
          <w:color w:val="000000"/>
          <w:shd w:val="clear" w:color="auto" w:fill="FFFFFF"/>
        </w:rPr>
        <w:t>ne-emisiju tehnoloģiju uzstādīšanai</w:t>
      </w:r>
      <w:r w:rsidR="003E5124">
        <w:rPr>
          <w:rFonts w:cstheme="minorHAnsi"/>
          <w:color w:val="000000"/>
          <w:shd w:val="clear" w:color="auto" w:fill="FFFFFF"/>
        </w:rPr>
        <w:t xml:space="preserve"> (pakalpojumam)</w:t>
      </w:r>
      <w:r>
        <w:rPr>
          <w:rFonts w:cstheme="minorHAnsi"/>
          <w:color w:val="000000"/>
          <w:shd w:val="clear" w:color="auto" w:fill="FFFFFF"/>
        </w:rPr>
        <w:t>.</w:t>
      </w:r>
    </w:p>
    <w:p w14:paraId="2C5F9EAD" w14:textId="77777777" w:rsidR="0047533B" w:rsidRPr="00E2491C" w:rsidRDefault="0047533B" w:rsidP="00621737">
      <w:pPr>
        <w:shd w:val="clear" w:color="auto" w:fill="E7E6E6" w:themeFill="background2"/>
        <w:spacing w:before="120" w:after="120" w:line="240" w:lineRule="auto"/>
        <w:jc w:val="both"/>
        <w:rPr>
          <w:rFonts w:ascii="Calibri" w:hAnsi="Calibri" w:cs="Times New Roman"/>
          <w:b/>
          <w:i/>
          <w:sz w:val="28"/>
          <w:szCs w:val="28"/>
        </w:rPr>
      </w:pPr>
      <w:r w:rsidRPr="00E2491C">
        <w:rPr>
          <w:rFonts w:ascii="Calibri" w:hAnsi="Calibri" w:cs="Times New Roman"/>
          <w:b/>
          <w:i/>
          <w:sz w:val="28"/>
          <w:szCs w:val="28"/>
        </w:rPr>
        <w:t>Saistītie rīcības virzieni</w:t>
      </w:r>
    </w:p>
    <w:p w14:paraId="6B5710A9" w14:textId="77777777" w:rsidR="0047533B" w:rsidRPr="00930BEF" w:rsidRDefault="0047533B" w:rsidP="00621737">
      <w:pPr>
        <w:shd w:val="clear" w:color="auto" w:fill="E7E6E6" w:themeFill="background2"/>
        <w:spacing w:before="120" w:after="120" w:line="240" w:lineRule="auto"/>
        <w:jc w:val="both"/>
        <w:rPr>
          <w:rFonts w:ascii="Calibri" w:hAnsi="Calibri" w:cs="Times New Roman"/>
          <w:szCs w:val="24"/>
        </w:rPr>
      </w:pPr>
      <w:r w:rsidRPr="00930BEF">
        <w:rPr>
          <w:rFonts w:ascii="Calibri" w:hAnsi="Calibri" w:cs="Times New Roman"/>
          <w:szCs w:val="24"/>
        </w:rPr>
        <w:t>1) Ēku energoefektivitātes uzlabošana (1.rīcības virziens), kas, vienlaikus ar atbalsta pasākumiem energoefektivitātes uzlabošanai, paredz atbalstu AER risinājumu ieviešanai</w:t>
      </w:r>
    </w:p>
    <w:p w14:paraId="06271DFB" w14:textId="77777777" w:rsidR="0047533B" w:rsidRPr="00930BEF" w:rsidRDefault="0047533B" w:rsidP="00621737">
      <w:pPr>
        <w:shd w:val="clear" w:color="auto" w:fill="E7E6E6" w:themeFill="background2"/>
        <w:spacing w:before="120" w:after="120" w:line="240" w:lineRule="auto"/>
        <w:jc w:val="both"/>
        <w:rPr>
          <w:rFonts w:ascii="Calibri" w:hAnsi="Calibri" w:cs="Times New Roman"/>
          <w:szCs w:val="24"/>
        </w:rPr>
      </w:pPr>
      <w:r w:rsidRPr="00930BEF">
        <w:rPr>
          <w:rFonts w:ascii="Calibri" w:hAnsi="Calibri" w:cs="Times New Roman"/>
          <w:szCs w:val="24"/>
        </w:rPr>
        <w:t>2) Energoefektivitātes uzlabošana un AER tehnoloģiju izmantošanas veicināšana siltumapgādē un aukstumapgādē, un rūpniecībā (2.rīcības virziens) saistībā ar AER tehnoloģiju izmantošanas veicināšanu lokālajā siltumapgādē (LSA) un individuālā siltumapgādē</w:t>
      </w:r>
    </w:p>
    <w:p w14:paraId="25B5DFF5" w14:textId="77777777" w:rsidR="0047533B" w:rsidRDefault="0047533B" w:rsidP="00621737">
      <w:pPr>
        <w:shd w:val="clear" w:color="auto" w:fill="E7E6E6" w:themeFill="background2"/>
        <w:spacing w:before="120" w:after="120" w:line="240" w:lineRule="auto"/>
        <w:jc w:val="both"/>
        <w:rPr>
          <w:rFonts w:ascii="Calibri" w:hAnsi="Calibri" w:cs="Times New Roman"/>
          <w:szCs w:val="24"/>
        </w:rPr>
      </w:pPr>
      <w:r w:rsidRPr="00930BEF">
        <w:rPr>
          <w:rFonts w:ascii="Calibri" w:hAnsi="Calibri" w:cs="Times New Roman"/>
          <w:szCs w:val="24"/>
        </w:rPr>
        <w:t>3) Ne-emisiju tehnoloģiju izmantošanas veicināšana elektroenerģijās ražošanā</w:t>
      </w:r>
      <w:r>
        <w:rPr>
          <w:rFonts w:ascii="Calibri" w:hAnsi="Calibri" w:cs="Times New Roman"/>
          <w:szCs w:val="24"/>
        </w:rPr>
        <w:t xml:space="preserve"> (3.rīcības virziens), ņemot vērā, ka šo mērķi veicinās arī plašāka pašpatēriņa ne-emisiju tehnoloģiju izmantošana</w:t>
      </w:r>
    </w:p>
    <w:p w14:paraId="4D5D6F34" w14:textId="77777777" w:rsidR="0047533B" w:rsidRDefault="0047533B" w:rsidP="00621737">
      <w:pPr>
        <w:shd w:val="clear" w:color="auto" w:fill="E7E6E6" w:themeFill="background2"/>
        <w:spacing w:before="120" w:after="120" w:line="240" w:lineRule="auto"/>
        <w:jc w:val="both"/>
        <w:rPr>
          <w:rFonts w:ascii="Calibri" w:hAnsi="Calibri" w:cs="Times New Roman"/>
          <w:szCs w:val="24"/>
        </w:rPr>
      </w:pPr>
      <w:r>
        <w:rPr>
          <w:rFonts w:ascii="Calibri" w:hAnsi="Calibri" w:cs="Times New Roman"/>
          <w:szCs w:val="24"/>
        </w:rPr>
        <w:t xml:space="preserve">4) </w:t>
      </w:r>
      <w:r w:rsidRPr="00194FA8">
        <w:rPr>
          <w:rFonts w:ascii="Calibri" w:hAnsi="Calibri" w:cs="Times New Roman"/>
          <w:szCs w:val="24"/>
        </w:rPr>
        <w:t>Nodokļu sistēmas “zaļināšana” un pievilcīguma energoefektivitātei un AER tehnoloģijām uzlabošana</w:t>
      </w:r>
      <w:r>
        <w:rPr>
          <w:rFonts w:ascii="Calibri" w:hAnsi="Calibri" w:cs="Times New Roman"/>
          <w:szCs w:val="24"/>
        </w:rPr>
        <w:t xml:space="preserve"> (11.rīcības virziens), ņemot vērā, ka atbilstoša nodokļu politika var veicināt pašpatēriņa tehnoloģiju izdevīgumu</w:t>
      </w:r>
    </w:p>
    <w:p w14:paraId="58D51FE5" w14:textId="76E6C6F8" w:rsidR="00AA17B7" w:rsidRPr="002E0F59" w:rsidRDefault="0047533B" w:rsidP="00621737">
      <w:pPr>
        <w:shd w:val="clear" w:color="auto" w:fill="E7E6E6" w:themeFill="background2"/>
        <w:spacing w:before="120" w:after="120" w:line="240" w:lineRule="auto"/>
        <w:jc w:val="both"/>
        <w:rPr>
          <w:rFonts w:cstheme="minorHAnsi"/>
          <w:iCs/>
          <w:szCs w:val="24"/>
        </w:rPr>
      </w:pPr>
      <w:r>
        <w:rPr>
          <w:rFonts w:ascii="Calibri" w:hAnsi="Calibri" w:cs="Times New Roman"/>
          <w:szCs w:val="24"/>
        </w:rPr>
        <w:t xml:space="preserve">4) </w:t>
      </w:r>
      <w:r w:rsidRPr="00194FA8">
        <w:rPr>
          <w:rFonts w:ascii="Calibri" w:hAnsi="Calibri" w:cs="Times New Roman"/>
          <w:szCs w:val="24"/>
        </w:rPr>
        <w:t>Sabiedrības informēšana, izglītošana un izpratnes veicināšana</w:t>
      </w:r>
      <w:r>
        <w:rPr>
          <w:rFonts w:ascii="Calibri" w:hAnsi="Calibri" w:cs="Times New Roman"/>
          <w:szCs w:val="24"/>
        </w:rPr>
        <w:t xml:space="preserve"> (12.rīcības virziens).</w:t>
      </w:r>
    </w:p>
    <w:bookmarkStart w:id="541" w:name="_Hlk14423709"/>
    <w:p w14:paraId="44BBCBAD" w14:textId="052D4011" w:rsidR="00F37EA7" w:rsidRPr="00812E5C" w:rsidRDefault="00F37EA7" w:rsidP="00621737">
      <w:pPr>
        <w:spacing w:before="120" w:after="120" w:line="240" w:lineRule="auto"/>
        <w:rPr>
          <w:rFonts w:ascii="Calibri" w:hAnsi="Calibri" w:cs="Times New Roman"/>
          <w:b/>
          <w:i/>
          <w:sz w:val="28"/>
          <w:szCs w:val="28"/>
          <w:u w:val="single"/>
        </w:rPr>
      </w:pPr>
      <w:r w:rsidRPr="00E2491C">
        <w:rPr>
          <w:rFonts w:ascii="Calibri" w:hAnsi="Calibri"/>
          <w:noProof/>
          <w:lang w:eastAsia="lv-LV"/>
        </w:rPr>
        <mc:AlternateContent>
          <mc:Choice Requires="wps">
            <w:drawing>
              <wp:anchor distT="0" distB="0" distL="114300" distR="114300" simplePos="0" relativeHeight="251664384" behindDoc="0" locked="0" layoutInCell="1" allowOverlap="1" wp14:anchorId="4B36FEDE" wp14:editId="49D7F1EA">
                <wp:simplePos x="0" y="0"/>
                <wp:positionH relativeFrom="margin">
                  <wp:align>left</wp:align>
                </wp:positionH>
                <wp:positionV relativeFrom="paragraph">
                  <wp:posOffset>70485</wp:posOffset>
                </wp:positionV>
                <wp:extent cx="5779135" cy="542925"/>
                <wp:effectExtent l="0" t="0" r="0" b="9525"/>
                <wp:wrapSquare wrapText="bothSides"/>
                <wp:docPr id="22" name="Rectangle: Single Corner Snipped 22"/>
                <wp:cNvGraphicFramePr/>
                <a:graphic xmlns:a="http://schemas.openxmlformats.org/drawingml/2006/main">
                  <a:graphicData uri="http://schemas.microsoft.com/office/word/2010/wordprocessingShape">
                    <wps:wsp>
                      <wps:cNvSpPr/>
                      <wps:spPr>
                        <a:xfrm>
                          <a:off x="0" y="0"/>
                          <a:ext cx="5779135" cy="542925"/>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6BD88CDB" w14:textId="299A4E73"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42" w:name="_Toc24408061"/>
                            <w:bookmarkStart w:id="543" w:name="_Toc24408120"/>
                            <w:r w:rsidRPr="0007326F">
                              <w:rPr>
                                <w:color w:val="FFFFFF" w:themeColor="background1"/>
                                <w:sz w:val="40"/>
                                <w:szCs w:val="40"/>
                              </w:rPr>
                              <w:t>Transports</w:t>
                            </w:r>
                            <w:bookmarkEnd w:id="542"/>
                            <w:bookmarkEnd w:id="54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6FEDE" id="Rectangle: Single Corner Snipped 22" o:spid="_x0000_s1034" style="position:absolute;margin-left:0;margin-top:5.55pt;width:455.05pt;height:42.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542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" adj="-11796480,,5400" path="m,l5688646,r90489,90489l5779135,542925,,542925,,xe" fillcolor="#323e4f [2415]" stroked="f" strokeweight="1pt">
                <v:stroke joinstyle="miter"/>
                <v:formulas/>
                <v:path arrowok="t" o:connecttype="custom" o:connectlocs="0,0;5688646,0;5779135,90489;5779135,542925;0,542925;0,0" o:connectangles="0,0,0,0,0,0" textboxrect="0,0,5779135,542925"/>
                <v:textbox>
                  <w:txbxContent>
                    <w:p w14:paraId="6BD88CDB" w14:textId="299A4E73" w:rsidR="007A7EAC" w:rsidRPr="0007326F" w:rsidRDefault="007A7EAC" w:rsidP="0007326F">
                      <w:pPr>
                        <w:pStyle w:val="Heading2"/>
                        <w:numPr>
                          <w:ilvl w:val="1"/>
                          <w:numId w:val="53"/>
                        </w:numPr>
                        <w:spacing w:before="0" w:after="0"/>
                        <w:ind w:left="0" w:firstLine="0"/>
                        <w:jc w:val="center"/>
                        <w:rPr>
                          <w:color w:val="FFFFFF" w:themeColor="background1"/>
                          <w:sz w:val="40"/>
                          <w:szCs w:val="40"/>
                        </w:rPr>
                      </w:pPr>
                      <w:bookmarkStart w:id="560" w:name="_Toc24408061"/>
                      <w:bookmarkStart w:id="561" w:name="_Toc24408120"/>
                      <w:r w:rsidRPr="0007326F">
                        <w:rPr>
                          <w:color w:val="FFFFFF" w:themeColor="background1"/>
                          <w:sz w:val="40"/>
                          <w:szCs w:val="40"/>
                        </w:rPr>
                        <w:t>Transports</w:t>
                      </w:r>
                      <w:bookmarkEnd w:id="560"/>
                      <w:bookmarkEnd w:id="561"/>
                    </w:p>
                  </w:txbxContent>
                </v:textbox>
                <w10:wrap type="square" anchorx="margin"/>
              </v:shape>
            </w:pict>
          </mc:Fallback>
        </mc:AlternateContent>
      </w:r>
      <w:r w:rsidRPr="00812E5C">
        <w:rPr>
          <w:rFonts w:ascii="Calibri" w:hAnsi="Calibri" w:cs="Times New Roman"/>
          <w:b/>
          <w:i/>
          <w:sz w:val="28"/>
          <w:szCs w:val="28"/>
          <w:u w:val="single"/>
        </w:rPr>
        <w:t>Esošā situācija</w:t>
      </w:r>
    </w:p>
    <w:p w14:paraId="738197D1" w14:textId="77777777" w:rsidR="00F37EA7" w:rsidRDefault="00F37EA7" w:rsidP="00621737">
      <w:pPr>
        <w:spacing w:before="120" w:after="120" w:line="240" w:lineRule="auto"/>
        <w:jc w:val="both"/>
        <w:rPr>
          <w:rFonts w:ascii="Calibri" w:eastAsia="Times New Roman" w:hAnsi="Calibri" w:cs="Times New Roman"/>
          <w:color w:val="000000"/>
          <w:szCs w:val="24"/>
          <w:lang w:eastAsia="lv-LV"/>
        </w:rPr>
      </w:pPr>
      <w:r w:rsidRPr="000E5785">
        <w:rPr>
          <w:rFonts w:ascii="Calibri" w:hAnsi="Calibri" w:cs="Times New Roman"/>
          <w:szCs w:val="24"/>
        </w:rPr>
        <w:t>Latvijā transports 2018.gadā veidoja 30,1% no kopējā enerģijas galapatēriņa un 78% no kopējā naftas produktu galapatēriņā. Vairāk nekā 92% no Latvijas autoparka veido ar fosilo degvielu (benzīns, dīzeļdegviela) darbināmi transportlīdzekļi, savukārt ar alternatīvajām degvielām (galvenokārt ar LPG) darbināmi ir apmēram 6% no Latvijā reģistrētajiem transportlīdzekļiem</w:t>
      </w:r>
      <w:r>
        <w:rPr>
          <w:rFonts w:ascii="Calibri" w:hAnsi="Calibri" w:cs="Times New Roman"/>
          <w:szCs w:val="24"/>
        </w:rPr>
        <w:t>.</w:t>
      </w:r>
      <w:r w:rsidRPr="000E5785">
        <w:rPr>
          <w:rFonts w:ascii="Calibri" w:hAnsi="Calibri" w:cs="Times New Roman"/>
          <w:szCs w:val="24"/>
        </w:rPr>
        <w:t xml:space="preserve"> Gandrīz visu transportā patērēto degvielu Latvijā importē (izņemot daļu biodegvielas)</w:t>
      </w:r>
      <w:r w:rsidRPr="000E5785">
        <w:rPr>
          <w:rFonts w:ascii="Calibri" w:eastAsia="Times New Roman" w:hAnsi="Calibri" w:cs="Times New Roman"/>
          <w:color w:val="000000"/>
          <w:szCs w:val="24"/>
          <w:lang w:eastAsia="lv-LV"/>
        </w:rPr>
        <w:t>.</w:t>
      </w:r>
      <w:r>
        <w:rPr>
          <w:rFonts w:ascii="Calibri" w:eastAsia="Times New Roman" w:hAnsi="Calibri" w:cs="Times New Roman"/>
          <w:color w:val="000000"/>
          <w:szCs w:val="24"/>
          <w:lang w:eastAsia="lv-LV"/>
        </w:rPr>
        <w:t xml:space="preserve"> </w:t>
      </w:r>
      <w:r w:rsidRPr="000E5785">
        <w:rPr>
          <w:rFonts w:ascii="Calibri" w:eastAsia="Times New Roman" w:hAnsi="Calibri" w:cs="Times New Roman"/>
          <w:color w:val="000000"/>
          <w:szCs w:val="24"/>
          <w:lang w:eastAsia="lv-LV"/>
        </w:rPr>
        <w:t xml:space="preserve">2018.gadā </w:t>
      </w:r>
      <w:r w:rsidRPr="000E5785">
        <w:rPr>
          <w:rFonts w:ascii="Calibri" w:eastAsia="Times New Roman" w:hAnsi="Calibri" w:cs="Times New Roman"/>
          <w:b/>
          <w:color w:val="000000"/>
          <w:szCs w:val="24"/>
          <w:lang w:eastAsia="lv-LV"/>
        </w:rPr>
        <w:t>energoresursu patēriņš autotransportā veidoja 82,6% no kopējā transportā izmantoto energoresursu apjoma</w:t>
      </w:r>
      <w:r w:rsidRPr="000E5785">
        <w:rPr>
          <w:rFonts w:ascii="Calibri" w:eastAsia="Times New Roman" w:hAnsi="Calibri" w:cs="Times New Roman"/>
          <w:color w:val="000000"/>
          <w:szCs w:val="24"/>
          <w:lang w:eastAsia="lv-LV"/>
        </w:rPr>
        <w:t>, 11,9% veidoja starptautiskais gaisa transports un 4,8% - dzelzceļa transports, 0,5% - ūdens transports, bet atlikušos 0,2% - iekšzemes gaisa transports un cauruļvadu transportā</w:t>
      </w:r>
      <w:r w:rsidRPr="000E5785">
        <w:rPr>
          <w:rStyle w:val="FootnoteReference"/>
          <w:rFonts w:ascii="Calibri" w:hAnsi="Calibri"/>
        </w:rPr>
        <w:footnoteReference w:id="166"/>
      </w:r>
      <w:r w:rsidRPr="000E5785">
        <w:rPr>
          <w:rFonts w:ascii="Calibri" w:eastAsia="Times New Roman" w:hAnsi="Calibri" w:cs="Times New Roman"/>
          <w:color w:val="000000"/>
          <w:szCs w:val="24"/>
          <w:lang w:eastAsia="lv-LV"/>
        </w:rPr>
        <w:t xml:space="preserve"> izmantotā enerģija</w:t>
      </w:r>
      <w:r w:rsidRPr="000E5785">
        <w:rPr>
          <w:rStyle w:val="FootnoteReference"/>
          <w:rFonts w:ascii="Calibri" w:eastAsia="Times New Roman" w:hAnsi="Calibri"/>
          <w:color w:val="000000"/>
        </w:rPr>
        <w:footnoteReference w:id="167"/>
      </w:r>
      <w:r w:rsidRPr="000E5785">
        <w:rPr>
          <w:rFonts w:ascii="Calibri" w:eastAsia="Times New Roman" w:hAnsi="Calibri" w:cs="Times New Roman"/>
          <w:color w:val="000000"/>
          <w:szCs w:val="24"/>
          <w:lang w:eastAsia="lv-LV"/>
        </w:rPr>
        <w:t>. Līdz ar to ir secināms, ka tieši autotransports ir galvenais transporta apakšsektors, kurā ir nepieciešams veikt būtiskus pasākumus energoefektivitātes uzlabošanai, alternatīvo degvielu plašākai izmantošanai, tai skaitā AER īpatsvara palielināšanai.</w:t>
      </w:r>
    </w:p>
    <w:p w14:paraId="4DAA2350" w14:textId="77777777" w:rsidR="00F37EA7" w:rsidRPr="000E5785" w:rsidRDefault="00F37EA7" w:rsidP="00F37EA7">
      <w:pPr>
        <w:spacing w:before="120" w:after="120" w:line="240" w:lineRule="auto"/>
        <w:jc w:val="both"/>
        <w:rPr>
          <w:rFonts w:ascii="Calibri" w:hAnsi="Calibri" w:cs="Times New Roman"/>
          <w:szCs w:val="24"/>
        </w:rPr>
      </w:pPr>
      <w:r w:rsidRPr="000E5785">
        <w:rPr>
          <w:rFonts w:ascii="Calibri" w:hAnsi="Calibri" w:cs="Times New Roman"/>
          <w:b/>
          <w:szCs w:val="24"/>
        </w:rPr>
        <w:t>SEG emisiju bilancē transports dominē ar 28,5% īpatsvaru no</w:t>
      </w:r>
      <w:r w:rsidRPr="000E5785">
        <w:rPr>
          <w:rFonts w:ascii="Calibri" w:hAnsi="Calibri" w:cs="Times New Roman"/>
          <w:szCs w:val="24"/>
        </w:rPr>
        <w:t xml:space="preserve"> kopējā SEG emisiju apjoma (neieskaitot ZIZIMM) 2017.gadā un 36,6% īpatsvaru ne-ETS SEG emisiju apjomā</w:t>
      </w:r>
      <w:r w:rsidRPr="000E5785">
        <w:rPr>
          <w:rStyle w:val="FootnoteReference"/>
          <w:rFonts w:ascii="Calibri" w:hAnsi="Calibri"/>
        </w:rPr>
        <w:footnoteReference w:id="168"/>
      </w:r>
      <w:r w:rsidRPr="000E5785">
        <w:rPr>
          <w:rFonts w:ascii="Calibri" w:hAnsi="Calibri" w:cs="Times New Roman"/>
          <w:szCs w:val="24"/>
        </w:rPr>
        <w:t>.</w:t>
      </w:r>
    </w:p>
    <w:p w14:paraId="13198D9B" w14:textId="77777777" w:rsidR="00F37EA7" w:rsidRPr="000E5785" w:rsidRDefault="00F37EA7" w:rsidP="00F37EA7">
      <w:pPr>
        <w:shd w:val="clear" w:color="auto" w:fill="E7E6E6" w:themeFill="background2"/>
        <w:spacing w:before="120" w:after="120" w:line="240" w:lineRule="auto"/>
        <w:rPr>
          <w:rFonts w:ascii="Calibri" w:hAnsi="Calibri" w:cs="Times New Roman"/>
          <w:b/>
          <w:sz w:val="28"/>
          <w:szCs w:val="28"/>
          <w:u w:val="single"/>
        </w:rPr>
      </w:pPr>
      <w:bookmarkStart w:id="544" w:name="_Hlk19005731"/>
      <w:r w:rsidRPr="000E5785">
        <w:rPr>
          <w:rFonts w:ascii="Calibri" w:hAnsi="Calibri" w:cs="Times New Roman"/>
          <w:b/>
          <w:sz w:val="28"/>
          <w:szCs w:val="28"/>
          <w:u w:val="single"/>
        </w:rPr>
        <w:t>Vēlamā situācija 2030.gadā:</w:t>
      </w:r>
    </w:p>
    <w:bookmarkEnd w:id="544"/>
    <w:p w14:paraId="565A291B" w14:textId="77777777" w:rsidR="00F37EA7" w:rsidRPr="008C3BA9" w:rsidRDefault="00F37EA7" w:rsidP="00847BE3">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sidRPr="008C3BA9">
        <w:rPr>
          <w:rFonts w:ascii="Calibri" w:hAnsi="Calibri" w:cs="Times New Roman"/>
          <w:i/>
          <w:szCs w:val="24"/>
        </w:rPr>
        <w:t>plašāk tiek izmantoti sabiedriskā transporta pakalpojumi un ir samazināts privāto transportlīdzekļu lietojums, jo īpaši pilsētās;</w:t>
      </w:r>
    </w:p>
    <w:p w14:paraId="5BE7DAAE" w14:textId="77777777" w:rsidR="00F37EA7" w:rsidRPr="008C3BA9" w:rsidRDefault="00F37EA7" w:rsidP="00847BE3">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sidRPr="008C3BA9">
        <w:rPr>
          <w:rFonts w:ascii="Calibri" w:hAnsi="Calibri" w:cs="Times New Roman"/>
          <w:i/>
          <w:szCs w:val="24"/>
        </w:rPr>
        <w:t xml:space="preserve">efektivizēta enerģijas izmantošana un alternatīvo degvielu, īpaši ne-emisiju enerģijas izmantošanas īpatsvara palielināšana; </w:t>
      </w:r>
    </w:p>
    <w:p w14:paraId="68BD384C" w14:textId="77777777" w:rsidR="00F37EA7" w:rsidRPr="008C3BA9" w:rsidRDefault="00F37EA7" w:rsidP="00847BE3">
      <w:pPr>
        <w:pStyle w:val="ListParagraph"/>
        <w:numPr>
          <w:ilvl w:val="0"/>
          <w:numId w:val="34"/>
        </w:numPr>
        <w:shd w:val="clear" w:color="auto" w:fill="E7E6E6" w:themeFill="background2"/>
        <w:spacing w:before="120" w:after="120" w:line="240" w:lineRule="auto"/>
        <w:ind w:left="397" w:hanging="397"/>
        <w:contextualSpacing w:val="0"/>
        <w:rPr>
          <w:rFonts w:ascii="Calibri" w:hAnsi="Calibri" w:cs="Times New Roman"/>
          <w:i/>
          <w:szCs w:val="24"/>
        </w:rPr>
      </w:pPr>
      <w:r w:rsidRPr="008C3BA9">
        <w:rPr>
          <w:rFonts w:ascii="Calibri" w:hAnsi="Calibri" w:cs="Times New Roman"/>
          <w:i/>
          <w:szCs w:val="24"/>
        </w:rPr>
        <w:t>mazāks naftas imports un lielāks Latvijā iegūtu AER patēriņš transportā.</w:t>
      </w:r>
    </w:p>
    <w:p w14:paraId="3E25BBD0" w14:textId="77777777" w:rsidR="00F37EA7" w:rsidRPr="000E5785" w:rsidRDefault="00F37EA7" w:rsidP="00F37EA7">
      <w:pPr>
        <w:shd w:val="clear" w:color="auto" w:fill="E7E6E6" w:themeFill="background2"/>
        <w:spacing w:before="120" w:after="120" w:line="240" w:lineRule="auto"/>
        <w:rPr>
          <w:rFonts w:ascii="Calibri" w:hAnsi="Calibri" w:cs="Times New Roman"/>
          <w:b/>
          <w:sz w:val="28"/>
          <w:szCs w:val="28"/>
          <w:u w:val="single"/>
        </w:rPr>
      </w:pPr>
      <w:r w:rsidRPr="000E5785">
        <w:rPr>
          <w:rFonts w:ascii="Calibri" w:hAnsi="Calibri" w:cs="Times New Roman"/>
          <w:b/>
          <w:sz w:val="28"/>
          <w:szCs w:val="28"/>
          <w:u w:val="single"/>
        </w:rPr>
        <w:t>Ieguvumi sabiedrībai un tautsaimniecībai:</w:t>
      </w:r>
    </w:p>
    <w:p w14:paraId="48A2EC3C" w14:textId="77777777" w:rsidR="00F37EA7" w:rsidRPr="008C3BA9" w:rsidRDefault="00F37EA7" w:rsidP="00847BE3">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8C3BA9">
        <w:rPr>
          <w:rFonts w:ascii="Calibri" w:hAnsi="Calibri" w:cs="Times New Roman"/>
          <w:i/>
          <w:szCs w:val="24"/>
        </w:rPr>
        <w:t>Būtiski uzlabota gaisa kvalitāte pilsētvidē un iedzīvotāju labsajūtu, samazinot apdraudējumu iedzīvotāju veselībai, uzlabojot pilsētvides pievilcību ārvalstu apmeklētājiem un uzņēmējdarbības videi;</w:t>
      </w:r>
    </w:p>
    <w:p w14:paraId="2D4D9330" w14:textId="77777777" w:rsidR="00F37EA7" w:rsidRPr="008C3BA9" w:rsidRDefault="00F37EA7" w:rsidP="00847BE3">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8C3BA9">
        <w:rPr>
          <w:rFonts w:ascii="Calibri" w:hAnsi="Calibri" w:cs="Times New Roman"/>
          <w:i/>
          <w:szCs w:val="24"/>
        </w:rPr>
        <w:t>nodrošināta ilgtspējīga un efektīva (vienkārša) mobilitāte, samazinot pārvietošanās laiku un atvieglojot preču un pakalpojumu mobilitāti;</w:t>
      </w:r>
    </w:p>
    <w:p w14:paraId="141466AA" w14:textId="77777777" w:rsidR="00F37EA7" w:rsidRPr="008C3BA9" w:rsidRDefault="00F37EA7" w:rsidP="00847BE3">
      <w:pPr>
        <w:pStyle w:val="ListParagraph"/>
        <w:numPr>
          <w:ilvl w:val="0"/>
          <w:numId w:val="33"/>
        </w:numPr>
        <w:shd w:val="clear" w:color="auto" w:fill="E7E6E6" w:themeFill="background2"/>
        <w:spacing w:before="120" w:after="120" w:line="240" w:lineRule="auto"/>
        <w:ind w:left="397" w:hanging="397"/>
        <w:contextualSpacing w:val="0"/>
        <w:jc w:val="both"/>
        <w:rPr>
          <w:rFonts w:ascii="Calibri" w:hAnsi="Calibri" w:cs="Times New Roman"/>
          <w:szCs w:val="24"/>
        </w:rPr>
      </w:pPr>
      <w:r w:rsidRPr="008C3BA9">
        <w:rPr>
          <w:rFonts w:ascii="Calibri" w:hAnsi="Calibri" w:cs="Times New Roman"/>
          <w:i/>
          <w:szCs w:val="24"/>
        </w:rPr>
        <w:t>samazināta transporta darbību ietekme uz klimatu (nodrošināts SEG emisiju samazinājums).</w:t>
      </w:r>
    </w:p>
    <w:p w14:paraId="6DB35382" w14:textId="6A713EA9" w:rsidR="00F37EA7" w:rsidRPr="00812E5C" w:rsidRDefault="00F37EA7" w:rsidP="00F37EA7">
      <w:pPr>
        <w:spacing w:before="120" w:after="120" w:line="240" w:lineRule="auto"/>
        <w:jc w:val="both"/>
        <w:rPr>
          <w:rFonts w:ascii="Calibri" w:hAnsi="Calibri" w:cs="Times New Roman"/>
          <w:b/>
          <w:i/>
          <w:sz w:val="28"/>
          <w:szCs w:val="28"/>
          <w:u w:val="single"/>
        </w:rPr>
      </w:pPr>
      <w:bookmarkStart w:id="545" w:name="_Hlk14438205"/>
      <w:r w:rsidRPr="00812E5C">
        <w:rPr>
          <w:rFonts w:ascii="Calibri" w:hAnsi="Calibri" w:cs="Times New Roman"/>
          <w:b/>
          <w:i/>
          <w:sz w:val="28"/>
          <w:szCs w:val="28"/>
          <w:u w:val="single"/>
        </w:rPr>
        <w:t xml:space="preserve">Galvenie </w:t>
      </w:r>
      <w:r>
        <w:rPr>
          <w:rFonts w:ascii="Calibri" w:hAnsi="Calibri" w:cs="Times New Roman"/>
          <w:b/>
          <w:i/>
          <w:sz w:val="28"/>
          <w:szCs w:val="28"/>
          <w:u w:val="single"/>
        </w:rPr>
        <w:t>problēmjautājumi</w:t>
      </w:r>
    </w:p>
    <w:bookmarkEnd w:id="545"/>
    <w:p w14:paraId="13979492" w14:textId="77777777" w:rsidR="00F37EA7" w:rsidRPr="000E5785" w:rsidRDefault="00F37EA7" w:rsidP="00F37EA7">
      <w:pPr>
        <w:spacing w:before="120" w:after="120" w:line="240" w:lineRule="auto"/>
        <w:jc w:val="both"/>
        <w:rPr>
          <w:rFonts w:ascii="Calibri" w:hAnsi="Calibri" w:cs="Times New Roman"/>
          <w:szCs w:val="24"/>
          <w:u w:val="single"/>
        </w:rPr>
      </w:pPr>
      <w:r w:rsidRPr="00477CC4">
        <w:rPr>
          <w:rFonts w:ascii="Calibri" w:hAnsi="Calibri" w:cs="Times New Roman"/>
          <w:szCs w:val="24"/>
          <w:u w:val="single"/>
        </w:rPr>
        <w:t xml:space="preserve">1) </w:t>
      </w:r>
      <w:r w:rsidRPr="000E5785">
        <w:rPr>
          <w:rFonts w:ascii="Calibri" w:hAnsi="Calibri" w:cs="Times New Roman"/>
          <w:b/>
          <w:szCs w:val="24"/>
          <w:u w:val="single"/>
        </w:rPr>
        <w:t>vecs autoparks</w:t>
      </w:r>
      <w:r w:rsidRPr="000E5785">
        <w:rPr>
          <w:rFonts w:ascii="Calibri" w:hAnsi="Calibri" w:cs="Times New Roman"/>
          <w:szCs w:val="24"/>
          <w:u w:val="single"/>
        </w:rPr>
        <w:t xml:space="preserve">, kurā dominē ar dīzeļdegvielu </w:t>
      </w:r>
      <w:r>
        <w:rPr>
          <w:rFonts w:ascii="Calibri" w:hAnsi="Calibri" w:cs="Times New Roman"/>
          <w:szCs w:val="24"/>
          <w:u w:val="single"/>
        </w:rPr>
        <w:t xml:space="preserve">un benzīnu </w:t>
      </w:r>
      <w:r w:rsidRPr="000E5785">
        <w:rPr>
          <w:rFonts w:ascii="Calibri" w:hAnsi="Calibri" w:cs="Times New Roman"/>
          <w:szCs w:val="24"/>
          <w:u w:val="single"/>
        </w:rPr>
        <w:t>darbināmi transportlīdzekļi</w:t>
      </w:r>
    </w:p>
    <w:p w14:paraId="392B5FB5" w14:textId="77777777" w:rsidR="00F37EA7" w:rsidRPr="000E5785"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 xml:space="preserve">Latvijā ir </w:t>
      </w:r>
      <w:r>
        <w:rPr>
          <w:rFonts w:ascii="Calibri" w:hAnsi="Calibri" w:cs="Times New Roman"/>
          <w:szCs w:val="24"/>
        </w:rPr>
        <w:t>viens no vecākajiem</w:t>
      </w:r>
      <w:r w:rsidRPr="000E5785">
        <w:rPr>
          <w:rFonts w:ascii="Calibri" w:hAnsi="Calibri" w:cs="Times New Roman"/>
          <w:szCs w:val="24"/>
        </w:rPr>
        <w:t xml:space="preserve"> autopark</w:t>
      </w:r>
      <w:r>
        <w:rPr>
          <w:rFonts w:ascii="Calibri" w:hAnsi="Calibri" w:cs="Times New Roman"/>
          <w:szCs w:val="24"/>
        </w:rPr>
        <w:t>iem</w:t>
      </w:r>
      <w:r w:rsidRPr="000E5785">
        <w:rPr>
          <w:rFonts w:ascii="Calibri" w:hAnsi="Calibri" w:cs="Times New Roman"/>
          <w:szCs w:val="24"/>
        </w:rPr>
        <w:t xml:space="preserve"> ES, kur vidējais reģistrēto tehniskā kārtībā esošu transportlīdzekļu vecums ir 12,6 gadi (vieglajiem auto 12,9 gadi, kravas auto – 10,4 gadi, autobusiem – 10,9 gadi)</w:t>
      </w:r>
      <w:r w:rsidRPr="000E5785">
        <w:rPr>
          <w:rStyle w:val="FootnoteReference"/>
          <w:rFonts w:ascii="Calibri" w:hAnsi="Calibri"/>
        </w:rPr>
        <w:t xml:space="preserve"> </w:t>
      </w:r>
      <w:r w:rsidRPr="000E5785">
        <w:rPr>
          <w:rStyle w:val="FootnoteReference"/>
          <w:rFonts w:ascii="Calibri" w:hAnsi="Calibri"/>
        </w:rPr>
        <w:footnoteReference w:id="169"/>
      </w:r>
      <w:r w:rsidRPr="000E5785">
        <w:rPr>
          <w:rFonts w:ascii="Calibri" w:hAnsi="Calibri" w:cs="Times New Roman"/>
          <w:szCs w:val="24"/>
        </w:rPr>
        <w:t xml:space="preserve">. </w:t>
      </w:r>
    </w:p>
    <w:p w14:paraId="50038536" w14:textId="77777777" w:rsidR="00F37EA7"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 xml:space="preserve">Dīzeļdegviela ir galvenais autotransportā izmantotais energoresurss un tās īpatsvars autotransportā 2018.gadā bija 72,2%. Savukārt benzīna īpatsvars – tikai 17,3% un sašķidrinātās naftas gāzes (turpmāk – LPG) – 5,2%. Saspiestā dabasgāze (turpmāk – CNG), sašķidrinātā dabasgāze (turpmāk – LNG) un dabasgāze 2018.gadā Latvijā tika patērēta nelielos apjomos – </w:t>
      </w:r>
      <w:r>
        <w:rPr>
          <w:rFonts w:ascii="Calibri" w:hAnsi="Calibri" w:cs="Times New Roman"/>
          <w:szCs w:val="24"/>
        </w:rPr>
        <w:t>4,5</w:t>
      </w:r>
      <w:r w:rsidRPr="000E5785">
        <w:rPr>
          <w:rFonts w:ascii="Calibri" w:hAnsi="Calibri" w:cs="Times New Roman"/>
          <w:szCs w:val="24"/>
        </w:rPr>
        <w:t>% (2 PJ) no autotransportā izmantotā energoresursu apjoma. Dīzeļdegvielas CO</w:t>
      </w:r>
      <w:r w:rsidRPr="000E5785">
        <w:rPr>
          <w:rFonts w:ascii="Calibri" w:hAnsi="Calibri" w:cs="Times New Roman"/>
          <w:szCs w:val="24"/>
          <w:vertAlign w:val="subscript"/>
        </w:rPr>
        <w:t>2</w:t>
      </w:r>
      <w:r w:rsidRPr="000E5785">
        <w:rPr>
          <w:rFonts w:ascii="Calibri" w:hAnsi="Calibri" w:cs="Times New Roman"/>
          <w:szCs w:val="24"/>
        </w:rPr>
        <w:t xml:space="preserve"> emisiju ietilpība</w:t>
      </w:r>
      <w:r w:rsidRPr="000E5785">
        <w:rPr>
          <w:rStyle w:val="FootnoteReference"/>
          <w:rFonts w:ascii="Calibri" w:hAnsi="Calibri"/>
        </w:rPr>
        <w:footnoteReference w:id="170"/>
      </w:r>
      <w:r w:rsidRPr="000E5785">
        <w:rPr>
          <w:rFonts w:ascii="Calibri" w:hAnsi="Calibri" w:cs="Times New Roman"/>
          <w:szCs w:val="24"/>
        </w:rPr>
        <w:t xml:space="preserve"> ir par apmēram 7,3% lielāka nekā benzīnam un apmēram par 16% lielāka nekā LPG</w:t>
      </w:r>
      <w:r w:rsidRPr="000E5785">
        <w:rPr>
          <w:rStyle w:val="FootnoteReference"/>
          <w:rFonts w:ascii="Calibri" w:hAnsi="Calibri"/>
        </w:rPr>
        <w:footnoteReference w:id="171"/>
      </w:r>
      <w:r w:rsidRPr="000E5785">
        <w:rPr>
          <w:rFonts w:ascii="Calibri" w:hAnsi="Calibri" w:cs="Times New Roman"/>
          <w:szCs w:val="24"/>
        </w:rPr>
        <w:t>. Savukārt dabasgāzes CO</w:t>
      </w:r>
      <w:r w:rsidRPr="000E5785">
        <w:rPr>
          <w:rFonts w:ascii="Calibri" w:hAnsi="Calibri" w:cs="Times New Roman"/>
          <w:szCs w:val="24"/>
          <w:vertAlign w:val="subscript"/>
        </w:rPr>
        <w:t>2</w:t>
      </w:r>
      <w:r w:rsidRPr="000E5785">
        <w:rPr>
          <w:rFonts w:ascii="Calibri" w:hAnsi="Calibri" w:cs="Times New Roman"/>
          <w:szCs w:val="24"/>
        </w:rPr>
        <w:t xml:space="preserve"> emisiju ietilpība ir par 25,6% mazāka nekā dīzeļdegvielai. Turklāt, ka vidējais dīzeļdzinēja transportlīdzekļu vecums ir lielāks nekā vidējais benzīna dzinēja transportlīdzekļu vecums. Viens no cēloņiem dīzeļdegvielas  plašajai izmantošanai ir valsts nodokļu politika, kura sekmē dīzeļdegvielas cenas pievilcīgumu iepretim benzīnam.</w:t>
      </w:r>
    </w:p>
    <w:p w14:paraId="329729A5" w14:textId="77777777" w:rsidR="00F37EA7" w:rsidRPr="000E5785" w:rsidRDefault="00F37EA7" w:rsidP="00F37EA7">
      <w:pPr>
        <w:spacing w:before="120" w:after="120" w:line="240" w:lineRule="auto"/>
        <w:jc w:val="both"/>
        <w:rPr>
          <w:rFonts w:ascii="Calibri" w:hAnsi="Calibri" w:cs="Times New Roman"/>
          <w:szCs w:val="24"/>
          <w:u w:val="single"/>
        </w:rPr>
      </w:pPr>
      <w:r w:rsidRPr="00477CC4">
        <w:rPr>
          <w:rFonts w:ascii="Calibri" w:hAnsi="Calibri" w:cs="Times New Roman"/>
          <w:szCs w:val="24"/>
          <w:u w:val="single"/>
        </w:rPr>
        <w:t xml:space="preserve">2) </w:t>
      </w:r>
      <w:r w:rsidRPr="000E5785">
        <w:rPr>
          <w:rFonts w:ascii="Calibri" w:hAnsi="Calibri" w:cs="Times New Roman"/>
          <w:b/>
          <w:szCs w:val="24"/>
          <w:u w:val="single"/>
        </w:rPr>
        <w:t>nenozīmīgs AER</w:t>
      </w:r>
      <w:r w:rsidRPr="000E5785">
        <w:rPr>
          <w:rFonts w:ascii="Calibri" w:hAnsi="Calibri" w:cs="Times New Roman"/>
          <w:szCs w:val="24"/>
          <w:u w:val="single"/>
        </w:rPr>
        <w:t xml:space="preserve"> un elektroenerģijas patēriņš transportā</w:t>
      </w:r>
    </w:p>
    <w:p w14:paraId="6C2571E2" w14:textId="506385C5" w:rsidR="00F37EA7" w:rsidRDefault="00F37EA7" w:rsidP="00F37EA7">
      <w:pPr>
        <w:spacing w:before="120" w:after="120" w:line="240" w:lineRule="auto"/>
        <w:jc w:val="both"/>
        <w:rPr>
          <w:rFonts w:ascii="Calibri" w:hAnsi="Calibri" w:cs="Times New Roman"/>
          <w:szCs w:val="24"/>
        </w:rPr>
      </w:pPr>
      <w:r>
        <w:rPr>
          <w:rFonts w:ascii="Calibri" w:hAnsi="Calibri" w:cs="Times New Roman"/>
          <w:szCs w:val="24"/>
        </w:rPr>
        <w:t>2019</w:t>
      </w:r>
      <w:r w:rsidRPr="000E5785">
        <w:rPr>
          <w:rFonts w:ascii="Calibri" w:hAnsi="Calibri" w:cs="Times New Roman"/>
          <w:szCs w:val="24"/>
        </w:rPr>
        <w:t xml:space="preserve">.gadā no AER iegūtas enerģijas īpatsvars transportā </w:t>
      </w:r>
      <w:r>
        <w:rPr>
          <w:rFonts w:ascii="Calibri" w:hAnsi="Calibri" w:cs="Times New Roman"/>
          <w:szCs w:val="24"/>
        </w:rPr>
        <w:t>varētu būt aptuveni 4%</w:t>
      </w:r>
      <w:r>
        <w:rPr>
          <w:rStyle w:val="FootnoteReference"/>
          <w:rFonts w:ascii="Calibri" w:hAnsi="Calibri"/>
        </w:rPr>
        <w:footnoteReference w:id="172"/>
      </w:r>
      <w:r w:rsidRPr="000E5785">
        <w:rPr>
          <w:rFonts w:ascii="Calibri" w:hAnsi="Calibri" w:cs="Times New Roman"/>
          <w:szCs w:val="24"/>
        </w:rPr>
        <w:t xml:space="preserve">, </w:t>
      </w:r>
      <w:r>
        <w:rPr>
          <w:rFonts w:ascii="Calibri" w:hAnsi="Calibri" w:cs="Times New Roman"/>
          <w:szCs w:val="24"/>
        </w:rPr>
        <w:t xml:space="preserve">ko </w:t>
      </w:r>
      <w:r w:rsidRPr="00BA04D8">
        <w:rPr>
          <w:rFonts w:ascii="Calibri" w:hAnsi="Calibri" w:cs="Times New Roman"/>
          <w:szCs w:val="24"/>
        </w:rPr>
        <w:t xml:space="preserve">galvenokārt </w:t>
      </w:r>
      <w:r>
        <w:rPr>
          <w:rFonts w:ascii="Calibri" w:hAnsi="Calibri" w:cs="Times New Roman"/>
          <w:szCs w:val="24"/>
        </w:rPr>
        <w:t>nodrošina</w:t>
      </w:r>
      <w:r w:rsidRPr="00BA04D8">
        <w:rPr>
          <w:rFonts w:ascii="Calibri" w:hAnsi="Calibri" w:cs="Times New Roman"/>
          <w:szCs w:val="24"/>
        </w:rPr>
        <w:t xml:space="preserve"> biodegvielas obligātā piejaukuma prasība benzīnam un dīzeļdegvielai</w:t>
      </w:r>
      <w:r>
        <w:rPr>
          <w:rFonts w:ascii="Calibri" w:hAnsi="Calibri" w:cs="Times New Roman"/>
          <w:szCs w:val="24"/>
        </w:rPr>
        <w:t xml:space="preserve">. </w:t>
      </w:r>
      <w:r w:rsidRPr="00BA04D8">
        <w:rPr>
          <w:rFonts w:ascii="Calibri" w:hAnsi="Calibri" w:cs="Times New Roman"/>
          <w:szCs w:val="24"/>
        </w:rPr>
        <w:t>Vidēji 1,5% no AER iegūtas enerģijas īpatsvara veido no AER iegūta elektroenerģija, kas galvenokārt tiek patērēta dzelzceļa transportā, tramvajos un trolejbusos</w:t>
      </w:r>
      <w:r>
        <w:rPr>
          <w:rFonts w:ascii="Calibri" w:hAnsi="Calibri" w:cs="Times New Roman"/>
          <w:szCs w:val="24"/>
        </w:rPr>
        <w:t>, taču tās apjomam ir tendence samazināties.</w:t>
      </w:r>
      <w:r w:rsidRPr="000E5785">
        <w:rPr>
          <w:rFonts w:ascii="Calibri" w:hAnsi="Calibri" w:cs="Times New Roman"/>
          <w:szCs w:val="24"/>
        </w:rPr>
        <w:t xml:space="preserve"> </w:t>
      </w:r>
    </w:p>
    <w:p w14:paraId="738EEE39" w14:textId="77777777" w:rsidR="00F37EA7" w:rsidRPr="000E5785" w:rsidRDefault="00F37EA7" w:rsidP="00F37EA7">
      <w:pPr>
        <w:spacing w:before="120" w:after="120" w:line="240" w:lineRule="auto"/>
        <w:jc w:val="both"/>
        <w:rPr>
          <w:rFonts w:ascii="Calibri" w:hAnsi="Calibri" w:cs="Times New Roman"/>
          <w:szCs w:val="24"/>
        </w:rPr>
      </w:pPr>
      <w:r>
        <w:rPr>
          <w:rFonts w:ascii="Calibri" w:hAnsi="Calibri" w:cs="Times New Roman"/>
          <w:szCs w:val="24"/>
        </w:rPr>
        <w:t xml:space="preserve">Lai gan </w:t>
      </w:r>
      <w:r w:rsidRPr="000E5785">
        <w:rPr>
          <w:rFonts w:ascii="Calibri" w:hAnsi="Calibri" w:cs="Times New Roman"/>
          <w:szCs w:val="24"/>
        </w:rPr>
        <w:t>Latvijā ir labi attīstīts ETL uzlādes tīkls pie galvenajiem autoceļiem – ir izveidotas 72 ETL uzlādes stacijas visā Latvijas teritorijā, un ETL izmantošanas veicināšanai ir ieviesti arī citi pasākumi, piemēram, bezmaksas autostāvvietas, sabiedriskā transporta joslu izmantošanas iespēja, u.c., uz 2019.gada 1.aprīli Latvijā tehniskā kārtībā reģistrēti bija tikai 600 ETL, ieskaitot mopēdus un motociklus, no kuriem apmēram 470 bija vieglie pasažieru ETL. Jāsecina, ka ETL skaitam Latvijā ir tendence pieaugt – gada laikā no 2018.gada 1.aprīļa līdz 2019.gada 1.aprīlim ETL skaits ir palielinājies par vairāk nekā 40%, bet joprojām tie ir tikai 0,07% no visiem Latvijā reģistrētajiem un tehniskajā kārtībā esošajiem transportlīdzekļiem.</w:t>
      </w:r>
      <w:r>
        <w:rPr>
          <w:rFonts w:ascii="Calibri" w:hAnsi="Calibri" w:cs="Times New Roman"/>
          <w:szCs w:val="24"/>
        </w:rPr>
        <w:t xml:space="preserve"> </w:t>
      </w:r>
    </w:p>
    <w:p w14:paraId="70184F7A" w14:textId="77777777" w:rsidR="00477CC4"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 xml:space="preserve">Šobrīd Latvijā </w:t>
      </w:r>
      <w:r>
        <w:rPr>
          <w:rFonts w:ascii="Calibri" w:hAnsi="Calibri" w:cs="Times New Roman"/>
          <w:szCs w:val="24"/>
        </w:rPr>
        <w:t>b</w:t>
      </w:r>
      <w:r w:rsidRPr="000E5785">
        <w:rPr>
          <w:rFonts w:ascii="Calibri" w:hAnsi="Calibri" w:cs="Times New Roman"/>
          <w:szCs w:val="24"/>
        </w:rPr>
        <w:t>ioetanols tiek ražots no kviešiem, rudziem un tritikāles, bet biodīzeļdegviela no rapšu sēklu eļļas. Ņemot vēra, ka pirmās paaudzes biodegvielas ir lētākas nekā modernās biodegvielas, var pieņemt, ka šobrīd degvielas piegādātāji obligātā piejaukuma prasības galvenokārt izpilda ar pirmās paaudzes biodegvielām. Tomēr, ņemot vērā Direktīvas 2018/2001 25.panta prasības, ir skaidrs, ka nākotnē lielāka nozīme bū</w:t>
      </w:r>
      <w:r>
        <w:rPr>
          <w:rFonts w:ascii="Calibri" w:hAnsi="Calibri" w:cs="Times New Roman"/>
          <w:szCs w:val="24"/>
        </w:rPr>
        <w:t>tu jāpievērš</w:t>
      </w:r>
      <w:r w:rsidRPr="000E5785">
        <w:rPr>
          <w:rFonts w:ascii="Calibri" w:hAnsi="Calibri" w:cs="Times New Roman"/>
          <w:szCs w:val="24"/>
        </w:rPr>
        <w:t xml:space="preserve"> tieši modern</w:t>
      </w:r>
      <w:r>
        <w:rPr>
          <w:rFonts w:ascii="Calibri" w:hAnsi="Calibri" w:cs="Times New Roman"/>
          <w:szCs w:val="24"/>
        </w:rPr>
        <w:t>o</w:t>
      </w:r>
      <w:r w:rsidRPr="000E5785">
        <w:rPr>
          <w:rFonts w:ascii="Calibri" w:hAnsi="Calibri" w:cs="Times New Roman"/>
          <w:szCs w:val="24"/>
        </w:rPr>
        <w:t xml:space="preserve"> biodegviel</w:t>
      </w:r>
      <w:r>
        <w:rPr>
          <w:rFonts w:ascii="Calibri" w:hAnsi="Calibri" w:cs="Times New Roman"/>
          <w:szCs w:val="24"/>
        </w:rPr>
        <w:t xml:space="preserve">u </w:t>
      </w:r>
      <w:r w:rsidRPr="000E5785">
        <w:rPr>
          <w:rFonts w:ascii="Calibri" w:hAnsi="Calibri" w:cs="Times New Roman"/>
          <w:szCs w:val="24"/>
        </w:rPr>
        <w:t>un/ vai biometāna</w:t>
      </w:r>
      <w:r>
        <w:rPr>
          <w:rFonts w:ascii="Calibri" w:hAnsi="Calibri" w:cs="Times New Roman"/>
          <w:szCs w:val="24"/>
        </w:rPr>
        <w:t xml:space="preserve"> ražošanai.</w:t>
      </w:r>
    </w:p>
    <w:p w14:paraId="76B5C4AA" w14:textId="191FB2BA" w:rsidR="00F37EA7" w:rsidRPr="000E5785" w:rsidRDefault="00F37EA7" w:rsidP="00F37EA7">
      <w:pPr>
        <w:spacing w:before="120" w:after="120" w:line="240" w:lineRule="auto"/>
        <w:jc w:val="both"/>
        <w:rPr>
          <w:rFonts w:ascii="Calibri" w:hAnsi="Calibri" w:cs="Times New Roman"/>
          <w:szCs w:val="24"/>
          <w:u w:val="single"/>
        </w:rPr>
      </w:pPr>
      <w:r w:rsidRPr="000E5785">
        <w:rPr>
          <w:rFonts w:ascii="Calibri" w:hAnsi="Calibri" w:cs="Times New Roman"/>
          <w:szCs w:val="24"/>
          <w:u w:val="single"/>
        </w:rPr>
        <w:t xml:space="preserve">3) </w:t>
      </w:r>
      <w:r>
        <w:rPr>
          <w:rFonts w:ascii="Calibri" w:hAnsi="Calibri" w:cs="Times New Roman"/>
          <w:szCs w:val="24"/>
          <w:u w:val="single"/>
        </w:rPr>
        <w:t>pieaugošs</w:t>
      </w:r>
      <w:r w:rsidRPr="000E5785">
        <w:rPr>
          <w:rFonts w:ascii="Calibri" w:hAnsi="Calibri" w:cs="Times New Roman"/>
          <w:b/>
          <w:bCs/>
          <w:szCs w:val="24"/>
          <w:u w:val="single"/>
        </w:rPr>
        <w:t xml:space="preserve"> privāto transportlīdzekļu un arvien mazāks sabiedriskā transporta</w:t>
      </w:r>
      <w:r w:rsidRPr="000E5785">
        <w:rPr>
          <w:rFonts w:ascii="Calibri" w:hAnsi="Calibri" w:cs="Times New Roman"/>
          <w:szCs w:val="24"/>
          <w:u w:val="single"/>
        </w:rPr>
        <w:t xml:space="preserve"> lietojums</w:t>
      </w:r>
    </w:p>
    <w:p w14:paraId="3646AFAF" w14:textId="77777777" w:rsidR="00F37EA7" w:rsidRPr="000E5785"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Uz 2019.gada 1.maiju Latvijā apdrošināti un tehniskā kārtībā esoši bija apmēram 820 tūkst transportlīdzekļu, no kuriem 78,6% bija vieglie auto transportlīdzekļi. Savukārt uz 2019.gada 1.aprīli Latvijā tika izsniegtas un bija derīgas  gandrīz 860 tūkst. auto vadītāju apliecības. Līdz ar to ir secināms, ka statistiski Latvijā gandrīz katram auto vadītāja apliecības turētājam ir reģistrēts viens vieglais auto transportlīdzeklis.</w:t>
      </w:r>
      <w:r>
        <w:rPr>
          <w:rFonts w:ascii="Calibri" w:hAnsi="Calibri" w:cs="Times New Roman"/>
          <w:szCs w:val="24"/>
        </w:rPr>
        <w:t xml:space="preserve"> </w:t>
      </w:r>
      <w:r w:rsidRPr="009B65F1">
        <w:rPr>
          <w:rFonts w:ascii="Calibri" w:hAnsi="Calibri" w:cs="Times New Roman"/>
          <w:szCs w:val="24"/>
        </w:rPr>
        <w:t>Šobrīd Latvijā vidējais braucēju skaits vienā vieglajā automobilī ir no 1,6 līdz 1,9 personām. Uz 1000 iedzīvotāju ir reģistrēti vairāk nekā 350 automobiļi, kuru skaits turpina palielināties, īpaši Rīgā un Pierīgā</w:t>
      </w:r>
      <w:r>
        <w:rPr>
          <w:rStyle w:val="FootnoteReference"/>
          <w:rFonts w:ascii="Calibri" w:hAnsi="Calibri"/>
        </w:rPr>
        <w:footnoteReference w:id="173"/>
      </w:r>
      <w:r w:rsidRPr="009B65F1">
        <w:rPr>
          <w:rFonts w:ascii="Calibri" w:hAnsi="Calibri" w:cs="Times New Roman"/>
          <w:szCs w:val="24"/>
        </w:rPr>
        <w:t>.</w:t>
      </w:r>
      <w:r>
        <w:rPr>
          <w:rFonts w:ascii="Calibri" w:hAnsi="Calibri" w:cs="Times New Roman"/>
          <w:szCs w:val="24"/>
        </w:rPr>
        <w:t xml:space="preserve"> </w:t>
      </w:r>
      <w:r w:rsidRPr="009B65F1">
        <w:rPr>
          <w:rFonts w:ascii="Calibri" w:hAnsi="Calibri" w:cs="Times New Roman"/>
          <w:szCs w:val="24"/>
        </w:rPr>
        <w:t xml:space="preserve">Līdz ar to veidojas arvien lielāki sastrēgumi, liekot iedzīvotājiem ik dienas vairāk laika pavadīt ceļā, kā arī atstājot negatīvu ietekmi uz </w:t>
      </w:r>
      <w:r>
        <w:rPr>
          <w:rFonts w:ascii="Calibri" w:hAnsi="Calibri" w:cs="Times New Roman"/>
          <w:szCs w:val="24"/>
        </w:rPr>
        <w:t>gaisa kvalitāti un klimata pārmaiņām</w:t>
      </w:r>
      <w:r w:rsidRPr="009B65F1">
        <w:rPr>
          <w:rFonts w:ascii="Calibri" w:hAnsi="Calibri" w:cs="Times New Roman"/>
          <w:szCs w:val="24"/>
        </w:rPr>
        <w:t>.</w:t>
      </w:r>
      <w:r>
        <w:rPr>
          <w:rFonts w:ascii="Calibri" w:hAnsi="Calibri" w:cs="Times New Roman"/>
          <w:szCs w:val="24"/>
        </w:rPr>
        <w:t xml:space="preserve"> B</w:t>
      </w:r>
      <w:r w:rsidRPr="009B65F1">
        <w:rPr>
          <w:rFonts w:ascii="Calibri" w:hAnsi="Calibri" w:cs="Times New Roman"/>
          <w:szCs w:val="24"/>
        </w:rPr>
        <w:t>iežāk izplatītākie iemesli, kāpēc tomēr atteikties no sabiedriskā transporta pakalpojumiem, ir iedzīvotāju rīcībā esošais privātais vai darba automobilis</w:t>
      </w:r>
      <w:r>
        <w:rPr>
          <w:rStyle w:val="FootnoteReference"/>
          <w:rFonts w:ascii="Calibri" w:hAnsi="Calibri"/>
        </w:rPr>
        <w:footnoteReference w:id="174"/>
      </w:r>
      <w:r>
        <w:rPr>
          <w:rFonts w:ascii="Calibri" w:hAnsi="Calibri" w:cs="Times New Roman"/>
          <w:szCs w:val="24"/>
        </w:rPr>
        <w:t>.</w:t>
      </w:r>
    </w:p>
    <w:p w14:paraId="50CEA537" w14:textId="77777777" w:rsidR="00F37EA7" w:rsidRPr="000E5785" w:rsidRDefault="00F37EA7" w:rsidP="007D4632">
      <w:pPr>
        <w:spacing w:before="120" w:after="120" w:line="240" w:lineRule="auto"/>
        <w:jc w:val="both"/>
        <w:rPr>
          <w:rFonts w:ascii="Calibri" w:hAnsi="Calibri" w:cs="Times New Roman"/>
          <w:szCs w:val="24"/>
        </w:rPr>
      </w:pPr>
      <w:r>
        <w:rPr>
          <w:rFonts w:ascii="Calibri" w:hAnsi="Calibri" w:cs="Times New Roman"/>
          <w:szCs w:val="24"/>
        </w:rPr>
        <w:t>P</w:t>
      </w:r>
      <w:r w:rsidRPr="000E5785">
        <w:rPr>
          <w:rFonts w:ascii="Calibri" w:hAnsi="Calibri" w:cs="Times New Roman"/>
          <w:szCs w:val="24"/>
        </w:rPr>
        <w:t>ēdējos piecos gados ir samazinājušies pasažieru pārvadājumi sabiedriskajā transportā, kur 2014.-2018.g. periodā pasažieru pārvadājumi trolejbusos ir samazinājušies par 12,1%, tramvajos – par 6,2%, regulārās satiksmes autobusos – par 4% un dzelzceļā – par 5,2%. Pasažieru pārvadājumi trolejbusos un tramvajos samazinās nepārtraukti katru gadu. 2017.-2018. ir novērojama pasažieru pārvadājumu apjoma palielinājums dzelzceļa transportā un regulārās satiksmes autobusos. Nepārtraukts pasažieru pārvadājumu apjoma pieaugums ir novērojams gaisa transportā.</w:t>
      </w:r>
      <w:r>
        <w:rPr>
          <w:rFonts w:ascii="Calibri" w:hAnsi="Calibri" w:cs="Times New Roman"/>
          <w:szCs w:val="24"/>
        </w:rPr>
        <w:t xml:space="preserve"> </w:t>
      </w:r>
      <w:r w:rsidRPr="000E5785">
        <w:rPr>
          <w:rFonts w:ascii="Calibri" w:hAnsi="Calibri" w:cs="Times New Roman"/>
          <w:szCs w:val="24"/>
        </w:rPr>
        <w:t>Ņemot vērā pasažieru pārvadājuma apjoma samazināšanos un nepārtrauktu degvielas patēriņa vieglajos auto transportlīdzekļos ir jāsecina, ka arvien biežām sabiedriskā transporta vietā tiek izmantots privātais transportlīdzeklis.</w:t>
      </w:r>
    </w:p>
    <w:p w14:paraId="22A50440" w14:textId="77777777" w:rsidR="00F37EA7" w:rsidRDefault="00F37EA7" w:rsidP="007D4632">
      <w:pPr>
        <w:spacing w:before="120" w:after="120" w:line="240" w:lineRule="auto"/>
        <w:jc w:val="both"/>
        <w:rPr>
          <w:rFonts w:ascii="Calibri" w:hAnsi="Calibri" w:cs="Times New Roman"/>
          <w:szCs w:val="24"/>
        </w:rPr>
      </w:pPr>
      <w:r w:rsidRPr="000E5785">
        <w:rPr>
          <w:rFonts w:ascii="Calibri" w:hAnsi="Calibri" w:cs="Times New Roman"/>
          <w:szCs w:val="24"/>
        </w:rPr>
        <w:t>Tāpat ir secināms, ka pēdējos gados, piemēram, Rīgas pilsētā nav izbūvēta jauna veloinfrastruktūra drošam un ērtam velotransporta izmantojumam, kā arī gājēju pārvietošanās Rīgas pilsētas ietvaros (īpaši centra daļā) nav cilvēkiem draudzīga un neveicina iedzīvotāju vēlmi pārvietoties ar kājām.</w:t>
      </w:r>
    </w:p>
    <w:p w14:paraId="46315B55" w14:textId="77777777" w:rsidR="00F37EA7" w:rsidRPr="000E5785" w:rsidRDefault="00F37EA7" w:rsidP="007D4632">
      <w:pPr>
        <w:shd w:val="clear" w:color="auto" w:fill="E7E6E6" w:themeFill="background2"/>
        <w:spacing w:before="120" w:after="120" w:line="240" w:lineRule="auto"/>
        <w:rPr>
          <w:rFonts w:ascii="Calibri" w:hAnsi="Calibri" w:cs="Times New Roman"/>
          <w:b/>
          <w:i/>
          <w:szCs w:val="24"/>
        </w:rPr>
      </w:pPr>
      <w:bookmarkStart w:id="546" w:name="_Hlk17725091"/>
      <w:r w:rsidRPr="000E5785">
        <w:rPr>
          <w:rFonts w:ascii="Calibri" w:hAnsi="Calibri" w:cs="Times New Roman"/>
          <w:b/>
          <w:i/>
          <w:sz w:val="28"/>
          <w:szCs w:val="28"/>
        </w:rPr>
        <w:t>Galvenais rīcības virziens</w:t>
      </w:r>
      <w:r w:rsidRPr="000E5785">
        <w:rPr>
          <w:rFonts w:ascii="Calibri" w:hAnsi="Calibri" w:cs="Times New Roman"/>
          <w:b/>
          <w:i/>
          <w:szCs w:val="24"/>
        </w:rPr>
        <w:t xml:space="preserve"> </w:t>
      </w:r>
      <w:bookmarkStart w:id="547" w:name="_Hlk19005975"/>
      <w:r w:rsidRPr="000E5785">
        <w:rPr>
          <w:rFonts w:ascii="Calibri" w:hAnsi="Calibri" w:cs="Times New Roman"/>
          <w:b/>
          <w:i/>
          <w:szCs w:val="24"/>
        </w:rPr>
        <w:t>(5. rīcības virziens)</w:t>
      </w:r>
      <w:bookmarkEnd w:id="547"/>
    </w:p>
    <w:p w14:paraId="6E89AEA2" w14:textId="77777777" w:rsidR="00F37EA7" w:rsidRPr="000E5785" w:rsidRDefault="00F37EA7" w:rsidP="007D4632">
      <w:pPr>
        <w:shd w:val="clear" w:color="auto" w:fill="E7E6E6" w:themeFill="background2"/>
        <w:spacing w:before="120" w:after="120" w:line="240" w:lineRule="auto"/>
        <w:jc w:val="both"/>
        <w:rPr>
          <w:rFonts w:ascii="Calibri" w:hAnsi="Calibri" w:cs="Times New Roman"/>
          <w:b/>
          <w:szCs w:val="24"/>
          <w:u w:val="single"/>
        </w:rPr>
      </w:pPr>
      <w:bookmarkStart w:id="548" w:name="_Hlk17733064"/>
      <w:bookmarkEnd w:id="546"/>
      <w:r w:rsidRPr="000E5785">
        <w:rPr>
          <w:rFonts w:ascii="Calibri" w:hAnsi="Calibri" w:cs="Times New Roman"/>
          <w:b/>
          <w:szCs w:val="24"/>
          <w:u w:val="single"/>
        </w:rPr>
        <w:t>Energoefektivitātes uzlabošana, alternatīvo degvielu  un AER tehnoloģiju izmantošanas veicināšana transportā</w:t>
      </w:r>
      <w:bookmarkEnd w:id="548"/>
    </w:p>
    <w:p w14:paraId="3E43BB68" w14:textId="77777777" w:rsidR="00F37EA7" w:rsidRPr="00812E5C" w:rsidRDefault="00F37EA7" w:rsidP="00F37EA7">
      <w:pPr>
        <w:spacing w:before="120" w:after="120" w:line="240" w:lineRule="auto"/>
        <w:jc w:val="both"/>
        <w:rPr>
          <w:rFonts w:ascii="Calibri" w:hAnsi="Calibri" w:cs="Times New Roman"/>
          <w:b/>
          <w:i/>
          <w:sz w:val="28"/>
          <w:szCs w:val="28"/>
          <w:u w:val="single"/>
        </w:rPr>
      </w:pPr>
      <w:bookmarkStart w:id="549" w:name="_Hlk14438212"/>
      <w:r w:rsidRPr="00812E5C">
        <w:rPr>
          <w:rFonts w:ascii="Calibri" w:hAnsi="Calibri" w:cs="Times New Roman"/>
          <w:b/>
          <w:i/>
          <w:sz w:val="28"/>
          <w:szCs w:val="28"/>
          <w:u w:val="single"/>
        </w:rPr>
        <w:t>Galvenās rīcības un pasākumi</w:t>
      </w:r>
    </w:p>
    <w:bookmarkEnd w:id="549"/>
    <w:p w14:paraId="47796032" w14:textId="0EDC798F" w:rsidR="00F37EA7" w:rsidRPr="000E5785" w:rsidRDefault="00F37EA7" w:rsidP="00F37EA7">
      <w:pPr>
        <w:spacing w:before="120" w:after="120" w:line="240" w:lineRule="auto"/>
        <w:jc w:val="both"/>
        <w:rPr>
          <w:rFonts w:ascii="Calibri" w:hAnsi="Calibri" w:cs="Times New Roman"/>
          <w:szCs w:val="24"/>
          <w:u w:val="single"/>
        </w:rPr>
      </w:pPr>
      <w:r w:rsidRPr="000E5785">
        <w:rPr>
          <w:rFonts w:ascii="Calibri" w:hAnsi="Calibri" w:cs="Times New Roman"/>
          <w:szCs w:val="24"/>
          <w:u w:val="single"/>
        </w:rPr>
        <w:t xml:space="preserve">1) Samazināt privāto </w:t>
      </w:r>
      <w:r w:rsidRPr="000E5785">
        <w:rPr>
          <w:rFonts w:ascii="Calibri" w:hAnsi="Calibri" w:cs="Times New Roman"/>
          <w:b/>
          <w:bCs/>
          <w:szCs w:val="24"/>
          <w:u w:val="single"/>
        </w:rPr>
        <w:t xml:space="preserve">transportlīdzekļu lietojumu un optimizēt transporta kustību </w:t>
      </w:r>
      <w:r w:rsidRPr="000E5785">
        <w:rPr>
          <w:rFonts w:ascii="Calibri" w:hAnsi="Calibri" w:cs="Times New Roman"/>
          <w:szCs w:val="24"/>
          <w:u w:val="single"/>
        </w:rPr>
        <w:t>(</w:t>
      </w:r>
      <w:r>
        <w:rPr>
          <w:rFonts w:ascii="Calibri" w:hAnsi="Calibri" w:cs="Times New Roman"/>
          <w:szCs w:val="24"/>
          <w:u w:val="single"/>
        </w:rPr>
        <w:t>H.1, pasākums, 5.5., 5.6.</w:t>
      </w:r>
      <w:r w:rsidRPr="000E5785">
        <w:rPr>
          <w:rFonts w:ascii="Calibri" w:hAnsi="Calibri" w:cs="Times New Roman"/>
          <w:szCs w:val="24"/>
          <w:u w:val="single"/>
        </w:rPr>
        <w:t>- 5.1</w:t>
      </w:r>
      <w:r>
        <w:rPr>
          <w:rFonts w:ascii="Calibri" w:hAnsi="Calibri" w:cs="Times New Roman"/>
          <w:szCs w:val="24"/>
          <w:u w:val="single"/>
        </w:rPr>
        <w:t>3</w:t>
      </w:r>
      <w:r w:rsidRPr="000E5785">
        <w:rPr>
          <w:rFonts w:ascii="Calibri" w:hAnsi="Calibri" w:cs="Times New Roman"/>
          <w:szCs w:val="24"/>
          <w:u w:val="single"/>
        </w:rPr>
        <w:t>.pasākums)</w:t>
      </w:r>
    </w:p>
    <w:p w14:paraId="166C28B8" w14:textId="77777777" w:rsidR="00F37EA7" w:rsidRPr="000E5785"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Privāto transportlīdzekļu lietojuma samazināšanai primāri tiek piedāvāts pilnveidot sabiedriskā transporta izmantošanas iespējas, veicināt velosatiksmes attīstību, veicināt gājēju infrastruktūras uzlabošanu un kopumā samazināt iedzīvotāju nepieciešamību pārvietoties. Savukārt, lai sekmētu transporta novirzīšanu no pilsētu centriem ir jārada apstākļi daudzfunkcionālu loģistikas centru attīstībai un jāveicina</w:t>
      </w:r>
      <w:r w:rsidRPr="000E5785">
        <w:rPr>
          <w:rFonts w:ascii="Calibri" w:hAnsi="Calibri"/>
          <w:szCs w:val="24"/>
        </w:rPr>
        <w:t xml:space="preserve"> sabiedriskā transporta multimodālo punktu izveidi. </w:t>
      </w:r>
    </w:p>
    <w:p w14:paraId="4E62EA6B" w14:textId="2DAEDDC0" w:rsidR="00F37EA7" w:rsidRPr="000E5785"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 xml:space="preserve">Plānotie privāto transportlīdzekļu izmantošanas apjoma samazināšanas pasākumi galvenokārt ir iezīmēti, koncentrējoties uz </w:t>
      </w:r>
      <w:r w:rsidR="003E5124">
        <w:rPr>
          <w:rFonts w:ascii="Calibri" w:hAnsi="Calibri" w:cs="Times New Roman"/>
          <w:szCs w:val="24"/>
        </w:rPr>
        <w:t>lielajām pilsētām (</w:t>
      </w:r>
      <w:r w:rsidR="003E5124" w:rsidRPr="003E5124">
        <w:rPr>
          <w:rFonts w:ascii="Calibri" w:hAnsi="Calibri" w:cs="Times New Roman"/>
          <w:szCs w:val="24"/>
        </w:rPr>
        <w:t>pilsētām ar iedzīvotāju skaitu lielāku nekā 20 tūkst.</w:t>
      </w:r>
      <w:r w:rsidR="003E5124">
        <w:rPr>
          <w:rFonts w:ascii="Calibri" w:hAnsi="Calibri" w:cs="Times New Roman"/>
          <w:szCs w:val="24"/>
        </w:rPr>
        <w:t xml:space="preserve">), bet īpaši uz </w:t>
      </w:r>
      <w:r w:rsidRPr="000E5785">
        <w:rPr>
          <w:rFonts w:ascii="Calibri" w:hAnsi="Calibri" w:cs="Times New Roman"/>
          <w:szCs w:val="24"/>
        </w:rPr>
        <w:t>Rīgas pilsētu un aglomerāciju, Rīgas pilsētā un Pierīgā, ņemot vērā iedzīvotāju skaitu Rīgā un Pierīgas pašvaldībās, cita starpā tāpēc, ka Rīgas pilsētā un Pierīgas pašvaldībās ir apmēram 50% no visiem Latvijā uz 2019.gada 1.janvāri reģistrētajiem vieglajiem transportlīdzekļiem</w:t>
      </w:r>
      <w:r w:rsidR="003E5124">
        <w:rPr>
          <w:rFonts w:ascii="Calibri" w:hAnsi="Calibri" w:cs="Times New Roman"/>
          <w:szCs w:val="24"/>
        </w:rPr>
        <w:t>.</w:t>
      </w:r>
      <w:r w:rsidRPr="000E5785">
        <w:rPr>
          <w:rFonts w:ascii="Calibri" w:hAnsi="Calibri" w:cs="Times New Roman"/>
          <w:szCs w:val="24"/>
        </w:rPr>
        <w:t xml:space="preserve"> </w:t>
      </w:r>
    </w:p>
    <w:p w14:paraId="43C7E0F7" w14:textId="78818A8A" w:rsidR="00F37EA7" w:rsidRPr="000E5785" w:rsidRDefault="00F37EA7" w:rsidP="00F37EA7">
      <w:pPr>
        <w:spacing w:before="120" w:after="120" w:line="240" w:lineRule="auto"/>
        <w:jc w:val="both"/>
        <w:rPr>
          <w:rFonts w:ascii="Calibri" w:hAnsi="Calibri" w:cs="Times New Roman"/>
          <w:szCs w:val="24"/>
          <w:u w:val="single"/>
        </w:rPr>
      </w:pPr>
      <w:r w:rsidRPr="000E5785">
        <w:rPr>
          <w:rFonts w:ascii="Calibri" w:hAnsi="Calibri" w:cs="Times New Roman"/>
          <w:szCs w:val="24"/>
          <w:u w:val="single"/>
        </w:rPr>
        <w:t>2) Veicināt naftas produktiem alternatīvu energoresursu izmantošanu (</w:t>
      </w:r>
      <w:r>
        <w:rPr>
          <w:rFonts w:ascii="Calibri" w:hAnsi="Calibri" w:cs="Times New Roman"/>
          <w:szCs w:val="24"/>
          <w:u w:val="single"/>
        </w:rPr>
        <w:t xml:space="preserve">H.2 pasākums, </w:t>
      </w:r>
      <w:r w:rsidRPr="000E5785">
        <w:rPr>
          <w:rFonts w:ascii="Calibri" w:hAnsi="Calibri" w:cs="Times New Roman"/>
          <w:szCs w:val="24"/>
          <w:u w:val="single"/>
        </w:rPr>
        <w:t>5.</w:t>
      </w:r>
      <w:r>
        <w:rPr>
          <w:rFonts w:ascii="Calibri" w:hAnsi="Calibri" w:cs="Times New Roman"/>
          <w:szCs w:val="24"/>
          <w:u w:val="single"/>
        </w:rPr>
        <w:t>1., 5.2., 5.3.</w:t>
      </w:r>
      <w:r w:rsidR="004A3F05">
        <w:rPr>
          <w:rFonts w:ascii="Calibri" w:hAnsi="Calibri" w:cs="Times New Roman"/>
          <w:szCs w:val="24"/>
          <w:u w:val="single"/>
        </w:rPr>
        <w:t>, 5.4., 5.14.</w:t>
      </w:r>
      <w:r w:rsidRPr="000E5785">
        <w:rPr>
          <w:rFonts w:ascii="Calibri" w:hAnsi="Calibri" w:cs="Times New Roman"/>
          <w:szCs w:val="24"/>
          <w:u w:val="single"/>
        </w:rPr>
        <w:t>pasākums)</w:t>
      </w:r>
    </w:p>
    <w:p w14:paraId="660E3241" w14:textId="287DDEDA" w:rsidR="00F37EA7"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Energoefektivitāti transportā var uzlabot, nodrošinot pāreju uz dažādām alternatīvajām degvielām, primāri</w:t>
      </w:r>
      <w:r>
        <w:rPr>
          <w:rFonts w:ascii="Calibri" w:hAnsi="Calibri" w:cs="Times New Roman"/>
          <w:szCs w:val="24"/>
        </w:rPr>
        <w:t xml:space="preserve">  </w:t>
      </w:r>
      <w:r w:rsidRPr="000E5785">
        <w:rPr>
          <w:rFonts w:ascii="Calibri" w:hAnsi="Calibri" w:cs="Times New Roman"/>
          <w:szCs w:val="24"/>
        </w:rPr>
        <w:t>elektroenerģiju</w:t>
      </w:r>
      <w:r>
        <w:rPr>
          <w:rFonts w:ascii="Calibri" w:hAnsi="Calibri" w:cs="Times New Roman"/>
          <w:szCs w:val="24"/>
        </w:rPr>
        <w:t>,</w:t>
      </w:r>
      <w:r w:rsidRPr="000E5785">
        <w:rPr>
          <w:rFonts w:ascii="Calibri" w:hAnsi="Calibri" w:cs="Times New Roman"/>
          <w:szCs w:val="24"/>
        </w:rPr>
        <w:t xml:space="preserve"> </w:t>
      </w:r>
      <w:r>
        <w:rPr>
          <w:rFonts w:ascii="Calibri" w:hAnsi="Calibri" w:cs="Times New Roman"/>
          <w:szCs w:val="24"/>
        </w:rPr>
        <w:t xml:space="preserve">biodegvielu (tostarp biometānu), </w:t>
      </w:r>
      <w:r w:rsidRPr="000E5785">
        <w:rPr>
          <w:rFonts w:ascii="Calibri" w:hAnsi="Calibri" w:cs="Times New Roman"/>
          <w:szCs w:val="24"/>
        </w:rPr>
        <w:t>CNG/LNG</w:t>
      </w:r>
      <w:r>
        <w:rPr>
          <w:rFonts w:ascii="Calibri" w:hAnsi="Calibri" w:cs="Times New Roman"/>
          <w:szCs w:val="24"/>
        </w:rPr>
        <w:t>, nākotnē arī ūdeņradi</w:t>
      </w:r>
      <w:r w:rsidRPr="000E5785">
        <w:rPr>
          <w:rFonts w:ascii="Calibri" w:hAnsi="Calibri" w:cs="Times New Roman"/>
          <w:szCs w:val="24"/>
        </w:rPr>
        <w:t>. Lai šādu pāreju veicinātu, ir nepieciešams īstenot kompleksus pasākumus – izveidot alternatīvo degvielu infrastruktūru, lai būtu iespējams Latvijā izmantot ar alternatīvajām degvielām darbināmus transportlīdzekļus, un vienlaicīgi veicināt attiecīgo transportlīdzekļu (īpaši CO</w:t>
      </w:r>
      <w:r w:rsidRPr="000E5785">
        <w:rPr>
          <w:rFonts w:ascii="Calibri" w:hAnsi="Calibri" w:cs="Times New Roman"/>
          <w:szCs w:val="24"/>
          <w:vertAlign w:val="subscript"/>
        </w:rPr>
        <w:t>2</w:t>
      </w:r>
      <w:r w:rsidRPr="000E5785">
        <w:rPr>
          <w:rFonts w:ascii="Calibri" w:hAnsi="Calibri" w:cs="Times New Roman"/>
          <w:szCs w:val="24"/>
        </w:rPr>
        <w:t xml:space="preserve"> emisiju mazietilpīgāko), bet jo īpaši </w:t>
      </w:r>
      <w:r w:rsidR="003E5124">
        <w:rPr>
          <w:rFonts w:ascii="Calibri" w:hAnsi="Calibri" w:cs="Times New Roman"/>
          <w:szCs w:val="24"/>
        </w:rPr>
        <w:t>bez</w:t>
      </w:r>
      <w:r w:rsidRPr="000E5785">
        <w:rPr>
          <w:rFonts w:ascii="Calibri" w:hAnsi="Calibri" w:cs="Times New Roman"/>
          <w:szCs w:val="24"/>
        </w:rPr>
        <w:t>emisiju transportlīdzekļu iegādi gan privātpersonām un komersantiem, gan publiskajos iepirkumos. Tāpat, lai vēl papildus veicinātu alternatīvo degvielu transportlīdzekļu izmantošanu Latvijā ir nepieciešams noteikt konkrētu pakalpojumu sniedzējiem veikt transportlīdzekļu nomaiņu vai pārbūvi uz alternatīvo degvielu izmantošanu.</w:t>
      </w:r>
    </w:p>
    <w:p w14:paraId="38DD3904" w14:textId="77777777" w:rsidR="00F37EA7" w:rsidRPr="000E5785" w:rsidRDefault="00F37EA7" w:rsidP="00F37EA7">
      <w:pPr>
        <w:spacing w:before="120" w:after="120" w:line="240" w:lineRule="auto"/>
        <w:jc w:val="both"/>
        <w:rPr>
          <w:rFonts w:ascii="Calibri" w:hAnsi="Calibri" w:cs="Times New Roman"/>
          <w:szCs w:val="24"/>
          <w:u w:val="single"/>
        </w:rPr>
      </w:pPr>
      <w:r w:rsidRPr="000E5785">
        <w:rPr>
          <w:rFonts w:ascii="Calibri" w:hAnsi="Calibri" w:cs="Times New Roman"/>
          <w:szCs w:val="24"/>
          <w:u w:val="single"/>
        </w:rPr>
        <w:t xml:space="preserve">3) </w:t>
      </w:r>
      <w:r>
        <w:rPr>
          <w:rFonts w:ascii="Calibri" w:hAnsi="Calibri" w:cs="Times New Roman"/>
          <w:b/>
          <w:bCs/>
          <w:szCs w:val="24"/>
          <w:u w:val="single"/>
        </w:rPr>
        <w:t>P</w:t>
      </w:r>
      <w:r w:rsidRPr="000E5785">
        <w:rPr>
          <w:rFonts w:ascii="Calibri" w:hAnsi="Calibri" w:cs="Times New Roman"/>
          <w:b/>
          <w:bCs/>
          <w:szCs w:val="24"/>
          <w:u w:val="single"/>
        </w:rPr>
        <w:t>alielināt</w:t>
      </w:r>
      <w:r w:rsidRPr="000E5785">
        <w:rPr>
          <w:rFonts w:ascii="Calibri" w:hAnsi="Calibri" w:cs="Times New Roman"/>
          <w:szCs w:val="24"/>
          <w:u w:val="single"/>
        </w:rPr>
        <w:t xml:space="preserve"> transportlīdzekļos izmantoto </w:t>
      </w:r>
      <w:r w:rsidRPr="000E5785">
        <w:rPr>
          <w:rFonts w:ascii="Calibri" w:hAnsi="Calibri" w:cs="Times New Roman"/>
          <w:b/>
          <w:bCs/>
          <w:szCs w:val="24"/>
          <w:u w:val="single"/>
        </w:rPr>
        <w:t>AER apjomu</w:t>
      </w:r>
      <w:r>
        <w:rPr>
          <w:rFonts w:ascii="Calibri" w:hAnsi="Calibri" w:cs="Times New Roman"/>
          <w:szCs w:val="24"/>
          <w:u w:val="single"/>
        </w:rPr>
        <w:t xml:space="preserve"> </w:t>
      </w:r>
      <w:r w:rsidRPr="000E5785">
        <w:rPr>
          <w:rFonts w:ascii="Calibri" w:hAnsi="Calibri" w:cs="Times New Roman"/>
          <w:szCs w:val="24"/>
          <w:u w:val="single"/>
        </w:rPr>
        <w:t>(</w:t>
      </w:r>
      <w:r>
        <w:rPr>
          <w:rFonts w:ascii="Calibri" w:hAnsi="Calibri" w:cs="Times New Roman"/>
          <w:szCs w:val="24"/>
          <w:u w:val="single"/>
        </w:rPr>
        <w:t xml:space="preserve">H.5 un H.6 pasākums, </w:t>
      </w:r>
      <w:r w:rsidRPr="000E5785">
        <w:rPr>
          <w:rFonts w:ascii="Calibri" w:hAnsi="Calibri" w:cs="Times New Roman"/>
          <w:szCs w:val="24"/>
          <w:u w:val="single"/>
        </w:rPr>
        <w:t>5.1., 5.2., 5.</w:t>
      </w:r>
      <w:r>
        <w:rPr>
          <w:rFonts w:ascii="Calibri" w:hAnsi="Calibri" w:cs="Times New Roman"/>
          <w:szCs w:val="24"/>
          <w:u w:val="single"/>
        </w:rPr>
        <w:t>3</w:t>
      </w:r>
      <w:r w:rsidRPr="000E5785">
        <w:rPr>
          <w:rFonts w:ascii="Calibri" w:hAnsi="Calibri" w:cs="Times New Roman"/>
          <w:szCs w:val="24"/>
          <w:u w:val="single"/>
        </w:rPr>
        <w:t>.,</w:t>
      </w:r>
      <w:r>
        <w:rPr>
          <w:rFonts w:ascii="Calibri" w:hAnsi="Calibri" w:cs="Times New Roman"/>
          <w:szCs w:val="24"/>
          <w:u w:val="single"/>
        </w:rPr>
        <w:t xml:space="preserve"> 5.4.</w:t>
      </w:r>
      <w:r w:rsidRPr="000E5785">
        <w:rPr>
          <w:rFonts w:ascii="Calibri" w:hAnsi="Calibri" w:cs="Times New Roman"/>
          <w:szCs w:val="24"/>
          <w:u w:val="single"/>
        </w:rPr>
        <w:t>pasākums)</w:t>
      </w:r>
    </w:p>
    <w:p w14:paraId="19E130D6" w14:textId="77777777" w:rsidR="00F37EA7" w:rsidRPr="000E5785"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Modernas biodegvielas</w:t>
      </w:r>
      <w:r>
        <w:rPr>
          <w:rFonts w:ascii="Calibri" w:hAnsi="Calibri" w:cs="Times New Roman"/>
          <w:szCs w:val="24"/>
        </w:rPr>
        <w:t xml:space="preserve"> un biogāzes</w:t>
      </w:r>
      <w:r w:rsidRPr="000E5785">
        <w:rPr>
          <w:rFonts w:ascii="Calibri" w:hAnsi="Calibri" w:cs="Times New Roman"/>
          <w:szCs w:val="24"/>
        </w:rPr>
        <w:t xml:space="preserve"> (arī biometāns), kas iegūtas no dažādiem atkritumiem un atlikumproduktiem nodrošina lielus SEG  emisiju ietaupījumus ar mazu netiešas zemes izmantošanas maiņas risku. Turklāt aprēķinot no AER iegūtas enerģijas īpatsvaru, šāda veida biodegvielām ir privilēģijas salīdzinot ar tradicionālajām biodegvielām, jo to enerģijas daudzumu ES mērķu sasniegšanai var uzskaitīt divkārši.    </w:t>
      </w:r>
    </w:p>
    <w:p w14:paraId="6F1B482C" w14:textId="77777777" w:rsidR="00F37EA7" w:rsidRDefault="00F37EA7" w:rsidP="00F37EA7">
      <w:pPr>
        <w:spacing w:before="120" w:after="120" w:line="240" w:lineRule="auto"/>
        <w:jc w:val="both"/>
        <w:rPr>
          <w:rFonts w:ascii="Calibri" w:hAnsi="Calibri" w:cs="Times New Roman"/>
          <w:szCs w:val="24"/>
        </w:rPr>
      </w:pPr>
      <w:r w:rsidRPr="000E5785">
        <w:rPr>
          <w:rFonts w:ascii="Calibri" w:hAnsi="Calibri" w:cs="Times New Roman"/>
          <w:szCs w:val="24"/>
        </w:rPr>
        <w:t xml:space="preserve">Lai ilgtermiņā nodrošinātu, ka AER īpatsvars tiek paaugstināts izmantojot vietējos energoresursus, kā arī ņemot vērā pieejamos resursus lauksaimniecības un atkritumu sektorā, kā arī jau izveidotās biogāzes ražotnes un veiktās investīcijas tajās, ir jāveicina biogāzes attīrīšanas iekārtu uzstādīšana, jāpilnveido biometāna izmantošanas infrastruktūra, kā arī jāveicina tā patēriņš sabiedriskajā transportā un komerctransportā. </w:t>
      </w:r>
    </w:p>
    <w:p w14:paraId="04ACB64D" w14:textId="77777777" w:rsidR="00F37EA7" w:rsidRPr="00812E5C" w:rsidRDefault="00F37EA7" w:rsidP="00F37EA7">
      <w:pPr>
        <w:spacing w:before="120" w:after="120" w:line="240" w:lineRule="auto"/>
        <w:jc w:val="both"/>
        <w:rPr>
          <w:rFonts w:ascii="Calibri" w:hAnsi="Calibri" w:cs="Times New Roman"/>
          <w:b/>
          <w:i/>
          <w:sz w:val="28"/>
          <w:szCs w:val="28"/>
          <w:u w:val="single"/>
        </w:rPr>
      </w:pPr>
      <w:bookmarkStart w:id="550" w:name="_Hlk20749456"/>
      <w:r>
        <w:rPr>
          <w:rFonts w:ascii="Calibri" w:hAnsi="Calibri" w:cs="Times New Roman"/>
          <w:b/>
          <w:i/>
          <w:sz w:val="28"/>
          <w:szCs w:val="28"/>
          <w:u w:val="single"/>
        </w:rPr>
        <w:t>Reģionālā sadarbība</w:t>
      </w:r>
    </w:p>
    <w:bookmarkEnd w:id="550"/>
    <w:p w14:paraId="70DA5441" w14:textId="77777777" w:rsidR="00F37EA7" w:rsidRPr="00087AC9" w:rsidRDefault="00F37EA7" w:rsidP="00F37EA7">
      <w:pPr>
        <w:spacing w:before="120" w:after="120" w:line="240" w:lineRule="auto"/>
        <w:jc w:val="both"/>
        <w:rPr>
          <w:rFonts w:ascii="Calibri" w:hAnsi="Calibri" w:cs="Times New Roman"/>
          <w:szCs w:val="24"/>
        </w:rPr>
      </w:pPr>
      <w:r w:rsidRPr="00087AC9">
        <w:rPr>
          <w:rFonts w:ascii="Calibri" w:hAnsi="Calibri" w:cs="Times New Roman"/>
          <w:szCs w:val="24"/>
        </w:rPr>
        <w:t>Reģionālā sadarbība transporta sektorā ir īstenojama Baltijas valstu starpā attiecībā uz biometāna ražošanu un izmantošanas, kur ar izveidotu reģionālu izcelsmes apliecinājumu sistēmu biometāns var tikt izmantots visā reģionā, neskatoties uz to, kur tas ir saražots.</w:t>
      </w:r>
    </w:p>
    <w:p w14:paraId="02DF28DE" w14:textId="77777777" w:rsidR="00F37EA7" w:rsidRDefault="00F37EA7" w:rsidP="00F37EA7">
      <w:pPr>
        <w:spacing w:before="120" w:after="120" w:line="240" w:lineRule="auto"/>
        <w:jc w:val="both"/>
        <w:rPr>
          <w:rFonts w:ascii="Calibri" w:hAnsi="Calibri" w:cs="Times New Roman"/>
          <w:szCs w:val="24"/>
        </w:rPr>
      </w:pPr>
      <w:r w:rsidRPr="00087AC9">
        <w:rPr>
          <w:rFonts w:ascii="Calibri" w:hAnsi="Calibri" w:cs="Times New Roman"/>
          <w:szCs w:val="24"/>
        </w:rPr>
        <w:t>Tāpat, lai būtis</w:t>
      </w:r>
      <w:r>
        <w:rPr>
          <w:rFonts w:ascii="Calibri" w:hAnsi="Calibri" w:cs="Times New Roman"/>
          <w:szCs w:val="24"/>
        </w:rPr>
        <w:t>ki samazinātu slogu un atvieglotu praktiskos apgrūtinājumus degvielas piegādātājiem reģionālā līmenī ir iespējama vienošanās par vienādiem vai līdzvērtīgiem biodegvielas piejaukuma obligātajiem apjomiem. Tādējādi degvielas piegādātāji, kas darbojas vairākās Baltijas valstīs, nebūs spiesti pielāgoties atsevišķi katras valsts noteiktajām prasībām.</w:t>
      </w:r>
    </w:p>
    <w:p w14:paraId="462F8BD0" w14:textId="77777777" w:rsidR="00F37EA7" w:rsidRPr="00087AC9" w:rsidRDefault="00F37EA7" w:rsidP="00F37EA7">
      <w:pPr>
        <w:spacing w:before="120" w:after="120" w:line="240" w:lineRule="auto"/>
        <w:jc w:val="both"/>
        <w:rPr>
          <w:rFonts w:ascii="Calibri" w:hAnsi="Calibri" w:cs="Times New Roman"/>
          <w:szCs w:val="24"/>
        </w:rPr>
      </w:pPr>
      <w:r>
        <w:rPr>
          <w:rFonts w:ascii="Calibri" w:hAnsi="Calibri" w:cs="Times New Roman"/>
          <w:szCs w:val="24"/>
        </w:rPr>
        <w:t>Tāpat, lai mazinātu dažādu nodokļu likmju un apmēru izraisītu pārrobežu degvielas uzpildes problemātiku, kur degvielas uzpilde tiek veikta vienā valstī un līdz ar to arī tiek ieskaitīta šīs valsts enerģijas galapatēriņā, un šīs degvielas izmantošana tiek ieskaitīta šīs valsts SEG emisiju bilancē, reģionālā līmenī ir iespējama vienošanās par vienādām vai būtiski pielīdzinātām akcīzes nodokļa likmēm valstī izmantotajai degvielai.</w:t>
      </w:r>
    </w:p>
    <w:p w14:paraId="29138920" w14:textId="77777777" w:rsidR="00F37EA7" w:rsidRPr="000E5785" w:rsidRDefault="00F37EA7" w:rsidP="00F37EA7">
      <w:pPr>
        <w:shd w:val="clear" w:color="auto" w:fill="E7E6E6" w:themeFill="background2"/>
        <w:spacing w:before="120" w:after="120" w:line="240" w:lineRule="auto"/>
        <w:jc w:val="both"/>
        <w:rPr>
          <w:rFonts w:ascii="Calibri" w:hAnsi="Calibri" w:cs="Times New Roman"/>
          <w:b/>
          <w:i/>
          <w:sz w:val="28"/>
          <w:szCs w:val="28"/>
        </w:rPr>
      </w:pPr>
      <w:bookmarkStart w:id="551" w:name="_Hlk14437886"/>
      <w:r w:rsidRPr="000E5785">
        <w:rPr>
          <w:rFonts w:ascii="Calibri" w:hAnsi="Calibri" w:cs="Times New Roman"/>
          <w:b/>
          <w:i/>
          <w:sz w:val="28"/>
          <w:szCs w:val="28"/>
        </w:rPr>
        <w:t>Saistītie rīcības virzieni</w:t>
      </w:r>
    </w:p>
    <w:p w14:paraId="6D8063F1" w14:textId="77777777" w:rsidR="00F37EA7" w:rsidRPr="000E5785" w:rsidRDefault="00F37EA7" w:rsidP="00F37EA7">
      <w:pPr>
        <w:shd w:val="clear" w:color="auto" w:fill="E7E6E6" w:themeFill="background2"/>
        <w:spacing w:before="120" w:after="120" w:line="240" w:lineRule="auto"/>
        <w:jc w:val="both"/>
        <w:rPr>
          <w:rFonts w:ascii="Calibri" w:hAnsi="Calibri" w:cs="Times New Roman"/>
          <w:bCs/>
          <w:iCs/>
          <w:szCs w:val="24"/>
        </w:rPr>
      </w:pPr>
      <w:bookmarkStart w:id="552" w:name="_Hlk17725183"/>
      <w:r w:rsidRPr="000E5785">
        <w:rPr>
          <w:rFonts w:ascii="Calibri" w:hAnsi="Calibri" w:cs="Times New Roman"/>
          <w:bCs/>
          <w:iCs/>
          <w:szCs w:val="24"/>
        </w:rPr>
        <w:t xml:space="preserve">1) </w:t>
      </w:r>
      <w:bookmarkStart w:id="553" w:name="_Hlk19099640"/>
      <w:r w:rsidRPr="000E5785">
        <w:rPr>
          <w:rFonts w:ascii="Calibri" w:hAnsi="Calibri" w:cs="Times New Roman"/>
          <w:bCs/>
          <w:iCs/>
          <w:szCs w:val="24"/>
        </w:rPr>
        <w:t xml:space="preserve">Ēku energoefektivitātes uzlabošana (1. rīcības virziens), </w:t>
      </w:r>
      <w:bookmarkEnd w:id="552"/>
      <w:bookmarkEnd w:id="553"/>
      <w:r w:rsidRPr="000E5785">
        <w:rPr>
          <w:rFonts w:ascii="Calibri" w:hAnsi="Calibri" w:cs="Times New Roman"/>
          <w:bCs/>
          <w:iCs/>
          <w:szCs w:val="24"/>
        </w:rPr>
        <w:t>jo ēku energoefektivitātes uzlabošanas nosacījumu īstenošanā jaunbūvējamās ēkās tiks izveidotas ETL uzlādes vietas;</w:t>
      </w:r>
    </w:p>
    <w:p w14:paraId="71871427" w14:textId="77777777" w:rsidR="00F37EA7" w:rsidRPr="000E5785" w:rsidRDefault="00F37EA7" w:rsidP="00F37EA7">
      <w:pPr>
        <w:shd w:val="clear" w:color="auto" w:fill="E7E6E6" w:themeFill="background2"/>
        <w:spacing w:before="120" w:after="120" w:line="240" w:lineRule="auto"/>
        <w:jc w:val="both"/>
        <w:rPr>
          <w:rFonts w:ascii="Calibri" w:hAnsi="Calibri" w:cs="Times New Roman"/>
          <w:bCs/>
          <w:iCs/>
          <w:szCs w:val="24"/>
        </w:rPr>
      </w:pPr>
      <w:r w:rsidRPr="000E5785">
        <w:rPr>
          <w:rFonts w:ascii="Calibri" w:hAnsi="Calibri" w:cs="Times New Roman"/>
          <w:bCs/>
          <w:iCs/>
          <w:szCs w:val="24"/>
        </w:rPr>
        <w:t xml:space="preserve">2) </w:t>
      </w:r>
      <w:bookmarkStart w:id="554" w:name="_Hlk17732962"/>
      <w:r w:rsidRPr="000E5785">
        <w:rPr>
          <w:rFonts w:ascii="Calibri" w:hAnsi="Calibri" w:cs="Times New Roman"/>
          <w:bCs/>
          <w:iCs/>
          <w:szCs w:val="24"/>
        </w:rPr>
        <w:t xml:space="preserve">Energoefektivitātes uzlabošana un AER tehnoloģiju izmantošanas veicināšana siltumapgādē un aukstumapgādē, un rūpniecībā (2.rīcības virziens), </w:t>
      </w:r>
      <w:bookmarkEnd w:id="554"/>
      <w:r w:rsidRPr="000E5785">
        <w:rPr>
          <w:rFonts w:ascii="Calibri" w:hAnsi="Calibri" w:cs="Times New Roman"/>
          <w:bCs/>
          <w:iCs/>
          <w:szCs w:val="24"/>
        </w:rPr>
        <w:t>jo EPS paplašināšanā tiek piedāvāts EPS iekļaut arī degvielas piegādātājus;</w:t>
      </w:r>
    </w:p>
    <w:p w14:paraId="661D02E5" w14:textId="77777777" w:rsidR="00F37EA7" w:rsidRPr="000E5785" w:rsidRDefault="00F37EA7" w:rsidP="00F37EA7">
      <w:pPr>
        <w:shd w:val="clear" w:color="auto" w:fill="E7E6E6" w:themeFill="background2"/>
        <w:spacing w:before="120" w:after="120" w:line="240" w:lineRule="auto"/>
        <w:jc w:val="both"/>
        <w:rPr>
          <w:rFonts w:ascii="Calibri" w:hAnsi="Calibri" w:cs="Times New Roman"/>
          <w:bCs/>
          <w:iCs/>
          <w:szCs w:val="24"/>
        </w:rPr>
      </w:pPr>
      <w:r w:rsidRPr="000E5785">
        <w:rPr>
          <w:rFonts w:ascii="Calibri" w:hAnsi="Calibri" w:cs="Times New Roman"/>
          <w:bCs/>
          <w:iCs/>
          <w:szCs w:val="24"/>
        </w:rPr>
        <w:t xml:space="preserve">3) </w:t>
      </w:r>
      <w:bookmarkStart w:id="555" w:name="_Hlk17732984"/>
      <w:r w:rsidRPr="000E5785">
        <w:rPr>
          <w:rFonts w:ascii="Calibri" w:hAnsi="Calibri" w:cs="Times New Roman"/>
          <w:bCs/>
          <w:iCs/>
          <w:szCs w:val="24"/>
        </w:rPr>
        <w:t xml:space="preserve">Ne-emisiju tehnoloģiju izmantošanas veicināšana elektroenerģijās ražošanā (3. rīcības virziens), </w:t>
      </w:r>
      <w:bookmarkEnd w:id="555"/>
      <w:r w:rsidRPr="000E5785">
        <w:rPr>
          <w:rFonts w:ascii="Calibri" w:hAnsi="Calibri" w:cs="Times New Roman"/>
          <w:bCs/>
          <w:iCs/>
          <w:szCs w:val="24"/>
        </w:rPr>
        <w:t>jo AER īpatsvara elektroenerģijas ražošanā palielināšana nodrošinās lielāku devumu AER īpatsvara transportā mērķa sasniegšanā, jo mērķa sasniegšanā ņem vērā tikai no AER saražoto elektroenerģijas apjomu;</w:t>
      </w:r>
    </w:p>
    <w:p w14:paraId="0204E63C" w14:textId="1BCA2599" w:rsidR="00F37EA7" w:rsidRPr="000E5785" w:rsidRDefault="00F37EA7" w:rsidP="00F37EA7">
      <w:pPr>
        <w:shd w:val="clear" w:color="auto" w:fill="E7E6E6" w:themeFill="background2"/>
        <w:spacing w:before="120" w:after="120" w:line="240" w:lineRule="auto"/>
        <w:jc w:val="both"/>
        <w:rPr>
          <w:rFonts w:ascii="Calibri" w:hAnsi="Calibri" w:cs="Times New Roman"/>
          <w:bCs/>
          <w:iCs/>
          <w:szCs w:val="24"/>
        </w:rPr>
      </w:pPr>
      <w:r w:rsidRPr="000E5785">
        <w:rPr>
          <w:rFonts w:ascii="Calibri" w:hAnsi="Calibri" w:cs="Times New Roman"/>
          <w:bCs/>
          <w:iCs/>
          <w:szCs w:val="24"/>
        </w:rPr>
        <w:t xml:space="preserve">4) </w:t>
      </w:r>
      <w:bookmarkStart w:id="556" w:name="_Hlk19099664"/>
      <w:r w:rsidRPr="000E5785">
        <w:rPr>
          <w:rFonts w:ascii="Calibri" w:hAnsi="Calibri" w:cs="Times New Roman"/>
          <w:bCs/>
          <w:iCs/>
          <w:szCs w:val="24"/>
        </w:rPr>
        <w:t>Enerģētiskā drošība</w:t>
      </w:r>
      <w:r w:rsidR="002E0F59">
        <w:rPr>
          <w:rFonts w:ascii="Calibri" w:hAnsi="Calibri" w:cs="Times New Roman"/>
          <w:bCs/>
          <w:iCs/>
          <w:szCs w:val="24"/>
        </w:rPr>
        <w:t xml:space="preserve">, </w:t>
      </w:r>
      <w:r w:rsidR="002E0F59" w:rsidRPr="00CC138D">
        <w:rPr>
          <w:rFonts w:ascii="Calibri" w:hAnsi="Calibri" w:cs="Times New Roman"/>
          <w:bCs/>
          <w:iCs/>
          <w:szCs w:val="24"/>
        </w:rPr>
        <w:t>enerģētiskās atkarības mazināšana</w:t>
      </w:r>
      <w:r w:rsidRPr="00CC138D">
        <w:rPr>
          <w:rFonts w:ascii="Calibri" w:hAnsi="Calibri" w:cs="Times New Roman"/>
          <w:bCs/>
          <w:iCs/>
          <w:szCs w:val="24"/>
        </w:rPr>
        <w:t>,</w:t>
      </w:r>
      <w:r w:rsidRPr="000E5785">
        <w:rPr>
          <w:rFonts w:ascii="Calibri" w:hAnsi="Calibri" w:cs="Times New Roman"/>
          <w:bCs/>
          <w:iCs/>
          <w:szCs w:val="24"/>
        </w:rPr>
        <w:t xml:space="preserve"> pilnīga enerģijas tirgu integrācija, infrastruktūras</w:t>
      </w:r>
      <w:r>
        <w:rPr>
          <w:rFonts w:ascii="Calibri" w:hAnsi="Calibri" w:cs="Times New Roman"/>
          <w:bCs/>
          <w:iCs/>
          <w:szCs w:val="24"/>
        </w:rPr>
        <w:t xml:space="preserve"> modern</w:t>
      </w:r>
      <w:r w:rsidRPr="000E5785">
        <w:rPr>
          <w:rFonts w:ascii="Calibri" w:hAnsi="Calibri" w:cs="Times New Roman"/>
          <w:bCs/>
          <w:iCs/>
          <w:szCs w:val="24"/>
        </w:rPr>
        <w:t xml:space="preserve">izācija (6. rīcības virziens), </w:t>
      </w:r>
      <w:bookmarkEnd w:id="556"/>
      <w:r w:rsidRPr="000E5785">
        <w:rPr>
          <w:rFonts w:ascii="Calibri" w:hAnsi="Calibri" w:cs="Times New Roman"/>
          <w:bCs/>
          <w:iCs/>
          <w:szCs w:val="24"/>
        </w:rPr>
        <w:t xml:space="preserve">jo samazināts importēto naftas produktu apjoms </w:t>
      </w:r>
      <w:r w:rsidR="001E6837">
        <w:rPr>
          <w:rFonts w:ascii="Calibri" w:hAnsi="Calibri" w:cs="Times New Roman"/>
          <w:bCs/>
          <w:iCs/>
          <w:szCs w:val="24"/>
        </w:rPr>
        <w:t xml:space="preserve">samazina </w:t>
      </w:r>
      <w:r w:rsidRPr="000E5785">
        <w:rPr>
          <w:rFonts w:ascii="Calibri" w:hAnsi="Calibri" w:cs="Times New Roman"/>
          <w:bCs/>
          <w:iCs/>
          <w:szCs w:val="24"/>
        </w:rPr>
        <w:t>valsts enerģētisko atkarību, savukārt pasākumi elektroenerģijas un gāzveida kurināmo / degvielas infrastruktūras uzlabošanā veicina ETL izmantošanas pievilcīgumu;</w:t>
      </w:r>
    </w:p>
    <w:p w14:paraId="11013383" w14:textId="77777777" w:rsidR="00F37EA7" w:rsidRPr="000E5785" w:rsidRDefault="00F37EA7" w:rsidP="006864F6">
      <w:pPr>
        <w:shd w:val="clear" w:color="auto" w:fill="E7E6E6" w:themeFill="background2"/>
        <w:spacing w:before="120" w:after="120" w:line="240" w:lineRule="auto"/>
        <w:jc w:val="both"/>
        <w:rPr>
          <w:rFonts w:ascii="Calibri" w:hAnsi="Calibri" w:cs="Times New Roman"/>
          <w:bCs/>
          <w:iCs/>
          <w:szCs w:val="24"/>
        </w:rPr>
      </w:pPr>
      <w:r w:rsidRPr="000E5785">
        <w:rPr>
          <w:rFonts w:ascii="Calibri" w:hAnsi="Calibri" w:cs="Times New Roman"/>
          <w:bCs/>
          <w:iCs/>
          <w:szCs w:val="24"/>
        </w:rPr>
        <w:t xml:space="preserve">5) </w:t>
      </w:r>
      <w:bookmarkStart w:id="557" w:name="_Hlk17733046"/>
      <w:r w:rsidRPr="000E5785">
        <w:rPr>
          <w:rFonts w:ascii="Calibri" w:hAnsi="Calibri" w:cs="Times New Roman"/>
          <w:bCs/>
          <w:iCs/>
          <w:szCs w:val="24"/>
        </w:rPr>
        <w:t xml:space="preserve">Nodokļu sistēmas “zaļināšana” un pievilcīguma energoefektivitātei un AER tehnoloģijām uzlabošana (11. rīcības virziens), </w:t>
      </w:r>
      <w:bookmarkEnd w:id="557"/>
      <w:r w:rsidRPr="000E5785">
        <w:rPr>
          <w:rFonts w:ascii="Calibri" w:hAnsi="Calibri" w:cs="Times New Roman"/>
          <w:bCs/>
          <w:iCs/>
          <w:szCs w:val="24"/>
        </w:rPr>
        <w:t>kur tiek noteikts TEN un akcīzes nodokļa degvielām likmes pārskats;</w:t>
      </w:r>
    </w:p>
    <w:p w14:paraId="7621E668" w14:textId="73F6F769" w:rsidR="00F37EA7" w:rsidRPr="000E5785" w:rsidRDefault="006864F6" w:rsidP="006864F6">
      <w:pPr>
        <w:shd w:val="clear" w:color="auto" w:fill="E7E6E6" w:themeFill="background2"/>
        <w:spacing w:before="120" w:after="120" w:line="240" w:lineRule="auto"/>
        <w:rPr>
          <w:rFonts w:ascii="Calibri" w:hAnsi="Calibri" w:cs="Times New Roman"/>
          <w:szCs w:val="24"/>
        </w:rPr>
      </w:pPr>
      <w:r w:rsidRPr="00E2491C">
        <w:rPr>
          <w:rFonts w:ascii="Calibri" w:hAnsi="Calibri"/>
          <w:noProof/>
          <w:lang w:eastAsia="lv-LV"/>
        </w:rPr>
        <mc:AlternateContent>
          <mc:Choice Requires="wps">
            <w:drawing>
              <wp:anchor distT="0" distB="0" distL="114300" distR="114300" simplePos="0" relativeHeight="251674624" behindDoc="0" locked="0" layoutInCell="1" allowOverlap="1" wp14:anchorId="78D45F86" wp14:editId="0DD30167">
                <wp:simplePos x="0" y="0"/>
                <wp:positionH relativeFrom="margin">
                  <wp:align>left</wp:align>
                </wp:positionH>
                <wp:positionV relativeFrom="paragraph">
                  <wp:posOffset>283210</wp:posOffset>
                </wp:positionV>
                <wp:extent cx="5779135" cy="488950"/>
                <wp:effectExtent l="0" t="0" r="0" b="6350"/>
                <wp:wrapSquare wrapText="bothSides"/>
                <wp:docPr id="29" name="Rectangle: Single Corner Snipped 29"/>
                <wp:cNvGraphicFramePr/>
                <a:graphic xmlns:a="http://schemas.openxmlformats.org/drawingml/2006/main">
                  <a:graphicData uri="http://schemas.microsoft.com/office/word/2010/wordprocessingShape">
                    <wps:wsp>
                      <wps:cNvSpPr/>
                      <wps:spPr>
                        <a:xfrm>
                          <a:off x="0" y="0"/>
                          <a:ext cx="5779135" cy="488950"/>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4AF968C3" w14:textId="7B01F0C3" w:rsidR="007A7EAC" w:rsidRPr="0007326F" w:rsidRDefault="007A7EAC" w:rsidP="0007326F">
                            <w:pPr>
                              <w:pStyle w:val="Heading2"/>
                              <w:numPr>
                                <w:ilvl w:val="1"/>
                                <w:numId w:val="53"/>
                              </w:numPr>
                              <w:spacing w:before="0" w:after="0"/>
                              <w:ind w:left="0" w:hanging="284"/>
                              <w:jc w:val="center"/>
                              <w:rPr>
                                <w:color w:val="FFFFFF" w:themeColor="background1"/>
                                <w:sz w:val="40"/>
                                <w:szCs w:val="40"/>
                              </w:rPr>
                            </w:pPr>
                            <w:bookmarkStart w:id="558" w:name="_Toc24408062"/>
                            <w:bookmarkStart w:id="559" w:name="_Toc24408121"/>
                            <w:r w:rsidRPr="0007326F">
                              <w:rPr>
                                <w:color w:val="FFFFFF" w:themeColor="background1"/>
                                <w:sz w:val="40"/>
                                <w:szCs w:val="40"/>
                              </w:rPr>
                              <w:t>Enerģētiskā drošība, iekšējais enerģijas tirgus</w:t>
                            </w:r>
                            <w:bookmarkEnd w:id="558"/>
                            <w:bookmarkEnd w:id="55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45F86" id="Rectangle: Single Corner Snipped 29" o:spid="_x0000_s1035" style="position:absolute;margin-left:0;margin-top:22.3pt;width:455.05pt;height:38.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488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" adj="-11796480,,5400" path="m,l5697642,r81493,81493l5779135,488950,,488950,,xe" fillcolor="#323e4f [2415]" stroked="f" strokeweight="1pt">
                <v:stroke joinstyle="miter"/>
                <v:formulas/>
                <v:path arrowok="t" o:connecttype="custom" o:connectlocs="0,0;5697642,0;5779135,81493;5779135,488950;0,488950;0,0" o:connectangles="0,0,0,0,0,0" textboxrect="0,0,5779135,488950"/>
                <v:textbox>
                  <w:txbxContent>
                    <w:p w14:paraId="4AF968C3" w14:textId="7B01F0C3" w:rsidR="007A7EAC" w:rsidRPr="0007326F" w:rsidRDefault="007A7EAC" w:rsidP="0007326F">
                      <w:pPr>
                        <w:pStyle w:val="Heading2"/>
                        <w:numPr>
                          <w:ilvl w:val="1"/>
                          <w:numId w:val="53"/>
                        </w:numPr>
                        <w:spacing w:before="0" w:after="0"/>
                        <w:ind w:left="0" w:hanging="284"/>
                        <w:jc w:val="center"/>
                        <w:rPr>
                          <w:color w:val="FFFFFF" w:themeColor="background1"/>
                          <w:sz w:val="40"/>
                          <w:szCs w:val="40"/>
                        </w:rPr>
                      </w:pPr>
                      <w:bookmarkStart w:id="578" w:name="_Toc24408062"/>
                      <w:bookmarkStart w:id="579" w:name="_Toc24408121"/>
                      <w:r w:rsidRPr="0007326F">
                        <w:rPr>
                          <w:color w:val="FFFFFF" w:themeColor="background1"/>
                          <w:sz w:val="40"/>
                          <w:szCs w:val="40"/>
                        </w:rPr>
                        <w:t>Enerģētiskā drošība, iekšējais enerģijas tirgus</w:t>
                      </w:r>
                      <w:bookmarkEnd w:id="578"/>
                      <w:bookmarkEnd w:id="579"/>
                    </w:p>
                  </w:txbxContent>
                </v:textbox>
                <w10:wrap type="square" anchorx="margin"/>
              </v:shape>
            </w:pict>
          </mc:Fallback>
        </mc:AlternateContent>
      </w:r>
      <w:r w:rsidR="00F37EA7" w:rsidRPr="000E5785">
        <w:rPr>
          <w:rFonts w:ascii="Calibri" w:hAnsi="Calibri" w:cs="Times New Roman"/>
          <w:bCs/>
          <w:iCs/>
          <w:szCs w:val="24"/>
        </w:rPr>
        <w:t xml:space="preserve">6) </w:t>
      </w:r>
      <w:bookmarkStart w:id="560" w:name="_Hlk19099735"/>
      <w:r w:rsidR="00F37EA7" w:rsidRPr="000E5785">
        <w:rPr>
          <w:rFonts w:ascii="Calibri" w:hAnsi="Calibri" w:cs="Times New Roman"/>
          <w:bCs/>
          <w:iCs/>
          <w:szCs w:val="24"/>
        </w:rPr>
        <w:t>Sabiedrības informēšana, izglītošana un izpratnes veicināšana (12. rīcības virziens).</w:t>
      </w:r>
      <w:bookmarkEnd w:id="541"/>
      <w:bookmarkEnd w:id="551"/>
    </w:p>
    <w:bookmarkEnd w:id="560"/>
    <w:p w14:paraId="52485944" w14:textId="552E8025" w:rsidR="00E350C8" w:rsidRPr="00812E5C" w:rsidRDefault="00E350C8" w:rsidP="006864F6">
      <w:pPr>
        <w:spacing w:before="120" w:after="120" w:line="240" w:lineRule="auto"/>
        <w:rPr>
          <w:rFonts w:ascii="Calibri" w:hAnsi="Calibri" w:cs="Times New Roman"/>
          <w:b/>
          <w:i/>
          <w:sz w:val="28"/>
          <w:szCs w:val="28"/>
          <w:u w:val="single"/>
        </w:rPr>
      </w:pPr>
      <w:r w:rsidRPr="00812E5C">
        <w:rPr>
          <w:rFonts w:ascii="Calibri" w:hAnsi="Calibri" w:cs="Times New Roman"/>
          <w:b/>
          <w:i/>
          <w:sz w:val="28"/>
          <w:szCs w:val="28"/>
          <w:u w:val="single"/>
        </w:rPr>
        <w:t>Esošā situācija</w:t>
      </w:r>
    </w:p>
    <w:p w14:paraId="3C956E74" w14:textId="77777777" w:rsidR="00E350C8" w:rsidRPr="00E10A24" w:rsidRDefault="00E350C8" w:rsidP="006864F6">
      <w:pPr>
        <w:spacing w:before="120" w:after="120" w:line="240" w:lineRule="auto"/>
        <w:jc w:val="both"/>
        <w:rPr>
          <w:rFonts w:cstheme="minorHAnsi"/>
          <w:szCs w:val="24"/>
        </w:rPr>
      </w:pPr>
      <w:r w:rsidRPr="00E10A24">
        <w:rPr>
          <w:rFonts w:cstheme="minorHAnsi"/>
          <w:szCs w:val="24"/>
        </w:rPr>
        <w:t xml:space="preserve">Latvijas </w:t>
      </w:r>
      <w:r w:rsidRPr="007A2AFE">
        <w:rPr>
          <w:rFonts w:cstheme="minorHAnsi"/>
          <w:szCs w:val="24"/>
        </w:rPr>
        <w:t>elektroenerģijas tirgus</w:t>
      </w:r>
      <w:r w:rsidRPr="00E10A24">
        <w:rPr>
          <w:rFonts w:cstheme="minorHAnsi"/>
          <w:szCs w:val="24"/>
        </w:rPr>
        <w:t xml:space="preserve"> ir liberalizēts no 2015.gada</w:t>
      </w:r>
      <w:r>
        <w:rPr>
          <w:rFonts w:cstheme="minorHAnsi"/>
          <w:szCs w:val="24"/>
        </w:rPr>
        <w:t xml:space="preserve">, </w:t>
      </w:r>
      <w:r w:rsidRPr="00E10A24">
        <w:rPr>
          <w:rFonts w:cstheme="minorHAnsi"/>
          <w:szCs w:val="24"/>
        </w:rPr>
        <w:t>un mājsaimniecības, tāpat kā juridiskie lietotāji brīvi izvēlas tirgotāju, vienojoties par elektroenerģijas cenu. Kopš 2013.gada elektroenerģijas tirdzniecība notiek arī ziemeļvalstu biržas Nord Pool ietvaros. Šobrīd Latvijas elektroenerģijas tirgū darbojas 38 komersanti.</w:t>
      </w:r>
      <w:r>
        <w:rPr>
          <w:rFonts w:cstheme="minorHAnsi"/>
          <w:szCs w:val="24"/>
        </w:rPr>
        <w:t xml:space="preserve"> </w:t>
      </w:r>
      <w:r w:rsidRPr="00E10A24">
        <w:rPr>
          <w:rFonts w:cstheme="minorHAnsi"/>
          <w:szCs w:val="24"/>
        </w:rPr>
        <w:t>Latvijas elektroenerģijas tirgus, tāpat kā visas Baltijas enerģētikas tirgus, pašlaik ir savienots ar kopējo Eiropas enerģētikas tirgu ar diviem Igaunijas un Somijas energosistēmas savienojošiem jūras kabeļiem Estlink I, kura pārvades jauda – 350 MW, un Estlink II, kura pārvades jauda ir 650 MW, savukārt Lietuvu - Poliju savieno starpsavienojums LitPol Link 1 ar 500 MW pārvades jaudu. To papildina arī Lietuvas-Zviedrijas starpsavienojuma „NordBalt” ar 700 MW pārvades jaudu.</w:t>
      </w:r>
      <w:r>
        <w:rPr>
          <w:rFonts w:cstheme="minorHAnsi"/>
          <w:szCs w:val="24"/>
        </w:rPr>
        <w:t xml:space="preserve"> </w:t>
      </w:r>
      <w:r w:rsidRPr="00E10A24">
        <w:rPr>
          <w:rFonts w:cstheme="minorHAnsi"/>
          <w:szCs w:val="24"/>
        </w:rPr>
        <w:t>Vienlaikus, atšķirībā no citām E</w:t>
      </w:r>
      <w:r>
        <w:rPr>
          <w:rFonts w:cstheme="minorHAnsi"/>
          <w:szCs w:val="24"/>
        </w:rPr>
        <w:t xml:space="preserve">S </w:t>
      </w:r>
      <w:r w:rsidRPr="00E10A24">
        <w:rPr>
          <w:rFonts w:cstheme="minorHAnsi"/>
          <w:szCs w:val="24"/>
        </w:rPr>
        <w:t>dalībvalstīm, Baltijas valstu elektroenerģijas sistēmas darbojas paralēlā, sinhronā režīmā ar IPS/UPS (Krievijas vienotā energosistēma/Ukrainas, Baltkrievijas, Kazahstānas, Kirgizstānas, Azerbaidžānas, Gruzijas, Tadžikistānas, Moldovas un Mongolijas integrētā energosistēma) reģionu, nevis Eiropas elektroenerģijas sistēmām. Baltijas valstu, Krievijas un Baltkrievijas elektroenerģijas tirgu pārrobežu darbību nosaka Baltkrievijas, Krievijas, Igaunijas, Lietuvas un Latvijas pārvades sistēmas operatoru (turpmāk – PSO) noslēgtais BRELL</w:t>
      </w:r>
      <w:r>
        <w:rPr>
          <w:rStyle w:val="FootnoteReference"/>
          <w:rFonts w:cstheme="minorHAnsi"/>
          <w:szCs w:val="24"/>
        </w:rPr>
        <w:footnoteReference w:id="175"/>
      </w:r>
      <w:r w:rsidRPr="00E10A24">
        <w:rPr>
          <w:rFonts w:cstheme="minorHAnsi"/>
          <w:szCs w:val="24"/>
        </w:rPr>
        <w:t xml:space="preserve"> līgums.</w:t>
      </w:r>
    </w:p>
    <w:p w14:paraId="4BBB2F6F" w14:textId="77777777" w:rsidR="00E350C8" w:rsidRDefault="00E350C8" w:rsidP="00E350C8">
      <w:pPr>
        <w:spacing w:before="120" w:after="120" w:line="240" w:lineRule="auto"/>
        <w:jc w:val="both"/>
        <w:rPr>
          <w:rFonts w:cstheme="minorHAnsi"/>
          <w:szCs w:val="24"/>
        </w:rPr>
      </w:pPr>
      <w:r w:rsidRPr="00E10A24">
        <w:rPr>
          <w:rFonts w:cstheme="minorHAnsi"/>
          <w:szCs w:val="24"/>
        </w:rPr>
        <w:t xml:space="preserve">Latvijas </w:t>
      </w:r>
      <w:r w:rsidRPr="007A2AFE">
        <w:rPr>
          <w:rFonts w:cstheme="minorHAnsi"/>
          <w:szCs w:val="24"/>
        </w:rPr>
        <w:t xml:space="preserve">dabasgāzes tirgus </w:t>
      </w:r>
      <w:r w:rsidRPr="00E10A24">
        <w:rPr>
          <w:rFonts w:cstheme="minorHAnsi"/>
          <w:szCs w:val="24"/>
        </w:rPr>
        <w:t>ir liberalizēts kopš 2017.gada, kas ir sniedzis gan uzņēmumiem, gan mājsaimniecībām iespēju izvēlēties savām vajadzībām atbilstošāko dabasgāzes piedāvājumu. Līdz dabasgāzes tirgus liberalizācijai Latvijai bija tikai viens dabasgāzes piegādātājs</w:t>
      </w:r>
      <w:r>
        <w:rPr>
          <w:rFonts w:cstheme="minorHAnsi"/>
          <w:szCs w:val="24"/>
        </w:rPr>
        <w:t xml:space="preserve"> </w:t>
      </w:r>
      <w:r w:rsidRPr="00E10A24">
        <w:rPr>
          <w:rFonts w:cstheme="minorHAnsi"/>
          <w:szCs w:val="24"/>
        </w:rPr>
        <w:t>un dabasgāzes tirgū darbojās tikai viens komersants. Šobrīd dabasgāzes tirgū darbojas 21 komersants un dabasgāze Latvijā var ieplūst arī no Lietuvas sašķidrinātās dabasgāzes termināļa. Tāpat no vēsturiskā dabasgāzes monopola nodalīta dabasgāzes pārvade un uzglabāšana</w:t>
      </w:r>
      <w:r>
        <w:rPr>
          <w:rFonts w:cstheme="minorHAnsi"/>
          <w:szCs w:val="24"/>
        </w:rPr>
        <w:t xml:space="preserve">, </w:t>
      </w:r>
      <w:r w:rsidRPr="00E10A24">
        <w:rPr>
          <w:rFonts w:cstheme="minorHAnsi"/>
          <w:szCs w:val="24"/>
        </w:rPr>
        <w:t>kā arī sadales sistēma.</w:t>
      </w:r>
      <w:r>
        <w:rPr>
          <w:rFonts w:cstheme="minorHAnsi"/>
          <w:szCs w:val="24"/>
        </w:rPr>
        <w:t xml:space="preserve"> </w:t>
      </w:r>
      <w:r w:rsidRPr="00E10A24">
        <w:rPr>
          <w:rFonts w:cstheme="minorHAnsi"/>
          <w:szCs w:val="24"/>
        </w:rPr>
        <w:t>Galvenais dabasgāzes piegādes ceļš Latvijas patērētājiem ir maģistrālie gāzesvadu tīkli, kuri atzarojas no Jamalas – Eiropas gāzes vada Tveras apgabalā Krievijā, uz Sanktpēterburgu, Pleskavu un tālāk uz Igauniju, Latviju.</w:t>
      </w:r>
      <w:r>
        <w:rPr>
          <w:rFonts w:cstheme="minorHAnsi"/>
          <w:szCs w:val="24"/>
        </w:rPr>
        <w:t xml:space="preserve"> </w:t>
      </w:r>
      <w:r w:rsidRPr="00E10A24">
        <w:rPr>
          <w:rFonts w:cstheme="minorHAnsi"/>
          <w:szCs w:val="24"/>
        </w:rPr>
        <w:t xml:space="preserve">Latvijas dabasgāzes apgādes sistēmu raksturo tas, ka vasaras sezonā, kad dabasgāzes patēriņš reģionā ir vairākas reizes mazāks nekā aukstajā laikā, dabasgāze tiek iesūknēta Inčukalna pazemes gāzes krātuvē, lai apkures sezonā to piegādātu lietotājiem Latvijā, Igaunijā, Krievijas Ziemeļrietumu reģionā un mazākos apjomos </w:t>
      </w:r>
      <w:r>
        <w:rPr>
          <w:rFonts w:cstheme="minorHAnsi"/>
          <w:szCs w:val="24"/>
        </w:rPr>
        <w:t>–</w:t>
      </w:r>
      <w:r w:rsidRPr="00E10A24">
        <w:rPr>
          <w:rFonts w:cstheme="minorHAnsi"/>
          <w:szCs w:val="24"/>
        </w:rPr>
        <w:t xml:space="preserve"> Lietuvā. Inčukalna PGK ir vienīgā funkcionējošā krātuve Baltijas valstīs, un tā nodrošina reģionālās dabasgāzes apgādes stabilitāti.</w:t>
      </w:r>
    </w:p>
    <w:p w14:paraId="67178040" w14:textId="77777777" w:rsidR="00E350C8" w:rsidRDefault="00E350C8" w:rsidP="00E350C8">
      <w:pPr>
        <w:spacing w:before="120" w:after="120" w:line="240" w:lineRule="auto"/>
        <w:jc w:val="both"/>
        <w:rPr>
          <w:rFonts w:cstheme="minorHAnsi"/>
          <w:szCs w:val="24"/>
        </w:rPr>
      </w:pPr>
      <w:r>
        <w:rPr>
          <w:rFonts w:cstheme="minorHAnsi"/>
          <w:szCs w:val="24"/>
        </w:rPr>
        <w:t>Latvijā nav definēti harmonizēti LSA vai individuālās siltumapgādes ierobežojumi, kur katrai pašvaldībai ir tiesības pašai organizēt siltumapgādes pakalpojumus savā teritorijā. Attiecībā uz centralizēto siltumapgādi nav ierobežots siltumenerģijas ražotāju skaits, kas var darboties vienā s</w:t>
      </w:r>
      <w:r w:rsidRPr="00BB7651">
        <w:rPr>
          <w:rFonts w:cstheme="minorHAnsi"/>
          <w:szCs w:val="24"/>
        </w:rPr>
        <w:t>iltumenerģijas apgādes sistēmas operator</w:t>
      </w:r>
      <w:r>
        <w:rPr>
          <w:rFonts w:cstheme="minorHAnsi"/>
          <w:szCs w:val="24"/>
        </w:rPr>
        <w:t>a</w:t>
      </w:r>
      <w:r w:rsidRPr="00BB7651">
        <w:rPr>
          <w:rFonts w:cstheme="minorHAnsi"/>
          <w:szCs w:val="24"/>
        </w:rPr>
        <w:t xml:space="preserve"> licences darbības zonā</w:t>
      </w:r>
      <w:r>
        <w:rPr>
          <w:rFonts w:cstheme="minorHAnsi"/>
          <w:szCs w:val="24"/>
        </w:rPr>
        <w:t>, bet ir noteikts, ka no siltumenerģijas ražotājiem saražoto siltumenerģiju minētais operators iepērk</w:t>
      </w:r>
      <w:r w:rsidRPr="00660754">
        <w:rPr>
          <w:rFonts w:cstheme="minorHAnsi"/>
          <w:szCs w:val="24"/>
        </w:rPr>
        <w:t>.</w:t>
      </w:r>
    </w:p>
    <w:p w14:paraId="0BA009AB" w14:textId="77777777" w:rsidR="00E350C8" w:rsidRDefault="00E350C8" w:rsidP="00E350C8">
      <w:pPr>
        <w:spacing w:before="120" w:after="120" w:line="240" w:lineRule="auto"/>
        <w:jc w:val="both"/>
        <w:rPr>
          <w:rFonts w:cstheme="minorHAnsi"/>
          <w:szCs w:val="24"/>
        </w:rPr>
      </w:pPr>
      <w:r>
        <w:rPr>
          <w:rFonts w:cstheme="minorHAnsi"/>
          <w:szCs w:val="24"/>
        </w:rPr>
        <w:t>Latvijā nav noteikti ierobežojumi transporta enerģijas tirgus dalībniekiem vai kādi ierobežojumi degvielas piegādātāju iespējām darboties Latvijā. Tāpat Latvijā nav novērojams, ka transporta enerģijas tirgus būtu maz diversificēts, jo, lai gan fosilā degviela tiek 100% importēta, tomēr tā tiek importēta no vairākām valstīm, no kurām aktīvākie importa tirgi ir Krievija, Baltkrievija, Somija, Lietuva, Norvēģija.</w:t>
      </w:r>
    </w:p>
    <w:p w14:paraId="159FA69D" w14:textId="77777777" w:rsidR="00E350C8" w:rsidRPr="000E5785" w:rsidRDefault="00E350C8" w:rsidP="00E350C8">
      <w:pPr>
        <w:shd w:val="clear" w:color="auto" w:fill="E7E6E6" w:themeFill="background2"/>
        <w:spacing w:before="120" w:after="120" w:line="240" w:lineRule="auto"/>
        <w:rPr>
          <w:rFonts w:ascii="Calibri" w:hAnsi="Calibri" w:cs="Times New Roman"/>
          <w:b/>
          <w:sz w:val="28"/>
          <w:szCs w:val="28"/>
          <w:u w:val="single"/>
        </w:rPr>
      </w:pPr>
      <w:r w:rsidRPr="000E5785">
        <w:rPr>
          <w:rFonts w:ascii="Calibri" w:hAnsi="Calibri" w:cs="Times New Roman"/>
          <w:b/>
          <w:sz w:val="28"/>
          <w:szCs w:val="28"/>
          <w:u w:val="single"/>
        </w:rPr>
        <w:t>Vēlamā situācija 2030.gadā:</w:t>
      </w:r>
    </w:p>
    <w:p w14:paraId="6ACB0062" w14:textId="77777777" w:rsidR="000B07AF" w:rsidRPr="00E10A24" w:rsidRDefault="000B07AF" w:rsidP="000B07AF">
      <w:pPr>
        <w:pStyle w:val="ListParagraph"/>
        <w:numPr>
          <w:ilvl w:val="0"/>
          <w:numId w:val="49"/>
        </w:numPr>
        <w:shd w:val="clear" w:color="auto" w:fill="E7E6E6" w:themeFill="background2"/>
        <w:spacing w:before="120" w:after="120" w:line="240" w:lineRule="auto"/>
        <w:ind w:left="397" w:hanging="397"/>
        <w:contextualSpacing w:val="0"/>
        <w:rPr>
          <w:rFonts w:ascii="Calibri" w:hAnsi="Calibri" w:cs="Times New Roman"/>
          <w:i/>
          <w:szCs w:val="24"/>
        </w:rPr>
      </w:pPr>
      <w:r w:rsidRPr="00E10A24">
        <w:rPr>
          <w:rFonts w:ascii="Calibri" w:hAnsi="Calibri" w:cs="Times New Roman"/>
          <w:i/>
          <w:szCs w:val="24"/>
        </w:rPr>
        <w:t xml:space="preserve">Baltijas valstu elektrotīkli ir sinhronizēti ar Eiropas tīkliem, nodrošinot drošu un ilgtspējīgu elektroapgādi caur kopumā </w:t>
      </w:r>
      <w:r>
        <w:rPr>
          <w:rFonts w:ascii="Calibri" w:hAnsi="Calibri" w:cs="Times New Roman"/>
          <w:i/>
          <w:szCs w:val="24"/>
        </w:rPr>
        <w:t xml:space="preserve">vismaz </w:t>
      </w:r>
      <w:r w:rsidRPr="00E10A24">
        <w:rPr>
          <w:rFonts w:ascii="Calibri" w:hAnsi="Calibri" w:cs="Times New Roman"/>
          <w:i/>
          <w:szCs w:val="24"/>
        </w:rPr>
        <w:t>5 Eiropas starpsavienojumiem</w:t>
      </w:r>
    </w:p>
    <w:p w14:paraId="08DA9F8C" w14:textId="77777777" w:rsidR="000B07AF" w:rsidRPr="00E10A24" w:rsidRDefault="000B07AF" w:rsidP="000B07AF">
      <w:pPr>
        <w:pStyle w:val="ListParagraph"/>
        <w:numPr>
          <w:ilvl w:val="0"/>
          <w:numId w:val="49"/>
        </w:numPr>
        <w:shd w:val="clear" w:color="auto" w:fill="E7E6E6" w:themeFill="background2"/>
        <w:spacing w:before="120" w:after="120" w:line="240" w:lineRule="auto"/>
        <w:ind w:left="397" w:hanging="397"/>
        <w:contextualSpacing w:val="0"/>
        <w:rPr>
          <w:rFonts w:ascii="Calibri" w:hAnsi="Calibri" w:cs="Times New Roman"/>
          <w:i/>
          <w:szCs w:val="24"/>
        </w:rPr>
      </w:pPr>
      <w:r w:rsidRPr="00E10A24">
        <w:rPr>
          <w:rFonts w:ascii="Calibri" w:hAnsi="Calibri" w:cs="Times New Roman"/>
          <w:i/>
          <w:szCs w:val="24"/>
        </w:rPr>
        <w:t>Izveidots reģionālais dabasgāzes tirgus starp Baltijas valstīm un Somiju, tostarp pabeigt</w:t>
      </w:r>
      <w:r>
        <w:rPr>
          <w:rFonts w:ascii="Calibri" w:hAnsi="Calibri" w:cs="Times New Roman"/>
          <w:i/>
          <w:szCs w:val="24"/>
        </w:rPr>
        <w:t>i</w:t>
      </w:r>
      <w:r w:rsidRPr="00E10A24">
        <w:rPr>
          <w:rFonts w:ascii="Calibri" w:hAnsi="Calibri" w:cs="Times New Roman"/>
          <w:i/>
          <w:szCs w:val="24"/>
        </w:rPr>
        <w:t xml:space="preserve"> dabasgāzes </w:t>
      </w:r>
      <w:r>
        <w:rPr>
          <w:rFonts w:ascii="Calibri" w:hAnsi="Calibri" w:cs="Times New Roman"/>
          <w:i/>
          <w:szCs w:val="24"/>
        </w:rPr>
        <w:t>pārrobežu</w:t>
      </w:r>
      <w:r w:rsidRPr="00E10A24">
        <w:rPr>
          <w:rFonts w:ascii="Calibri" w:hAnsi="Calibri" w:cs="Times New Roman"/>
          <w:i/>
          <w:szCs w:val="24"/>
        </w:rPr>
        <w:t xml:space="preserve"> </w:t>
      </w:r>
      <w:r>
        <w:rPr>
          <w:rFonts w:ascii="Calibri" w:hAnsi="Calibri" w:cs="Times New Roman"/>
          <w:i/>
          <w:szCs w:val="24"/>
        </w:rPr>
        <w:t>starp</w:t>
      </w:r>
      <w:r w:rsidRPr="00E10A24">
        <w:rPr>
          <w:rFonts w:ascii="Calibri" w:hAnsi="Calibri" w:cs="Times New Roman"/>
          <w:i/>
          <w:szCs w:val="24"/>
        </w:rPr>
        <w:t>savienojumi, nodrošinot dažādotus un drošus dabasgāzes piegādes ceļus un piegādātājus</w:t>
      </w:r>
    </w:p>
    <w:p w14:paraId="4C5C5481" w14:textId="77777777" w:rsidR="00E350C8" w:rsidRPr="000E5785" w:rsidRDefault="00E350C8" w:rsidP="00E350C8">
      <w:pPr>
        <w:shd w:val="clear" w:color="auto" w:fill="E7E6E6" w:themeFill="background2"/>
        <w:spacing w:before="120" w:after="120" w:line="240" w:lineRule="auto"/>
        <w:rPr>
          <w:rFonts w:ascii="Calibri" w:hAnsi="Calibri" w:cs="Times New Roman"/>
          <w:b/>
          <w:sz w:val="28"/>
          <w:szCs w:val="28"/>
          <w:u w:val="single"/>
        </w:rPr>
      </w:pPr>
      <w:r w:rsidRPr="000E5785">
        <w:rPr>
          <w:rFonts w:ascii="Calibri" w:hAnsi="Calibri" w:cs="Times New Roman"/>
          <w:b/>
          <w:sz w:val="28"/>
          <w:szCs w:val="28"/>
          <w:u w:val="single"/>
        </w:rPr>
        <w:t>Ieguvumi sabiedrībai un tautsaimniecībai:</w:t>
      </w:r>
    </w:p>
    <w:p w14:paraId="0D22C49D" w14:textId="77777777" w:rsidR="00E350C8" w:rsidRPr="00E873A4" w:rsidRDefault="00E350C8" w:rsidP="00E350C8">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E873A4">
        <w:rPr>
          <w:rFonts w:ascii="Calibri" w:hAnsi="Calibri" w:cs="Times New Roman"/>
          <w:i/>
          <w:szCs w:val="24"/>
        </w:rPr>
        <w:t>Energodrošums un energoneatkarība no trešajām valstīm</w:t>
      </w:r>
    </w:p>
    <w:p w14:paraId="7C1B4628" w14:textId="77777777" w:rsidR="00893C96" w:rsidRDefault="00893C96" w:rsidP="00893C96">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E873A4">
        <w:rPr>
          <w:rFonts w:ascii="Calibri" w:hAnsi="Calibri" w:cs="Times New Roman"/>
          <w:i/>
          <w:szCs w:val="24"/>
        </w:rPr>
        <w:t>Patērētājs ir kontrolē pār savu enerģijas patēriņu un izmaksām pateicoties viedajiem</w:t>
      </w:r>
      <w:r>
        <w:rPr>
          <w:rFonts w:ascii="Calibri" w:hAnsi="Calibri" w:cs="Times New Roman"/>
          <w:i/>
          <w:szCs w:val="24"/>
        </w:rPr>
        <w:t xml:space="preserve"> skaitītājiem</w:t>
      </w:r>
      <w:r w:rsidRPr="00E873A4">
        <w:rPr>
          <w:rFonts w:ascii="Calibri" w:hAnsi="Calibri" w:cs="Times New Roman"/>
          <w:i/>
          <w:szCs w:val="24"/>
        </w:rPr>
        <w:t xml:space="preserve"> </w:t>
      </w:r>
    </w:p>
    <w:p w14:paraId="100A9C13" w14:textId="77777777" w:rsidR="00E350C8" w:rsidRPr="00E873A4" w:rsidRDefault="00E350C8" w:rsidP="00E350C8">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0B3C6F">
        <w:rPr>
          <w:rFonts w:ascii="Calibri" w:hAnsi="Calibri" w:cs="Times New Roman"/>
          <w:i/>
          <w:szCs w:val="24"/>
        </w:rPr>
        <w:t>Lietotāji interesējas un ir informēti par izmantojamām efektīvām tehnoloģijām, kontrolē savu patērēto energoresursu (elektroenerģijas) patēriņus. Lai maksimāli izmantotu tirgus priekšrocības, lietotāji izmanto aktuālākos energoapgādes risinājumus un tirgus produktus, un enerģijas uzskaitē un patēriņa vadībā - viedos skaitītājus.</w:t>
      </w:r>
    </w:p>
    <w:p w14:paraId="02123995" w14:textId="77777777" w:rsidR="00E350C8" w:rsidRPr="00E873A4" w:rsidRDefault="00E350C8" w:rsidP="00E350C8">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E873A4">
        <w:rPr>
          <w:rFonts w:ascii="Calibri" w:hAnsi="Calibri" w:cs="Times New Roman"/>
          <w:i/>
          <w:szCs w:val="24"/>
        </w:rPr>
        <w:t>Elektroenerģijas tirgū var efektīvi iesaistīties jauni tirgus dalībnieki – agregatori</w:t>
      </w:r>
    </w:p>
    <w:p w14:paraId="1037B0D8" w14:textId="77777777" w:rsidR="00E350C8" w:rsidRPr="00E873A4" w:rsidRDefault="00E350C8" w:rsidP="00E350C8">
      <w:pPr>
        <w:pStyle w:val="ListParagraph"/>
        <w:numPr>
          <w:ilvl w:val="0"/>
          <w:numId w:val="33"/>
        </w:numPr>
        <w:shd w:val="clear" w:color="auto" w:fill="E7E6E6" w:themeFill="background2"/>
        <w:spacing w:before="120" w:after="120" w:line="240" w:lineRule="auto"/>
        <w:ind w:left="397" w:hanging="397"/>
        <w:contextualSpacing w:val="0"/>
        <w:rPr>
          <w:rFonts w:ascii="Calibri" w:hAnsi="Calibri" w:cs="Times New Roman"/>
          <w:i/>
          <w:szCs w:val="24"/>
        </w:rPr>
      </w:pPr>
      <w:r w:rsidRPr="00E873A4">
        <w:rPr>
          <w:rFonts w:ascii="Calibri" w:hAnsi="Calibri" w:cs="Times New Roman"/>
          <w:i/>
          <w:szCs w:val="24"/>
        </w:rPr>
        <w:t>Aizsargātā lietotāja pakalpojumu saņem visi, kam tas pienākas (80 000 vietā 160 000)</w:t>
      </w:r>
    </w:p>
    <w:p w14:paraId="554C37BE" w14:textId="5710A47F" w:rsidR="00E350C8" w:rsidRPr="00E10A24" w:rsidRDefault="00E350C8" w:rsidP="00E350C8">
      <w:pPr>
        <w:spacing w:after="120" w:line="240" w:lineRule="auto"/>
        <w:jc w:val="both"/>
        <w:rPr>
          <w:rFonts w:cstheme="minorHAnsi"/>
          <w:b/>
          <w:i/>
          <w:sz w:val="28"/>
          <w:szCs w:val="28"/>
          <w:u w:val="single"/>
        </w:rPr>
      </w:pPr>
      <w:r w:rsidRPr="00E10A24">
        <w:rPr>
          <w:rFonts w:cstheme="minorHAnsi"/>
          <w:b/>
          <w:i/>
          <w:sz w:val="28"/>
          <w:szCs w:val="28"/>
          <w:u w:val="single"/>
        </w:rPr>
        <w:t xml:space="preserve">Galvenie </w:t>
      </w:r>
      <w:r w:rsidR="00B75C0D">
        <w:rPr>
          <w:rFonts w:cstheme="minorHAnsi"/>
          <w:b/>
          <w:i/>
          <w:sz w:val="28"/>
          <w:szCs w:val="28"/>
          <w:u w:val="single"/>
        </w:rPr>
        <w:t>problēmjautājumi</w:t>
      </w:r>
    </w:p>
    <w:p w14:paraId="68034B17" w14:textId="77777777" w:rsidR="00E350C8" w:rsidRPr="002D0D92" w:rsidRDefault="00E350C8" w:rsidP="00E350C8">
      <w:pPr>
        <w:spacing w:before="120" w:after="120" w:line="240" w:lineRule="auto"/>
        <w:jc w:val="both"/>
        <w:rPr>
          <w:rFonts w:eastAsia="Calibri" w:cstheme="minorHAnsi"/>
          <w:szCs w:val="24"/>
          <w:u w:val="single"/>
        </w:rPr>
      </w:pPr>
      <w:r w:rsidRPr="00E10A24">
        <w:rPr>
          <w:rFonts w:eastAsia="Calibri" w:cstheme="minorHAnsi"/>
          <w:szCs w:val="24"/>
          <w:u w:val="single"/>
        </w:rPr>
        <w:t xml:space="preserve">1) </w:t>
      </w:r>
      <w:r w:rsidRPr="00E10A24">
        <w:rPr>
          <w:rFonts w:eastAsia="Calibri" w:cstheme="minorHAnsi"/>
          <w:b/>
          <w:bCs/>
          <w:szCs w:val="24"/>
          <w:u w:val="single"/>
        </w:rPr>
        <w:t xml:space="preserve"> enerģētiskā atkarība</w:t>
      </w:r>
      <w:r w:rsidRPr="00E10A24">
        <w:rPr>
          <w:rFonts w:eastAsia="Calibri" w:cstheme="minorHAnsi"/>
          <w:szCs w:val="24"/>
          <w:u w:val="single"/>
        </w:rPr>
        <w:t xml:space="preserve"> no trešajām valstīm un pilnībā </w:t>
      </w:r>
      <w:r w:rsidRPr="00E10A24">
        <w:rPr>
          <w:rFonts w:eastAsia="Calibri" w:cstheme="minorHAnsi"/>
          <w:b/>
          <w:bCs/>
          <w:szCs w:val="24"/>
          <w:u w:val="single"/>
        </w:rPr>
        <w:t>nediversificētas dabasgāzes piegādes</w:t>
      </w:r>
    </w:p>
    <w:p w14:paraId="699E8A70" w14:textId="6FC86340" w:rsidR="00E350C8" w:rsidRPr="00E10A24" w:rsidRDefault="00E350C8" w:rsidP="00E350C8">
      <w:pPr>
        <w:spacing w:before="120" w:after="120" w:line="240" w:lineRule="auto"/>
        <w:jc w:val="both"/>
        <w:rPr>
          <w:rFonts w:eastAsia="Calibri" w:cstheme="minorHAnsi"/>
          <w:szCs w:val="24"/>
        </w:rPr>
      </w:pPr>
      <w:r w:rsidRPr="00E10A24">
        <w:rPr>
          <w:rFonts w:eastAsia="Calibri" w:cstheme="minorHAnsi"/>
          <w:szCs w:val="24"/>
        </w:rPr>
        <w:t>Šobrīd Baltijas valstu elektroenerģijas sistēma tiek pārvaldīta no trešajām valstīm, kas palielina enerģētisko atkarību no trešajām valstīm un ietekmi uz sistēmas drošuma jautājumiem, apgrūtina informācijas apmaiņu ar Eiropas PSO, kā arī nav iespējams nodrošināt saskaņotu rīcību (piemēram, attiecībā uz elektropārvades līniju atslēgumiem) starp Baltijas valstīm un pārējo Eiropu. Krievijas un Baltkrievijas, kā arī citu Neatkarīgo Valstu Sadraudzības valstu elektroenerģijas iekšējā tirdzniecība, to energosistēmu režīmu svārstības un avārijas tehniski ietekmē un noslogo Baltijas valstu elektrotīklu, ierobežojot Baltijas valstu iespējas pilnībā ieviest ES tiesisko regulējumu elektroenerģijas tirgū, īpaši attiecībā uz jaudu rēķināšanu un plānošanu, pārslodzes vadību, tīklu balansēšanu.</w:t>
      </w:r>
      <w:r w:rsidR="001E6837">
        <w:rPr>
          <w:rFonts w:eastAsia="Calibri" w:cstheme="minorHAnsi"/>
          <w:szCs w:val="24"/>
        </w:rPr>
        <w:t xml:space="preserve"> </w:t>
      </w:r>
      <w:r w:rsidRPr="00E10A24">
        <w:rPr>
          <w:rFonts w:eastAsia="Calibri" w:cstheme="minorHAnsi"/>
          <w:szCs w:val="24"/>
        </w:rPr>
        <w:t xml:space="preserve">Baltijas valstis joprojām ir atkarīgas no viena dominējoša dabasgāzes piegādātāja, kas neļauj nodrošināt enerģētisko neatkarību un energoapgādes drošumu. </w:t>
      </w:r>
    </w:p>
    <w:p w14:paraId="0231D16B" w14:textId="77777777" w:rsidR="00E350C8" w:rsidRPr="002D0D92" w:rsidRDefault="00E350C8" w:rsidP="00E350C8">
      <w:pPr>
        <w:spacing w:before="120" w:after="120" w:line="240" w:lineRule="auto"/>
        <w:jc w:val="both"/>
        <w:rPr>
          <w:rFonts w:eastAsia="Calibri" w:cstheme="minorHAnsi"/>
          <w:szCs w:val="24"/>
          <w:u w:val="single"/>
        </w:rPr>
      </w:pPr>
      <w:r w:rsidRPr="00E10A24">
        <w:rPr>
          <w:rFonts w:eastAsia="Calibri" w:cstheme="minorHAnsi"/>
          <w:szCs w:val="24"/>
          <w:u w:val="single"/>
        </w:rPr>
        <w:t xml:space="preserve">3) </w:t>
      </w:r>
      <w:r w:rsidRPr="00E10A24">
        <w:rPr>
          <w:rFonts w:eastAsia="Calibri" w:cstheme="minorHAnsi"/>
          <w:b/>
          <w:bCs/>
          <w:szCs w:val="24"/>
          <w:u w:val="single"/>
        </w:rPr>
        <w:t>neattīstīta</w:t>
      </w:r>
      <w:r w:rsidRPr="00E10A24">
        <w:rPr>
          <w:rFonts w:eastAsia="Calibri" w:cstheme="minorHAnsi"/>
          <w:szCs w:val="24"/>
          <w:u w:val="single"/>
        </w:rPr>
        <w:t xml:space="preserve"> Baltijas valstu savstarpējā </w:t>
      </w:r>
      <w:r w:rsidRPr="00E10A24">
        <w:rPr>
          <w:rFonts w:eastAsia="Calibri" w:cstheme="minorHAnsi"/>
          <w:b/>
          <w:bCs/>
          <w:szCs w:val="24"/>
          <w:u w:val="single"/>
        </w:rPr>
        <w:t>starpsavienojumu infrastruktūra un kapacitāte</w:t>
      </w:r>
    </w:p>
    <w:p w14:paraId="4C3BAA78" w14:textId="77777777" w:rsidR="00E350C8" w:rsidRPr="00E10A24" w:rsidRDefault="00E350C8" w:rsidP="00E350C8">
      <w:pPr>
        <w:spacing w:before="120" w:after="120" w:line="240" w:lineRule="auto"/>
        <w:jc w:val="both"/>
        <w:rPr>
          <w:rFonts w:eastAsia="Calibri" w:cstheme="minorHAnsi"/>
          <w:szCs w:val="24"/>
        </w:rPr>
      </w:pPr>
      <w:r w:rsidRPr="00E10A24">
        <w:rPr>
          <w:rFonts w:eastAsia="Calibri" w:cstheme="minorHAnsi"/>
          <w:szCs w:val="24"/>
        </w:rPr>
        <w:t>Attīstīti Lietuvas – Polijas, Lietuvas</w:t>
      </w:r>
      <w:r>
        <w:rPr>
          <w:rFonts w:eastAsia="Calibri" w:cstheme="minorHAnsi"/>
          <w:szCs w:val="24"/>
        </w:rPr>
        <w:t xml:space="preserve"> –</w:t>
      </w:r>
      <w:r w:rsidRPr="00E10A24">
        <w:rPr>
          <w:rFonts w:eastAsia="Calibri" w:cstheme="minorHAnsi"/>
          <w:szCs w:val="24"/>
        </w:rPr>
        <w:t xml:space="preserve"> Zviedrijas, Igaunijas – Somijas elektropārvades un gāzes pārvades starpsavienojumi nesniedz pilnīgu apgādes drošumu, ja vienlaikus netiek attīstīti arī iekšējie Baltijas valstu starpsavienojumi, kas ļautu palielināt pārvades jaudas. Šobrīd Latvijai ir ieejošais starpsavienojums ar Igauniju un izejošais starpsavienojums ar Lietuvu, kas varētu radīt problēmsituācijas, ņemot vērā Lietuvas lēmumu apturēt elektroenerģijas ienākošo plūsmu no Baltkrievijas.</w:t>
      </w:r>
    </w:p>
    <w:p w14:paraId="2807AB11" w14:textId="77777777" w:rsidR="00E350C8" w:rsidRPr="00E10A24" w:rsidRDefault="00E350C8" w:rsidP="00E350C8">
      <w:pPr>
        <w:spacing w:before="120" w:after="120" w:line="240" w:lineRule="auto"/>
        <w:jc w:val="both"/>
        <w:rPr>
          <w:rFonts w:eastAsia="Calibri" w:cstheme="minorHAnsi"/>
          <w:szCs w:val="24"/>
          <w:u w:val="single"/>
        </w:rPr>
      </w:pPr>
      <w:r>
        <w:rPr>
          <w:rFonts w:eastAsia="Calibri" w:cstheme="minorHAnsi"/>
          <w:szCs w:val="24"/>
          <w:u w:val="single"/>
        </w:rPr>
        <w:t>3</w:t>
      </w:r>
      <w:r w:rsidRPr="00E10A24">
        <w:rPr>
          <w:rFonts w:eastAsia="Calibri" w:cstheme="minorHAnsi"/>
          <w:szCs w:val="24"/>
          <w:u w:val="single"/>
        </w:rPr>
        <w:t xml:space="preserve">) </w:t>
      </w:r>
      <w:r w:rsidRPr="00E10A24">
        <w:rPr>
          <w:rFonts w:eastAsia="Calibri" w:cstheme="minorHAnsi"/>
          <w:b/>
          <w:bCs/>
          <w:szCs w:val="24"/>
          <w:u w:val="single"/>
        </w:rPr>
        <w:t>Enerģētiskās nabadzības problemātikas</w:t>
      </w:r>
      <w:r w:rsidRPr="00E10A24">
        <w:rPr>
          <w:rFonts w:eastAsia="Calibri" w:cstheme="minorHAnsi"/>
          <w:szCs w:val="24"/>
          <w:u w:val="single"/>
        </w:rPr>
        <w:t xml:space="preserve"> kompleksa nerisināšana</w:t>
      </w:r>
    </w:p>
    <w:p w14:paraId="493A841E" w14:textId="77777777" w:rsidR="00E350C8" w:rsidRPr="00E10A24" w:rsidRDefault="00E350C8" w:rsidP="00B75C0D">
      <w:pPr>
        <w:spacing w:before="120" w:after="120" w:line="240" w:lineRule="auto"/>
        <w:jc w:val="both"/>
        <w:rPr>
          <w:rFonts w:eastAsia="Calibri" w:cstheme="minorHAnsi"/>
          <w:szCs w:val="24"/>
        </w:rPr>
      </w:pPr>
      <w:r w:rsidRPr="00E10A24">
        <w:rPr>
          <w:rFonts w:eastAsia="Calibri" w:cstheme="minorHAnsi"/>
          <w:szCs w:val="24"/>
        </w:rPr>
        <w:t>Aizsargātā lietotāja atbalstu elektroenerģijas izmaksu segšanai saņem tikai puse no visiem identificētajiem aizsargātajiem lietotājiem, kam par iemeslu ir neautomatizētā atbalsta piešķiršanas sistēma. Tāpat šobrīd atbalstu enerģētiskās nabadzības mazināšanas nolūkā iedzīvotāji saņem tikai par izmantoto elektroenerģiju, savukārt atbalstu siltumenerģijas nodrošināšanai pietiekamā apjomā risina pašvaldības savu spēju ietvaros. Tomēr enerģētiskās nabadzības princips balstās tieši uz iedzīvotāju nespēju uzturēt savus mājokļus pietiekami siltus, tāpēc enerģētiskās nabadzības mazināšana vairāk skar siltumenerģijas patēriņu.</w:t>
      </w:r>
    </w:p>
    <w:p w14:paraId="2FA9FA54" w14:textId="77777777" w:rsidR="00E350C8" w:rsidRDefault="00E350C8" w:rsidP="00B75C0D">
      <w:pPr>
        <w:shd w:val="clear" w:color="auto" w:fill="E7E6E6" w:themeFill="background2"/>
        <w:spacing w:before="120" w:after="120" w:line="240" w:lineRule="auto"/>
        <w:rPr>
          <w:rFonts w:ascii="Calibri" w:hAnsi="Calibri" w:cs="Times New Roman"/>
          <w:b/>
          <w:i/>
          <w:szCs w:val="24"/>
        </w:rPr>
      </w:pPr>
      <w:r w:rsidRPr="000E5785">
        <w:rPr>
          <w:rFonts w:ascii="Calibri" w:hAnsi="Calibri" w:cs="Times New Roman"/>
          <w:b/>
          <w:i/>
          <w:sz w:val="28"/>
          <w:szCs w:val="28"/>
        </w:rPr>
        <w:t>Galvenais rīcības virziens</w:t>
      </w:r>
      <w:r w:rsidRPr="000E5785">
        <w:rPr>
          <w:rFonts w:ascii="Calibri" w:hAnsi="Calibri" w:cs="Times New Roman"/>
          <w:b/>
          <w:i/>
          <w:szCs w:val="24"/>
        </w:rPr>
        <w:t xml:space="preserve"> </w:t>
      </w:r>
      <w:r w:rsidRPr="00E10A24">
        <w:rPr>
          <w:rFonts w:ascii="Calibri" w:hAnsi="Calibri" w:cs="Times New Roman"/>
          <w:b/>
          <w:i/>
          <w:sz w:val="22"/>
        </w:rPr>
        <w:t>(6. rīcības virziens)</w:t>
      </w:r>
    </w:p>
    <w:p w14:paraId="26F5323F" w14:textId="0F84D768" w:rsidR="00E350C8" w:rsidRPr="001815C6" w:rsidRDefault="00E350C8" w:rsidP="001E6837">
      <w:pPr>
        <w:shd w:val="clear" w:color="auto" w:fill="E7E6E6" w:themeFill="background2"/>
        <w:spacing w:before="120" w:after="120" w:line="240" w:lineRule="auto"/>
        <w:jc w:val="both"/>
        <w:rPr>
          <w:rFonts w:ascii="Times New Roman" w:eastAsia="Calibri" w:hAnsi="Times New Roman" w:cs="Times New Roman"/>
          <w:szCs w:val="24"/>
        </w:rPr>
      </w:pPr>
      <w:r w:rsidRPr="00E873A4">
        <w:rPr>
          <w:rFonts w:ascii="Calibri" w:hAnsi="Calibri" w:cs="Times New Roman"/>
          <w:b/>
          <w:szCs w:val="24"/>
          <w:u w:val="single"/>
        </w:rPr>
        <w:t>Enerģētiskā drošība</w:t>
      </w:r>
      <w:r w:rsidR="001E6837">
        <w:rPr>
          <w:rFonts w:ascii="Calibri" w:hAnsi="Calibri" w:cs="Times New Roman"/>
          <w:b/>
          <w:szCs w:val="24"/>
          <w:u w:val="single"/>
        </w:rPr>
        <w:t>, enerģētiskās atkarības mazināšana</w:t>
      </w:r>
      <w:r w:rsidRPr="00E873A4">
        <w:rPr>
          <w:rFonts w:ascii="Calibri" w:hAnsi="Calibri" w:cs="Times New Roman"/>
          <w:b/>
          <w:szCs w:val="24"/>
          <w:u w:val="single"/>
        </w:rPr>
        <w:t>, pilnīga enerģijas tirgu integrācija, infrastruktūras modernizācija</w:t>
      </w:r>
    </w:p>
    <w:p w14:paraId="2A24E6D5" w14:textId="77777777" w:rsidR="00E350C8" w:rsidRPr="00E10A24" w:rsidRDefault="00E350C8" w:rsidP="00B75C0D">
      <w:pPr>
        <w:spacing w:before="120" w:after="120" w:line="240" w:lineRule="auto"/>
        <w:jc w:val="both"/>
        <w:rPr>
          <w:rFonts w:cstheme="minorHAnsi"/>
          <w:b/>
          <w:i/>
          <w:sz w:val="28"/>
          <w:szCs w:val="28"/>
          <w:u w:val="single"/>
        </w:rPr>
      </w:pPr>
      <w:bookmarkStart w:id="561" w:name="_Hlk18065672"/>
      <w:r w:rsidRPr="00E10A24">
        <w:rPr>
          <w:rFonts w:cstheme="minorHAnsi"/>
          <w:b/>
          <w:i/>
          <w:sz w:val="28"/>
          <w:szCs w:val="28"/>
          <w:u w:val="single"/>
        </w:rPr>
        <w:t>Galvenās rīcības un pasākumi</w:t>
      </w:r>
    </w:p>
    <w:p w14:paraId="64B843C8" w14:textId="77777777" w:rsidR="00E350C8" w:rsidRPr="002D0D92" w:rsidRDefault="00E350C8" w:rsidP="00B75C0D">
      <w:pPr>
        <w:spacing w:before="120" w:after="120" w:line="240" w:lineRule="auto"/>
        <w:jc w:val="both"/>
        <w:rPr>
          <w:rFonts w:eastAsia="Calibri" w:cstheme="minorHAnsi"/>
          <w:szCs w:val="24"/>
          <w:u w:val="single"/>
        </w:rPr>
      </w:pPr>
      <w:r w:rsidRPr="007A2AFE">
        <w:rPr>
          <w:rFonts w:eastAsia="Calibri" w:cstheme="minorHAnsi"/>
          <w:szCs w:val="24"/>
          <w:u w:val="single"/>
        </w:rPr>
        <w:t xml:space="preserve">1) Nodrošināt </w:t>
      </w:r>
      <w:r w:rsidRPr="007A2AFE">
        <w:rPr>
          <w:rFonts w:eastAsia="Calibri" w:cstheme="minorHAnsi"/>
          <w:b/>
          <w:bCs/>
          <w:szCs w:val="24"/>
          <w:u w:val="single"/>
        </w:rPr>
        <w:t>enerģētisko drošību</w:t>
      </w:r>
      <w:r w:rsidRPr="007A2AFE">
        <w:rPr>
          <w:rFonts w:eastAsia="Calibri" w:cstheme="minorHAnsi"/>
          <w:szCs w:val="24"/>
          <w:u w:val="single"/>
        </w:rPr>
        <w:t xml:space="preserve"> un pilnīgu </w:t>
      </w:r>
      <w:r w:rsidRPr="007A2AFE">
        <w:rPr>
          <w:rFonts w:eastAsia="Calibri" w:cstheme="minorHAnsi"/>
          <w:b/>
          <w:bCs/>
          <w:szCs w:val="24"/>
          <w:u w:val="single"/>
        </w:rPr>
        <w:t>enerģijas tirgus integrāciju</w:t>
      </w:r>
      <w:r w:rsidRPr="007A2AFE">
        <w:rPr>
          <w:rFonts w:eastAsia="Calibri" w:cstheme="minorHAnsi"/>
          <w:szCs w:val="24"/>
          <w:u w:val="single"/>
        </w:rPr>
        <w:t>,</w:t>
      </w:r>
      <w:r w:rsidRPr="007A2AFE">
        <w:rPr>
          <w:rFonts w:eastAsia="Calibri" w:cstheme="minorHAnsi"/>
          <w:b/>
          <w:bCs/>
          <w:szCs w:val="24"/>
          <w:u w:val="single"/>
        </w:rPr>
        <w:t xml:space="preserve"> samazināt enerģētisko atkarību</w:t>
      </w:r>
      <w:r>
        <w:rPr>
          <w:rFonts w:eastAsia="Calibri" w:cstheme="minorHAnsi"/>
          <w:b/>
          <w:bCs/>
          <w:szCs w:val="24"/>
          <w:u w:val="single"/>
        </w:rPr>
        <w:t xml:space="preserve"> </w:t>
      </w:r>
      <w:r w:rsidRPr="002D0D92">
        <w:rPr>
          <w:rFonts w:eastAsia="Calibri" w:cstheme="minorHAnsi"/>
          <w:szCs w:val="24"/>
          <w:u w:val="single"/>
        </w:rPr>
        <w:t>(6.1., 6.2.pasākums)</w:t>
      </w:r>
    </w:p>
    <w:p w14:paraId="0C0D37A9" w14:textId="77777777" w:rsidR="00E350C8" w:rsidRDefault="00E350C8" w:rsidP="00B75C0D">
      <w:pPr>
        <w:spacing w:before="120" w:after="120" w:line="240" w:lineRule="auto"/>
        <w:jc w:val="both"/>
        <w:rPr>
          <w:rFonts w:eastAsia="Calibri" w:cstheme="minorHAnsi"/>
          <w:szCs w:val="24"/>
        </w:rPr>
      </w:pPr>
      <w:r>
        <w:rPr>
          <w:rFonts w:eastAsia="Calibri" w:cstheme="minorHAnsi"/>
          <w:szCs w:val="24"/>
        </w:rPr>
        <w:t>Enerģētisko drošību var uzlabot un enerģētisko atkarību var samazināt, nodrošinot:</w:t>
      </w:r>
    </w:p>
    <w:bookmarkEnd w:id="561"/>
    <w:p w14:paraId="721D065D" w14:textId="77777777" w:rsidR="00E350C8" w:rsidRDefault="00E350C8" w:rsidP="00E350C8">
      <w:pPr>
        <w:pStyle w:val="ListParagraph"/>
        <w:numPr>
          <w:ilvl w:val="0"/>
          <w:numId w:val="48"/>
        </w:numPr>
        <w:spacing w:before="120" w:after="120" w:line="240" w:lineRule="auto"/>
        <w:ind w:left="397" w:hanging="397"/>
        <w:contextualSpacing w:val="0"/>
        <w:jc w:val="both"/>
        <w:rPr>
          <w:rFonts w:eastAsia="Calibri" w:cstheme="minorHAnsi"/>
          <w:szCs w:val="24"/>
        </w:rPr>
      </w:pPr>
      <w:r w:rsidRPr="007A2AFE">
        <w:rPr>
          <w:rFonts w:eastAsia="Calibri" w:cstheme="minorHAnsi"/>
          <w:szCs w:val="24"/>
        </w:rPr>
        <w:t>Gāzes sektorā</w:t>
      </w:r>
      <w:r>
        <w:rPr>
          <w:rFonts w:eastAsia="Calibri" w:cstheme="minorHAnsi"/>
          <w:szCs w:val="24"/>
        </w:rPr>
        <w:t xml:space="preserve"> – </w:t>
      </w:r>
      <w:r w:rsidRPr="007A2AFE">
        <w:rPr>
          <w:rFonts w:eastAsia="Calibri" w:cstheme="minorHAnsi"/>
          <w:szCs w:val="24"/>
        </w:rPr>
        <w:t xml:space="preserve">alternatīvu dabasgāzes piegādātāju iesaisti tirgū, </w:t>
      </w:r>
      <w:r>
        <w:rPr>
          <w:rFonts w:eastAsia="Calibri" w:cstheme="minorHAnsi"/>
          <w:szCs w:val="24"/>
        </w:rPr>
        <w:t>kur dabasgāze tiek piegādāta no pēc iespējas vairāk valstīm (ES valstīm vai trešajām valstīm) gan izmantojot dabasgāzes pārvades tīklu, gan izmantojot alternatīvus piegādes veidus;</w:t>
      </w:r>
    </w:p>
    <w:p w14:paraId="434A0FB9" w14:textId="77777777" w:rsidR="00893C96" w:rsidRDefault="00893C96" w:rsidP="00893C96">
      <w:pPr>
        <w:pStyle w:val="ListParagraph"/>
        <w:numPr>
          <w:ilvl w:val="0"/>
          <w:numId w:val="48"/>
        </w:numPr>
        <w:spacing w:before="120" w:after="120" w:line="240" w:lineRule="auto"/>
        <w:ind w:left="397" w:hanging="397"/>
        <w:contextualSpacing w:val="0"/>
        <w:jc w:val="both"/>
        <w:rPr>
          <w:rFonts w:eastAsia="Calibri" w:cstheme="minorHAnsi"/>
          <w:szCs w:val="24"/>
        </w:rPr>
      </w:pPr>
      <w:r>
        <w:rPr>
          <w:rFonts w:eastAsia="Calibri" w:cstheme="minorHAnsi"/>
          <w:szCs w:val="24"/>
        </w:rPr>
        <w:t>Elektroenerģijas sektorā – pēc iespējas vairāk diversificētus elektroenerģijas ražošanā izmantoto energoresursu veidus un elektroenerģijas ražošanas tehnoloģijas, uzsvaru liekot uz ne-emisiju tehnoloģijām, tomēr ievērojot AER tehnoloģiskās neitralitātes principu, vienlaikus nodrošinot nepārtrauktu starpsavienojumu darbību;</w:t>
      </w:r>
    </w:p>
    <w:p w14:paraId="71DE798D" w14:textId="77777777" w:rsidR="00E350C8" w:rsidRDefault="00E350C8" w:rsidP="00E350C8">
      <w:pPr>
        <w:pStyle w:val="ListParagraph"/>
        <w:numPr>
          <w:ilvl w:val="0"/>
          <w:numId w:val="48"/>
        </w:numPr>
        <w:spacing w:before="120" w:after="120" w:line="240" w:lineRule="auto"/>
        <w:ind w:left="397" w:hanging="397"/>
        <w:contextualSpacing w:val="0"/>
        <w:jc w:val="both"/>
        <w:rPr>
          <w:rFonts w:eastAsia="Calibri" w:cstheme="minorHAnsi"/>
          <w:szCs w:val="24"/>
        </w:rPr>
      </w:pPr>
      <w:r>
        <w:rPr>
          <w:rFonts w:eastAsia="Calibri" w:cstheme="minorHAnsi"/>
          <w:szCs w:val="24"/>
        </w:rPr>
        <w:t>Transporta enerģijas sektorā – samazinot nepieciešamību izmantot importēto fosilo degvielu, elektrificējot transportu un pēc iespējas diversificējot izmantotos fosilās degvielas veidus.</w:t>
      </w:r>
    </w:p>
    <w:p w14:paraId="7EEA08DC" w14:textId="77777777" w:rsidR="00E350C8" w:rsidRPr="001F11E9" w:rsidRDefault="00E350C8" w:rsidP="00E350C8">
      <w:pPr>
        <w:spacing w:before="120" w:after="120" w:line="240" w:lineRule="auto"/>
        <w:jc w:val="both"/>
        <w:rPr>
          <w:rFonts w:cstheme="minorHAnsi"/>
        </w:rPr>
      </w:pPr>
      <w:r w:rsidRPr="001F11E9">
        <w:rPr>
          <w:rFonts w:cstheme="minorHAnsi"/>
        </w:rPr>
        <w:t>Šobrīd nav noteikti ierobežojumi kādas AE tehnoloģijas ieviešanai un izmantošanai Latvijas teritorijā</w:t>
      </w:r>
      <w:r>
        <w:rPr>
          <w:rFonts w:cstheme="minorHAnsi"/>
        </w:rPr>
        <w:t xml:space="preserve">, bet ir </w:t>
      </w:r>
      <w:r w:rsidRPr="001F11E9">
        <w:rPr>
          <w:rFonts w:cstheme="minorHAnsi"/>
        </w:rPr>
        <w:t>iekļauti nosacījumi, kas jāņem vērā veidojot transporta infrastruktūru, izveidojot vēja parku</w:t>
      </w:r>
      <w:r>
        <w:rPr>
          <w:rStyle w:val="FootnoteReference"/>
          <w:rFonts w:cstheme="minorHAnsi"/>
        </w:rPr>
        <w:footnoteReference w:id="176"/>
      </w:r>
      <w:r w:rsidRPr="001F11E9">
        <w:rPr>
          <w:rFonts w:cstheme="minorHAnsi"/>
        </w:rPr>
        <w:t>. Veiktie un veicamie pasākumi elektroenerģijas infrastruktūras attīstībai un modernizēšanai nodrošina iespēju jaunu AE jaudu iekļaušanai, kur nav noteikti jaudu iekļaušanas prioritizācija.</w:t>
      </w:r>
    </w:p>
    <w:p w14:paraId="7362DCD3" w14:textId="77777777" w:rsidR="00E350C8" w:rsidRPr="000A3C42" w:rsidRDefault="00E350C8" w:rsidP="00E350C8">
      <w:pPr>
        <w:spacing w:before="120" w:after="120" w:line="240" w:lineRule="auto"/>
        <w:jc w:val="both"/>
        <w:rPr>
          <w:rFonts w:eastAsia="Calibri" w:cstheme="minorHAnsi"/>
          <w:szCs w:val="24"/>
        </w:rPr>
      </w:pPr>
      <w:r>
        <w:rPr>
          <w:rFonts w:eastAsia="Calibri" w:cstheme="minorHAnsi"/>
          <w:szCs w:val="24"/>
        </w:rPr>
        <w:t>Lai gan Latvijā iekšējie enerģijas tirgi ir integrēti, turpmāko enerģijas tirgus integrācijas pasākumus Latvija īstenos:</w:t>
      </w:r>
    </w:p>
    <w:p w14:paraId="32BE8310" w14:textId="55AF94E7" w:rsidR="00E350C8" w:rsidRPr="007A2AFE" w:rsidRDefault="00E350C8" w:rsidP="00E350C8">
      <w:pPr>
        <w:pStyle w:val="ListParagraph"/>
        <w:numPr>
          <w:ilvl w:val="0"/>
          <w:numId w:val="48"/>
        </w:numPr>
        <w:spacing w:before="120" w:after="120" w:line="240" w:lineRule="auto"/>
        <w:ind w:left="397" w:hanging="397"/>
        <w:contextualSpacing w:val="0"/>
        <w:jc w:val="both"/>
        <w:rPr>
          <w:rFonts w:eastAsia="Calibri" w:cstheme="minorHAnsi"/>
          <w:szCs w:val="24"/>
        </w:rPr>
      </w:pPr>
      <w:r>
        <w:rPr>
          <w:rFonts w:eastAsia="Calibri" w:cstheme="minorHAnsi"/>
          <w:szCs w:val="24"/>
        </w:rPr>
        <w:t xml:space="preserve">izveidojot </w:t>
      </w:r>
      <w:r w:rsidRPr="007A2AFE">
        <w:rPr>
          <w:rFonts w:eastAsia="Calibri" w:cstheme="minorHAnsi"/>
          <w:szCs w:val="24"/>
        </w:rPr>
        <w:t>reģionāl</w:t>
      </w:r>
      <w:r w:rsidR="00893C96">
        <w:rPr>
          <w:rFonts w:eastAsia="Calibri" w:cstheme="minorHAnsi"/>
          <w:szCs w:val="24"/>
        </w:rPr>
        <w:t>o</w:t>
      </w:r>
      <w:r w:rsidRPr="007A2AFE">
        <w:rPr>
          <w:rFonts w:eastAsia="Calibri" w:cstheme="minorHAnsi"/>
          <w:szCs w:val="24"/>
        </w:rPr>
        <w:t xml:space="preserve"> Baltijas valstu un Somijas gāzes tirgu ar vienotu gāzes balansēšanas zonu un kopīgu gāzes pārvades tarifu. Lai nodrošinātu gāzapgādes drošumu un palielinātu gāzes plūsmas, svarīga ir Latvijas – Lietuvas gāzes starpsavienojuma jaudas palielināšana un  Inčukalna pazemes gāzes krātuves modernizācija. </w:t>
      </w:r>
    </w:p>
    <w:p w14:paraId="0C1AE206" w14:textId="77777777" w:rsidR="00893C96" w:rsidRDefault="00893C96" w:rsidP="00893C96">
      <w:pPr>
        <w:pStyle w:val="ListParagraph"/>
        <w:numPr>
          <w:ilvl w:val="0"/>
          <w:numId w:val="48"/>
        </w:numPr>
        <w:spacing w:before="120" w:after="120" w:line="240" w:lineRule="auto"/>
        <w:ind w:left="397" w:hanging="397"/>
        <w:contextualSpacing w:val="0"/>
        <w:jc w:val="both"/>
        <w:rPr>
          <w:rFonts w:eastAsia="Calibri" w:cstheme="minorHAnsi"/>
          <w:szCs w:val="24"/>
        </w:rPr>
      </w:pPr>
      <w:r>
        <w:rPr>
          <w:rFonts w:eastAsia="Calibri" w:cstheme="minorHAnsi"/>
          <w:szCs w:val="24"/>
        </w:rPr>
        <w:t>r</w:t>
      </w:r>
      <w:r w:rsidRPr="007A2AFE">
        <w:rPr>
          <w:rFonts w:eastAsia="Calibri" w:cstheme="minorHAnsi"/>
          <w:szCs w:val="24"/>
        </w:rPr>
        <w:t>ealizē</w:t>
      </w:r>
      <w:r>
        <w:rPr>
          <w:rFonts w:eastAsia="Calibri" w:cstheme="minorHAnsi"/>
          <w:szCs w:val="24"/>
        </w:rPr>
        <w:t>jo</w:t>
      </w:r>
      <w:r w:rsidRPr="007A2AFE">
        <w:rPr>
          <w:rFonts w:eastAsia="Calibri" w:cstheme="minorHAnsi"/>
          <w:szCs w:val="24"/>
        </w:rPr>
        <w:t>t</w:t>
      </w:r>
      <w:r>
        <w:rPr>
          <w:rFonts w:eastAsia="Calibri" w:cstheme="minorHAnsi"/>
          <w:szCs w:val="24"/>
        </w:rPr>
        <w:t xml:space="preserve"> </w:t>
      </w:r>
      <w:r w:rsidRPr="007A2AFE">
        <w:rPr>
          <w:rFonts w:eastAsia="Calibri" w:cstheme="minorHAnsi"/>
          <w:szCs w:val="24"/>
        </w:rPr>
        <w:t xml:space="preserve">Baltijas valstu elektrotīklu sinhronizāciju ar Eiropas tīklu, ietverot arī esošo starpsavienojumu pastiprināšanu un jaunu starpsavienojumu izveidi, kā ietvaros arī rekonstruējot un modernizējot esošās augstsprieguma apakšstacijas un elektroenerģijas sadales punktus Latvijas iekšienē un izbūvējot jaunas elektropārvades līnijas un uzstādot </w:t>
      </w:r>
      <w:r>
        <w:rPr>
          <w:rFonts w:eastAsia="Calibri" w:cstheme="minorHAnsi"/>
          <w:szCs w:val="24"/>
        </w:rPr>
        <w:t>i</w:t>
      </w:r>
      <w:r w:rsidRPr="007A2AFE">
        <w:rPr>
          <w:rFonts w:eastAsia="Calibri" w:cstheme="minorHAnsi"/>
          <w:szCs w:val="24"/>
        </w:rPr>
        <w:t>ekārta</w:t>
      </w:r>
      <w:r>
        <w:rPr>
          <w:rFonts w:eastAsia="Calibri" w:cstheme="minorHAnsi"/>
          <w:szCs w:val="24"/>
        </w:rPr>
        <w:t>s</w:t>
      </w:r>
      <w:r w:rsidRPr="007A2AFE">
        <w:rPr>
          <w:rFonts w:eastAsia="Calibri" w:cstheme="minorHAnsi"/>
          <w:szCs w:val="24"/>
        </w:rPr>
        <w:t>, kas nepieciešama</w:t>
      </w:r>
      <w:r>
        <w:rPr>
          <w:rFonts w:eastAsia="Calibri" w:cstheme="minorHAnsi"/>
          <w:szCs w:val="24"/>
        </w:rPr>
        <w:t>s</w:t>
      </w:r>
      <w:r w:rsidRPr="007A2AFE">
        <w:rPr>
          <w:rFonts w:eastAsia="Calibri" w:cstheme="minorHAnsi"/>
          <w:szCs w:val="24"/>
        </w:rPr>
        <w:t xml:space="preserve"> Baltijas valstu droš</w:t>
      </w:r>
      <w:r>
        <w:rPr>
          <w:rFonts w:eastAsia="Calibri" w:cstheme="minorHAnsi"/>
          <w:szCs w:val="24"/>
        </w:rPr>
        <w:t>ai</w:t>
      </w:r>
      <w:r w:rsidRPr="007A2AFE">
        <w:rPr>
          <w:rFonts w:eastAsia="Calibri" w:cstheme="minorHAnsi"/>
          <w:szCs w:val="24"/>
        </w:rPr>
        <w:t xml:space="preserve"> un stabil</w:t>
      </w:r>
      <w:r>
        <w:rPr>
          <w:rFonts w:eastAsia="Calibri" w:cstheme="minorHAnsi"/>
          <w:szCs w:val="24"/>
        </w:rPr>
        <w:t>ai</w:t>
      </w:r>
      <w:r w:rsidRPr="007A2AFE">
        <w:rPr>
          <w:rFonts w:eastAsia="Calibri" w:cstheme="minorHAnsi"/>
          <w:szCs w:val="24"/>
        </w:rPr>
        <w:t xml:space="preserve"> sinhronizācijas nodrošināšanai.</w:t>
      </w:r>
    </w:p>
    <w:p w14:paraId="6DC01D10" w14:textId="259B0CC8" w:rsidR="00E350C8" w:rsidRPr="007A2AFE" w:rsidRDefault="00E350C8" w:rsidP="00E350C8">
      <w:pPr>
        <w:pStyle w:val="ListParagraph"/>
        <w:numPr>
          <w:ilvl w:val="0"/>
          <w:numId w:val="48"/>
        </w:numPr>
        <w:spacing w:before="120" w:after="120" w:line="240" w:lineRule="auto"/>
        <w:ind w:left="397" w:hanging="397"/>
        <w:contextualSpacing w:val="0"/>
        <w:jc w:val="both"/>
        <w:rPr>
          <w:rFonts w:eastAsia="Calibri" w:cstheme="minorHAnsi"/>
          <w:szCs w:val="24"/>
        </w:rPr>
      </w:pPr>
      <w:r>
        <w:rPr>
          <w:rFonts w:eastAsia="Calibri" w:cstheme="minorHAnsi"/>
          <w:szCs w:val="24"/>
        </w:rPr>
        <w:t>Izvērtējot iespēju vēl vairāk liberalizēt siltumenerģijas tirgu un ieviešot nosacījumus saņemt atļauju jaunas jaudas vai jaunu iekārtu uzstādīšanai</w:t>
      </w:r>
      <w:r w:rsidR="003C5D2F">
        <w:rPr>
          <w:rFonts w:eastAsia="Calibri" w:cstheme="minorHAnsi"/>
          <w:szCs w:val="24"/>
        </w:rPr>
        <w:t xml:space="preserve">, </w:t>
      </w:r>
      <w:r w:rsidR="003C5D2F" w:rsidRPr="003C5D2F">
        <w:rPr>
          <w:rFonts w:eastAsia="Calibri" w:cstheme="minorHAnsi"/>
          <w:szCs w:val="24"/>
        </w:rPr>
        <w:t>vērtējot ģenerējošo jaudu piesātinājumu konkrētā teritorijā un ņemot vērā tirgus funkcionalitāti</w:t>
      </w:r>
      <w:r>
        <w:rPr>
          <w:rFonts w:eastAsia="Calibri" w:cstheme="minorHAnsi"/>
          <w:szCs w:val="24"/>
        </w:rPr>
        <w:t>.</w:t>
      </w:r>
    </w:p>
    <w:p w14:paraId="7E27DEAD" w14:textId="77777777" w:rsidR="00E350C8" w:rsidRPr="007A2AFE" w:rsidRDefault="00E350C8" w:rsidP="00E350C8">
      <w:pPr>
        <w:spacing w:before="120" w:after="120" w:line="240" w:lineRule="auto"/>
        <w:jc w:val="both"/>
        <w:rPr>
          <w:rFonts w:eastAsia="Calibri" w:cstheme="minorHAnsi"/>
          <w:szCs w:val="24"/>
          <w:u w:val="single"/>
        </w:rPr>
      </w:pPr>
      <w:r w:rsidRPr="007A2AFE">
        <w:rPr>
          <w:rFonts w:eastAsia="Calibri" w:cstheme="minorHAnsi"/>
          <w:szCs w:val="24"/>
          <w:u w:val="single"/>
        </w:rPr>
        <w:t xml:space="preserve">2) </w:t>
      </w:r>
      <w:r w:rsidRPr="007A2AFE">
        <w:rPr>
          <w:rFonts w:eastAsia="Calibri" w:cstheme="minorHAnsi"/>
          <w:b/>
          <w:bCs/>
          <w:szCs w:val="24"/>
          <w:u w:val="single"/>
        </w:rPr>
        <w:t xml:space="preserve">Modernizēt infrastruktūru </w:t>
      </w:r>
      <w:r w:rsidRPr="007A2AFE">
        <w:rPr>
          <w:rFonts w:eastAsia="Calibri" w:cstheme="minorHAnsi"/>
          <w:szCs w:val="24"/>
          <w:u w:val="single"/>
        </w:rPr>
        <w:t>dažādos tās aspektos</w:t>
      </w:r>
      <w:r>
        <w:rPr>
          <w:rFonts w:eastAsia="Calibri" w:cstheme="minorHAnsi"/>
          <w:szCs w:val="24"/>
          <w:u w:val="single"/>
        </w:rPr>
        <w:t xml:space="preserve"> </w:t>
      </w:r>
      <w:r>
        <w:rPr>
          <w:rFonts w:eastAsia="Calibri" w:cstheme="minorHAnsi"/>
          <w:b/>
          <w:bCs/>
          <w:szCs w:val="24"/>
          <w:u w:val="single"/>
        </w:rPr>
        <w:t xml:space="preserve"> </w:t>
      </w:r>
      <w:r w:rsidRPr="002D0D92">
        <w:rPr>
          <w:rFonts w:eastAsia="Calibri" w:cstheme="minorHAnsi"/>
          <w:szCs w:val="24"/>
          <w:u w:val="single"/>
        </w:rPr>
        <w:t>(6.1., 6.2.pasākums)</w:t>
      </w:r>
    </w:p>
    <w:p w14:paraId="5A969A64" w14:textId="77777777" w:rsidR="00E350C8" w:rsidRPr="007A2AFE" w:rsidRDefault="00E350C8" w:rsidP="00E350C8">
      <w:pPr>
        <w:spacing w:before="120" w:after="120" w:line="240" w:lineRule="auto"/>
        <w:jc w:val="both"/>
        <w:rPr>
          <w:rFonts w:eastAsia="Calibri" w:cstheme="minorHAnsi"/>
          <w:szCs w:val="24"/>
        </w:rPr>
      </w:pPr>
      <w:r w:rsidRPr="007A2AFE">
        <w:rPr>
          <w:rFonts w:eastAsia="Calibri" w:cstheme="minorHAnsi"/>
          <w:szCs w:val="24"/>
        </w:rPr>
        <w:t>Plāna aptvēruma periodā tiks veikti šādi infrastruktūras modernizācijas projekti:</w:t>
      </w:r>
    </w:p>
    <w:p w14:paraId="5EADDECB" w14:textId="77777777" w:rsidR="00E350C8" w:rsidRPr="007A2AFE" w:rsidRDefault="00E350C8" w:rsidP="00E350C8">
      <w:pPr>
        <w:pStyle w:val="ListParagraph"/>
        <w:numPr>
          <w:ilvl w:val="0"/>
          <w:numId w:val="50"/>
        </w:numPr>
        <w:spacing w:before="120" w:after="120" w:line="240" w:lineRule="auto"/>
        <w:ind w:left="397" w:hanging="397"/>
        <w:contextualSpacing w:val="0"/>
        <w:jc w:val="both"/>
        <w:rPr>
          <w:rFonts w:eastAsia="Calibri" w:cstheme="minorHAnsi"/>
          <w:szCs w:val="24"/>
        </w:rPr>
      </w:pPr>
      <w:r w:rsidRPr="007A2AFE">
        <w:rPr>
          <w:rFonts w:eastAsia="Calibri" w:cstheme="minorHAnsi"/>
          <w:szCs w:val="24"/>
        </w:rPr>
        <w:t>gāzveida kurināmā/degvielas infrastruktūras modernizēšana un energoefektivitātes uzlabošana, tostarp izvērtējot iespējas pielāgot dabasgāzes infrastruktūru ūdeņradim un citam gāzveida kurināmajam</w:t>
      </w:r>
      <w:r>
        <w:rPr>
          <w:rFonts w:eastAsia="Calibri" w:cstheme="minorHAnsi"/>
          <w:szCs w:val="24"/>
        </w:rPr>
        <w:t xml:space="preserve">, kā arī izstrādājot </w:t>
      </w:r>
      <w:r>
        <w:rPr>
          <w:rFonts w:cstheme="minorHAnsi"/>
        </w:rPr>
        <w:t>rīcības plānu ūdeņraža infrastruktūras izveidei un tirgus nosacījumiem, ja attiecināms</w:t>
      </w:r>
      <w:r w:rsidRPr="007A2AFE">
        <w:rPr>
          <w:rFonts w:eastAsia="Calibri" w:cstheme="minorHAnsi"/>
          <w:szCs w:val="24"/>
        </w:rPr>
        <w:t>;</w:t>
      </w:r>
    </w:p>
    <w:p w14:paraId="4F49043C" w14:textId="77777777" w:rsidR="00E350C8" w:rsidRPr="007A2AFE" w:rsidRDefault="00E350C8" w:rsidP="00E350C8">
      <w:pPr>
        <w:pStyle w:val="ListParagraph"/>
        <w:numPr>
          <w:ilvl w:val="0"/>
          <w:numId w:val="50"/>
        </w:numPr>
        <w:spacing w:before="120" w:after="120" w:line="240" w:lineRule="auto"/>
        <w:ind w:left="397" w:hanging="397"/>
        <w:contextualSpacing w:val="0"/>
        <w:jc w:val="both"/>
        <w:rPr>
          <w:rFonts w:eastAsia="Calibri" w:cstheme="minorHAnsi"/>
          <w:szCs w:val="24"/>
        </w:rPr>
      </w:pPr>
      <w:r w:rsidRPr="007A2AFE">
        <w:rPr>
          <w:rFonts w:eastAsia="Calibri" w:cstheme="minorHAnsi"/>
          <w:szCs w:val="24"/>
        </w:rPr>
        <w:t>elektroenerģijas infrastruktūras modernizēšana un energoefektivitātes uzlabošana klientu vajadzībām atbilstoša, uz digitālajām tehnoloģijām balstīta vieda un efektīvi pārvaldīta sadales elektrotīkla nodrošināšanai;</w:t>
      </w:r>
    </w:p>
    <w:p w14:paraId="3F34609E" w14:textId="77777777" w:rsidR="00E350C8" w:rsidRPr="007A2AFE" w:rsidRDefault="00E350C8" w:rsidP="00E350C8">
      <w:pPr>
        <w:pStyle w:val="ListParagraph"/>
        <w:numPr>
          <w:ilvl w:val="0"/>
          <w:numId w:val="50"/>
        </w:numPr>
        <w:spacing w:before="120" w:after="120" w:line="240" w:lineRule="auto"/>
        <w:ind w:left="397" w:hanging="397"/>
        <w:contextualSpacing w:val="0"/>
        <w:jc w:val="both"/>
        <w:rPr>
          <w:rFonts w:eastAsia="Calibri" w:cstheme="minorHAnsi"/>
          <w:szCs w:val="24"/>
        </w:rPr>
      </w:pPr>
      <w:r w:rsidRPr="007A2AFE">
        <w:rPr>
          <w:rFonts w:eastAsia="Calibri" w:cstheme="minorHAnsi"/>
          <w:szCs w:val="24"/>
        </w:rPr>
        <w:t>Pļaviņu hidroelektrostacijas pārgāznes modernizēšana;</w:t>
      </w:r>
    </w:p>
    <w:p w14:paraId="576B59AD" w14:textId="77777777" w:rsidR="00E350C8" w:rsidRPr="007A2AFE" w:rsidRDefault="00E350C8" w:rsidP="00E350C8">
      <w:pPr>
        <w:pStyle w:val="ListParagraph"/>
        <w:numPr>
          <w:ilvl w:val="0"/>
          <w:numId w:val="50"/>
        </w:numPr>
        <w:spacing w:before="120" w:after="120" w:line="240" w:lineRule="auto"/>
        <w:ind w:left="397" w:hanging="397"/>
        <w:contextualSpacing w:val="0"/>
        <w:jc w:val="both"/>
        <w:rPr>
          <w:rFonts w:eastAsia="Calibri" w:cstheme="minorHAnsi"/>
          <w:szCs w:val="24"/>
        </w:rPr>
      </w:pPr>
      <w:r w:rsidRPr="007A2AFE">
        <w:rPr>
          <w:rFonts w:eastAsia="Calibri" w:cstheme="minorHAnsi"/>
          <w:szCs w:val="24"/>
        </w:rPr>
        <w:t>elektroenerģijas skaitītāju pilnīga nomaiņa uz viedajiem skaitītājiem, kas savukārt ļaus tirgū darboties jauniem tirgus dalībniekiem – agregatoriem</w:t>
      </w:r>
      <w:r w:rsidRPr="007A2AFE">
        <w:rPr>
          <w:rStyle w:val="FootnoteReference"/>
          <w:rFonts w:cstheme="minorHAnsi"/>
        </w:rPr>
        <w:footnoteReference w:id="177"/>
      </w:r>
      <w:r w:rsidRPr="007A2AFE">
        <w:rPr>
          <w:rFonts w:eastAsia="Calibri" w:cstheme="minorHAnsi"/>
          <w:szCs w:val="24"/>
        </w:rPr>
        <w:t>, kuri sniegs energopatēriņa optimizēšanas pakalpojumus.</w:t>
      </w:r>
    </w:p>
    <w:p w14:paraId="4C5C183D" w14:textId="1D0CF578" w:rsidR="00E350C8" w:rsidRDefault="00E350C8" w:rsidP="00E350C8">
      <w:pPr>
        <w:spacing w:before="120" w:after="120" w:line="240" w:lineRule="auto"/>
        <w:jc w:val="both"/>
        <w:rPr>
          <w:rFonts w:eastAsia="Calibri" w:cstheme="minorHAnsi"/>
          <w:szCs w:val="24"/>
          <w:u w:val="single"/>
        </w:rPr>
      </w:pPr>
      <w:r w:rsidRPr="007A2AFE">
        <w:rPr>
          <w:rFonts w:eastAsia="Calibri" w:cstheme="minorHAnsi"/>
          <w:szCs w:val="24"/>
          <w:u w:val="single"/>
        </w:rPr>
        <w:t xml:space="preserve">3) Izstrādāt </w:t>
      </w:r>
      <w:r>
        <w:rPr>
          <w:rFonts w:eastAsia="Calibri" w:cstheme="minorHAnsi"/>
          <w:szCs w:val="24"/>
          <w:u w:val="single"/>
        </w:rPr>
        <w:t>risinājumus enerģētiskās nabadzības mazināšanai (6.3.pasākums)</w:t>
      </w:r>
    </w:p>
    <w:p w14:paraId="041AC690" w14:textId="77777777" w:rsidR="00E350C8" w:rsidRDefault="00E350C8" w:rsidP="00E350C8">
      <w:pPr>
        <w:spacing w:before="120" w:after="120" w:line="240" w:lineRule="auto"/>
        <w:jc w:val="both"/>
        <w:rPr>
          <w:rFonts w:eastAsia="Calibri" w:cstheme="minorHAnsi"/>
          <w:szCs w:val="24"/>
        </w:rPr>
      </w:pPr>
      <w:r>
        <w:rPr>
          <w:rFonts w:eastAsia="Calibri" w:cstheme="minorHAnsi"/>
          <w:szCs w:val="24"/>
        </w:rPr>
        <w:t xml:space="preserve">Viens no iespējamiem risinājumiem enerģētiskās nabadzības mazināšanai ir izstrādāt </w:t>
      </w:r>
      <w:r w:rsidRPr="00020B94">
        <w:rPr>
          <w:rFonts w:eastAsia="Calibri" w:cstheme="minorHAnsi"/>
          <w:szCs w:val="24"/>
        </w:rPr>
        <w:t xml:space="preserve">efektīvu un optimālu regulējumu daļējam </w:t>
      </w:r>
      <w:r w:rsidRPr="00020B94">
        <w:rPr>
          <w:rFonts w:eastAsia="Calibri" w:cstheme="minorHAnsi"/>
          <w:b/>
          <w:bCs/>
          <w:szCs w:val="24"/>
        </w:rPr>
        <w:t>energoapgādes izmaksu atbalstam aizsargātajiem lietotājiem</w:t>
      </w:r>
      <w:r w:rsidRPr="007A2AFE">
        <w:rPr>
          <w:rFonts w:eastAsia="Calibri" w:cstheme="minorHAnsi"/>
          <w:szCs w:val="24"/>
        </w:rPr>
        <w:t>, kas nozīmētu, ka tiks izveidota Aizsargāto lietotāju informācijas sistēma, kura spēs automātiski identificēt aizsargāto lietotāju kritērijiem atbilstošās personas (ģimenes), tādējādi nodrošinot, ka aizsargātā lietotāja pakalpojumu saņem maksimāli plašs aizsargāto lietotāju skaits, kā arī to, ka aizsargātā lietotāja pakalpojumu var saņemt pie jebkura elektroenerģijas tirgotāja.</w:t>
      </w:r>
    </w:p>
    <w:p w14:paraId="12403318" w14:textId="77777777" w:rsidR="00E350C8" w:rsidRDefault="00E350C8" w:rsidP="00E350C8">
      <w:pPr>
        <w:spacing w:before="120" w:after="120" w:line="240" w:lineRule="auto"/>
        <w:jc w:val="both"/>
        <w:rPr>
          <w:rFonts w:eastAsia="Calibri" w:cstheme="minorHAnsi"/>
          <w:szCs w:val="24"/>
        </w:rPr>
      </w:pPr>
      <w:r>
        <w:rPr>
          <w:rFonts w:eastAsia="Calibri" w:cstheme="minorHAnsi"/>
          <w:szCs w:val="24"/>
        </w:rPr>
        <w:t>Tāpat enerģētiskās nabadzības mazināšanas nosacījums kā kritērijs ir iekļauts ēku energoefektivitātes uzlabošanas un CSA, LSA un individuālās siltumapgādes uzlabošanas pasākumos, paredzot, ka, ja pasākumu īstenošanā tiktu mazināts iedzīvotāju enerģētiskās nabadzības līmenis, tad šāds pasākums ir īpaši vērtējams.</w:t>
      </w:r>
    </w:p>
    <w:p w14:paraId="43F4DCB6" w14:textId="77777777" w:rsidR="00E350C8" w:rsidRPr="007A2AFE" w:rsidRDefault="00E350C8" w:rsidP="00E350C8">
      <w:pPr>
        <w:spacing w:before="120" w:after="120" w:line="240" w:lineRule="auto"/>
        <w:jc w:val="both"/>
        <w:rPr>
          <w:rFonts w:eastAsia="Calibri" w:cstheme="minorHAnsi"/>
          <w:szCs w:val="24"/>
        </w:rPr>
      </w:pPr>
      <w:r>
        <w:rPr>
          <w:rFonts w:eastAsia="Calibri" w:cstheme="minorHAnsi"/>
          <w:szCs w:val="24"/>
        </w:rPr>
        <w:t>Tāpat enerģētiskās nabadzības mazināšanas risinājumi tiek izstrādāti VPP “Enerģētika”</w:t>
      </w:r>
      <w:r>
        <w:rPr>
          <w:rStyle w:val="FootnoteReference"/>
          <w:rFonts w:eastAsia="Calibri" w:cstheme="minorHAnsi"/>
          <w:szCs w:val="24"/>
        </w:rPr>
        <w:footnoteReference w:id="178"/>
      </w:r>
      <w:r>
        <w:rPr>
          <w:rFonts w:eastAsia="Calibri" w:cstheme="minorHAnsi"/>
          <w:szCs w:val="24"/>
        </w:rPr>
        <w:t xml:space="preserve">, kā arī </w:t>
      </w:r>
      <w:r w:rsidRPr="00857219">
        <w:rPr>
          <w:rFonts w:eastAsia="Calibri" w:cstheme="minorHAnsi"/>
          <w:szCs w:val="24"/>
        </w:rPr>
        <w:t>starptautisk</w:t>
      </w:r>
      <w:r>
        <w:rPr>
          <w:rFonts w:eastAsia="Calibri" w:cstheme="minorHAnsi"/>
          <w:szCs w:val="24"/>
        </w:rPr>
        <w:t>ajā</w:t>
      </w:r>
      <w:r w:rsidRPr="00857219">
        <w:rPr>
          <w:rFonts w:eastAsia="Calibri" w:cstheme="minorHAnsi"/>
          <w:szCs w:val="24"/>
        </w:rPr>
        <w:t xml:space="preserve"> projekt</w:t>
      </w:r>
      <w:r>
        <w:rPr>
          <w:rFonts w:eastAsia="Calibri" w:cstheme="minorHAnsi"/>
          <w:szCs w:val="24"/>
        </w:rPr>
        <w:t>ā</w:t>
      </w:r>
      <w:r w:rsidRPr="00857219">
        <w:rPr>
          <w:rFonts w:eastAsia="Calibri" w:cstheme="minorHAnsi"/>
          <w:szCs w:val="24"/>
        </w:rPr>
        <w:t xml:space="preserve"> “STEP”</w:t>
      </w:r>
      <w:r>
        <w:rPr>
          <w:rStyle w:val="FootnoteReference"/>
          <w:rFonts w:eastAsia="Calibri" w:cstheme="minorHAnsi"/>
          <w:szCs w:val="24"/>
        </w:rPr>
        <w:footnoteReference w:id="179"/>
      </w:r>
      <w:r>
        <w:rPr>
          <w:rFonts w:eastAsia="Calibri" w:cstheme="minorHAnsi"/>
          <w:szCs w:val="24"/>
        </w:rPr>
        <w:t xml:space="preserve"> (Apvārsnis2020 ietvaros).</w:t>
      </w:r>
    </w:p>
    <w:p w14:paraId="23C4066A" w14:textId="77777777" w:rsidR="00E350C8" w:rsidRPr="00812E5C" w:rsidRDefault="00E350C8" w:rsidP="00E350C8">
      <w:pPr>
        <w:spacing w:before="120" w:after="120" w:line="240" w:lineRule="auto"/>
        <w:jc w:val="both"/>
        <w:rPr>
          <w:rFonts w:ascii="Calibri" w:hAnsi="Calibri" w:cs="Times New Roman"/>
          <w:b/>
          <w:i/>
          <w:sz w:val="28"/>
          <w:szCs w:val="28"/>
          <w:u w:val="single"/>
        </w:rPr>
      </w:pPr>
      <w:r>
        <w:rPr>
          <w:rFonts w:ascii="Calibri" w:hAnsi="Calibri" w:cs="Times New Roman"/>
          <w:b/>
          <w:i/>
          <w:sz w:val="28"/>
          <w:szCs w:val="28"/>
          <w:u w:val="single"/>
        </w:rPr>
        <w:t>Reģionālā sadarbība</w:t>
      </w:r>
    </w:p>
    <w:p w14:paraId="3236D13F" w14:textId="77777777" w:rsidR="00E350C8" w:rsidRPr="00351C7C" w:rsidRDefault="00E350C8" w:rsidP="00E350C8">
      <w:pPr>
        <w:spacing w:before="120" w:after="120" w:line="240" w:lineRule="auto"/>
        <w:jc w:val="both"/>
        <w:rPr>
          <w:rFonts w:cstheme="minorHAnsi"/>
        </w:rPr>
      </w:pPr>
      <w:r w:rsidRPr="00351C7C">
        <w:rPr>
          <w:rFonts w:cstheme="minorHAnsi"/>
        </w:rPr>
        <w:t xml:space="preserve">Reģionālais dabasgāzes tirgus pēc savas būtības paredz vienotu dabasgāzes pārvades ieejas-izejas sistēmu un balansēšanas zonu bez iekšējiem, komerciāliem starpsavienojuma punktiem Baltijas valstu un Somijas starpā.  </w:t>
      </w:r>
      <w:r>
        <w:rPr>
          <w:rFonts w:cstheme="minorHAnsi"/>
        </w:rPr>
        <w:t xml:space="preserve">Elektroenerģijas tirgus jomā reģionālā sadarbība tiek un tiks īstenota attiecībā uz </w:t>
      </w:r>
      <w:r w:rsidRPr="00351C7C">
        <w:rPr>
          <w:rFonts w:cstheme="minorHAnsi"/>
        </w:rPr>
        <w:t>Baltijas valstu elektrotīklu sinhronizācij</w:t>
      </w:r>
      <w:r>
        <w:rPr>
          <w:rFonts w:cstheme="minorHAnsi"/>
        </w:rPr>
        <w:t>u</w:t>
      </w:r>
      <w:r w:rsidRPr="00351C7C">
        <w:rPr>
          <w:rFonts w:cstheme="minorHAnsi"/>
        </w:rPr>
        <w:t xml:space="preserve"> ar kontinentālās Eiropas tīklu. </w:t>
      </w:r>
    </w:p>
    <w:p w14:paraId="7C063553" w14:textId="77777777" w:rsidR="00E350C8" w:rsidRPr="00351C7C" w:rsidRDefault="00E350C8" w:rsidP="00E350C8">
      <w:pPr>
        <w:spacing w:before="120" w:after="120" w:line="240" w:lineRule="auto"/>
        <w:jc w:val="both"/>
        <w:rPr>
          <w:rFonts w:cstheme="minorHAnsi"/>
        </w:rPr>
      </w:pPr>
      <w:r w:rsidRPr="00351C7C">
        <w:rPr>
          <w:rFonts w:cstheme="minorHAnsi"/>
        </w:rPr>
        <w:t xml:space="preserve">Reģionālā sadarbība tiks turpināta Reģionālajā gāzes tirgus grupā un Baltijas ministru padomes enerģētikas vecāko amatpersonu komitejā. </w:t>
      </w:r>
      <w:r>
        <w:rPr>
          <w:rFonts w:cstheme="minorHAnsi"/>
        </w:rPr>
        <w:t xml:space="preserve">Tāpat reģionālā sadarbība tiek īstenota </w:t>
      </w:r>
      <w:r w:rsidRPr="00351C7C">
        <w:rPr>
          <w:rFonts w:cstheme="minorHAnsi"/>
        </w:rPr>
        <w:t>Baltijas enerģijas tirgu starpsavienojumu plān</w:t>
      </w:r>
      <w:r>
        <w:rPr>
          <w:rFonts w:cstheme="minorHAnsi"/>
        </w:rPr>
        <w:t>a (BEMIP) ietvaros.</w:t>
      </w:r>
    </w:p>
    <w:p w14:paraId="1538B062" w14:textId="0F94D834" w:rsidR="00E350C8" w:rsidRPr="00351C7C" w:rsidRDefault="00E350C8" w:rsidP="00E350C8">
      <w:pPr>
        <w:spacing w:before="120" w:after="120" w:line="240" w:lineRule="auto"/>
        <w:jc w:val="both"/>
        <w:rPr>
          <w:rFonts w:cstheme="minorHAnsi"/>
        </w:rPr>
      </w:pPr>
      <w:r w:rsidRPr="00351C7C">
        <w:rPr>
          <w:rFonts w:eastAsia="Times New Roman" w:cstheme="minorHAnsi"/>
          <w:szCs w:val="24"/>
          <w:lang w:eastAsia="lv-LV"/>
        </w:rPr>
        <w:t xml:space="preserve">2017.gadā reaģējot uz elektroenerģijas tirgus attīstības tendencēm, kā arī plānotajām izmaiņām ES tiesību aktos, Baltijas valstu un Somijas </w:t>
      </w:r>
      <w:r>
        <w:rPr>
          <w:rFonts w:eastAsia="Times New Roman" w:cstheme="minorHAnsi"/>
          <w:szCs w:val="24"/>
          <w:lang w:eastAsia="lv-LV"/>
        </w:rPr>
        <w:t>PSO</w:t>
      </w:r>
      <w:r w:rsidRPr="00351C7C">
        <w:rPr>
          <w:rFonts w:eastAsia="Times New Roman" w:cstheme="minorHAnsi"/>
          <w:szCs w:val="24"/>
          <w:lang w:eastAsia="lv-LV"/>
        </w:rPr>
        <w:t xml:space="preserve"> organizēja darba grupu, kuras mērķis bija izstrādāt konceptuālo piedāvājumu vienota Baltijas valstu tirgus ietvara izveidei patēriņa reakcijas pakalpojumu ieviešanai balansēšanas tirgū ar agregācijas starpniecību. </w:t>
      </w:r>
      <w:r w:rsidRPr="00351C7C">
        <w:rPr>
          <w:rFonts w:cstheme="minorHAnsi"/>
        </w:rPr>
        <w:t>Šobrīd galvenais uzdevums ir</w:t>
      </w:r>
      <w:r>
        <w:rPr>
          <w:rFonts w:cstheme="minorHAnsi"/>
        </w:rPr>
        <w:t xml:space="preserve"> kopā</w:t>
      </w:r>
      <w:r w:rsidRPr="00351C7C">
        <w:rPr>
          <w:rFonts w:cstheme="minorHAnsi"/>
        </w:rPr>
        <w:t xml:space="preserve"> izstrādāt labi funkcionējošu tiesisko ietvaru pieprasījuma reakcijas pakalpojuma </w:t>
      </w:r>
      <w:r w:rsidR="00893C96">
        <w:rPr>
          <w:rFonts w:cstheme="minorHAnsi"/>
        </w:rPr>
        <w:t>ieviešanai</w:t>
      </w:r>
      <w:r w:rsidRPr="00351C7C">
        <w:rPr>
          <w:rFonts w:cstheme="minorHAnsi"/>
        </w:rPr>
        <w:t>.</w:t>
      </w:r>
    </w:p>
    <w:p w14:paraId="3AD36390" w14:textId="77777777" w:rsidR="00E350C8" w:rsidRPr="00E10A24" w:rsidRDefault="00E350C8" w:rsidP="00E350C8">
      <w:pPr>
        <w:shd w:val="clear" w:color="auto" w:fill="E7E6E6" w:themeFill="background2"/>
        <w:spacing w:before="120" w:after="120" w:line="240" w:lineRule="auto"/>
        <w:jc w:val="both"/>
        <w:rPr>
          <w:rFonts w:ascii="Calibri" w:hAnsi="Calibri" w:cs="Times New Roman"/>
          <w:b/>
          <w:i/>
          <w:sz w:val="28"/>
          <w:szCs w:val="28"/>
        </w:rPr>
      </w:pPr>
      <w:bookmarkStart w:id="562" w:name="_Hlk14438217"/>
      <w:r w:rsidRPr="00E10A24">
        <w:rPr>
          <w:rFonts w:ascii="Calibri" w:hAnsi="Calibri" w:cs="Times New Roman"/>
          <w:b/>
          <w:i/>
          <w:sz w:val="28"/>
          <w:szCs w:val="28"/>
        </w:rPr>
        <w:t>Saistītie rīcības virzieni</w:t>
      </w:r>
    </w:p>
    <w:p w14:paraId="5A9F5B7C" w14:textId="2D9B7B74" w:rsidR="00E350C8" w:rsidRPr="00E10A24" w:rsidRDefault="00E350C8" w:rsidP="00E350C8">
      <w:pPr>
        <w:shd w:val="clear" w:color="auto" w:fill="E7E6E6" w:themeFill="background2"/>
        <w:spacing w:before="120" w:after="120" w:line="240" w:lineRule="auto"/>
        <w:jc w:val="both"/>
        <w:rPr>
          <w:rFonts w:ascii="Calibri" w:hAnsi="Calibri" w:cs="Times New Roman"/>
          <w:bCs/>
          <w:iCs/>
          <w:szCs w:val="24"/>
        </w:rPr>
      </w:pPr>
      <w:r w:rsidRPr="00E10A24">
        <w:rPr>
          <w:rFonts w:ascii="Calibri" w:hAnsi="Calibri" w:cs="Times New Roman"/>
          <w:bCs/>
          <w:iCs/>
          <w:szCs w:val="24"/>
        </w:rPr>
        <w:t>1) Ēku energoefektivitātes uzlabošana (1.rīcības virziens), jo pastiprināta ēku energoefektivitāte samazinās enerģijas patēriņu un tādējādi arī energoatkarību, ko rada enerģijas imports enerģijas pieprasījuma rezultātā;</w:t>
      </w:r>
    </w:p>
    <w:p w14:paraId="2E858B86" w14:textId="13915C1A" w:rsidR="00E350C8" w:rsidRPr="00E10A24" w:rsidRDefault="00E350C8" w:rsidP="00E350C8">
      <w:pPr>
        <w:shd w:val="clear" w:color="auto" w:fill="E7E6E6" w:themeFill="background2"/>
        <w:spacing w:before="120" w:after="120" w:line="240" w:lineRule="auto"/>
        <w:jc w:val="both"/>
        <w:rPr>
          <w:rFonts w:ascii="Calibri" w:hAnsi="Calibri" w:cs="Times New Roman"/>
          <w:bCs/>
          <w:iCs/>
          <w:szCs w:val="24"/>
        </w:rPr>
      </w:pPr>
      <w:r w:rsidRPr="00E10A24">
        <w:rPr>
          <w:rFonts w:ascii="Calibri" w:hAnsi="Calibri" w:cs="Times New Roman"/>
          <w:bCs/>
          <w:iCs/>
          <w:szCs w:val="24"/>
        </w:rPr>
        <w:t xml:space="preserve">2) Energoefektivitātes uzlabošana un AER tehnoloģiju izmantošanas veicināšana siltumapgādē un aukstumapgādē, un rūpniecībā (2.rīcības virziens), jo </w:t>
      </w:r>
      <w:r w:rsidR="001E6837">
        <w:rPr>
          <w:rFonts w:ascii="Calibri" w:hAnsi="Calibri" w:cs="Times New Roman"/>
          <w:bCs/>
          <w:iCs/>
          <w:szCs w:val="24"/>
        </w:rPr>
        <w:t>CSA</w:t>
      </w:r>
      <w:r w:rsidRPr="00E10A24">
        <w:rPr>
          <w:rFonts w:ascii="Calibri" w:hAnsi="Calibri" w:cs="Times New Roman"/>
          <w:bCs/>
          <w:iCs/>
          <w:szCs w:val="24"/>
        </w:rPr>
        <w:t xml:space="preserve"> sistēmu efektivizācijas rezultātā radītais enerģijas patēriņa samazinājums</w:t>
      </w:r>
      <w:r w:rsidR="001E6837">
        <w:rPr>
          <w:rFonts w:ascii="Calibri" w:hAnsi="Calibri" w:cs="Times New Roman"/>
          <w:bCs/>
          <w:iCs/>
          <w:szCs w:val="24"/>
        </w:rPr>
        <w:t xml:space="preserve"> samazinās enerģētisko atkarību</w:t>
      </w:r>
      <w:r w:rsidRPr="00E10A24">
        <w:rPr>
          <w:rFonts w:ascii="Calibri" w:hAnsi="Calibri" w:cs="Times New Roman"/>
          <w:bCs/>
          <w:iCs/>
          <w:szCs w:val="24"/>
        </w:rPr>
        <w:t>;</w:t>
      </w:r>
    </w:p>
    <w:p w14:paraId="54466799" w14:textId="0DE544CF" w:rsidR="00E350C8" w:rsidRPr="00E10A24" w:rsidRDefault="00E350C8" w:rsidP="00E350C8">
      <w:pPr>
        <w:shd w:val="clear" w:color="auto" w:fill="E7E6E6" w:themeFill="background2"/>
        <w:spacing w:before="120" w:after="120" w:line="240" w:lineRule="auto"/>
        <w:jc w:val="both"/>
        <w:rPr>
          <w:rFonts w:ascii="Calibri" w:hAnsi="Calibri" w:cs="Times New Roman"/>
          <w:bCs/>
          <w:iCs/>
          <w:szCs w:val="24"/>
        </w:rPr>
      </w:pPr>
      <w:r w:rsidRPr="00E10A24">
        <w:rPr>
          <w:rFonts w:ascii="Calibri" w:hAnsi="Calibri" w:cs="Times New Roman"/>
          <w:bCs/>
          <w:iCs/>
          <w:szCs w:val="24"/>
        </w:rPr>
        <w:t xml:space="preserve">3) Ne-emisiju tehnoloģiju izmantošanas veicināšana elektroenerģijās ražošanā (3.rīcības virziens), jo elektroenerģijas ražošanas attīstība lieljaudas vēja parkos </w:t>
      </w:r>
      <w:r w:rsidR="001E6837">
        <w:rPr>
          <w:rFonts w:ascii="Calibri" w:hAnsi="Calibri" w:cs="Times New Roman"/>
          <w:bCs/>
          <w:iCs/>
          <w:szCs w:val="24"/>
        </w:rPr>
        <w:t xml:space="preserve">samazinās </w:t>
      </w:r>
      <w:r w:rsidRPr="00E10A24">
        <w:rPr>
          <w:rFonts w:ascii="Calibri" w:hAnsi="Calibri" w:cs="Times New Roman"/>
          <w:bCs/>
          <w:iCs/>
          <w:szCs w:val="24"/>
        </w:rPr>
        <w:t>enerģētisko atkarību un samazinās elektroenerģijas importu;</w:t>
      </w:r>
    </w:p>
    <w:p w14:paraId="2C014335" w14:textId="21EF29D6" w:rsidR="00E350C8" w:rsidRPr="00E10A24" w:rsidRDefault="00E350C8" w:rsidP="00E350C8">
      <w:pPr>
        <w:shd w:val="clear" w:color="auto" w:fill="E7E6E6" w:themeFill="background2"/>
        <w:spacing w:before="120" w:after="120" w:line="240" w:lineRule="auto"/>
        <w:jc w:val="both"/>
        <w:rPr>
          <w:rFonts w:ascii="Calibri" w:hAnsi="Calibri" w:cs="Times New Roman"/>
          <w:bCs/>
          <w:iCs/>
          <w:szCs w:val="24"/>
        </w:rPr>
      </w:pPr>
      <w:r w:rsidRPr="00E10A24">
        <w:rPr>
          <w:rFonts w:ascii="Calibri" w:hAnsi="Calibri" w:cs="Times New Roman"/>
          <w:bCs/>
          <w:iCs/>
          <w:szCs w:val="24"/>
        </w:rPr>
        <w:t xml:space="preserve">4) </w:t>
      </w:r>
      <w:r w:rsidR="00CC138D" w:rsidRPr="00CC138D">
        <w:rPr>
          <w:rFonts w:ascii="Calibri" w:hAnsi="Calibri" w:cs="Times New Roman"/>
          <w:bCs/>
          <w:iCs/>
          <w:szCs w:val="24"/>
        </w:rPr>
        <w:t xml:space="preserve">Ekonomiski pamatotas enerģijas pašražošanas, pašpatēriņa un atjaunojamās enerģijas kopienu veicināšana </w:t>
      </w:r>
      <w:r w:rsidRPr="00E10A24">
        <w:rPr>
          <w:rFonts w:ascii="Calibri" w:hAnsi="Calibri" w:cs="Times New Roman"/>
          <w:bCs/>
          <w:iCs/>
          <w:szCs w:val="24"/>
        </w:rPr>
        <w:t>(4.rīcības virziens), jo pašražošanas un pašpatēriņa veicināšana nav iespējama bez viedajiem skaitītājiem, kas savukārt sniedz iespēju tirgū ienākt arī agregatoriem;</w:t>
      </w:r>
    </w:p>
    <w:p w14:paraId="477C0DF0" w14:textId="07EF5DA3" w:rsidR="00E350C8" w:rsidRPr="00E10A24" w:rsidRDefault="00E350C8" w:rsidP="00E350C8">
      <w:pPr>
        <w:shd w:val="clear" w:color="auto" w:fill="E7E6E6" w:themeFill="background2"/>
        <w:spacing w:before="120" w:after="120" w:line="240" w:lineRule="auto"/>
        <w:jc w:val="both"/>
        <w:rPr>
          <w:rFonts w:ascii="Calibri" w:hAnsi="Calibri" w:cs="Times New Roman"/>
          <w:bCs/>
          <w:iCs/>
          <w:szCs w:val="24"/>
        </w:rPr>
      </w:pPr>
      <w:r w:rsidRPr="00E10A24">
        <w:rPr>
          <w:rFonts w:ascii="Calibri" w:hAnsi="Calibri" w:cs="Times New Roman"/>
          <w:bCs/>
          <w:iCs/>
          <w:szCs w:val="24"/>
        </w:rPr>
        <w:t xml:space="preserve">5) Energoefektivitātes uzlabošana, alternatīvo degvielu un AER tehnoloģiju izmantošanas veicināšana transportā (5.rīcības virziens), jo degvielas, kas šobrīd tiek pārsvarā importēta, patēriņa samazinājums transportā būtiski </w:t>
      </w:r>
      <w:r w:rsidR="001E6837">
        <w:rPr>
          <w:rFonts w:ascii="Calibri" w:hAnsi="Calibri" w:cs="Times New Roman"/>
          <w:bCs/>
          <w:iCs/>
          <w:szCs w:val="24"/>
        </w:rPr>
        <w:t xml:space="preserve">samazinās </w:t>
      </w:r>
      <w:r w:rsidRPr="00E10A24">
        <w:rPr>
          <w:rFonts w:ascii="Calibri" w:hAnsi="Calibri" w:cs="Times New Roman"/>
          <w:bCs/>
          <w:iCs/>
          <w:szCs w:val="24"/>
        </w:rPr>
        <w:t>valsts enerģētisko atkarību, savukārt veiktie infrastruktūras modernizācijas pasākumi uzlabo elektroenerģijas un gāzveida kurināmā pieejamību transportā;</w:t>
      </w:r>
    </w:p>
    <w:p w14:paraId="7D2F872D" w14:textId="241A884C" w:rsidR="00E350C8" w:rsidRPr="00E10A24" w:rsidRDefault="006864F6" w:rsidP="00E350C8">
      <w:pPr>
        <w:shd w:val="clear" w:color="auto" w:fill="E7E6E6" w:themeFill="background2"/>
        <w:spacing w:before="120" w:after="120" w:line="240" w:lineRule="auto"/>
        <w:jc w:val="both"/>
        <w:rPr>
          <w:rFonts w:ascii="Calibri" w:hAnsi="Calibri" w:cs="Times New Roman"/>
          <w:bCs/>
          <w:iCs/>
          <w:szCs w:val="24"/>
        </w:rPr>
      </w:pPr>
      <w:r w:rsidRPr="009814AD">
        <w:rPr>
          <w:rFonts w:cstheme="minorHAnsi"/>
          <w:noProof/>
          <w:lang w:eastAsia="lv-LV"/>
        </w:rPr>
        <mc:AlternateContent>
          <mc:Choice Requires="wps">
            <w:drawing>
              <wp:anchor distT="0" distB="0" distL="114300" distR="114300" simplePos="0" relativeHeight="251676672" behindDoc="0" locked="0" layoutInCell="1" allowOverlap="1" wp14:anchorId="60622DBC" wp14:editId="4E1299C8">
                <wp:simplePos x="0" y="0"/>
                <wp:positionH relativeFrom="margin">
                  <wp:align>left</wp:align>
                </wp:positionH>
                <wp:positionV relativeFrom="paragraph">
                  <wp:posOffset>688975</wp:posOffset>
                </wp:positionV>
                <wp:extent cx="5779135" cy="465455"/>
                <wp:effectExtent l="0" t="0" r="0" b="0"/>
                <wp:wrapSquare wrapText="bothSides"/>
                <wp:docPr id="30" name="Rectangle: Single Corner Snipped 30"/>
                <wp:cNvGraphicFramePr/>
                <a:graphic xmlns:a="http://schemas.openxmlformats.org/drawingml/2006/main">
                  <a:graphicData uri="http://schemas.microsoft.com/office/word/2010/wordprocessingShape">
                    <wps:wsp>
                      <wps:cNvSpPr/>
                      <wps:spPr>
                        <a:xfrm>
                          <a:off x="0" y="0"/>
                          <a:ext cx="5779135" cy="465827"/>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27A67B28" w14:textId="4724B5D9" w:rsidR="007A7EAC" w:rsidRPr="0007326F" w:rsidRDefault="007A7EAC" w:rsidP="0007326F">
                            <w:pPr>
                              <w:pStyle w:val="Heading2"/>
                              <w:numPr>
                                <w:ilvl w:val="1"/>
                                <w:numId w:val="53"/>
                              </w:numPr>
                              <w:spacing w:before="0" w:after="0"/>
                              <w:ind w:left="0" w:hanging="284"/>
                              <w:jc w:val="center"/>
                              <w:rPr>
                                <w:color w:val="FFFFFF" w:themeColor="background1"/>
                                <w:sz w:val="40"/>
                                <w:szCs w:val="40"/>
                              </w:rPr>
                            </w:pPr>
                            <w:bookmarkStart w:id="563" w:name="_Toc24408063"/>
                            <w:bookmarkStart w:id="564" w:name="_Toc24408122"/>
                            <w:r w:rsidRPr="0007326F">
                              <w:rPr>
                                <w:color w:val="FFFFFF" w:themeColor="background1"/>
                                <w:sz w:val="40"/>
                                <w:szCs w:val="40"/>
                              </w:rPr>
                              <w:t>Atkritumu un notekūdeņu apsaimniekošana</w:t>
                            </w:r>
                            <w:bookmarkEnd w:id="563"/>
                            <w:bookmarkEnd w:id="56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22DBC" id="Rectangle: Single Corner Snipped 30" o:spid="_x0000_s1036" style="position:absolute;left:0;text-align:left;margin-left:0;margin-top:54.25pt;width:455.05pt;height:36.6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4658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" adj="-11796480,,5400" path="m,l5701496,r77639,77639l5779135,465827,,465827,,xe" fillcolor="#323e4f [2415]" stroked="f" strokeweight="1pt">
                <v:stroke joinstyle="miter"/>
                <v:formulas/>
                <v:path arrowok="t" o:connecttype="custom" o:connectlocs="0,0;5701496,0;5779135,77639;5779135,465827;0,465827;0,0" o:connectangles="0,0,0,0,0,0" textboxrect="0,0,5779135,465827"/>
                <v:textbox>
                  <w:txbxContent>
                    <w:p w14:paraId="27A67B28" w14:textId="4724B5D9" w:rsidR="007A7EAC" w:rsidRPr="0007326F" w:rsidRDefault="007A7EAC" w:rsidP="0007326F">
                      <w:pPr>
                        <w:pStyle w:val="Heading2"/>
                        <w:numPr>
                          <w:ilvl w:val="1"/>
                          <w:numId w:val="53"/>
                        </w:numPr>
                        <w:spacing w:before="0" w:after="0"/>
                        <w:ind w:left="0" w:hanging="284"/>
                        <w:jc w:val="center"/>
                        <w:rPr>
                          <w:color w:val="FFFFFF" w:themeColor="background1"/>
                          <w:sz w:val="40"/>
                          <w:szCs w:val="40"/>
                        </w:rPr>
                      </w:pPr>
                      <w:bookmarkStart w:id="585" w:name="_Toc24408063"/>
                      <w:bookmarkStart w:id="586" w:name="_Toc24408122"/>
                      <w:r w:rsidRPr="0007326F">
                        <w:rPr>
                          <w:color w:val="FFFFFF" w:themeColor="background1"/>
                          <w:sz w:val="40"/>
                          <w:szCs w:val="40"/>
                        </w:rPr>
                        <w:t>Atkritumu un notekūdeņu apsaimniekošana</w:t>
                      </w:r>
                      <w:bookmarkEnd w:id="585"/>
                      <w:bookmarkEnd w:id="586"/>
                    </w:p>
                  </w:txbxContent>
                </v:textbox>
                <w10:wrap type="square" anchorx="margin"/>
              </v:shape>
            </w:pict>
          </mc:Fallback>
        </mc:AlternateContent>
      </w:r>
      <w:r w:rsidR="00E350C8" w:rsidRPr="00E10A24">
        <w:rPr>
          <w:rFonts w:ascii="Calibri" w:hAnsi="Calibri" w:cs="Times New Roman"/>
          <w:bCs/>
          <w:iCs/>
          <w:szCs w:val="24"/>
        </w:rPr>
        <w:t>6) Nodokļu sistēmas “zaļināšana” un pievilcīguma energoefektivitātei un AER tehnoloģijām uzlabošana (11.rīcības virziens), jo nodokļu pārskatīšanas ietekmē kurināmā un degvielas izmantojuma samazinājums pozitīvi ietekmē enerģētisko neatkarību.</w:t>
      </w:r>
    </w:p>
    <w:bookmarkEnd w:id="562"/>
    <w:p w14:paraId="0B050AA5" w14:textId="3565F952" w:rsidR="00B75C0D" w:rsidRPr="009814AD" w:rsidRDefault="00B75C0D" w:rsidP="00B75C0D">
      <w:pPr>
        <w:spacing w:before="120" w:after="120" w:line="240" w:lineRule="auto"/>
        <w:rPr>
          <w:rFonts w:cstheme="minorHAnsi"/>
          <w:b/>
          <w:i/>
          <w:sz w:val="28"/>
          <w:szCs w:val="28"/>
          <w:u w:val="single"/>
        </w:rPr>
      </w:pPr>
      <w:r w:rsidRPr="009814AD">
        <w:rPr>
          <w:rFonts w:cstheme="minorHAnsi"/>
          <w:b/>
          <w:i/>
          <w:sz w:val="28"/>
          <w:szCs w:val="28"/>
          <w:u w:val="single"/>
        </w:rPr>
        <w:t>Esošā situācija</w:t>
      </w:r>
    </w:p>
    <w:p w14:paraId="5B762239" w14:textId="77777777" w:rsidR="00B75C0D" w:rsidRPr="009814AD" w:rsidRDefault="00B75C0D" w:rsidP="00B75C0D">
      <w:pPr>
        <w:tabs>
          <w:tab w:val="left" w:pos="6833"/>
        </w:tabs>
        <w:spacing w:before="120" w:after="120" w:line="240" w:lineRule="auto"/>
        <w:jc w:val="both"/>
        <w:rPr>
          <w:rFonts w:cstheme="minorHAnsi"/>
          <w:szCs w:val="24"/>
        </w:rPr>
      </w:pPr>
      <w:r w:rsidRPr="009814AD">
        <w:rPr>
          <w:rFonts w:cstheme="minorHAnsi"/>
          <w:szCs w:val="24"/>
        </w:rPr>
        <w:t>2017. gadā Latvijā darbojās 11 sadzīves atkritumu poligoni, 1 bīstamo atkritumu poligons kā arī 1 atkritumu poligons, kurā tiek apglabāti azbestu saturoši bīstamie atkritumi un būvniecības atkritumi.</w:t>
      </w:r>
      <w:r w:rsidRPr="009814AD">
        <w:rPr>
          <w:rStyle w:val="FootnoteReference"/>
          <w:rFonts w:cstheme="minorHAnsi"/>
        </w:rPr>
        <w:footnoteReference w:id="180"/>
      </w:r>
    </w:p>
    <w:p w14:paraId="5E0BCD15" w14:textId="77777777" w:rsidR="00B75C0D" w:rsidRPr="009814AD" w:rsidRDefault="00B75C0D" w:rsidP="00B75C0D">
      <w:pPr>
        <w:tabs>
          <w:tab w:val="left" w:pos="6833"/>
        </w:tabs>
        <w:spacing w:before="120" w:after="120" w:line="240" w:lineRule="auto"/>
        <w:jc w:val="both"/>
        <w:rPr>
          <w:rFonts w:cstheme="minorHAnsi"/>
          <w:szCs w:val="24"/>
        </w:rPr>
      </w:pPr>
      <w:r w:rsidRPr="009814AD">
        <w:rPr>
          <w:rFonts w:cstheme="minorHAnsi"/>
          <w:szCs w:val="24"/>
        </w:rPr>
        <w:t xml:space="preserve">Kopā </w:t>
      </w:r>
      <w:r w:rsidRPr="009814AD">
        <w:rPr>
          <w:rFonts w:cstheme="minorHAnsi"/>
          <w:color w:val="222222"/>
          <w:szCs w:val="24"/>
        </w:rPr>
        <w:t>Latvijā 2017. gadā tika apglabātas</w:t>
      </w:r>
      <w:r w:rsidRPr="009814AD">
        <w:rPr>
          <w:rFonts w:cstheme="minorHAnsi"/>
          <w:color w:val="222222"/>
          <w:szCs w:val="24"/>
          <w:shd w:val="clear" w:color="auto" w:fill="F8F9FA"/>
        </w:rPr>
        <w:t xml:space="preserve"> </w:t>
      </w:r>
      <w:r w:rsidRPr="009814AD">
        <w:rPr>
          <w:rFonts w:cstheme="minorHAnsi"/>
          <w:szCs w:val="24"/>
        </w:rPr>
        <w:t>517 859</w:t>
      </w:r>
      <w:r w:rsidRPr="009814AD">
        <w:rPr>
          <w:rFonts w:cstheme="minorHAnsi"/>
        </w:rPr>
        <w:t xml:space="preserve"> </w:t>
      </w:r>
      <w:r w:rsidRPr="009814AD">
        <w:rPr>
          <w:rFonts w:cstheme="minorHAnsi"/>
          <w:color w:val="000000"/>
          <w:szCs w:val="24"/>
          <w:shd w:val="clear" w:color="auto" w:fill="FFFFFF"/>
        </w:rPr>
        <w:t xml:space="preserve"> t sadzīves atkritumu un 4 692 t bīstamie atkritumi.</w:t>
      </w:r>
      <w:r w:rsidRPr="009814AD">
        <w:rPr>
          <w:rStyle w:val="FootnoteReference"/>
          <w:rFonts w:cstheme="minorHAnsi"/>
          <w:color w:val="000000"/>
          <w:shd w:val="clear" w:color="auto" w:fill="FFFFFF"/>
        </w:rPr>
        <w:footnoteReference w:id="181"/>
      </w:r>
      <w:r w:rsidRPr="009814AD">
        <w:rPr>
          <w:rFonts w:cstheme="minorHAnsi"/>
          <w:color w:val="000000"/>
          <w:szCs w:val="24"/>
          <w:shd w:val="clear" w:color="auto" w:fill="FFFFFF"/>
          <w:vertAlign w:val="superscript"/>
        </w:rPr>
        <w:t xml:space="preserve"> </w:t>
      </w:r>
      <w:r w:rsidRPr="009814AD">
        <w:rPr>
          <w:rFonts w:cstheme="minorHAnsi"/>
          <w:b/>
          <w:szCs w:val="24"/>
        </w:rPr>
        <w:t>SEG emisijas 2017.gadā no atkritumu apsaimniekošanas veidoja 5.0%</w:t>
      </w:r>
      <w:r w:rsidRPr="009814AD">
        <w:rPr>
          <w:rFonts w:cstheme="minorHAnsi"/>
          <w:szCs w:val="24"/>
        </w:rPr>
        <w:t xml:space="preserve"> no kopējām SEG emisijām, neskaitot ZIZIMM. Tās ietver CH</w:t>
      </w:r>
      <w:r w:rsidRPr="009814AD">
        <w:rPr>
          <w:rFonts w:cstheme="minorHAnsi"/>
          <w:szCs w:val="24"/>
          <w:vertAlign w:val="subscript"/>
        </w:rPr>
        <w:t>4</w:t>
      </w:r>
      <w:r w:rsidRPr="009814AD">
        <w:rPr>
          <w:rFonts w:cstheme="minorHAnsi"/>
          <w:szCs w:val="24"/>
        </w:rPr>
        <w:t xml:space="preserve"> emisijas no cieto atkritumu apglabāšanas , kas veido vairāk kā pusi (71.4%) no kopējām SEG emisijām atkritumu apsaimniekošanas sektorā, CH</w:t>
      </w:r>
      <w:r w:rsidRPr="009814AD">
        <w:rPr>
          <w:rFonts w:cstheme="minorHAnsi"/>
          <w:szCs w:val="24"/>
          <w:vertAlign w:val="subscript"/>
        </w:rPr>
        <w:t>4</w:t>
      </w:r>
      <w:r w:rsidRPr="009814AD">
        <w:rPr>
          <w:rFonts w:cstheme="minorHAnsi"/>
          <w:szCs w:val="24"/>
        </w:rPr>
        <w:t xml:space="preserve"> un N</w:t>
      </w:r>
      <w:r w:rsidRPr="009814AD">
        <w:rPr>
          <w:rFonts w:cstheme="minorHAnsi"/>
          <w:szCs w:val="24"/>
          <w:vertAlign w:val="subscript"/>
        </w:rPr>
        <w:t>2</w:t>
      </w:r>
      <w:r w:rsidRPr="009814AD">
        <w:rPr>
          <w:rFonts w:cstheme="minorHAnsi"/>
          <w:szCs w:val="24"/>
        </w:rPr>
        <w:t>O emisijas no cieto atkritumu bioloģiskās apstrādes  (8.6% no kopējām atkritumu apsaimniekošanas emisijām), CH</w:t>
      </w:r>
      <w:r w:rsidRPr="009814AD">
        <w:rPr>
          <w:rFonts w:cstheme="minorHAnsi"/>
          <w:szCs w:val="24"/>
          <w:vertAlign w:val="subscript"/>
        </w:rPr>
        <w:t>4</w:t>
      </w:r>
      <w:r w:rsidRPr="009814AD">
        <w:rPr>
          <w:rFonts w:cstheme="minorHAnsi"/>
          <w:szCs w:val="24"/>
        </w:rPr>
        <w:t xml:space="preserve"> un N</w:t>
      </w:r>
      <w:r w:rsidRPr="009814AD">
        <w:rPr>
          <w:rFonts w:cstheme="minorHAnsi"/>
          <w:szCs w:val="24"/>
          <w:vertAlign w:val="subscript"/>
        </w:rPr>
        <w:t>2</w:t>
      </w:r>
      <w:r w:rsidRPr="009814AD">
        <w:rPr>
          <w:rFonts w:cstheme="minorHAnsi"/>
          <w:szCs w:val="24"/>
        </w:rPr>
        <w:t>O emisijas notekūdeņu attīrīšanas un novadīšanas (20.0%), kā arī pavisam nelielu daļu (0.05%) veido CO</w:t>
      </w:r>
      <w:r w:rsidRPr="009814AD">
        <w:rPr>
          <w:rFonts w:cstheme="minorHAnsi"/>
          <w:szCs w:val="24"/>
          <w:vertAlign w:val="subscript"/>
        </w:rPr>
        <w:t>2</w:t>
      </w:r>
      <w:r w:rsidRPr="009814AD">
        <w:rPr>
          <w:rFonts w:cstheme="minorHAnsi"/>
          <w:szCs w:val="24"/>
        </w:rPr>
        <w:t xml:space="preserve"> un N</w:t>
      </w:r>
      <w:r w:rsidRPr="009814AD">
        <w:rPr>
          <w:rFonts w:cstheme="minorHAnsi"/>
          <w:szCs w:val="24"/>
          <w:vertAlign w:val="subscript"/>
        </w:rPr>
        <w:t>2</w:t>
      </w:r>
      <w:r w:rsidRPr="009814AD">
        <w:rPr>
          <w:rFonts w:cstheme="minorHAnsi"/>
          <w:szCs w:val="24"/>
        </w:rPr>
        <w:t xml:space="preserve">O emisijas no atkritumu sadedzināšanas. </w:t>
      </w:r>
    </w:p>
    <w:p w14:paraId="05C77972" w14:textId="77777777" w:rsidR="00B75C0D" w:rsidRPr="009814AD" w:rsidRDefault="00B75C0D" w:rsidP="00B75C0D">
      <w:pPr>
        <w:tabs>
          <w:tab w:val="left" w:pos="6833"/>
        </w:tabs>
        <w:spacing w:before="120" w:after="120" w:line="240" w:lineRule="auto"/>
        <w:jc w:val="both"/>
        <w:rPr>
          <w:rFonts w:cstheme="minorHAnsi"/>
          <w:szCs w:val="24"/>
        </w:rPr>
      </w:pPr>
      <w:r w:rsidRPr="009814AD">
        <w:rPr>
          <w:rFonts w:cstheme="minorHAnsi"/>
          <w:szCs w:val="24"/>
        </w:rPr>
        <w:t>Tādu iedzīvotāju īpatsvars, kas izmanto centralizētu notekūdeņu savākšanu un attīrīšanu, ir palielinājies no 70 % 2005. gadā līdz gandrīz 82 % 2017. gadā. Lielākajā daļā gadījumu centralizēti savāktajiem notekūdeņiem ir nodrošināta otrējā vai trešējā attīrīšana. Iedzīvotāji, kuriem nav pieejama centralizētā kanalizācijas sistēma, izmanto dažādus decentralizētas kanalizācijas risinājumus. Gadā tiek savākti un attīrīti vairāk nekā 200 miljoni m</w:t>
      </w:r>
      <w:r w:rsidRPr="009814AD">
        <w:rPr>
          <w:rFonts w:cstheme="minorHAnsi"/>
          <w:szCs w:val="24"/>
          <w:vertAlign w:val="superscript"/>
        </w:rPr>
        <w:t>3</w:t>
      </w:r>
      <w:r w:rsidRPr="009814AD">
        <w:rPr>
          <w:rFonts w:cstheme="minorHAnsi"/>
          <w:szCs w:val="24"/>
        </w:rPr>
        <w:t xml:space="preserve"> notekūdeņu (2017. gadā - 231 miljons m</w:t>
      </w:r>
      <w:r w:rsidRPr="009814AD">
        <w:rPr>
          <w:rFonts w:cstheme="minorHAnsi"/>
          <w:szCs w:val="24"/>
          <w:vertAlign w:val="superscript"/>
        </w:rPr>
        <w:t>3</w:t>
      </w:r>
      <w:r w:rsidRPr="009814AD">
        <w:rPr>
          <w:rFonts w:cstheme="minorHAnsi"/>
          <w:szCs w:val="24"/>
        </w:rPr>
        <w:t>). Pēdējo 10 gadu periodā novērojams, ka kopējais virszemes ūdeņos novadītais notekūdeņu apjoms ir svārstīgs pa gadiem, tomēr kopš 2008. gada ir vērojamas ar attīrītiem notekūdeņiem vidē novadītā piesārņojuma daudzuma samazināšanās tendences līdz ar to arī kopējā slāpekļa un fosfora piesārņojuma daudzums ir samazinājies. Pieaug arī komunālajās attīrīšanas iekārtās radušos notekūdeņu dūņu apjoms, bet mežsaimniecībā un lauksaimniecībā tās izmanto nelielos apjomos. Aptuveni puse no radītajām dūņām tiek izvietota pagaidu uzglabāšanas vietās.</w:t>
      </w:r>
    </w:p>
    <w:p w14:paraId="508AC395" w14:textId="77777777" w:rsidR="00B75C0D" w:rsidRPr="009814AD" w:rsidRDefault="00B75C0D" w:rsidP="00B75C0D">
      <w:pPr>
        <w:shd w:val="clear" w:color="auto" w:fill="E7E6E6" w:themeFill="background2"/>
        <w:spacing w:before="120" w:after="120" w:line="240" w:lineRule="auto"/>
        <w:rPr>
          <w:rFonts w:cstheme="minorHAnsi"/>
          <w:b/>
          <w:sz w:val="28"/>
          <w:szCs w:val="28"/>
          <w:u w:val="single"/>
        </w:rPr>
      </w:pPr>
      <w:r w:rsidRPr="009814AD">
        <w:rPr>
          <w:rFonts w:cstheme="minorHAnsi"/>
          <w:b/>
          <w:sz w:val="28"/>
          <w:szCs w:val="28"/>
          <w:u w:val="single"/>
        </w:rPr>
        <w:t>Vēlamā situācija 2030.gadā:</w:t>
      </w:r>
    </w:p>
    <w:p w14:paraId="767E1BAB"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Samazināts radīto atkritumu daudzums (apjoms) un bīstamība, kas nonāk atkritumu poligonos, un uzlabota dažāda veida atkritumu atkārtota izmantošana, pārstrāde un reģenerācija, panākta atkritumu dalītā savākšana;</w:t>
      </w:r>
    </w:p>
    <w:p w14:paraId="5EF86894"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 xml:space="preserve">Iedzīvotāji pirms pirkuma iegādāšanās izvērtē tā nepieciešamību un pienesumu videi. </w:t>
      </w:r>
    </w:p>
    <w:p w14:paraId="7AD0E089"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Paplašināta gan centralizētās kanalizācijas pakalpojumu pieejamība, gan palielinājies to lietotāju īpatsvars, notiek infrastruktūras atjaunošana un modernizācija;</w:t>
      </w:r>
    </w:p>
    <w:p w14:paraId="3A42E1C1"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Ir izvērtēti un tiek ieviesti no vides un ekonomiskā viedokļa ilgtspējīgi risinājumi notekūdeņu dūņu apsaimniekošanai.</w:t>
      </w:r>
    </w:p>
    <w:p w14:paraId="32DB77DD" w14:textId="77777777" w:rsidR="00B75C0D" w:rsidRPr="009814AD" w:rsidRDefault="00B75C0D" w:rsidP="00B75C0D">
      <w:pPr>
        <w:shd w:val="clear" w:color="auto" w:fill="E7E6E6" w:themeFill="background2"/>
        <w:spacing w:before="120" w:after="120" w:line="240" w:lineRule="auto"/>
        <w:rPr>
          <w:rFonts w:cstheme="minorHAnsi"/>
          <w:b/>
          <w:sz w:val="28"/>
          <w:szCs w:val="28"/>
          <w:u w:val="single"/>
        </w:rPr>
      </w:pPr>
      <w:r w:rsidRPr="009814AD">
        <w:rPr>
          <w:rFonts w:cstheme="minorHAnsi"/>
          <w:b/>
          <w:sz w:val="28"/>
          <w:szCs w:val="28"/>
          <w:u w:val="single"/>
        </w:rPr>
        <w:t>Ieguvumi sabiedrībai un tautsaimniecībai:</w:t>
      </w:r>
    </w:p>
    <w:p w14:paraId="28922F74"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Attīstīta  atkritumu apsaimniekošanas sistēma, līdz ar to uzlabota dzīves vide;</w:t>
      </w:r>
    </w:p>
    <w:p w14:paraId="0B334AA3"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Modernizēta un paplašināta notekūdeņu apsaimniekošanas infrastruktūra, līdz ar to samazināts vides piesārņojuma risks un palielināta kvalitatīva pakalpojuma pieejamība iedzīvotājiem;</w:t>
      </w:r>
    </w:p>
    <w:p w14:paraId="49C30C5B"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Izveidota notekūdeņu dūņu apsaimniekošanas sistēma, mazinot vides piesārņojuma risku un novēršot dūņu uzkrāšanos ūdenssaimniecības uzņēmumos;</w:t>
      </w:r>
    </w:p>
    <w:p w14:paraId="5ABDE14A"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Ieviesta aprites ekonomika, veicinot vienas nozares blakusproduktu izmantošanu kā citas nozares izejmateriālu;</w:t>
      </w:r>
    </w:p>
    <w:p w14:paraId="4178B2BE" w14:textId="77777777" w:rsidR="00B75C0D" w:rsidRPr="009814AD" w:rsidRDefault="00B75C0D" w:rsidP="00B75C0D">
      <w:pPr>
        <w:pStyle w:val="ListParagraph"/>
        <w:numPr>
          <w:ilvl w:val="0"/>
          <w:numId w:val="51"/>
        </w:numPr>
        <w:shd w:val="clear" w:color="auto" w:fill="E7E6E6" w:themeFill="background2"/>
        <w:spacing w:before="120" w:after="120" w:line="240" w:lineRule="auto"/>
        <w:ind w:left="357" w:hanging="357"/>
        <w:contextualSpacing w:val="0"/>
        <w:rPr>
          <w:rFonts w:cstheme="minorHAnsi"/>
          <w:i/>
          <w:szCs w:val="24"/>
        </w:rPr>
      </w:pPr>
      <w:r w:rsidRPr="009814AD">
        <w:rPr>
          <w:rFonts w:cstheme="minorHAnsi"/>
          <w:i/>
          <w:szCs w:val="24"/>
        </w:rPr>
        <w:t>Uzņēmumi ir ekonomiski stimulēti tirgū laist videi nekaitīgus ražojumus un atbalstīt reģenerācijas un pārstrādes shēmas.</w:t>
      </w:r>
    </w:p>
    <w:p w14:paraId="4E6DFB37" w14:textId="54087379" w:rsidR="00B75C0D" w:rsidRPr="009814AD" w:rsidRDefault="00B75C0D" w:rsidP="00B75C0D">
      <w:pPr>
        <w:spacing w:before="120" w:after="120" w:line="240" w:lineRule="auto"/>
        <w:jc w:val="both"/>
        <w:rPr>
          <w:rFonts w:cstheme="minorHAnsi"/>
          <w:b/>
          <w:i/>
          <w:sz w:val="28"/>
          <w:szCs w:val="28"/>
          <w:u w:val="single"/>
        </w:rPr>
      </w:pPr>
      <w:bookmarkStart w:id="565" w:name="_Hlk20738949"/>
      <w:r w:rsidRPr="009814AD">
        <w:rPr>
          <w:rFonts w:cstheme="minorHAnsi"/>
          <w:b/>
          <w:i/>
          <w:sz w:val="28"/>
          <w:szCs w:val="28"/>
          <w:u w:val="single"/>
        </w:rPr>
        <w:t xml:space="preserve">Galvenie </w:t>
      </w:r>
      <w:r>
        <w:rPr>
          <w:rFonts w:cstheme="minorHAnsi"/>
          <w:b/>
          <w:i/>
          <w:sz w:val="28"/>
          <w:szCs w:val="28"/>
          <w:u w:val="single"/>
        </w:rPr>
        <w:t>problēmjautājumi</w:t>
      </w:r>
    </w:p>
    <w:bookmarkEnd w:id="565"/>
    <w:p w14:paraId="6C4B3ECD" w14:textId="6342D740" w:rsidR="00B75C0D" w:rsidRPr="009814AD" w:rsidRDefault="00B75C0D" w:rsidP="00B75C0D">
      <w:pPr>
        <w:autoSpaceDE w:val="0"/>
        <w:autoSpaceDN w:val="0"/>
        <w:adjustRightInd w:val="0"/>
        <w:spacing w:before="120" w:after="120" w:line="240" w:lineRule="auto"/>
        <w:jc w:val="both"/>
        <w:rPr>
          <w:rFonts w:cstheme="minorHAnsi"/>
          <w:szCs w:val="24"/>
          <w:u w:val="single"/>
        </w:rPr>
      </w:pPr>
      <w:r w:rsidRPr="009814AD">
        <w:rPr>
          <w:rFonts w:cstheme="minorHAnsi"/>
          <w:b/>
          <w:szCs w:val="24"/>
          <w:u w:val="single"/>
        </w:rPr>
        <w:t>1) Nepietiekami attīstīta</w:t>
      </w:r>
      <w:r w:rsidRPr="009814AD">
        <w:rPr>
          <w:rFonts w:cstheme="minorHAnsi"/>
          <w:szCs w:val="24"/>
          <w:u w:val="single"/>
        </w:rPr>
        <w:t xml:space="preserve"> atkritumu </w:t>
      </w:r>
      <w:r w:rsidRPr="009814AD">
        <w:rPr>
          <w:rFonts w:cstheme="minorHAnsi"/>
          <w:b/>
          <w:szCs w:val="24"/>
          <w:u w:val="single"/>
        </w:rPr>
        <w:t>apsaimniekošanas infrastruktūra</w:t>
      </w:r>
    </w:p>
    <w:p w14:paraId="1DB525CD" w14:textId="77777777" w:rsidR="00B75C0D" w:rsidRPr="009814AD" w:rsidRDefault="00B75C0D" w:rsidP="00B75C0D">
      <w:pPr>
        <w:autoSpaceDE w:val="0"/>
        <w:autoSpaceDN w:val="0"/>
        <w:adjustRightInd w:val="0"/>
        <w:spacing w:before="120" w:after="120" w:line="240" w:lineRule="auto"/>
        <w:jc w:val="both"/>
        <w:rPr>
          <w:rFonts w:cstheme="minorHAnsi"/>
          <w:szCs w:val="24"/>
        </w:rPr>
      </w:pPr>
      <w:r w:rsidRPr="009814AD">
        <w:rPr>
          <w:rFonts w:cstheme="minorHAnsi"/>
          <w:szCs w:val="24"/>
        </w:rPr>
        <w:t>Latvijas atkritumu apsaimniekošanas politikā ir paredzētie stimuli (piemēram, dabas resursu nodoklis par atkritumu apglabāšanu poligonos) ir nepietiekami, lai samazinātu  atkritumu apglabāšanu poligonos. Tā kā pārlieku daudz atkritumu tiek apglabāts poligonos un ir nepietiekamas atkritumu pārstrādes un reģenerācijas iespējas, labāki atkritumu apsaimniekošanas paņēmieni (piemēram, atkārtota izmantošana un pārstrāde) tiek izmantoti nepietiekami. Lai palielinātu augstas kvalitātes pārstrādes apjomu, ir vajadzīgi uzlabojumi atkritumu dalītajā savākšanā un šķirošanā, kā arī atkritumu pārstrādes un reģenerācijas jaudu palielināšana.</w:t>
      </w:r>
    </w:p>
    <w:p w14:paraId="4977EF88" w14:textId="77777777" w:rsidR="00B75C0D" w:rsidRPr="009814AD" w:rsidRDefault="00B75C0D" w:rsidP="00B75C0D">
      <w:pPr>
        <w:spacing w:before="120" w:after="120" w:line="240" w:lineRule="auto"/>
        <w:jc w:val="both"/>
        <w:rPr>
          <w:rFonts w:cstheme="minorHAnsi"/>
          <w:szCs w:val="24"/>
          <w:u w:val="single"/>
        </w:rPr>
      </w:pPr>
      <w:r w:rsidRPr="009814AD">
        <w:rPr>
          <w:rFonts w:cstheme="minorHAnsi"/>
          <w:szCs w:val="24"/>
          <w:u w:val="single"/>
        </w:rPr>
        <w:t xml:space="preserve">2) Atkritumu dalītās savākšanas un  </w:t>
      </w:r>
      <w:r w:rsidRPr="009814AD">
        <w:rPr>
          <w:rFonts w:cstheme="minorHAnsi"/>
          <w:b/>
          <w:szCs w:val="24"/>
          <w:u w:val="single"/>
        </w:rPr>
        <w:t>šķirošanas pakalpojumu nepieejamība</w:t>
      </w:r>
    </w:p>
    <w:p w14:paraId="192D07E1" w14:textId="77777777" w:rsidR="00B75C0D" w:rsidRPr="009814AD" w:rsidRDefault="00B75C0D" w:rsidP="00B75C0D">
      <w:pPr>
        <w:spacing w:before="120" w:after="120" w:line="240" w:lineRule="auto"/>
        <w:jc w:val="both"/>
        <w:rPr>
          <w:rFonts w:cstheme="minorHAnsi"/>
          <w:szCs w:val="24"/>
          <w:shd w:val="clear" w:color="auto" w:fill="FFFFFF"/>
        </w:rPr>
      </w:pPr>
      <w:r w:rsidRPr="009814AD">
        <w:rPr>
          <w:rFonts w:cstheme="minorHAnsi"/>
          <w:szCs w:val="24"/>
          <w:shd w:val="clear" w:color="auto" w:fill="FFFFFF"/>
        </w:rPr>
        <w:t>Sadzīves atkritumu dalītā vākšana un šķirošana tiek ieviesta pakāpeniski, tomēr šis atkritumu apsaimniekošanas pakalpojums vēl nav pieejams visiem atkritumu radītājiem visās pašvaldībās. Tāpēc atkritumu dalītā savākšana  nav pietiekami efektīva un daļa atkritumu, kas varētu tikt pārstrādāti vai reģenerēti nonāk atkritumu poligonos.</w:t>
      </w:r>
    </w:p>
    <w:p w14:paraId="6F94038C" w14:textId="77777777" w:rsidR="00B75C0D" w:rsidRPr="009814AD" w:rsidRDefault="00B75C0D" w:rsidP="00B75C0D">
      <w:pPr>
        <w:spacing w:before="120" w:after="120" w:line="240" w:lineRule="auto"/>
        <w:jc w:val="both"/>
        <w:rPr>
          <w:rFonts w:cstheme="minorHAnsi"/>
          <w:szCs w:val="24"/>
        </w:rPr>
      </w:pPr>
      <w:r w:rsidRPr="009814AD">
        <w:rPr>
          <w:rFonts w:cstheme="minorHAnsi"/>
          <w:szCs w:val="24"/>
          <w:u w:val="single"/>
        </w:rPr>
        <w:t xml:space="preserve">3) Ūdenssaimniecības (ūdensapgādes un kanalizācijas) pakalpojumu </w:t>
      </w:r>
      <w:r w:rsidRPr="009814AD">
        <w:rPr>
          <w:rFonts w:cstheme="minorHAnsi"/>
          <w:b/>
          <w:szCs w:val="24"/>
          <w:u w:val="single"/>
        </w:rPr>
        <w:t>infrastruktūra noveco</w:t>
      </w:r>
      <w:r w:rsidRPr="009814AD">
        <w:rPr>
          <w:rFonts w:cstheme="minorHAnsi"/>
          <w:szCs w:val="24"/>
          <w:u w:val="single"/>
        </w:rPr>
        <w:t xml:space="preserve"> un ir liela </w:t>
      </w:r>
      <w:r w:rsidRPr="009814AD">
        <w:rPr>
          <w:rFonts w:cstheme="minorHAnsi"/>
          <w:b/>
          <w:szCs w:val="24"/>
          <w:u w:val="single"/>
        </w:rPr>
        <w:t>vajadzība pēc investīcijām</w:t>
      </w:r>
      <w:r w:rsidRPr="009814AD">
        <w:rPr>
          <w:rFonts w:cstheme="minorHAnsi"/>
          <w:szCs w:val="24"/>
          <w:u w:val="single"/>
        </w:rPr>
        <w:t xml:space="preserve"> tās rekonstrukcijā un attīstībā.</w:t>
      </w:r>
      <w:r w:rsidRPr="009814AD">
        <w:rPr>
          <w:rFonts w:cstheme="minorHAnsi"/>
          <w:szCs w:val="24"/>
        </w:rPr>
        <w:t xml:space="preserve"> </w:t>
      </w:r>
    </w:p>
    <w:p w14:paraId="1C5916A3" w14:textId="2D54B630" w:rsidR="00B75C0D" w:rsidRPr="009814AD" w:rsidRDefault="00B75C0D" w:rsidP="00B75C0D">
      <w:pPr>
        <w:spacing w:before="120" w:after="120" w:line="240" w:lineRule="auto"/>
        <w:jc w:val="both"/>
        <w:rPr>
          <w:rFonts w:cstheme="minorHAnsi"/>
          <w:szCs w:val="24"/>
        </w:rPr>
      </w:pPr>
      <w:r w:rsidRPr="009814AD">
        <w:rPr>
          <w:rFonts w:cstheme="minorHAnsi"/>
          <w:szCs w:val="24"/>
        </w:rPr>
        <w:t xml:space="preserve">Pēdējo 20 gadu laikā ūdenssaimniecības infrastruktūras attīstībā ieguldīti vairāk nekā 848 miljoni </w:t>
      </w:r>
      <w:r w:rsidR="00A45809">
        <w:rPr>
          <w:rFonts w:cstheme="minorHAnsi"/>
          <w:szCs w:val="24"/>
        </w:rPr>
        <w:t>EUR</w:t>
      </w:r>
      <w:r w:rsidRPr="009814AD">
        <w:rPr>
          <w:rFonts w:cstheme="minorHAnsi"/>
          <w:szCs w:val="24"/>
        </w:rPr>
        <w:t xml:space="preserve">, kas atbilst 71% no visām vides investīcijām. Lielāko daļu no šiem ieguldījumiem veido ES fondu un citu ārvalstu donoru finansējums. Tādējādi ilgu laika posmu ūdenssaimniecības nozares attīstību ir ļoti tieši ietekmējusi ES fondu finansējuma pieejamība, kas tuvākajā nākotnē varētu samazināties. Ne vien līdz pagājušā gadsimta astoņdesmitajiem gadiem ierīkotajai infrastruktūrai, bet arī atsevišķiem pēdējo 20 gadu perioda sākumā izbūvētiem infrastruktūras elementiem kalpošanas laiks tuvojas beigām. Kanalizācijas sistēmās bieži vien rodas noplūdes, infiltrācija un avārijas. No ūdenssaimniecības tarifiem gūtie ienākumi nav pietiekami, lai segtu investīciju izmaksas un nodrošinātu ūdenssaimniecības sistēmu kvalitatīvu un ilgtspējīgu darbību ilgtermiņā. Nepieciešamība nodrošināt pakalpojuma pieejamību, ierobežo iespēju paaugstināt tarifus. </w:t>
      </w:r>
    </w:p>
    <w:p w14:paraId="20C61999" w14:textId="77777777" w:rsidR="00B75C0D" w:rsidRPr="009814AD" w:rsidRDefault="00B75C0D" w:rsidP="00B75C0D">
      <w:pPr>
        <w:spacing w:before="120" w:after="120" w:line="240" w:lineRule="auto"/>
        <w:jc w:val="both"/>
        <w:rPr>
          <w:rFonts w:cstheme="minorHAnsi"/>
          <w:szCs w:val="24"/>
          <w:shd w:val="clear" w:color="auto" w:fill="FFFFFF"/>
        </w:rPr>
      </w:pPr>
      <w:r w:rsidRPr="009814AD">
        <w:rPr>
          <w:rFonts w:cstheme="minorHAnsi"/>
          <w:szCs w:val="24"/>
        </w:rPr>
        <w:t xml:space="preserve">4) </w:t>
      </w:r>
      <w:r w:rsidRPr="009814AD">
        <w:rPr>
          <w:rFonts w:cstheme="minorHAnsi"/>
          <w:szCs w:val="24"/>
          <w:u w:val="single"/>
        </w:rPr>
        <w:t xml:space="preserve">Valstī </w:t>
      </w:r>
      <w:r w:rsidRPr="009814AD">
        <w:rPr>
          <w:rFonts w:cstheme="minorHAnsi"/>
          <w:b/>
          <w:szCs w:val="24"/>
          <w:u w:val="single"/>
        </w:rPr>
        <w:t>nav stratēģijas</w:t>
      </w:r>
      <w:r w:rsidRPr="009814AD">
        <w:rPr>
          <w:rFonts w:cstheme="minorHAnsi"/>
          <w:szCs w:val="24"/>
          <w:u w:val="single"/>
        </w:rPr>
        <w:t xml:space="preserve"> notekūdeņu </w:t>
      </w:r>
      <w:r w:rsidRPr="009814AD">
        <w:rPr>
          <w:rFonts w:cstheme="minorHAnsi"/>
          <w:b/>
          <w:szCs w:val="24"/>
          <w:u w:val="single"/>
        </w:rPr>
        <w:t>dūņu apsaimniekošanai</w:t>
      </w:r>
    </w:p>
    <w:p w14:paraId="6AD0C6C4" w14:textId="77777777" w:rsidR="00B75C0D" w:rsidRPr="009814AD" w:rsidRDefault="00B75C0D" w:rsidP="00B75C0D">
      <w:pPr>
        <w:spacing w:before="120" w:after="120" w:line="240" w:lineRule="auto"/>
        <w:jc w:val="both"/>
        <w:rPr>
          <w:rFonts w:cstheme="minorHAnsi"/>
          <w:szCs w:val="24"/>
          <w:shd w:val="clear" w:color="auto" w:fill="FFFFFF"/>
        </w:rPr>
      </w:pPr>
      <w:r w:rsidRPr="009814AD">
        <w:rPr>
          <w:rFonts w:cstheme="minorHAnsi"/>
          <w:szCs w:val="24"/>
          <w:shd w:val="clear" w:color="auto" w:fill="FFFFFF"/>
        </w:rPr>
        <w:t>Katru gadu Latvijā tiek saražotas vairāk nekā 20 000 tonnas (sausā svara) notekūdeņu dūņu (2017. gadā - 24 939 t). Galvenie dūņu radītāji ir komunālās notekūdeņu attīrīšanas iekārtas. Tikai 30-35% no šī daudzuma tiek izmantoti kā mēslojums lauksaimniecības zemēs, komposta ražošanai vai teritoriju apzaļumošanai, turklāt kopš 2013. gada notekūdeņu dūņu izmantošana lauksaimniecībā ir ievērojami samazinājusies. Vairums notekūdeņu dūņu uzkrājas tā saucamajās pagaidu uzglabāšanas vietās. Pašlaik neviens politikas dokuments nenosaka notekūdeņu dūņu apsaimniekošanu. Ir arvien vairāk zinātnisku pierādījumu, ka notekūdeņu dūņas var būt nozīmīgs mikroplastmasu un cita veida piesārņojuma avots. Tāpēc ir nepieciešama valsts līmeņa stratēģija, kas izvērtētu notekūdeņu dūņu potenciālo ietekmi uz vidi un norādītu to apsaimniekošanas risinājumus, kas līdz minimumam samazina saistītos riskus, un vienlaikus ir ekonomiski ilgtspējīgi.</w:t>
      </w:r>
    </w:p>
    <w:p w14:paraId="79A3CF57" w14:textId="77777777" w:rsidR="00B75C0D" w:rsidRPr="009814AD" w:rsidRDefault="00B75C0D" w:rsidP="00B75C0D">
      <w:pPr>
        <w:shd w:val="clear" w:color="auto" w:fill="E7E6E6" w:themeFill="background2"/>
        <w:spacing w:before="120" w:after="120" w:line="240" w:lineRule="auto"/>
        <w:rPr>
          <w:rFonts w:cstheme="minorHAnsi"/>
          <w:b/>
          <w:i/>
          <w:szCs w:val="24"/>
        </w:rPr>
      </w:pPr>
      <w:r w:rsidRPr="009814AD">
        <w:rPr>
          <w:rFonts w:cstheme="minorHAnsi"/>
          <w:b/>
          <w:i/>
          <w:sz w:val="28"/>
          <w:szCs w:val="28"/>
        </w:rPr>
        <w:t>Galvenais rīcības virziens</w:t>
      </w:r>
      <w:r w:rsidRPr="009814AD">
        <w:rPr>
          <w:rFonts w:cstheme="minorHAnsi"/>
          <w:b/>
          <w:i/>
          <w:szCs w:val="24"/>
        </w:rPr>
        <w:t xml:space="preserve"> (7. rīcības virziens)</w:t>
      </w:r>
    </w:p>
    <w:p w14:paraId="1C563EFC" w14:textId="77777777" w:rsidR="00B75C0D" w:rsidRPr="009814AD" w:rsidRDefault="00B75C0D" w:rsidP="00B75C0D">
      <w:pPr>
        <w:shd w:val="clear" w:color="auto" w:fill="E7E6E6" w:themeFill="background2"/>
        <w:spacing w:before="120" w:after="120" w:line="240" w:lineRule="auto"/>
        <w:jc w:val="both"/>
        <w:rPr>
          <w:rFonts w:cstheme="minorHAnsi"/>
          <w:b/>
          <w:szCs w:val="24"/>
          <w:u w:val="single"/>
        </w:rPr>
      </w:pPr>
      <w:r w:rsidRPr="009814AD">
        <w:rPr>
          <w:rFonts w:cstheme="minorHAnsi"/>
          <w:b/>
          <w:szCs w:val="24"/>
          <w:u w:val="single"/>
        </w:rPr>
        <w:t>Atkritumu un notekūdeņu apsaimniekošanas efektivitātes uzlabošana un SEG emisiju samazināšana</w:t>
      </w:r>
    </w:p>
    <w:p w14:paraId="27DA1D3B" w14:textId="77777777" w:rsidR="00B75C0D" w:rsidRPr="009814AD" w:rsidRDefault="00B75C0D" w:rsidP="00B75C0D">
      <w:pPr>
        <w:spacing w:before="120" w:after="120" w:line="240" w:lineRule="auto"/>
        <w:jc w:val="both"/>
        <w:rPr>
          <w:rFonts w:cstheme="minorHAnsi"/>
          <w:b/>
          <w:i/>
          <w:sz w:val="28"/>
          <w:szCs w:val="28"/>
          <w:u w:val="single"/>
        </w:rPr>
      </w:pPr>
      <w:bookmarkStart w:id="566" w:name="_Hlk20739029"/>
      <w:r w:rsidRPr="009814AD">
        <w:rPr>
          <w:rFonts w:cstheme="minorHAnsi"/>
          <w:b/>
          <w:i/>
          <w:sz w:val="28"/>
          <w:szCs w:val="28"/>
          <w:u w:val="single"/>
        </w:rPr>
        <w:t>Galvenās rīcības un pasākumi</w:t>
      </w:r>
    </w:p>
    <w:bookmarkEnd w:id="566"/>
    <w:p w14:paraId="75A03985" w14:textId="77777777" w:rsidR="00B75C0D" w:rsidRPr="009814AD" w:rsidRDefault="00B75C0D" w:rsidP="00B75C0D">
      <w:pPr>
        <w:spacing w:before="120" w:after="120" w:line="240" w:lineRule="auto"/>
        <w:jc w:val="both"/>
        <w:rPr>
          <w:rFonts w:cstheme="minorHAnsi"/>
          <w:szCs w:val="24"/>
          <w:u w:val="single"/>
        </w:rPr>
      </w:pPr>
      <w:r w:rsidRPr="009814AD">
        <w:rPr>
          <w:rFonts w:cstheme="minorHAnsi"/>
          <w:szCs w:val="24"/>
          <w:u w:val="single"/>
        </w:rPr>
        <w:t xml:space="preserve">1) Nodrošināt apglabāto </w:t>
      </w:r>
      <w:r w:rsidRPr="009814AD">
        <w:rPr>
          <w:rFonts w:cstheme="minorHAnsi"/>
          <w:b/>
          <w:szCs w:val="24"/>
          <w:u w:val="single"/>
        </w:rPr>
        <w:t>atkritumu apjoma samazināšanu</w:t>
      </w:r>
      <w:r w:rsidRPr="009814AD">
        <w:rPr>
          <w:rFonts w:cstheme="minorHAnsi"/>
          <w:szCs w:val="24"/>
          <w:u w:val="single"/>
        </w:rPr>
        <w:t xml:space="preserve">, veicināt dažāda veida atkritumu sagatavošanu </w:t>
      </w:r>
      <w:r w:rsidRPr="009814AD">
        <w:rPr>
          <w:rFonts w:cstheme="minorHAnsi"/>
          <w:b/>
          <w:szCs w:val="24"/>
          <w:u w:val="single"/>
        </w:rPr>
        <w:t>atkārtotai izmantošanai, pārstrādi un reģenerāciju</w:t>
      </w:r>
      <w:r w:rsidRPr="006B083C">
        <w:rPr>
          <w:rFonts w:cstheme="minorHAnsi"/>
          <w:bCs/>
          <w:szCs w:val="24"/>
          <w:u w:val="single"/>
        </w:rPr>
        <w:t xml:space="preserve"> (7.1.pasākums)</w:t>
      </w:r>
    </w:p>
    <w:p w14:paraId="1ECBA266" w14:textId="77777777" w:rsidR="00B75C0D" w:rsidRPr="009814AD" w:rsidRDefault="00B75C0D" w:rsidP="00B75C0D">
      <w:pPr>
        <w:spacing w:before="120" w:after="120" w:line="240" w:lineRule="auto"/>
        <w:jc w:val="both"/>
        <w:rPr>
          <w:rFonts w:cstheme="minorHAnsi"/>
          <w:szCs w:val="24"/>
        </w:rPr>
      </w:pPr>
      <w:r w:rsidRPr="009814AD">
        <w:rPr>
          <w:rFonts w:cstheme="minorHAnsi"/>
          <w:szCs w:val="24"/>
        </w:rPr>
        <w:t xml:space="preserve">Lai izpildītu izvirzīto mērķi samazināt atkritumu poligonos apglabāto atkritumu daudzumu, ir plānots uzlabot atkritumu dalīto savākšanu, sagatavošanu atkārtotai izmantošanai, pārstrādi un reģenerāciju, līdz ar to uzlabojot atkritumu šķirošanu un pārstrādes iespējas. </w:t>
      </w:r>
    </w:p>
    <w:p w14:paraId="0521D8EF" w14:textId="77777777" w:rsidR="00B75C0D" w:rsidRPr="009814AD" w:rsidRDefault="00B75C0D" w:rsidP="00B75C0D">
      <w:pPr>
        <w:spacing w:before="120" w:after="120" w:line="240" w:lineRule="auto"/>
        <w:jc w:val="both"/>
        <w:rPr>
          <w:rFonts w:cstheme="minorHAnsi"/>
          <w:szCs w:val="24"/>
          <w:shd w:val="clear" w:color="auto" w:fill="F8F9FA"/>
        </w:rPr>
      </w:pPr>
      <w:r w:rsidRPr="009814AD">
        <w:rPr>
          <w:rFonts w:cstheme="minorHAnsi"/>
          <w:szCs w:val="24"/>
          <w:shd w:val="clear" w:color="auto" w:fill="FFFFFF"/>
        </w:rPr>
        <w:t>Atkritumu kopējais apjoms ir saistīts ar iedzīvotāju skaitu un valsts ekonomikas lielumu.</w:t>
      </w:r>
      <w:r w:rsidRPr="009814AD">
        <w:rPr>
          <w:rStyle w:val="FootnoteReference"/>
          <w:rFonts w:cstheme="minorHAnsi"/>
          <w:shd w:val="clear" w:color="auto" w:fill="FFFFFF"/>
        </w:rPr>
        <w:footnoteReference w:id="182"/>
      </w:r>
      <w:r w:rsidRPr="009814AD">
        <w:rPr>
          <w:rFonts w:cstheme="minorHAnsi"/>
          <w:szCs w:val="24"/>
          <w:shd w:val="clear" w:color="auto" w:fill="FFFFFF"/>
        </w:rPr>
        <w:t xml:space="preserve"> </w:t>
      </w:r>
      <w:r w:rsidRPr="009814AD">
        <w:rPr>
          <w:rFonts w:cstheme="minorHAnsi"/>
          <w:szCs w:val="24"/>
        </w:rPr>
        <w:t>CSP dati liecina, ka mājsaimniecību atkritumos dominē pārtikas un citi bioloģiski sadalāmie atkritumi, kas veido 41% no radītajiem sadzīves atkritumiem. Tā kā biogāzes savākšana un izmantošana enerģijas ražošanai no bioloģiski noārdāmiem atkritumiem un dūņām ir noteikta par vienu no atkritumu apsaimniekošanas prioritātēm, tiek plānoti pasākumi tā atbalstam.</w:t>
      </w:r>
      <w:r w:rsidRPr="009814AD">
        <w:rPr>
          <w:rStyle w:val="FootnoteReference"/>
          <w:rFonts w:cstheme="minorHAnsi"/>
        </w:rPr>
        <w:footnoteReference w:id="183"/>
      </w:r>
      <w:r w:rsidRPr="009814AD">
        <w:rPr>
          <w:rFonts w:cstheme="minorHAnsi"/>
          <w:szCs w:val="24"/>
          <w:shd w:val="clear" w:color="auto" w:fill="F8F9FA"/>
        </w:rPr>
        <w:t xml:space="preserve">  </w:t>
      </w:r>
    </w:p>
    <w:p w14:paraId="7E8BECF0" w14:textId="77777777" w:rsidR="00B75C0D" w:rsidRPr="006B083C" w:rsidRDefault="00B75C0D" w:rsidP="00B75C0D">
      <w:pPr>
        <w:spacing w:before="120" w:after="120" w:line="240" w:lineRule="auto"/>
        <w:jc w:val="both"/>
        <w:rPr>
          <w:rFonts w:cstheme="minorHAnsi"/>
          <w:bCs/>
          <w:szCs w:val="24"/>
          <w:u w:val="single"/>
        </w:rPr>
      </w:pPr>
      <w:r w:rsidRPr="009814AD">
        <w:rPr>
          <w:rFonts w:cstheme="minorHAnsi"/>
          <w:szCs w:val="24"/>
          <w:u w:val="single"/>
        </w:rPr>
        <w:t xml:space="preserve">2) Īstenot </w:t>
      </w:r>
      <w:r w:rsidRPr="009814AD">
        <w:rPr>
          <w:rFonts w:cstheme="minorHAnsi"/>
          <w:b/>
          <w:szCs w:val="24"/>
          <w:u w:val="single"/>
        </w:rPr>
        <w:t>atkritumu</w:t>
      </w:r>
      <w:r w:rsidRPr="009814AD">
        <w:rPr>
          <w:rFonts w:cstheme="minorHAnsi"/>
          <w:szCs w:val="24"/>
          <w:u w:val="single"/>
        </w:rPr>
        <w:t xml:space="preserve"> </w:t>
      </w:r>
      <w:r w:rsidRPr="009814AD">
        <w:rPr>
          <w:rFonts w:cstheme="minorHAnsi"/>
          <w:b/>
          <w:szCs w:val="24"/>
          <w:u w:val="single"/>
        </w:rPr>
        <w:t>rašanās novēršanas pasākumus</w:t>
      </w:r>
      <w:r w:rsidRPr="009814AD">
        <w:rPr>
          <w:rFonts w:cstheme="minorHAnsi"/>
          <w:szCs w:val="24"/>
          <w:u w:val="single"/>
        </w:rPr>
        <w:t xml:space="preserve"> un pasākumus, kuri veicina </w:t>
      </w:r>
      <w:r w:rsidRPr="009814AD">
        <w:rPr>
          <w:rFonts w:cstheme="minorHAnsi"/>
          <w:b/>
          <w:szCs w:val="24"/>
          <w:u w:val="single"/>
        </w:rPr>
        <w:t>pāreju uz aprites ekonomiku</w:t>
      </w:r>
      <w:r>
        <w:rPr>
          <w:rFonts w:cstheme="minorHAnsi"/>
          <w:bCs/>
          <w:szCs w:val="24"/>
          <w:u w:val="single"/>
        </w:rPr>
        <w:t xml:space="preserve"> (7.2.pasākums)</w:t>
      </w:r>
    </w:p>
    <w:p w14:paraId="590DA228" w14:textId="2394F942" w:rsidR="00B75C0D" w:rsidRPr="009814AD" w:rsidRDefault="00B75C0D" w:rsidP="00B75C0D">
      <w:pPr>
        <w:spacing w:before="120" w:after="120" w:line="240" w:lineRule="auto"/>
        <w:jc w:val="both"/>
        <w:rPr>
          <w:rFonts w:cstheme="minorHAnsi"/>
          <w:szCs w:val="24"/>
        </w:rPr>
      </w:pPr>
      <w:r w:rsidRPr="009814AD">
        <w:rPr>
          <w:rFonts w:cstheme="minorHAnsi"/>
          <w:szCs w:val="24"/>
        </w:rPr>
        <w:t>2016. gadā  Latvijā tika pārstrādāti nepilni 30% sadzīves atkritumu</w:t>
      </w:r>
      <w:r w:rsidR="00A45809">
        <w:rPr>
          <w:rStyle w:val="FootnoteReference"/>
          <w:rFonts w:cstheme="minorHAnsi"/>
          <w:szCs w:val="24"/>
        </w:rPr>
        <w:footnoteReference w:id="184"/>
      </w:r>
      <w:r w:rsidRPr="009814AD">
        <w:rPr>
          <w:rFonts w:cstheme="minorHAnsi"/>
          <w:szCs w:val="24"/>
        </w:rPr>
        <w:t>, bet vairāk nekā 70% nonāca atkritumu poligonos.</w:t>
      </w:r>
      <w:r w:rsidRPr="009814AD">
        <w:rPr>
          <w:rStyle w:val="FootnoteReference"/>
          <w:rFonts w:cstheme="minorHAnsi"/>
        </w:rPr>
        <w:footnoteReference w:id="185"/>
      </w:r>
      <w:r w:rsidRPr="009814AD">
        <w:rPr>
          <w:rFonts w:cstheme="minorHAnsi"/>
          <w:szCs w:val="24"/>
        </w:rPr>
        <w:t xml:space="preserve"> Aprites ekonomika palīdz sasniegt ilgtspējīgas attīstības mērķus, saglabājot produktu, materiālu un resursu vērtību pēc iespējas ilgāk.</w:t>
      </w:r>
    </w:p>
    <w:p w14:paraId="7B12B2D1" w14:textId="77777777" w:rsidR="00B75C0D" w:rsidRPr="009814AD" w:rsidRDefault="00B75C0D" w:rsidP="00B75C0D">
      <w:pPr>
        <w:spacing w:before="120" w:after="120" w:line="240" w:lineRule="auto"/>
        <w:jc w:val="both"/>
        <w:rPr>
          <w:rFonts w:cstheme="minorHAnsi"/>
          <w:szCs w:val="24"/>
        </w:rPr>
      </w:pPr>
      <w:r w:rsidRPr="009814AD">
        <w:rPr>
          <w:rFonts w:cstheme="minorHAnsi"/>
          <w:szCs w:val="24"/>
        </w:rPr>
        <w:t>Pasākums mērķis ir resursu atkārotas un racionālas izmantošanas, atkārtoti izmantojamu un izturīgu produktu ražošanas un ekodizaina attīstības veicināšana. Šāds atkritumu apsaimniekošanas attīstības virziens palīdz samazināt atkritumu rašanos un izglīto iedzīvotājus par produkta ietekmi uz vidi.</w:t>
      </w:r>
    </w:p>
    <w:p w14:paraId="1762F769" w14:textId="77777777" w:rsidR="00B75C0D" w:rsidRPr="009814AD" w:rsidRDefault="00B75C0D" w:rsidP="00B75C0D">
      <w:pPr>
        <w:spacing w:before="120" w:after="120" w:line="240" w:lineRule="auto"/>
        <w:jc w:val="both"/>
        <w:rPr>
          <w:rFonts w:cstheme="minorHAnsi"/>
          <w:szCs w:val="24"/>
          <w:u w:val="single"/>
        </w:rPr>
      </w:pPr>
      <w:r w:rsidRPr="009814AD">
        <w:rPr>
          <w:rFonts w:cstheme="minorHAnsi"/>
          <w:szCs w:val="24"/>
          <w:u w:val="single"/>
        </w:rPr>
        <w:t xml:space="preserve">3) Nodrošināt visu </w:t>
      </w:r>
      <w:r w:rsidRPr="009814AD">
        <w:rPr>
          <w:rFonts w:cstheme="minorHAnsi"/>
          <w:b/>
          <w:szCs w:val="24"/>
          <w:u w:val="single"/>
        </w:rPr>
        <w:t>notekūdeņu atbilstošu savākšanu un attīrīšanu</w:t>
      </w:r>
      <w:r w:rsidRPr="009814AD">
        <w:rPr>
          <w:rFonts w:cstheme="minorHAnsi"/>
          <w:szCs w:val="24"/>
          <w:u w:val="single"/>
        </w:rPr>
        <w:t>, atjaunojot un tālāk</w:t>
      </w:r>
      <w:r w:rsidRPr="009814AD">
        <w:rPr>
          <w:rFonts w:cstheme="minorHAnsi"/>
          <w:b/>
          <w:szCs w:val="24"/>
          <w:u w:val="single"/>
        </w:rPr>
        <w:t xml:space="preserve"> attīstot ūdenssaimniecības infrastruktūru</w:t>
      </w:r>
      <w:r w:rsidRPr="009814AD">
        <w:rPr>
          <w:rFonts w:cstheme="minorHAnsi"/>
          <w:szCs w:val="24"/>
          <w:u w:val="single"/>
        </w:rPr>
        <w:t xml:space="preserve">, kā arī nodrošināt notekūdeņu </w:t>
      </w:r>
      <w:r w:rsidRPr="009814AD">
        <w:rPr>
          <w:rFonts w:cstheme="minorHAnsi"/>
          <w:b/>
          <w:szCs w:val="24"/>
          <w:u w:val="single"/>
        </w:rPr>
        <w:t>dūņu apsaimniekošanas</w:t>
      </w:r>
      <w:r w:rsidRPr="009814AD">
        <w:rPr>
          <w:rFonts w:cstheme="minorHAnsi"/>
          <w:szCs w:val="24"/>
          <w:u w:val="single"/>
        </w:rPr>
        <w:t xml:space="preserve"> infrastruktūras izveidi</w:t>
      </w:r>
      <w:r>
        <w:rPr>
          <w:rFonts w:cstheme="minorHAnsi"/>
          <w:szCs w:val="24"/>
          <w:u w:val="single"/>
        </w:rPr>
        <w:t xml:space="preserve"> (7.3.pasākums)</w:t>
      </w:r>
    </w:p>
    <w:p w14:paraId="4ABA37CF" w14:textId="77777777" w:rsidR="00B75C0D" w:rsidRPr="009814AD" w:rsidRDefault="00B75C0D" w:rsidP="00B75C0D">
      <w:pPr>
        <w:spacing w:before="120" w:after="120" w:line="240" w:lineRule="auto"/>
        <w:jc w:val="both"/>
        <w:rPr>
          <w:rFonts w:cstheme="minorHAnsi"/>
          <w:szCs w:val="24"/>
          <w:shd w:val="clear" w:color="auto" w:fill="FFFFFF"/>
        </w:rPr>
      </w:pPr>
      <w:r w:rsidRPr="009814AD">
        <w:rPr>
          <w:rFonts w:cstheme="minorHAnsi"/>
          <w:szCs w:val="24"/>
          <w:shd w:val="clear" w:color="auto" w:fill="FFFFFF"/>
        </w:rPr>
        <w:t>Pasākuma mērķi ir modernizēt un atjaunot notekūdeņu savākšanas un attīrīšanas infrastruktūru, lai samazinātu notekūdeņu radīto vides piesārņojumu un palielinātu pakalpojuma pieejamību iedzīvotājiem kā arī veikt izvērtējumu, lai novērtētu notekūdeņu dūņu apsaimniekošanas risinājumu rentabilitāti un devumu vides risku samazināšanā, kā arī sākt īstenot labāko risinājumu.</w:t>
      </w:r>
    </w:p>
    <w:p w14:paraId="64FBD0AC" w14:textId="77777777" w:rsidR="00B75C0D" w:rsidRPr="009814AD" w:rsidRDefault="00B75C0D" w:rsidP="00B75C0D">
      <w:pPr>
        <w:shd w:val="clear" w:color="auto" w:fill="E7E6E6" w:themeFill="background2"/>
        <w:spacing w:before="120" w:after="120" w:line="240" w:lineRule="auto"/>
        <w:jc w:val="both"/>
        <w:rPr>
          <w:rFonts w:cstheme="minorHAnsi"/>
          <w:b/>
          <w:i/>
          <w:sz w:val="28"/>
          <w:szCs w:val="28"/>
        </w:rPr>
      </w:pPr>
      <w:bookmarkStart w:id="567" w:name="_Hlk20739103"/>
      <w:bookmarkStart w:id="568" w:name="_Hlk14438222"/>
      <w:r w:rsidRPr="009814AD">
        <w:rPr>
          <w:rFonts w:cstheme="minorHAnsi"/>
          <w:b/>
          <w:i/>
          <w:sz w:val="28"/>
          <w:szCs w:val="28"/>
        </w:rPr>
        <w:t>Saistītie rīcības virzieni</w:t>
      </w:r>
    </w:p>
    <w:bookmarkEnd w:id="567"/>
    <w:p w14:paraId="2B813379" w14:textId="505F3679" w:rsidR="00B75C0D" w:rsidRDefault="00B75C0D" w:rsidP="00B75C0D">
      <w:pPr>
        <w:shd w:val="clear" w:color="auto" w:fill="E7E6E6" w:themeFill="background2"/>
        <w:spacing w:before="120" w:after="120" w:line="240" w:lineRule="auto"/>
        <w:jc w:val="both"/>
        <w:rPr>
          <w:rFonts w:cstheme="minorHAnsi"/>
          <w:szCs w:val="24"/>
        </w:rPr>
      </w:pPr>
      <w:r w:rsidRPr="009814AD">
        <w:rPr>
          <w:rFonts w:cstheme="minorHAnsi"/>
          <w:bCs/>
          <w:iCs/>
          <w:szCs w:val="24"/>
        </w:rPr>
        <w:t xml:space="preserve">1) </w:t>
      </w:r>
      <w:bookmarkStart w:id="569" w:name="_Hlk20739116"/>
      <w:r w:rsidRPr="009814AD">
        <w:rPr>
          <w:rFonts w:cstheme="minorHAnsi"/>
          <w:bCs/>
          <w:iCs/>
          <w:szCs w:val="24"/>
        </w:rPr>
        <w:t>Energoefektivitātes uzlabošana un AER tehnoloģiju izmantošanas veicināšana siltumapgādē un aukstumapgādē, un rūpniecībā (2.rīcības virziens), jo</w:t>
      </w:r>
      <w:bookmarkEnd w:id="569"/>
      <w:r w:rsidRPr="009814AD">
        <w:rPr>
          <w:rFonts w:cstheme="minorHAnsi"/>
          <w:bCs/>
          <w:iCs/>
          <w:szCs w:val="24"/>
        </w:rPr>
        <w:t xml:space="preserve"> </w:t>
      </w:r>
      <w:r w:rsidRPr="009814AD">
        <w:rPr>
          <w:rFonts w:cstheme="minorHAnsi"/>
          <w:szCs w:val="24"/>
        </w:rPr>
        <w:t>ekodizaina veidošanas procesā tiek izvērtēta energoefektivitāte, tādējādi samazinot patērēto elektroenerģiju un nepieciešamās izejvielas produkta radīšanas procesā.</w:t>
      </w:r>
      <w:r w:rsidRPr="009814AD">
        <w:rPr>
          <w:rStyle w:val="FootnoteReference"/>
          <w:rFonts w:cstheme="minorHAnsi"/>
        </w:rPr>
        <w:footnoteReference w:id="186"/>
      </w:r>
    </w:p>
    <w:p w14:paraId="6FB9A09D" w14:textId="1D28C9ED" w:rsidR="00CC138D" w:rsidRPr="009814AD" w:rsidRDefault="00CC138D" w:rsidP="00B75C0D">
      <w:pPr>
        <w:shd w:val="clear" w:color="auto" w:fill="E7E6E6" w:themeFill="background2"/>
        <w:spacing w:before="120" w:after="120" w:line="240" w:lineRule="auto"/>
        <w:jc w:val="both"/>
        <w:rPr>
          <w:rFonts w:cstheme="minorHAnsi"/>
          <w:szCs w:val="24"/>
        </w:rPr>
      </w:pPr>
      <w:r>
        <w:rPr>
          <w:rFonts w:cstheme="minorHAnsi"/>
          <w:szCs w:val="24"/>
        </w:rPr>
        <w:t xml:space="preserve">2) </w:t>
      </w:r>
      <w:r w:rsidRPr="00CC138D">
        <w:rPr>
          <w:rFonts w:cstheme="minorHAnsi"/>
          <w:szCs w:val="24"/>
        </w:rPr>
        <w:t>Energoefektivitātes uzlabošana, alternatīvo degvielu un AER tehnoloģiju izmantošanas veicināšana transportā</w:t>
      </w:r>
      <w:r>
        <w:rPr>
          <w:rFonts w:cstheme="minorHAnsi"/>
          <w:szCs w:val="24"/>
        </w:rPr>
        <w:t xml:space="preserve"> (5.rīcības virziens), jo rīcībpolitikas un pasākumi atkritumu un notekūdeņu apsaimniekošanā var būtiski ietekmēt Latvijā iegūtā biometāna, ko varētu izmantot transportā, apjomus;</w:t>
      </w:r>
    </w:p>
    <w:p w14:paraId="16A06C65" w14:textId="053B6C53" w:rsidR="00B75C0D" w:rsidRPr="00CC138D" w:rsidRDefault="00B75C0D" w:rsidP="00B75C0D">
      <w:pPr>
        <w:shd w:val="clear" w:color="auto" w:fill="E7E6E6" w:themeFill="background2"/>
        <w:spacing w:before="120" w:after="120" w:line="240" w:lineRule="auto"/>
        <w:jc w:val="both"/>
        <w:rPr>
          <w:rFonts w:cstheme="minorHAnsi"/>
          <w:bCs/>
          <w:iCs/>
          <w:szCs w:val="24"/>
        </w:rPr>
      </w:pPr>
      <w:r w:rsidRPr="009814AD">
        <w:rPr>
          <w:rFonts w:cstheme="minorHAnsi"/>
          <w:bCs/>
          <w:iCs/>
          <w:szCs w:val="24"/>
        </w:rPr>
        <w:t>2) Enerģētiskā drošība</w:t>
      </w:r>
      <w:r w:rsidR="00CC138D">
        <w:rPr>
          <w:rFonts w:cstheme="minorHAnsi"/>
          <w:bCs/>
          <w:iCs/>
          <w:szCs w:val="24"/>
        </w:rPr>
        <w:t>, enerģētiskās atkarības mazināšana</w:t>
      </w:r>
      <w:r w:rsidRPr="009814AD">
        <w:rPr>
          <w:rFonts w:cstheme="minorHAnsi"/>
          <w:bCs/>
          <w:iCs/>
          <w:szCs w:val="24"/>
        </w:rPr>
        <w:t xml:space="preserve">, pilnīga enerģijas tirgu integrācija, infrastruktūras modernizācija (6.rīcības virziens), jo </w:t>
      </w:r>
      <w:r w:rsidRPr="009814AD">
        <w:rPr>
          <w:rFonts w:cstheme="minorHAnsi"/>
          <w:szCs w:val="24"/>
        </w:rPr>
        <w:t>veicot biogāzes ražošanu no atkritumiem un dūņām tiek nodrošināta iespēja veikt koģenerāciju.</w:t>
      </w:r>
    </w:p>
    <w:p w14:paraId="236B2474" w14:textId="3C9F4703" w:rsidR="00B75C0D" w:rsidRPr="009814AD" w:rsidRDefault="00AC2049" w:rsidP="00287C99">
      <w:pPr>
        <w:shd w:val="clear" w:color="auto" w:fill="E7E6E6" w:themeFill="background2"/>
        <w:spacing w:after="0" w:line="240" w:lineRule="auto"/>
        <w:rPr>
          <w:rFonts w:cstheme="minorHAnsi"/>
          <w:szCs w:val="24"/>
        </w:rPr>
      </w:pPr>
      <w:r>
        <w:rPr>
          <w:noProof/>
          <w:sz w:val="22"/>
        </w:rPr>
        <mc:AlternateContent>
          <mc:Choice Requires="wps">
            <w:drawing>
              <wp:anchor distT="0" distB="0" distL="114300" distR="114300" simplePos="0" relativeHeight="251684864" behindDoc="0" locked="0" layoutInCell="1" allowOverlap="1" wp14:anchorId="2C905246" wp14:editId="21249377">
                <wp:simplePos x="0" y="0"/>
                <wp:positionH relativeFrom="margin">
                  <wp:align>left</wp:align>
                </wp:positionH>
                <wp:positionV relativeFrom="paragraph">
                  <wp:posOffset>270510</wp:posOffset>
                </wp:positionV>
                <wp:extent cx="5779135" cy="787400"/>
                <wp:effectExtent l="0" t="0" r="0" b="0"/>
                <wp:wrapSquare wrapText="bothSides"/>
                <wp:docPr id="42" name="Rectangle: Single Corner Snipped 42"/>
                <wp:cNvGraphicFramePr/>
                <a:graphic xmlns:a="http://schemas.openxmlformats.org/drawingml/2006/main">
                  <a:graphicData uri="http://schemas.microsoft.com/office/word/2010/wordprocessingShape">
                    <wps:wsp>
                      <wps:cNvSpPr/>
                      <wps:spPr>
                        <a:xfrm>
                          <a:off x="0" y="0"/>
                          <a:ext cx="5779135" cy="787400"/>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37B121B8" w14:textId="2B88799C" w:rsidR="007A7EAC" w:rsidRPr="0007326F" w:rsidRDefault="007A7EAC" w:rsidP="0007326F">
                            <w:pPr>
                              <w:pStyle w:val="Heading2"/>
                              <w:numPr>
                                <w:ilvl w:val="1"/>
                                <w:numId w:val="65"/>
                              </w:numPr>
                              <w:spacing w:before="0" w:after="0"/>
                              <w:ind w:left="0" w:hanging="425"/>
                              <w:jc w:val="center"/>
                              <w:rPr>
                                <w:color w:val="FFFFFF" w:themeColor="background1"/>
                                <w:sz w:val="40"/>
                                <w:szCs w:val="40"/>
                              </w:rPr>
                            </w:pPr>
                            <w:bookmarkStart w:id="570" w:name="_Toc24408064"/>
                            <w:bookmarkStart w:id="571" w:name="_Toc24408123"/>
                            <w:r w:rsidRPr="0007326F">
                              <w:rPr>
                                <w:color w:val="FFFFFF" w:themeColor="background1"/>
                                <w:sz w:val="40"/>
                                <w:szCs w:val="40"/>
                              </w:rPr>
                              <w:t>Lauksaimniecība, zemes izmantošana un mežsaimniecība</w:t>
                            </w:r>
                            <w:bookmarkEnd w:id="570"/>
                            <w:bookmarkEnd w:id="57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05246" id="Rectangle: Single Corner Snipped 42" o:spid="_x0000_s1037" style="position:absolute;margin-left:0;margin-top:21.3pt;width:455.05pt;height:62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787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" adj="-11796480,,5400" path="m,l5647899,r131236,131236l5779135,787400,,787400,,xe" fillcolor="#323e4f [2415]" stroked="f" strokeweight="1pt">
                <v:stroke joinstyle="miter"/>
                <v:formulas/>
                <v:path arrowok="t" o:connecttype="custom" o:connectlocs="0,0;5647899,0;5779135,131236;5779135,787400;0,787400;0,0" o:connectangles="0,0,0,0,0,0" textboxrect="0,0,5779135,787400"/>
                <v:textbox>
                  <w:txbxContent>
                    <w:p w14:paraId="37B121B8" w14:textId="2B88799C" w:rsidR="007A7EAC" w:rsidRPr="0007326F" w:rsidRDefault="007A7EAC" w:rsidP="0007326F">
                      <w:pPr>
                        <w:pStyle w:val="Heading2"/>
                        <w:numPr>
                          <w:ilvl w:val="1"/>
                          <w:numId w:val="65"/>
                        </w:numPr>
                        <w:spacing w:before="0" w:after="0"/>
                        <w:ind w:left="0" w:hanging="425"/>
                        <w:jc w:val="center"/>
                        <w:rPr>
                          <w:color w:val="FFFFFF" w:themeColor="background1"/>
                          <w:sz w:val="40"/>
                          <w:szCs w:val="40"/>
                        </w:rPr>
                      </w:pPr>
                      <w:bookmarkStart w:id="594" w:name="_Toc24408064"/>
                      <w:bookmarkStart w:id="595" w:name="_Toc24408123"/>
                      <w:r w:rsidRPr="0007326F">
                        <w:rPr>
                          <w:color w:val="FFFFFF" w:themeColor="background1"/>
                          <w:sz w:val="40"/>
                          <w:szCs w:val="40"/>
                        </w:rPr>
                        <w:t>Lauksaimniecība, zemes izmantošana un mežsaimniecība</w:t>
                      </w:r>
                      <w:bookmarkEnd w:id="594"/>
                      <w:bookmarkEnd w:id="595"/>
                    </w:p>
                  </w:txbxContent>
                </v:textbox>
                <w10:wrap type="square" anchorx="margin"/>
              </v:shape>
            </w:pict>
          </mc:Fallback>
        </mc:AlternateContent>
      </w:r>
      <w:r w:rsidR="00B75C0D" w:rsidRPr="009814AD">
        <w:rPr>
          <w:rFonts w:cstheme="minorHAnsi"/>
          <w:bCs/>
          <w:iCs/>
          <w:szCs w:val="24"/>
        </w:rPr>
        <w:t>3) Sabiedrības informēšana, izglītošana un izpratnes veicināšana (12.rīcības virziens).</w:t>
      </w:r>
    </w:p>
    <w:bookmarkEnd w:id="568"/>
    <w:p w14:paraId="216764F7" w14:textId="0D136891" w:rsidR="00AC2049" w:rsidRDefault="00AC2049" w:rsidP="00AC2049">
      <w:pPr>
        <w:spacing w:before="120" w:after="120" w:line="240" w:lineRule="auto"/>
        <w:rPr>
          <w:rFonts w:cstheme="minorHAnsi"/>
          <w:b/>
          <w:i/>
          <w:sz w:val="28"/>
          <w:szCs w:val="28"/>
          <w:u w:val="single"/>
        </w:rPr>
      </w:pPr>
      <w:r>
        <w:rPr>
          <w:rFonts w:cstheme="minorHAnsi"/>
          <w:b/>
          <w:i/>
          <w:sz w:val="28"/>
          <w:szCs w:val="28"/>
          <w:u w:val="single"/>
        </w:rPr>
        <w:t>Esošā situācija</w:t>
      </w:r>
    </w:p>
    <w:p w14:paraId="16991865" w14:textId="7E9123D9" w:rsidR="00AC2049" w:rsidRDefault="00AC2049" w:rsidP="00AC2049">
      <w:pPr>
        <w:tabs>
          <w:tab w:val="left" w:pos="6833"/>
        </w:tabs>
        <w:spacing w:before="120" w:after="120" w:line="240" w:lineRule="auto"/>
        <w:jc w:val="both"/>
        <w:rPr>
          <w:rFonts w:cstheme="minorHAnsi"/>
          <w:szCs w:val="24"/>
        </w:rPr>
      </w:pPr>
      <w:r>
        <w:rPr>
          <w:rFonts w:cstheme="minorHAnsi"/>
          <w:szCs w:val="24"/>
        </w:rPr>
        <w:t>Latvijā 2019. gada sākumā lauksaimniecības zemes aizņem 36 % Latvijas teritorijas, no kurām 71 % ir aramzemes un 27 % pļavas un ganības</w:t>
      </w:r>
      <w:r w:rsidR="004910BB" w:rsidRPr="0007326F">
        <w:rPr>
          <w:vertAlign w:val="superscript"/>
        </w:rPr>
        <w:footnoteReference w:id="187"/>
      </w:r>
      <w:r>
        <w:rPr>
          <w:rFonts w:cstheme="minorHAnsi"/>
          <w:szCs w:val="24"/>
        </w:rPr>
        <w:t>.</w:t>
      </w:r>
      <w:r>
        <w:rPr>
          <w:rStyle w:val="FootnoteReference"/>
          <w:rFonts w:cstheme="minorHAnsi"/>
          <w:szCs w:val="24"/>
        </w:rPr>
        <w:t xml:space="preserve"> </w:t>
      </w:r>
      <w:r>
        <w:rPr>
          <w:rFonts w:cstheme="minorHAnsi"/>
          <w:szCs w:val="24"/>
        </w:rPr>
        <w:t>Savukārt, 53 % no Latvijas teritorijas aizņem meža zemes</w:t>
      </w:r>
      <w:r>
        <w:rPr>
          <w:rStyle w:val="FootnoteReference"/>
          <w:rFonts w:cstheme="minorHAnsi"/>
          <w:szCs w:val="24"/>
        </w:rPr>
        <w:footnoteReference w:id="188"/>
      </w:r>
      <w:r>
        <w:rPr>
          <w:rFonts w:cstheme="minorHAnsi"/>
          <w:szCs w:val="24"/>
        </w:rPr>
        <w:t xml:space="preserve"> no kurām apmēram puse Latvijas mežu pieder valstij, savukārt no pārējiem lielākā daļa pieder privāto zemju īpašniekiem. </w:t>
      </w:r>
    </w:p>
    <w:p w14:paraId="0A49AB2B" w14:textId="21193E96" w:rsidR="00AC2049" w:rsidRDefault="00AC2049" w:rsidP="00AC2049">
      <w:pPr>
        <w:tabs>
          <w:tab w:val="left" w:pos="6833"/>
        </w:tabs>
        <w:spacing w:before="120" w:after="120" w:line="240" w:lineRule="auto"/>
        <w:jc w:val="both"/>
        <w:rPr>
          <w:rFonts w:cstheme="minorHAnsi"/>
          <w:szCs w:val="24"/>
        </w:rPr>
      </w:pPr>
      <w:r>
        <w:rPr>
          <w:rFonts w:cstheme="minorHAnsi"/>
          <w:szCs w:val="24"/>
        </w:rPr>
        <w:t>Lauksaimniecība ir otrs lielākais emisiju sektors Latvijas SEG inventarizācijā, kas radīja 24,6 % (2782,32 kt CO</w:t>
      </w:r>
      <w:r>
        <w:rPr>
          <w:rFonts w:cstheme="minorHAnsi"/>
          <w:szCs w:val="24"/>
          <w:vertAlign w:val="subscript"/>
        </w:rPr>
        <w:t>2</w:t>
      </w:r>
      <w:r>
        <w:rPr>
          <w:rFonts w:cstheme="minorHAnsi"/>
          <w:szCs w:val="24"/>
        </w:rPr>
        <w:t xml:space="preserve"> ekv.) no kopējām Latvijas SEG emisijām 2017. gadā (neieskaitot ZIZIMM). 2017.gadā SEG emisijas no lauksaimniecības augsnēm veidoja lielāko daļu (60,8 %) no sektora kopējām emisijām, savukārt lauksaimniecības dzīvnieku zarnu fermentācijas procesu emisijas bija otrs lielākais lauksaimniecības emisiju avots, radot 31,2 % no kopējām lauksaimniecības emisijām. Kūtsmēslu apsaimniekošana radīja 6,8 %, savukārt kaļķošana un karbamīda izmantošana kopā veidoja 1,2 % no kopējām lauksaimniecības emisijām 2017.gadā.</w:t>
      </w:r>
    </w:p>
    <w:p w14:paraId="4738473E" w14:textId="6082B29E" w:rsidR="00AC2049" w:rsidRDefault="00AC2049" w:rsidP="00AC2049">
      <w:pPr>
        <w:spacing w:before="120" w:after="120" w:line="240" w:lineRule="auto"/>
        <w:jc w:val="both"/>
        <w:rPr>
          <w:rFonts w:cstheme="minorHAnsi"/>
          <w:szCs w:val="24"/>
        </w:rPr>
      </w:pPr>
      <w:r>
        <w:rPr>
          <w:rFonts w:cstheme="minorHAnsi"/>
          <w:szCs w:val="24"/>
        </w:rPr>
        <w:t>Neto SEG emisijas no ZIZIMM 2017. gadā bija -1706,85 kt CO</w:t>
      </w:r>
      <w:r>
        <w:rPr>
          <w:rFonts w:cstheme="minorHAnsi"/>
          <w:szCs w:val="24"/>
          <w:vertAlign w:val="subscript"/>
        </w:rPr>
        <w:t>2</w:t>
      </w:r>
      <w:r>
        <w:rPr>
          <w:rFonts w:cstheme="minorHAnsi"/>
          <w:szCs w:val="24"/>
        </w:rPr>
        <w:t xml:space="preserve"> ekv., salīdzinot ar -9828,92 kt CO</w:t>
      </w:r>
      <w:r>
        <w:rPr>
          <w:rFonts w:cstheme="minorHAnsi"/>
          <w:szCs w:val="24"/>
          <w:vertAlign w:val="subscript"/>
        </w:rPr>
        <w:t>2</w:t>
      </w:r>
      <w:r>
        <w:rPr>
          <w:rFonts w:cstheme="minorHAnsi"/>
          <w:szCs w:val="24"/>
        </w:rPr>
        <w:t xml:space="preserve"> ekv. 1990. gadā. Salīdzinājumā ar 1990. gadu, 2017. gadā izmaiņas ZIZIMM SEG emisijās/piesaistē ir -82,6 %. CO</w:t>
      </w:r>
      <w:r>
        <w:rPr>
          <w:rFonts w:cstheme="minorHAnsi"/>
          <w:szCs w:val="24"/>
          <w:vertAlign w:val="subscript"/>
        </w:rPr>
        <w:t>2</w:t>
      </w:r>
      <w:r>
        <w:rPr>
          <w:rFonts w:cstheme="minorHAnsi"/>
          <w:szCs w:val="24"/>
        </w:rPr>
        <w:t xml:space="preserve"> piesaistes samazinājums ZIZIMM sektorā saistāms ar mežistrādes apjoma pieaugumu (vairāk nekā divas reizes), kas saistīts ar meža vecumstruktūru un pieaugušo un pāraugušo mežaudžu īpatsvara pieaugumu. Tāpat arī ievērojama nozīme SEG emisiju palielināšanā ir meža zemju transformēšanai par apdzīvotām vietām, kā arī dabiski apmežotu zemju transformācijai par aramzemēm un zālājiem</w:t>
      </w:r>
      <w:r w:rsidRPr="0007326F">
        <w:rPr>
          <w:vertAlign w:val="superscript"/>
        </w:rPr>
        <w:footnoteReference w:id="189"/>
      </w:r>
      <w:r>
        <w:rPr>
          <w:rFonts w:cstheme="minorHAnsi"/>
          <w:szCs w:val="24"/>
        </w:rPr>
        <w:t>.</w:t>
      </w:r>
    </w:p>
    <w:p w14:paraId="5511FF52" w14:textId="77777777" w:rsidR="00AC2049" w:rsidRDefault="00AC2049" w:rsidP="00AC2049">
      <w:pPr>
        <w:shd w:val="clear" w:color="auto" w:fill="E7E6E6" w:themeFill="background2"/>
        <w:spacing w:before="120" w:after="120" w:line="240" w:lineRule="auto"/>
        <w:rPr>
          <w:rFonts w:ascii="Calibri" w:hAnsi="Calibri" w:cs="Times New Roman"/>
          <w:b/>
          <w:sz w:val="28"/>
          <w:szCs w:val="28"/>
          <w:u w:val="single"/>
        </w:rPr>
      </w:pPr>
      <w:r>
        <w:rPr>
          <w:rFonts w:ascii="Calibri" w:hAnsi="Calibri" w:cs="Times New Roman"/>
          <w:b/>
          <w:sz w:val="28"/>
          <w:szCs w:val="28"/>
          <w:u w:val="single"/>
        </w:rPr>
        <w:t>Vēlamā situācija 2030.gadā:</w:t>
      </w:r>
    </w:p>
    <w:p w14:paraId="2E7CD8E9" w14:textId="77777777" w:rsidR="00AC2049" w:rsidRDefault="00AC2049" w:rsidP="00287C99">
      <w:pPr>
        <w:pStyle w:val="ListParagraph"/>
        <w:numPr>
          <w:ilvl w:val="0"/>
          <w:numId w:val="56"/>
        </w:numPr>
        <w:shd w:val="clear" w:color="auto" w:fill="E7E6E6" w:themeFill="background2"/>
        <w:spacing w:before="120" w:after="120" w:line="240" w:lineRule="auto"/>
        <w:rPr>
          <w:rFonts w:ascii="Calibri" w:hAnsi="Calibri" w:cs="Times New Roman"/>
          <w:i/>
          <w:szCs w:val="24"/>
        </w:rPr>
      </w:pPr>
      <w:r>
        <w:rPr>
          <w:rFonts w:ascii="Calibri" w:hAnsi="Calibri" w:cs="Times New Roman"/>
          <w:i/>
          <w:szCs w:val="24"/>
        </w:rPr>
        <w:t>Tiek veikta ilgtspējīga zemes apsaimniekošana, lauksaimniecības kultūraugu un lauksaimniecības dzīvnieku audzēšana un meža apsaimniekošana, ievērojot klimata, dabas aizsardzības, ekonomiskos un sociālos aspektus;</w:t>
      </w:r>
    </w:p>
    <w:p w14:paraId="069A409C" w14:textId="77777777" w:rsidR="00AC2049" w:rsidRDefault="00AC2049" w:rsidP="00287C99">
      <w:pPr>
        <w:pStyle w:val="ListParagraph"/>
        <w:numPr>
          <w:ilvl w:val="0"/>
          <w:numId w:val="56"/>
        </w:numPr>
        <w:shd w:val="clear" w:color="auto" w:fill="E7E6E6" w:themeFill="background2"/>
        <w:spacing w:before="120" w:after="120" w:line="240" w:lineRule="auto"/>
        <w:rPr>
          <w:rFonts w:ascii="Calibri" w:hAnsi="Calibri" w:cs="Times New Roman"/>
          <w:i/>
          <w:szCs w:val="24"/>
        </w:rPr>
      </w:pPr>
      <w:r>
        <w:rPr>
          <w:rFonts w:ascii="Calibri" w:hAnsi="Calibri" w:cs="Times New Roman"/>
          <w:i/>
          <w:szCs w:val="24"/>
        </w:rPr>
        <w:t>Meža platība Latvijā nesamazinās un tie tiek ilgtspējīgi apsaimniekoti;</w:t>
      </w:r>
    </w:p>
    <w:p w14:paraId="66AD4B9B" w14:textId="77777777" w:rsidR="00AC2049" w:rsidRDefault="00AC2049" w:rsidP="00287C99">
      <w:pPr>
        <w:pStyle w:val="ListParagraph"/>
        <w:numPr>
          <w:ilvl w:val="0"/>
          <w:numId w:val="56"/>
        </w:numPr>
        <w:shd w:val="clear" w:color="auto" w:fill="E7E6E6" w:themeFill="background2"/>
        <w:spacing w:before="120" w:after="120" w:line="240" w:lineRule="auto"/>
        <w:rPr>
          <w:rFonts w:ascii="Calibri" w:hAnsi="Calibri" w:cs="Times New Roman"/>
          <w:i/>
          <w:szCs w:val="24"/>
        </w:rPr>
      </w:pPr>
      <w:r>
        <w:rPr>
          <w:rFonts w:ascii="Calibri" w:hAnsi="Calibri" w:cs="Times New Roman"/>
          <w:i/>
          <w:szCs w:val="24"/>
        </w:rPr>
        <w:t>Lauksaimniecība un mežsaimniecība sniedz būtisku ieguldījumu bioenerģētikas jomā, neradot apdraudējumu pārtikas nodrošinājumam un CO</w:t>
      </w:r>
      <w:r>
        <w:rPr>
          <w:rFonts w:ascii="Calibri" w:hAnsi="Calibri" w:cs="Times New Roman"/>
          <w:i/>
          <w:szCs w:val="24"/>
          <w:vertAlign w:val="subscript"/>
        </w:rPr>
        <w:t>2</w:t>
      </w:r>
      <w:r>
        <w:rPr>
          <w:rFonts w:ascii="Calibri" w:hAnsi="Calibri" w:cs="Times New Roman"/>
          <w:i/>
          <w:szCs w:val="24"/>
        </w:rPr>
        <w:t xml:space="preserve"> piesaistei, un ievērojot kaskādes principu;</w:t>
      </w:r>
    </w:p>
    <w:p w14:paraId="213A5639" w14:textId="77777777" w:rsidR="00AC2049" w:rsidRDefault="00AC2049" w:rsidP="00287C99">
      <w:pPr>
        <w:pStyle w:val="ListParagraph"/>
        <w:numPr>
          <w:ilvl w:val="0"/>
          <w:numId w:val="56"/>
        </w:numPr>
        <w:shd w:val="clear" w:color="auto" w:fill="E7E6E6" w:themeFill="background2"/>
        <w:spacing w:before="120" w:after="120" w:line="240" w:lineRule="auto"/>
        <w:rPr>
          <w:rFonts w:ascii="Calibri" w:hAnsi="Calibri" w:cs="Times New Roman"/>
          <w:i/>
          <w:szCs w:val="24"/>
        </w:rPr>
      </w:pPr>
      <w:r>
        <w:rPr>
          <w:rFonts w:ascii="Calibri" w:hAnsi="Calibri" w:cs="Times New Roman"/>
          <w:i/>
          <w:szCs w:val="24"/>
        </w:rPr>
        <w:t>Lauksaimniecībā un mežsaimniecībā panākta augsta produktivitāte, efektīvi izmantojot bioresursus (t.sk. zemes resurss);</w:t>
      </w:r>
    </w:p>
    <w:p w14:paraId="560A852C" w14:textId="77777777" w:rsidR="00AC2049" w:rsidRDefault="00AC2049" w:rsidP="00287C99">
      <w:pPr>
        <w:pStyle w:val="ListParagraph"/>
        <w:numPr>
          <w:ilvl w:val="0"/>
          <w:numId w:val="56"/>
        </w:numPr>
        <w:shd w:val="clear" w:color="auto" w:fill="E7E6E6" w:themeFill="background2"/>
        <w:spacing w:before="120" w:after="120" w:line="240" w:lineRule="auto"/>
        <w:rPr>
          <w:rFonts w:ascii="Calibri" w:hAnsi="Calibri" w:cs="Times New Roman"/>
          <w:i/>
          <w:szCs w:val="24"/>
        </w:rPr>
      </w:pPr>
      <w:r>
        <w:rPr>
          <w:rFonts w:ascii="Calibri" w:hAnsi="Calibri" w:cs="Times New Roman"/>
          <w:i/>
          <w:szCs w:val="24"/>
        </w:rPr>
        <w:t>Pieaudzis koka izmantošanas būvniecībā apjoms.</w:t>
      </w:r>
    </w:p>
    <w:p w14:paraId="6CA3D939" w14:textId="77777777" w:rsidR="00AC2049" w:rsidRDefault="00AC2049" w:rsidP="00AC2049">
      <w:pPr>
        <w:shd w:val="clear" w:color="auto" w:fill="E7E6E6" w:themeFill="background2"/>
        <w:spacing w:before="120" w:after="120" w:line="240" w:lineRule="auto"/>
        <w:rPr>
          <w:rFonts w:ascii="Calibri" w:hAnsi="Calibri" w:cs="Times New Roman"/>
          <w:b/>
          <w:sz w:val="28"/>
          <w:szCs w:val="28"/>
          <w:u w:val="single"/>
        </w:rPr>
      </w:pPr>
      <w:r>
        <w:rPr>
          <w:rFonts w:ascii="Calibri" w:hAnsi="Calibri" w:cs="Times New Roman"/>
          <w:b/>
          <w:sz w:val="28"/>
          <w:szCs w:val="28"/>
          <w:u w:val="single"/>
        </w:rPr>
        <w:t>Ieguvumi sabiedrībai un tautsaimniecībai:</w:t>
      </w:r>
    </w:p>
    <w:p w14:paraId="64D163A7" w14:textId="77777777" w:rsidR="00AC2049" w:rsidRDefault="00AC2049" w:rsidP="00287C99">
      <w:pPr>
        <w:pStyle w:val="ListParagraph"/>
        <w:numPr>
          <w:ilvl w:val="0"/>
          <w:numId w:val="57"/>
        </w:numPr>
        <w:shd w:val="clear" w:color="auto" w:fill="E7E6E6" w:themeFill="background2"/>
        <w:spacing w:before="120" w:after="120" w:line="240" w:lineRule="auto"/>
        <w:ind w:left="397" w:hanging="397"/>
        <w:rPr>
          <w:rFonts w:ascii="Calibri" w:hAnsi="Calibri" w:cs="Times New Roman"/>
          <w:i/>
          <w:szCs w:val="24"/>
        </w:rPr>
      </w:pPr>
      <w:r>
        <w:rPr>
          <w:rFonts w:ascii="Calibri" w:hAnsi="Calibri" w:cs="Times New Roman"/>
          <w:i/>
          <w:szCs w:val="24"/>
        </w:rPr>
        <w:t>Lauku teritoriju apdzīvotības un iedzīvotāju labklājības celšana;</w:t>
      </w:r>
    </w:p>
    <w:p w14:paraId="4FE8F8ED" w14:textId="77777777" w:rsidR="00AC2049" w:rsidRDefault="00AC2049" w:rsidP="00287C99">
      <w:pPr>
        <w:pStyle w:val="ListParagraph"/>
        <w:numPr>
          <w:ilvl w:val="0"/>
          <w:numId w:val="57"/>
        </w:numPr>
        <w:shd w:val="clear" w:color="auto" w:fill="E7E6E6" w:themeFill="background2"/>
        <w:spacing w:before="120" w:after="120" w:line="240" w:lineRule="auto"/>
        <w:ind w:left="397" w:hanging="397"/>
        <w:rPr>
          <w:rFonts w:ascii="Calibri" w:hAnsi="Calibri" w:cs="Times New Roman"/>
          <w:i/>
          <w:szCs w:val="24"/>
        </w:rPr>
      </w:pPr>
      <w:r>
        <w:rPr>
          <w:rFonts w:ascii="Calibri" w:hAnsi="Calibri" w:cs="Times New Roman"/>
          <w:i/>
          <w:szCs w:val="24"/>
        </w:rPr>
        <w:t>Palielināta kultūraugu ražība, nesamazinot augsnes auglību;</w:t>
      </w:r>
    </w:p>
    <w:p w14:paraId="37A26E38" w14:textId="77777777" w:rsidR="00AC2049" w:rsidRDefault="00AC2049" w:rsidP="00287C99">
      <w:pPr>
        <w:pStyle w:val="ListParagraph"/>
        <w:numPr>
          <w:ilvl w:val="0"/>
          <w:numId w:val="57"/>
        </w:numPr>
        <w:shd w:val="clear" w:color="auto" w:fill="E7E6E6" w:themeFill="background2"/>
        <w:spacing w:before="120" w:after="120" w:line="240" w:lineRule="auto"/>
        <w:ind w:left="397" w:hanging="397"/>
        <w:rPr>
          <w:rFonts w:ascii="Calibri" w:hAnsi="Calibri" w:cs="Times New Roman"/>
          <w:i/>
          <w:szCs w:val="24"/>
        </w:rPr>
      </w:pPr>
      <w:r>
        <w:rPr>
          <w:rFonts w:ascii="Calibri" w:hAnsi="Calibri" w:cs="Times New Roman"/>
          <w:i/>
          <w:szCs w:val="24"/>
        </w:rPr>
        <w:t>Samazināts enerģijas pieprasījums no ārējiem piegādātājiem;</w:t>
      </w:r>
    </w:p>
    <w:p w14:paraId="6D6B372D" w14:textId="77777777" w:rsidR="00AC2049" w:rsidRDefault="00AC2049" w:rsidP="00287C99">
      <w:pPr>
        <w:pStyle w:val="ListParagraph"/>
        <w:numPr>
          <w:ilvl w:val="0"/>
          <w:numId w:val="57"/>
        </w:numPr>
        <w:shd w:val="clear" w:color="auto" w:fill="E7E6E6" w:themeFill="background2"/>
        <w:spacing w:before="120" w:after="120" w:line="240" w:lineRule="auto"/>
        <w:ind w:left="397" w:hanging="397"/>
        <w:rPr>
          <w:rFonts w:ascii="Calibri" w:hAnsi="Calibri" w:cs="Times New Roman"/>
          <w:i/>
          <w:szCs w:val="24"/>
        </w:rPr>
      </w:pPr>
      <w:r>
        <w:rPr>
          <w:rFonts w:ascii="Calibri" w:hAnsi="Calibri" w:cs="Times New Roman"/>
          <w:i/>
          <w:szCs w:val="24"/>
        </w:rPr>
        <w:t>Mežsaimniecības un lauksaimniecības konkurences celšana.</w:t>
      </w:r>
    </w:p>
    <w:p w14:paraId="4530BB93" w14:textId="77777777" w:rsidR="00AC2049" w:rsidRDefault="00AC2049" w:rsidP="00AC2049">
      <w:pPr>
        <w:tabs>
          <w:tab w:val="left" w:pos="3825"/>
        </w:tabs>
        <w:spacing w:before="120" w:after="120" w:line="240" w:lineRule="auto"/>
        <w:jc w:val="both"/>
        <w:rPr>
          <w:rFonts w:ascii="Calibri" w:hAnsi="Calibri" w:cs="Times New Roman"/>
          <w:b/>
          <w:i/>
          <w:sz w:val="28"/>
          <w:szCs w:val="28"/>
          <w:u w:val="single"/>
        </w:rPr>
      </w:pPr>
      <w:bookmarkStart w:id="572" w:name="_Hlk14437869"/>
      <w:r>
        <w:rPr>
          <w:rFonts w:ascii="Calibri" w:hAnsi="Calibri" w:cs="Times New Roman"/>
          <w:b/>
          <w:i/>
          <w:sz w:val="28"/>
          <w:szCs w:val="28"/>
          <w:u w:val="single"/>
        </w:rPr>
        <w:t xml:space="preserve">Galvenie problēmjautājumi </w:t>
      </w:r>
    </w:p>
    <w:p w14:paraId="7998C48D" w14:textId="77777777" w:rsidR="00AC2049" w:rsidRDefault="00AC2049" w:rsidP="00AC2049">
      <w:pPr>
        <w:tabs>
          <w:tab w:val="left" w:pos="6833"/>
        </w:tabs>
        <w:spacing w:before="120" w:after="120" w:line="240" w:lineRule="auto"/>
        <w:jc w:val="both"/>
        <w:rPr>
          <w:b/>
          <w:strike/>
        </w:rPr>
      </w:pPr>
      <w:r>
        <w:rPr>
          <w:rFonts w:cstheme="minorHAnsi"/>
          <w:szCs w:val="24"/>
        </w:rPr>
        <w:t xml:space="preserve">1) liels grūti samazināmo </w:t>
      </w:r>
      <w:r>
        <w:rPr>
          <w:rFonts w:cstheme="minorHAnsi"/>
          <w:b/>
          <w:bCs/>
          <w:szCs w:val="24"/>
        </w:rPr>
        <w:t>SEG emisiju avotu īpatsvars</w:t>
      </w:r>
      <w:r>
        <w:rPr>
          <w:rFonts w:cstheme="minorHAnsi"/>
          <w:szCs w:val="24"/>
        </w:rPr>
        <w:t xml:space="preserve"> lauksaimniecības darbībās </w:t>
      </w:r>
    </w:p>
    <w:p w14:paraId="74B9405E" w14:textId="77777777" w:rsidR="00AC2049" w:rsidRDefault="00AC2049" w:rsidP="00AC2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szCs w:val="24"/>
        </w:rPr>
      </w:pPr>
      <w:r>
        <w:rPr>
          <w:rFonts w:cstheme="minorHAnsi"/>
          <w:szCs w:val="24"/>
        </w:rPr>
        <w:t xml:space="preserve">Ņemot vērā Latvijā turēto lauksaimniecības dzīvnieku apjomu, jārēķinās ar zarnu fermentācijas un kūtsmēslu apsaimniekošanas radītajām SEG emisijām. Piena lopkopība ir viena no nozīmīgākajām lauksaimniecības nozarēm Latvijā. Izkopjot slaucamo govju ganāmpulku, pēdējos gados ir samazinājies slaucamo govju skaits, bet augusi to produktivitāte. Gaļas liellopu un mājputnu skaits pēdējos gados ir palielinājies. Lopkopība un lopu turēšana ir cieši saistīta ar katra dzīvnieka fizioloģiskajiem gremošanas procesiem. To radītais SEG emisiju apjoms ir ļoti grūti un dārgi samazināms, piemēram, zarnu fermentācijas procesos radītais SEG emisiju apjoms, kas rodas gremošanas procesos. Tāpēc ir nepieciešams veikt uzlabojumus tieši dzīvnieku ēdināšanas jomā. Salīdzinot ar citām Eiropas valstīm, Latvijā raksturīgs liels piena lopkopības saimniecību īpatsvars ar mazu ganāmpulka lielumu, kurās var attīstīt bioloģisko piena vai gaļas lopkopību. Ekstensīvai lopkopībai ir pozitīva ietekme, jo nav sakoncentrēts liels lopu blīvums uz vienu platības vienību. Vienlaikus procentuāli visvairāk slaucamo govju tiek turētas tieši lielajās saimniecībās. </w:t>
      </w:r>
      <w:r>
        <w:rPr>
          <w:szCs w:val="24"/>
        </w:rPr>
        <w:t>Tāpēc SEG emisijas samazinošie pasākumi būs pielāgojami tā, lai pasākumu ieviešanas efektivitāte būtu visaugstākā.</w:t>
      </w:r>
    </w:p>
    <w:p w14:paraId="01E74CC4" w14:textId="77777777" w:rsidR="00AC2049" w:rsidRDefault="00AC2049" w:rsidP="00AC2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cstheme="minorHAnsi"/>
          <w:szCs w:val="24"/>
        </w:rPr>
      </w:pPr>
      <w:r>
        <w:rPr>
          <w:rFonts w:cstheme="minorHAnsi"/>
          <w:szCs w:val="24"/>
        </w:rPr>
        <w:t>Būtiskākie SEG emisiju avoti lauksaimniecības augšņu apstrādē ir organisko augšņu apsaimniekošana un slāpekļa minerālmēslu izmantošana. Latvijā vidēji aramzeme aizņem 67% no lauksaimniecībā izmantojamās zemes apjoma. Izlietoto minerālmēslu apjoms salīdzinājumā ar 2005. gadu ir pieaudzis par 57%, tomēr pēdējo trīs gadu dati liecina, ka minerālmēslu lietojums nedaudz samazinās (3 %)</w:t>
      </w:r>
      <w:r>
        <w:rPr>
          <w:rStyle w:val="FootnoteReference"/>
          <w:rFonts w:cstheme="minorHAnsi"/>
          <w:szCs w:val="24"/>
        </w:rPr>
        <w:footnoteReference w:id="190"/>
      </w:r>
      <w:r>
        <w:rPr>
          <w:rFonts w:cstheme="minorHAnsi"/>
          <w:szCs w:val="24"/>
        </w:rPr>
        <w:t xml:space="preserve">. </w:t>
      </w:r>
    </w:p>
    <w:p w14:paraId="21789CFF" w14:textId="77777777" w:rsidR="00AC2049" w:rsidRDefault="00AC2049" w:rsidP="00AC2049">
      <w:pPr>
        <w:tabs>
          <w:tab w:val="left" w:pos="6833"/>
        </w:tabs>
        <w:spacing w:before="120" w:after="120" w:line="240" w:lineRule="auto"/>
        <w:jc w:val="both"/>
        <w:rPr>
          <w:rFonts w:cstheme="minorHAnsi"/>
          <w:szCs w:val="24"/>
        </w:rPr>
      </w:pPr>
      <w:r>
        <w:rPr>
          <w:rFonts w:cstheme="minorHAnsi"/>
          <w:szCs w:val="24"/>
        </w:rPr>
        <w:t>Lauksaimniecības produkcijas ražošanai būtu jābūt balstītai uz sociāli atbildīgiem un ilgtspējīgiem attīstības principiem. Iegūtā raža ir ilgtspējīga un nesamazina augsnes auglību, biomasa tiek izmantota secīgi vairākas reizes, tādējādi nodrošinot resursu izmantošanas efektivitāti, kā arī ražošanai jābūt daudzveidīgai, lai labāk izmantotu pieejamos dabas resursus.</w:t>
      </w:r>
    </w:p>
    <w:p w14:paraId="2B2BB968" w14:textId="77777777" w:rsidR="00AC2049" w:rsidRDefault="00AC2049" w:rsidP="00AC2049">
      <w:pPr>
        <w:jc w:val="both"/>
        <w:rPr>
          <w:rFonts w:cstheme="minorHAnsi"/>
          <w:szCs w:val="24"/>
        </w:rPr>
      </w:pPr>
      <w:r>
        <w:rPr>
          <w:rFonts w:cstheme="minorHAnsi"/>
          <w:szCs w:val="24"/>
        </w:rPr>
        <w:t>Lai sniegtu ieguldījumu kopējo SEG emisiju samazināšanā un CO</w:t>
      </w:r>
      <w:r>
        <w:rPr>
          <w:rFonts w:cstheme="minorHAnsi"/>
          <w:szCs w:val="24"/>
          <w:vertAlign w:val="subscript"/>
        </w:rPr>
        <w:t>2</w:t>
      </w:r>
      <w:r>
        <w:rPr>
          <w:rFonts w:cstheme="minorHAnsi"/>
          <w:szCs w:val="24"/>
        </w:rPr>
        <w:t xml:space="preserve"> piesaistē ir nepieciešama tehnoloģisko paņēmienu  attīstība. Tomēr šādu paņēmienu attīstībai ir nepieciešams finansiāls ieguldījums un pētījumi. </w:t>
      </w:r>
    </w:p>
    <w:p w14:paraId="4774A24C" w14:textId="77777777" w:rsidR="00AC2049" w:rsidRDefault="00AC2049" w:rsidP="00AC2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cstheme="minorHAnsi"/>
          <w:szCs w:val="24"/>
        </w:rPr>
      </w:pPr>
      <w:r>
        <w:rPr>
          <w:rFonts w:cstheme="minorHAnsi"/>
          <w:szCs w:val="24"/>
        </w:rPr>
        <w:t>Saskaņā ar Latvijas Bioekonomikas stratēģiju 2030 un lauksaimniecības sektora attīstības ilgtermiņa prognozēm 2050. gadam lauksaimniecībā ir nepieciešams palielināt zemes un resursu izmantošanas efektivitāti, iegūstot lielāku pievienoto vērtību no 1 ha lauksaimniecības zemes un samazinot SEG emisijas uz vienu saražotās produkcijas vienību. Tas ir iespējams, attīstot inovācijas un ieviešot aprites ekonomikas principus, vienlaikus saglabājot ilggadīgo zālāju un bioloģiski vērtīgo zālāju platības.</w:t>
      </w:r>
    </w:p>
    <w:p w14:paraId="60831D71" w14:textId="77777777" w:rsidR="00AC2049" w:rsidRDefault="00AC2049" w:rsidP="00AC2049">
      <w:pPr>
        <w:tabs>
          <w:tab w:val="left" w:pos="6833"/>
        </w:tabs>
        <w:spacing w:before="120" w:after="120" w:line="240" w:lineRule="auto"/>
        <w:jc w:val="both"/>
        <w:rPr>
          <w:sz w:val="22"/>
        </w:rPr>
      </w:pPr>
      <w:r>
        <w:rPr>
          <w:rFonts w:cstheme="minorHAnsi"/>
          <w:szCs w:val="24"/>
        </w:rPr>
        <w:t xml:space="preserve">2) </w:t>
      </w:r>
      <w:r>
        <w:rPr>
          <w:rFonts w:cstheme="minorHAnsi"/>
          <w:b/>
          <w:szCs w:val="24"/>
        </w:rPr>
        <w:t xml:space="preserve">Ilgtspējīgs meža </w:t>
      </w:r>
      <w:r>
        <w:rPr>
          <w:b/>
          <w:szCs w:val="24"/>
        </w:rPr>
        <w:t>CO</w:t>
      </w:r>
      <w:r>
        <w:rPr>
          <w:b/>
          <w:szCs w:val="24"/>
          <w:vertAlign w:val="subscript"/>
        </w:rPr>
        <w:t>2</w:t>
      </w:r>
      <w:r>
        <w:rPr>
          <w:b/>
          <w:szCs w:val="24"/>
        </w:rPr>
        <w:t xml:space="preserve"> piesaistes palielinājums</w:t>
      </w:r>
    </w:p>
    <w:p w14:paraId="210D5E1B" w14:textId="77777777" w:rsidR="00AC2049" w:rsidRDefault="00AC2049" w:rsidP="00AC2049">
      <w:pPr>
        <w:tabs>
          <w:tab w:val="left" w:pos="6833"/>
        </w:tabs>
        <w:spacing w:before="120" w:after="120" w:line="240" w:lineRule="auto"/>
        <w:jc w:val="both"/>
        <w:rPr>
          <w:rFonts w:cstheme="minorHAnsi"/>
          <w:szCs w:val="24"/>
        </w:rPr>
      </w:pPr>
      <w:r>
        <w:rPr>
          <w:rFonts w:cstheme="minorHAnsi"/>
          <w:szCs w:val="24"/>
        </w:rPr>
        <w:t>Meži klimata pārmaiņas var ietekmēt divos veidos , pirmkārt piesaistot CO</w:t>
      </w:r>
      <w:r>
        <w:rPr>
          <w:rFonts w:cstheme="minorHAnsi"/>
          <w:szCs w:val="24"/>
          <w:vertAlign w:val="subscript"/>
        </w:rPr>
        <w:t>2</w:t>
      </w:r>
      <w:r>
        <w:rPr>
          <w:rFonts w:cstheme="minorHAnsi"/>
          <w:szCs w:val="24"/>
        </w:rPr>
        <w:t xml:space="preserve"> un uzkrājot oglekli koksnē un augsnē, kā arī otrkārt aizvietojot CO</w:t>
      </w:r>
      <w:r>
        <w:rPr>
          <w:rFonts w:cstheme="minorHAnsi"/>
          <w:szCs w:val="24"/>
          <w:vertAlign w:val="subscript"/>
        </w:rPr>
        <w:t>2</w:t>
      </w:r>
      <w:r>
        <w:rPr>
          <w:rFonts w:cstheme="minorHAnsi"/>
          <w:szCs w:val="24"/>
        </w:rPr>
        <w:t xml:space="preserve"> ietilpīgos materiālus ar kokmateriāliem. Ogleklis koksnē turpina glabāties koka konstrukcijās, ēkās, mēbelēs, dažādos mājsaimniecības priekšmetos līdz dzīves cikla beigām, kad sadedzinot iespējams iegūt enerģiju. Līdz ar to virzoties uz Latvijas klimata neitralitātes mērķi 2050. gadā jāveicina mežaudžu produktivitāte CO</w:t>
      </w:r>
      <w:r>
        <w:rPr>
          <w:rFonts w:cstheme="minorHAnsi"/>
          <w:szCs w:val="24"/>
          <w:vertAlign w:val="subscript"/>
        </w:rPr>
        <w:t>2</w:t>
      </w:r>
      <w:r>
        <w:rPr>
          <w:rFonts w:cstheme="minorHAnsi"/>
          <w:szCs w:val="24"/>
        </w:rPr>
        <w:t xml:space="preserve"> piesaistes palielināšanai un koka kā materiāla plašāka izmantošana.</w:t>
      </w:r>
    </w:p>
    <w:p w14:paraId="18DFF46C" w14:textId="77777777" w:rsidR="00AC2049" w:rsidRDefault="00AC2049" w:rsidP="00AC2049">
      <w:pPr>
        <w:tabs>
          <w:tab w:val="left" w:pos="6833"/>
        </w:tabs>
        <w:spacing w:before="120" w:after="120" w:line="240" w:lineRule="auto"/>
        <w:jc w:val="both"/>
        <w:rPr>
          <w:rFonts w:cstheme="minorHAnsi"/>
          <w:szCs w:val="24"/>
        </w:rPr>
      </w:pPr>
      <w:r>
        <w:rPr>
          <w:rFonts w:cstheme="minorHAnsi"/>
          <w:szCs w:val="24"/>
        </w:rPr>
        <w:t>Pēdējā desmitgadē stabils pieaugušo un pāraugušo mežaudžu īpatsvara pieaugums Latvijā samazina CO</w:t>
      </w:r>
      <w:r>
        <w:rPr>
          <w:rFonts w:cstheme="minorHAnsi"/>
          <w:szCs w:val="24"/>
          <w:vertAlign w:val="subscript"/>
        </w:rPr>
        <w:t>2</w:t>
      </w:r>
      <w:r>
        <w:rPr>
          <w:rFonts w:cstheme="minorHAnsi"/>
          <w:szCs w:val="24"/>
        </w:rPr>
        <w:t xml:space="preserve"> piesaistes intensitāti mežā, it sevišķi to potenciālu nākotnē. Tāpēc jāveic pasākumi meža produktivitātes uzlabošanai un meža vecumstruktūras izlīdzināšanai. Aizvien pieaug arī ekstrēmu dabas parādību biežums kā rezultātā paaugstinās riski mežaudžu attīstībai. Tos var mazināt mežu apsaimniekojot – izvēloties klimata ekstrēmiem pielāgotu meža stādāmo materiālu, savlaicīgi kopjot jaunaudzes un veicot citus mežaudžu pielāgošanos uzlabojošus pasākumus. Ievērojamā daļā privāto mežu apsaimniekošana tiek veikta ierobežotā apjomā. Lai uzlabotu privāto mežu ražību un pielāgošanos klimata pārmaiņām, nepieciešami atbalsta pasākumi.</w:t>
      </w:r>
    </w:p>
    <w:p w14:paraId="62B09911" w14:textId="77777777" w:rsidR="00AC2049" w:rsidRDefault="00AC2049" w:rsidP="00AC2049">
      <w:pPr>
        <w:tabs>
          <w:tab w:val="left" w:pos="6833"/>
        </w:tabs>
        <w:spacing w:before="120" w:after="120" w:line="240" w:lineRule="auto"/>
        <w:jc w:val="both"/>
        <w:rPr>
          <w:rFonts w:cstheme="minorHAnsi"/>
          <w:color w:val="222222"/>
          <w:szCs w:val="24"/>
          <w:shd w:val="clear" w:color="auto" w:fill="FFFFFF"/>
        </w:rPr>
      </w:pPr>
      <w:r>
        <w:rPr>
          <w:rFonts w:cstheme="minorHAnsi"/>
          <w:color w:val="222222"/>
          <w:szCs w:val="24"/>
          <w:shd w:val="clear" w:color="auto" w:fill="FFFFFF"/>
        </w:rPr>
        <w:t>3)</w:t>
      </w:r>
      <w:r>
        <w:rPr>
          <w:rFonts w:cstheme="minorHAnsi"/>
          <w:szCs w:val="24"/>
        </w:rPr>
        <w:t xml:space="preserve"> </w:t>
      </w:r>
      <w:r>
        <w:rPr>
          <w:rFonts w:cstheme="minorHAnsi"/>
          <w:b/>
          <w:szCs w:val="24"/>
        </w:rPr>
        <w:t>ZIZIMM 2030. gada mērķa izpilde (neto piesaistes noteikuma izpilde</w:t>
      </w:r>
      <w:r>
        <w:rPr>
          <w:rFonts w:cstheme="minorHAnsi"/>
          <w:szCs w:val="24"/>
        </w:rPr>
        <w:t>) un papildus piesaistes radīšana</w:t>
      </w:r>
    </w:p>
    <w:p w14:paraId="2BED061B" w14:textId="77777777" w:rsidR="00AC2049" w:rsidRDefault="00AC2049" w:rsidP="00AC2049">
      <w:pPr>
        <w:tabs>
          <w:tab w:val="left" w:pos="6833"/>
        </w:tabs>
        <w:spacing w:before="120" w:after="120" w:line="240" w:lineRule="auto"/>
        <w:jc w:val="both"/>
        <w:rPr>
          <w:rFonts w:cstheme="minorHAnsi"/>
          <w:color w:val="222222"/>
          <w:szCs w:val="24"/>
          <w:shd w:val="clear" w:color="auto" w:fill="FFFFFF"/>
        </w:rPr>
      </w:pPr>
      <w:r>
        <w:rPr>
          <w:rFonts w:cstheme="minorHAnsi"/>
          <w:color w:val="222222"/>
          <w:szCs w:val="24"/>
          <w:shd w:val="clear" w:color="auto" w:fill="FFFFFF"/>
        </w:rPr>
        <w:t xml:space="preserve">Liels izaicinājums ir ZIZIMM uzskaites kategorijās un visā ZIZIMM sektorā nodrošināt </w:t>
      </w:r>
      <w:r>
        <w:rPr>
          <w:rFonts w:cstheme="minorHAnsi"/>
          <w:i/>
          <w:iCs/>
          <w:color w:val="222222"/>
          <w:szCs w:val="24"/>
          <w:shd w:val="clear" w:color="auto" w:fill="FFFFFF"/>
        </w:rPr>
        <w:t>no-debit</w:t>
      </w:r>
      <w:r>
        <w:rPr>
          <w:rFonts w:cstheme="minorHAnsi"/>
          <w:color w:val="222222"/>
          <w:szCs w:val="24"/>
          <w:shd w:val="clear" w:color="auto" w:fill="FFFFFF"/>
        </w:rPr>
        <w:t xml:space="preserve"> nosacījumu izpildi, jo to ietekmē gan lauksaimniecības attīstība, gan nelīdzsvarota meža vecumstruktūra – liels pieaugušo un novecojošo mežaudžu īpatsvars,  gan arī mitrzemju (kūdrāju) apsaimniekošana – kūdras purvu izstrāde.</w:t>
      </w:r>
    </w:p>
    <w:p w14:paraId="3F1006FC" w14:textId="77777777" w:rsidR="00AC2049" w:rsidRDefault="00AC2049" w:rsidP="00AC2049">
      <w:pPr>
        <w:tabs>
          <w:tab w:val="left" w:pos="6833"/>
        </w:tabs>
        <w:spacing w:before="120" w:after="120" w:line="240" w:lineRule="auto"/>
        <w:jc w:val="both"/>
        <w:rPr>
          <w:rFonts w:cstheme="minorHAnsi"/>
          <w:szCs w:val="24"/>
        </w:rPr>
      </w:pPr>
      <w:r>
        <w:rPr>
          <w:rFonts w:cstheme="minorHAnsi"/>
          <w:szCs w:val="24"/>
        </w:rPr>
        <w:t>Tas ir galvenais priekšnosacījums, lai ZIZIMM uzskaitītās emisijas nenāktos kompensēt ar ne-ETS emisiju vienībām, un lai Latvija spētu ZIZIMM sektora papildus radītās vienības izmantot ne-ETS emisiju kompensēšanai līdz 3,1 miljonu tonnu CO</w:t>
      </w:r>
      <w:r>
        <w:rPr>
          <w:rFonts w:cstheme="minorHAnsi"/>
          <w:szCs w:val="24"/>
          <w:vertAlign w:val="subscript"/>
        </w:rPr>
        <w:t>2</w:t>
      </w:r>
      <w:r>
        <w:rPr>
          <w:rFonts w:cstheme="minorHAnsi"/>
          <w:szCs w:val="24"/>
        </w:rPr>
        <w:t xml:space="preserve"> ekvivalenta apmērā (daudzums, ko Latvijai ir atļauts pārnest visā periodā).</w:t>
      </w:r>
    </w:p>
    <w:p w14:paraId="64E8CED5" w14:textId="77777777" w:rsidR="00AC2049" w:rsidRDefault="00AC2049" w:rsidP="00AC2049">
      <w:pPr>
        <w:tabs>
          <w:tab w:val="left" w:pos="6833"/>
        </w:tabs>
        <w:spacing w:before="120" w:after="120" w:line="240" w:lineRule="auto"/>
        <w:jc w:val="both"/>
        <w:rPr>
          <w:rFonts w:cstheme="minorHAnsi"/>
          <w:color w:val="222222"/>
          <w:szCs w:val="24"/>
          <w:shd w:val="clear" w:color="auto" w:fill="FFFFFF"/>
        </w:rPr>
      </w:pPr>
      <w:r>
        <w:rPr>
          <w:rFonts w:cstheme="minorHAnsi"/>
          <w:color w:val="222222"/>
          <w:szCs w:val="24"/>
          <w:shd w:val="clear" w:color="auto" w:fill="FFFFFF"/>
        </w:rPr>
        <w:t>Meža zemēm tāpat kā lauksaimniecības zemēm liela problēma ir nesakoptā vai neatjaunotā meliorācijas sistēma, kas vēsturiski tika izveidota lielā apjomā būtiski uzlabojot zemju kvalitāti un izmantošanas iespējas. Tomēr šobrīd šī sistēma ir būtiski novecojusi vai vietām vispār iznīcināta, tādēļ ir nepieciešams strādāt pie pasākumiem meliorācijas sistēmu atjaunošanas.</w:t>
      </w:r>
    </w:p>
    <w:p w14:paraId="5253A0B0" w14:textId="77777777" w:rsidR="00AC2049" w:rsidRDefault="00AC2049" w:rsidP="00AC2049">
      <w:pPr>
        <w:shd w:val="clear" w:color="auto" w:fill="E7E6E6" w:themeFill="background2"/>
        <w:spacing w:before="120" w:after="120" w:line="240" w:lineRule="auto"/>
        <w:rPr>
          <w:rFonts w:ascii="Calibri" w:hAnsi="Calibri" w:cs="Times New Roman"/>
          <w:b/>
          <w:i/>
          <w:sz w:val="22"/>
          <w:szCs w:val="24"/>
        </w:rPr>
      </w:pPr>
      <w:r>
        <w:rPr>
          <w:rFonts w:ascii="Calibri" w:hAnsi="Calibri" w:cs="Times New Roman"/>
          <w:b/>
          <w:i/>
          <w:sz w:val="28"/>
          <w:szCs w:val="28"/>
        </w:rPr>
        <w:t>Galvenais rīcības virziens</w:t>
      </w:r>
      <w:r>
        <w:rPr>
          <w:rFonts w:ascii="Calibri" w:hAnsi="Calibri" w:cs="Times New Roman"/>
          <w:b/>
          <w:i/>
          <w:szCs w:val="24"/>
        </w:rPr>
        <w:t xml:space="preserve"> (8 un 9. rīcības virziens)</w:t>
      </w:r>
    </w:p>
    <w:p w14:paraId="6D485B93" w14:textId="77777777" w:rsidR="00AC2049" w:rsidRDefault="00AC2049" w:rsidP="00AC2049">
      <w:pPr>
        <w:shd w:val="clear" w:color="auto" w:fill="E7E6E6" w:themeFill="background2"/>
        <w:spacing w:before="120" w:after="120" w:line="240" w:lineRule="auto"/>
        <w:rPr>
          <w:rFonts w:ascii="Calibri" w:hAnsi="Calibri" w:cs="Times New Roman"/>
          <w:b/>
          <w:szCs w:val="24"/>
          <w:u w:val="single"/>
        </w:rPr>
      </w:pPr>
      <w:r>
        <w:rPr>
          <w:rFonts w:ascii="Calibri" w:hAnsi="Calibri" w:cs="Times New Roman"/>
          <w:b/>
          <w:szCs w:val="24"/>
          <w:u w:val="single"/>
        </w:rPr>
        <w:t>Resursu efektīva izmantošana un SEG emisiju samazināšana lauksaimniecībā</w:t>
      </w:r>
    </w:p>
    <w:p w14:paraId="0BEDF5DD" w14:textId="77777777" w:rsidR="00AC2049" w:rsidRDefault="00AC2049" w:rsidP="00AC2049">
      <w:pPr>
        <w:shd w:val="clear" w:color="auto" w:fill="E7E6E6" w:themeFill="background2"/>
        <w:spacing w:before="120" w:after="120" w:line="240" w:lineRule="auto"/>
        <w:rPr>
          <w:rFonts w:ascii="Times New Roman" w:hAnsi="Times New Roman" w:cs="Times New Roman"/>
          <w:b/>
          <w:i/>
          <w:color w:val="FF0000"/>
          <w:szCs w:val="24"/>
          <w:u w:val="single"/>
        </w:rPr>
      </w:pPr>
      <w:bookmarkStart w:id="573" w:name="_Hlk19004603"/>
      <w:r>
        <w:rPr>
          <w:rFonts w:cstheme="minorHAnsi"/>
          <w:b/>
          <w:szCs w:val="24"/>
          <w:u w:val="single"/>
        </w:rPr>
        <w:t>Ilgtspējīga resursu izmantošana un SEG emisiju samazināšana un CO</w:t>
      </w:r>
      <w:r>
        <w:rPr>
          <w:rFonts w:cstheme="minorHAnsi"/>
          <w:b/>
          <w:szCs w:val="24"/>
          <w:u w:val="single"/>
          <w:vertAlign w:val="subscript"/>
        </w:rPr>
        <w:t>2</w:t>
      </w:r>
      <w:r>
        <w:rPr>
          <w:rFonts w:cstheme="minorHAnsi"/>
          <w:b/>
          <w:szCs w:val="24"/>
          <w:u w:val="single"/>
        </w:rPr>
        <w:t xml:space="preserve"> piesaistes palielināšana zemes izmantošanas, zemes izmantošanas maiņas un mežsaimniecības sektorā</w:t>
      </w:r>
      <w:bookmarkEnd w:id="573"/>
    </w:p>
    <w:bookmarkEnd w:id="572"/>
    <w:p w14:paraId="42FDE2A5" w14:textId="77777777" w:rsidR="00AC2049" w:rsidRDefault="00AC2049" w:rsidP="00AC2049">
      <w:pPr>
        <w:spacing w:before="120" w:after="120" w:line="240" w:lineRule="auto"/>
        <w:jc w:val="both"/>
        <w:rPr>
          <w:rFonts w:ascii="Calibri" w:hAnsi="Calibri" w:cs="Times New Roman"/>
          <w:b/>
          <w:i/>
          <w:sz w:val="28"/>
          <w:szCs w:val="28"/>
          <w:u w:val="single"/>
        </w:rPr>
      </w:pPr>
      <w:r>
        <w:rPr>
          <w:rFonts w:ascii="Calibri" w:hAnsi="Calibri" w:cs="Times New Roman"/>
          <w:b/>
          <w:i/>
          <w:sz w:val="28"/>
          <w:szCs w:val="28"/>
          <w:u w:val="single"/>
        </w:rPr>
        <w:t>Galvenās rīcības un pasākumi</w:t>
      </w:r>
    </w:p>
    <w:p w14:paraId="20ECB919" w14:textId="77777777" w:rsidR="00AC2049" w:rsidRDefault="00AC2049" w:rsidP="00AC2049">
      <w:pPr>
        <w:spacing w:before="120" w:after="120" w:line="240" w:lineRule="auto"/>
        <w:rPr>
          <w:rFonts w:cstheme="minorHAnsi"/>
          <w:szCs w:val="24"/>
          <w:u w:val="single"/>
        </w:rPr>
      </w:pPr>
      <w:r>
        <w:rPr>
          <w:rFonts w:cstheme="minorHAnsi"/>
          <w:szCs w:val="24"/>
          <w:u w:val="single"/>
        </w:rPr>
        <w:t>1) Efektīva mēslojuma lietošana un kūtsmēslu apsaimniekošanas sistēmas uzlabošana (H.2., 8.2., 8.3., 8.1. pasākums)</w:t>
      </w:r>
    </w:p>
    <w:p w14:paraId="3485AFCD" w14:textId="77777777" w:rsidR="00AC2049" w:rsidRDefault="00AC2049" w:rsidP="00AC2049">
      <w:pPr>
        <w:spacing w:before="120" w:after="120" w:line="240" w:lineRule="auto"/>
        <w:jc w:val="both"/>
        <w:rPr>
          <w:rFonts w:cstheme="minorHAnsi"/>
          <w:szCs w:val="24"/>
        </w:rPr>
      </w:pPr>
      <w:r>
        <w:rPr>
          <w:rFonts w:cstheme="minorHAnsi"/>
          <w:szCs w:val="24"/>
        </w:rPr>
        <w:t>Efektīva mēslojuma lietošana ir būtiska gan no augu ražības t.i. tautsaimnieciskā aspekta, gan arī vides aspekta. Barības elementu trūkums var samazināt augu augšanu un ražību, savukārt barības elementu pārpalikums var radīt ekonomiskos zaudējumus un vides piesārņojumu. Galvenais SEG emisiju samazinājums saistīts ar slāpekļa emisiju samazinājumu. Piemēram, precīza mēslojuma lietošana un mēslošanas plānošana samazina tiešās un netiešās N</w:t>
      </w:r>
      <w:r>
        <w:rPr>
          <w:rFonts w:cstheme="minorHAnsi"/>
          <w:szCs w:val="24"/>
          <w:vertAlign w:val="subscript"/>
        </w:rPr>
        <w:t>2</w:t>
      </w:r>
      <w:r>
        <w:rPr>
          <w:rFonts w:cstheme="minorHAnsi"/>
          <w:szCs w:val="24"/>
        </w:rPr>
        <w:t xml:space="preserve">O emisijas, pie nosacījuma, ja N patēriņš samazinās. Optimāli un sabalansēti augsnes kvalitātes rādītāji nodrošina labu auga attīstību, elementu uzņemšanu un ražību ar mazākām slāpekļa minerālmēslojuma normām. </w:t>
      </w:r>
    </w:p>
    <w:p w14:paraId="07B61C66" w14:textId="77777777" w:rsidR="00AC2049" w:rsidRDefault="00AC2049" w:rsidP="00AC2049">
      <w:pPr>
        <w:spacing w:before="120" w:after="120" w:line="240" w:lineRule="auto"/>
        <w:jc w:val="both"/>
        <w:rPr>
          <w:rFonts w:cstheme="minorHAnsi"/>
          <w:szCs w:val="24"/>
        </w:rPr>
      </w:pPr>
      <w:r>
        <w:rPr>
          <w:rFonts w:cstheme="minorHAnsi"/>
          <w:szCs w:val="24"/>
        </w:rPr>
        <w:t>Kūtsmēslu fermentācijas biogāzes reaktorā mērķis ir samazināt SEG emisijas līdz minimumam lielajās liellopu, cūku un putnkopības saimniecībās, nodrošinot efektīvu kūtsmēslu apsaimniekošanu un vērtīga mēslojuma ražošanu lauksaimniecības kūltūraugiem. Biogāzes izmantošanas ieguvumus visbiežāk skata enerģētikas kontekstā, tāpēc emisiju ieguvumi tiek ieskaitīti enerģijas ražošanas sektora rezultātos. Būtiskākais ir kūtsmēslu radīto emisiju samazinājums.</w:t>
      </w:r>
    </w:p>
    <w:p w14:paraId="706C2F1F" w14:textId="77777777" w:rsidR="00AC2049" w:rsidRDefault="00AC2049" w:rsidP="00AC2049">
      <w:pPr>
        <w:spacing w:before="120" w:after="120" w:line="240" w:lineRule="auto"/>
        <w:rPr>
          <w:rFonts w:cstheme="minorHAnsi"/>
          <w:szCs w:val="24"/>
          <w:u w:val="single"/>
        </w:rPr>
      </w:pPr>
      <w:r>
        <w:rPr>
          <w:rFonts w:cstheme="minorHAnsi"/>
          <w:szCs w:val="24"/>
          <w:u w:val="single"/>
        </w:rPr>
        <w:t xml:space="preserve">2) Augsnes auglības uzlabošana (8.7., 8.13., 8.8. pasākums) </w:t>
      </w:r>
    </w:p>
    <w:p w14:paraId="0158AFB4" w14:textId="77777777" w:rsidR="00AC2049" w:rsidRDefault="00AC2049" w:rsidP="00AC2049">
      <w:pPr>
        <w:spacing w:before="120" w:after="120" w:line="240" w:lineRule="auto"/>
        <w:jc w:val="both"/>
        <w:rPr>
          <w:rFonts w:cstheme="minorHAnsi"/>
          <w:szCs w:val="24"/>
        </w:rPr>
      </w:pPr>
      <w:r>
        <w:rPr>
          <w:rFonts w:cstheme="minorHAnsi"/>
          <w:szCs w:val="24"/>
        </w:rPr>
        <w:t>Augsnes auglības uzlabošanas pasākumi galvenokārt saistīti ar barības vielu izskalošanās samazināšanu. Uzlabota augsnes struktūra nodrošina labāku mēslojuma uzņemšanu un rada mazāku N noteci, tādejādi samazinot N</w:t>
      </w:r>
      <w:r>
        <w:rPr>
          <w:rFonts w:cstheme="minorHAnsi"/>
          <w:szCs w:val="24"/>
          <w:vertAlign w:val="subscript"/>
        </w:rPr>
        <w:t>2</w:t>
      </w:r>
      <w:r>
        <w:rPr>
          <w:rFonts w:cstheme="minorHAnsi"/>
          <w:szCs w:val="24"/>
        </w:rPr>
        <w:t>O emisijas. Meliorācijas sistēmu uzturēšanai ir kompleksa ietekme uz augsni un tās auglību. Gan pārmitra, gan pārāk sausa augsne ir nepiemērota kultūraugu audzēšanai. Pie optimāla ūdens daudzuma pieejamības, augu saknēm ir pieejams daudz vairāk skābekļa un netiek ietekmēta augsnē dzīvojošo organismu bioloģiskā daudzveidība.</w:t>
      </w:r>
      <w:r>
        <w:rPr>
          <w:rStyle w:val="FootnoteReference"/>
          <w:rFonts w:cstheme="minorHAnsi"/>
          <w:szCs w:val="24"/>
        </w:rPr>
        <w:footnoteReference w:id="191"/>
      </w:r>
    </w:p>
    <w:p w14:paraId="42592E2F" w14:textId="77777777" w:rsidR="00AC2049" w:rsidRDefault="00AC2049" w:rsidP="00AC2049">
      <w:pPr>
        <w:spacing w:before="120" w:after="120" w:line="240" w:lineRule="auto"/>
        <w:jc w:val="both"/>
        <w:rPr>
          <w:rFonts w:cstheme="minorHAnsi"/>
          <w:szCs w:val="24"/>
          <w:u w:val="single"/>
        </w:rPr>
      </w:pPr>
      <w:r>
        <w:rPr>
          <w:rFonts w:cstheme="minorHAnsi"/>
          <w:szCs w:val="24"/>
          <w:u w:val="single"/>
        </w:rPr>
        <w:t>3) Dzīvnieku ēdināšanas uzlabošana (8.5., 8.6. pasākums)</w:t>
      </w:r>
    </w:p>
    <w:p w14:paraId="724D97D7" w14:textId="77777777" w:rsidR="00AC2049" w:rsidRDefault="00AC2049" w:rsidP="00AC2049">
      <w:pPr>
        <w:spacing w:before="120" w:after="120" w:line="240" w:lineRule="auto"/>
        <w:jc w:val="both"/>
        <w:rPr>
          <w:rFonts w:cstheme="minorHAnsi"/>
          <w:szCs w:val="24"/>
        </w:rPr>
      </w:pPr>
      <w:r>
        <w:rPr>
          <w:rFonts w:cstheme="minorHAnsi"/>
          <w:szCs w:val="24"/>
        </w:rPr>
        <w:t>Pasaulē ir pazīstamas un tiek izmantotas dažādas metodes gan lopbarības sagremojamības rādītāju noteikšanai, gan dzīvnieku izdalīto gāzu apjoma noteikšanai un analīzei. Šādu pētījumu rezultāti dod iespēju atrast veidus metāna emisiju samazināšanai. Sabalansēta un dzīvnieku vajadzībām atbilstoša barība ietekmē N izdalīšanās ātrumu no kūtsmēsliem, kas pozitīvi ietekmē N</w:t>
      </w:r>
      <w:r>
        <w:rPr>
          <w:rFonts w:cstheme="minorHAnsi"/>
          <w:szCs w:val="24"/>
          <w:vertAlign w:val="subscript"/>
        </w:rPr>
        <w:t>2</w:t>
      </w:r>
      <w:r>
        <w:rPr>
          <w:rFonts w:cstheme="minorHAnsi"/>
          <w:szCs w:val="24"/>
        </w:rPr>
        <w:t>O emisiju samazinājumu. Savukārt uzlabojot barības kvalitāti palielinās barības sagremojamība un samazinās CH</w:t>
      </w:r>
      <w:r>
        <w:rPr>
          <w:rFonts w:cstheme="minorHAnsi"/>
          <w:szCs w:val="24"/>
          <w:vertAlign w:val="subscript"/>
        </w:rPr>
        <w:t>4</w:t>
      </w:r>
      <w:r>
        <w:rPr>
          <w:rFonts w:cstheme="minorHAnsi"/>
          <w:szCs w:val="24"/>
        </w:rPr>
        <w:t xml:space="preserve"> emisijas. </w:t>
      </w:r>
    </w:p>
    <w:p w14:paraId="25C70573" w14:textId="77777777" w:rsidR="00AC2049" w:rsidRDefault="00AC2049" w:rsidP="00AC2049">
      <w:pPr>
        <w:spacing w:before="120" w:after="120" w:line="240" w:lineRule="auto"/>
        <w:jc w:val="both"/>
        <w:rPr>
          <w:rFonts w:cstheme="minorHAnsi"/>
          <w:szCs w:val="24"/>
          <w:u w:val="single"/>
        </w:rPr>
      </w:pPr>
      <w:r>
        <w:rPr>
          <w:rFonts w:cstheme="minorHAnsi"/>
          <w:szCs w:val="24"/>
          <w:u w:val="single"/>
        </w:rPr>
        <w:t>4) Mežaudžu CO</w:t>
      </w:r>
      <w:r>
        <w:rPr>
          <w:rFonts w:cstheme="minorHAnsi"/>
          <w:szCs w:val="24"/>
          <w:u w:val="single"/>
          <w:vertAlign w:val="subscript"/>
        </w:rPr>
        <w:t>2</w:t>
      </w:r>
      <w:r>
        <w:rPr>
          <w:rFonts w:cstheme="minorHAnsi"/>
          <w:szCs w:val="24"/>
          <w:u w:val="single"/>
        </w:rPr>
        <w:t xml:space="preserve"> piesaistes uzlabošana (9.2., 9.3., 9.4., 9.5. un 9.6. pasākums)</w:t>
      </w:r>
    </w:p>
    <w:p w14:paraId="5F28C772" w14:textId="77777777" w:rsidR="00AC2049" w:rsidRDefault="00AC2049" w:rsidP="00AC2049">
      <w:pPr>
        <w:spacing w:before="120" w:after="120" w:line="240" w:lineRule="auto"/>
        <w:jc w:val="both"/>
        <w:rPr>
          <w:rFonts w:cstheme="minorHAnsi"/>
          <w:szCs w:val="24"/>
        </w:rPr>
      </w:pPr>
      <w:r>
        <w:rPr>
          <w:rFonts w:cstheme="minorHAnsi"/>
          <w:szCs w:val="24"/>
        </w:rPr>
        <w:t>Meži ir ievērojams CO</w:t>
      </w:r>
      <w:r>
        <w:rPr>
          <w:rFonts w:cstheme="minorHAnsi"/>
          <w:szCs w:val="24"/>
          <w:vertAlign w:val="subscript"/>
        </w:rPr>
        <w:t>2</w:t>
      </w:r>
      <w:r>
        <w:rPr>
          <w:rFonts w:cstheme="minorHAnsi"/>
          <w:szCs w:val="24"/>
        </w:rPr>
        <w:t xml:space="preserve"> piesaistītājs. Mežainuma un krājas pieauguma palielināšanās stabili un pozitīvi ietekmē oglekļa uzkrāšanos. </w:t>
      </w:r>
    </w:p>
    <w:p w14:paraId="3A7842DF" w14:textId="77777777" w:rsidR="00AC2049" w:rsidRDefault="00AC2049" w:rsidP="00AC2049">
      <w:pPr>
        <w:spacing w:before="120" w:after="120" w:line="240" w:lineRule="auto"/>
        <w:jc w:val="both"/>
        <w:rPr>
          <w:rFonts w:cstheme="minorHAnsi"/>
          <w:szCs w:val="24"/>
        </w:rPr>
      </w:pPr>
      <w:r>
        <w:rPr>
          <w:rFonts w:cstheme="minorHAnsi"/>
          <w:szCs w:val="24"/>
        </w:rPr>
        <w:t>Meža ieaudzēšana ir viens no efektīvākajiem pasākumiem CO</w:t>
      </w:r>
      <w:r>
        <w:rPr>
          <w:rFonts w:cstheme="minorHAnsi"/>
          <w:szCs w:val="24"/>
          <w:vertAlign w:val="subscript"/>
        </w:rPr>
        <w:t>2</w:t>
      </w:r>
      <w:r>
        <w:rPr>
          <w:rFonts w:cstheme="minorHAnsi"/>
          <w:szCs w:val="24"/>
        </w:rPr>
        <w:t xml:space="preserve"> piesaistes palielināšanai, jo apmežotajā teritorijā izveidojas 3 jaunas oglekļa krātuves- zemsega, dzīvā un nedzīvā biomasa un būtiski palielinās oglekļa krātuve. Arī ar kokiem dabiski aizaugušās platībās, kur koku biezība ir zema, ir iespējams panākt emisiju samazinājumu, papildinot apaugušās platības. Lai saglabātu klimata pārmaiņu mazinošo efektu ir nepieciešams veikt ieaudzēto audžu kopšanu. Jaunaudžu kopšana veicina mežaudžu noturības pret klimata pārmaiņām uzlabošanos un meža produktivitātes pieaugumu, kas palielina oglekļa piesaisti.</w:t>
      </w:r>
    </w:p>
    <w:p w14:paraId="32AA326A" w14:textId="77777777" w:rsidR="00AC2049" w:rsidRDefault="00AC2049" w:rsidP="00AC2049">
      <w:pPr>
        <w:spacing w:before="120" w:after="120" w:line="240" w:lineRule="auto"/>
        <w:jc w:val="both"/>
        <w:rPr>
          <w:rFonts w:cstheme="minorHAnsi"/>
          <w:szCs w:val="24"/>
        </w:rPr>
      </w:pPr>
      <w:r>
        <w:rPr>
          <w:rFonts w:cstheme="minorHAnsi"/>
          <w:szCs w:val="24"/>
        </w:rPr>
        <w:t>Neproduktīvu mežaudžu ar zemu oglekļa piesaisti nomaiņa, stādot augstvērtīgu meža stādāmo materiālu, un nodrošinot atbilstošu jaunaudžu kopšanu, dod iespēju palielināt audžu produktivitāti un oglekļa piesaisti par 20%.</w:t>
      </w:r>
    </w:p>
    <w:p w14:paraId="465CD856" w14:textId="77777777" w:rsidR="00AC2049" w:rsidRDefault="00AC2049" w:rsidP="00AC2049">
      <w:pPr>
        <w:spacing w:before="120" w:after="120" w:line="240" w:lineRule="auto"/>
        <w:jc w:val="both"/>
        <w:rPr>
          <w:rFonts w:cstheme="minorHAnsi"/>
          <w:szCs w:val="24"/>
        </w:rPr>
      </w:pPr>
      <w:r>
        <w:rPr>
          <w:rFonts w:cstheme="minorHAnsi"/>
          <w:szCs w:val="24"/>
        </w:rPr>
        <w:t>Pieaugot klimata pārmaiņu radīto dabas ekstrēmu (sausums, plūdi, vējgāzes, sniega un ledlauzes u.c.) biežumam palielinās dabas katastrofās iznīcinātu mežaudžu platības. Iznīcināto mežaudžu operatīva atjaunošana un kopšana stabilizē oglekļa piesaisti mežā.</w:t>
      </w:r>
    </w:p>
    <w:p w14:paraId="72E42E2F" w14:textId="77777777" w:rsidR="00AC2049" w:rsidRDefault="00AC2049" w:rsidP="00AC2049">
      <w:pPr>
        <w:spacing w:before="120" w:after="120" w:line="240" w:lineRule="auto"/>
        <w:jc w:val="both"/>
        <w:rPr>
          <w:rFonts w:cstheme="minorHAnsi"/>
          <w:szCs w:val="24"/>
        </w:rPr>
      </w:pPr>
      <w:r>
        <w:rPr>
          <w:rFonts w:cstheme="minorHAnsi"/>
          <w:szCs w:val="24"/>
        </w:rPr>
        <w:t>Savlaicīga jaunaudžu kopšana palielinās mežaudžu ražība un noturība pret klimata ekstrēmiem, tādējādi veicinot CO</w:t>
      </w:r>
      <w:r>
        <w:rPr>
          <w:rFonts w:cstheme="minorHAnsi"/>
          <w:szCs w:val="24"/>
          <w:vertAlign w:val="subscript"/>
        </w:rPr>
        <w:t>2</w:t>
      </w:r>
      <w:r>
        <w:rPr>
          <w:rFonts w:cstheme="minorHAnsi"/>
          <w:szCs w:val="24"/>
        </w:rPr>
        <w:t xml:space="preserve"> piesaisti.</w:t>
      </w:r>
    </w:p>
    <w:p w14:paraId="36CCC433" w14:textId="77777777" w:rsidR="00AC2049" w:rsidRDefault="00AC2049" w:rsidP="00AC2049">
      <w:pPr>
        <w:spacing w:before="120" w:after="120" w:line="240" w:lineRule="auto"/>
        <w:jc w:val="both"/>
        <w:rPr>
          <w:rFonts w:cstheme="minorHAnsi"/>
          <w:szCs w:val="24"/>
          <w:u w:val="single"/>
        </w:rPr>
      </w:pPr>
      <w:r>
        <w:rPr>
          <w:rFonts w:cstheme="minorHAnsi"/>
          <w:szCs w:val="24"/>
          <w:u w:val="single"/>
        </w:rPr>
        <w:t>5) Mežsaimniecisko zemju augsnes kvalitātes uzlabošana (9.7. pasākums)</w:t>
      </w:r>
    </w:p>
    <w:p w14:paraId="688FAD92" w14:textId="77777777" w:rsidR="00AC2049" w:rsidRDefault="00AC2049" w:rsidP="00AC2049">
      <w:pPr>
        <w:spacing w:before="120" w:after="120" w:line="240" w:lineRule="auto"/>
        <w:jc w:val="both"/>
        <w:rPr>
          <w:rFonts w:cstheme="minorHAnsi"/>
          <w:szCs w:val="24"/>
        </w:rPr>
      </w:pPr>
      <w:r>
        <w:rPr>
          <w:rFonts w:cstheme="minorHAnsi"/>
          <w:szCs w:val="24"/>
        </w:rPr>
        <w:t>Viens no augsnes kvalitāti ietekmējošajiem faktoriem ir augsnes mitrums. Lielākā daļa meliorācijas grāvju, kas vecāki par 25 gadiem, ir pilnībā vai daļēji zaudējuši savu funkcionalitāti. Teritorijās ar palielinātu ūdens daudzumu samazinās CO</w:t>
      </w:r>
      <w:r>
        <w:rPr>
          <w:rFonts w:cstheme="minorHAnsi"/>
          <w:szCs w:val="24"/>
          <w:vertAlign w:val="subscript"/>
        </w:rPr>
        <w:t>2</w:t>
      </w:r>
      <w:r>
        <w:rPr>
          <w:rFonts w:cstheme="minorHAnsi"/>
          <w:szCs w:val="24"/>
        </w:rPr>
        <w:t xml:space="preserve"> un N</w:t>
      </w:r>
      <w:r>
        <w:rPr>
          <w:rFonts w:cstheme="minorHAnsi"/>
          <w:szCs w:val="24"/>
          <w:vertAlign w:val="subscript"/>
        </w:rPr>
        <w:t>2</w:t>
      </w:r>
      <w:r>
        <w:rPr>
          <w:rFonts w:cstheme="minorHAnsi"/>
          <w:szCs w:val="24"/>
        </w:rPr>
        <w:t>O emisijas, bet būtiski pieaug CH</w:t>
      </w:r>
      <w:r>
        <w:rPr>
          <w:rFonts w:cstheme="minorHAnsi"/>
          <w:szCs w:val="24"/>
          <w:vertAlign w:val="subscript"/>
        </w:rPr>
        <w:t>4</w:t>
      </w:r>
      <w:r>
        <w:rPr>
          <w:rFonts w:cstheme="minorHAnsi"/>
          <w:szCs w:val="24"/>
        </w:rPr>
        <w:t xml:space="preserve"> emisijas. Meliorācija sistēmu ierīkošana palielina meža produktivitāti, līdz ar to arī SEG emisiju piesaisti. Augsnes kvalitāti var raksturot arī ar augiem pieejamo minerālu klātbūtni. Koksnes pelnu izmantošana meža augsnes ielabošanā izraisa strauju barības vielu elementu koncentrācijas pieaugumu augsnē. Tā kā veidojas lielāks dzīvās masas pieaugums, palielinās CO</w:t>
      </w:r>
      <w:r>
        <w:rPr>
          <w:rFonts w:cstheme="minorHAnsi"/>
          <w:szCs w:val="24"/>
          <w:vertAlign w:val="subscript"/>
        </w:rPr>
        <w:t>2</w:t>
      </w:r>
      <w:r>
        <w:rPr>
          <w:rFonts w:cstheme="minorHAnsi"/>
          <w:szCs w:val="24"/>
        </w:rPr>
        <w:t xml:space="preserve"> piesaiste</w:t>
      </w:r>
      <w:r>
        <w:rPr>
          <w:rStyle w:val="FootnoteReference"/>
          <w:rFonts w:cstheme="minorHAnsi"/>
          <w:szCs w:val="24"/>
        </w:rPr>
        <w:footnoteReference w:id="192"/>
      </w:r>
      <w:r>
        <w:rPr>
          <w:rFonts w:cstheme="minorHAnsi"/>
          <w:szCs w:val="24"/>
        </w:rPr>
        <w:t>.</w:t>
      </w:r>
    </w:p>
    <w:p w14:paraId="6B029A18" w14:textId="77777777" w:rsidR="00AC2049" w:rsidRDefault="00AC2049" w:rsidP="00AC2049">
      <w:pPr>
        <w:spacing w:before="120" w:after="120" w:line="240" w:lineRule="auto"/>
        <w:jc w:val="both"/>
        <w:rPr>
          <w:rFonts w:ascii="Calibri" w:hAnsi="Calibri" w:cs="Times New Roman"/>
          <w:b/>
          <w:i/>
          <w:sz w:val="28"/>
          <w:szCs w:val="28"/>
          <w:u w:val="single"/>
        </w:rPr>
      </w:pPr>
      <w:r>
        <w:rPr>
          <w:rFonts w:ascii="Calibri" w:hAnsi="Calibri" w:cs="Times New Roman"/>
          <w:b/>
          <w:i/>
          <w:sz w:val="28"/>
          <w:szCs w:val="28"/>
          <w:u w:val="single"/>
        </w:rPr>
        <w:t>Reģionālā sadarbība</w:t>
      </w:r>
    </w:p>
    <w:p w14:paraId="5DDE85AD" w14:textId="77777777" w:rsidR="00AC2049" w:rsidRDefault="00AC2049" w:rsidP="00AC2049">
      <w:pPr>
        <w:spacing w:before="120" w:after="120" w:line="240" w:lineRule="auto"/>
        <w:jc w:val="both"/>
        <w:rPr>
          <w:rFonts w:cstheme="minorHAnsi"/>
          <w:szCs w:val="24"/>
        </w:rPr>
      </w:pPr>
      <w:r>
        <w:rPr>
          <w:rFonts w:cstheme="minorHAnsi"/>
          <w:szCs w:val="24"/>
        </w:rPr>
        <w:t>Ņemot vērā to, ka lauksaimniecības un mežsaimniecības darbībām izmantojamās teritorijas var būt pārrobežu teritorijas, ir nepieciešams nodrošināt reģionālo sadarbību attiecībā uz šādās teritorijās veicamajiem pasākumiem, piemēram, meliorācijas pasākumiem, augsnes kvalitātes uzlabošanas pasākumiem. Tāpat lauksaimniecības SEG emisiju samazināšanas darbību reģionālā sadarbība tiek veikta Direktīvas 91/676/EEK</w:t>
      </w:r>
      <w:r>
        <w:rPr>
          <w:rStyle w:val="FootnoteReference"/>
          <w:rFonts w:cstheme="minorHAnsi"/>
          <w:szCs w:val="24"/>
        </w:rPr>
        <w:footnoteReference w:id="193"/>
      </w:r>
      <w:r>
        <w:rPr>
          <w:rFonts w:cstheme="minorHAnsi"/>
          <w:szCs w:val="24"/>
        </w:rPr>
        <w:t xml:space="preserve"> (attiecībā uz slāpekļa emisijām) vai Gaisa piesārņojuma samazināšanas rīcības plāna (attiecībā uz amonjaka emisijām) ietvaros.</w:t>
      </w:r>
    </w:p>
    <w:p w14:paraId="1FFACDE9" w14:textId="77777777" w:rsidR="00AC2049" w:rsidRDefault="00AC2049" w:rsidP="00AC2049">
      <w:pPr>
        <w:shd w:val="clear" w:color="auto" w:fill="E7E6E6" w:themeFill="background2"/>
        <w:spacing w:before="120" w:after="120" w:line="240" w:lineRule="auto"/>
        <w:jc w:val="both"/>
        <w:rPr>
          <w:rFonts w:ascii="Calibri" w:hAnsi="Calibri" w:cs="Times New Roman"/>
          <w:b/>
          <w:i/>
          <w:sz w:val="28"/>
          <w:szCs w:val="28"/>
        </w:rPr>
      </w:pPr>
      <w:r>
        <w:rPr>
          <w:rFonts w:ascii="Calibri" w:hAnsi="Calibri" w:cs="Times New Roman"/>
          <w:b/>
          <w:i/>
          <w:sz w:val="28"/>
          <w:szCs w:val="28"/>
        </w:rPr>
        <w:t>Saistītie rīcības virzieni</w:t>
      </w:r>
    </w:p>
    <w:p w14:paraId="73BA19D1" w14:textId="77777777" w:rsidR="00AC2049" w:rsidRDefault="00AC2049" w:rsidP="00AC204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1) Ne-emisiju tehnoloģiju izmantošanas veicināšana elektroenerģijas ražošanā (3. rīcības virziens)- ieviešot papildus pasākumus biogāzes ražošanas veicināšanai, infrastruktūras attīstībai,  attīrīšanai līdz biometānam un izmantošanai, kā arī rodot konceptuālus risinājumus vēja elektrostaciju būvniecībai meža un lauksaimniecības zemēs;</w:t>
      </w:r>
    </w:p>
    <w:p w14:paraId="457D4D47" w14:textId="0A01D95F" w:rsidR="00AC2049" w:rsidRDefault="00AC2049" w:rsidP="00AC204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2) Enerģētiskā drošība</w:t>
      </w:r>
      <w:r w:rsidR="001E6837">
        <w:rPr>
          <w:rFonts w:ascii="Calibri" w:hAnsi="Calibri" w:cs="Times New Roman"/>
          <w:bCs/>
          <w:iCs/>
          <w:szCs w:val="24"/>
        </w:rPr>
        <w:t>, enerģētiskās atkarības samazināšana</w:t>
      </w:r>
      <w:r>
        <w:rPr>
          <w:rFonts w:ascii="Calibri" w:hAnsi="Calibri" w:cs="Times New Roman"/>
          <w:bCs/>
          <w:iCs/>
          <w:szCs w:val="24"/>
        </w:rPr>
        <w:t>, pilnīga enerģijas tirgu integrācija, infrastruktūras modernizācija (6. rīcības virziens), jo pasākumi (vēja elektrostaciju būvniecība meža un lauksaimniecības zemēs) elektroenerģijas infrastruktūras uzlabošanā veicina elektrotransportlīdzekļu izmantošanas pievilcīgumu.</w:t>
      </w:r>
    </w:p>
    <w:p w14:paraId="730A7B6D" w14:textId="77777777" w:rsidR="00AC2049" w:rsidRDefault="00AC2049" w:rsidP="00AC2049">
      <w:pPr>
        <w:shd w:val="clear" w:color="auto" w:fill="E7E6E6" w:themeFill="background2"/>
        <w:spacing w:before="120" w:after="120" w:line="240" w:lineRule="auto"/>
        <w:jc w:val="both"/>
        <w:rPr>
          <w:rFonts w:ascii="Calibri" w:hAnsi="Calibri" w:cs="Times New Roman"/>
          <w:bCs/>
          <w:iCs/>
          <w:szCs w:val="24"/>
        </w:rPr>
      </w:pPr>
      <w:r>
        <w:rPr>
          <w:rFonts w:ascii="Calibri" w:hAnsi="Calibri" w:cs="Times New Roman"/>
          <w:bCs/>
          <w:iCs/>
          <w:szCs w:val="24"/>
        </w:rPr>
        <w:t>3) Nodokļu sistēmas “zaļināšana” un pievilcīguma energoefektivitātei un AER tehnoloģijām uzlabošana (11. rīcības virziens), attiecībā uz nodokļu politikas pamatnostādņu pārskatīšanu, nosakot samazinātu akcīzes nodokļa likmi (attiecībā pret benzīna un dīzeļdegvielas likmi) citām alternatīvajām degvielām, izvērtējot to ražošanas izmaksas</w:t>
      </w:r>
    </w:p>
    <w:p w14:paraId="742DEE3E" w14:textId="05968A9E" w:rsidR="00AC2049" w:rsidRDefault="00AC2049" w:rsidP="00AC2049">
      <w:pPr>
        <w:shd w:val="clear" w:color="auto" w:fill="E7E6E6" w:themeFill="background2"/>
        <w:spacing w:before="120" w:after="120" w:line="240" w:lineRule="auto"/>
        <w:rPr>
          <w:rFonts w:ascii="Calibri" w:hAnsi="Calibri" w:cs="Times New Roman"/>
          <w:szCs w:val="24"/>
        </w:rPr>
      </w:pPr>
      <w:r w:rsidRPr="0083767D">
        <w:rPr>
          <w:rFonts w:cstheme="minorHAnsi"/>
          <w:noProof/>
          <w:lang w:eastAsia="lv-LV"/>
        </w:rPr>
        <mc:AlternateContent>
          <mc:Choice Requires="wps">
            <w:drawing>
              <wp:anchor distT="0" distB="0" distL="114300" distR="114300" simplePos="0" relativeHeight="251680768" behindDoc="0" locked="0" layoutInCell="1" allowOverlap="1" wp14:anchorId="58F84C6A" wp14:editId="02A5CD9B">
                <wp:simplePos x="0" y="0"/>
                <wp:positionH relativeFrom="margin">
                  <wp:align>left</wp:align>
                </wp:positionH>
                <wp:positionV relativeFrom="paragraph">
                  <wp:posOffset>293370</wp:posOffset>
                </wp:positionV>
                <wp:extent cx="5779135" cy="465455"/>
                <wp:effectExtent l="0" t="0" r="0" b="0"/>
                <wp:wrapSquare wrapText="bothSides"/>
                <wp:docPr id="35" name="Rectangle: Single Corner Snipped 35"/>
                <wp:cNvGraphicFramePr/>
                <a:graphic xmlns:a="http://schemas.openxmlformats.org/drawingml/2006/main">
                  <a:graphicData uri="http://schemas.microsoft.com/office/word/2010/wordprocessingShape">
                    <wps:wsp>
                      <wps:cNvSpPr/>
                      <wps:spPr>
                        <a:xfrm>
                          <a:off x="0" y="0"/>
                          <a:ext cx="5779135" cy="465455"/>
                        </a:xfrm>
                        <a:prstGeom prst="snip1Rect">
                          <a:avLst/>
                        </a:prstGeom>
                        <a:solidFill>
                          <a:schemeClr val="tx2">
                            <a:lumMod val="75000"/>
                          </a:schemeClr>
                        </a:solidFill>
                        <a:ln>
                          <a:noFill/>
                        </a:ln>
                      </wps:spPr>
                      <wps:style>
                        <a:lnRef idx="2">
                          <a:schemeClr val="accent2"/>
                        </a:lnRef>
                        <a:fillRef idx="1">
                          <a:schemeClr val="lt1"/>
                        </a:fillRef>
                        <a:effectRef idx="0">
                          <a:schemeClr val="accent2"/>
                        </a:effectRef>
                        <a:fontRef idx="minor">
                          <a:schemeClr val="dk1"/>
                        </a:fontRef>
                      </wps:style>
                      <wps:txbx>
                        <w:txbxContent>
                          <w:p w14:paraId="19A03FEC" w14:textId="36138C7A" w:rsidR="007A7EAC" w:rsidRPr="0007326F" w:rsidRDefault="007A7EAC" w:rsidP="0007326F">
                            <w:pPr>
                              <w:pStyle w:val="Heading2"/>
                              <w:numPr>
                                <w:ilvl w:val="1"/>
                                <w:numId w:val="66"/>
                              </w:numPr>
                              <w:spacing w:before="0" w:after="0"/>
                              <w:ind w:left="993" w:hanging="993"/>
                              <w:jc w:val="center"/>
                              <w:rPr>
                                <w:color w:val="FFFFFF" w:themeColor="background1"/>
                                <w:sz w:val="40"/>
                                <w:szCs w:val="40"/>
                              </w:rPr>
                            </w:pPr>
                            <w:bookmarkStart w:id="574" w:name="_Toc24408065"/>
                            <w:bookmarkStart w:id="575" w:name="_Toc24408124"/>
                            <w:r w:rsidRPr="0007326F">
                              <w:rPr>
                                <w:color w:val="FFFFFF" w:themeColor="background1"/>
                                <w:sz w:val="40"/>
                                <w:szCs w:val="40"/>
                              </w:rPr>
                              <w:t>Fluorēto SEG (F-gāzu) izmantošana</w:t>
                            </w:r>
                            <w:bookmarkEnd w:id="574"/>
                            <w:bookmarkEnd w:id="57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84C6A" id="Rectangle: Single Corner Snipped 35" o:spid="_x0000_s1038" style="position:absolute;margin-left:0;margin-top:23.1pt;width:455.05pt;height:36.6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79135,465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" adj="-11796480,,5400" path="m,l5701558,r77577,77577l5779135,465455,,465455,,xe" fillcolor="#323e4f [2415]" stroked="f" strokeweight="1pt">
                <v:stroke joinstyle="miter"/>
                <v:formulas/>
                <v:path arrowok="t" o:connecttype="custom" o:connectlocs="0,0;5701558,0;5779135,77577;5779135,465455;0,465455;0,0" o:connectangles="0,0,0,0,0,0" textboxrect="0,0,5779135,465455"/>
                <v:textbox>
                  <w:txbxContent>
                    <w:p w14:paraId="19A03FEC" w14:textId="36138C7A" w:rsidR="007A7EAC" w:rsidRPr="0007326F" w:rsidRDefault="007A7EAC" w:rsidP="0007326F">
                      <w:pPr>
                        <w:pStyle w:val="Heading2"/>
                        <w:numPr>
                          <w:ilvl w:val="1"/>
                          <w:numId w:val="66"/>
                        </w:numPr>
                        <w:spacing w:before="0" w:after="0"/>
                        <w:ind w:left="993" w:hanging="993"/>
                        <w:jc w:val="center"/>
                        <w:rPr>
                          <w:color w:val="FFFFFF" w:themeColor="background1"/>
                          <w:sz w:val="40"/>
                          <w:szCs w:val="40"/>
                        </w:rPr>
                      </w:pPr>
                      <w:bookmarkStart w:id="600" w:name="_Toc24408065"/>
                      <w:bookmarkStart w:id="601" w:name="_Toc24408124"/>
                      <w:r w:rsidRPr="0007326F">
                        <w:rPr>
                          <w:color w:val="FFFFFF" w:themeColor="background1"/>
                          <w:sz w:val="40"/>
                          <w:szCs w:val="40"/>
                        </w:rPr>
                        <w:t>Fluorēto SEG (F-gāzu) izmantošana</w:t>
                      </w:r>
                      <w:bookmarkEnd w:id="600"/>
                      <w:bookmarkEnd w:id="601"/>
                    </w:p>
                  </w:txbxContent>
                </v:textbox>
                <w10:wrap type="square" anchorx="margin"/>
              </v:shape>
            </w:pict>
          </mc:Fallback>
        </mc:AlternateContent>
      </w:r>
      <w:r>
        <w:rPr>
          <w:rFonts w:ascii="Calibri" w:hAnsi="Calibri" w:cs="Times New Roman"/>
          <w:bCs/>
          <w:iCs/>
          <w:szCs w:val="24"/>
        </w:rPr>
        <w:t>4) Sabiedrības informēšana, izglītošana un izpratnes veicināšana (12. rīcības virziens).</w:t>
      </w:r>
    </w:p>
    <w:p w14:paraId="0BD01404" w14:textId="0585AA27" w:rsidR="00B75C0D" w:rsidRPr="0083767D" w:rsidRDefault="00B75C0D" w:rsidP="00B75C0D">
      <w:pPr>
        <w:spacing w:before="120" w:after="120" w:line="240" w:lineRule="auto"/>
        <w:rPr>
          <w:rFonts w:cstheme="minorHAnsi"/>
          <w:b/>
          <w:i/>
          <w:sz w:val="28"/>
          <w:szCs w:val="28"/>
          <w:u w:val="single"/>
        </w:rPr>
      </w:pPr>
      <w:r w:rsidRPr="0083767D">
        <w:rPr>
          <w:rFonts w:cstheme="minorHAnsi"/>
          <w:b/>
          <w:i/>
          <w:sz w:val="28"/>
          <w:szCs w:val="28"/>
          <w:u w:val="single"/>
        </w:rPr>
        <w:t>Esošā situācija</w:t>
      </w:r>
    </w:p>
    <w:p w14:paraId="489CA6F5" w14:textId="77777777" w:rsidR="00B75C0D" w:rsidRPr="0083767D" w:rsidRDefault="00B75C0D" w:rsidP="00D91B2F">
      <w:pPr>
        <w:pStyle w:val="Default"/>
        <w:spacing w:before="120" w:after="120"/>
        <w:jc w:val="both"/>
        <w:rPr>
          <w:rFonts w:asciiTheme="minorHAnsi" w:hAnsiTheme="minorHAnsi" w:cstheme="minorHAnsi"/>
          <w:color w:val="auto"/>
        </w:rPr>
      </w:pPr>
      <w:r w:rsidRPr="0083767D">
        <w:rPr>
          <w:rFonts w:asciiTheme="minorHAnsi" w:hAnsiTheme="minorHAnsi" w:cstheme="minorHAnsi"/>
          <w:color w:val="auto"/>
        </w:rPr>
        <w:t>Lai arī mazāk pazīstamas nekā CO</w:t>
      </w:r>
      <w:r w:rsidRPr="0083767D">
        <w:rPr>
          <w:rFonts w:asciiTheme="minorHAnsi" w:hAnsiTheme="minorHAnsi" w:cstheme="minorHAnsi"/>
          <w:color w:val="auto"/>
          <w:vertAlign w:val="subscript"/>
        </w:rPr>
        <w:t>2</w:t>
      </w:r>
      <w:r w:rsidRPr="0083767D">
        <w:rPr>
          <w:rFonts w:asciiTheme="minorHAnsi" w:hAnsiTheme="minorHAnsi" w:cstheme="minorHAnsi"/>
          <w:color w:val="auto"/>
        </w:rPr>
        <w:t xml:space="preserve">, F-gāzes spēcīgi veicina globālo sasilšanu un daudzas no tām ļoti ilgstoši saglabājas atmosfērā - līdz pat 50 000 gadiem. </w:t>
      </w:r>
      <w:r w:rsidRPr="0083767D">
        <w:rPr>
          <w:rFonts w:asciiTheme="minorHAnsi" w:hAnsiTheme="minorHAnsi" w:cstheme="minorHAnsi"/>
        </w:rPr>
        <w:t>Galvenais F-gāzu emisiju pieauguma iemesls ir ozona slāni noārdošo vielu (OSNV) aizstāšana, kas aizsākās deviņdesmitajos gados, jo F-gāzes uzskatīja par videi draudzīgākām nekā OSNV.</w:t>
      </w:r>
    </w:p>
    <w:p w14:paraId="3CBDE61D" w14:textId="77777777" w:rsidR="00B75C0D" w:rsidRPr="0083767D" w:rsidRDefault="00B75C0D" w:rsidP="00D91B2F">
      <w:pPr>
        <w:tabs>
          <w:tab w:val="left" w:pos="6833"/>
        </w:tabs>
        <w:spacing w:before="120" w:after="120" w:line="240" w:lineRule="auto"/>
        <w:jc w:val="both"/>
        <w:rPr>
          <w:rFonts w:cstheme="minorHAnsi"/>
          <w:szCs w:val="24"/>
        </w:rPr>
      </w:pPr>
      <w:r w:rsidRPr="0083767D">
        <w:rPr>
          <w:rFonts w:cstheme="minorHAnsi"/>
          <w:szCs w:val="24"/>
        </w:rPr>
        <w:t>Fluorētās SEG (fluorogļūdeņraži (HFC) un sēra heksafluorīds (SF</w:t>
      </w:r>
      <w:r w:rsidRPr="0083767D">
        <w:rPr>
          <w:rFonts w:cstheme="minorHAnsi"/>
          <w:szCs w:val="24"/>
          <w:vertAlign w:val="subscript"/>
        </w:rPr>
        <w:t>6</w:t>
      </w:r>
      <w:r w:rsidRPr="0083767D">
        <w:rPr>
          <w:rFonts w:cstheme="minorHAnsi"/>
          <w:szCs w:val="24"/>
        </w:rPr>
        <w:t xml:space="preserve">)) rodas rūpniecisko procesu un produktu izmantošanas sektorā. OSNV aizvietošanai izmantoto produktu apakšsektors (ietver F-gāzu izmantošanu dzesēšanas iekārtās un gaisa kondicionieros, celtniecības putās, stacionārajā ugunsdrošības aprīkojumā un  aerosolos) veido </w:t>
      </w:r>
      <w:r w:rsidRPr="0083767D">
        <w:rPr>
          <w:rFonts w:cstheme="minorHAnsi"/>
          <w:b/>
          <w:szCs w:val="24"/>
        </w:rPr>
        <w:t>32.0% no kopējām rūpniecisko procesu</w:t>
      </w:r>
      <w:r w:rsidRPr="0083767D">
        <w:rPr>
          <w:rFonts w:cstheme="minorHAnsi"/>
          <w:szCs w:val="24"/>
        </w:rPr>
        <w:t xml:space="preserve"> </w:t>
      </w:r>
      <w:r w:rsidRPr="0083767D">
        <w:rPr>
          <w:rFonts w:cstheme="minorHAnsi"/>
          <w:b/>
          <w:szCs w:val="24"/>
        </w:rPr>
        <w:t>un produktu izmantošanas sektora</w:t>
      </w:r>
      <w:r w:rsidRPr="0083767D">
        <w:rPr>
          <w:rFonts w:cstheme="minorHAnsi"/>
          <w:szCs w:val="24"/>
        </w:rPr>
        <w:t xml:space="preserve"> </w:t>
      </w:r>
      <w:r w:rsidRPr="0083767D">
        <w:rPr>
          <w:rFonts w:cstheme="minorHAnsi"/>
          <w:b/>
          <w:szCs w:val="24"/>
        </w:rPr>
        <w:t>emisijām</w:t>
      </w:r>
      <w:r w:rsidRPr="0083767D">
        <w:rPr>
          <w:rFonts w:cstheme="minorHAnsi"/>
          <w:szCs w:val="24"/>
        </w:rPr>
        <w:t xml:space="preserve"> un </w:t>
      </w:r>
      <w:r w:rsidRPr="0083767D">
        <w:rPr>
          <w:rFonts w:cstheme="minorHAnsi"/>
          <w:b/>
          <w:szCs w:val="24"/>
        </w:rPr>
        <w:t>2.1% no Latvijas kopējām SEG emisijām</w:t>
      </w:r>
      <w:r w:rsidRPr="0083767D">
        <w:rPr>
          <w:rFonts w:cstheme="minorHAnsi"/>
          <w:szCs w:val="24"/>
        </w:rPr>
        <w:t xml:space="preserve"> 2017.gadā.</w:t>
      </w:r>
      <w:r w:rsidRPr="0083767D">
        <w:rPr>
          <w:rFonts w:cstheme="minorHAnsi"/>
          <w:szCs w:val="24"/>
          <w:shd w:val="clear" w:color="auto" w:fill="FFFFFF"/>
        </w:rPr>
        <w:t xml:space="preserve"> Salīdzinot ar 2005.gadu, F-gāzu emisijas 2017.gadā ir pieaugušas par 317.2%. Šo gāzu lietojums iekārtās galvenokārt ir atkarīgs no to importētā daudzuma valstī. Importu savukārt ietekmē valsts ekonomiskā situācija, kuras uzlabošanās ir novedusi pie strauja F-gāzu emisiju pieauguma it īpaši pēdējos gados. Galvenais emisiju pieauguma iemesls ir OSNV aizstāšana ar F-gāzēm </w:t>
      </w:r>
      <w:r w:rsidRPr="0083767D">
        <w:rPr>
          <w:rFonts w:cstheme="minorHAnsi"/>
          <w:b/>
          <w:szCs w:val="24"/>
          <w:shd w:val="clear" w:color="auto" w:fill="FFFFFF"/>
        </w:rPr>
        <w:t>dzesēšanas un gaisa kondicionēšanas iekārtās</w:t>
      </w:r>
      <w:r w:rsidRPr="0083767D">
        <w:rPr>
          <w:rFonts w:cstheme="minorHAnsi"/>
          <w:szCs w:val="24"/>
          <w:shd w:val="clear" w:color="auto" w:fill="FFFFFF"/>
        </w:rPr>
        <w:t xml:space="preserve">, kurš ir </w:t>
      </w:r>
      <w:r w:rsidRPr="0083767D">
        <w:rPr>
          <w:rFonts w:cstheme="minorHAnsi"/>
          <w:szCs w:val="24"/>
        </w:rPr>
        <w:t>galvenais F-gāzu emisiju apakšsektors radot 93.7% no visām F-gāzu emisijām Latvijā 2017.gadā.</w:t>
      </w:r>
      <w:r w:rsidRPr="0083767D">
        <w:rPr>
          <w:rStyle w:val="FootnoteReference"/>
          <w:rFonts w:cstheme="minorHAnsi"/>
        </w:rPr>
        <w:footnoteReference w:id="194"/>
      </w:r>
      <w:r w:rsidRPr="0083767D">
        <w:rPr>
          <w:rFonts w:cstheme="minorHAnsi"/>
        </w:rPr>
        <w:t xml:space="preserve"> </w:t>
      </w:r>
      <w:r w:rsidRPr="0083767D">
        <w:rPr>
          <w:rFonts w:cstheme="minorHAnsi"/>
          <w:szCs w:val="24"/>
        </w:rPr>
        <w:t>Līdz ar to ir secināms, ka tieši šis apakšsektors ir galvenais, kurā ir nepieciešams veikt būtiskus pasākumus.</w:t>
      </w:r>
    </w:p>
    <w:p w14:paraId="5C31A998" w14:textId="77777777" w:rsidR="00B75C0D" w:rsidRPr="0083767D" w:rsidRDefault="00B75C0D" w:rsidP="00D91B2F">
      <w:pPr>
        <w:shd w:val="clear" w:color="auto" w:fill="E7E6E6" w:themeFill="background2"/>
        <w:spacing w:before="120" w:after="120" w:line="240" w:lineRule="auto"/>
        <w:jc w:val="both"/>
        <w:rPr>
          <w:rFonts w:cstheme="minorHAnsi"/>
          <w:b/>
          <w:sz w:val="28"/>
          <w:szCs w:val="28"/>
          <w:u w:val="single"/>
        </w:rPr>
      </w:pPr>
      <w:r w:rsidRPr="0083767D">
        <w:rPr>
          <w:rFonts w:cstheme="minorHAnsi"/>
          <w:b/>
          <w:sz w:val="28"/>
          <w:szCs w:val="28"/>
          <w:u w:val="single"/>
        </w:rPr>
        <w:t>Vēlamā situācija 2030.gadā:</w:t>
      </w:r>
    </w:p>
    <w:p w14:paraId="78441BDC" w14:textId="77777777" w:rsidR="00B75C0D" w:rsidRPr="0083767D"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83767D">
        <w:rPr>
          <w:rFonts w:cstheme="minorHAnsi"/>
          <w:i/>
          <w:szCs w:val="24"/>
        </w:rPr>
        <w:t>sabiedrība izprot F-gāzu nozīmību saistībā ar klimata pārmaiņām;</w:t>
      </w:r>
    </w:p>
    <w:p w14:paraId="67EDB97C" w14:textId="77777777" w:rsidR="00B75C0D" w:rsidRPr="0083767D"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83767D">
        <w:rPr>
          <w:rFonts w:cstheme="minorHAnsi"/>
          <w:i/>
          <w:szCs w:val="24"/>
        </w:rPr>
        <w:t>negodīgo uzņēmēju skaits ir samazinājies, jo uzlabots kontrolējošo iestāžu tehniskais aprīkojums;</w:t>
      </w:r>
    </w:p>
    <w:p w14:paraId="25F1BFE9" w14:textId="77777777" w:rsidR="00B75C0D" w:rsidRPr="0083767D"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83767D">
        <w:rPr>
          <w:rFonts w:cstheme="minorHAnsi"/>
          <w:i/>
          <w:szCs w:val="24"/>
        </w:rPr>
        <w:t>kontrolējošās iestādes pilnvērtīgi veic kontroli un spēj izskaidrot uzņēmējiem sekas;</w:t>
      </w:r>
    </w:p>
    <w:p w14:paraId="465C1CC5" w14:textId="77777777" w:rsidR="00B75C0D" w:rsidRPr="0083767D"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83767D">
        <w:rPr>
          <w:rFonts w:cstheme="minorHAnsi"/>
          <w:i/>
          <w:szCs w:val="24"/>
        </w:rPr>
        <w:t>uzņēmēji ir informēti par F-gāzu izmantošanas samazināšanu starptautisko saistību ietvaros un aktīvi meklē un pielieto efektivitātes ziņā līdzīgas alternatīvas ar mazāku globālās sasilšanas potenciālu;</w:t>
      </w:r>
    </w:p>
    <w:p w14:paraId="56C88436" w14:textId="77777777" w:rsidR="00B75C0D" w:rsidRPr="0083767D"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83767D">
        <w:rPr>
          <w:rFonts w:cstheme="minorHAnsi"/>
          <w:i/>
          <w:szCs w:val="24"/>
        </w:rPr>
        <w:t>darbību ar F-gāzēm veicējiem ir motivācija kvalificēties, jo viņi zina, ka tos pastiprināti pārbauda;</w:t>
      </w:r>
    </w:p>
    <w:p w14:paraId="6584F2DE" w14:textId="77777777" w:rsidR="00B75C0D" w:rsidRPr="0083767D" w:rsidRDefault="00B75C0D" w:rsidP="00287C99">
      <w:pPr>
        <w:pStyle w:val="ListParagraph"/>
        <w:numPr>
          <w:ilvl w:val="0"/>
          <w:numId w:val="52"/>
        </w:numPr>
        <w:shd w:val="clear" w:color="auto" w:fill="E7E6E6" w:themeFill="background2"/>
        <w:spacing w:before="120" w:after="120" w:line="240" w:lineRule="auto"/>
        <w:contextualSpacing w:val="0"/>
        <w:jc w:val="both"/>
        <w:rPr>
          <w:rFonts w:cstheme="minorHAnsi"/>
          <w:i/>
          <w:szCs w:val="24"/>
        </w:rPr>
      </w:pPr>
      <w:r w:rsidRPr="0083767D">
        <w:rPr>
          <w:rFonts w:cstheme="minorHAnsi"/>
          <w:i/>
          <w:szCs w:val="24"/>
        </w:rPr>
        <w:t>izveidots Baltijas mēroga sadarbības tīkls, kurā notiek regulāra dalīšanās ar labo praksi un izaicinājumiem F-gāzu importa un darbību kontroles jomā.</w:t>
      </w:r>
    </w:p>
    <w:p w14:paraId="38661407" w14:textId="77777777" w:rsidR="00B75C0D" w:rsidRPr="0083767D" w:rsidRDefault="00B75C0D" w:rsidP="00D91B2F">
      <w:pPr>
        <w:shd w:val="clear" w:color="auto" w:fill="E7E6E6" w:themeFill="background2"/>
        <w:spacing w:before="120" w:after="120" w:line="240" w:lineRule="auto"/>
        <w:jc w:val="both"/>
        <w:rPr>
          <w:rFonts w:cstheme="minorHAnsi"/>
          <w:b/>
          <w:sz w:val="28"/>
          <w:szCs w:val="28"/>
          <w:u w:val="single"/>
        </w:rPr>
      </w:pPr>
      <w:r w:rsidRPr="0083767D">
        <w:rPr>
          <w:rFonts w:cstheme="minorHAnsi"/>
          <w:b/>
          <w:sz w:val="28"/>
          <w:szCs w:val="28"/>
          <w:u w:val="single"/>
        </w:rPr>
        <w:t>Ieguvumi sabiedrībai un tautsaimniecībai:</w:t>
      </w:r>
    </w:p>
    <w:p w14:paraId="3F1B212B" w14:textId="77777777" w:rsidR="00B75C0D" w:rsidRPr="0083767D" w:rsidRDefault="00B75C0D" w:rsidP="00D91B2F">
      <w:pPr>
        <w:pStyle w:val="ListParagraph"/>
        <w:numPr>
          <w:ilvl w:val="0"/>
          <w:numId w:val="51"/>
        </w:numPr>
        <w:shd w:val="clear" w:color="auto" w:fill="E7E6E6" w:themeFill="background2"/>
        <w:spacing w:before="120" w:after="120" w:line="240" w:lineRule="auto"/>
        <w:ind w:left="357" w:hanging="357"/>
        <w:contextualSpacing w:val="0"/>
        <w:jc w:val="both"/>
        <w:rPr>
          <w:rFonts w:cstheme="minorHAnsi"/>
          <w:i/>
          <w:szCs w:val="24"/>
        </w:rPr>
      </w:pPr>
      <w:r w:rsidRPr="0083767D">
        <w:rPr>
          <w:rFonts w:cstheme="minorHAnsi"/>
          <w:i/>
          <w:szCs w:val="24"/>
        </w:rPr>
        <w:t>Uzņēmēji ir motivēti darboties legāli, jo tiek veikta visaptveroša kontrole, aizsargājot godīgo uzņēmēju intereses un piemērojot iedarbīgas sankcijas negodīgajiem uzņēmējiem par nelegālu tirdzniecību un darbību veikšanu bez atbilstošas kvalifikācijas;</w:t>
      </w:r>
    </w:p>
    <w:p w14:paraId="0ED4332F" w14:textId="77777777" w:rsidR="00B75C0D" w:rsidRPr="0083767D" w:rsidRDefault="00B75C0D" w:rsidP="00D91B2F">
      <w:pPr>
        <w:pStyle w:val="ListParagraph"/>
        <w:numPr>
          <w:ilvl w:val="0"/>
          <w:numId w:val="51"/>
        </w:numPr>
        <w:shd w:val="clear" w:color="auto" w:fill="E7E6E6" w:themeFill="background2"/>
        <w:spacing w:before="120" w:after="120" w:line="240" w:lineRule="auto"/>
        <w:ind w:left="357" w:hanging="357"/>
        <w:contextualSpacing w:val="0"/>
        <w:jc w:val="both"/>
        <w:rPr>
          <w:rFonts w:cstheme="minorHAnsi"/>
          <w:i/>
          <w:szCs w:val="24"/>
        </w:rPr>
      </w:pPr>
      <w:r w:rsidRPr="0083767D">
        <w:rPr>
          <w:rFonts w:cstheme="minorHAnsi"/>
          <w:i/>
          <w:szCs w:val="24"/>
        </w:rPr>
        <w:t>Uzlabota uzņēmēju izpratne par F-gāzu ietekmi uz klimatu un attiecīgi sniegta motivācija pāriet uz klimatam draudzīgām alternatīvām;</w:t>
      </w:r>
    </w:p>
    <w:p w14:paraId="7DBC4D44" w14:textId="77777777" w:rsidR="00B75C0D" w:rsidRPr="0083767D" w:rsidRDefault="00B75C0D" w:rsidP="00D91B2F">
      <w:pPr>
        <w:pStyle w:val="ListParagraph"/>
        <w:numPr>
          <w:ilvl w:val="0"/>
          <w:numId w:val="51"/>
        </w:numPr>
        <w:shd w:val="clear" w:color="auto" w:fill="E7E6E6" w:themeFill="background2"/>
        <w:spacing w:before="120" w:after="120" w:line="240" w:lineRule="auto"/>
        <w:ind w:left="357" w:hanging="357"/>
        <w:contextualSpacing w:val="0"/>
        <w:jc w:val="both"/>
        <w:rPr>
          <w:rFonts w:cstheme="minorHAnsi"/>
          <w:i/>
          <w:szCs w:val="24"/>
        </w:rPr>
      </w:pPr>
      <w:r w:rsidRPr="0083767D">
        <w:rPr>
          <w:rFonts w:cstheme="minorHAnsi"/>
          <w:i/>
          <w:szCs w:val="24"/>
        </w:rPr>
        <w:t>Samazinoties nelegālajam importam, uzlabojas valsts ekonomiskā situācija (tiek nomaksāti nodokļi par gāzu tirdzniecību un uzpildi);</w:t>
      </w:r>
    </w:p>
    <w:p w14:paraId="3BED1693" w14:textId="77777777" w:rsidR="00B75C0D" w:rsidRPr="0083767D" w:rsidRDefault="00B75C0D" w:rsidP="00D91B2F">
      <w:pPr>
        <w:pStyle w:val="ListParagraph"/>
        <w:numPr>
          <w:ilvl w:val="0"/>
          <w:numId w:val="51"/>
        </w:numPr>
        <w:shd w:val="clear" w:color="auto" w:fill="E7E6E6" w:themeFill="background2"/>
        <w:spacing w:before="120" w:after="120" w:line="240" w:lineRule="auto"/>
        <w:ind w:left="357" w:hanging="357"/>
        <w:contextualSpacing w:val="0"/>
        <w:jc w:val="both"/>
        <w:rPr>
          <w:rFonts w:cstheme="minorHAnsi"/>
          <w:i/>
          <w:szCs w:val="24"/>
        </w:rPr>
      </w:pPr>
      <w:r w:rsidRPr="0083767D">
        <w:rPr>
          <w:rFonts w:cstheme="minorHAnsi"/>
          <w:i/>
          <w:szCs w:val="24"/>
        </w:rPr>
        <w:t>Sabiedrības un institūciju izpratne par F-gāzu tirgu valstī.</w:t>
      </w:r>
    </w:p>
    <w:p w14:paraId="1187DC66" w14:textId="5F82E455" w:rsidR="00B75C0D" w:rsidRPr="0083767D" w:rsidRDefault="00B75C0D" w:rsidP="00D91B2F">
      <w:pPr>
        <w:spacing w:before="120" w:after="120" w:line="240" w:lineRule="auto"/>
        <w:jc w:val="both"/>
        <w:rPr>
          <w:rFonts w:cstheme="minorHAnsi"/>
          <w:b/>
          <w:i/>
          <w:sz w:val="28"/>
          <w:szCs w:val="28"/>
          <w:u w:val="single"/>
        </w:rPr>
      </w:pPr>
      <w:r w:rsidRPr="0083767D">
        <w:rPr>
          <w:rFonts w:cstheme="minorHAnsi"/>
          <w:b/>
          <w:i/>
          <w:sz w:val="28"/>
          <w:szCs w:val="28"/>
          <w:u w:val="single"/>
        </w:rPr>
        <w:t xml:space="preserve">Galvenie </w:t>
      </w:r>
      <w:r>
        <w:rPr>
          <w:rFonts w:cstheme="minorHAnsi"/>
          <w:b/>
          <w:i/>
          <w:sz w:val="28"/>
          <w:szCs w:val="28"/>
          <w:u w:val="single"/>
        </w:rPr>
        <w:t>problēmjautājum</w:t>
      </w:r>
      <w:r w:rsidR="006864F6">
        <w:rPr>
          <w:rFonts w:cstheme="minorHAnsi"/>
          <w:b/>
          <w:i/>
          <w:sz w:val="28"/>
          <w:szCs w:val="28"/>
          <w:u w:val="single"/>
        </w:rPr>
        <w:t>i</w:t>
      </w:r>
    </w:p>
    <w:p w14:paraId="241EE41D" w14:textId="77777777" w:rsidR="00B75C0D" w:rsidRPr="0083767D" w:rsidRDefault="00B75C0D" w:rsidP="00D91B2F">
      <w:pPr>
        <w:tabs>
          <w:tab w:val="left" w:pos="6833"/>
        </w:tabs>
        <w:spacing w:before="120" w:after="120" w:line="240" w:lineRule="auto"/>
        <w:jc w:val="both"/>
        <w:rPr>
          <w:rFonts w:cstheme="minorHAnsi"/>
          <w:szCs w:val="24"/>
          <w:u w:val="single"/>
        </w:rPr>
      </w:pPr>
      <w:r w:rsidRPr="0083767D">
        <w:rPr>
          <w:rFonts w:cstheme="minorHAnsi"/>
          <w:szCs w:val="24"/>
          <w:u w:val="single"/>
        </w:rPr>
        <w:t xml:space="preserve">1) Kontrolējošo iestāžu </w:t>
      </w:r>
      <w:r w:rsidRPr="0083767D">
        <w:rPr>
          <w:rFonts w:cstheme="minorHAnsi"/>
          <w:b/>
          <w:szCs w:val="24"/>
          <w:u w:val="single"/>
        </w:rPr>
        <w:t>zināšanu un aprīkojuma nepietiekamība</w:t>
      </w:r>
      <w:r w:rsidRPr="0083767D">
        <w:rPr>
          <w:rFonts w:cstheme="minorHAnsi"/>
          <w:szCs w:val="24"/>
          <w:u w:val="single"/>
        </w:rPr>
        <w:t xml:space="preserve"> kontroles veikšanai.</w:t>
      </w:r>
    </w:p>
    <w:p w14:paraId="5021E2B5" w14:textId="77777777" w:rsidR="00B75C0D" w:rsidRPr="0083767D" w:rsidRDefault="00B75C0D" w:rsidP="00D91B2F">
      <w:pPr>
        <w:tabs>
          <w:tab w:val="left" w:pos="6833"/>
        </w:tabs>
        <w:spacing w:before="120" w:after="120" w:line="240" w:lineRule="auto"/>
        <w:jc w:val="both"/>
        <w:rPr>
          <w:rFonts w:cstheme="minorHAnsi"/>
          <w:szCs w:val="24"/>
        </w:rPr>
      </w:pPr>
      <w:r w:rsidRPr="0083767D">
        <w:rPr>
          <w:rFonts w:cstheme="minorHAnsi"/>
          <w:szCs w:val="24"/>
        </w:rPr>
        <w:t xml:space="preserve">Latvijā F-gāzes kontrolē Valsts ieņēmumu dienesta (VID) Muitas pārvalde (uz robežas kontrolē importu vairumā un iepriekš uzpildītās iekārtās) un Valsts vides dienests (VVD) (izsniedz atļaujas un kontrolē darbības ar F-gāzēm). Pilnveidojot aprīkojumu, piemēram, iegādājoties F-gāzu analizatorus, un kontrolējošo iestāžu zināšanas par aktualitātēm F-gāzu likumdošanā un tādējādi stiprinot to kapacitāti, ir iespējams kvalitatīvāk veikt F-gāzu kontroli un attiecīgi arī samazināt to nelegālo importu un emisijas. </w:t>
      </w:r>
    </w:p>
    <w:p w14:paraId="3F03201B" w14:textId="77777777" w:rsidR="00B75C0D" w:rsidRPr="0083767D" w:rsidRDefault="00B75C0D" w:rsidP="00D91B2F">
      <w:pPr>
        <w:tabs>
          <w:tab w:val="left" w:pos="6833"/>
        </w:tabs>
        <w:spacing w:before="120" w:after="120" w:line="240" w:lineRule="auto"/>
        <w:jc w:val="both"/>
        <w:rPr>
          <w:rFonts w:cstheme="minorHAnsi"/>
          <w:szCs w:val="24"/>
          <w:u w:val="single"/>
        </w:rPr>
      </w:pPr>
      <w:r w:rsidRPr="0083767D">
        <w:rPr>
          <w:rFonts w:cstheme="minorHAnsi"/>
          <w:bCs/>
          <w:szCs w:val="24"/>
          <w:u w:val="single"/>
        </w:rPr>
        <w:t xml:space="preserve">2) </w:t>
      </w:r>
      <w:r w:rsidRPr="0083767D">
        <w:rPr>
          <w:rFonts w:cstheme="minorHAnsi"/>
          <w:b/>
          <w:szCs w:val="24"/>
          <w:u w:val="single"/>
        </w:rPr>
        <w:t>Nepietiekama informācija</w:t>
      </w:r>
      <w:r w:rsidRPr="0083767D">
        <w:rPr>
          <w:rFonts w:cstheme="minorHAnsi"/>
          <w:szCs w:val="24"/>
          <w:u w:val="single"/>
        </w:rPr>
        <w:t xml:space="preserve"> par F-gāzu iekšējo tirgu un fizisko personu nozīmi F-gāzu importā.</w:t>
      </w:r>
    </w:p>
    <w:p w14:paraId="75F38A4A" w14:textId="77777777" w:rsidR="00B75C0D" w:rsidRPr="0083767D" w:rsidRDefault="00B75C0D" w:rsidP="00D91B2F">
      <w:pPr>
        <w:tabs>
          <w:tab w:val="left" w:pos="6833"/>
        </w:tabs>
        <w:spacing w:before="120" w:after="120" w:line="240" w:lineRule="auto"/>
        <w:jc w:val="both"/>
        <w:rPr>
          <w:rFonts w:cstheme="minorHAnsi"/>
          <w:szCs w:val="24"/>
        </w:rPr>
      </w:pPr>
      <w:r w:rsidRPr="0083767D">
        <w:rPr>
          <w:rFonts w:cstheme="minorHAnsi"/>
          <w:szCs w:val="24"/>
        </w:rPr>
        <w:t>Atļaujas tiek izsniegtas uzņēmumiem, kas nodarbojas ar F-gāzu importu, kā arī fiziskām personām, kas veic iekārtu apkopi vai darbības ar F-gāzēm. Uzņēmumiem, kas veic importu, ir arī jābūt reģistrētiem Eiropas Komisijas pārvaldītajā F-gāzu reģistrā ar nosacījumu, ka tiek importēts &gt;100t CO</w:t>
      </w:r>
      <w:r w:rsidRPr="0083767D">
        <w:rPr>
          <w:rFonts w:cstheme="minorHAnsi"/>
          <w:szCs w:val="24"/>
          <w:vertAlign w:val="subscript"/>
        </w:rPr>
        <w:t>2</w:t>
      </w:r>
      <w:r w:rsidRPr="0083767D">
        <w:rPr>
          <w:rFonts w:cstheme="minorHAnsi"/>
          <w:szCs w:val="24"/>
        </w:rPr>
        <w:t xml:space="preserve"> ekv. Šo uzņēmumu kontrolē galvenokārt tiek pārbaudīts, vai licences un atļaujas ir saņemtas un derīgas, un vai iesniegti visi nepieciešamie ziņojumi un dati gan Eiropas Savienības, gan nacionālo normatīvo aktu ietvaros. Iekšējā tirgus apritē piedalās licencētie uzņēmumi, kā arī sertificētās fiziskās personas, kurām nav jābūt izsniegtai licencei un kuras attiecīgi netiek kontrolētas. Līdz ar to ir nepieciešams izvērtējums par esošo situāciju un piemērojamajiem līdzekļiem, lai ierobežotu fizisko personu iesaisti iekšējā tirgū un izveidotu viegli pielietojamus standartus kontroles veikšanai uzņēmumos un citās vietās, kur tiek veiktas darbības ar F-gāzēm.</w:t>
      </w:r>
    </w:p>
    <w:p w14:paraId="1B0D3AF6" w14:textId="77777777" w:rsidR="00B75C0D" w:rsidRPr="0083767D" w:rsidRDefault="00B75C0D" w:rsidP="00D91B2F">
      <w:pPr>
        <w:tabs>
          <w:tab w:val="left" w:pos="6833"/>
        </w:tabs>
        <w:spacing w:before="120" w:after="120" w:line="240" w:lineRule="auto"/>
        <w:jc w:val="both"/>
        <w:rPr>
          <w:rFonts w:cstheme="minorHAnsi"/>
          <w:szCs w:val="24"/>
        </w:rPr>
      </w:pPr>
      <w:r w:rsidRPr="0083767D">
        <w:rPr>
          <w:rFonts w:cstheme="minorHAnsi"/>
          <w:szCs w:val="24"/>
        </w:rPr>
        <w:t>Patlaban valstī nav skaidra kopējā situācija par fizisko personu importēto F-gāzu apjomu.  Attiecībā uz fizisku personu kontroli regulējums būtu jāpilnveido gan importa, gan darbību kontroles jomā.</w:t>
      </w:r>
    </w:p>
    <w:p w14:paraId="659BAF6E" w14:textId="77777777" w:rsidR="00B75C0D" w:rsidRPr="0083767D" w:rsidRDefault="00B75C0D" w:rsidP="00D91B2F">
      <w:pPr>
        <w:tabs>
          <w:tab w:val="left" w:pos="6833"/>
        </w:tabs>
        <w:spacing w:before="120" w:after="120" w:line="240" w:lineRule="auto"/>
        <w:jc w:val="both"/>
        <w:rPr>
          <w:rFonts w:cstheme="minorHAnsi"/>
          <w:szCs w:val="24"/>
          <w:u w:val="single"/>
        </w:rPr>
      </w:pPr>
      <w:r w:rsidRPr="0083767D">
        <w:rPr>
          <w:rFonts w:cstheme="minorHAnsi"/>
          <w:bCs/>
          <w:szCs w:val="24"/>
          <w:u w:val="single"/>
        </w:rPr>
        <w:t xml:space="preserve">3) </w:t>
      </w:r>
      <w:r w:rsidRPr="0083767D">
        <w:rPr>
          <w:rFonts w:cstheme="minorHAnsi"/>
          <w:b/>
          <w:szCs w:val="24"/>
          <w:u w:val="single"/>
        </w:rPr>
        <w:t>Sabiedrības un uzņēmumu zināšanu trūkums</w:t>
      </w:r>
      <w:r w:rsidRPr="0083767D">
        <w:rPr>
          <w:rFonts w:cstheme="minorHAnsi"/>
          <w:szCs w:val="24"/>
          <w:u w:val="single"/>
        </w:rPr>
        <w:t xml:space="preserve"> par F-gāzu ietekmi uz klimatu un to noplūžu sekām.</w:t>
      </w:r>
    </w:p>
    <w:p w14:paraId="20A5F46B" w14:textId="77777777" w:rsidR="00B75C0D" w:rsidRPr="0083767D" w:rsidRDefault="00B75C0D" w:rsidP="00D91B2F">
      <w:pPr>
        <w:tabs>
          <w:tab w:val="left" w:pos="6833"/>
        </w:tabs>
        <w:spacing w:before="120" w:after="120" w:line="240" w:lineRule="auto"/>
        <w:jc w:val="both"/>
        <w:rPr>
          <w:rFonts w:cstheme="minorHAnsi"/>
          <w:szCs w:val="24"/>
        </w:rPr>
      </w:pPr>
      <w:r w:rsidRPr="0083767D">
        <w:rPr>
          <w:rFonts w:cstheme="minorHAnsi"/>
          <w:szCs w:val="24"/>
        </w:rPr>
        <w:t xml:space="preserve">Uzņēmumos, kas strādā ar iekārtām, kurās izmanto F-gāzes, piemēram, dzesēšanas vai saldēšanas iekārtas (pārtikas uzņēmumi, veikali), svarīgi ir rīkot strādājošo apmācības, lai veicinātu izpratni par F-gāzu nozīmi uz klimatu un novērstu noplūdes un ar tām saistītās emisijas. </w:t>
      </w:r>
    </w:p>
    <w:p w14:paraId="199E5E1A" w14:textId="77777777" w:rsidR="00B75C0D" w:rsidRPr="0083767D" w:rsidRDefault="00B75C0D" w:rsidP="00D91B2F">
      <w:pPr>
        <w:tabs>
          <w:tab w:val="left" w:pos="6833"/>
        </w:tabs>
        <w:spacing w:before="120" w:after="120" w:line="240" w:lineRule="auto"/>
        <w:jc w:val="both"/>
        <w:rPr>
          <w:rFonts w:cstheme="minorHAnsi"/>
          <w:szCs w:val="24"/>
        </w:rPr>
      </w:pPr>
      <w:r w:rsidRPr="0083767D">
        <w:rPr>
          <w:rFonts w:cstheme="minorHAnsi"/>
          <w:szCs w:val="24"/>
        </w:rPr>
        <w:t>Ja uzņēmumos, kuri ikdienā izmanto aukstumaģentus, nav veidojusies izpratne par F-gāzēm un to ietekmi uz klimatu, var secināt, ka sabiedrībā kopumā nav informēta par siltumnīcefekta gāzu emisiju, t.sk. F-gāzu, potenciāli kaitīgo ietekmi ilgtermiņā. Liela nozīme ir  sabiedrības izpratnes veidošanā par atkārtoti neuzpildāmo F-gāzu tvertņu ietekmi uz klimatu.</w:t>
      </w:r>
    </w:p>
    <w:p w14:paraId="13767F09" w14:textId="77777777" w:rsidR="00B75C0D" w:rsidRPr="0083767D" w:rsidRDefault="00B75C0D" w:rsidP="00D91B2F">
      <w:pPr>
        <w:shd w:val="clear" w:color="auto" w:fill="E7E6E6" w:themeFill="background2"/>
        <w:spacing w:before="120" w:after="120" w:line="240" w:lineRule="auto"/>
        <w:jc w:val="both"/>
        <w:rPr>
          <w:rFonts w:cstheme="minorHAnsi"/>
          <w:b/>
          <w:i/>
          <w:szCs w:val="24"/>
        </w:rPr>
      </w:pPr>
      <w:r w:rsidRPr="0083767D">
        <w:rPr>
          <w:rFonts w:cstheme="minorHAnsi"/>
          <w:b/>
          <w:i/>
          <w:sz w:val="28"/>
          <w:szCs w:val="28"/>
        </w:rPr>
        <w:t>Galvenais rīcības virziens</w:t>
      </w:r>
      <w:r w:rsidRPr="0083767D">
        <w:rPr>
          <w:rFonts w:cstheme="minorHAnsi"/>
          <w:b/>
          <w:i/>
          <w:szCs w:val="24"/>
        </w:rPr>
        <w:t xml:space="preserve"> (10. rīcības virziens)</w:t>
      </w:r>
    </w:p>
    <w:p w14:paraId="43F43F55" w14:textId="77777777" w:rsidR="00B75C0D" w:rsidRPr="0083767D" w:rsidRDefault="00B75C0D" w:rsidP="00D91B2F">
      <w:pPr>
        <w:shd w:val="clear" w:color="auto" w:fill="E7E6E6" w:themeFill="background2"/>
        <w:spacing w:before="120" w:after="120" w:line="240" w:lineRule="auto"/>
        <w:jc w:val="both"/>
        <w:rPr>
          <w:rFonts w:cstheme="minorHAnsi"/>
          <w:szCs w:val="24"/>
        </w:rPr>
      </w:pPr>
      <w:r w:rsidRPr="0083767D">
        <w:rPr>
          <w:rFonts w:cstheme="minorHAnsi"/>
          <w:b/>
          <w:szCs w:val="24"/>
          <w:u w:val="single"/>
        </w:rPr>
        <w:t>Fluorēto siltumnīcefekta gāzu (F-gāzu) izmantošanas samazināšanas veicināšana</w:t>
      </w:r>
    </w:p>
    <w:p w14:paraId="6B851618" w14:textId="77777777" w:rsidR="00B75C0D" w:rsidRPr="0083767D" w:rsidRDefault="00B75C0D" w:rsidP="00D91B2F">
      <w:pPr>
        <w:spacing w:before="120" w:after="120" w:line="240" w:lineRule="auto"/>
        <w:jc w:val="both"/>
        <w:rPr>
          <w:rFonts w:cstheme="minorHAnsi"/>
          <w:b/>
          <w:i/>
          <w:sz w:val="28"/>
          <w:szCs w:val="28"/>
          <w:u w:val="single"/>
        </w:rPr>
      </w:pPr>
      <w:r w:rsidRPr="0083767D">
        <w:rPr>
          <w:rFonts w:cstheme="minorHAnsi"/>
          <w:b/>
          <w:i/>
          <w:sz w:val="28"/>
          <w:szCs w:val="28"/>
          <w:u w:val="single"/>
        </w:rPr>
        <w:t>Galvenās rīcības un pasākumi</w:t>
      </w:r>
    </w:p>
    <w:p w14:paraId="6BAD8C81" w14:textId="77777777" w:rsidR="00B75C0D" w:rsidRPr="0083767D" w:rsidRDefault="00B75C0D" w:rsidP="00D91B2F">
      <w:pPr>
        <w:spacing w:before="120" w:after="120" w:line="240" w:lineRule="auto"/>
        <w:jc w:val="both"/>
        <w:rPr>
          <w:rFonts w:eastAsia="Times New Roman" w:cstheme="minorHAnsi"/>
          <w:szCs w:val="24"/>
          <w:u w:val="single"/>
        </w:rPr>
      </w:pPr>
      <w:r w:rsidRPr="0083767D">
        <w:rPr>
          <w:rFonts w:eastAsia="Times New Roman" w:cstheme="minorHAnsi"/>
          <w:bCs/>
          <w:szCs w:val="24"/>
          <w:u w:val="single"/>
        </w:rPr>
        <w:t xml:space="preserve">1) </w:t>
      </w:r>
      <w:r w:rsidRPr="0083767D">
        <w:rPr>
          <w:rFonts w:eastAsia="Times New Roman" w:cstheme="minorHAnsi"/>
          <w:b/>
          <w:szCs w:val="24"/>
          <w:u w:val="single"/>
        </w:rPr>
        <w:t>Tirgus uzraudzība</w:t>
      </w:r>
      <w:r w:rsidRPr="0083767D">
        <w:rPr>
          <w:rFonts w:eastAsia="Times New Roman" w:cstheme="minorHAnsi"/>
          <w:szCs w:val="24"/>
          <w:u w:val="single"/>
        </w:rPr>
        <w:t xml:space="preserve"> (10.1. pasākums)</w:t>
      </w:r>
    </w:p>
    <w:p w14:paraId="7BF41F61" w14:textId="77777777" w:rsidR="00B75C0D" w:rsidRPr="0083767D" w:rsidRDefault="00B75C0D" w:rsidP="00D91B2F">
      <w:pPr>
        <w:spacing w:before="120" w:after="120" w:line="240" w:lineRule="auto"/>
        <w:jc w:val="both"/>
        <w:rPr>
          <w:rFonts w:eastAsia="Calibri" w:cstheme="minorHAnsi"/>
          <w:szCs w:val="24"/>
        </w:rPr>
      </w:pPr>
      <w:r w:rsidRPr="0083767D">
        <w:rPr>
          <w:rFonts w:eastAsia="Calibri" w:cstheme="minorHAnsi"/>
          <w:szCs w:val="24"/>
        </w:rPr>
        <w:t>Pasākuma mērķis ir kontroles veicināšana valsts iekšējā tirgū un uz robežas. Iekšējā tirgus uzraudzību veic, kontrolējot autoservisus u.c. vietās, kurās F-gāzes tiek izmantotas visvairāk. Savukārt importa un eksporta kontrole tiek vērsta uz to, lai pārbaudītu vai uzņēmumam ir nepieciešamās kvotas vai to pilnvarojumi, kā arī tas, vai korekti veikta ziņošana par iepriekšējā gadā ievestajiem un izvestajiem apjomiem.</w:t>
      </w:r>
    </w:p>
    <w:p w14:paraId="5F64C971" w14:textId="77777777" w:rsidR="00B75C0D" w:rsidRPr="0083767D" w:rsidRDefault="00B75C0D" w:rsidP="00D91B2F">
      <w:pPr>
        <w:spacing w:before="120" w:after="120" w:line="240" w:lineRule="auto"/>
        <w:jc w:val="both"/>
        <w:rPr>
          <w:rFonts w:eastAsia="Times New Roman" w:cstheme="minorHAnsi"/>
          <w:szCs w:val="24"/>
          <w:u w:val="single"/>
        </w:rPr>
      </w:pPr>
      <w:r w:rsidRPr="0083767D">
        <w:rPr>
          <w:rFonts w:eastAsia="Times New Roman" w:cstheme="minorHAnsi"/>
          <w:iCs/>
          <w:szCs w:val="24"/>
          <w:u w:val="single"/>
        </w:rPr>
        <w:t>2) Darbību ar F-gāzēm</w:t>
      </w:r>
      <w:r w:rsidRPr="0083767D">
        <w:rPr>
          <w:rFonts w:eastAsia="Times New Roman" w:cstheme="minorHAnsi"/>
          <w:szCs w:val="24"/>
          <w:u w:val="single"/>
        </w:rPr>
        <w:t xml:space="preserve"> </w:t>
      </w:r>
      <w:r w:rsidRPr="0083767D">
        <w:rPr>
          <w:rFonts w:eastAsia="Times New Roman" w:cstheme="minorHAnsi"/>
          <w:b/>
          <w:szCs w:val="24"/>
          <w:u w:val="single"/>
        </w:rPr>
        <w:t>kontroles pilnveidošana</w:t>
      </w:r>
      <w:r w:rsidRPr="0083767D">
        <w:rPr>
          <w:rFonts w:eastAsia="Times New Roman" w:cstheme="minorHAnsi"/>
          <w:szCs w:val="24"/>
          <w:u w:val="single"/>
        </w:rPr>
        <w:t xml:space="preserve"> un sistēmas attīstība (10.2. pasākums)</w:t>
      </w:r>
    </w:p>
    <w:p w14:paraId="3890E1F9" w14:textId="77777777" w:rsidR="00B75C0D" w:rsidRPr="0083767D" w:rsidRDefault="00B75C0D" w:rsidP="00D91B2F">
      <w:pPr>
        <w:spacing w:before="120" w:after="120" w:line="240" w:lineRule="auto"/>
        <w:jc w:val="both"/>
        <w:rPr>
          <w:rFonts w:eastAsia="Times New Roman" w:cstheme="minorHAnsi"/>
          <w:szCs w:val="24"/>
        </w:rPr>
      </w:pPr>
      <w:r w:rsidRPr="0083767D">
        <w:rPr>
          <w:rFonts w:eastAsia="Times New Roman" w:cstheme="minorHAnsi"/>
          <w:szCs w:val="24"/>
        </w:rPr>
        <w:t>Veiksmīgu pārbaužu veikšanai, kas atspoguļo patieso F-gāzu situāciju (tirdzniecību un patēriņu) valstī, ir nepieciešama atbilstoša zināšanu un aprīkojuma bāze. Šī pasākuma ietvaros ir paredzēts veikt apmācību pasākumus kontrolējošajās institūcijās, kā arī pilnveidot pieejamā aprīkojuma esamību un kvalitāti (VID Muitas pārvalde, Patērētāju tiesību aizsardzības centrs , VVD)</w:t>
      </w:r>
      <w:r w:rsidRPr="0083767D">
        <w:rPr>
          <w:rFonts w:eastAsia="Calibri" w:cstheme="minorHAnsi"/>
          <w:szCs w:val="24"/>
        </w:rPr>
        <w:t xml:space="preserve">. </w:t>
      </w:r>
    </w:p>
    <w:p w14:paraId="2939D2D8" w14:textId="77777777" w:rsidR="00B75C0D" w:rsidRPr="0083767D" w:rsidRDefault="00B75C0D" w:rsidP="00D91B2F">
      <w:pPr>
        <w:spacing w:before="120" w:after="120" w:line="240" w:lineRule="auto"/>
        <w:jc w:val="both"/>
        <w:rPr>
          <w:rFonts w:eastAsia="Times New Roman" w:cstheme="minorHAnsi"/>
          <w:szCs w:val="24"/>
          <w:u w:val="single"/>
        </w:rPr>
      </w:pPr>
      <w:r w:rsidRPr="0083767D">
        <w:rPr>
          <w:rFonts w:eastAsia="Times New Roman" w:cstheme="minorHAnsi"/>
          <w:szCs w:val="24"/>
          <w:u w:val="single"/>
        </w:rPr>
        <w:t xml:space="preserve">3) Nepieciešamās vēsturiskās </w:t>
      </w:r>
      <w:r w:rsidRPr="0083767D">
        <w:rPr>
          <w:rFonts w:eastAsia="Times New Roman" w:cstheme="minorHAnsi"/>
          <w:b/>
          <w:szCs w:val="24"/>
          <w:u w:val="single"/>
        </w:rPr>
        <w:t>informācijas apzināšana</w:t>
      </w:r>
      <w:r w:rsidRPr="0083767D">
        <w:rPr>
          <w:rFonts w:eastAsia="Times New Roman" w:cstheme="minorHAnsi"/>
          <w:szCs w:val="24"/>
          <w:u w:val="single"/>
        </w:rPr>
        <w:t xml:space="preserve"> par F-gāzu importa un iekšējā tirgus apjomiem un atbilstošu pasākumu izstrāde, balstoties uz izpētes rezultātiem</w:t>
      </w:r>
      <w:r>
        <w:rPr>
          <w:rFonts w:eastAsia="Times New Roman" w:cstheme="minorHAnsi"/>
          <w:szCs w:val="24"/>
          <w:u w:val="single"/>
        </w:rPr>
        <w:t xml:space="preserve"> (10.3.pasākums)</w:t>
      </w:r>
    </w:p>
    <w:p w14:paraId="2A5A6397" w14:textId="77777777" w:rsidR="00B75C0D" w:rsidRPr="0083767D" w:rsidRDefault="00B75C0D" w:rsidP="00D91B2F">
      <w:pPr>
        <w:spacing w:before="120" w:after="120" w:line="240" w:lineRule="auto"/>
        <w:jc w:val="both"/>
        <w:rPr>
          <w:rFonts w:eastAsia="Times New Roman" w:cstheme="minorHAnsi"/>
          <w:szCs w:val="24"/>
        </w:rPr>
      </w:pPr>
      <w:r w:rsidRPr="0083767D">
        <w:rPr>
          <w:rFonts w:eastAsia="Times New Roman" w:cstheme="minorHAnsi"/>
          <w:szCs w:val="24"/>
        </w:rPr>
        <w:t xml:space="preserve">Tā kā nav līdz galam skaidra iekšējā tirgus apstākļi saistībā ar F-gāzēm, nav iespējams novērtēt tā ietekmi uz klimatu. </w:t>
      </w:r>
      <w:r w:rsidRPr="0083767D">
        <w:rPr>
          <w:rFonts w:eastAsia="Calibri" w:cstheme="minorHAnsi"/>
          <w:szCs w:val="24"/>
        </w:rPr>
        <w:t>Nav apkopota precīza informācija par fizisko personu ietekmi uz kopējo importa un tirdzniecības apjomu.</w:t>
      </w:r>
      <w:r w:rsidRPr="0083767D">
        <w:rPr>
          <w:rFonts w:eastAsia="Times New Roman" w:cstheme="minorHAnsi"/>
          <w:szCs w:val="24"/>
        </w:rPr>
        <w:t xml:space="preserve"> Tādēļ ir nepieciešams veikt analīzi, lai noskaidrotu, cik liela ir fizisko personu loma iekšējā tirgū. Balstoties uz izvērtējumu un analīzi, ir iespējams plānot un veikt pasākumus F-gāzu izmantošanas un importa ierobežošanai.  </w:t>
      </w:r>
    </w:p>
    <w:p w14:paraId="68AB5764" w14:textId="0F5EDBCC" w:rsidR="00B75C0D" w:rsidRPr="0083767D" w:rsidRDefault="00B75C0D" w:rsidP="00D91B2F">
      <w:pPr>
        <w:spacing w:before="120" w:after="120" w:line="240" w:lineRule="auto"/>
        <w:jc w:val="both"/>
        <w:rPr>
          <w:rFonts w:eastAsia="Times New Roman" w:cstheme="minorHAnsi"/>
          <w:szCs w:val="24"/>
          <w:u w:val="single"/>
        </w:rPr>
      </w:pPr>
      <w:r w:rsidRPr="0083767D">
        <w:rPr>
          <w:rFonts w:eastAsia="Times New Roman" w:cstheme="minorHAnsi"/>
          <w:bCs/>
          <w:szCs w:val="24"/>
          <w:u w:val="single"/>
        </w:rPr>
        <w:t xml:space="preserve">4) </w:t>
      </w:r>
      <w:r w:rsidRPr="0083767D">
        <w:rPr>
          <w:rFonts w:eastAsia="Times New Roman" w:cstheme="minorHAnsi"/>
          <w:b/>
          <w:szCs w:val="24"/>
          <w:u w:val="single"/>
        </w:rPr>
        <w:t>Sabiedrības un uzņēmumu informēšana</w:t>
      </w:r>
      <w:r w:rsidRPr="0083767D">
        <w:rPr>
          <w:rFonts w:eastAsia="Times New Roman" w:cstheme="minorHAnsi"/>
          <w:szCs w:val="24"/>
          <w:u w:val="single"/>
        </w:rPr>
        <w:t xml:space="preserve"> </w:t>
      </w:r>
      <w:r>
        <w:rPr>
          <w:rFonts w:eastAsia="Times New Roman" w:cstheme="minorHAnsi"/>
          <w:szCs w:val="24"/>
          <w:u w:val="single"/>
        </w:rPr>
        <w:t>(12.11.pasākums)</w:t>
      </w:r>
    </w:p>
    <w:p w14:paraId="104498BC" w14:textId="77777777" w:rsidR="00B75C0D" w:rsidRPr="0083767D" w:rsidRDefault="00B75C0D" w:rsidP="00D91B2F">
      <w:pPr>
        <w:spacing w:before="120" w:after="120" w:line="240" w:lineRule="auto"/>
        <w:jc w:val="both"/>
        <w:rPr>
          <w:rFonts w:cstheme="minorHAnsi"/>
          <w:szCs w:val="24"/>
        </w:rPr>
      </w:pPr>
      <w:r w:rsidRPr="0083767D">
        <w:rPr>
          <w:rFonts w:eastAsia="Times New Roman" w:cstheme="minorHAnsi"/>
          <w:szCs w:val="24"/>
        </w:rPr>
        <w:t>Pasākuma mērķis ir veicināt sabiedrības izpratni par F-gāzu ietekmi uz klimatu. Papildus tiek veikta uzņēmumu informēšana un izglītošana, lai novērstu noplūdes no iekārtām, kā arī rosināts izvēlēties klimatam draudzīgākus aukstumaģentus ar mazāku globālās sasilšanas potenciālu, piemēram, CO</w:t>
      </w:r>
      <w:r w:rsidRPr="0083767D">
        <w:rPr>
          <w:rFonts w:eastAsia="Times New Roman" w:cstheme="minorHAnsi"/>
          <w:szCs w:val="24"/>
          <w:vertAlign w:val="subscript"/>
        </w:rPr>
        <w:t xml:space="preserve">2 </w:t>
      </w:r>
      <w:r w:rsidRPr="0083767D">
        <w:rPr>
          <w:rFonts w:eastAsia="Times New Roman" w:cstheme="minorHAnsi"/>
          <w:szCs w:val="24"/>
        </w:rPr>
        <w:t xml:space="preserve">vai ogļūdeņraži kā propāns, propēns vai izobutāns. </w:t>
      </w:r>
    </w:p>
    <w:p w14:paraId="32A40C03" w14:textId="77777777" w:rsidR="00B75C0D" w:rsidRPr="0083767D" w:rsidRDefault="00B75C0D">
      <w:pPr>
        <w:shd w:val="clear" w:color="auto" w:fill="E7E6E6" w:themeFill="background2"/>
        <w:spacing w:before="120" w:after="120" w:line="240" w:lineRule="auto"/>
        <w:jc w:val="both"/>
        <w:rPr>
          <w:rFonts w:cstheme="minorHAnsi"/>
          <w:b/>
          <w:i/>
          <w:sz w:val="28"/>
          <w:szCs w:val="28"/>
        </w:rPr>
      </w:pPr>
      <w:r w:rsidRPr="0083767D">
        <w:rPr>
          <w:rFonts w:cstheme="minorHAnsi"/>
          <w:b/>
          <w:i/>
          <w:sz w:val="28"/>
          <w:szCs w:val="28"/>
        </w:rPr>
        <w:t>Saistītie rīcības virzieni</w:t>
      </w:r>
    </w:p>
    <w:p w14:paraId="5A6D8CE8" w14:textId="7FFE3667" w:rsidR="00B75C0D" w:rsidRPr="0083767D" w:rsidRDefault="00B75C0D">
      <w:pPr>
        <w:shd w:val="clear" w:color="auto" w:fill="E7E6E6" w:themeFill="background2"/>
        <w:spacing w:before="120" w:after="120" w:line="240" w:lineRule="auto"/>
        <w:jc w:val="both"/>
        <w:rPr>
          <w:rFonts w:cstheme="minorHAnsi"/>
          <w:bCs/>
          <w:iCs/>
          <w:szCs w:val="24"/>
        </w:rPr>
      </w:pPr>
      <w:r w:rsidRPr="0083767D">
        <w:rPr>
          <w:rFonts w:cstheme="minorHAnsi"/>
          <w:bCs/>
          <w:iCs/>
          <w:szCs w:val="24"/>
        </w:rPr>
        <w:t>1) Ēku energoefektivitātes uzlabošana (1.rīcības virziens), jo veicot energoefektivitātes uzlabošanu ēkām samazinās nepieciešamība pēc kondicionieru nepieciešamības;</w:t>
      </w:r>
    </w:p>
    <w:p w14:paraId="37C37480" w14:textId="77777777" w:rsidR="00B75C0D" w:rsidRPr="0083767D" w:rsidRDefault="00B75C0D">
      <w:pPr>
        <w:shd w:val="clear" w:color="auto" w:fill="E7E6E6" w:themeFill="background2"/>
        <w:spacing w:before="120" w:after="120" w:line="240" w:lineRule="auto"/>
        <w:jc w:val="both"/>
        <w:rPr>
          <w:rFonts w:cstheme="minorHAnsi"/>
          <w:bCs/>
          <w:iCs/>
          <w:szCs w:val="24"/>
        </w:rPr>
      </w:pPr>
      <w:r w:rsidRPr="0083767D">
        <w:rPr>
          <w:rFonts w:cstheme="minorHAnsi"/>
          <w:bCs/>
          <w:iCs/>
          <w:szCs w:val="24"/>
        </w:rPr>
        <w:t>2) Energoefektivitātes uzlabošana un AER tehnoloģiju izmantošanas veicināšana siltumapgādē un aukstumapgādē, un rūpniecībā (2.rīcības virziens), jo iekārtām jābūt pēc iespējas energoefektīvākām, lai samazinātu enerģijas patēriņu, kas nepieciešams atdzesēšanai, tādējādi radot mazāk emisiju enerģētikas sektorā;</w:t>
      </w:r>
    </w:p>
    <w:p w14:paraId="605932A2" w14:textId="3B7E8698" w:rsidR="00B75C0D" w:rsidRPr="0083767D" w:rsidRDefault="00B75C0D">
      <w:pPr>
        <w:shd w:val="clear" w:color="auto" w:fill="E7E6E6" w:themeFill="background2"/>
        <w:spacing w:before="120" w:after="120" w:line="240" w:lineRule="auto"/>
        <w:jc w:val="both"/>
        <w:rPr>
          <w:rFonts w:cstheme="minorHAnsi"/>
          <w:bCs/>
          <w:iCs/>
          <w:szCs w:val="24"/>
        </w:rPr>
      </w:pPr>
      <w:r w:rsidRPr="0083767D">
        <w:rPr>
          <w:rFonts w:cstheme="minorHAnsi"/>
          <w:bCs/>
          <w:iCs/>
          <w:szCs w:val="24"/>
        </w:rPr>
        <w:t>3) Sabiedrības informēšana, izglītošana un izpratnes veicināšana (12.rīcības virziens).</w:t>
      </w:r>
    </w:p>
    <w:p w14:paraId="1C413F7E" w14:textId="77777777" w:rsidR="00EE5AB6" w:rsidRDefault="00EE5AB6" w:rsidP="00F37EA7">
      <w:pPr>
        <w:rPr>
          <w:rFonts w:ascii="Calibri" w:hAnsi="Calibri"/>
          <w:highlight w:val="green"/>
        </w:rPr>
        <w:sectPr w:rsidR="00EE5AB6" w:rsidSect="00DD44D5">
          <w:pgSz w:w="11906" w:h="16838" w:code="9"/>
          <w:pgMar w:top="1418" w:right="1134" w:bottom="1134" w:left="1701" w:header="567" w:footer="567" w:gutter="0"/>
          <w:cols w:space="708"/>
          <w:docGrid w:linePitch="360"/>
        </w:sectPr>
      </w:pPr>
    </w:p>
    <w:p w14:paraId="0E2D91BA" w14:textId="77777777" w:rsidR="00EE5AB6" w:rsidRPr="00EE5AB6" w:rsidRDefault="00EE5AB6" w:rsidP="001E38CE">
      <w:pPr>
        <w:pStyle w:val="Heading1"/>
      </w:pPr>
      <w:bookmarkStart w:id="576" w:name="_Toc520978889"/>
      <w:bookmarkStart w:id="577" w:name="_Toc527529584"/>
      <w:bookmarkStart w:id="578" w:name="_Toc17878367"/>
      <w:bookmarkStart w:id="579" w:name="_Toc23245832"/>
      <w:bookmarkStart w:id="580" w:name="_Toc23246039"/>
      <w:bookmarkStart w:id="581" w:name="_Toc24408066"/>
      <w:bookmarkStart w:id="582" w:name="_Toc24408125"/>
      <w:r w:rsidRPr="00EE5AB6">
        <w:t>PLĀNOTO RĪCĪBPOLITIKU UN PASĀKUMU IETEKMES NOVĒRTĒJUMS</w:t>
      </w:r>
      <w:bookmarkEnd w:id="576"/>
      <w:bookmarkEnd w:id="577"/>
      <w:bookmarkEnd w:id="578"/>
      <w:bookmarkEnd w:id="579"/>
      <w:bookmarkEnd w:id="580"/>
      <w:bookmarkEnd w:id="581"/>
      <w:bookmarkEnd w:id="582"/>
      <w:r w:rsidRPr="00EE5AB6">
        <w:t xml:space="preserve"> </w:t>
      </w:r>
    </w:p>
    <w:p w14:paraId="053C54F4" w14:textId="6F380E33" w:rsidR="00EE5AB6" w:rsidRPr="00EE5AB6" w:rsidRDefault="008267B0" w:rsidP="0007326F">
      <w:pPr>
        <w:pStyle w:val="Heading2"/>
        <w:ind w:left="623"/>
      </w:pPr>
      <w:bookmarkStart w:id="583" w:name="_Toc17878368"/>
      <w:bookmarkStart w:id="584" w:name="_Toc23245833"/>
      <w:bookmarkStart w:id="585" w:name="_Toc23246040"/>
      <w:bookmarkStart w:id="586" w:name="_Toc24408067"/>
      <w:bookmarkStart w:id="587" w:name="_Toc24408126"/>
      <w:r>
        <w:t>Plānoto rīcībpolitiku un pasākumu e</w:t>
      </w:r>
      <w:r w:rsidR="00EE5AB6" w:rsidRPr="00EE5AB6">
        <w:t>nergosistēm</w:t>
      </w:r>
      <w:r>
        <w:t xml:space="preserve">as attīstības, </w:t>
      </w:r>
      <w:r w:rsidR="00EE5AB6" w:rsidRPr="00EE5AB6">
        <w:t>SEG emisij</w:t>
      </w:r>
      <w:r>
        <w:t>u un CO</w:t>
      </w:r>
      <w:r w:rsidRPr="008267B0">
        <w:rPr>
          <w:vertAlign w:val="subscript"/>
        </w:rPr>
        <w:t>2</w:t>
      </w:r>
      <w:r>
        <w:t xml:space="preserve"> piesaistes, gaisa piesārņojošo vielu emisiju prognozes</w:t>
      </w:r>
      <w:bookmarkEnd w:id="583"/>
      <w:bookmarkEnd w:id="584"/>
      <w:bookmarkEnd w:id="585"/>
      <w:bookmarkEnd w:id="586"/>
      <w:bookmarkEnd w:id="587"/>
      <w:r w:rsidR="00EE5AB6" w:rsidRPr="00EE5AB6">
        <w:t xml:space="preserve"> </w:t>
      </w:r>
    </w:p>
    <w:p w14:paraId="459E33A8" w14:textId="77777777" w:rsidR="007C7DE4" w:rsidRPr="0007326F" w:rsidRDefault="007C7DE4">
      <w:pPr>
        <w:pStyle w:val="Heading30"/>
      </w:pPr>
      <w:bookmarkStart w:id="588" w:name="_Toc24408068"/>
      <w:r w:rsidRPr="00207561">
        <w:t>Energosistēmas attīstības prognozes</w:t>
      </w:r>
      <w:bookmarkEnd w:id="588"/>
    </w:p>
    <w:p w14:paraId="259A9AE1" w14:textId="076D7A3F" w:rsidR="007C7DE4" w:rsidRDefault="00102358" w:rsidP="0047533B">
      <w:pPr>
        <w:spacing w:before="120" w:after="120" w:line="240" w:lineRule="auto"/>
        <w:jc w:val="both"/>
        <w:rPr>
          <w:rFonts w:cstheme="minorHAnsi"/>
          <w:sz w:val="22"/>
          <w:lang w:eastAsia="lv-LV"/>
        </w:rPr>
      </w:pPr>
      <w:r w:rsidRPr="00102358">
        <w:rPr>
          <w:rFonts w:cstheme="minorHAnsi"/>
          <w:lang w:eastAsia="lv-LV"/>
        </w:rPr>
        <w:t xml:space="preserve">Plānoto rīcībpolitiku un pasākumu īstenošanas rezultātā </w:t>
      </w:r>
      <w:r>
        <w:rPr>
          <w:rFonts w:cstheme="minorHAnsi"/>
          <w:lang w:eastAsia="lv-LV"/>
        </w:rPr>
        <w:t xml:space="preserve">(turpmāk – mērķu scenārijs) </w:t>
      </w:r>
      <w:r w:rsidR="007C7DE4">
        <w:rPr>
          <w:rFonts w:cstheme="minorHAnsi"/>
          <w:lang w:eastAsia="lv-LV"/>
        </w:rPr>
        <w:t xml:space="preserve">tiek izpildīts </w:t>
      </w:r>
      <w:r>
        <w:rPr>
          <w:rFonts w:cstheme="minorHAnsi"/>
          <w:lang w:eastAsia="lv-LV"/>
        </w:rPr>
        <w:t xml:space="preserve">energoefektivitātes uzlabošanas obligātais mērķis – kumulatīvie energoietaupījumi 2030.gadam, un </w:t>
      </w:r>
      <w:r w:rsidR="007C7DE4">
        <w:rPr>
          <w:rFonts w:cstheme="minorHAnsi"/>
          <w:lang w:eastAsia="lv-LV"/>
        </w:rPr>
        <w:t>AER</w:t>
      </w:r>
      <w:r>
        <w:rPr>
          <w:rFonts w:cstheme="minorHAnsi"/>
          <w:lang w:eastAsia="lv-LV"/>
        </w:rPr>
        <w:t xml:space="preserve"> īpatsvars </w:t>
      </w:r>
      <w:r w:rsidR="007C7DE4">
        <w:rPr>
          <w:rFonts w:cstheme="minorHAnsi"/>
          <w:lang w:eastAsia="lv-LV"/>
        </w:rPr>
        <w:t>kopējā enerģijas galapatēriņā sasniedz 50%.</w:t>
      </w:r>
      <w:r w:rsidR="009377F4">
        <w:rPr>
          <w:rFonts w:cstheme="minorHAnsi"/>
          <w:lang w:eastAsia="lv-LV"/>
        </w:rPr>
        <w:t xml:space="preserve"> Tomēr AER īpatsvara enerģijas galapatēriņā būtisks palielinājums ietekmē primārā enerģijas patēriņa un enerģijas galapatēriņa apjomus un ietekmē iespēju šo patēriņu apjomu samazināt, jo modelēšanas rezultātā</w:t>
      </w:r>
      <w:r w:rsidR="00C352B8">
        <w:rPr>
          <w:rFonts w:cstheme="minorHAnsi"/>
          <w:lang w:eastAsia="lv-LV"/>
        </w:rPr>
        <w:t xml:space="preserve">, </w:t>
      </w:r>
      <w:r w:rsidR="009377F4">
        <w:rPr>
          <w:rFonts w:cstheme="minorHAnsi"/>
          <w:lang w:eastAsia="lv-LV"/>
        </w:rPr>
        <w:t>ievērojot izstrādātās papildus politikas un pasākumus</w:t>
      </w:r>
      <w:r w:rsidR="00C352B8">
        <w:rPr>
          <w:rFonts w:cstheme="minorHAnsi"/>
          <w:lang w:eastAsia="lv-LV"/>
        </w:rPr>
        <w:t>,</w:t>
      </w:r>
      <w:r w:rsidR="009377F4">
        <w:rPr>
          <w:rFonts w:cstheme="minorHAnsi"/>
          <w:lang w:eastAsia="lv-LV"/>
        </w:rPr>
        <w:t xml:space="preserve"> kā izmaksu efektīvākie pasākumi </w:t>
      </w:r>
      <w:r w:rsidR="00C352B8">
        <w:rPr>
          <w:rFonts w:cstheme="minorHAnsi"/>
          <w:lang w:eastAsia="lv-LV"/>
        </w:rPr>
        <w:t xml:space="preserve">tiek piedāvāts nodrošināt būtisku cietās </w:t>
      </w:r>
      <w:r w:rsidR="009377F4">
        <w:rPr>
          <w:rFonts w:cstheme="minorHAnsi"/>
          <w:lang w:eastAsia="lv-LV"/>
        </w:rPr>
        <w:t>biomasas patēriņa pieaugum</w:t>
      </w:r>
      <w:r w:rsidR="00C352B8">
        <w:rPr>
          <w:rFonts w:cstheme="minorHAnsi"/>
          <w:lang w:eastAsia="lv-LV"/>
        </w:rPr>
        <w:t>u</w:t>
      </w:r>
      <w:r w:rsidR="009377F4">
        <w:rPr>
          <w:rFonts w:cstheme="minorHAnsi"/>
          <w:lang w:eastAsia="lv-LV"/>
        </w:rPr>
        <w:t xml:space="preserve"> rūpniecībā u</w:t>
      </w:r>
      <w:r w:rsidR="00C352B8">
        <w:rPr>
          <w:rFonts w:cstheme="minorHAnsi"/>
          <w:lang w:eastAsia="lv-LV"/>
        </w:rPr>
        <w:t>n</w:t>
      </w:r>
      <w:r w:rsidR="009377F4">
        <w:rPr>
          <w:rFonts w:cstheme="minorHAnsi"/>
          <w:lang w:eastAsia="lv-LV"/>
        </w:rPr>
        <w:t xml:space="preserve"> mazas jaudas enerģētikā (pārsvarā komerciālajā un sabiedriskajā sektorā), kur</w:t>
      </w:r>
      <w:r w:rsidR="00C352B8">
        <w:rPr>
          <w:rFonts w:cstheme="minorHAnsi"/>
          <w:lang w:eastAsia="lv-LV"/>
        </w:rPr>
        <w:t>, arī ievērojot ekodizaina principus, sadedzināšanas iekārtu efektivitāte ir zemāka nekā lielas jaudas sadedzināšanas iekārtām.</w:t>
      </w:r>
    </w:p>
    <w:p w14:paraId="37347C63" w14:textId="660D3CB0" w:rsidR="007C7DE4" w:rsidRDefault="00A97DD0" w:rsidP="0047533B">
      <w:pPr>
        <w:spacing w:before="120" w:after="120" w:line="240" w:lineRule="auto"/>
        <w:jc w:val="both"/>
        <w:rPr>
          <w:rFonts w:cstheme="minorHAnsi"/>
          <w:lang w:eastAsia="lv-LV"/>
        </w:rPr>
      </w:pPr>
      <w:r>
        <w:rPr>
          <w:rFonts w:cstheme="minorHAnsi"/>
          <w:lang w:eastAsia="lv-LV"/>
        </w:rPr>
        <w:t>P</w:t>
      </w:r>
      <w:r w:rsidR="007C7DE4">
        <w:rPr>
          <w:rFonts w:cstheme="minorHAnsi"/>
          <w:lang w:eastAsia="lv-LV"/>
        </w:rPr>
        <w:t xml:space="preserve">rognozētais enerģijas galapatēriņš 2030.gadā ir par apmēram </w:t>
      </w:r>
      <w:r>
        <w:rPr>
          <w:rFonts w:cstheme="minorHAnsi"/>
          <w:lang w:eastAsia="lv-LV"/>
        </w:rPr>
        <w:t>10,6</w:t>
      </w:r>
      <w:r w:rsidR="007C7DE4">
        <w:rPr>
          <w:rFonts w:cstheme="minorHAnsi"/>
          <w:lang w:eastAsia="lv-LV"/>
        </w:rPr>
        <w:t>% mazāks nekā 2017.gadā.</w:t>
      </w:r>
      <w:r w:rsidR="00F428AD">
        <w:rPr>
          <w:rFonts w:cstheme="minorHAnsi"/>
          <w:lang w:eastAsia="lv-LV"/>
        </w:rPr>
        <w:t xml:space="preserve"> E</w:t>
      </w:r>
      <w:r w:rsidR="007C7DE4">
        <w:rPr>
          <w:rFonts w:cstheme="minorHAnsi"/>
          <w:lang w:eastAsia="lv-LV"/>
        </w:rPr>
        <w:t xml:space="preserve">nerģijas galapatēriņa </w:t>
      </w:r>
      <w:r w:rsidR="00F428AD">
        <w:rPr>
          <w:rFonts w:cstheme="minorHAnsi"/>
          <w:lang w:eastAsia="lv-LV"/>
        </w:rPr>
        <w:t xml:space="preserve">prognozes </w:t>
      </w:r>
      <w:r w:rsidR="007C7DE4">
        <w:rPr>
          <w:rFonts w:cstheme="minorHAnsi"/>
          <w:lang w:eastAsia="lv-LV"/>
        </w:rPr>
        <w:t>paredz, ka vislielāk</w:t>
      </w:r>
      <w:r w:rsidR="00F428AD">
        <w:rPr>
          <w:rFonts w:cstheme="minorHAnsi"/>
          <w:lang w:eastAsia="lv-LV"/>
        </w:rPr>
        <w:t>ais</w:t>
      </w:r>
      <w:r w:rsidR="007C7DE4">
        <w:rPr>
          <w:rFonts w:cstheme="minorHAnsi"/>
          <w:lang w:eastAsia="lv-LV"/>
        </w:rPr>
        <w:t xml:space="preserve"> enerģijas patēriņa samazinājums 2030.gadā pret 2017.gadu ir transporta sektorā un mājsaimniecībās. Galvenie enerģijas patēriņa sektori būs </w:t>
      </w:r>
      <w:r>
        <w:rPr>
          <w:rFonts w:cstheme="minorHAnsi"/>
          <w:lang w:eastAsia="lv-LV"/>
        </w:rPr>
        <w:t xml:space="preserve">transports </w:t>
      </w:r>
      <w:r w:rsidR="007C7DE4">
        <w:rPr>
          <w:rFonts w:cstheme="minorHAnsi"/>
          <w:lang w:eastAsia="lv-LV"/>
        </w:rPr>
        <w:t>un mājsaimniecības, kas attiecīgi patērēs</w:t>
      </w:r>
      <w:r>
        <w:rPr>
          <w:rFonts w:cstheme="minorHAnsi"/>
          <w:lang w:eastAsia="lv-LV"/>
        </w:rPr>
        <w:t xml:space="preserve"> 24,9% un 27,9%</w:t>
      </w:r>
      <w:r w:rsidR="007C7DE4">
        <w:rPr>
          <w:rFonts w:cstheme="minorHAnsi"/>
          <w:lang w:eastAsia="lv-LV"/>
        </w:rPr>
        <w:t xml:space="preserve"> katrs</w:t>
      </w:r>
      <w:r>
        <w:rPr>
          <w:rFonts w:cstheme="minorHAnsi"/>
          <w:lang w:eastAsia="lv-LV"/>
        </w:rPr>
        <w:t>, bet rūpniecības un būvniecības sektors patērēs apmēram 24,8%. Komerciālais un sabiedriskais sektors patērs apmēram 16,2%, bet atlikušo patērēs 6,2%</w:t>
      </w:r>
      <w:r w:rsidR="007C7DE4">
        <w:rPr>
          <w:rFonts w:cstheme="minorHAnsi"/>
          <w:lang w:eastAsia="lv-LV"/>
        </w:rPr>
        <w:t>.</w:t>
      </w:r>
    </w:p>
    <w:p w14:paraId="7394A2DA" w14:textId="24DE192F" w:rsidR="007C7DE4" w:rsidRDefault="002116C5" w:rsidP="0047533B">
      <w:pPr>
        <w:spacing w:before="120" w:after="120" w:line="240" w:lineRule="auto"/>
        <w:jc w:val="center"/>
        <w:rPr>
          <w:rFonts w:cstheme="minorHAnsi"/>
          <w:lang w:eastAsia="lv-LV"/>
        </w:rPr>
      </w:pPr>
      <w:r>
        <w:rPr>
          <w:rFonts w:cstheme="minorHAnsi"/>
          <w:noProof/>
          <w:lang w:eastAsia="lv-LV"/>
        </w:rPr>
        <w:drawing>
          <wp:inline distT="0" distB="0" distL="0" distR="0" wp14:anchorId="72153D7F" wp14:editId="7F178A85">
            <wp:extent cx="4400550" cy="3007861"/>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14515" cy="3017407"/>
                    </a:xfrm>
                    <a:prstGeom prst="rect">
                      <a:avLst/>
                    </a:prstGeom>
                    <a:noFill/>
                  </pic:spPr>
                </pic:pic>
              </a:graphicData>
            </a:graphic>
          </wp:inline>
        </w:drawing>
      </w:r>
    </w:p>
    <w:p w14:paraId="171D66EC" w14:textId="1E8A2128" w:rsidR="00F428AD" w:rsidRPr="00F428AD" w:rsidRDefault="00F428AD" w:rsidP="0047533B">
      <w:pPr>
        <w:pStyle w:val="Caption"/>
        <w:rPr>
          <w:rFonts w:asciiTheme="minorHAnsi" w:hAnsiTheme="minorHAnsi" w:cstheme="minorHAnsi"/>
        </w:rPr>
      </w:pPr>
      <w:r w:rsidRPr="00F428AD">
        <w:rPr>
          <w:rFonts w:asciiTheme="minorHAnsi" w:hAnsiTheme="minorHAnsi" w:cstheme="minorHAnsi"/>
          <w:noProof/>
        </w:rPr>
        <w:fldChar w:fldCharType="begin"/>
      </w:r>
      <w:r w:rsidRPr="00F428AD">
        <w:rPr>
          <w:rFonts w:asciiTheme="minorHAnsi" w:hAnsiTheme="minorHAnsi" w:cstheme="minorHAnsi"/>
          <w:noProof/>
        </w:rPr>
        <w:instrText xml:space="preserve"> SEQ Ilustrācija \* ARABIC </w:instrText>
      </w:r>
      <w:r w:rsidRPr="00F428AD">
        <w:rPr>
          <w:rFonts w:asciiTheme="minorHAnsi" w:hAnsiTheme="minorHAnsi" w:cstheme="minorHAnsi"/>
          <w:noProof/>
        </w:rPr>
        <w:fldChar w:fldCharType="separate"/>
      </w:r>
      <w:bookmarkStart w:id="589" w:name="_Toc23782720"/>
      <w:r w:rsidR="006E6675">
        <w:rPr>
          <w:rFonts w:asciiTheme="minorHAnsi" w:hAnsiTheme="minorHAnsi" w:cstheme="minorHAnsi"/>
          <w:noProof/>
        </w:rPr>
        <w:t>40</w:t>
      </w:r>
      <w:r w:rsidRPr="00F428AD">
        <w:rPr>
          <w:rFonts w:asciiTheme="minorHAnsi" w:hAnsiTheme="minorHAnsi" w:cstheme="minorHAnsi"/>
          <w:noProof/>
        </w:rPr>
        <w:fldChar w:fldCharType="end"/>
      </w:r>
      <w:r w:rsidRPr="00F428AD">
        <w:rPr>
          <w:rFonts w:asciiTheme="minorHAnsi" w:hAnsiTheme="minorHAnsi" w:cstheme="minorHAnsi"/>
        </w:rPr>
        <w:t xml:space="preserve">.attēls. </w:t>
      </w:r>
      <w:r>
        <w:rPr>
          <w:rFonts w:asciiTheme="minorHAnsi" w:hAnsiTheme="minorHAnsi" w:cstheme="minorHAnsi"/>
        </w:rPr>
        <w:t xml:space="preserve">Plānoto rīcībpolitiku un pasākumu īstenošanas rezultātā prognozētais enerģijas galapatēriņš sadalījumā pa sektoriem </w:t>
      </w:r>
      <w:r w:rsidR="00102358">
        <w:rPr>
          <w:rFonts w:asciiTheme="minorHAnsi" w:hAnsiTheme="minorHAnsi" w:cstheme="minorHAnsi"/>
        </w:rPr>
        <w:t>līdz</w:t>
      </w:r>
      <w:r w:rsidRPr="00F428AD">
        <w:rPr>
          <w:rFonts w:asciiTheme="minorHAnsi" w:hAnsiTheme="minorHAnsi" w:cstheme="minorHAnsi"/>
        </w:rPr>
        <w:t xml:space="preserve"> 2030.gadam</w:t>
      </w:r>
      <w:r w:rsidRPr="00F428AD">
        <w:rPr>
          <w:rStyle w:val="FootnoteReference"/>
          <w:rFonts w:asciiTheme="minorHAnsi" w:hAnsiTheme="minorHAnsi" w:cstheme="minorHAnsi"/>
        </w:rPr>
        <w:footnoteReference w:id="195"/>
      </w:r>
      <w:r w:rsidRPr="00F428AD">
        <w:rPr>
          <w:rFonts w:asciiTheme="minorHAnsi" w:hAnsiTheme="minorHAnsi" w:cstheme="minorHAnsi"/>
        </w:rPr>
        <w:t xml:space="preserve"> (PJ)</w:t>
      </w:r>
      <w:bookmarkEnd w:id="589"/>
    </w:p>
    <w:p w14:paraId="175D5A1A" w14:textId="1C0AEE73" w:rsidR="007C7DE4" w:rsidRDefault="007C7DE4" w:rsidP="0047533B">
      <w:pPr>
        <w:spacing w:before="120" w:after="120" w:line="240" w:lineRule="auto"/>
        <w:jc w:val="both"/>
        <w:rPr>
          <w:rFonts w:cstheme="minorHAnsi"/>
          <w:sz w:val="22"/>
          <w:lang w:eastAsia="lv-LV"/>
        </w:rPr>
      </w:pPr>
      <w:r>
        <w:rPr>
          <w:rFonts w:cstheme="minorHAnsi"/>
          <w:lang w:eastAsia="lv-LV"/>
        </w:rPr>
        <w:t>Mērķa scenārijā uz 2030.gadu pieaug elektroenerģijas un dabasgāzes daļa enerģijas galapatēriņā</w:t>
      </w:r>
      <w:r w:rsidR="00102358">
        <w:rPr>
          <w:rFonts w:cstheme="minorHAnsi"/>
          <w:lang w:eastAsia="lv-LV"/>
        </w:rPr>
        <w:t>, kur pieaugums ir p</w:t>
      </w:r>
      <w:r>
        <w:rPr>
          <w:rFonts w:cstheme="minorHAnsi"/>
          <w:lang w:eastAsia="lv-LV"/>
        </w:rPr>
        <w:t xml:space="preserve">ar apmēram </w:t>
      </w:r>
      <w:r w:rsidR="002116C5">
        <w:rPr>
          <w:rFonts w:cstheme="minorHAnsi"/>
          <w:lang w:eastAsia="lv-LV"/>
        </w:rPr>
        <w:t>1,5-1,7 procentp</w:t>
      </w:r>
      <w:r>
        <w:rPr>
          <w:rFonts w:cstheme="minorHAnsi"/>
          <w:lang w:eastAsia="lv-LV"/>
        </w:rPr>
        <w:t xml:space="preserve">unktiem, salīdzinot ar 2017.gadu. </w:t>
      </w:r>
      <w:r w:rsidR="00102358">
        <w:rPr>
          <w:rFonts w:cstheme="minorHAnsi"/>
          <w:lang w:eastAsia="lv-LV"/>
        </w:rPr>
        <w:t xml:space="preserve">Tomēr, ņemot vērā transportlīdzekļu </w:t>
      </w:r>
      <w:r>
        <w:rPr>
          <w:rFonts w:cstheme="minorHAnsi"/>
          <w:lang w:eastAsia="lv-LV"/>
        </w:rPr>
        <w:t xml:space="preserve">efektivitātes paaugstināšanos, </w:t>
      </w:r>
      <w:r w:rsidR="00102358">
        <w:rPr>
          <w:rFonts w:cstheme="minorHAnsi"/>
          <w:lang w:eastAsia="lv-LV"/>
        </w:rPr>
        <w:t>ETL skaita un izmantošanas palielināšanos</w:t>
      </w:r>
      <w:r>
        <w:rPr>
          <w:rFonts w:cstheme="minorHAnsi"/>
          <w:lang w:eastAsia="lv-LV"/>
        </w:rPr>
        <w:t xml:space="preserve">, AER plašāku izmantošanu transportā, </w:t>
      </w:r>
      <w:r w:rsidR="00102358">
        <w:rPr>
          <w:rFonts w:cstheme="minorHAnsi"/>
          <w:lang w:eastAsia="lv-LV"/>
        </w:rPr>
        <w:t xml:space="preserve">fosilā šķidrā kurināmā / degvielas </w:t>
      </w:r>
      <w:r>
        <w:rPr>
          <w:rFonts w:cstheme="minorHAnsi"/>
          <w:lang w:eastAsia="lv-LV"/>
        </w:rPr>
        <w:t xml:space="preserve">patēriņa daļa samazinās par apmēram 9,4% punktiem. Visa veida biomasu patēriņa daļa pieaug par apmēram 6% punktiem, salīdzinot ar 2017.gadu. </w:t>
      </w:r>
    </w:p>
    <w:p w14:paraId="735662F8" w14:textId="6A6A6480" w:rsidR="007C7DE4" w:rsidRDefault="002116C5" w:rsidP="0047533B">
      <w:pPr>
        <w:spacing w:before="120" w:after="120" w:line="240" w:lineRule="auto"/>
        <w:jc w:val="center"/>
        <w:rPr>
          <w:rFonts w:cstheme="minorHAnsi"/>
          <w:lang w:eastAsia="lv-LV"/>
        </w:rPr>
      </w:pPr>
      <w:r>
        <w:rPr>
          <w:rFonts w:cstheme="minorHAnsi"/>
          <w:noProof/>
          <w:lang w:eastAsia="lv-LV"/>
        </w:rPr>
        <w:drawing>
          <wp:inline distT="0" distB="0" distL="0" distR="0" wp14:anchorId="5A504957" wp14:editId="754EE523">
            <wp:extent cx="4445000" cy="268768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71806" cy="2703890"/>
                    </a:xfrm>
                    <a:prstGeom prst="rect">
                      <a:avLst/>
                    </a:prstGeom>
                    <a:noFill/>
                  </pic:spPr>
                </pic:pic>
              </a:graphicData>
            </a:graphic>
          </wp:inline>
        </w:drawing>
      </w:r>
    </w:p>
    <w:p w14:paraId="615C358B" w14:textId="0319D71F" w:rsidR="00102358" w:rsidRPr="00F428AD" w:rsidRDefault="00102358" w:rsidP="0047533B">
      <w:pPr>
        <w:pStyle w:val="Caption"/>
        <w:rPr>
          <w:rFonts w:asciiTheme="minorHAnsi" w:hAnsiTheme="minorHAnsi" w:cstheme="minorHAnsi"/>
        </w:rPr>
      </w:pPr>
      <w:r w:rsidRPr="00F428AD">
        <w:rPr>
          <w:rFonts w:asciiTheme="minorHAnsi" w:hAnsiTheme="minorHAnsi" w:cstheme="minorHAnsi"/>
          <w:noProof/>
        </w:rPr>
        <w:fldChar w:fldCharType="begin"/>
      </w:r>
      <w:r w:rsidRPr="00F428AD">
        <w:rPr>
          <w:rFonts w:asciiTheme="minorHAnsi" w:hAnsiTheme="minorHAnsi" w:cstheme="minorHAnsi"/>
          <w:noProof/>
        </w:rPr>
        <w:instrText xml:space="preserve"> SEQ Ilustrācija \* ARABIC </w:instrText>
      </w:r>
      <w:r w:rsidRPr="00F428AD">
        <w:rPr>
          <w:rFonts w:asciiTheme="minorHAnsi" w:hAnsiTheme="minorHAnsi" w:cstheme="minorHAnsi"/>
          <w:noProof/>
        </w:rPr>
        <w:fldChar w:fldCharType="separate"/>
      </w:r>
      <w:bookmarkStart w:id="590" w:name="_Toc23782721"/>
      <w:r w:rsidR="006E6675">
        <w:rPr>
          <w:rFonts w:asciiTheme="minorHAnsi" w:hAnsiTheme="minorHAnsi" w:cstheme="minorHAnsi"/>
          <w:noProof/>
        </w:rPr>
        <w:t>41</w:t>
      </w:r>
      <w:r w:rsidRPr="00F428AD">
        <w:rPr>
          <w:rFonts w:asciiTheme="minorHAnsi" w:hAnsiTheme="minorHAnsi" w:cstheme="minorHAnsi"/>
          <w:noProof/>
        </w:rPr>
        <w:fldChar w:fldCharType="end"/>
      </w:r>
      <w:r w:rsidRPr="00F428AD">
        <w:rPr>
          <w:rFonts w:asciiTheme="minorHAnsi" w:hAnsiTheme="minorHAnsi" w:cstheme="minorHAnsi"/>
        </w:rPr>
        <w:t xml:space="preserve">.attēls. </w:t>
      </w:r>
      <w:r>
        <w:rPr>
          <w:rFonts w:asciiTheme="minorHAnsi" w:hAnsiTheme="minorHAnsi" w:cstheme="minorHAnsi"/>
        </w:rPr>
        <w:t>Plānoto rīcībpolitiku un pasākumu īstenošanas rezultātā prognozētais enerģijas galapatēriņš sadalījumā pa enerģijas veidiem līdz</w:t>
      </w:r>
      <w:r w:rsidRPr="00F428AD">
        <w:rPr>
          <w:rFonts w:asciiTheme="minorHAnsi" w:hAnsiTheme="minorHAnsi" w:cstheme="minorHAnsi"/>
        </w:rPr>
        <w:t xml:space="preserve"> 2030.gadam</w:t>
      </w:r>
      <w:r w:rsidRPr="00F428AD">
        <w:rPr>
          <w:rStyle w:val="FootnoteReference"/>
          <w:rFonts w:asciiTheme="minorHAnsi" w:hAnsiTheme="minorHAnsi" w:cstheme="minorHAnsi"/>
        </w:rPr>
        <w:footnoteReference w:id="196"/>
      </w:r>
      <w:r w:rsidRPr="00F428AD">
        <w:rPr>
          <w:rFonts w:asciiTheme="minorHAnsi" w:hAnsiTheme="minorHAnsi" w:cstheme="minorHAnsi"/>
        </w:rPr>
        <w:t xml:space="preserve"> (PJ)</w:t>
      </w:r>
      <w:bookmarkEnd w:id="590"/>
    </w:p>
    <w:p w14:paraId="62446326" w14:textId="61B97802" w:rsidR="007C7DE4" w:rsidRPr="00102358" w:rsidRDefault="007C7DE4" w:rsidP="0047533B">
      <w:pPr>
        <w:spacing w:before="120" w:after="120" w:line="240" w:lineRule="auto"/>
        <w:jc w:val="both"/>
        <w:rPr>
          <w:rFonts w:cstheme="minorHAnsi"/>
          <w:sz w:val="22"/>
          <w:lang w:bidi="en-US"/>
        </w:rPr>
      </w:pPr>
      <w:r w:rsidRPr="00102358">
        <w:rPr>
          <w:rFonts w:cstheme="minorHAnsi"/>
          <w:lang w:bidi="en-US"/>
        </w:rPr>
        <w:t xml:space="preserve">Prognozētais kopējais primārās enerģijas patēriņš 2030.gadā </w:t>
      </w:r>
      <w:r w:rsidR="00102358" w:rsidRPr="00102358">
        <w:rPr>
          <w:rFonts w:cstheme="minorHAnsi"/>
          <w:lang w:bidi="en-US"/>
        </w:rPr>
        <w:t>m</w:t>
      </w:r>
      <w:r w:rsidRPr="00102358">
        <w:rPr>
          <w:rFonts w:cstheme="minorHAnsi"/>
          <w:lang w:bidi="en-US"/>
        </w:rPr>
        <w:t>ērķa scenārijā ir par 10,3% mazāks nekā 2017.gadā. Visu fosilā kurināmā daļas kopējā primāro energoresursu patēriņā samazinās uz 2030.gadu, salīdzinot ar 2017.gadu</w:t>
      </w:r>
      <w:r w:rsidR="00102358" w:rsidRPr="00102358">
        <w:rPr>
          <w:rFonts w:cstheme="minorHAnsi"/>
          <w:lang w:bidi="en-US"/>
        </w:rPr>
        <w:t xml:space="preserve">, vienlaicīgi palielināt </w:t>
      </w:r>
      <w:r w:rsidRPr="00102358">
        <w:rPr>
          <w:rFonts w:cstheme="minorHAnsi"/>
          <w:lang w:bidi="en-US"/>
        </w:rPr>
        <w:t>visu</w:t>
      </w:r>
      <w:r w:rsidR="00102358" w:rsidRPr="00102358">
        <w:rPr>
          <w:rFonts w:cstheme="minorHAnsi"/>
          <w:lang w:bidi="en-US"/>
        </w:rPr>
        <w:t xml:space="preserve"> AER </w:t>
      </w:r>
      <w:r w:rsidRPr="00102358">
        <w:rPr>
          <w:rFonts w:cstheme="minorHAnsi"/>
          <w:lang w:bidi="en-US"/>
        </w:rPr>
        <w:t>veidu</w:t>
      </w:r>
      <w:r w:rsidR="00102358" w:rsidRPr="00102358">
        <w:rPr>
          <w:rFonts w:cstheme="minorHAnsi"/>
          <w:lang w:bidi="en-US"/>
        </w:rPr>
        <w:t xml:space="preserve"> īpatsvars</w:t>
      </w:r>
      <w:r w:rsidRPr="00102358">
        <w:rPr>
          <w:rFonts w:cstheme="minorHAnsi"/>
          <w:lang w:bidi="en-US"/>
        </w:rPr>
        <w:t>.</w:t>
      </w:r>
    </w:p>
    <w:p w14:paraId="749C832A" w14:textId="36BE6654" w:rsidR="007C7DE4" w:rsidRDefault="002116C5" w:rsidP="0047533B">
      <w:pPr>
        <w:tabs>
          <w:tab w:val="left" w:pos="567"/>
        </w:tabs>
        <w:spacing w:before="120" w:after="120" w:line="240" w:lineRule="auto"/>
        <w:jc w:val="center"/>
        <w:rPr>
          <w:rFonts w:cstheme="minorHAnsi"/>
          <w:szCs w:val="24"/>
          <w:lang w:eastAsia="lv-LV" w:bidi="en-US"/>
        </w:rPr>
      </w:pPr>
      <w:r>
        <w:rPr>
          <w:rFonts w:cstheme="minorHAnsi"/>
          <w:noProof/>
          <w:szCs w:val="24"/>
          <w:lang w:eastAsia="lv-LV" w:bidi="en-US"/>
        </w:rPr>
        <w:drawing>
          <wp:inline distT="0" distB="0" distL="0" distR="0" wp14:anchorId="28384976" wp14:editId="5D7F899F">
            <wp:extent cx="4457700" cy="2622002"/>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83730" cy="2637313"/>
                    </a:xfrm>
                    <a:prstGeom prst="rect">
                      <a:avLst/>
                    </a:prstGeom>
                    <a:noFill/>
                  </pic:spPr>
                </pic:pic>
              </a:graphicData>
            </a:graphic>
          </wp:inline>
        </w:drawing>
      </w:r>
    </w:p>
    <w:p w14:paraId="284333A3" w14:textId="2BA20CD2" w:rsidR="00102358" w:rsidRPr="00F428AD" w:rsidRDefault="00102358" w:rsidP="0047533B">
      <w:pPr>
        <w:pStyle w:val="Caption"/>
        <w:rPr>
          <w:rFonts w:asciiTheme="minorHAnsi" w:hAnsiTheme="minorHAnsi" w:cstheme="minorHAnsi"/>
        </w:rPr>
      </w:pPr>
      <w:r w:rsidRPr="00F428AD">
        <w:rPr>
          <w:rFonts w:asciiTheme="minorHAnsi" w:hAnsiTheme="minorHAnsi" w:cstheme="minorHAnsi"/>
          <w:noProof/>
        </w:rPr>
        <w:fldChar w:fldCharType="begin"/>
      </w:r>
      <w:r w:rsidRPr="00F428AD">
        <w:rPr>
          <w:rFonts w:asciiTheme="minorHAnsi" w:hAnsiTheme="minorHAnsi" w:cstheme="minorHAnsi"/>
          <w:noProof/>
        </w:rPr>
        <w:instrText xml:space="preserve"> SEQ Ilustrācija \* ARABIC </w:instrText>
      </w:r>
      <w:r w:rsidRPr="00F428AD">
        <w:rPr>
          <w:rFonts w:asciiTheme="minorHAnsi" w:hAnsiTheme="minorHAnsi" w:cstheme="minorHAnsi"/>
          <w:noProof/>
        </w:rPr>
        <w:fldChar w:fldCharType="separate"/>
      </w:r>
      <w:bookmarkStart w:id="591" w:name="_Toc23782722"/>
      <w:r w:rsidR="006E6675">
        <w:rPr>
          <w:rFonts w:asciiTheme="minorHAnsi" w:hAnsiTheme="minorHAnsi" w:cstheme="minorHAnsi"/>
          <w:noProof/>
        </w:rPr>
        <w:t>42</w:t>
      </w:r>
      <w:r w:rsidRPr="00F428AD">
        <w:rPr>
          <w:rFonts w:asciiTheme="minorHAnsi" w:hAnsiTheme="minorHAnsi" w:cstheme="minorHAnsi"/>
          <w:noProof/>
        </w:rPr>
        <w:fldChar w:fldCharType="end"/>
      </w:r>
      <w:r w:rsidRPr="00F428AD">
        <w:rPr>
          <w:rFonts w:asciiTheme="minorHAnsi" w:hAnsiTheme="minorHAnsi" w:cstheme="minorHAnsi"/>
        </w:rPr>
        <w:t xml:space="preserve">.attēls. </w:t>
      </w:r>
      <w:r>
        <w:rPr>
          <w:rFonts w:asciiTheme="minorHAnsi" w:hAnsiTheme="minorHAnsi" w:cstheme="minorHAnsi"/>
        </w:rPr>
        <w:t xml:space="preserve">Plānoto rīcībpolitiku un pasākumu īstenošanas rezultātā prognozētais </w:t>
      </w:r>
      <w:r w:rsidR="00415B59" w:rsidRPr="00415B59">
        <w:rPr>
          <w:rFonts w:asciiTheme="minorHAnsi" w:hAnsiTheme="minorHAnsi" w:cstheme="minorHAnsi"/>
        </w:rPr>
        <w:t xml:space="preserve">primārās enerģijas patēriņš </w:t>
      </w:r>
      <w:r>
        <w:rPr>
          <w:rFonts w:asciiTheme="minorHAnsi" w:hAnsiTheme="minorHAnsi" w:cstheme="minorHAnsi"/>
        </w:rPr>
        <w:t>sadalījumā pa enerģijas veidiem līdz</w:t>
      </w:r>
      <w:r w:rsidRPr="00F428AD">
        <w:rPr>
          <w:rFonts w:asciiTheme="minorHAnsi" w:hAnsiTheme="minorHAnsi" w:cstheme="minorHAnsi"/>
        </w:rPr>
        <w:t xml:space="preserve"> 2030.gadam</w:t>
      </w:r>
      <w:r w:rsidRPr="00F428AD">
        <w:rPr>
          <w:rStyle w:val="FootnoteReference"/>
          <w:rFonts w:asciiTheme="minorHAnsi" w:hAnsiTheme="minorHAnsi" w:cstheme="minorHAnsi"/>
        </w:rPr>
        <w:footnoteReference w:id="197"/>
      </w:r>
      <w:r w:rsidRPr="00F428AD">
        <w:rPr>
          <w:rFonts w:asciiTheme="minorHAnsi" w:hAnsiTheme="minorHAnsi" w:cstheme="minorHAnsi"/>
        </w:rPr>
        <w:t xml:space="preserve"> (PJ)</w:t>
      </w:r>
      <w:bookmarkEnd w:id="591"/>
    </w:p>
    <w:p w14:paraId="3E5CC979" w14:textId="6CE2F2F5" w:rsidR="0055426F" w:rsidRDefault="007C7DE4" w:rsidP="0047533B">
      <w:pPr>
        <w:tabs>
          <w:tab w:val="left" w:pos="567"/>
        </w:tabs>
        <w:spacing w:before="120" w:after="120" w:line="240" w:lineRule="auto"/>
        <w:jc w:val="both"/>
        <w:rPr>
          <w:rFonts w:cstheme="minorHAnsi"/>
          <w:szCs w:val="24"/>
        </w:rPr>
      </w:pPr>
      <w:r>
        <w:rPr>
          <w:lang w:eastAsia="lv-LV" w:bidi="en-US"/>
        </w:rPr>
        <w:t xml:space="preserve">Tiek prognozēts, ka elektroenerģijas patēriņš </w:t>
      </w:r>
      <w:r w:rsidR="00415B59">
        <w:rPr>
          <w:lang w:eastAsia="lv-LV" w:bidi="en-US"/>
        </w:rPr>
        <w:t>m</w:t>
      </w:r>
      <w:r>
        <w:rPr>
          <w:lang w:eastAsia="lv-LV" w:bidi="en-US"/>
        </w:rPr>
        <w:t xml:space="preserve">ērķa scenārijā 2030.gadā ir par apmēram 10% lielāks nekā 2017.gadā. </w:t>
      </w:r>
      <w:r w:rsidR="0055426F">
        <w:rPr>
          <w:rFonts w:cstheme="minorHAnsi"/>
          <w:szCs w:val="24"/>
        </w:rPr>
        <w:t>AER elektroenerģijā īpatsvars</w:t>
      </w:r>
      <w:r w:rsidR="0055426F">
        <w:rPr>
          <w:rStyle w:val="FootnoteReference"/>
          <w:rFonts w:cstheme="minorHAnsi"/>
          <w:szCs w:val="24"/>
        </w:rPr>
        <w:footnoteReference w:id="198"/>
      </w:r>
      <w:r w:rsidR="0055426F">
        <w:rPr>
          <w:rFonts w:cstheme="minorHAnsi"/>
          <w:szCs w:val="24"/>
        </w:rPr>
        <w:t xml:space="preserve"> mērķa scenārijā līdz 2030.gadam palielinās un 2030.gadā sasniedz 6</w:t>
      </w:r>
      <w:r w:rsidR="00F505BA">
        <w:rPr>
          <w:rFonts w:cstheme="minorHAnsi"/>
          <w:szCs w:val="24"/>
        </w:rPr>
        <w:t>2,3</w:t>
      </w:r>
      <w:r w:rsidR="0055426F">
        <w:rPr>
          <w:rFonts w:cstheme="minorHAnsi"/>
          <w:szCs w:val="24"/>
        </w:rPr>
        <w:t xml:space="preserve">%.  </w:t>
      </w:r>
    </w:p>
    <w:p w14:paraId="6464C21C" w14:textId="598F95AB" w:rsidR="007C7DE4" w:rsidRDefault="00F505BA" w:rsidP="0047533B">
      <w:pPr>
        <w:spacing w:before="120" w:after="120" w:line="240" w:lineRule="auto"/>
        <w:jc w:val="center"/>
        <w:rPr>
          <w:lang w:eastAsia="lv-LV" w:bidi="en-US"/>
        </w:rPr>
      </w:pPr>
      <w:r>
        <w:rPr>
          <w:noProof/>
          <w:lang w:eastAsia="lv-LV" w:bidi="en-US"/>
        </w:rPr>
        <w:drawing>
          <wp:inline distT="0" distB="0" distL="0" distR="0" wp14:anchorId="7BDBD3A0" wp14:editId="03947C9D">
            <wp:extent cx="4368800" cy="2796678"/>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78434" cy="2802845"/>
                    </a:xfrm>
                    <a:prstGeom prst="rect">
                      <a:avLst/>
                    </a:prstGeom>
                    <a:noFill/>
                  </pic:spPr>
                </pic:pic>
              </a:graphicData>
            </a:graphic>
          </wp:inline>
        </w:drawing>
      </w:r>
    </w:p>
    <w:p w14:paraId="0877A7E2" w14:textId="3FCBA4DC" w:rsidR="007C7DE4" w:rsidRPr="00415B59" w:rsidRDefault="00415B59" w:rsidP="0047533B">
      <w:pPr>
        <w:pStyle w:val="Caption"/>
        <w:rPr>
          <w:rFonts w:asciiTheme="minorHAnsi" w:hAnsiTheme="minorHAnsi" w:cstheme="minorHAnsi"/>
        </w:rPr>
      </w:pPr>
      <w:r w:rsidRPr="00415B59">
        <w:rPr>
          <w:rFonts w:asciiTheme="minorHAnsi" w:hAnsiTheme="minorHAnsi" w:cstheme="minorHAnsi"/>
          <w:noProof/>
        </w:rPr>
        <w:fldChar w:fldCharType="begin"/>
      </w:r>
      <w:r w:rsidRPr="00415B59">
        <w:rPr>
          <w:rFonts w:asciiTheme="minorHAnsi" w:hAnsiTheme="minorHAnsi" w:cstheme="minorHAnsi"/>
          <w:noProof/>
        </w:rPr>
        <w:instrText xml:space="preserve"> SEQ Ilustrācija \* ARABIC </w:instrText>
      </w:r>
      <w:r w:rsidRPr="00415B59">
        <w:rPr>
          <w:rFonts w:asciiTheme="minorHAnsi" w:hAnsiTheme="minorHAnsi" w:cstheme="minorHAnsi"/>
          <w:noProof/>
        </w:rPr>
        <w:fldChar w:fldCharType="separate"/>
      </w:r>
      <w:bookmarkStart w:id="592" w:name="_Toc23782723"/>
      <w:r w:rsidR="006E6675">
        <w:rPr>
          <w:rFonts w:asciiTheme="minorHAnsi" w:hAnsiTheme="minorHAnsi" w:cstheme="minorHAnsi"/>
          <w:noProof/>
        </w:rPr>
        <w:t>43</w:t>
      </w:r>
      <w:r w:rsidRPr="00415B59">
        <w:rPr>
          <w:rFonts w:asciiTheme="minorHAnsi" w:hAnsiTheme="minorHAnsi" w:cstheme="minorHAnsi"/>
          <w:noProof/>
        </w:rPr>
        <w:fldChar w:fldCharType="end"/>
      </w:r>
      <w:r w:rsidRPr="00415B59">
        <w:rPr>
          <w:rFonts w:asciiTheme="minorHAnsi" w:hAnsiTheme="minorHAnsi" w:cstheme="minorHAnsi"/>
        </w:rPr>
        <w:t>.attēls. Plānoto rīcībpolitiku un pasākumu īstenošanas rezultātā prognozētais e</w:t>
      </w:r>
      <w:r w:rsidR="007C7DE4" w:rsidRPr="00415B59">
        <w:rPr>
          <w:rFonts w:asciiTheme="minorHAnsi" w:hAnsiTheme="minorHAnsi" w:cstheme="minorHAnsi"/>
        </w:rPr>
        <w:t>lektroenerģijas patēriņ</w:t>
      </w:r>
      <w:r>
        <w:rPr>
          <w:rFonts w:asciiTheme="minorHAnsi" w:hAnsiTheme="minorHAnsi" w:cstheme="minorHAnsi"/>
        </w:rPr>
        <w:t>š</w:t>
      </w:r>
      <w:r w:rsidR="007C7DE4" w:rsidRPr="00415B59">
        <w:rPr>
          <w:rFonts w:asciiTheme="minorHAnsi" w:hAnsiTheme="minorHAnsi" w:cstheme="minorHAnsi"/>
        </w:rPr>
        <w:t xml:space="preserve"> pa sektoriem</w:t>
      </w:r>
      <w:r w:rsidR="002D1881">
        <w:rPr>
          <w:rFonts w:asciiTheme="minorHAnsi" w:hAnsiTheme="minorHAnsi" w:cstheme="minorHAnsi"/>
        </w:rPr>
        <w:t xml:space="preserve"> (GWh)</w:t>
      </w:r>
      <w:r w:rsidRPr="00415B59">
        <w:rPr>
          <w:rStyle w:val="FootnoteReference"/>
          <w:rFonts w:asciiTheme="minorHAnsi" w:hAnsiTheme="minorHAnsi" w:cstheme="minorHAnsi"/>
        </w:rPr>
        <w:footnoteReference w:id="199"/>
      </w:r>
      <w:bookmarkEnd w:id="592"/>
    </w:p>
    <w:p w14:paraId="2A51BBF0" w14:textId="447F5E7A" w:rsidR="00415B59" w:rsidRDefault="00415B59" w:rsidP="0047533B">
      <w:pPr>
        <w:spacing w:before="120" w:after="120" w:line="240" w:lineRule="auto"/>
        <w:jc w:val="both"/>
        <w:rPr>
          <w:sz w:val="22"/>
        </w:rPr>
      </w:pPr>
      <w:r>
        <w:t>Kopējais CS</w:t>
      </w:r>
      <w:r w:rsidR="0055426F">
        <w:t>A siltumenerģijas</w:t>
      </w:r>
      <w:r>
        <w:t xml:space="preserve"> patēriņš M</w:t>
      </w:r>
      <w:r w:rsidR="00F505BA">
        <w:t>m</w:t>
      </w:r>
      <w:r>
        <w:t>rķa scenārijā 2030.gadā ir par apmēram 4,7% mazāks nekā 2017.gad</w:t>
      </w:r>
      <w:r w:rsidR="00F505BA">
        <w:t>ā</w:t>
      </w:r>
      <w:r w:rsidR="0055426F">
        <w:t>, kur m</w:t>
      </w:r>
      <w:r>
        <w:t>ērķa scenārijs paredz, ka turpinās dabasgāzes aizvietošana ar cieto biomasu</w:t>
      </w:r>
      <w:r w:rsidR="0055426F">
        <w:t>, un l</w:t>
      </w:r>
      <w:r>
        <w:t xml:space="preserve">īdz ar to </w:t>
      </w:r>
      <w:r w:rsidR="0055426F">
        <w:t xml:space="preserve">arī </w:t>
      </w:r>
      <w:r>
        <w:t>AER</w:t>
      </w:r>
      <w:r w:rsidR="00F505BA">
        <w:t xml:space="preserve"> siltumenerģijā </w:t>
      </w:r>
      <w:r>
        <w:t>līdz 2030.gadam pieaug un sasniedz 56,</w:t>
      </w:r>
      <w:r w:rsidR="00F505BA">
        <w:t>8</w:t>
      </w:r>
      <w:r>
        <w:t>%.</w:t>
      </w:r>
    </w:p>
    <w:p w14:paraId="792CF2CE" w14:textId="65584828" w:rsidR="007C7DE4" w:rsidRDefault="00F505BA" w:rsidP="0047533B">
      <w:pPr>
        <w:tabs>
          <w:tab w:val="left" w:pos="567"/>
        </w:tabs>
        <w:spacing w:before="120" w:after="120" w:line="240" w:lineRule="auto"/>
        <w:jc w:val="center"/>
        <w:rPr>
          <w:rFonts w:cstheme="minorHAnsi"/>
          <w:szCs w:val="24"/>
        </w:rPr>
      </w:pPr>
      <w:r>
        <w:rPr>
          <w:rFonts w:cstheme="minorHAnsi"/>
          <w:noProof/>
          <w:szCs w:val="24"/>
        </w:rPr>
        <w:drawing>
          <wp:inline distT="0" distB="0" distL="0" distR="0" wp14:anchorId="6494553B" wp14:editId="0FEB634B">
            <wp:extent cx="4403725" cy="284602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19144" cy="2855987"/>
                    </a:xfrm>
                    <a:prstGeom prst="rect">
                      <a:avLst/>
                    </a:prstGeom>
                    <a:noFill/>
                  </pic:spPr>
                </pic:pic>
              </a:graphicData>
            </a:graphic>
          </wp:inline>
        </w:drawing>
      </w:r>
    </w:p>
    <w:p w14:paraId="305AA5A3" w14:textId="58C47129" w:rsidR="00415B59" w:rsidRPr="00415B59" w:rsidRDefault="00415B59" w:rsidP="0047533B">
      <w:pPr>
        <w:pStyle w:val="Caption"/>
        <w:rPr>
          <w:rFonts w:asciiTheme="minorHAnsi" w:hAnsiTheme="minorHAnsi" w:cstheme="minorHAnsi"/>
        </w:rPr>
      </w:pPr>
      <w:r w:rsidRPr="00415B59">
        <w:rPr>
          <w:rFonts w:asciiTheme="minorHAnsi" w:hAnsiTheme="minorHAnsi" w:cstheme="minorHAnsi"/>
          <w:noProof/>
        </w:rPr>
        <w:fldChar w:fldCharType="begin"/>
      </w:r>
      <w:r w:rsidRPr="00415B59">
        <w:rPr>
          <w:rFonts w:asciiTheme="minorHAnsi" w:hAnsiTheme="minorHAnsi" w:cstheme="minorHAnsi"/>
          <w:noProof/>
        </w:rPr>
        <w:instrText xml:space="preserve"> SEQ Ilustrācija \* ARABIC </w:instrText>
      </w:r>
      <w:r w:rsidRPr="00415B59">
        <w:rPr>
          <w:rFonts w:asciiTheme="minorHAnsi" w:hAnsiTheme="minorHAnsi" w:cstheme="minorHAnsi"/>
          <w:noProof/>
        </w:rPr>
        <w:fldChar w:fldCharType="separate"/>
      </w:r>
      <w:bookmarkStart w:id="593" w:name="_Toc23782724"/>
      <w:r w:rsidR="006E6675">
        <w:rPr>
          <w:rFonts w:asciiTheme="minorHAnsi" w:hAnsiTheme="minorHAnsi" w:cstheme="minorHAnsi"/>
          <w:noProof/>
        </w:rPr>
        <w:t>44</w:t>
      </w:r>
      <w:r w:rsidRPr="00415B59">
        <w:rPr>
          <w:rFonts w:asciiTheme="minorHAnsi" w:hAnsiTheme="minorHAnsi" w:cstheme="minorHAnsi"/>
          <w:noProof/>
        </w:rPr>
        <w:fldChar w:fldCharType="end"/>
      </w:r>
      <w:r w:rsidRPr="00415B59">
        <w:rPr>
          <w:rFonts w:asciiTheme="minorHAnsi" w:hAnsiTheme="minorHAnsi" w:cstheme="minorHAnsi"/>
        </w:rPr>
        <w:t>.attēls. Plānoto rīcībpolitiku un pasākumu īstenošanas rezultātā prognozētais</w:t>
      </w:r>
      <w:r>
        <w:rPr>
          <w:rFonts w:asciiTheme="minorHAnsi" w:hAnsiTheme="minorHAnsi" w:cstheme="minorHAnsi"/>
        </w:rPr>
        <w:t xml:space="preserve"> CSA siltumenerģijas</w:t>
      </w:r>
      <w:r w:rsidRPr="00415B59">
        <w:rPr>
          <w:rFonts w:asciiTheme="minorHAnsi" w:hAnsiTheme="minorHAnsi" w:cstheme="minorHAnsi"/>
        </w:rPr>
        <w:t xml:space="preserve"> patēriņ</w:t>
      </w:r>
      <w:r>
        <w:rPr>
          <w:rFonts w:asciiTheme="minorHAnsi" w:hAnsiTheme="minorHAnsi" w:cstheme="minorHAnsi"/>
        </w:rPr>
        <w:t>š</w:t>
      </w:r>
      <w:r w:rsidRPr="00415B59">
        <w:rPr>
          <w:rFonts w:asciiTheme="minorHAnsi" w:hAnsiTheme="minorHAnsi" w:cstheme="minorHAnsi"/>
        </w:rPr>
        <w:t xml:space="preserve"> pa sektoriem</w:t>
      </w:r>
      <w:r w:rsidR="002D1881">
        <w:rPr>
          <w:rFonts w:asciiTheme="minorHAnsi" w:hAnsiTheme="minorHAnsi" w:cstheme="minorHAnsi"/>
        </w:rPr>
        <w:t xml:space="preserve"> (GWh)</w:t>
      </w:r>
      <w:r w:rsidRPr="00415B59">
        <w:rPr>
          <w:rStyle w:val="FootnoteReference"/>
          <w:rFonts w:asciiTheme="minorHAnsi" w:hAnsiTheme="minorHAnsi" w:cstheme="minorHAnsi"/>
        </w:rPr>
        <w:footnoteReference w:id="200"/>
      </w:r>
      <w:bookmarkEnd w:id="593"/>
    </w:p>
    <w:p w14:paraId="31670103" w14:textId="77777777" w:rsidR="00415B59" w:rsidRPr="0007326F" w:rsidRDefault="00415B59">
      <w:pPr>
        <w:pStyle w:val="Heading30"/>
      </w:pPr>
      <w:bookmarkStart w:id="594" w:name="_Toc24408069"/>
      <w:r w:rsidRPr="00207561">
        <w:t>AER izmantošanas attīstības prognozes</w:t>
      </w:r>
      <w:bookmarkEnd w:id="594"/>
    </w:p>
    <w:p w14:paraId="7C339177" w14:textId="77777777" w:rsidR="007C7DE4" w:rsidRDefault="007C7DE4" w:rsidP="0047533B">
      <w:pPr>
        <w:spacing w:before="120" w:after="120" w:line="240" w:lineRule="auto"/>
      </w:pPr>
      <w:r>
        <w:t>Izvērtējot ekonomiski pieejamo AER potenciālu un plānotos pasākumus, AER daļa kopējā enerģijas galapatēriņā 2030.gadā sasniedz 50%.</w:t>
      </w:r>
    </w:p>
    <w:p w14:paraId="61606B34" w14:textId="7208C151" w:rsidR="007C7DE4" w:rsidRDefault="00F505BA" w:rsidP="0047533B">
      <w:pPr>
        <w:spacing w:before="120" w:after="120" w:line="240" w:lineRule="auto"/>
        <w:jc w:val="center"/>
      </w:pPr>
      <w:r>
        <w:rPr>
          <w:noProof/>
        </w:rPr>
        <w:drawing>
          <wp:inline distT="0" distB="0" distL="0" distR="0" wp14:anchorId="6EBAD6BA" wp14:editId="22C1AAE9">
            <wp:extent cx="4356100" cy="3064872"/>
            <wp:effectExtent l="0" t="0" r="635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66708" cy="3072336"/>
                    </a:xfrm>
                    <a:prstGeom prst="rect">
                      <a:avLst/>
                    </a:prstGeom>
                    <a:noFill/>
                  </pic:spPr>
                </pic:pic>
              </a:graphicData>
            </a:graphic>
          </wp:inline>
        </w:drawing>
      </w:r>
    </w:p>
    <w:p w14:paraId="58D04B0B" w14:textId="312A2267" w:rsidR="00F505BA" w:rsidRPr="009B05F4" w:rsidRDefault="0055426F" w:rsidP="00F505BA">
      <w:pPr>
        <w:pStyle w:val="Caption"/>
        <w:rPr>
          <w:rFonts w:asciiTheme="minorHAnsi" w:hAnsiTheme="minorHAnsi" w:cstheme="minorHAnsi"/>
          <w:szCs w:val="24"/>
        </w:rPr>
      </w:pPr>
      <w:r w:rsidRPr="0055426F">
        <w:rPr>
          <w:rFonts w:asciiTheme="minorHAnsi" w:hAnsiTheme="minorHAnsi" w:cstheme="minorHAnsi"/>
          <w:noProof/>
        </w:rPr>
        <w:fldChar w:fldCharType="begin"/>
      </w:r>
      <w:r w:rsidRPr="0055426F">
        <w:rPr>
          <w:rFonts w:asciiTheme="minorHAnsi" w:hAnsiTheme="minorHAnsi" w:cstheme="minorHAnsi"/>
          <w:noProof/>
        </w:rPr>
        <w:instrText xml:space="preserve"> SEQ Ilustrācija \* ARABIC </w:instrText>
      </w:r>
      <w:r w:rsidRPr="0055426F">
        <w:rPr>
          <w:rFonts w:asciiTheme="minorHAnsi" w:hAnsiTheme="minorHAnsi" w:cstheme="minorHAnsi"/>
          <w:noProof/>
        </w:rPr>
        <w:fldChar w:fldCharType="separate"/>
      </w:r>
      <w:bookmarkStart w:id="595" w:name="_Toc23782725"/>
      <w:r w:rsidR="006E6675">
        <w:rPr>
          <w:rFonts w:asciiTheme="minorHAnsi" w:hAnsiTheme="minorHAnsi" w:cstheme="minorHAnsi"/>
          <w:noProof/>
        </w:rPr>
        <w:t>45</w:t>
      </w:r>
      <w:r w:rsidRPr="0055426F">
        <w:rPr>
          <w:rFonts w:asciiTheme="minorHAnsi" w:hAnsiTheme="minorHAnsi" w:cstheme="minorHAnsi"/>
          <w:noProof/>
        </w:rPr>
        <w:fldChar w:fldCharType="end"/>
      </w:r>
      <w:r w:rsidRPr="0055426F">
        <w:rPr>
          <w:rFonts w:asciiTheme="minorHAnsi" w:hAnsiTheme="minorHAnsi" w:cstheme="minorHAnsi"/>
        </w:rPr>
        <w:t xml:space="preserve">.attēls. Plānoto rīcībpolitiku un pasākumu īstenošanas rezultātā prognozētais </w:t>
      </w:r>
      <w:r w:rsidR="00F505BA" w:rsidRPr="009B05F4">
        <w:rPr>
          <w:rFonts w:asciiTheme="minorHAnsi" w:hAnsiTheme="minorHAnsi" w:cstheme="minorHAnsi"/>
        </w:rPr>
        <w:t>AER īpatsvars enerģijas galapatēriņā (</w:t>
      </w:r>
      <w:r w:rsidR="00F505BA">
        <w:rPr>
          <w:rFonts w:asciiTheme="minorHAnsi" w:hAnsiTheme="minorHAnsi" w:cstheme="minorHAnsi"/>
        </w:rPr>
        <w:t xml:space="preserve">labā ass – </w:t>
      </w:r>
      <w:r w:rsidR="00F505BA" w:rsidRPr="009B05F4">
        <w:rPr>
          <w:rFonts w:asciiTheme="minorHAnsi" w:hAnsiTheme="minorHAnsi" w:cstheme="minorHAnsi"/>
        </w:rPr>
        <w:t>%) un AER īpatsvara prognozes periodā līdz 2030.gadam (</w:t>
      </w:r>
      <w:r w:rsidR="00F505BA">
        <w:rPr>
          <w:rFonts w:asciiTheme="minorHAnsi" w:hAnsiTheme="minorHAnsi" w:cstheme="minorHAnsi"/>
        </w:rPr>
        <w:t xml:space="preserve">kreisā ass – </w:t>
      </w:r>
      <w:r w:rsidR="00F505BA" w:rsidRPr="009B05F4">
        <w:rPr>
          <w:rFonts w:asciiTheme="minorHAnsi" w:hAnsiTheme="minorHAnsi" w:cstheme="minorHAnsi"/>
        </w:rPr>
        <w:t>PJ)</w:t>
      </w:r>
      <w:bookmarkEnd w:id="595"/>
      <w:r w:rsidR="00F505BA" w:rsidRPr="009B05F4">
        <w:rPr>
          <w:rStyle w:val="FootnoteReference"/>
          <w:rFonts w:asciiTheme="minorHAnsi" w:hAnsiTheme="minorHAnsi" w:cstheme="minorHAnsi"/>
        </w:rPr>
        <w:footnoteReference w:id="201"/>
      </w:r>
    </w:p>
    <w:p w14:paraId="7D768ECA" w14:textId="19F9E437" w:rsidR="007C7DE4" w:rsidRDefault="007C7DE4" w:rsidP="0007326F">
      <w:pPr>
        <w:spacing w:before="120" w:after="120" w:line="240" w:lineRule="auto"/>
        <w:jc w:val="both"/>
        <w:rPr>
          <w:sz w:val="22"/>
        </w:rPr>
      </w:pPr>
      <w:r>
        <w:t>Lai sasniegtu AER daļu no kopējā enerģijas galapatēriņa 2030.gadā 50%, ir jāpalielina visu AER veidu (</w:t>
      </w:r>
      <w:r>
        <w:rPr>
          <w:rFonts w:cstheme="minorHAnsi"/>
          <w:szCs w:val="24"/>
        </w:rPr>
        <w:t>elektroenerģijas patēriņā (AER</w:t>
      </w:r>
      <w:r w:rsidR="0090313C">
        <w:rPr>
          <w:rFonts w:cstheme="minorHAnsi"/>
          <w:szCs w:val="24"/>
        </w:rPr>
        <w:t xml:space="preserve"> elektroenerģijā</w:t>
      </w:r>
      <w:r>
        <w:rPr>
          <w:rFonts w:cstheme="minorHAnsi"/>
          <w:szCs w:val="24"/>
        </w:rPr>
        <w:t xml:space="preserve">), </w:t>
      </w:r>
      <w:r w:rsidR="0090313C">
        <w:rPr>
          <w:rFonts w:cstheme="minorHAnsi"/>
          <w:szCs w:val="24"/>
        </w:rPr>
        <w:t xml:space="preserve">CSA </w:t>
      </w:r>
      <w:r>
        <w:rPr>
          <w:rFonts w:cstheme="minorHAnsi"/>
          <w:szCs w:val="24"/>
        </w:rPr>
        <w:t>(AER</w:t>
      </w:r>
      <w:r w:rsidR="0090313C">
        <w:rPr>
          <w:rFonts w:cstheme="minorHAnsi"/>
          <w:szCs w:val="24"/>
        </w:rPr>
        <w:t xml:space="preserve"> CSA)</w:t>
      </w:r>
      <w:r>
        <w:rPr>
          <w:rFonts w:cstheme="minorHAnsi"/>
          <w:szCs w:val="24"/>
        </w:rPr>
        <w:t>, kurināmā patēriņā (AER</w:t>
      </w:r>
      <w:r w:rsidR="0090313C">
        <w:rPr>
          <w:rFonts w:cstheme="minorHAnsi"/>
          <w:szCs w:val="24"/>
        </w:rPr>
        <w:t xml:space="preserve"> LSA un individuālā siltumapgādē</w:t>
      </w:r>
      <w:r>
        <w:rPr>
          <w:rFonts w:cstheme="minorHAnsi"/>
          <w:szCs w:val="24"/>
        </w:rPr>
        <w:t>) un transporta degvielu patēriņā (AER</w:t>
      </w:r>
      <w:r w:rsidR="0090313C">
        <w:rPr>
          <w:rFonts w:cstheme="minorHAnsi"/>
          <w:szCs w:val="24"/>
        </w:rPr>
        <w:t xml:space="preserve"> transportā)</w:t>
      </w:r>
      <w:r>
        <w:rPr>
          <w:rFonts w:cstheme="minorHAnsi"/>
          <w:szCs w:val="24"/>
        </w:rPr>
        <w:t>).</w:t>
      </w:r>
      <w:r>
        <w:t xml:space="preserve"> </w:t>
      </w:r>
    </w:p>
    <w:p w14:paraId="4850CACD" w14:textId="2165779F" w:rsidR="007C7DE4" w:rsidRDefault="00F34EC7" w:rsidP="0047533B">
      <w:pPr>
        <w:spacing w:before="120" w:after="120" w:line="240" w:lineRule="auto"/>
        <w:jc w:val="center"/>
      </w:pPr>
      <w:r>
        <w:rPr>
          <w:noProof/>
        </w:rPr>
        <w:drawing>
          <wp:inline distT="0" distB="0" distL="0" distR="0" wp14:anchorId="54F0CCF0" wp14:editId="4B7AADA5">
            <wp:extent cx="4483305" cy="27495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03172" cy="2761734"/>
                    </a:xfrm>
                    <a:prstGeom prst="rect">
                      <a:avLst/>
                    </a:prstGeom>
                    <a:noFill/>
                  </pic:spPr>
                </pic:pic>
              </a:graphicData>
            </a:graphic>
          </wp:inline>
        </w:drawing>
      </w:r>
    </w:p>
    <w:p w14:paraId="4E0F85C2" w14:textId="3E816BCB" w:rsidR="0090313C" w:rsidRPr="00415B59" w:rsidRDefault="0090313C" w:rsidP="0047533B">
      <w:pPr>
        <w:pStyle w:val="Caption"/>
        <w:rPr>
          <w:rFonts w:asciiTheme="minorHAnsi" w:hAnsiTheme="minorHAnsi" w:cstheme="minorHAnsi"/>
        </w:rPr>
      </w:pPr>
      <w:r w:rsidRPr="00415B59">
        <w:rPr>
          <w:rFonts w:asciiTheme="minorHAnsi" w:hAnsiTheme="minorHAnsi" w:cstheme="minorHAnsi"/>
          <w:noProof/>
        </w:rPr>
        <w:fldChar w:fldCharType="begin"/>
      </w:r>
      <w:r w:rsidRPr="00415B59">
        <w:rPr>
          <w:rFonts w:asciiTheme="minorHAnsi" w:hAnsiTheme="minorHAnsi" w:cstheme="minorHAnsi"/>
          <w:noProof/>
        </w:rPr>
        <w:instrText xml:space="preserve"> SEQ Ilustrācija \* ARABIC </w:instrText>
      </w:r>
      <w:r w:rsidRPr="00415B59">
        <w:rPr>
          <w:rFonts w:asciiTheme="minorHAnsi" w:hAnsiTheme="minorHAnsi" w:cstheme="minorHAnsi"/>
          <w:noProof/>
        </w:rPr>
        <w:fldChar w:fldCharType="separate"/>
      </w:r>
      <w:bookmarkStart w:id="596" w:name="_Toc23782726"/>
      <w:r w:rsidR="006E6675">
        <w:rPr>
          <w:rFonts w:asciiTheme="minorHAnsi" w:hAnsiTheme="minorHAnsi" w:cstheme="minorHAnsi"/>
          <w:noProof/>
        </w:rPr>
        <w:t>46</w:t>
      </w:r>
      <w:r w:rsidRPr="00415B59">
        <w:rPr>
          <w:rFonts w:asciiTheme="minorHAnsi" w:hAnsiTheme="minorHAnsi" w:cstheme="minorHAnsi"/>
          <w:noProof/>
        </w:rPr>
        <w:fldChar w:fldCharType="end"/>
      </w:r>
      <w:r w:rsidRPr="00415B59">
        <w:rPr>
          <w:rFonts w:asciiTheme="minorHAnsi" w:hAnsiTheme="minorHAnsi" w:cstheme="minorHAnsi"/>
        </w:rPr>
        <w:t>.attēls. Plānoto rīcībpolitiku un pasākumu īstenošanas rezultātā prognozēt</w:t>
      </w:r>
      <w:r>
        <w:rPr>
          <w:rFonts w:asciiTheme="minorHAnsi" w:hAnsiTheme="minorHAnsi" w:cstheme="minorHAnsi"/>
        </w:rPr>
        <w:t xml:space="preserve">ā elektroenerģijas piegādes struktūra un </w:t>
      </w:r>
      <w:r w:rsidRPr="00415B59">
        <w:rPr>
          <w:rFonts w:asciiTheme="minorHAnsi" w:hAnsiTheme="minorHAnsi" w:cstheme="minorHAnsi"/>
        </w:rPr>
        <w:t>AER</w:t>
      </w:r>
      <w:r w:rsidR="002D1881">
        <w:rPr>
          <w:rFonts w:asciiTheme="minorHAnsi" w:hAnsiTheme="minorHAnsi" w:cstheme="minorHAnsi"/>
        </w:rPr>
        <w:t xml:space="preserve"> elektroenerģijā</w:t>
      </w:r>
      <w:r w:rsidRPr="00415B59">
        <w:rPr>
          <w:rStyle w:val="FootnoteReference"/>
          <w:rFonts w:asciiTheme="minorHAnsi" w:hAnsiTheme="minorHAnsi" w:cstheme="minorHAnsi"/>
        </w:rPr>
        <w:footnoteReference w:id="202"/>
      </w:r>
      <w:r w:rsidRPr="00415B59">
        <w:rPr>
          <w:rFonts w:asciiTheme="minorHAnsi" w:hAnsiTheme="minorHAnsi" w:cstheme="minorHAnsi"/>
        </w:rPr>
        <w:t xml:space="preserve"> (kreisā ass – GWh, labā ass </w:t>
      </w:r>
      <w:r w:rsidR="00F34EC7">
        <w:rPr>
          <w:rFonts w:asciiTheme="minorHAnsi" w:hAnsiTheme="minorHAnsi" w:cstheme="minorHAnsi"/>
        </w:rPr>
        <w:t>–</w:t>
      </w:r>
      <w:r w:rsidRPr="00415B59">
        <w:rPr>
          <w:rFonts w:asciiTheme="minorHAnsi" w:hAnsiTheme="minorHAnsi" w:cstheme="minorHAnsi"/>
        </w:rPr>
        <w:t xml:space="preserve"> %)</w:t>
      </w:r>
      <w:bookmarkEnd w:id="596"/>
    </w:p>
    <w:p w14:paraId="14BEEC03" w14:textId="7837137D" w:rsidR="007C7DE4" w:rsidRDefault="007C7DE4" w:rsidP="0047533B">
      <w:pPr>
        <w:spacing w:before="120" w:after="120" w:line="240" w:lineRule="auto"/>
        <w:jc w:val="both"/>
      </w:pPr>
      <w:r>
        <w:t>2030.gadā no AER saražotās elektroenerģijas daļa sasniedz 6</w:t>
      </w:r>
      <w:r w:rsidR="00F34EC7">
        <w:t>2,3</w:t>
      </w:r>
      <w:r>
        <w:t>%</w:t>
      </w:r>
      <w:r w:rsidR="00F34EC7">
        <w:t>, bet periodā pēc 2030.gada šis īpatsvars nedaudz samazinās</w:t>
      </w:r>
      <w:r>
        <w:t>.</w:t>
      </w:r>
      <w:r w:rsidR="00F34EC7">
        <w:t xml:space="preserve"> Pieaugumu periodā līdz 2030.gadam </w:t>
      </w:r>
      <w:r>
        <w:t xml:space="preserve">nodrošina </w:t>
      </w:r>
      <w:r w:rsidR="0090313C">
        <w:t>HES</w:t>
      </w:r>
      <w:r>
        <w:t>, visu veida biomasu koģenerācijas stacijas</w:t>
      </w:r>
      <w:r w:rsidR="0090313C">
        <w:t xml:space="preserve"> un VES, nelielu apjomu saražo arī SES</w:t>
      </w:r>
      <w:r>
        <w:t xml:space="preserve">. Ja biomasu izmantojošās elektrostacijās saražotās elektroenerģijas daudzums uz 2030.gadu samazinās, salīdzinot ar 2017.gadu, tad </w:t>
      </w:r>
      <w:r w:rsidR="0090313C">
        <w:t>VES</w:t>
      </w:r>
      <w:r>
        <w:t xml:space="preserve"> saražotās elektroenerģijas daudzums pieaug.</w:t>
      </w:r>
    </w:p>
    <w:p w14:paraId="7B70F1FF" w14:textId="73F398CB" w:rsidR="007C7DE4" w:rsidRDefault="00F34EC7" w:rsidP="0047533B">
      <w:pPr>
        <w:spacing w:before="120" w:after="120" w:line="240" w:lineRule="auto"/>
        <w:jc w:val="center"/>
      </w:pPr>
      <w:r>
        <w:rPr>
          <w:noProof/>
        </w:rPr>
        <w:drawing>
          <wp:inline distT="0" distB="0" distL="0" distR="0" wp14:anchorId="469E69DB" wp14:editId="775C705F">
            <wp:extent cx="4544806" cy="2755550"/>
            <wp:effectExtent l="0" t="0" r="8255"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61985" cy="2765965"/>
                    </a:xfrm>
                    <a:prstGeom prst="rect">
                      <a:avLst/>
                    </a:prstGeom>
                    <a:noFill/>
                  </pic:spPr>
                </pic:pic>
              </a:graphicData>
            </a:graphic>
          </wp:inline>
        </w:drawing>
      </w:r>
    </w:p>
    <w:p w14:paraId="375543DF" w14:textId="1EA58473" w:rsidR="002D1881" w:rsidRPr="00415B59" w:rsidRDefault="002D1881" w:rsidP="0047533B">
      <w:pPr>
        <w:pStyle w:val="Caption"/>
        <w:rPr>
          <w:rFonts w:asciiTheme="minorHAnsi" w:hAnsiTheme="minorHAnsi" w:cstheme="minorHAnsi"/>
        </w:rPr>
      </w:pPr>
      <w:r w:rsidRPr="00415B59">
        <w:rPr>
          <w:rFonts w:asciiTheme="minorHAnsi" w:hAnsiTheme="minorHAnsi" w:cstheme="minorHAnsi"/>
          <w:noProof/>
        </w:rPr>
        <w:fldChar w:fldCharType="begin"/>
      </w:r>
      <w:r w:rsidRPr="00415B59">
        <w:rPr>
          <w:rFonts w:asciiTheme="minorHAnsi" w:hAnsiTheme="minorHAnsi" w:cstheme="minorHAnsi"/>
          <w:noProof/>
        </w:rPr>
        <w:instrText xml:space="preserve"> SEQ Ilustrācija \* ARABIC </w:instrText>
      </w:r>
      <w:r w:rsidRPr="00415B59">
        <w:rPr>
          <w:rFonts w:asciiTheme="minorHAnsi" w:hAnsiTheme="minorHAnsi" w:cstheme="minorHAnsi"/>
          <w:noProof/>
        </w:rPr>
        <w:fldChar w:fldCharType="separate"/>
      </w:r>
      <w:bookmarkStart w:id="597" w:name="_Toc23782727"/>
      <w:r w:rsidR="006E6675">
        <w:rPr>
          <w:rFonts w:asciiTheme="minorHAnsi" w:hAnsiTheme="minorHAnsi" w:cstheme="minorHAnsi"/>
          <w:noProof/>
        </w:rPr>
        <w:t>47</w:t>
      </w:r>
      <w:r w:rsidRPr="00415B59">
        <w:rPr>
          <w:rFonts w:asciiTheme="minorHAnsi" w:hAnsiTheme="minorHAnsi" w:cstheme="minorHAnsi"/>
          <w:noProof/>
        </w:rPr>
        <w:fldChar w:fldCharType="end"/>
      </w:r>
      <w:r w:rsidRPr="00415B59">
        <w:rPr>
          <w:rFonts w:asciiTheme="minorHAnsi" w:hAnsiTheme="minorHAnsi" w:cstheme="minorHAnsi"/>
        </w:rPr>
        <w:t>.attēls. Plānoto rīcībpolitiku un pasākumu īstenošanas rezultātā prognozēt</w:t>
      </w:r>
      <w:r>
        <w:rPr>
          <w:rFonts w:asciiTheme="minorHAnsi" w:hAnsiTheme="minorHAnsi" w:cstheme="minorHAnsi"/>
        </w:rPr>
        <w:t xml:space="preserve">ā CSA struktūra un </w:t>
      </w:r>
      <w:r w:rsidRPr="00415B59">
        <w:rPr>
          <w:rFonts w:asciiTheme="minorHAnsi" w:hAnsiTheme="minorHAnsi" w:cstheme="minorHAnsi"/>
        </w:rPr>
        <w:t>AER</w:t>
      </w:r>
      <w:r>
        <w:rPr>
          <w:rFonts w:asciiTheme="minorHAnsi" w:hAnsiTheme="minorHAnsi" w:cstheme="minorHAnsi"/>
        </w:rPr>
        <w:t xml:space="preserve"> CSA </w:t>
      </w:r>
      <w:r w:rsidRPr="00415B59">
        <w:rPr>
          <w:rFonts w:asciiTheme="minorHAnsi" w:hAnsiTheme="minorHAnsi" w:cstheme="minorHAnsi"/>
        </w:rPr>
        <w:t>daļa</w:t>
      </w:r>
      <w:r w:rsidRPr="00415B59">
        <w:rPr>
          <w:rStyle w:val="FootnoteReference"/>
          <w:rFonts w:asciiTheme="minorHAnsi" w:hAnsiTheme="minorHAnsi" w:cstheme="minorHAnsi"/>
        </w:rPr>
        <w:footnoteReference w:id="203"/>
      </w:r>
      <w:r w:rsidRPr="00415B59">
        <w:rPr>
          <w:rFonts w:asciiTheme="minorHAnsi" w:hAnsiTheme="minorHAnsi" w:cstheme="minorHAnsi"/>
        </w:rPr>
        <w:t xml:space="preserve"> (kreisā ass – GWh, labā ass </w:t>
      </w:r>
      <w:r w:rsidR="00F34EC7">
        <w:rPr>
          <w:rFonts w:asciiTheme="minorHAnsi" w:hAnsiTheme="minorHAnsi" w:cstheme="minorHAnsi"/>
        </w:rPr>
        <w:t>–</w:t>
      </w:r>
      <w:r w:rsidRPr="00415B59">
        <w:rPr>
          <w:rFonts w:asciiTheme="minorHAnsi" w:hAnsiTheme="minorHAnsi" w:cstheme="minorHAnsi"/>
        </w:rPr>
        <w:t xml:space="preserve"> %)</w:t>
      </w:r>
      <w:bookmarkEnd w:id="597"/>
    </w:p>
    <w:p w14:paraId="3493B333" w14:textId="10E0B8EB" w:rsidR="007C7DE4" w:rsidRDefault="007C7DE4" w:rsidP="0047533B">
      <w:pPr>
        <w:spacing w:before="120" w:after="120" w:line="240" w:lineRule="auto"/>
        <w:jc w:val="both"/>
      </w:pPr>
      <w:r>
        <w:t xml:space="preserve">2030.gadā no AER saražotās </w:t>
      </w:r>
      <w:r w:rsidR="002D1881">
        <w:t xml:space="preserve">CSA siltumenerģijas </w:t>
      </w:r>
      <w:r>
        <w:t>daļa sasniedz 56,</w:t>
      </w:r>
      <w:r w:rsidR="00F34EC7">
        <w:t>8</w:t>
      </w:r>
      <w:r>
        <w:t>%</w:t>
      </w:r>
      <w:r w:rsidR="002D1881">
        <w:t xml:space="preserve">, kur, lai </w:t>
      </w:r>
      <w:r>
        <w:t>sasniegtu AER pieaugumu, dabasgāze tiek aizvietota ar biomasu katlu mājās un palielinās saules kolektoru izmantošana CS</w:t>
      </w:r>
      <w:r w:rsidR="002D1881">
        <w:t>A</w:t>
      </w:r>
      <w:r>
        <w:t xml:space="preserve">. </w:t>
      </w:r>
    </w:p>
    <w:p w14:paraId="1B44DD87" w14:textId="1822C240" w:rsidR="00FF651D" w:rsidRDefault="00F34EC7" w:rsidP="0047533B">
      <w:pPr>
        <w:spacing w:before="120" w:after="120" w:line="240" w:lineRule="auto"/>
        <w:jc w:val="center"/>
      </w:pPr>
      <w:r>
        <w:rPr>
          <w:noProof/>
        </w:rPr>
        <w:drawing>
          <wp:inline distT="0" distB="0" distL="0" distR="0" wp14:anchorId="6E5F257B" wp14:editId="770DE000">
            <wp:extent cx="4518660" cy="269036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38064" cy="2701916"/>
                    </a:xfrm>
                    <a:prstGeom prst="rect">
                      <a:avLst/>
                    </a:prstGeom>
                    <a:noFill/>
                  </pic:spPr>
                </pic:pic>
              </a:graphicData>
            </a:graphic>
          </wp:inline>
        </w:drawing>
      </w:r>
    </w:p>
    <w:p w14:paraId="29DD7838" w14:textId="0E655912" w:rsidR="00FF651D" w:rsidRPr="00415B59" w:rsidRDefault="00FF651D" w:rsidP="0047533B">
      <w:pPr>
        <w:pStyle w:val="Caption"/>
        <w:rPr>
          <w:rFonts w:asciiTheme="minorHAnsi" w:hAnsiTheme="minorHAnsi" w:cstheme="minorHAnsi"/>
        </w:rPr>
      </w:pPr>
      <w:r w:rsidRPr="00415B59">
        <w:rPr>
          <w:rFonts w:asciiTheme="minorHAnsi" w:hAnsiTheme="minorHAnsi" w:cstheme="minorHAnsi"/>
          <w:noProof/>
        </w:rPr>
        <w:fldChar w:fldCharType="begin"/>
      </w:r>
      <w:r w:rsidRPr="00415B59">
        <w:rPr>
          <w:rFonts w:asciiTheme="minorHAnsi" w:hAnsiTheme="minorHAnsi" w:cstheme="minorHAnsi"/>
          <w:noProof/>
        </w:rPr>
        <w:instrText xml:space="preserve"> SEQ Ilustrācija \* ARABIC </w:instrText>
      </w:r>
      <w:r w:rsidRPr="00415B59">
        <w:rPr>
          <w:rFonts w:asciiTheme="minorHAnsi" w:hAnsiTheme="minorHAnsi" w:cstheme="minorHAnsi"/>
          <w:noProof/>
        </w:rPr>
        <w:fldChar w:fldCharType="separate"/>
      </w:r>
      <w:bookmarkStart w:id="598" w:name="_Toc23782728"/>
      <w:r w:rsidR="006E6675">
        <w:rPr>
          <w:rFonts w:asciiTheme="minorHAnsi" w:hAnsiTheme="minorHAnsi" w:cstheme="minorHAnsi"/>
          <w:noProof/>
        </w:rPr>
        <w:t>48</w:t>
      </w:r>
      <w:r w:rsidRPr="00415B59">
        <w:rPr>
          <w:rFonts w:asciiTheme="minorHAnsi" w:hAnsiTheme="minorHAnsi" w:cstheme="minorHAnsi"/>
          <w:noProof/>
        </w:rPr>
        <w:fldChar w:fldCharType="end"/>
      </w:r>
      <w:r w:rsidRPr="00415B59">
        <w:rPr>
          <w:rFonts w:asciiTheme="minorHAnsi" w:hAnsiTheme="minorHAnsi" w:cstheme="minorHAnsi"/>
        </w:rPr>
        <w:t>.attēls. Plānoto rīcībpolitiku un pasākumu īstenošanas rezultātā prognozēt</w:t>
      </w:r>
      <w:r>
        <w:rPr>
          <w:rFonts w:asciiTheme="minorHAnsi" w:hAnsiTheme="minorHAnsi" w:cstheme="minorHAnsi"/>
        </w:rPr>
        <w:t>ā LSA un individ</w:t>
      </w:r>
      <w:r w:rsidR="0047533B">
        <w:rPr>
          <w:rFonts w:asciiTheme="minorHAnsi" w:hAnsiTheme="minorHAnsi" w:cstheme="minorHAnsi"/>
        </w:rPr>
        <w:t>.</w:t>
      </w:r>
      <w:r>
        <w:rPr>
          <w:rFonts w:asciiTheme="minorHAnsi" w:hAnsiTheme="minorHAnsi" w:cstheme="minorHAnsi"/>
        </w:rPr>
        <w:t>siltumapgādē patērētā kurināmā struktūra</w:t>
      </w:r>
      <w:r w:rsidR="0047533B">
        <w:rPr>
          <w:rFonts w:asciiTheme="minorHAnsi" w:hAnsiTheme="minorHAnsi" w:cstheme="minorHAnsi"/>
        </w:rPr>
        <w:t xml:space="preserve">, </w:t>
      </w:r>
      <w:r w:rsidRPr="00415B59">
        <w:rPr>
          <w:rFonts w:asciiTheme="minorHAnsi" w:hAnsiTheme="minorHAnsi" w:cstheme="minorHAnsi"/>
        </w:rPr>
        <w:t>AER</w:t>
      </w:r>
      <w:r>
        <w:rPr>
          <w:rFonts w:asciiTheme="minorHAnsi" w:hAnsiTheme="minorHAnsi" w:cstheme="minorHAnsi"/>
        </w:rPr>
        <w:t xml:space="preserve"> LSA &amp; individ</w:t>
      </w:r>
      <w:r w:rsidR="0047533B">
        <w:rPr>
          <w:rFonts w:asciiTheme="minorHAnsi" w:hAnsiTheme="minorHAnsi" w:cstheme="minorHAnsi"/>
        </w:rPr>
        <w:t>.</w:t>
      </w:r>
      <w:r>
        <w:rPr>
          <w:rFonts w:asciiTheme="minorHAnsi" w:hAnsiTheme="minorHAnsi" w:cstheme="minorHAnsi"/>
        </w:rPr>
        <w:t xml:space="preserve">siltumapgāde </w:t>
      </w:r>
      <w:r w:rsidRPr="00415B59">
        <w:rPr>
          <w:rFonts w:asciiTheme="minorHAnsi" w:hAnsiTheme="minorHAnsi" w:cstheme="minorHAnsi"/>
        </w:rPr>
        <w:t>daļa</w:t>
      </w:r>
      <w:r w:rsidRPr="00415B59">
        <w:rPr>
          <w:rStyle w:val="FootnoteReference"/>
          <w:rFonts w:asciiTheme="minorHAnsi" w:hAnsiTheme="minorHAnsi" w:cstheme="minorHAnsi"/>
        </w:rPr>
        <w:footnoteReference w:id="204"/>
      </w:r>
      <w:r w:rsidRPr="00415B59">
        <w:rPr>
          <w:rFonts w:asciiTheme="minorHAnsi" w:hAnsiTheme="minorHAnsi" w:cstheme="minorHAnsi"/>
        </w:rPr>
        <w:t xml:space="preserve"> (kreisā ass – GWh, labā ass </w:t>
      </w:r>
      <w:r w:rsidR="00F34EC7">
        <w:rPr>
          <w:rFonts w:asciiTheme="minorHAnsi" w:hAnsiTheme="minorHAnsi" w:cstheme="minorHAnsi"/>
        </w:rPr>
        <w:t>–</w:t>
      </w:r>
      <w:r w:rsidRPr="00415B59">
        <w:rPr>
          <w:rFonts w:asciiTheme="minorHAnsi" w:hAnsiTheme="minorHAnsi" w:cstheme="minorHAnsi"/>
        </w:rPr>
        <w:t xml:space="preserve"> %)</w:t>
      </w:r>
      <w:bookmarkEnd w:id="598"/>
    </w:p>
    <w:p w14:paraId="214E7A34" w14:textId="231C3B27" w:rsidR="007C7DE4" w:rsidRDefault="007C7DE4" w:rsidP="0047533B">
      <w:pPr>
        <w:spacing w:before="120" w:after="120" w:line="240" w:lineRule="auto"/>
        <w:jc w:val="both"/>
      </w:pPr>
      <w:r>
        <w:t>Transporta sektorā AER daļa 2030.gadā sasniedz 14%</w:t>
      </w:r>
      <w:r>
        <w:rPr>
          <w:rStyle w:val="FootnoteReference"/>
        </w:rPr>
        <w:footnoteReference w:id="205"/>
      </w:r>
      <w:r w:rsidR="002D1881">
        <w:t>, kur m</w:t>
      </w:r>
      <w:r>
        <w:t xml:space="preserve">ērķa scenārijā samazinās </w:t>
      </w:r>
      <w:r w:rsidR="002D1881">
        <w:t>dīzeļdegvielas</w:t>
      </w:r>
      <w:r>
        <w:t xml:space="preserve"> un benzīna patēriņš, bet pieaug biogāzes, biodegvielas (pirmās paaudzes un modernās), kā arī elektroenerģijas patēriņš. Mērķa scenārijs paredz, ka pirmās paaudzes</w:t>
      </w:r>
      <w:r w:rsidR="002D1881">
        <w:t xml:space="preserve"> </w:t>
      </w:r>
      <w:r>
        <w:t xml:space="preserve">biodegvielas tiek izmantotas līdz 2030.gadam. Ja </w:t>
      </w:r>
      <w:r w:rsidR="002D1881">
        <w:t xml:space="preserve">pirmās paaudzes biodegvielu apjomu neņem vērā mērķa izpildē, tad </w:t>
      </w:r>
      <w:r>
        <w:t xml:space="preserve"> AER daļa transport</w:t>
      </w:r>
      <w:r w:rsidR="002D1881">
        <w:t xml:space="preserve">ā </w:t>
      </w:r>
      <w:r>
        <w:t>2030.gadā sastāda 7%.</w:t>
      </w:r>
    </w:p>
    <w:p w14:paraId="5AB2EC17" w14:textId="6B8ECBEF" w:rsidR="007C7DE4" w:rsidRDefault="00673C3B" w:rsidP="0047533B">
      <w:pPr>
        <w:spacing w:before="120" w:after="120" w:line="240" w:lineRule="auto"/>
        <w:jc w:val="center"/>
      </w:pPr>
      <w:r>
        <w:rPr>
          <w:noProof/>
        </w:rPr>
        <w:drawing>
          <wp:inline distT="0" distB="0" distL="0" distR="0" wp14:anchorId="617A7BF4" wp14:editId="7BAD209B">
            <wp:extent cx="4497332" cy="280738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12021" cy="2816557"/>
                    </a:xfrm>
                    <a:prstGeom prst="rect">
                      <a:avLst/>
                    </a:prstGeom>
                    <a:noFill/>
                  </pic:spPr>
                </pic:pic>
              </a:graphicData>
            </a:graphic>
          </wp:inline>
        </w:drawing>
      </w:r>
    </w:p>
    <w:p w14:paraId="502E1026" w14:textId="3E27075D" w:rsidR="002D1881" w:rsidRPr="00415B59" w:rsidRDefault="002D1881" w:rsidP="0047533B">
      <w:pPr>
        <w:pStyle w:val="Caption"/>
        <w:rPr>
          <w:rFonts w:asciiTheme="minorHAnsi" w:hAnsiTheme="minorHAnsi" w:cstheme="minorHAnsi"/>
        </w:rPr>
      </w:pPr>
      <w:r w:rsidRPr="00415B59">
        <w:rPr>
          <w:rFonts w:asciiTheme="minorHAnsi" w:hAnsiTheme="minorHAnsi" w:cstheme="minorHAnsi"/>
          <w:noProof/>
        </w:rPr>
        <w:fldChar w:fldCharType="begin"/>
      </w:r>
      <w:r w:rsidRPr="00415B59">
        <w:rPr>
          <w:rFonts w:asciiTheme="minorHAnsi" w:hAnsiTheme="minorHAnsi" w:cstheme="minorHAnsi"/>
          <w:noProof/>
        </w:rPr>
        <w:instrText xml:space="preserve"> SEQ Ilustrācija \* ARABIC </w:instrText>
      </w:r>
      <w:r w:rsidRPr="00415B59">
        <w:rPr>
          <w:rFonts w:asciiTheme="minorHAnsi" w:hAnsiTheme="minorHAnsi" w:cstheme="minorHAnsi"/>
          <w:noProof/>
        </w:rPr>
        <w:fldChar w:fldCharType="separate"/>
      </w:r>
      <w:bookmarkStart w:id="599" w:name="_Toc23782729"/>
      <w:r w:rsidR="006E6675">
        <w:rPr>
          <w:rFonts w:asciiTheme="minorHAnsi" w:hAnsiTheme="minorHAnsi" w:cstheme="minorHAnsi"/>
          <w:noProof/>
        </w:rPr>
        <w:t>49</w:t>
      </w:r>
      <w:r w:rsidRPr="00415B59">
        <w:rPr>
          <w:rFonts w:asciiTheme="minorHAnsi" w:hAnsiTheme="minorHAnsi" w:cstheme="minorHAnsi"/>
          <w:noProof/>
        </w:rPr>
        <w:fldChar w:fldCharType="end"/>
      </w:r>
      <w:r w:rsidRPr="00415B59">
        <w:rPr>
          <w:rFonts w:asciiTheme="minorHAnsi" w:hAnsiTheme="minorHAnsi" w:cstheme="minorHAnsi"/>
        </w:rPr>
        <w:t>.attēls. Plānoto rīcībpolitiku un pasākumu īstenošanas rezultātā prognozēt</w:t>
      </w:r>
      <w:r>
        <w:rPr>
          <w:rFonts w:asciiTheme="minorHAnsi" w:hAnsiTheme="minorHAnsi" w:cstheme="minorHAnsi"/>
        </w:rPr>
        <w:t xml:space="preserve">ā </w:t>
      </w:r>
      <w:r w:rsidR="00FF651D">
        <w:rPr>
          <w:rFonts w:asciiTheme="minorHAnsi" w:hAnsiTheme="minorHAnsi" w:cstheme="minorHAnsi"/>
        </w:rPr>
        <w:t>t</w:t>
      </w:r>
      <w:r w:rsidR="00FF651D" w:rsidRPr="00FF651D">
        <w:rPr>
          <w:rFonts w:asciiTheme="minorHAnsi" w:hAnsiTheme="minorHAnsi" w:cstheme="minorHAnsi"/>
        </w:rPr>
        <w:t xml:space="preserve">ransporta sektorā patērēto degvielu struktūra </w:t>
      </w:r>
      <w:r w:rsidR="00FF651D">
        <w:rPr>
          <w:rFonts w:asciiTheme="minorHAnsi" w:hAnsiTheme="minorHAnsi" w:cstheme="minorHAnsi"/>
        </w:rPr>
        <w:t xml:space="preserve">un AER transportā </w:t>
      </w:r>
      <w:r w:rsidRPr="00415B59">
        <w:rPr>
          <w:rFonts w:asciiTheme="minorHAnsi" w:hAnsiTheme="minorHAnsi" w:cstheme="minorHAnsi"/>
        </w:rPr>
        <w:t>daļa</w:t>
      </w:r>
      <w:r w:rsidRPr="00415B59">
        <w:rPr>
          <w:rStyle w:val="FootnoteReference"/>
          <w:rFonts w:asciiTheme="minorHAnsi" w:hAnsiTheme="minorHAnsi" w:cstheme="minorHAnsi"/>
        </w:rPr>
        <w:footnoteReference w:id="206"/>
      </w:r>
      <w:r w:rsidRPr="00415B59">
        <w:rPr>
          <w:rFonts w:asciiTheme="minorHAnsi" w:hAnsiTheme="minorHAnsi" w:cstheme="minorHAnsi"/>
        </w:rPr>
        <w:t xml:space="preserve"> (kreisā ass –</w:t>
      </w:r>
      <w:r w:rsidR="00FF651D">
        <w:rPr>
          <w:rFonts w:asciiTheme="minorHAnsi" w:hAnsiTheme="minorHAnsi" w:cstheme="minorHAnsi"/>
        </w:rPr>
        <w:t xml:space="preserve"> PJ</w:t>
      </w:r>
      <w:r w:rsidRPr="00415B59">
        <w:rPr>
          <w:rFonts w:asciiTheme="minorHAnsi" w:hAnsiTheme="minorHAnsi" w:cstheme="minorHAnsi"/>
        </w:rPr>
        <w:t>, labā ass - %)</w:t>
      </w:r>
      <w:bookmarkEnd w:id="599"/>
    </w:p>
    <w:p w14:paraId="3DF69839" w14:textId="43A1564C" w:rsidR="007C7DE4" w:rsidRPr="00207561" w:rsidRDefault="00357C72">
      <w:pPr>
        <w:pStyle w:val="Heading30"/>
      </w:pPr>
      <w:bookmarkStart w:id="600" w:name="_Toc24408070"/>
      <w:r w:rsidRPr="00207561">
        <w:t>Energoefektivitātes mērķu sasniegšanas prognoze</w:t>
      </w:r>
      <w:bookmarkEnd w:id="600"/>
    </w:p>
    <w:p w14:paraId="3D5D83F8" w14:textId="7BFDFDA1" w:rsidR="007C7DE4" w:rsidRDefault="0047533B" w:rsidP="0047533B">
      <w:pPr>
        <w:spacing w:before="120" w:after="120" w:line="240" w:lineRule="auto"/>
        <w:jc w:val="both"/>
      </w:pPr>
      <w:r>
        <w:rPr>
          <w:rFonts w:cstheme="minorHAnsi"/>
          <w:noProof/>
        </w:rPr>
        <mc:AlternateContent>
          <mc:Choice Requires="wpg">
            <w:drawing>
              <wp:anchor distT="0" distB="0" distL="114300" distR="114300" simplePos="0" relativeHeight="251689984" behindDoc="0" locked="0" layoutInCell="1" allowOverlap="1" wp14:anchorId="59F801BF" wp14:editId="6849A6E7">
                <wp:simplePos x="0" y="0"/>
                <wp:positionH relativeFrom="column">
                  <wp:posOffset>-312039</wp:posOffset>
                </wp:positionH>
                <wp:positionV relativeFrom="paragraph">
                  <wp:posOffset>2451481</wp:posOffset>
                </wp:positionV>
                <wp:extent cx="6311214" cy="2461260"/>
                <wp:effectExtent l="0" t="0" r="0" b="0"/>
                <wp:wrapSquare wrapText="bothSides"/>
                <wp:docPr id="95" name="Group 95"/>
                <wp:cNvGraphicFramePr/>
                <a:graphic xmlns:a="http://schemas.openxmlformats.org/drawingml/2006/main">
                  <a:graphicData uri="http://schemas.microsoft.com/office/word/2010/wordprocessingGroup">
                    <wpg:wgp>
                      <wpg:cNvGrpSpPr/>
                      <wpg:grpSpPr>
                        <a:xfrm>
                          <a:off x="0" y="0"/>
                          <a:ext cx="6311214" cy="2461260"/>
                          <a:chOff x="0" y="0"/>
                          <a:chExt cx="6311214" cy="2461260"/>
                        </a:xfrm>
                      </wpg:grpSpPr>
                      <pic:pic xmlns:pic="http://schemas.openxmlformats.org/drawingml/2006/picture">
                        <pic:nvPicPr>
                          <pic:cNvPr id="68" name="Picture 68"/>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82240" cy="2461260"/>
                          </a:xfrm>
                          <a:prstGeom prst="rect">
                            <a:avLst/>
                          </a:prstGeom>
                          <a:noFill/>
                        </pic:spPr>
                      </pic:pic>
                      <pic:pic xmlns:pic="http://schemas.openxmlformats.org/drawingml/2006/picture">
                        <pic:nvPicPr>
                          <pic:cNvPr id="70" name="Picture 70"/>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2713939" y="7315"/>
                            <a:ext cx="3597275" cy="2435225"/>
                          </a:xfrm>
                          <a:prstGeom prst="rect">
                            <a:avLst/>
                          </a:prstGeom>
                          <a:noFill/>
                        </pic:spPr>
                      </pic:pic>
                    </wpg:wgp>
                  </a:graphicData>
                </a:graphic>
              </wp:anchor>
            </w:drawing>
          </mc:Choice>
          <mc:Fallback>
            <w:pict>
              <v:group w14:anchorId="641B5BEF" id="Group 95" o:spid="_x0000_s1026" style="position:absolute;margin-left:-24.55pt;margin-top:193.05pt;width:496.95pt;height:193.8pt;z-index:251689984" coordsize="63112,24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width:26822;height:2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">
                  <v:imagedata r:id="rId85" o:title=""/>
                </v:shape>
                <v:shape id="Picture 70" o:spid="_x0000_s1028" type="#_x0000_t75" style="position:absolute;left:27139;top:73;width:35973;height:24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">
                  <v:imagedata r:id="rId86" o:title=""/>
                </v:shape>
                <w10:wrap type="square"/>
              </v:group>
            </w:pict>
          </mc:Fallback>
        </mc:AlternateContent>
      </w:r>
      <w:r w:rsidR="007C7DE4">
        <w:rPr>
          <w:rFonts w:cstheme="minorHAnsi"/>
        </w:rPr>
        <w:t xml:space="preserve">Latvijas obligāto energoefektivitātes mērķi nosaka </w:t>
      </w:r>
      <w:r w:rsidR="00357C72">
        <w:rPr>
          <w:rFonts w:cstheme="minorHAnsi"/>
        </w:rPr>
        <w:t xml:space="preserve">Direktīvas 2012/27/ES </w:t>
      </w:r>
      <w:r w:rsidR="007C7DE4">
        <w:rPr>
          <w:rFonts w:eastAsia="Calibri" w:cstheme="minorHAnsi"/>
        </w:rPr>
        <w:t>7.pants</w:t>
      </w:r>
      <w:r w:rsidR="00357C72">
        <w:rPr>
          <w:rFonts w:eastAsia="Calibri" w:cstheme="minorHAnsi"/>
        </w:rPr>
        <w:t>, saskaņā ar kuru Latvijas obligātais m</w:t>
      </w:r>
      <w:r w:rsidR="007C7DE4">
        <w:rPr>
          <w:rFonts w:eastAsia="Calibri" w:cstheme="minorHAnsi"/>
        </w:rPr>
        <w:t>ērķis 2021.-2030.gada</w:t>
      </w:r>
      <w:r w:rsidR="00357C72">
        <w:rPr>
          <w:rFonts w:eastAsia="Calibri" w:cstheme="minorHAnsi"/>
        </w:rPr>
        <w:t xml:space="preserve"> periodam ir </w:t>
      </w:r>
      <w:r w:rsidR="007C7DE4">
        <w:rPr>
          <w:rFonts w:eastAsia="Calibri" w:cstheme="minorHAnsi"/>
        </w:rPr>
        <w:t>uzkrāt g</w:t>
      </w:r>
      <w:r w:rsidR="007C7DE4">
        <w:rPr>
          <w:rFonts w:eastAsia="Calibri" w:cstheme="minorHAnsi"/>
          <w:bCs/>
        </w:rPr>
        <w:t xml:space="preserve">ala enerģijas ietaupījumu </w:t>
      </w:r>
      <w:r w:rsidR="007C7DE4">
        <w:rPr>
          <w:rFonts w:eastAsia="Calibri" w:cstheme="minorHAnsi"/>
        </w:rPr>
        <w:t>74 PJ apjomā. Lielāko devumu plānots sasniegt no kurināmā un elektroenerģijas ietaupījumiem rūpniecībā</w:t>
      </w:r>
      <w:r w:rsidR="00357C72">
        <w:rPr>
          <w:rFonts w:eastAsia="Calibri" w:cstheme="minorHAnsi"/>
        </w:rPr>
        <w:t>, tāpat p</w:t>
      </w:r>
      <w:r w:rsidR="007C7DE4">
        <w:rPr>
          <w:rFonts w:eastAsia="Calibri" w:cstheme="minorHAnsi"/>
        </w:rPr>
        <w:t xml:space="preserve">asākumi paredz īstenot jau definētos lielo uzņēmumu iesaistīšanu gan vienošanās sistēmā, gan energoaudita pienākumu pildīšanu. Papildus ir paredzēta </w:t>
      </w:r>
      <w:r w:rsidR="00357C72">
        <w:rPr>
          <w:rFonts w:eastAsia="Calibri" w:cstheme="minorHAnsi"/>
        </w:rPr>
        <w:t xml:space="preserve">komersantu </w:t>
      </w:r>
      <w:r w:rsidR="007C7DE4">
        <w:rPr>
          <w:rFonts w:eastAsia="Calibri" w:cstheme="minorHAnsi"/>
        </w:rPr>
        <w:t xml:space="preserve">plašāka iesaistīšana energoefektivitātes pasākumu īstenošanā </w:t>
      </w:r>
      <w:r w:rsidR="00357C72">
        <w:rPr>
          <w:rFonts w:eastAsia="Calibri" w:cstheme="minorHAnsi"/>
        </w:rPr>
        <w:t>ar EPS aptvēruma paplašināšanu</w:t>
      </w:r>
      <w:r w:rsidR="007C7DE4">
        <w:t>. Otru lielāko devumu plānots sasniegt transporta sektorā</w:t>
      </w:r>
      <w:r w:rsidR="00357C72">
        <w:t>, kur p</w:t>
      </w:r>
      <w:r w:rsidR="007C7DE4">
        <w:t xml:space="preserve">asākumi paredz pāreju autotransportā no iekšdedzes dzinējiem uz </w:t>
      </w:r>
      <w:r w:rsidR="00357C72">
        <w:t xml:space="preserve">ETL un </w:t>
      </w:r>
      <w:r w:rsidR="00357C72">
        <w:rPr>
          <w:i/>
          <w:iCs/>
        </w:rPr>
        <w:t xml:space="preserve">plug-in </w:t>
      </w:r>
      <w:r w:rsidR="00357C72">
        <w:t>hibrīdauto</w:t>
      </w:r>
      <w:r w:rsidR="007C7DE4">
        <w:t xml:space="preserve">, dzelzceļa elektrifikāciju un arī informatīvos un apmācības pasākumus par energoefektivitātes paaugstināšanu. Mājsaimniecībās un </w:t>
      </w:r>
      <w:r w:rsidR="00357C72" w:rsidRPr="00357C72">
        <w:t>komerciāl</w:t>
      </w:r>
      <w:r w:rsidR="00357C72">
        <w:t xml:space="preserve">ajā </w:t>
      </w:r>
      <w:r w:rsidR="00357C72" w:rsidRPr="00357C72">
        <w:t>un sabiedrisk</w:t>
      </w:r>
      <w:r w:rsidR="00357C72">
        <w:t xml:space="preserve">ajā sektorā </w:t>
      </w:r>
      <w:r w:rsidR="007C7DE4">
        <w:t>tiek plānoti pasākumi par ēku energoefektivitātes paaugstināšanu (dzīvojamās ēkās, publiskās ēkas, tajā skaitā valsts ēku, un komerciālā sektora ēkas), energoefektivitātes paaugstināšanu elektroenerģiju izmantojošām ierīcēm un apgaismojumam, kā arī informatīvos pasākumus.</w:t>
      </w:r>
    </w:p>
    <w:p w14:paraId="676C134A" w14:textId="77777777" w:rsidR="0047533B" w:rsidRPr="0047533B" w:rsidRDefault="0047533B" w:rsidP="0047533B">
      <w:pPr>
        <w:spacing w:before="120" w:after="120" w:line="240" w:lineRule="auto"/>
        <w:rPr>
          <w:rFonts w:cstheme="minorHAnsi"/>
          <w:b/>
          <w:bCs/>
          <w:noProof/>
          <w:sz w:val="4"/>
          <w:szCs w:val="4"/>
        </w:rPr>
      </w:pPr>
    </w:p>
    <w:p w14:paraId="5CB52A58" w14:textId="69A2CD15" w:rsidR="00F428AD" w:rsidRPr="00FF651D" w:rsidRDefault="00F428AD" w:rsidP="0047533B">
      <w:pPr>
        <w:spacing w:before="120" w:after="120" w:line="240" w:lineRule="auto"/>
        <w:rPr>
          <w:rFonts w:cstheme="minorHAnsi"/>
          <w:b/>
          <w:bCs/>
          <w:sz w:val="20"/>
          <w:szCs w:val="20"/>
        </w:rPr>
      </w:pPr>
      <w:r w:rsidRPr="00FF651D">
        <w:rPr>
          <w:rFonts w:cstheme="minorHAnsi"/>
          <w:b/>
          <w:bCs/>
          <w:noProof/>
          <w:sz w:val="20"/>
          <w:szCs w:val="20"/>
        </w:rPr>
        <w:fldChar w:fldCharType="begin"/>
      </w:r>
      <w:r w:rsidRPr="00FF651D">
        <w:rPr>
          <w:rFonts w:cstheme="minorHAnsi"/>
          <w:b/>
          <w:bCs/>
          <w:noProof/>
          <w:sz w:val="20"/>
          <w:szCs w:val="20"/>
        </w:rPr>
        <w:instrText xml:space="preserve"> SEQ Ilustrācija \* ARABIC </w:instrText>
      </w:r>
      <w:r w:rsidRPr="00FF651D">
        <w:rPr>
          <w:rFonts w:cstheme="minorHAnsi"/>
          <w:b/>
          <w:bCs/>
          <w:noProof/>
          <w:sz w:val="20"/>
          <w:szCs w:val="20"/>
        </w:rPr>
        <w:fldChar w:fldCharType="separate"/>
      </w:r>
      <w:bookmarkStart w:id="601" w:name="_Toc23782730"/>
      <w:r w:rsidR="006E6675">
        <w:rPr>
          <w:rFonts w:cstheme="minorHAnsi"/>
          <w:b/>
          <w:bCs/>
          <w:noProof/>
          <w:sz w:val="20"/>
          <w:szCs w:val="20"/>
        </w:rPr>
        <w:t>50</w:t>
      </w:r>
      <w:r w:rsidRPr="00FF651D">
        <w:rPr>
          <w:rFonts w:cstheme="minorHAnsi"/>
          <w:b/>
          <w:bCs/>
          <w:noProof/>
          <w:sz w:val="20"/>
          <w:szCs w:val="20"/>
        </w:rPr>
        <w:fldChar w:fldCharType="end"/>
      </w:r>
      <w:r w:rsidRPr="00FF651D">
        <w:rPr>
          <w:rFonts w:cstheme="minorHAnsi"/>
          <w:b/>
          <w:bCs/>
          <w:sz w:val="20"/>
          <w:szCs w:val="20"/>
        </w:rPr>
        <w:t>.attēls. Plānotajos energoefektivitātes uzlabošanas pasākumos plānotais panāk</w:t>
      </w:r>
      <w:r w:rsidR="0047533B">
        <w:rPr>
          <w:rFonts w:cstheme="minorHAnsi"/>
          <w:b/>
          <w:bCs/>
          <w:sz w:val="20"/>
          <w:szCs w:val="20"/>
        </w:rPr>
        <w:t>ta</w:t>
      </w:r>
      <w:r w:rsidRPr="00FF651D">
        <w:rPr>
          <w:rFonts w:cstheme="minorHAnsi"/>
          <w:b/>
          <w:bCs/>
          <w:sz w:val="20"/>
          <w:szCs w:val="20"/>
        </w:rPr>
        <w:t>is kumulatīvo energoietaupījumu apjoms 2030.gadam</w:t>
      </w:r>
      <w:r w:rsidR="0047533B">
        <w:rPr>
          <w:rFonts w:cstheme="minorHAnsi"/>
          <w:b/>
          <w:bCs/>
          <w:sz w:val="20"/>
          <w:szCs w:val="20"/>
        </w:rPr>
        <w:t xml:space="preserve"> un pa gadiem periodā līdz 2030.gadam</w:t>
      </w:r>
      <w:r w:rsidRPr="00FF651D">
        <w:rPr>
          <w:rStyle w:val="FootnoteReference"/>
          <w:rFonts w:cstheme="minorHAnsi"/>
          <w:b/>
          <w:bCs/>
          <w:sz w:val="20"/>
          <w:szCs w:val="20"/>
        </w:rPr>
        <w:footnoteReference w:id="207"/>
      </w:r>
      <w:r w:rsidRPr="00FF651D">
        <w:rPr>
          <w:rFonts w:cstheme="minorHAnsi"/>
          <w:b/>
          <w:bCs/>
          <w:sz w:val="20"/>
          <w:szCs w:val="20"/>
        </w:rPr>
        <w:t xml:space="preserve"> (PJ)</w:t>
      </w:r>
      <w:bookmarkEnd w:id="601"/>
    </w:p>
    <w:p w14:paraId="66309C6C" w14:textId="3E8D7398" w:rsidR="000C620B" w:rsidRPr="00207561" w:rsidRDefault="000C620B">
      <w:pPr>
        <w:pStyle w:val="Heading30"/>
      </w:pPr>
      <w:bookmarkStart w:id="602" w:name="_Toc24408071"/>
      <w:bookmarkStart w:id="603" w:name="_Toc17878373"/>
      <w:bookmarkStart w:id="604" w:name="_Toc527529593"/>
      <w:bookmarkStart w:id="605" w:name="_Toc520978895"/>
      <w:r w:rsidRPr="00207561">
        <w:t>SEG emisiju un CO</w:t>
      </w:r>
      <w:r w:rsidRPr="00CA308F">
        <w:rPr>
          <w:vertAlign w:val="subscript"/>
        </w:rPr>
        <w:t>2</w:t>
      </w:r>
      <w:r w:rsidRPr="00207561">
        <w:t xml:space="preserve"> piesaistes prognozes</w:t>
      </w:r>
      <w:bookmarkEnd w:id="602"/>
      <w:r w:rsidRPr="00207561">
        <w:t xml:space="preserve"> </w:t>
      </w:r>
    </w:p>
    <w:p w14:paraId="12A3C141" w14:textId="18E578BC" w:rsidR="006E210B" w:rsidRPr="0007326F" w:rsidRDefault="006E210B" w:rsidP="0007326F">
      <w:pPr>
        <w:spacing w:before="120" w:after="120" w:line="240" w:lineRule="auto"/>
        <w:jc w:val="both"/>
        <w:rPr>
          <w:rFonts w:cstheme="minorHAnsi"/>
          <w:szCs w:val="24"/>
        </w:rPr>
      </w:pPr>
      <w:r w:rsidRPr="0007326F">
        <w:rPr>
          <w:rFonts w:cstheme="minorHAnsi"/>
          <w:szCs w:val="24"/>
        </w:rPr>
        <w:t xml:space="preserve">Tiek prognozēts, ka </w:t>
      </w:r>
      <w:r w:rsidR="008E5C42" w:rsidRPr="0007326F">
        <w:rPr>
          <w:rFonts w:cstheme="minorHAnsi"/>
          <w:szCs w:val="24"/>
        </w:rPr>
        <w:t>m</w:t>
      </w:r>
      <w:r w:rsidRPr="0007326F">
        <w:rPr>
          <w:rFonts w:cstheme="minorHAnsi"/>
          <w:szCs w:val="24"/>
        </w:rPr>
        <w:t xml:space="preserve">ērķa scenārijā 2030.gadā ne-ETS darbību SEG emisiju apjoms samazināsies par 14%, salīdzinot ar 2005.gada ne-ETS emisijām. Tāpat kā </w:t>
      </w:r>
      <w:r w:rsidR="008E5C42" w:rsidRPr="0007326F">
        <w:rPr>
          <w:rFonts w:cstheme="minorHAnsi"/>
          <w:szCs w:val="24"/>
        </w:rPr>
        <w:t>b</w:t>
      </w:r>
      <w:r w:rsidRPr="0007326F">
        <w:rPr>
          <w:rFonts w:cstheme="minorHAnsi"/>
          <w:szCs w:val="24"/>
        </w:rPr>
        <w:t xml:space="preserve">āzes scenārijā, arī </w:t>
      </w:r>
      <w:r w:rsidR="008E5C42">
        <w:rPr>
          <w:rFonts w:cstheme="minorHAnsi"/>
          <w:szCs w:val="24"/>
        </w:rPr>
        <w:t>m</w:t>
      </w:r>
      <w:r w:rsidR="008E5C42" w:rsidRPr="0007326F">
        <w:rPr>
          <w:rFonts w:cstheme="minorHAnsi"/>
          <w:szCs w:val="24"/>
        </w:rPr>
        <w:t xml:space="preserve">ērķa </w:t>
      </w:r>
      <w:r w:rsidRPr="0007326F">
        <w:rPr>
          <w:rFonts w:cstheme="minorHAnsi"/>
          <w:szCs w:val="24"/>
        </w:rPr>
        <w:t xml:space="preserve">scenārijā 2030.gadā ne-ETS no kopējā apjoma tiek prognozēts kā 78%. 2030.gadā lielākā daļa no ne-ETS emisijām rodas lauksaimniecības sektorā, kas ir 41% no kopējām ne-ETS emisijām, tālāk ir transporta sektors, kurš sastāda 33% no ne-ETS emisijām. Pārējo daļu sastāda enerģētikas (18%)(bez transporta), atkritumu apsaimniekošanas (4%) un ne-ETS rūpniecisko procesu un produktu izmantošanas sektors (3%). </w:t>
      </w:r>
    </w:p>
    <w:p w14:paraId="2F39962F" w14:textId="77777777" w:rsidR="006E210B" w:rsidRPr="0007326F" w:rsidRDefault="006E210B" w:rsidP="0007326F">
      <w:pPr>
        <w:spacing w:before="120" w:after="120" w:line="240" w:lineRule="auto"/>
        <w:jc w:val="center"/>
        <w:rPr>
          <w:rFonts w:cstheme="minorHAnsi"/>
          <w:color w:val="FF0000"/>
          <w:szCs w:val="24"/>
        </w:rPr>
      </w:pPr>
      <w:r w:rsidRPr="0007326F">
        <w:rPr>
          <w:rFonts w:cstheme="minorHAnsi"/>
          <w:noProof/>
          <w:color w:val="FF0000"/>
          <w:szCs w:val="24"/>
          <w:lang w:eastAsia="lv-LV"/>
        </w:rPr>
        <w:drawing>
          <wp:inline distT="0" distB="0" distL="0" distR="0" wp14:anchorId="558DA140" wp14:editId="27F4B501">
            <wp:extent cx="4543898" cy="269210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64518" cy="2704320"/>
                    </a:xfrm>
                    <a:prstGeom prst="rect">
                      <a:avLst/>
                    </a:prstGeom>
                    <a:noFill/>
                    <a:ln>
                      <a:noFill/>
                    </a:ln>
                  </pic:spPr>
                </pic:pic>
              </a:graphicData>
            </a:graphic>
          </wp:inline>
        </w:drawing>
      </w:r>
    </w:p>
    <w:p w14:paraId="4F434C0F" w14:textId="0BB4EC81" w:rsidR="006E210B" w:rsidRPr="0007326F" w:rsidRDefault="008E5C42" w:rsidP="0007326F">
      <w:pPr>
        <w:spacing w:before="120" w:after="120" w:line="240" w:lineRule="auto"/>
        <w:jc w:val="center"/>
        <w:rPr>
          <w:rFonts w:cstheme="minorHAnsi"/>
          <w:b/>
          <w:sz w:val="20"/>
          <w:szCs w:val="24"/>
        </w:rPr>
      </w:pPr>
      <w:r w:rsidRPr="004910BB">
        <w:rPr>
          <w:rFonts w:cstheme="minorHAnsi"/>
          <w:b/>
          <w:bCs/>
          <w:noProof/>
          <w:sz w:val="20"/>
          <w:szCs w:val="20"/>
        </w:rPr>
        <w:fldChar w:fldCharType="begin"/>
      </w:r>
      <w:r w:rsidRPr="008E5C42">
        <w:rPr>
          <w:rFonts w:cstheme="minorHAnsi"/>
          <w:b/>
          <w:bCs/>
          <w:noProof/>
          <w:sz w:val="20"/>
          <w:szCs w:val="20"/>
        </w:rPr>
        <w:instrText xml:space="preserve"> SEQ Ilustrācija \* ARABIC </w:instrText>
      </w:r>
      <w:r w:rsidRPr="004910BB">
        <w:rPr>
          <w:rFonts w:cstheme="minorHAnsi"/>
          <w:b/>
          <w:bCs/>
          <w:noProof/>
          <w:sz w:val="20"/>
          <w:szCs w:val="20"/>
        </w:rPr>
        <w:fldChar w:fldCharType="separate"/>
      </w:r>
      <w:r w:rsidRPr="008E5C42">
        <w:rPr>
          <w:rFonts w:cstheme="minorHAnsi"/>
          <w:b/>
          <w:bCs/>
          <w:noProof/>
          <w:sz w:val="20"/>
          <w:szCs w:val="20"/>
        </w:rPr>
        <w:t>53</w:t>
      </w:r>
      <w:r w:rsidRPr="004910BB">
        <w:rPr>
          <w:rFonts w:cstheme="minorHAnsi"/>
          <w:b/>
          <w:bCs/>
          <w:noProof/>
          <w:sz w:val="20"/>
          <w:szCs w:val="20"/>
        </w:rPr>
        <w:fldChar w:fldCharType="end"/>
      </w:r>
      <w:r w:rsidRPr="008E5C42">
        <w:rPr>
          <w:rFonts w:cstheme="minorHAnsi"/>
          <w:b/>
          <w:bCs/>
          <w:sz w:val="20"/>
          <w:szCs w:val="20"/>
        </w:rPr>
        <w:t>.</w:t>
      </w:r>
      <w:r w:rsidR="006E210B" w:rsidRPr="0007326F">
        <w:rPr>
          <w:rFonts w:cstheme="minorHAnsi"/>
          <w:b/>
          <w:sz w:val="20"/>
          <w:szCs w:val="24"/>
        </w:rPr>
        <w:t xml:space="preserve">attēls. Latvijas ne-ETS SEG vēsturiskās un </w:t>
      </w:r>
      <w:r w:rsidRPr="0007326F">
        <w:rPr>
          <w:rFonts w:cstheme="minorHAnsi"/>
          <w:b/>
          <w:sz w:val="20"/>
          <w:szCs w:val="24"/>
        </w:rPr>
        <w:t>m</w:t>
      </w:r>
      <w:r w:rsidR="006E210B" w:rsidRPr="0007326F">
        <w:rPr>
          <w:rFonts w:cstheme="minorHAnsi"/>
          <w:b/>
          <w:sz w:val="20"/>
          <w:szCs w:val="24"/>
        </w:rPr>
        <w:t>ērķa scenārija prognozes līdz 2040.gadam</w:t>
      </w:r>
    </w:p>
    <w:p w14:paraId="63C9C41F" w14:textId="1044179D" w:rsidR="006E210B" w:rsidRPr="0007326F" w:rsidRDefault="006E210B" w:rsidP="0007326F">
      <w:pPr>
        <w:spacing w:before="120" w:after="120" w:line="240" w:lineRule="auto"/>
        <w:jc w:val="both"/>
        <w:rPr>
          <w:rFonts w:cstheme="minorHAnsi"/>
          <w:szCs w:val="24"/>
        </w:rPr>
      </w:pPr>
      <w:r w:rsidRPr="0007326F">
        <w:rPr>
          <w:rFonts w:cstheme="minorHAnsi"/>
          <w:szCs w:val="24"/>
        </w:rPr>
        <w:t xml:space="preserve">Saskaņā ar </w:t>
      </w:r>
      <w:r w:rsidR="008E5C42" w:rsidRPr="0007326F">
        <w:rPr>
          <w:rFonts w:cstheme="minorHAnsi"/>
          <w:szCs w:val="24"/>
        </w:rPr>
        <w:t>m</w:t>
      </w:r>
      <w:r w:rsidRPr="0007326F">
        <w:rPr>
          <w:rFonts w:cstheme="minorHAnsi"/>
          <w:szCs w:val="24"/>
        </w:rPr>
        <w:t>ērķa scenārija prognozēm 2030.gadā Latvijas ne-ETS sektora SEG emisiju apjoms būs 7351,89 kt CO</w:t>
      </w:r>
      <w:r w:rsidRPr="0007326F">
        <w:rPr>
          <w:rFonts w:cstheme="minorHAnsi"/>
          <w:szCs w:val="24"/>
          <w:vertAlign w:val="subscript"/>
        </w:rPr>
        <w:t>2</w:t>
      </w:r>
      <w:r w:rsidRPr="0007326F">
        <w:rPr>
          <w:rFonts w:cstheme="minorHAnsi"/>
          <w:szCs w:val="24"/>
        </w:rPr>
        <w:t xml:space="preserve"> ekv. Tā kā indikatīvais mērķis 2030.gadā ir 8038,45 kt CO</w:t>
      </w:r>
      <w:r w:rsidRPr="0007326F">
        <w:rPr>
          <w:rFonts w:cstheme="minorHAnsi"/>
          <w:szCs w:val="24"/>
          <w:vertAlign w:val="subscript"/>
        </w:rPr>
        <w:t xml:space="preserve">2 </w:t>
      </w:r>
      <w:r w:rsidRPr="0007326F">
        <w:rPr>
          <w:rFonts w:cstheme="minorHAnsi"/>
          <w:szCs w:val="24"/>
        </w:rPr>
        <w:t xml:space="preserve">ekv., tas nozīmē, ka tiek prognozēts, ka </w:t>
      </w:r>
      <w:r w:rsidR="008E5C42" w:rsidRPr="0007326F">
        <w:rPr>
          <w:rFonts w:cstheme="minorHAnsi"/>
          <w:szCs w:val="24"/>
        </w:rPr>
        <w:t>m</w:t>
      </w:r>
      <w:r w:rsidRPr="0007326F">
        <w:rPr>
          <w:rFonts w:cstheme="minorHAnsi"/>
          <w:szCs w:val="24"/>
        </w:rPr>
        <w:t>ērķa scenārijs izpilda noteikto mērķi.</w:t>
      </w:r>
    </w:p>
    <w:p w14:paraId="18B76C54" w14:textId="77777777" w:rsidR="006E210B" w:rsidRPr="0007326F" w:rsidRDefault="006E210B" w:rsidP="0007326F">
      <w:pPr>
        <w:spacing w:before="120" w:after="120" w:line="240" w:lineRule="auto"/>
        <w:jc w:val="center"/>
        <w:rPr>
          <w:rFonts w:cstheme="minorHAnsi"/>
          <w:szCs w:val="24"/>
        </w:rPr>
      </w:pPr>
      <w:r w:rsidRPr="0007326F">
        <w:rPr>
          <w:rFonts w:cstheme="minorHAnsi"/>
          <w:noProof/>
          <w:szCs w:val="24"/>
          <w:lang w:eastAsia="lv-LV"/>
        </w:rPr>
        <w:drawing>
          <wp:inline distT="0" distB="0" distL="0" distR="0" wp14:anchorId="22EDEFF1" wp14:editId="066693F3">
            <wp:extent cx="4394172" cy="2523308"/>
            <wp:effectExtent l="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05220" cy="2529652"/>
                    </a:xfrm>
                    <a:prstGeom prst="rect">
                      <a:avLst/>
                    </a:prstGeom>
                    <a:noFill/>
                    <a:ln>
                      <a:noFill/>
                    </a:ln>
                  </pic:spPr>
                </pic:pic>
              </a:graphicData>
            </a:graphic>
          </wp:inline>
        </w:drawing>
      </w:r>
    </w:p>
    <w:p w14:paraId="4FC39E31" w14:textId="5FFE8F40" w:rsidR="006E210B" w:rsidRPr="0007326F" w:rsidRDefault="008E5C42" w:rsidP="0007326F">
      <w:pPr>
        <w:spacing w:before="120" w:after="120" w:line="240" w:lineRule="auto"/>
        <w:jc w:val="center"/>
        <w:rPr>
          <w:rFonts w:cstheme="minorHAnsi"/>
          <w:b/>
          <w:sz w:val="20"/>
          <w:szCs w:val="24"/>
        </w:rPr>
      </w:pPr>
      <w:r w:rsidRPr="004910BB">
        <w:rPr>
          <w:rFonts w:cstheme="minorHAnsi"/>
          <w:b/>
          <w:bCs/>
          <w:noProof/>
          <w:sz w:val="20"/>
          <w:szCs w:val="20"/>
        </w:rPr>
        <w:fldChar w:fldCharType="begin"/>
      </w:r>
      <w:r w:rsidRPr="00E92547">
        <w:rPr>
          <w:rFonts w:cstheme="minorHAnsi"/>
          <w:b/>
          <w:bCs/>
          <w:noProof/>
          <w:sz w:val="20"/>
          <w:szCs w:val="20"/>
        </w:rPr>
        <w:instrText xml:space="preserve"> SEQ Ilustrācija \* ARABIC </w:instrText>
      </w:r>
      <w:r w:rsidRPr="004910BB">
        <w:rPr>
          <w:rFonts w:cstheme="minorHAnsi"/>
          <w:b/>
          <w:bCs/>
          <w:noProof/>
          <w:sz w:val="20"/>
          <w:szCs w:val="20"/>
        </w:rPr>
        <w:fldChar w:fldCharType="separate"/>
      </w:r>
      <w:r w:rsidRPr="00E92547">
        <w:rPr>
          <w:rFonts w:cstheme="minorHAnsi"/>
          <w:b/>
          <w:bCs/>
          <w:noProof/>
          <w:sz w:val="20"/>
          <w:szCs w:val="20"/>
        </w:rPr>
        <w:t>54</w:t>
      </w:r>
      <w:r w:rsidRPr="004910BB">
        <w:rPr>
          <w:rFonts w:cstheme="minorHAnsi"/>
          <w:b/>
          <w:bCs/>
          <w:noProof/>
          <w:sz w:val="20"/>
          <w:szCs w:val="20"/>
        </w:rPr>
        <w:fldChar w:fldCharType="end"/>
      </w:r>
      <w:r w:rsidRPr="00E92547">
        <w:rPr>
          <w:rFonts w:cstheme="minorHAnsi"/>
          <w:b/>
          <w:bCs/>
          <w:sz w:val="20"/>
          <w:szCs w:val="20"/>
        </w:rPr>
        <w:t>.</w:t>
      </w:r>
      <w:r w:rsidR="006E210B" w:rsidRPr="0007326F">
        <w:rPr>
          <w:rFonts w:cstheme="minorHAnsi"/>
          <w:b/>
          <w:sz w:val="20"/>
          <w:szCs w:val="24"/>
        </w:rPr>
        <w:t xml:space="preserve">attēls. Ne-ETS faktiskās SEG emisijas (līdz 2017.gadam) un </w:t>
      </w:r>
      <w:r w:rsidRPr="00E92547">
        <w:rPr>
          <w:rFonts w:cstheme="minorHAnsi"/>
          <w:b/>
          <w:sz w:val="20"/>
          <w:szCs w:val="24"/>
        </w:rPr>
        <w:t>m</w:t>
      </w:r>
      <w:r w:rsidRPr="0007326F">
        <w:rPr>
          <w:rFonts w:cstheme="minorHAnsi"/>
          <w:b/>
          <w:sz w:val="20"/>
          <w:szCs w:val="24"/>
        </w:rPr>
        <w:t xml:space="preserve">ērķa </w:t>
      </w:r>
      <w:r w:rsidR="006E210B" w:rsidRPr="0007326F">
        <w:rPr>
          <w:rFonts w:cstheme="minorHAnsi"/>
          <w:b/>
          <w:sz w:val="20"/>
          <w:szCs w:val="24"/>
        </w:rPr>
        <w:t>scenārija SEG emisiju prognoze</w:t>
      </w:r>
    </w:p>
    <w:p w14:paraId="1E98A92D" w14:textId="244A19FD" w:rsidR="006E210B" w:rsidRPr="0007326F" w:rsidRDefault="006E210B" w:rsidP="0007326F">
      <w:pPr>
        <w:spacing w:before="120" w:after="120" w:line="240" w:lineRule="auto"/>
        <w:jc w:val="both"/>
        <w:rPr>
          <w:rFonts w:cstheme="minorHAnsi"/>
          <w:szCs w:val="24"/>
        </w:rPr>
      </w:pPr>
      <w:r w:rsidRPr="0007326F">
        <w:rPr>
          <w:rFonts w:cstheme="minorHAnsi"/>
          <w:szCs w:val="24"/>
        </w:rPr>
        <w:t xml:space="preserve">Enerģētikas SEG emisiju prognožu aprēķināšanai </w:t>
      </w:r>
      <w:r w:rsidR="008E5C42" w:rsidRPr="0007326F">
        <w:rPr>
          <w:rFonts w:cstheme="minorHAnsi"/>
          <w:szCs w:val="24"/>
        </w:rPr>
        <w:t xml:space="preserve">mērķa </w:t>
      </w:r>
      <w:r w:rsidRPr="0007326F">
        <w:rPr>
          <w:rFonts w:cstheme="minorHAnsi"/>
          <w:szCs w:val="24"/>
        </w:rPr>
        <w:t xml:space="preserve">scenārijā papildus </w:t>
      </w:r>
      <w:r w:rsidR="008E5C42" w:rsidRPr="0007326F">
        <w:rPr>
          <w:rFonts w:cstheme="minorHAnsi"/>
          <w:szCs w:val="24"/>
        </w:rPr>
        <w:t xml:space="preserve">bāzes </w:t>
      </w:r>
      <w:r w:rsidRPr="0007326F">
        <w:rPr>
          <w:rFonts w:cstheme="minorHAnsi"/>
          <w:szCs w:val="24"/>
        </w:rPr>
        <w:t>scenārijā ietvertajām politikām tiek paredzēts plašāk izmantot AER, 2030.gadā sasniedzot 50% no kopējā enerģijas galapatēriņa. Mērķa scenārijā papildus pasākumi tiek paredzēti arī ener</w:t>
      </w:r>
      <w:r w:rsidR="008E5C42" w:rsidRPr="0007326F">
        <w:rPr>
          <w:rFonts w:cstheme="minorHAnsi"/>
          <w:szCs w:val="24"/>
        </w:rPr>
        <w:t>go</w:t>
      </w:r>
      <w:r w:rsidRPr="0007326F">
        <w:rPr>
          <w:rFonts w:cstheme="minorHAnsi"/>
          <w:szCs w:val="24"/>
        </w:rPr>
        <w:t xml:space="preserve">efektivitātes paaugstināšanai visos enerģijas patērētāju sektoros (mājsaimniecības, komerciālais un sabiedriskais sektors, rūpniecība). Ne-ETS emisijas </w:t>
      </w:r>
      <w:r w:rsidR="008E5C42" w:rsidRPr="0007326F">
        <w:rPr>
          <w:rFonts w:cstheme="minorHAnsi"/>
          <w:szCs w:val="24"/>
        </w:rPr>
        <w:t>m</w:t>
      </w:r>
      <w:r w:rsidRPr="0007326F">
        <w:rPr>
          <w:rFonts w:cstheme="minorHAnsi"/>
          <w:szCs w:val="24"/>
        </w:rPr>
        <w:t>ērķa scenārijā uz 2030.gadu samazinās par apmēram 1800 kt CO</w:t>
      </w:r>
      <w:r w:rsidRPr="0007326F">
        <w:rPr>
          <w:rFonts w:cstheme="minorHAnsi"/>
          <w:szCs w:val="24"/>
          <w:vertAlign w:val="subscript"/>
        </w:rPr>
        <w:t>2</w:t>
      </w:r>
      <w:r w:rsidRPr="0007326F">
        <w:rPr>
          <w:rFonts w:cstheme="minorHAnsi"/>
          <w:szCs w:val="24"/>
        </w:rPr>
        <w:t xml:space="preserve"> ekv. (šeit</w:t>
      </w:r>
      <w:r w:rsidRPr="0007326F">
        <w:rPr>
          <w:rFonts w:cstheme="minorHAnsi"/>
          <w:szCs w:val="24"/>
          <w:vertAlign w:val="subscript"/>
        </w:rPr>
        <w:t xml:space="preserve"> </w:t>
      </w:r>
      <w:r w:rsidRPr="0007326F">
        <w:rPr>
          <w:rFonts w:cstheme="minorHAnsi"/>
          <w:szCs w:val="24"/>
        </w:rPr>
        <w:t>un turpmāk tiek salīdzināts ar 2017.gadu).</w:t>
      </w:r>
      <w:r w:rsidRPr="0007326F">
        <w:rPr>
          <w:rFonts w:cstheme="minorHAnsi"/>
          <w:szCs w:val="24"/>
          <w:vertAlign w:val="subscript"/>
        </w:rPr>
        <w:t xml:space="preserve"> </w:t>
      </w:r>
      <w:r w:rsidRPr="0007326F">
        <w:rPr>
          <w:rFonts w:cstheme="minorHAnsi"/>
          <w:szCs w:val="24"/>
        </w:rPr>
        <w:t xml:space="preserve"> Ener</w:t>
      </w:r>
      <w:r w:rsidR="008E5C42" w:rsidRPr="0007326F">
        <w:rPr>
          <w:rFonts w:cstheme="minorHAnsi"/>
          <w:szCs w:val="24"/>
        </w:rPr>
        <w:t>go</w:t>
      </w:r>
      <w:r w:rsidRPr="0007326F">
        <w:rPr>
          <w:rFonts w:cstheme="minorHAnsi"/>
          <w:szCs w:val="24"/>
        </w:rPr>
        <w:t>efektivitātes pasākumu īstenošana un pāreja no fosilā kurināmā izmantošanas uz biomasu samazina SEG emisijas rūpniecībā uz 2030.gadu par apmēram 165 kt CO</w:t>
      </w:r>
      <w:r w:rsidRPr="0007326F">
        <w:rPr>
          <w:rFonts w:cstheme="minorHAnsi"/>
          <w:szCs w:val="24"/>
          <w:vertAlign w:val="subscript"/>
        </w:rPr>
        <w:t>2</w:t>
      </w:r>
      <w:r w:rsidRPr="0007326F">
        <w:rPr>
          <w:rFonts w:cstheme="minorHAnsi"/>
          <w:szCs w:val="24"/>
        </w:rPr>
        <w:t xml:space="preserve"> ekv. Turpretim ener</w:t>
      </w:r>
      <w:r w:rsidR="008E5C42" w:rsidRPr="0007326F">
        <w:rPr>
          <w:rFonts w:cstheme="minorHAnsi"/>
          <w:szCs w:val="24"/>
        </w:rPr>
        <w:t>go</w:t>
      </w:r>
      <w:r w:rsidRPr="0007326F">
        <w:rPr>
          <w:rFonts w:cstheme="minorHAnsi"/>
          <w:szCs w:val="24"/>
        </w:rPr>
        <w:t>efektivitātes pasākumu īstenošana mājsaimniecībās un komerciālā un sabiedriskā sektorā, kā arī AER plašāka izmantošana komerciālā un sabiedriskā sektorā un mežsaimniecībā un lauksaimniecībā, samazina emisijas uz 2030.gadu par apmēram 630 kt CO</w:t>
      </w:r>
      <w:r w:rsidRPr="0007326F">
        <w:rPr>
          <w:rFonts w:cstheme="minorHAnsi"/>
          <w:szCs w:val="24"/>
          <w:vertAlign w:val="subscript"/>
        </w:rPr>
        <w:t>2</w:t>
      </w:r>
      <w:r w:rsidRPr="0007326F">
        <w:rPr>
          <w:rFonts w:cstheme="minorHAnsi"/>
          <w:szCs w:val="24"/>
        </w:rPr>
        <w:t xml:space="preserve"> ekv. Transporta sektorā, papildus </w:t>
      </w:r>
      <w:r w:rsidR="008E5C42" w:rsidRPr="0007326F">
        <w:rPr>
          <w:rFonts w:cstheme="minorHAnsi"/>
          <w:szCs w:val="24"/>
        </w:rPr>
        <w:t>b</w:t>
      </w:r>
      <w:r w:rsidRPr="0007326F">
        <w:rPr>
          <w:rFonts w:cstheme="minorHAnsi"/>
          <w:szCs w:val="24"/>
        </w:rPr>
        <w:t>āzes scenārijā īstenotam dzelzceļa elektrifikācijas projektam, tiek paredzēta plašāka biogāzes (modernās biodegvielas) un biodegvielu (1.paaudzes un modernās biodegvielas) izmantošana. SEG emisijas transporta sektorā uz 2030.gadu samazinās par apmēram 860 kt CO</w:t>
      </w:r>
      <w:r w:rsidRPr="0007326F">
        <w:rPr>
          <w:rFonts w:cstheme="minorHAnsi"/>
          <w:szCs w:val="24"/>
          <w:vertAlign w:val="subscript"/>
        </w:rPr>
        <w:t>2</w:t>
      </w:r>
      <w:r w:rsidRPr="0007326F">
        <w:rPr>
          <w:rFonts w:cstheme="minorHAnsi"/>
          <w:szCs w:val="24"/>
        </w:rPr>
        <w:t xml:space="preserve"> ekvivalenti.</w:t>
      </w:r>
    </w:p>
    <w:p w14:paraId="619EE1FC" w14:textId="5A60C6C6" w:rsidR="006E210B" w:rsidRPr="0007326F" w:rsidRDefault="006E210B" w:rsidP="0007326F">
      <w:pPr>
        <w:spacing w:before="120" w:after="120" w:line="240" w:lineRule="auto"/>
        <w:jc w:val="both"/>
        <w:rPr>
          <w:rFonts w:cstheme="minorHAnsi"/>
          <w:szCs w:val="24"/>
        </w:rPr>
      </w:pPr>
      <w:r w:rsidRPr="0007326F">
        <w:rPr>
          <w:rFonts w:cstheme="minorHAnsi"/>
          <w:szCs w:val="24"/>
        </w:rPr>
        <w:t xml:space="preserve">Mērķa scenārijā lauksaimniecības emisiju prognožu rezultāti norāda, ka lauksaimniecības sektorā emisijas līdz 2030. gadam varētu pieaugt par 8%, salīdzinot ar 2017.gadu, jeb par 3% samazināt emisiju apjomu, kas noteikts ar </w:t>
      </w:r>
      <w:r w:rsidR="008E5C42" w:rsidRPr="00E92547">
        <w:rPr>
          <w:rFonts w:cstheme="minorHAnsi"/>
          <w:szCs w:val="24"/>
        </w:rPr>
        <w:t>b</w:t>
      </w:r>
      <w:r w:rsidR="008E5C42" w:rsidRPr="0007326F">
        <w:rPr>
          <w:rFonts w:cstheme="minorHAnsi"/>
          <w:szCs w:val="24"/>
        </w:rPr>
        <w:t xml:space="preserve">āzes </w:t>
      </w:r>
      <w:r w:rsidRPr="0007326F">
        <w:rPr>
          <w:rFonts w:cstheme="minorHAnsi"/>
          <w:szCs w:val="24"/>
        </w:rPr>
        <w:t xml:space="preserve">scenārija pieņēmumiem. Mērķa scenārijā ir novērojams emisiju samazinājums pret </w:t>
      </w:r>
      <w:r w:rsidR="008E5C42" w:rsidRPr="00E92547">
        <w:rPr>
          <w:rFonts w:cstheme="minorHAnsi"/>
          <w:szCs w:val="24"/>
        </w:rPr>
        <w:t>b</w:t>
      </w:r>
      <w:r w:rsidR="008E5C42" w:rsidRPr="0007326F">
        <w:rPr>
          <w:rFonts w:cstheme="minorHAnsi"/>
          <w:szCs w:val="24"/>
        </w:rPr>
        <w:t xml:space="preserve">āzes </w:t>
      </w:r>
      <w:r w:rsidRPr="0007326F">
        <w:rPr>
          <w:rFonts w:cstheme="minorHAnsi"/>
          <w:szCs w:val="24"/>
        </w:rPr>
        <w:t>scenāriju, jo par 6% samazinās emisijas no lauksaimniecības augsnēm.</w:t>
      </w:r>
    </w:p>
    <w:p w14:paraId="7607570F" w14:textId="7DE433E7" w:rsidR="006E210B" w:rsidRPr="0007326F" w:rsidRDefault="006E210B" w:rsidP="0007326F">
      <w:pPr>
        <w:spacing w:before="120" w:after="120" w:line="240" w:lineRule="auto"/>
        <w:jc w:val="both"/>
      </w:pPr>
      <w:r w:rsidRPr="0007326F">
        <w:t xml:space="preserve">Saskaņā ar </w:t>
      </w:r>
      <w:r w:rsidR="008E5C42" w:rsidRPr="004910BB">
        <w:t>m</w:t>
      </w:r>
      <w:r w:rsidR="008E5C42" w:rsidRPr="0007326F">
        <w:t xml:space="preserve">ērķa </w:t>
      </w:r>
      <w:r w:rsidRPr="0007326F">
        <w:t xml:space="preserve">scenāriju atkritumu apsaimniekošanas sektorā SEG emisiju apjoms 2020.gadā ir tāds pats kā </w:t>
      </w:r>
      <w:r w:rsidR="008E5C42" w:rsidRPr="004910BB">
        <w:t>b</w:t>
      </w:r>
      <w:r w:rsidR="008E5C42" w:rsidRPr="0007326F">
        <w:t xml:space="preserve">āzes </w:t>
      </w:r>
      <w:r w:rsidRPr="0007326F">
        <w:t xml:space="preserve">scenārijā, bet 2030.gadā tas ir par 3,1% zemāks </w:t>
      </w:r>
      <w:r w:rsidR="008E5C42" w:rsidRPr="004910BB">
        <w:t>ne</w:t>
      </w:r>
      <w:r w:rsidRPr="0007326F">
        <w:t xml:space="preserve">kā </w:t>
      </w:r>
      <w:r w:rsidR="008E5C42" w:rsidRPr="004910BB">
        <w:t>b</w:t>
      </w:r>
      <w:r w:rsidR="008E5C42" w:rsidRPr="0007326F">
        <w:t xml:space="preserve">āzes </w:t>
      </w:r>
      <w:r w:rsidRPr="0007326F">
        <w:t xml:space="preserve">scenārijā. Mērķa scenārijā ir ņemts vērā, ka 2035.gadā tiks apglabāti tikai 10% atkritumu poligonos. Līdz ar to ir novērojams emisiju samazinājums </w:t>
      </w:r>
      <w:r w:rsidR="008E5C42" w:rsidRPr="004910BB">
        <w:t>m</w:t>
      </w:r>
      <w:r w:rsidR="008E5C42" w:rsidRPr="0007326F">
        <w:t xml:space="preserve">ērķa </w:t>
      </w:r>
      <w:r w:rsidRPr="0007326F">
        <w:t>scenārijā.</w:t>
      </w:r>
    </w:p>
    <w:p w14:paraId="683DFE14" w14:textId="423E95D8" w:rsidR="00D934CE" w:rsidRPr="00E92547" w:rsidRDefault="00D67F99" w:rsidP="0007326F">
      <w:pPr>
        <w:pStyle w:val="Heading30"/>
      </w:pPr>
      <w:bookmarkStart w:id="606" w:name="_Toc24408072"/>
      <w:r w:rsidRPr="00E92547">
        <w:t>Mijiedarbība ar</w:t>
      </w:r>
      <w:r w:rsidR="00D934CE" w:rsidRPr="00E92547">
        <w:t xml:space="preserve"> gaisa piesārņojošo vielu emisij</w:t>
      </w:r>
      <w:r w:rsidRPr="00E92547">
        <w:t>ām</w:t>
      </w:r>
      <w:bookmarkEnd w:id="606"/>
    </w:p>
    <w:p w14:paraId="2E6AC7FF" w14:textId="52156703" w:rsidR="00D67F99" w:rsidRPr="00E92547" w:rsidRDefault="00D67F99" w:rsidP="00D67F99">
      <w:pPr>
        <w:spacing w:before="120" w:after="120" w:line="240" w:lineRule="auto"/>
        <w:jc w:val="both"/>
        <w:rPr>
          <w:lang w:eastAsia="lv-LV"/>
        </w:rPr>
      </w:pPr>
      <w:r w:rsidRPr="00E92547">
        <w:rPr>
          <w:lang w:eastAsia="lv-LV"/>
        </w:rPr>
        <w:t>Plānā paredzēto esošo rīcībpolitiku un pasākumu, kā arī papildu nepieciešamo rīcībpolitiku un pasākumu tiešākā mijiedarbība ar gaisa piesārņojošo vielu emisiju samazināšanai īstenotajām rīcībpolitikām un pasākumiem Latvijā ir attiecībā uz smalko daļiņu (putekļu) emisijām, jo gan Plāna, gan Gaisa piesārņojuma samazināšanas rīcības plāns 2019.-2030.gadam (</w:t>
      </w:r>
      <w:r w:rsidR="00971B96" w:rsidRPr="00E92547">
        <w:rPr>
          <w:lang w:eastAsia="lv-LV"/>
        </w:rPr>
        <w:t xml:space="preserve">GPSRP2030) </w:t>
      </w:r>
      <w:r w:rsidRPr="00E92547">
        <w:rPr>
          <w:lang w:eastAsia="lv-LV"/>
        </w:rPr>
        <w:t xml:space="preserve">ietvaros veiktā izvērtējumā ir secināts, ka slāpekļa oksīdu, oglekļa oksīda, nemetāna gaistošo vielu emisiju vai sēra dioksīda emisiju apjomu būtiski neietekmē klimata pārmaiņu mazināšanai plānotās un īstenotās rīcībpolitikas un pasākumi. </w:t>
      </w:r>
    </w:p>
    <w:p w14:paraId="1F20D0BC" w14:textId="5B7DE3A2" w:rsidR="00D67F99" w:rsidRPr="0007326F" w:rsidRDefault="00D67F99" w:rsidP="0007326F">
      <w:pPr>
        <w:spacing w:before="120" w:after="120"/>
        <w:jc w:val="both"/>
        <w:rPr>
          <w:lang w:eastAsia="lv-LV"/>
        </w:rPr>
      </w:pPr>
      <w:r w:rsidRPr="00E92547">
        <w:rPr>
          <w:lang w:eastAsia="lv-LV"/>
        </w:rPr>
        <w:t xml:space="preserve">Plāns un </w:t>
      </w:r>
      <w:r w:rsidR="00971B96" w:rsidRPr="00E92547">
        <w:rPr>
          <w:lang w:eastAsia="lv-LV"/>
        </w:rPr>
        <w:t xml:space="preserve">GPSRP2030 Latvijā tika izstrādāti harmonizēti abos politikas plānošanas dokumentos neiestrādājot tādas rīcībpolitikas un pasākumus, kuri varētu būtiski negatīvi ietekmēt klimata pārmaiņu samazināšanas, enerģētikas vai gaisa piesārņojuma samazināšanas mērķu izpildi, kur īpaši rūpīgi tika izstrādāti un plānoti pasākumi, kas ietekmē smalko daļiņu (putekļu) emisiju apjomu Latvijā. Smalko daļiņu (putekļu) emisiju pamatavoti Latvijā ir mazas jaudas enerģētika – cietās biomasas stacionārās sadedzināšanas iekārtas mājsaimniecībās un komerciālajā un sabiedriskajā sektorā, kā arī transports. </w:t>
      </w:r>
      <w:r w:rsidR="00971B96" w:rsidRPr="00E92547">
        <w:t>Plāna m</w:t>
      </w:r>
      <w:r w:rsidR="00971B96" w:rsidRPr="00E92547">
        <w:rPr>
          <w:lang w:eastAsia="lv-LV"/>
        </w:rPr>
        <w:t>ērķa scenārijā smalko daļiņu (PM2,5) emisijas enerģētikas sektorā 2030.gadā samazinās par apmēram 7,5%, salīdzinot ar 2016.gadu, kas notiek galvenokārt īstenoto energoefektivitātes pasākumu dēļ. Vēja enerģijas izmantošana elektroenerģijas ražošanā mērķa scenārijā dod iespējas samazināt emisijas 2030.gadā par 3% pret scenāriju, kurā vēja enerģija netiek izmantota. Plānoto papildu rīcībpolitiku un pasākumu rezultātā tikai enerģētikas sektorā ir iespējams nodrošināt apmēram 34% smalko daļiņu (PM2,5) emisiju samazinājumu salīdzinot ar 2005.gadu.</w:t>
      </w:r>
    </w:p>
    <w:p w14:paraId="645CBAF3" w14:textId="682ECB0D" w:rsidR="00066565" w:rsidRDefault="00066565" w:rsidP="0007326F">
      <w:pPr>
        <w:pStyle w:val="Heading2"/>
        <w:ind w:left="623"/>
      </w:pPr>
      <w:bookmarkStart w:id="607" w:name="_Toc24408073"/>
      <w:bookmarkStart w:id="608" w:name="_Toc24408127"/>
      <w:r>
        <w:t>Plānoto rīcībpolitiku un pasākumu m</w:t>
      </w:r>
      <w:r w:rsidR="001E7AE9">
        <w:t>a</w:t>
      </w:r>
      <w:r>
        <w:t>kroekonomiskā</w:t>
      </w:r>
      <w:r w:rsidR="000055AB">
        <w:t>, vides</w:t>
      </w:r>
      <w:r w:rsidR="001E7AE9">
        <w:t xml:space="preserve">, </w:t>
      </w:r>
      <w:r w:rsidR="000055AB">
        <w:t>sociālā</w:t>
      </w:r>
      <w:r w:rsidR="001E7AE9">
        <w:t xml:space="preserve"> un citas</w:t>
      </w:r>
      <w:r w:rsidR="000055AB">
        <w:t xml:space="preserve"> ietekme</w:t>
      </w:r>
      <w:bookmarkEnd w:id="607"/>
      <w:bookmarkEnd w:id="608"/>
    </w:p>
    <w:p w14:paraId="4DCD4D31" w14:textId="671BCA7F" w:rsidR="000055AB" w:rsidRPr="002E72A7" w:rsidRDefault="001E7AE9">
      <w:pPr>
        <w:pStyle w:val="Heading30"/>
      </w:pPr>
      <w:bookmarkStart w:id="609" w:name="_Toc24408074"/>
      <w:r w:rsidRPr="002E72A7">
        <w:t>Plānoto rīcībpolitiku un pasākumu makroekonomiskā ietekme</w:t>
      </w:r>
      <w:r w:rsidR="007A7EAC">
        <w:t xml:space="preserve"> un investīcijas</w:t>
      </w:r>
      <w:bookmarkEnd w:id="609"/>
    </w:p>
    <w:p w14:paraId="57441EB5" w14:textId="4F270BBD" w:rsidR="007A7EAC" w:rsidRPr="0007326F" w:rsidRDefault="00817C15" w:rsidP="0007326F">
      <w:pPr>
        <w:pStyle w:val="BodyText"/>
        <w:spacing w:before="120" w:line="240" w:lineRule="auto"/>
        <w:jc w:val="both"/>
        <w:rPr>
          <w:rFonts w:cstheme="minorHAnsi"/>
        </w:rPr>
      </w:pPr>
      <w:r w:rsidRPr="0007326F">
        <w:t xml:space="preserve">Pamatojoties uz Mērķa scenārija (turpmāk attēlos R-R50BW) modelēšanas rezultātiem, ir aprēķinātas scenārija īstenošanas kopējās izmaksas, ņemot vērā nepieciešamās investīcijas jaunu tehnoloģiju ieviešanai (AER jaudas elektroenerģijas un siltuma ražošanai, transporta sektora elektrifikācija u.c.), enerģijas efektivitātes pasākumu īstenošanai, kā arī izdevumus par kurināmo.   </w:t>
      </w:r>
      <w:r w:rsidR="007A7EAC" w:rsidRPr="0007326F">
        <w:rPr>
          <w:rFonts w:cstheme="minorHAnsi"/>
        </w:rPr>
        <w:t>Mērķa scenārija kopējo izmaksu izmaiņas pret bāzes scenāriju salīdzinājums ar papildus izmaksas salīdzinājumā ar IKP no vienas puses dod iespēju novērtēt, cik viena vai otra enerģētikas un vides politika ietekmē kopējās sistēmas izmaksas, no otras puses dod iespēju izvērtēt kā šīs izmaksas ir saistītas ar prognozēto IKP apjomu.</w:t>
      </w:r>
      <w:r w:rsidR="00C63D24" w:rsidRPr="0007326F">
        <w:rPr>
          <w:rFonts w:cstheme="minorHAnsi"/>
        </w:rPr>
        <w:t xml:space="preserve"> </w:t>
      </w:r>
      <w:r w:rsidR="007A7EAC" w:rsidRPr="0007326F">
        <w:rPr>
          <w:rFonts w:cstheme="minorHAnsi"/>
        </w:rPr>
        <w:t xml:space="preserve">Izmaksu salīdzināšanai izvēlēts laika posms 2018.-2035. gads, jo tas labāk attēlo ieguldīto investīciju ietekmi uz izmaksām. </w:t>
      </w:r>
    </w:p>
    <w:p w14:paraId="6B866372" w14:textId="77777777" w:rsidR="007A7EAC" w:rsidRPr="0007326F" w:rsidRDefault="007A7EAC" w:rsidP="0007326F">
      <w:pPr>
        <w:spacing w:before="120" w:after="120" w:line="240" w:lineRule="auto"/>
        <w:jc w:val="center"/>
        <w:rPr>
          <w:rFonts w:cstheme="minorHAnsi"/>
        </w:rPr>
      </w:pPr>
      <w:r w:rsidRPr="0007326F">
        <w:rPr>
          <w:rFonts w:cstheme="minorHAnsi"/>
          <w:noProof/>
        </w:rPr>
        <w:drawing>
          <wp:inline distT="0" distB="0" distL="0" distR="0" wp14:anchorId="21D5A935" wp14:editId="6CB458D4">
            <wp:extent cx="4432300" cy="2219079"/>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47411" cy="2226644"/>
                    </a:xfrm>
                    <a:prstGeom prst="rect">
                      <a:avLst/>
                    </a:prstGeom>
                    <a:noFill/>
                    <a:ln>
                      <a:noFill/>
                    </a:ln>
                  </pic:spPr>
                </pic:pic>
              </a:graphicData>
            </a:graphic>
          </wp:inline>
        </w:drawing>
      </w:r>
    </w:p>
    <w:p w14:paraId="1DA1ED13" w14:textId="74C2C9CE" w:rsidR="007A7EAC" w:rsidRPr="0007326F" w:rsidRDefault="007A7EAC" w:rsidP="0007326F">
      <w:pPr>
        <w:pStyle w:val="Caption"/>
        <w:rPr>
          <w:rFonts w:asciiTheme="minorHAnsi" w:hAnsiTheme="minorHAnsi" w:cstheme="minorHAnsi"/>
        </w:rPr>
      </w:pPr>
      <w:r w:rsidRPr="0007326F">
        <w:rPr>
          <w:rFonts w:asciiTheme="minorHAnsi" w:hAnsiTheme="minorHAnsi" w:cstheme="minorHAnsi"/>
          <w:noProof/>
        </w:rPr>
        <w:fldChar w:fldCharType="begin"/>
      </w:r>
      <w:r w:rsidRPr="0007326F">
        <w:rPr>
          <w:rFonts w:asciiTheme="minorHAnsi" w:hAnsiTheme="minorHAnsi" w:cstheme="minorHAnsi"/>
          <w:noProof/>
        </w:rPr>
        <w:instrText xml:space="preserve"> SEQ Ilustrācija \* ARABIC </w:instrText>
      </w:r>
      <w:r w:rsidRPr="0007326F">
        <w:rPr>
          <w:rFonts w:asciiTheme="minorHAnsi" w:hAnsiTheme="minorHAnsi" w:cstheme="minorHAnsi"/>
          <w:noProof/>
        </w:rPr>
        <w:fldChar w:fldCharType="separate"/>
      </w:r>
      <w:r w:rsidRPr="0007326F">
        <w:rPr>
          <w:rFonts w:asciiTheme="minorHAnsi" w:hAnsiTheme="minorHAnsi" w:cstheme="minorHAnsi"/>
          <w:noProof/>
        </w:rPr>
        <w:t>54</w:t>
      </w:r>
      <w:r w:rsidRPr="0007326F">
        <w:rPr>
          <w:rFonts w:asciiTheme="minorHAnsi" w:hAnsiTheme="minorHAnsi" w:cstheme="minorHAnsi"/>
          <w:noProof/>
        </w:rPr>
        <w:fldChar w:fldCharType="end"/>
      </w:r>
      <w:r w:rsidRPr="0007326F">
        <w:rPr>
          <w:rFonts w:asciiTheme="minorHAnsi" w:hAnsiTheme="minorHAnsi" w:cstheme="minorHAnsi"/>
        </w:rPr>
        <w:t>.</w:t>
      </w:r>
      <w:r w:rsidRPr="0007326F">
        <w:rPr>
          <w:rFonts w:asciiTheme="minorHAnsi" w:hAnsiTheme="minorHAnsi" w:cstheme="minorHAnsi"/>
          <w:szCs w:val="24"/>
        </w:rPr>
        <w:t xml:space="preserve">attēls. </w:t>
      </w:r>
      <w:r w:rsidRPr="0007326F">
        <w:rPr>
          <w:rFonts w:asciiTheme="minorHAnsi" w:hAnsiTheme="minorHAnsi" w:cstheme="minorHAnsi"/>
        </w:rPr>
        <w:t>Papildus izmaksas g</w:t>
      </w:r>
      <w:r>
        <w:rPr>
          <w:rFonts w:asciiTheme="minorHAnsi" w:hAnsiTheme="minorHAnsi" w:cstheme="minorHAnsi"/>
        </w:rPr>
        <w:t>a</w:t>
      </w:r>
      <w:r w:rsidRPr="0007326F">
        <w:rPr>
          <w:rFonts w:asciiTheme="minorHAnsi" w:hAnsiTheme="minorHAnsi" w:cstheme="minorHAnsi"/>
        </w:rPr>
        <w:t xml:space="preserve">dā </w:t>
      </w:r>
      <w:r>
        <w:rPr>
          <w:rFonts w:asciiTheme="minorHAnsi" w:hAnsiTheme="minorHAnsi" w:cstheme="minorHAnsi"/>
        </w:rPr>
        <w:t>līdz 2035.gadam mērķa</w:t>
      </w:r>
      <w:r w:rsidRPr="0007326F">
        <w:rPr>
          <w:rFonts w:asciiTheme="minorHAnsi" w:hAnsiTheme="minorHAnsi" w:cstheme="minorHAnsi"/>
        </w:rPr>
        <w:t xml:space="preserve"> scenārijā pret bāzes scenāriju</w:t>
      </w:r>
      <w:r>
        <w:rPr>
          <w:rFonts w:asciiTheme="minorHAnsi" w:hAnsiTheme="minorHAnsi" w:cstheme="minorHAnsi"/>
        </w:rPr>
        <w:t xml:space="preserve"> (milj.EUR 2010.gada salīdzināmās cenās)</w:t>
      </w:r>
      <w:r>
        <w:rPr>
          <w:rStyle w:val="FootnoteReference"/>
          <w:rFonts w:asciiTheme="minorHAnsi" w:hAnsiTheme="minorHAnsi" w:cstheme="minorHAnsi"/>
        </w:rPr>
        <w:footnoteReference w:id="208"/>
      </w:r>
    </w:p>
    <w:p w14:paraId="637CB6B3" w14:textId="77777777" w:rsidR="007A7EAC" w:rsidRPr="0007326F" w:rsidRDefault="007A7EAC" w:rsidP="0007326F">
      <w:pPr>
        <w:spacing w:before="120" w:after="120" w:line="240" w:lineRule="auto"/>
        <w:jc w:val="center"/>
        <w:rPr>
          <w:rFonts w:cstheme="minorHAnsi"/>
        </w:rPr>
      </w:pPr>
      <w:r w:rsidRPr="0007326F">
        <w:rPr>
          <w:rFonts w:cstheme="minorHAnsi"/>
          <w:noProof/>
        </w:rPr>
        <w:drawing>
          <wp:inline distT="0" distB="0" distL="0" distR="0" wp14:anchorId="67BDBA25" wp14:editId="61383E0F">
            <wp:extent cx="4413885" cy="2212785"/>
            <wp:effectExtent l="0" t="0" r="571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19332" cy="2215516"/>
                    </a:xfrm>
                    <a:prstGeom prst="rect">
                      <a:avLst/>
                    </a:prstGeom>
                    <a:noFill/>
                    <a:ln>
                      <a:noFill/>
                    </a:ln>
                  </pic:spPr>
                </pic:pic>
              </a:graphicData>
            </a:graphic>
          </wp:inline>
        </w:drawing>
      </w:r>
    </w:p>
    <w:p w14:paraId="4279D91A" w14:textId="1F1DC159" w:rsidR="007A7EAC" w:rsidRPr="0007326F" w:rsidRDefault="007A7EAC" w:rsidP="0007326F">
      <w:pPr>
        <w:pStyle w:val="Caption"/>
        <w:rPr>
          <w:rFonts w:asciiTheme="minorHAnsi" w:hAnsiTheme="minorHAnsi" w:cstheme="minorHAnsi"/>
        </w:rPr>
      </w:pPr>
      <w:r w:rsidRPr="0007326F">
        <w:rPr>
          <w:rFonts w:asciiTheme="minorHAnsi" w:hAnsiTheme="minorHAnsi" w:cstheme="minorHAnsi"/>
          <w:noProof/>
        </w:rPr>
        <w:fldChar w:fldCharType="begin"/>
      </w:r>
      <w:r w:rsidRPr="0007326F">
        <w:rPr>
          <w:rFonts w:asciiTheme="minorHAnsi" w:hAnsiTheme="minorHAnsi" w:cstheme="minorHAnsi"/>
          <w:noProof/>
        </w:rPr>
        <w:instrText xml:space="preserve"> SEQ Ilustrācija \* ARABIC </w:instrText>
      </w:r>
      <w:r w:rsidRPr="0007326F">
        <w:rPr>
          <w:rFonts w:asciiTheme="minorHAnsi" w:hAnsiTheme="minorHAnsi" w:cstheme="minorHAnsi"/>
          <w:noProof/>
        </w:rPr>
        <w:fldChar w:fldCharType="separate"/>
      </w:r>
      <w:r w:rsidRPr="0007326F">
        <w:rPr>
          <w:rFonts w:asciiTheme="minorHAnsi" w:hAnsiTheme="minorHAnsi" w:cstheme="minorHAnsi"/>
          <w:noProof/>
        </w:rPr>
        <w:t>54</w:t>
      </w:r>
      <w:r w:rsidRPr="0007326F">
        <w:rPr>
          <w:rFonts w:asciiTheme="minorHAnsi" w:hAnsiTheme="minorHAnsi" w:cstheme="minorHAnsi"/>
          <w:noProof/>
        </w:rPr>
        <w:fldChar w:fldCharType="end"/>
      </w:r>
      <w:r w:rsidRPr="0007326F">
        <w:rPr>
          <w:rFonts w:asciiTheme="minorHAnsi" w:hAnsiTheme="minorHAnsi" w:cstheme="minorHAnsi"/>
        </w:rPr>
        <w:t>.</w:t>
      </w:r>
      <w:r w:rsidRPr="0007326F">
        <w:rPr>
          <w:rFonts w:asciiTheme="minorHAnsi" w:hAnsiTheme="minorHAnsi" w:cstheme="minorHAnsi"/>
          <w:szCs w:val="24"/>
        </w:rPr>
        <w:t xml:space="preserve">attēls. </w:t>
      </w:r>
      <w:r w:rsidRPr="0007326F">
        <w:rPr>
          <w:rFonts w:asciiTheme="minorHAnsi" w:hAnsiTheme="minorHAnsi" w:cstheme="minorHAnsi"/>
        </w:rPr>
        <w:t>Papildus izmaksas mērķa scenārijā pret bāzes scenāriju gadā pret IKP</w:t>
      </w:r>
      <w:r>
        <w:rPr>
          <w:rStyle w:val="FootnoteReference"/>
          <w:rFonts w:asciiTheme="minorHAnsi" w:hAnsiTheme="minorHAnsi" w:cstheme="minorHAnsi"/>
        </w:rPr>
        <w:footnoteReference w:id="209"/>
      </w:r>
    </w:p>
    <w:p w14:paraId="578A9FBF" w14:textId="1886B397" w:rsidR="007A7EAC" w:rsidRPr="0007326F" w:rsidRDefault="007A7EAC" w:rsidP="0007326F">
      <w:pPr>
        <w:pStyle w:val="BodyText"/>
        <w:spacing w:before="120" w:line="240" w:lineRule="auto"/>
        <w:jc w:val="both"/>
        <w:rPr>
          <w:rFonts w:cstheme="minorHAnsi"/>
        </w:rPr>
      </w:pPr>
      <w:r w:rsidRPr="0007326F">
        <w:rPr>
          <w:rFonts w:cstheme="minorHAnsi"/>
        </w:rPr>
        <w:t>Ener</w:t>
      </w:r>
      <w:r>
        <w:rPr>
          <w:rFonts w:cstheme="minorHAnsi"/>
        </w:rPr>
        <w:t>go</w:t>
      </w:r>
      <w:r w:rsidRPr="0007326F">
        <w:rPr>
          <w:rFonts w:cstheme="minorHAnsi"/>
        </w:rPr>
        <w:t xml:space="preserve">efektivitāte un plašāka AER izmantošana samazina izdevumus par importētajiem enerģijas resursiem, tādējādi uzlabojas valsts tirdzniecības importa eksporta bilance. No vienas puses enerģijas efektivitāte un plašāka AER izmantošana samazina izdevumus par importētajiem enerģijas resursiem, bet no otras puses ir </w:t>
      </w:r>
      <w:r w:rsidR="00817C15">
        <w:rPr>
          <w:rFonts w:cstheme="minorHAnsi"/>
        </w:rPr>
        <w:t xml:space="preserve">nepieciešamas papildus </w:t>
      </w:r>
      <w:r w:rsidRPr="0007326F">
        <w:rPr>
          <w:rFonts w:cstheme="minorHAnsi"/>
        </w:rPr>
        <w:t xml:space="preserve">investīcijas tehnoloģijās. </w:t>
      </w:r>
    </w:p>
    <w:p w14:paraId="7C1F5267" w14:textId="77777777" w:rsidR="007A7EAC" w:rsidRPr="0007326F" w:rsidRDefault="007A7EAC" w:rsidP="0007326F">
      <w:pPr>
        <w:spacing w:before="120" w:after="120" w:line="240" w:lineRule="auto"/>
        <w:jc w:val="center"/>
        <w:rPr>
          <w:rFonts w:cstheme="minorHAnsi"/>
        </w:rPr>
      </w:pPr>
      <w:r w:rsidRPr="0007326F">
        <w:rPr>
          <w:rFonts w:cstheme="minorHAnsi"/>
          <w:noProof/>
        </w:rPr>
        <w:drawing>
          <wp:inline distT="0" distB="0" distL="0" distR="0" wp14:anchorId="7D7F781A" wp14:editId="509FDA93">
            <wp:extent cx="4787877" cy="23907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00435" cy="2397046"/>
                    </a:xfrm>
                    <a:prstGeom prst="rect">
                      <a:avLst/>
                    </a:prstGeom>
                    <a:noFill/>
                    <a:ln>
                      <a:noFill/>
                    </a:ln>
                  </pic:spPr>
                </pic:pic>
              </a:graphicData>
            </a:graphic>
          </wp:inline>
        </w:drawing>
      </w:r>
    </w:p>
    <w:p w14:paraId="58A92876" w14:textId="1674893D" w:rsidR="007A7EAC" w:rsidRPr="0007326F" w:rsidRDefault="007A7EAC" w:rsidP="0007326F">
      <w:pPr>
        <w:pStyle w:val="Caption"/>
        <w:rPr>
          <w:rFonts w:asciiTheme="minorHAnsi" w:hAnsiTheme="minorHAnsi" w:cstheme="minorHAnsi"/>
        </w:rPr>
      </w:pPr>
      <w:r w:rsidRPr="0007326F">
        <w:rPr>
          <w:rFonts w:asciiTheme="minorHAnsi" w:hAnsiTheme="minorHAnsi" w:cstheme="minorHAnsi"/>
          <w:noProof/>
        </w:rPr>
        <w:fldChar w:fldCharType="begin"/>
      </w:r>
      <w:r w:rsidRPr="0007326F">
        <w:rPr>
          <w:rFonts w:asciiTheme="minorHAnsi" w:hAnsiTheme="minorHAnsi" w:cstheme="minorHAnsi"/>
          <w:noProof/>
        </w:rPr>
        <w:instrText xml:space="preserve"> SEQ Ilustrācija \* ARABIC </w:instrText>
      </w:r>
      <w:r w:rsidRPr="0007326F">
        <w:rPr>
          <w:rFonts w:asciiTheme="minorHAnsi" w:hAnsiTheme="minorHAnsi" w:cstheme="minorHAnsi"/>
          <w:noProof/>
        </w:rPr>
        <w:fldChar w:fldCharType="separate"/>
      </w:r>
      <w:r w:rsidRPr="0007326F">
        <w:rPr>
          <w:rFonts w:asciiTheme="minorHAnsi" w:hAnsiTheme="minorHAnsi" w:cstheme="minorHAnsi"/>
          <w:noProof/>
        </w:rPr>
        <w:t>54</w:t>
      </w:r>
      <w:r w:rsidRPr="0007326F">
        <w:rPr>
          <w:rFonts w:asciiTheme="minorHAnsi" w:hAnsiTheme="minorHAnsi" w:cstheme="minorHAnsi"/>
          <w:noProof/>
        </w:rPr>
        <w:fldChar w:fldCharType="end"/>
      </w:r>
      <w:r w:rsidRPr="0007326F">
        <w:rPr>
          <w:rFonts w:asciiTheme="minorHAnsi" w:hAnsiTheme="minorHAnsi" w:cstheme="minorHAnsi"/>
        </w:rPr>
        <w:t>.</w:t>
      </w:r>
      <w:r w:rsidRPr="0007326F">
        <w:rPr>
          <w:rFonts w:asciiTheme="minorHAnsi" w:hAnsiTheme="minorHAnsi" w:cstheme="minorHAnsi"/>
          <w:szCs w:val="24"/>
        </w:rPr>
        <w:t xml:space="preserve">attēls. </w:t>
      </w:r>
      <w:r w:rsidRPr="0007326F">
        <w:rPr>
          <w:rFonts w:asciiTheme="minorHAnsi" w:hAnsiTheme="minorHAnsi" w:cstheme="minorHAnsi"/>
        </w:rPr>
        <w:t>Izdevumu samazinājums par importētajiem energoresursiem (zaļais stabiņš)  un Izdevumu palielinājums par investīcijām tehnoloģijās (sarkanais stabiņš) mērķa scenārijam</w:t>
      </w:r>
    </w:p>
    <w:p w14:paraId="55E7347E" w14:textId="5392DE76" w:rsidR="007A7EAC" w:rsidRPr="0007326F" w:rsidRDefault="007A7EAC" w:rsidP="0007326F">
      <w:pPr>
        <w:spacing w:before="120" w:after="120" w:line="240" w:lineRule="auto"/>
        <w:jc w:val="both"/>
        <w:rPr>
          <w:rFonts w:cstheme="minorHAnsi"/>
          <w:szCs w:val="24"/>
        </w:rPr>
      </w:pPr>
      <w:r>
        <w:rPr>
          <w:rFonts w:cstheme="minorHAnsi"/>
          <w:szCs w:val="24"/>
        </w:rPr>
        <w:t>I</w:t>
      </w:r>
      <w:r w:rsidRPr="0007326F">
        <w:rPr>
          <w:rFonts w:cstheme="minorHAnsi"/>
          <w:szCs w:val="24"/>
        </w:rPr>
        <w:t xml:space="preserve">eguvums no degvielas importa cenu samazinājuma, ņemot vērā šobrīd modelī prognozētās nākotnes cenas pilnībā nekompensē papildus investīciju apjomu, bet starpība nav liela. Rēķinot kopējo IKP ietekmi, vēl jāņem vērā pozitīvā ietekme no papildus darba vietām, kā arī papildus investīciju muliplikatīvā ietekme. Ņemot vērā minētos faktorus, var secināt, ka kopējā ietekme uz IKP būs pozitīva.  </w:t>
      </w:r>
    </w:p>
    <w:p w14:paraId="281416AB" w14:textId="194D0D22" w:rsidR="002E72A7" w:rsidRPr="0007326F" w:rsidRDefault="002E72A7" w:rsidP="0007326F">
      <w:pPr>
        <w:pStyle w:val="Heading30"/>
      </w:pPr>
      <w:bookmarkStart w:id="610" w:name="_Toc24408075"/>
      <w:r>
        <w:t xml:space="preserve">Plānoto rīcībpolitiku un pasākumu </w:t>
      </w:r>
      <w:r w:rsidRPr="0007326F">
        <w:t>ietekme uz darba vietām</w:t>
      </w:r>
      <w:bookmarkEnd w:id="610"/>
    </w:p>
    <w:p w14:paraId="61C38574" w14:textId="0E93BB89" w:rsidR="002E72A7" w:rsidRDefault="002E72A7" w:rsidP="0007326F">
      <w:pPr>
        <w:spacing w:before="120" w:after="120" w:line="240" w:lineRule="auto"/>
        <w:jc w:val="both"/>
        <w:rPr>
          <w:szCs w:val="24"/>
        </w:rPr>
      </w:pPr>
      <w:r>
        <w:rPr>
          <w:szCs w:val="24"/>
        </w:rPr>
        <w:t xml:space="preserve">Pasākumi, kas vērsti uz importētā </w:t>
      </w:r>
      <w:r>
        <w:rPr>
          <w:i/>
          <w:szCs w:val="24"/>
        </w:rPr>
        <w:t>fosilā kurināmā aizvietošanu ar AER un arī ener</w:t>
      </w:r>
      <w:r w:rsidR="00240553">
        <w:rPr>
          <w:i/>
          <w:szCs w:val="24"/>
        </w:rPr>
        <w:t>go</w:t>
      </w:r>
      <w:r>
        <w:rPr>
          <w:i/>
          <w:szCs w:val="24"/>
        </w:rPr>
        <w:t>efektivitātes pasākumi</w:t>
      </w:r>
      <w:r>
        <w:rPr>
          <w:szCs w:val="24"/>
        </w:rPr>
        <w:t>, sniedz ieguldījumu ne tikai enerģijas apgādes daudzveidošanā un drošuma paaugstināšanā un samazina izmaksas par importētiem energoresursiem, bet dod arī vairākus sociālus un ekonomiskus ieguvumus. Tie ir saistīti gan ar AER izmantojošo tehnoloģiju izstrādi, ražošanu un uzstādīšanu, gan arī ar to ekspluatāciju, uzturēšanu un kurināmā sagatavošanu. Turklāt AER izmantošana un energoefektivitātes pasākumu īstenošana ir cieši saistīta ar uzņēmējdarbības veicināšanu, inovācijām un modernu tehnoloģiju izmantošanu.</w:t>
      </w:r>
    </w:p>
    <w:p w14:paraId="24E3AA34" w14:textId="2E6FAF49" w:rsidR="002E72A7" w:rsidRDefault="002E72A7" w:rsidP="0007326F">
      <w:pPr>
        <w:spacing w:before="120" w:after="120" w:line="240" w:lineRule="auto"/>
        <w:jc w:val="both"/>
        <w:rPr>
          <w:szCs w:val="24"/>
        </w:rPr>
      </w:pPr>
      <w:r>
        <w:rPr>
          <w:szCs w:val="24"/>
        </w:rPr>
        <w:t xml:space="preserve">Energoefektivitātes paaugstināšana, renovējot ēkas mājsaimniecību un pakalpojumu sektorā, rezultējas ne tikai enerģijas ietaupījumos, bet var stimulēt ekonomikas izaugsmi, attīstot būvniecības nozari. Plānveidīgi atbalstīta energoefektivitātes pasākumu īstenošana ēku renovācijai var stimulēt vietējo un reģionālo attīstību, nodrošinot darba vietas. </w:t>
      </w:r>
    </w:p>
    <w:p w14:paraId="611DDE4E" w14:textId="50AD5A39" w:rsidR="002E72A7" w:rsidRDefault="002E72A7" w:rsidP="0007326F">
      <w:pPr>
        <w:spacing w:before="120" w:after="120" w:line="240" w:lineRule="auto"/>
        <w:jc w:val="both"/>
        <w:rPr>
          <w:szCs w:val="24"/>
        </w:rPr>
      </w:pPr>
      <w:r>
        <w:rPr>
          <w:szCs w:val="24"/>
        </w:rPr>
        <w:t>Izmantojot modelēto scenāriju rezultātus par energoefektivitātē īstenošanai nepieciešamo investīciju apjomu un iegūtos ietaupījumus, ir novērtēta energoefektivitātes pasākumu īstenošanas ēkās mājsaimniecībās un pakalpojumu sektorā un rūpniecībā ietekme uz darba vietu radīšanu. Atkarībā no energoefektivitātes pasākumu īstenošanas apjoma tie var dot aptuveni no 1000 līdz 2400 tiešām darba vietām gadā, kas var radīt ekonomikā līdz 3600 netiešām darba vietām.</w:t>
      </w:r>
    </w:p>
    <w:p w14:paraId="51E64395" w14:textId="77777777" w:rsidR="002E72A7" w:rsidRDefault="002E72A7" w:rsidP="0007326F">
      <w:pPr>
        <w:spacing w:before="120" w:after="120" w:line="240" w:lineRule="auto"/>
        <w:jc w:val="both"/>
        <w:rPr>
          <w:szCs w:val="24"/>
        </w:rPr>
      </w:pPr>
      <w:r>
        <w:rPr>
          <w:szCs w:val="24"/>
        </w:rPr>
        <w:t>Mērķa scenārijs paredz AER papildus jaudu uzstādīšanu līdz 2030.gadam, tajā skaitā elektroenerģijas ražošanai un siltumenerģijas ražošanai.  Pastāv nozīmīgas atšķirības starp dažādām AER tehnoloģijām, proti, bioenerģijas projektos nodarbinātība būtiski atšķiras no vēja, un saules enerģijas projektiem. Pēdējos darbvietas Latvijā galvenokārt rada iekārtu uzstādīšana, kā arī ekspluatācija, savukārt bioenerģijas projektos – biomasas ražošana un tās piegāde. AER papildus jaudu ieviešana līdz 2030.gadam var dot līdz 2200 tiešās darba vietas un līdz 5500 tiešās un netiešās darba vietas.</w:t>
      </w:r>
    </w:p>
    <w:p w14:paraId="3A37432D" w14:textId="6BD2E5F0" w:rsidR="000055AB" w:rsidRPr="000055AB" w:rsidRDefault="002E72A7">
      <w:pPr>
        <w:pStyle w:val="Heading30"/>
      </w:pPr>
      <w:r>
        <w:t xml:space="preserve"> </w:t>
      </w:r>
      <w:bookmarkStart w:id="611" w:name="_Toc24408076"/>
      <w:r w:rsidR="000055AB" w:rsidRPr="000055AB">
        <w:t xml:space="preserve">Taisnīgas </w:t>
      </w:r>
      <w:r w:rsidR="00BB5499">
        <w:t xml:space="preserve">un godīgas pārkārtošanas </w:t>
      </w:r>
      <w:r w:rsidR="000055AB" w:rsidRPr="000055AB">
        <w:t>nodrošināšana</w:t>
      </w:r>
      <w:bookmarkEnd w:id="611"/>
    </w:p>
    <w:p w14:paraId="699D4173" w14:textId="1548A98B" w:rsidR="00BB5499" w:rsidRDefault="00BB5499" w:rsidP="000055AB">
      <w:pPr>
        <w:spacing w:before="120" w:after="120" w:line="240" w:lineRule="auto"/>
        <w:jc w:val="both"/>
        <w:rPr>
          <w:rFonts w:cstheme="minorHAnsi"/>
          <w:szCs w:val="24"/>
        </w:rPr>
      </w:pPr>
      <w:r>
        <w:rPr>
          <w:rFonts w:cstheme="minorHAnsi"/>
          <w:szCs w:val="24"/>
        </w:rPr>
        <w:t xml:space="preserve">Plānā iekļautās plānotās rīcībpolitikas un pasākumi Plāna aptvēruma periodā kopumā būtiski neietekmē taisnīgas un godīgas pārkārtošanas aspektus, jo netiek paredzēti pasākumi kādas tautsaimniecības nozares būtiskām izmaiņām. Vairāki Plānā piedāvātie pasākumi </w:t>
      </w:r>
      <w:r w:rsidR="002F2E36">
        <w:rPr>
          <w:rFonts w:cstheme="minorHAnsi"/>
          <w:szCs w:val="24"/>
        </w:rPr>
        <w:t xml:space="preserve">veicina </w:t>
      </w:r>
      <w:r>
        <w:rPr>
          <w:rFonts w:cstheme="minorHAnsi"/>
          <w:szCs w:val="24"/>
        </w:rPr>
        <w:t>nodarbinātību tādās darbībās kā energoefektivitātes uzlabošanas pasākumi, moderno biodegvielu ražošana, ne-emisiju tehnoloģiju uzstādīša</w:t>
      </w:r>
      <w:r w:rsidR="002F2E36">
        <w:rPr>
          <w:rFonts w:cstheme="minorHAnsi"/>
          <w:szCs w:val="24"/>
        </w:rPr>
        <w:t>na un darbināšana, zemes meliorācijas sistēmu pārbūve un uzturēšana u.c.</w:t>
      </w:r>
    </w:p>
    <w:p w14:paraId="7518E7EA" w14:textId="6628B991" w:rsidR="000055AB" w:rsidRDefault="00AC2049" w:rsidP="000055AB">
      <w:pPr>
        <w:spacing w:before="120" w:after="120" w:line="240" w:lineRule="auto"/>
        <w:jc w:val="both"/>
        <w:rPr>
          <w:rFonts w:cstheme="minorHAnsi"/>
          <w:szCs w:val="24"/>
        </w:rPr>
      </w:pPr>
      <w:r>
        <w:rPr>
          <w:rFonts w:cstheme="minorHAnsi"/>
          <w:szCs w:val="24"/>
        </w:rPr>
        <w:t xml:space="preserve">Lauksaimniecība un cita zemes izmantošana ir emisiju ietilpīgas darbības, un liela daļa no SEG emisijām rodas darbībās, kuru SEG emisiju samazināšanas pasākumi ir ļoti grūti īstenojami. Tāpat lauksaimniecības, zemes izmantošanas un mežsaimniecības sektorā Latvijā ir nodarbināti apmēram 7% no visiem nodarbinātajiem, kur absolūti lielākā daļa ir nodarbināti reģionos. Tomēr šis nodarbinātības apjoms ir lielāks, ja ņem vērā saistītos sektorus, piemēram, pārtikas rūpniecība, kokrūpniecība, kurus ietekmēs izmaiņas lauksaimniecības, zemes izmantošanas un mežsaimniecības sektoros. Līdz ar to plānojot kādas sektoriālas izmaiņas vai veicinot pasākumus, lai pārietu no SEG emisiju ietilpīgiem lauksaimniecības, zemes izmantošanas un mežsaimniecības paņēmieniem un tehnoloģijām uz mazāk ietilpīgiem, ir nepieciešams arī ieplānot un veikt tādus pasākumus, kas sekmētu iedzīvotāju nodarbinātības izmaiņas bez būtiskas ietekmes uz iedzīvotāju sociālo situāciju un labklājību. </w:t>
      </w:r>
      <w:r w:rsidR="000055AB">
        <w:rPr>
          <w:rFonts w:cstheme="minorHAnsi"/>
          <w:szCs w:val="24"/>
        </w:rPr>
        <w:t>Minētie pasākumi ietver gan iedzīvotāju apmācību un karjeras pārorientāciju, palīdzību darba atrašanā citā nozarē, ja nepieciešams, arī palīdzību dzīvesvietas maiņā.</w:t>
      </w:r>
    </w:p>
    <w:p w14:paraId="3E06B03D" w14:textId="77777777" w:rsidR="00BB5499" w:rsidRDefault="00BB5499" w:rsidP="00BB5499">
      <w:pPr>
        <w:spacing w:before="120" w:after="120" w:line="240" w:lineRule="auto"/>
        <w:jc w:val="both"/>
        <w:rPr>
          <w:rFonts w:cstheme="minorHAnsi"/>
          <w:szCs w:val="24"/>
        </w:rPr>
      </w:pPr>
      <w:r>
        <w:rPr>
          <w:rFonts w:cstheme="minorHAnsi"/>
          <w:szCs w:val="24"/>
        </w:rPr>
        <w:t>Lai gan Latvijas enerģētikas (izņemot transportu) sektors nav būtiski emisiju ietilpīgs, jo tajā dominē dabasgāzes un dažāda veida biomasas kurināmā izmantošana, tomēr virzībā uz enerģētikas sektora dekarbonizāciju un būtisku energoefektivitātes uzlabošanu, ilgtermiņā varētu rasties nepieciešamība arī enerģētikas sektorā nodarbinātos pārorientēt uz iespējām darboties citās nozarēs un sektoros. Arī daži lielākie rūpniecības uzņēmumi Latvijā šobrīd ir emisiju ietilpīgi, kur daļa no emisijām rodas ražošanas procesos nevis kurināmā izmantošanas darbībās, un, ja šie uzņēmumi nolems mainīt savu ražošanas veidu, apjomu vai vispār mainīt darbības sektoru, lai sniegtu Latvijas ieguldījumu ES virzībā uz klimatneitralitātes mērķi 2050.gadā, tad šādos uzņēmumos nodarbinātajiem, arī būtu nepieciešama palīdzību un attiecībā uz šādiem nodarbinātajiem būtu jāīsteno pasākumi to sociālās ietekmes nepasliktināšanai ar palīdzību nodarbinātības maiņai.</w:t>
      </w:r>
    </w:p>
    <w:p w14:paraId="2D5DF542" w14:textId="77777777" w:rsidR="00D91B2F" w:rsidRPr="00066565" w:rsidRDefault="00D91B2F" w:rsidP="0007326F">
      <w:pPr>
        <w:pStyle w:val="Heading2"/>
        <w:ind w:left="623"/>
      </w:pPr>
      <w:bookmarkStart w:id="612" w:name="_Toc17878374"/>
      <w:bookmarkStart w:id="613" w:name="_Toc527529597"/>
      <w:bookmarkStart w:id="614" w:name="_Toc520978899"/>
      <w:bookmarkStart w:id="615" w:name="_Toc24408077"/>
      <w:bookmarkStart w:id="616" w:name="_Toc24408128"/>
      <w:bookmarkEnd w:id="603"/>
      <w:bookmarkEnd w:id="604"/>
      <w:bookmarkEnd w:id="605"/>
      <w:r w:rsidRPr="00066565">
        <w:t>Plānā iekļauto rīcībpolitiku un pasākumu ietekme uz citām ES dalībvalstīm un reģionālā sadarbība</w:t>
      </w:r>
      <w:bookmarkEnd w:id="612"/>
      <w:bookmarkEnd w:id="613"/>
      <w:bookmarkEnd w:id="614"/>
      <w:bookmarkEnd w:id="615"/>
      <w:bookmarkEnd w:id="616"/>
      <w:r w:rsidRPr="00066565">
        <w:t xml:space="preserve"> </w:t>
      </w:r>
    </w:p>
    <w:p w14:paraId="5343B3AC" w14:textId="158FA97A" w:rsidR="001A39C3" w:rsidRPr="001A39C3" w:rsidRDefault="001A39C3">
      <w:pPr>
        <w:spacing w:before="120" w:after="120" w:line="240" w:lineRule="auto"/>
        <w:jc w:val="both"/>
        <w:rPr>
          <w:rFonts w:cstheme="minorHAnsi"/>
          <w:szCs w:val="24"/>
        </w:rPr>
      </w:pPr>
      <w:r w:rsidRPr="001A39C3">
        <w:rPr>
          <w:rFonts w:cstheme="minorHAnsi"/>
          <w:szCs w:val="24"/>
        </w:rPr>
        <w:t>Rīcībpolitikas, to mērķi un pasākumi, ko plāno īstenot Latvijā, nebūs lielas negatīvas ietekmes uz citām divām Baltijas valstīm. Pretēji tam, piemēram, jūras vēja parku attīstībai Latvijas jūras teritorijā būs pozitīva ietekme uz reģiona energoapgādi. Pamatojoties uz esošajām vēja parku monitoringa programmām, piemēram, Ziemeļjūrā, ir iespējams veikt pienācīgu plānošanu un ietekmes mazināšanas pasākumus, lai būvētu jūras vēja parkus, neradot būtisku kaitējumu videi. Ir jāņem vērā, ka piekrastes krasta līnijas ir tehniski piemērotas vēja enerģijas attīstībai, bet šie biotopi ir pievilcīgi arī daudzām bentosa kopienām</w:t>
      </w:r>
      <w:r w:rsidRPr="001A39C3">
        <w:rPr>
          <w:rStyle w:val="FootnoteReference"/>
          <w:rFonts w:cstheme="minorHAnsi"/>
          <w:szCs w:val="24"/>
        </w:rPr>
        <w:footnoteReference w:id="210"/>
      </w:r>
      <w:r w:rsidRPr="001A39C3">
        <w:rPr>
          <w:rFonts w:cstheme="minorHAnsi"/>
          <w:szCs w:val="24"/>
        </w:rPr>
        <w:t>.</w:t>
      </w:r>
    </w:p>
    <w:p w14:paraId="6750C24C" w14:textId="479DA98A" w:rsidR="001A39C3" w:rsidRPr="001A39C3" w:rsidRDefault="001A39C3">
      <w:pPr>
        <w:spacing w:before="120" w:after="120" w:line="240" w:lineRule="auto"/>
        <w:jc w:val="both"/>
        <w:rPr>
          <w:rFonts w:cstheme="minorHAnsi"/>
          <w:szCs w:val="24"/>
        </w:rPr>
      </w:pPr>
      <w:r w:rsidRPr="0007326F">
        <w:rPr>
          <w:rFonts w:cstheme="minorHAnsi"/>
          <w:szCs w:val="24"/>
        </w:rPr>
        <w:t>Politikas atbalsts ir palīdzējis ES līdz 2018. gada beigām sasniegt gandrīz 20 GW jūras vēja jaudas. Jūras vēja enerģija ir paredzēta spēcīgai izaugsmei ES, un pašreizējās politikas mērķis ir nākamo desmit gadu laikā palielināt jūras vēja jaudu četrkārtīgi. Jaunu jūras vēja enerģijas projektu jaudas faktors ir 40% –50%, kur jo lielākas turbīnas un citi tehnoloģiju uzlabojumi palīdz maksimāli izmantot pieejamos vēja resursus. Jūras VES atbilst jaudas faktoriem, kas saistīti ar efektīvām gāzes spēkstacijām, ogļu spēkstacijām dažos reģionos, pārsniedz sauszemes VES jaudu un ir apmēram divreiz lielāks par SES jaudu</w:t>
      </w:r>
      <w:r w:rsidRPr="0007326F">
        <w:rPr>
          <w:rStyle w:val="FootnoteReference"/>
          <w:rFonts w:cstheme="minorHAnsi"/>
          <w:szCs w:val="24"/>
        </w:rPr>
        <w:footnoteReference w:id="211"/>
      </w:r>
      <w:r w:rsidRPr="0007326F">
        <w:rPr>
          <w:rFonts w:cstheme="minorHAnsi"/>
          <w:szCs w:val="24"/>
        </w:rPr>
        <w:t>.</w:t>
      </w:r>
    </w:p>
    <w:p w14:paraId="203ABE45" w14:textId="73D8ACC5" w:rsidR="001A39C3" w:rsidRPr="001A39C3" w:rsidRDefault="001A39C3">
      <w:pPr>
        <w:spacing w:before="120" w:after="120" w:line="240" w:lineRule="auto"/>
        <w:jc w:val="both"/>
        <w:rPr>
          <w:rFonts w:cstheme="minorHAnsi"/>
          <w:szCs w:val="24"/>
        </w:rPr>
      </w:pPr>
      <w:r w:rsidRPr="001A39C3">
        <w:rPr>
          <w:rFonts w:eastAsia="Times New Roman" w:cstheme="minorHAnsi"/>
          <w:szCs w:val="24"/>
        </w:rPr>
        <w:t>2017.gada starpsavienojumu līmenis starp Baltijas valstīm bija &gt;60%, kas palielināsies, sinhronizējot Baltijas elektrotīklu ar Eiropas elektrotīklu. Igaunijā ir plānots palielināt elektroenerģijas savienojamības jaudu starp Igauniju un Latviju, kas ir Latvijas-Igaunijas trešais starpsavienojuma projekts (330 kV augstsprieguma līnija starp apakšstacijām Kilingi-Nu.mme Igaunijā un Rīgas TEC-2 Latvijā). Šis pasākums ir iekļauts arī Latvijas Plānā, jo projekts jau tiek būvēts un līdz 2025.gadam tas par 700MW palielinās Latvijas-Igaunijas maksimālo starp-sektoru jaudu virzienā uz Igauniju 500MW virzienā un virzienā uz Latviju. Pēc 2025.gada starpsavienojumu jauda starp Igauniju un Latviju dubultosies.</w:t>
      </w:r>
    </w:p>
    <w:p w14:paraId="08A21CAF" w14:textId="0FA2915A" w:rsidR="001A39C3" w:rsidRDefault="001A39C3" w:rsidP="0007326F">
      <w:pPr>
        <w:pStyle w:val="CommentText"/>
        <w:spacing w:before="120" w:after="120"/>
        <w:jc w:val="both"/>
        <w:rPr>
          <w:rFonts w:cstheme="minorHAnsi"/>
          <w:sz w:val="24"/>
          <w:szCs w:val="24"/>
        </w:rPr>
      </w:pPr>
      <w:r w:rsidRPr="001A39C3">
        <w:rPr>
          <w:rFonts w:cstheme="minorHAnsi"/>
          <w:sz w:val="24"/>
          <w:szCs w:val="24"/>
        </w:rPr>
        <w:t>Baltijas valstis ir saskaņojušas pasākumus, kas ir piedāvāti to Plānos</w:t>
      </w:r>
      <w:r w:rsidRPr="0007326F">
        <w:rPr>
          <w:rFonts w:cstheme="minorHAnsi"/>
          <w:sz w:val="24"/>
          <w:szCs w:val="24"/>
        </w:rPr>
        <w:t>, un</w:t>
      </w:r>
      <w:r w:rsidRPr="001A39C3">
        <w:rPr>
          <w:rFonts w:cstheme="minorHAnsi"/>
          <w:sz w:val="24"/>
          <w:szCs w:val="24"/>
        </w:rPr>
        <w:t xml:space="preserve"> izvērtējušas pasākumu iespējamo ietekmi uz kaimiņvalstīm</w:t>
      </w:r>
      <w:r w:rsidRPr="0007326F">
        <w:rPr>
          <w:rFonts w:cstheme="minorHAnsi"/>
          <w:sz w:val="24"/>
          <w:szCs w:val="24"/>
        </w:rPr>
        <w:t>, un</w:t>
      </w:r>
      <w:r w:rsidRPr="001A39C3">
        <w:rPr>
          <w:rFonts w:cstheme="minorHAnsi"/>
          <w:sz w:val="24"/>
          <w:szCs w:val="24"/>
        </w:rPr>
        <w:t xml:space="preserve"> lielākā daļa pasākumu negatīvi neietekmē citas valstis. No pasākumiem, kas saistīti ar elektroenerģijas un gāzes infrastruktūras attīstības projektiem, sagaidāma tieša pārrobežu ietekme. Šī ietekme kopumā būs pozitīva enerģijas cenu un enerģijas tirgus integrācijas ziņā. Turklāt Latvija un Igaunija pašlaik ir Eiropas lielākie koksnes granulu ražotāji</w:t>
      </w:r>
      <w:r w:rsidRPr="001A39C3">
        <w:rPr>
          <w:rStyle w:val="FootnoteReference"/>
          <w:rFonts w:cstheme="minorHAnsi"/>
          <w:sz w:val="24"/>
          <w:szCs w:val="24"/>
        </w:rPr>
        <w:footnoteReference w:id="212"/>
      </w:r>
      <w:r w:rsidRPr="001A39C3">
        <w:rPr>
          <w:rFonts w:cstheme="minorHAnsi"/>
          <w:sz w:val="24"/>
          <w:szCs w:val="24"/>
        </w:rPr>
        <w:t>, kas citās Eiropas valstīs piemeklē atjaunojamo energoresursu trūkumu. Tas tiek stiprināts, izmantojot nozaru sadarbību koksnes piegādē (tostarp šķeldu, granulas) koksnes rūpniecībai un enerģētikas nozarei, piemēram, Baltpool</w:t>
      </w:r>
      <w:r w:rsidRPr="001A39C3">
        <w:rPr>
          <w:rStyle w:val="FootnoteReference"/>
          <w:rFonts w:cstheme="minorHAnsi"/>
          <w:sz w:val="24"/>
          <w:szCs w:val="24"/>
        </w:rPr>
        <w:footnoteReference w:id="213"/>
      </w:r>
      <w:r w:rsidRPr="001A39C3">
        <w:rPr>
          <w:rFonts w:cstheme="minorHAnsi"/>
          <w:sz w:val="24"/>
          <w:szCs w:val="24"/>
        </w:rPr>
        <w:t xml:space="preserve">, </w:t>
      </w:r>
      <w:r w:rsidRPr="0007326F">
        <w:rPr>
          <w:rFonts w:cstheme="minorHAnsi"/>
        </w:rPr>
        <w:t>ko ierosina Lietuvas operators.</w:t>
      </w:r>
      <w:r w:rsidRPr="001A39C3">
        <w:rPr>
          <w:rFonts w:cstheme="minorHAnsi"/>
          <w:sz w:val="24"/>
          <w:szCs w:val="24"/>
        </w:rPr>
        <w:t xml:space="preserve"> Turklāt nākotnes tehnoloģijas (enerģijas uzglabāšana, CCU, ūdeņradis u.c.) tiks meklētas Ziemeļvalstu un Baltijas sadarbībā.</w:t>
      </w:r>
    </w:p>
    <w:p w14:paraId="56FFC8E4" w14:textId="2F2F81A7" w:rsidR="00A30D6B" w:rsidRDefault="00A30D6B" w:rsidP="009A0CBA"/>
    <w:p w14:paraId="4C8DB650" w14:textId="77777777" w:rsidR="00FF651D" w:rsidRDefault="00FF651D" w:rsidP="009A0CBA"/>
    <w:p w14:paraId="7AEDE966" w14:textId="77777777" w:rsidR="00847BE3" w:rsidRDefault="00847BE3" w:rsidP="009A0CBA">
      <w:pPr>
        <w:sectPr w:rsidR="00847BE3" w:rsidSect="00DD44D5">
          <w:pgSz w:w="11906" w:h="16838" w:code="9"/>
          <w:pgMar w:top="1418" w:right="1134" w:bottom="1134" w:left="1701" w:header="567" w:footer="567" w:gutter="0"/>
          <w:cols w:space="708"/>
          <w:docGrid w:linePitch="360"/>
        </w:sectPr>
      </w:pPr>
    </w:p>
    <w:p w14:paraId="5104A1A4" w14:textId="77777777" w:rsidR="00847BE3" w:rsidRPr="00847BE3" w:rsidRDefault="00847BE3" w:rsidP="001E38CE">
      <w:pPr>
        <w:pStyle w:val="Heading1"/>
      </w:pPr>
      <w:bookmarkStart w:id="617" w:name="_Toc527529601"/>
      <w:bookmarkStart w:id="618" w:name="_Toc10527220"/>
      <w:bookmarkStart w:id="619" w:name="_Toc23245834"/>
      <w:bookmarkStart w:id="620" w:name="_Toc23246041"/>
      <w:bookmarkStart w:id="621" w:name="_Toc24408078"/>
      <w:bookmarkStart w:id="622" w:name="_Toc24408129"/>
      <w:r w:rsidRPr="00847BE3">
        <w:t>INTEGRĒTĀ UZRAUDZĪBAS UN ZIŅOŠANAS SISTĒMA</w:t>
      </w:r>
      <w:bookmarkEnd w:id="617"/>
      <w:bookmarkEnd w:id="618"/>
      <w:bookmarkEnd w:id="619"/>
      <w:bookmarkEnd w:id="620"/>
      <w:bookmarkEnd w:id="621"/>
      <w:bookmarkEnd w:id="622"/>
    </w:p>
    <w:p w14:paraId="39B9F701" w14:textId="77777777" w:rsidR="00847BE3" w:rsidRPr="00847BE3" w:rsidRDefault="00847BE3" w:rsidP="00847BE3">
      <w:pPr>
        <w:spacing w:before="120" w:after="120" w:line="240" w:lineRule="auto"/>
        <w:jc w:val="both"/>
        <w:rPr>
          <w:rFonts w:cs="Times New Roman"/>
        </w:rPr>
      </w:pPr>
      <w:r w:rsidRPr="00847BE3">
        <w:rPr>
          <w:rFonts w:cs="Times New Roman"/>
          <w:lang w:eastAsia="lv-LV"/>
        </w:rPr>
        <w:t xml:space="preserve">Saskaņā ar Regulu 2018/1999 ir nepieciešams reizi divos gados iesniegt EK integrēto nacionālo enerģētikas un klimata progresa ziņojumu, kas aptver visas piecas enerģētikas savienības dimensijas un kurā iekļauj </w:t>
      </w:r>
      <w:r w:rsidRPr="00847BE3">
        <w:rPr>
          <w:rFonts w:cs="Times New Roman"/>
        </w:rPr>
        <w:t>šādus elementus:</w:t>
      </w:r>
    </w:p>
    <w:p w14:paraId="2E45C6D1"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informācija par progresu virzībā uz Plānā noteikto mērķu un devumu sasniegšanu un to finansēšanai un sasniegšanai vajadzīgo rīcībpolitiku un pasākumu īstenošanu</w:t>
      </w:r>
    </w:p>
    <w:p w14:paraId="45E91784"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 xml:space="preserve">pārskats par faktiskajām investīcijām salīdzinājumā ar sākotnējiem investīciju pieņēmumiem; </w:t>
      </w:r>
    </w:p>
    <w:p w14:paraId="1A3809C2"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informācija par progresu virzībā uz klimata un enerģētikas daudzlīmeņu dialoga izveidi;</w:t>
      </w:r>
    </w:p>
    <w:p w14:paraId="72DB130B"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integrētā ziņošana par AER un jaunākā informācija par rīcībpolitkām un pasākumiem šajā dimensijā;</w:t>
      </w:r>
    </w:p>
    <w:p w14:paraId="59767658"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integrētā ziņošana par energoefektivitāti un jaunākā informācija par rīcībpolitkām un pasākumiem šajā dimensijā;</w:t>
      </w:r>
    </w:p>
    <w:p w14:paraId="30A6F6CB"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integrētā ziņošana par enerģētisko drošību un jaunākā informācija par rīcībpolitkām un pasākumiem šajā dimensijā;</w:t>
      </w:r>
    </w:p>
    <w:p w14:paraId="1056A802"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integrētā ziņošana par iekšējo enerģijas tirgu un jaunākā informācija par rīcībpolitkām un pasākumiem šajā dimensijā;</w:t>
      </w:r>
    </w:p>
    <w:p w14:paraId="67781B88"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integrētā ziņošana par enerģētisko nabadzību un jaunākā informācija par rīcībpolitkām un pasākumiem šajā dimensijā;</w:t>
      </w:r>
    </w:p>
    <w:p w14:paraId="05C52333"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integrētā ziņošana par pētniecību, inovāciju un konkurētspēju un jaunākā informācija par rīcībpolitkām un pasākumiem šajā dimensijā;</w:t>
      </w:r>
    </w:p>
    <w:p w14:paraId="76E4197D"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informācija par pielāgošanos klimata pārmaiņām;</w:t>
      </w:r>
    </w:p>
    <w:p w14:paraId="27B2D8EE" w14:textId="77777777" w:rsidR="00847BE3" w:rsidRPr="00847BE3" w:rsidRDefault="00847BE3" w:rsidP="00847BE3">
      <w:pPr>
        <w:pStyle w:val="ListParagraph"/>
        <w:numPr>
          <w:ilvl w:val="0"/>
          <w:numId w:val="36"/>
        </w:numPr>
        <w:tabs>
          <w:tab w:val="left" w:pos="0"/>
        </w:tabs>
        <w:spacing w:before="120" w:after="120" w:line="240" w:lineRule="auto"/>
        <w:contextualSpacing w:val="0"/>
        <w:jc w:val="both"/>
        <w:rPr>
          <w:rFonts w:cs="Times New Roman"/>
        </w:rPr>
      </w:pPr>
      <w:r w:rsidRPr="00847BE3">
        <w:rPr>
          <w:rFonts w:cs="Times New Roman"/>
        </w:rPr>
        <w:t>Plānā iekļauto rīcīpolitiku un pasākumu ietekme uz gaisa kvalitāti un gaisu piesārņojošo vielu emisijām.</w:t>
      </w:r>
    </w:p>
    <w:p w14:paraId="1338FA81" w14:textId="77777777" w:rsidR="00847BE3" w:rsidRPr="00847BE3" w:rsidRDefault="00847BE3" w:rsidP="00847BE3">
      <w:pPr>
        <w:spacing w:before="120" w:after="120" w:line="240" w:lineRule="auto"/>
        <w:jc w:val="both"/>
        <w:rPr>
          <w:rFonts w:cs="Times New Roman"/>
          <w:lang w:eastAsia="lv-LV"/>
        </w:rPr>
      </w:pPr>
      <w:r w:rsidRPr="00847BE3">
        <w:rPr>
          <w:rFonts w:cs="Times New Roman"/>
          <w:lang w:eastAsia="lv-LV"/>
        </w:rPr>
        <w:t>Papildus minētajam integrētajam nacionālajam enerģētikas un klimata progresa ziņojumam reizi divos gados ir nepieciešams sagatavot un EK iesniegt:</w:t>
      </w:r>
    </w:p>
    <w:p w14:paraId="0BEEEAC0" w14:textId="77777777" w:rsidR="00847BE3" w:rsidRPr="00847BE3" w:rsidRDefault="00847BE3" w:rsidP="00847BE3">
      <w:pPr>
        <w:pStyle w:val="ListParagraph"/>
        <w:numPr>
          <w:ilvl w:val="0"/>
          <w:numId w:val="37"/>
        </w:numPr>
        <w:spacing w:before="120" w:after="120" w:line="240" w:lineRule="auto"/>
        <w:contextualSpacing w:val="0"/>
        <w:jc w:val="both"/>
        <w:rPr>
          <w:rFonts w:cs="Times New Roman"/>
          <w:lang w:eastAsia="lv-LV"/>
        </w:rPr>
      </w:pPr>
      <w:r w:rsidRPr="00847BE3">
        <w:rPr>
          <w:rFonts w:cs="Times New Roman"/>
          <w:lang w:eastAsia="lv-LV"/>
        </w:rPr>
        <w:t>Integrēto ziņojumu par siltumnīcefekta gāzu rīcībpolitikām un pasākumiem un par prognozēm;</w:t>
      </w:r>
    </w:p>
    <w:p w14:paraId="67B090F4" w14:textId="77777777" w:rsidR="00847BE3" w:rsidRPr="00847BE3" w:rsidRDefault="00847BE3" w:rsidP="00847BE3">
      <w:pPr>
        <w:pStyle w:val="ListParagraph"/>
        <w:numPr>
          <w:ilvl w:val="0"/>
          <w:numId w:val="37"/>
        </w:numPr>
        <w:spacing w:before="120" w:after="120" w:line="240" w:lineRule="auto"/>
        <w:contextualSpacing w:val="0"/>
        <w:jc w:val="both"/>
        <w:rPr>
          <w:rFonts w:cs="Times New Roman"/>
          <w:lang w:eastAsia="lv-LV"/>
        </w:rPr>
      </w:pPr>
      <w:r w:rsidRPr="00847BE3">
        <w:rPr>
          <w:rFonts w:cs="Times New Roman"/>
          <w:lang w:eastAsia="lv-LV"/>
        </w:rPr>
        <w:t>Integrēto ziņojumu par nacionālajiem pielāgošanās pasākumiem, jaunattīstības valstīm sniegto finansiālo un tehnoloģisko atbalstu un izsolēs gūtajiem ieņēmumiem.</w:t>
      </w:r>
    </w:p>
    <w:p w14:paraId="7BB5CC3C" w14:textId="77777777" w:rsidR="00847BE3" w:rsidRPr="00847BE3" w:rsidRDefault="00847BE3" w:rsidP="00847BE3">
      <w:pPr>
        <w:spacing w:before="120" w:after="120" w:line="240" w:lineRule="auto"/>
        <w:jc w:val="both"/>
        <w:rPr>
          <w:rFonts w:cs="Times New Roman"/>
          <w:lang w:eastAsia="lv-LV"/>
        </w:rPr>
      </w:pPr>
      <w:r w:rsidRPr="00847BE3">
        <w:rPr>
          <w:rFonts w:cs="Times New Roman"/>
          <w:lang w:eastAsia="lv-LV"/>
        </w:rPr>
        <w:t>Līdz ar to ir secināms, ka Latvijai reizi divos gados kā Plāna izpildes progresa novērtējums ir jāiesniedz vismaz 3 savstarpēji pilnībā saistīti ziņojumi, no kuriem viens aptver visas Plāna dimensijas, bet 2 attiecas uz dekarbonizācijas dimensiju, un visos 3 ziņojumos ir jāizmanto vienādi statistikas dati, pieņēmumi un jāanalizē vienādas rīcībpolitikas un pasākumi.</w:t>
      </w:r>
    </w:p>
    <w:p w14:paraId="086913B5" w14:textId="77777777" w:rsidR="00847BE3" w:rsidRPr="00847BE3" w:rsidRDefault="00847BE3" w:rsidP="00847BE3">
      <w:pPr>
        <w:spacing w:before="120" w:after="120" w:line="240" w:lineRule="auto"/>
        <w:jc w:val="both"/>
        <w:rPr>
          <w:rFonts w:cs="Times New Roman"/>
          <w:lang w:eastAsia="lv-LV"/>
        </w:rPr>
      </w:pPr>
      <w:r w:rsidRPr="00847BE3">
        <w:rPr>
          <w:rFonts w:cs="Times New Roman"/>
          <w:lang w:eastAsia="lv-LV"/>
        </w:rPr>
        <w:t>Regulā 2018/1999 iekļauto uzraudzības un ziņošanas nosacījumu īstenošanai Latvijā būs nepieciešams veikt būtiskas izmaiņas gan likumdošanas ietvarā, gan institucionālās kapacitātes jautājumos.</w:t>
      </w:r>
    </w:p>
    <w:p w14:paraId="4225CE9C" w14:textId="77777777" w:rsidR="00847BE3" w:rsidRPr="00847BE3" w:rsidRDefault="00847BE3" w:rsidP="00847BE3">
      <w:pPr>
        <w:spacing w:before="120" w:after="120" w:line="240" w:lineRule="auto"/>
        <w:jc w:val="both"/>
        <w:rPr>
          <w:rFonts w:cs="Times New Roman"/>
          <w:lang w:eastAsia="lv-LV"/>
        </w:rPr>
      </w:pPr>
      <w:r w:rsidRPr="00847BE3">
        <w:rPr>
          <w:rFonts w:cs="Times New Roman"/>
          <w:lang w:eastAsia="lv-LV"/>
        </w:rPr>
        <w:t>Regulā 2018/1999 noteiktās integrētās ziņošanas kvalitatīvai izpildei ir nepieciešams Latvijā izveidot efektīvu monitoringa un ziņošanas sistēmu, ar kuru tiks noteiktas gan atbilstībās institūcijas monitoringa un ziņošanas nosacījumu izpildei, gan tiks noteikta datu un informācijas aprites kārtība, lai ziņojumu sagatavošanas procesā netiktu atkārtoti iegūti un izvērtēti jau pieejamie dati un informācija.</w:t>
      </w:r>
    </w:p>
    <w:p w14:paraId="3F7417EE" w14:textId="23E66A8A" w:rsidR="00847BE3" w:rsidRPr="00847BE3" w:rsidRDefault="00847BE3" w:rsidP="00847BE3">
      <w:pPr>
        <w:spacing w:before="120" w:after="120" w:line="240" w:lineRule="auto"/>
        <w:jc w:val="both"/>
        <w:rPr>
          <w:rFonts w:cs="Times New Roman"/>
          <w:lang w:eastAsia="lv-LV"/>
        </w:rPr>
      </w:pPr>
      <w:r w:rsidRPr="00847BE3">
        <w:rPr>
          <w:rFonts w:cs="Times New Roman"/>
          <w:lang w:eastAsia="lv-LV"/>
        </w:rPr>
        <w:t>Šobrīd likumā “Par piesārņojumu”</w:t>
      </w:r>
      <w:r w:rsidR="0028675B">
        <w:rPr>
          <w:rStyle w:val="FootnoteReference"/>
          <w:rFonts w:cs="Times New Roman"/>
          <w:lang w:eastAsia="lv-LV"/>
        </w:rPr>
        <w:footnoteReference w:id="214"/>
      </w:r>
      <w:r w:rsidRPr="00847BE3">
        <w:rPr>
          <w:rFonts w:cs="Times New Roman"/>
          <w:lang w:eastAsia="lv-LV"/>
        </w:rPr>
        <w:t xml:space="preserve"> un </w:t>
      </w:r>
      <w:r w:rsidR="0028675B">
        <w:rPr>
          <w:rFonts w:cs="Times New Roman"/>
          <w:lang w:eastAsia="lv-LV"/>
        </w:rPr>
        <w:t xml:space="preserve">Noteikumos </w:t>
      </w:r>
      <w:r w:rsidR="00E93C6D">
        <w:rPr>
          <w:rFonts w:cs="Times New Roman"/>
          <w:lang w:eastAsia="lv-LV"/>
        </w:rPr>
        <w:t>Nr.737</w:t>
      </w:r>
      <w:r w:rsidR="00E93C6D">
        <w:rPr>
          <w:rStyle w:val="FootnoteReference"/>
          <w:rFonts w:cs="Times New Roman"/>
          <w:lang w:eastAsia="lv-LV"/>
        </w:rPr>
        <w:footnoteReference w:id="215"/>
      </w:r>
      <w:r w:rsidR="00E93C6D">
        <w:rPr>
          <w:rFonts w:cs="Times New Roman"/>
          <w:lang w:eastAsia="lv-LV"/>
        </w:rPr>
        <w:t xml:space="preserve"> </w:t>
      </w:r>
      <w:r w:rsidRPr="00847BE3">
        <w:rPr>
          <w:rFonts w:cs="Times New Roman"/>
          <w:lang w:eastAsia="lv-LV"/>
        </w:rPr>
        <w:t>ir noteikti nosacījumi SEG emisiju un CO</w:t>
      </w:r>
      <w:r w:rsidRPr="00847BE3">
        <w:rPr>
          <w:rFonts w:cs="Times New Roman"/>
          <w:vertAlign w:val="subscript"/>
          <w:lang w:eastAsia="lv-LV"/>
        </w:rPr>
        <w:t>2</w:t>
      </w:r>
      <w:r w:rsidRPr="00847BE3">
        <w:rPr>
          <w:rFonts w:cs="Times New Roman"/>
          <w:lang w:eastAsia="lv-LV"/>
        </w:rPr>
        <w:t xml:space="preserve"> piesaistes mērķu progresa novērtējumam un divgadu ziņojumiem par progresa izpildi – ziņojums par politiku, pasākumiem un prognozēm un ir noteikta siltumnīcefekta gāzu inventarizācijas nacionālā sistēma un siltumnīcefekta gāzu prognožu sagatavošanas nacionālā sistēma.</w:t>
      </w:r>
    </w:p>
    <w:p w14:paraId="63C6D675" w14:textId="77777777" w:rsidR="00847BE3" w:rsidRPr="00847BE3" w:rsidRDefault="00847BE3" w:rsidP="00847BE3">
      <w:pPr>
        <w:spacing w:before="120" w:after="120" w:line="240" w:lineRule="auto"/>
        <w:jc w:val="both"/>
        <w:rPr>
          <w:rFonts w:cs="Times New Roman"/>
          <w:lang w:eastAsia="lv-LV"/>
        </w:rPr>
      </w:pPr>
      <w:r w:rsidRPr="00847BE3">
        <w:rPr>
          <w:rFonts w:cs="Times New Roman"/>
          <w:lang w:eastAsia="lv-LV"/>
        </w:rPr>
        <w:t>Kvalitatīvai integrētās uzraudzības un ziņošanas sistēmas īstenošanai ir nepieciešams noteikt vienu</w:t>
      </w:r>
      <w:r w:rsidRPr="00847BE3">
        <w:rPr>
          <w:rFonts w:eastAsia="Times New Roman"/>
          <w:color w:val="000000"/>
          <w:szCs w:val="24"/>
          <w:lang w:eastAsia="lv-LV"/>
        </w:rPr>
        <w:t xml:space="preserve"> tiešās valsts pārvaldes iestādi – ministrijas, pakļautībā vai padotībā esošu atsevišķu kompetento iestādi, kas veiks integrētajai ziņošanai nepieciešamo monitoringu, informāciju un datu apkopojumu un analīzi.</w:t>
      </w:r>
      <w:r w:rsidRPr="00847BE3">
        <w:rPr>
          <w:rFonts w:cs="Times New Roman"/>
          <w:lang w:eastAsia="lv-LV"/>
        </w:rPr>
        <w:t xml:space="preserve"> Ņemot vērā monitoringa un ziņošanas datu pilnīgi sasaisti visās Plāna dimensijās minētajai iestādei būtu jānodrošina arī monitoringa un ziņošanas funkcijas attiecībā uz SEG emisiju un CO</w:t>
      </w:r>
      <w:r w:rsidRPr="00847BE3">
        <w:rPr>
          <w:rFonts w:cs="Times New Roman"/>
          <w:vertAlign w:val="subscript"/>
          <w:lang w:eastAsia="lv-LV"/>
        </w:rPr>
        <w:t>2</w:t>
      </w:r>
      <w:r w:rsidRPr="00847BE3">
        <w:rPr>
          <w:rFonts w:cs="Times New Roman"/>
          <w:lang w:eastAsia="lv-LV"/>
        </w:rPr>
        <w:t xml:space="preserve"> piesaistes nosacījumiem. Savukārt, ja šī iestāde pati nevarēs nodrošināt nepieciešamo kādu datu monitoringu vai šo datu monitorings jau tiek veikts, tad minētā iestāde būs tā, kas šo datus saņems, apstrādās un iekļaus integrētajā ziņojumā.</w:t>
      </w:r>
    </w:p>
    <w:p w14:paraId="5E1E2DE7" w14:textId="77777777" w:rsidR="00847BE3" w:rsidRPr="00847BE3" w:rsidRDefault="00847BE3" w:rsidP="00847BE3">
      <w:pPr>
        <w:spacing w:before="120" w:after="120" w:line="240" w:lineRule="auto"/>
        <w:jc w:val="both"/>
        <w:rPr>
          <w:rFonts w:eastAsia="Times New Roman"/>
          <w:color w:val="000000"/>
          <w:szCs w:val="24"/>
          <w:lang w:eastAsia="lv-LV"/>
        </w:rPr>
      </w:pPr>
      <w:r w:rsidRPr="00847BE3">
        <w:rPr>
          <w:rFonts w:eastAsia="Times New Roman"/>
          <w:color w:val="000000"/>
          <w:szCs w:val="24"/>
          <w:lang w:eastAsia="lv-LV"/>
        </w:rPr>
        <w:t>Ja šādas iestādes ar attiecīgo kompetenci un ekspertu zināšanām Plāna izstrādes un apstiprināšanas laikā Latvijā nav, tad pēc Plāna apstiprināšanas ir nepieciešams paplašināt jau esošās iestādes pienākumu apjomu un kapacitāti.</w:t>
      </w:r>
    </w:p>
    <w:p w14:paraId="46D3EA3C" w14:textId="77777777" w:rsidR="00847BE3" w:rsidRPr="00847BE3" w:rsidRDefault="00847BE3" w:rsidP="00847BE3">
      <w:pPr>
        <w:spacing w:before="120" w:after="120" w:line="240" w:lineRule="auto"/>
        <w:jc w:val="both"/>
        <w:rPr>
          <w:rFonts w:eastAsia="Times New Roman"/>
          <w:szCs w:val="24"/>
          <w:lang w:eastAsia="lv-LV"/>
        </w:rPr>
      </w:pPr>
      <w:r w:rsidRPr="00847BE3">
        <w:rPr>
          <w:rFonts w:eastAsia="Times New Roman"/>
          <w:bCs/>
          <w:color w:val="000000"/>
          <w:szCs w:val="24"/>
          <w:lang w:eastAsia="lv-LV"/>
        </w:rPr>
        <w:t>Integrētās monitoringa un ziņošanas sistēmas izveidei un īstenošanai būs nepieciešami papildus finansiāli līdzekļi, un ir iespējama ES fondu līdzekļu piesaiste šo uzdevumu veikšanai.</w:t>
      </w:r>
      <w:r w:rsidRPr="00847BE3">
        <w:rPr>
          <w:rFonts w:eastAsia="Times New Roman"/>
          <w:szCs w:val="24"/>
          <w:lang w:eastAsia="lv-LV"/>
        </w:rPr>
        <w:t xml:space="preserve"> Lai neradītu būtisku ietekmi uz valsts budžetu un nebūtu jāveido jaunas iestādes, ir iespējams noteikt esošu ministriju pakļautībā vai padotībā esošu iestādi kā galveno kompetento iestādi integrēto monitoringa un ziņošanas sistēmas funkciju veikšanai.</w:t>
      </w:r>
    </w:p>
    <w:p w14:paraId="4ACDC82D" w14:textId="77777777" w:rsidR="00847BE3" w:rsidRPr="00847BE3" w:rsidRDefault="00847BE3" w:rsidP="00847BE3">
      <w:pPr>
        <w:spacing w:before="120" w:after="120" w:line="240" w:lineRule="auto"/>
        <w:jc w:val="both"/>
        <w:rPr>
          <w:rFonts w:cs="Times New Roman"/>
        </w:rPr>
      </w:pPr>
      <w:r w:rsidRPr="00847BE3">
        <w:rPr>
          <w:rFonts w:cs="Times New Roman"/>
          <w:lang w:eastAsia="lv-LV"/>
        </w:rPr>
        <w:t>2018.-2021.g. periodam ietvaros VPP “Enerģētika” projektu konkursa “Valsts ilgtermiņa enerģētikas politikas plānošanas analītiskais ietvars” ietvaros cita starpā ir noteikts uzdevums “</w:t>
      </w:r>
      <w:r w:rsidRPr="00847BE3">
        <w:rPr>
          <w:rFonts w:cs="Times New Roman"/>
        </w:rPr>
        <w:t>nodrošināt valsts enerģētikas politikas īstenošanas rezultātu monitoringa sistēmas izstrādi atbilstoši ES normatīvo aktu prasībām, identificējot nepieciešamos monitoringa datus un indikatorus, kā arī veicot to interpretācijas.”. Tādējādi pēc šī projektu konkursa pilnīgas īstenošanas būs zināma integrētā progresa ziņojuma sagatavošanai nepieciešamā monitoringa sistēma, tai skaitā institucionālā sistēma, informācija un datu plūsmu ieguves sistēma, un būs iespējams veikt izvērtējumu integrētā progresa ziņojuma sagatavošanai nepieciešamās sistēmas izveides un uzturēšanas izmaksas (administratīvās un atbilstības izmaksas), kā arī nepieciešamās darbības šīs sistēmas ieviešanai.</w:t>
      </w:r>
    </w:p>
    <w:p w14:paraId="2A8B84AB" w14:textId="77777777" w:rsidR="00847BE3" w:rsidRPr="00847BE3" w:rsidRDefault="00847BE3" w:rsidP="00847BE3">
      <w:pPr>
        <w:spacing w:before="120" w:after="120" w:line="240" w:lineRule="auto"/>
        <w:sectPr w:rsidR="00847BE3" w:rsidRPr="00847BE3" w:rsidSect="00DD44D5">
          <w:pgSz w:w="11906" w:h="16838" w:code="9"/>
          <w:pgMar w:top="1418" w:right="1134" w:bottom="1134" w:left="1701" w:header="567" w:footer="567" w:gutter="0"/>
          <w:cols w:space="708"/>
          <w:docGrid w:linePitch="360"/>
        </w:sectPr>
      </w:pPr>
    </w:p>
    <w:p w14:paraId="456D5F80" w14:textId="77777777" w:rsidR="00847BE3" w:rsidRPr="00847BE3" w:rsidRDefault="00847BE3" w:rsidP="0007326F">
      <w:pPr>
        <w:pStyle w:val="Heading1"/>
      </w:pPr>
      <w:bookmarkStart w:id="623" w:name="_Toc17878376"/>
      <w:bookmarkStart w:id="624" w:name="_Toc23245835"/>
      <w:bookmarkStart w:id="625" w:name="_Toc23246042"/>
      <w:bookmarkStart w:id="626" w:name="_Toc24408079"/>
      <w:bookmarkStart w:id="627" w:name="_Toc24408130"/>
      <w:r w:rsidRPr="00847BE3">
        <w:t>PLĀNA FINANSIĀLĀ IETEKME</w:t>
      </w:r>
      <w:bookmarkEnd w:id="623"/>
      <w:bookmarkEnd w:id="624"/>
      <w:bookmarkEnd w:id="625"/>
      <w:bookmarkEnd w:id="626"/>
      <w:bookmarkEnd w:id="627"/>
    </w:p>
    <w:p w14:paraId="0FF58101" w14:textId="77777777" w:rsidR="00847BE3" w:rsidRPr="00847BE3" w:rsidRDefault="00847BE3" w:rsidP="00847BE3">
      <w:pPr>
        <w:spacing w:before="120" w:after="120" w:line="240" w:lineRule="auto"/>
        <w:jc w:val="both"/>
        <w:rPr>
          <w:rFonts w:cstheme="minorHAnsi"/>
          <w:szCs w:val="24"/>
        </w:rPr>
      </w:pPr>
      <w:r w:rsidRPr="00847BE3">
        <w:rPr>
          <w:rFonts w:cstheme="minorHAnsi"/>
          <w:szCs w:val="24"/>
        </w:rPr>
        <w:t>Lai īstenotu Plānā ietvertos pasākumus un uzdevumus, plānots izmantot gan valsts, pašvaldību budžeta finansējumu, gan piesaistīt ES finanšu vai citu finansējuma avotu līdzekļus un privāto kapitālu, atkarībā no pasākuma rakstura. Pasākumus, kas saistīti ar tiesību aktu un politikas plānošanas dokumentu izstrādi, un ar to saistīto pētījumu veikšanu, institūcijas īsteno tām piešķiramo valsts budžeta līdzekļu ietvaros.</w:t>
      </w:r>
    </w:p>
    <w:p w14:paraId="5862AC20" w14:textId="7866264D" w:rsidR="00847BE3" w:rsidRPr="00847BE3" w:rsidRDefault="00847BE3" w:rsidP="00847BE3">
      <w:pPr>
        <w:spacing w:before="120" w:after="120" w:line="240" w:lineRule="auto"/>
        <w:jc w:val="both"/>
        <w:rPr>
          <w:rFonts w:cstheme="minorHAnsi"/>
          <w:szCs w:val="24"/>
        </w:rPr>
      </w:pPr>
      <w:r w:rsidRPr="00847BE3">
        <w:rPr>
          <w:rFonts w:cstheme="minorHAnsi"/>
          <w:szCs w:val="24"/>
        </w:rPr>
        <w:t>Nepieciešamais finansējuma apjoms Plānā noteikto mērķu un tajā ietverto rīcību īstenošanai uz Plāna iesniegšanas brīdi Eiropas Komisijā – 20</w:t>
      </w:r>
      <w:r w:rsidR="00CB43F5">
        <w:rPr>
          <w:rFonts w:cstheme="minorHAnsi"/>
          <w:szCs w:val="24"/>
        </w:rPr>
        <w:t>20</w:t>
      </w:r>
      <w:r w:rsidRPr="00847BE3">
        <w:rPr>
          <w:rFonts w:cstheme="minorHAnsi"/>
          <w:szCs w:val="24"/>
        </w:rPr>
        <w:t xml:space="preserve">.gada 31.decembrim, ir aprēķināms ar </w:t>
      </w:r>
      <w:r w:rsidR="00CB43F5">
        <w:rPr>
          <w:rFonts w:cstheme="minorHAnsi"/>
          <w:szCs w:val="24"/>
        </w:rPr>
        <w:t xml:space="preserve">pietiekamu </w:t>
      </w:r>
      <w:r w:rsidRPr="00847BE3">
        <w:rPr>
          <w:rFonts w:cstheme="minorHAnsi"/>
          <w:szCs w:val="24"/>
        </w:rPr>
        <w:t xml:space="preserve">nenoteiktību ņemot vērā, ka šis ir ilgtermiņa (līdz 2030. gadam) attīstības plānošanas dokuments un ka daudzu iesaistīto nozaru politika nav saplānota periodam pēc 2020. gada. EK ir publicējusi priekšlikumus ES daudzgadu finanšu budžetam 2021. – 2027. gada periodam, kurā paredzēts klimata pārmaiņu aktivitātēm novirzīt 25% kopējā pieejamā finansējuma dažādos fondos, taču ES daudzgadu finanšu budžets vēl nav apstiprināts un precīzi saplānots. Tāpat ES fondu finansējuma tiesību akti un ES fondu finansējuma darbības programmas tiks izstrādātas Latvijā līdz 2021.gada 1.janvārim. </w:t>
      </w:r>
      <w:r w:rsidR="00CB43F5">
        <w:rPr>
          <w:rFonts w:cstheme="minorHAnsi"/>
          <w:szCs w:val="24"/>
        </w:rPr>
        <w:t xml:space="preserve">Plāna 2.pielikumā ir iekļauta detāla informācija par </w:t>
      </w:r>
      <w:r w:rsidR="00CB43F5" w:rsidRPr="00CB43F5">
        <w:rPr>
          <w:rFonts w:cstheme="minorHAnsi"/>
          <w:szCs w:val="24"/>
        </w:rPr>
        <w:t>kopīgo ERAF un Kohēzijas fonda rezultātu rādītāju atbilstību Plāna rādītājiem</w:t>
      </w:r>
      <w:r w:rsidR="00CB43F5">
        <w:rPr>
          <w:rFonts w:cstheme="minorHAnsi"/>
          <w:szCs w:val="24"/>
        </w:rPr>
        <w:t>.</w:t>
      </w:r>
    </w:p>
    <w:p w14:paraId="5C721A45" w14:textId="1C8BE1E2" w:rsidR="00847BE3" w:rsidRPr="00847BE3" w:rsidRDefault="00847BE3" w:rsidP="00847BE3">
      <w:pPr>
        <w:spacing w:before="120" w:after="120" w:line="240" w:lineRule="auto"/>
        <w:jc w:val="both"/>
        <w:rPr>
          <w:rFonts w:cstheme="minorHAnsi"/>
          <w:szCs w:val="24"/>
        </w:rPr>
      </w:pPr>
      <w:r w:rsidRPr="00847BE3">
        <w:rPr>
          <w:rFonts w:cstheme="minorHAnsi"/>
          <w:szCs w:val="24"/>
        </w:rPr>
        <w:t xml:space="preserve">Plānā ietverto rīcības virzienu īstenošanai plānotās darbības tiek īstenotas atbildīgo institūciju piešķirto budžetu ietvaros. Jautājums par papildu valsts budžeta līdzekļu piešķiršanu skatāms </w:t>
      </w:r>
      <w:r w:rsidR="00E93C6D">
        <w:rPr>
          <w:rFonts w:cstheme="minorHAnsi"/>
          <w:szCs w:val="24"/>
        </w:rPr>
        <w:t>MK</w:t>
      </w:r>
      <w:r w:rsidRPr="00847BE3">
        <w:rPr>
          <w:rFonts w:cstheme="minorHAnsi"/>
          <w:szCs w:val="24"/>
        </w:rPr>
        <w:t>, sagatavojot vidēja termiņa budžeta ietvaru vai valsts budžetu n+1 gadam.</w:t>
      </w:r>
    </w:p>
    <w:p w14:paraId="2066B052" w14:textId="77777777" w:rsidR="00847BE3" w:rsidRPr="00847BE3" w:rsidRDefault="00847BE3" w:rsidP="0007326F">
      <w:pPr>
        <w:pStyle w:val="Heading2"/>
        <w:ind w:left="623"/>
      </w:pPr>
      <w:bookmarkStart w:id="628" w:name="_Toc17878377"/>
      <w:bookmarkStart w:id="629" w:name="_Toc23245836"/>
      <w:bookmarkStart w:id="630" w:name="_Toc23246043"/>
      <w:bookmarkStart w:id="631" w:name="_Toc24408080"/>
      <w:bookmarkStart w:id="632" w:name="_Toc24408131"/>
      <w:r w:rsidRPr="00847BE3">
        <w:t>Iespējamie finansējuma avoti</w:t>
      </w:r>
      <w:bookmarkEnd w:id="628"/>
      <w:bookmarkEnd w:id="629"/>
      <w:bookmarkEnd w:id="630"/>
      <w:bookmarkEnd w:id="631"/>
      <w:bookmarkEnd w:id="632"/>
    </w:p>
    <w:p w14:paraId="1E86F8CE" w14:textId="77777777" w:rsidR="00847BE3" w:rsidRPr="00847BE3" w:rsidRDefault="00847BE3" w:rsidP="00847BE3">
      <w:pPr>
        <w:pStyle w:val="tv213"/>
        <w:spacing w:before="120" w:beforeAutospacing="0" w:after="120" w:afterAutospacing="0"/>
        <w:jc w:val="both"/>
        <w:rPr>
          <w:rFonts w:asciiTheme="minorHAnsi" w:hAnsiTheme="minorHAnsi" w:cstheme="minorHAnsi"/>
          <w:u w:val="single"/>
        </w:rPr>
      </w:pPr>
      <w:r w:rsidRPr="00847BE3">
        <w:rPr>
          <w:rFonts w:asciiTheme="minorHAnsi" w:hAnsiTheme="minorHAnsi" w:cstheme="minorHAnsi"/>
          <w:u w:val="single"/>
        </w:rPr>
        <w:t>Valsts budžets</w:t>
      </w:r>
    </w:p>
    <w:p w14:paraId="3B03C776" w14:textId="77777777" w:rsidR="00847BE3" w:rsidRPr="00847BE3" w:rsidRDefault="00847BE3" w:rsidP="00847BE3">
      <w:pPr>
        <w:pStyle w:val="tv213"/>
        <w:spacing w:before="120" w:beforeAutospacing="0" w:after="120" w:afterAutospacing="0"/>
        <w:jc w:val="both"/>
        <w:rPr>
          <w:rFonts w:asciiTheme="minorHAnsi" w:hAnsiTheme="minorHAnsi" w:cstheme="minorHAnsi"/>
          <w:iCs/>
        </w:rPr>
      </w:pPr>
      <w:r w:rsidRPr="00847BE3">
        <w:rPr>
          <w:rFonts w:asciiTheme="minorHAnsi" w:hAnsiTheme="minorHAnsi" w:cstheme="minorHAnsi"/>
          <w:iCs/>
        </w:rPr>
        <w:t>Valsts budžeta finansējums ir izmantojams kā daļa no atbalsta energoefektivitātes uzlabošanas pasākumu veikšanai, AER tehnoloģiju ieviešanai, vai citu SEG emisiju samazināšanas pasākumu līdzatbalstam. Tāpat valsts budžetu varētu ietekmēt piemērojamie nodokļu atvieglojumi vai atbrīvojumi ne-emisiju vai maz-emisiju kurināmajiem / degvielai vai tehnoloģiju izmantošanai.</w:t>
      </w:r>
    </w:p>
    <w:p w14:paraId="1B07BE6E" w14:textId="77777777" w:rsidR="00847BE3" w:rsidRPr="00847BE3" w:rsidRDefault="00847BE3" w:rsidP="00847BE3">
      <w:pPr>
        <w:pStyle w:val="tv213"/>
        <w:spacing w:before="120" w:beforeAutospacing="0" w:after="120" w:afterAutospacing="0"/>
        <w:jc w:val="both"/>
        <w:rPr>
          <w:rFonts w:asciiTheme="minorHAnsi" w:hAnsiTheme="minorHAnsi" w:cstheme="minorHAnsi"/>
        </w:rPr>
      </w:pPr>
      <w:r w:rsidRPr="00847BE3">
        <w:rPr>
          <w:rFonts w:asciiTheme="minorHAnsi" w:hAnsiTheme="minorHAnsi" w:cstheme="minorHAnsi"/>
          <w:iCs/>
        </w:rPr>
        <w:t>Valsts budžeta finansējuma instrumenti P&amp;A ir f</w:t>
      </w:r>
      <w:r w:rsidRPr="00847BE3">
        <w:rPr>
          <w:rFonts w:asciiTheme="minorHAnsi" w:hAnsiTheme="minorHAnsi" w:cstheme="minorHAnsi"/>
        </w:rPr>
        <w:t>undamentālo un lietišķo pētījumu programma, Valsts pētījumu programmas un Latvijas inovācijas un tehnoloģiju attīstības fonds (indikatīvi).</w:t>
      </w:r>
    </w:p>
    <w:p w14:paraId="13213D28" w14:textId="77777777" w:rsidR="00847BE3" w:rsidRPr="00847BE3" w:rsidRDefault="00847BE3" w:rsidP="00847BE3">
      <w:pPr>
        <w:pStyle w:val="tv213"/>
        <w:spacing w:before="120" w:beforeAutospacing="0" w:after="120" w:afterAutospacing="0"/>
        <w:jc w:val="both"/>
        <w:rPr>
          <w:rFonts w:asciiTheme="minorHAnsi" w:hAnsiTheme="minorHAnsi" w:cstheme="minorHAnsi"/>
          <w:u w:val="single"/>
        </w:rPr>
      </w:pPr>
      <w:r w:rsidRPr="00847BE3">
        <w:rPr>
          <w:rFonts w:asciiTheme="minorHAnsi" w:hAnsiTheme="minorHAnsi" w:cstheme="minorHAnsi"/>
          <w:u w:val="single"/>
        </w:rPr>
        <w:t>Pašvaldību budžets</w:t>
      </w:r>
    </w:p>
    <w:p w14:paraId="7D33EE09" w14:textId="77777777" w:rsidR="00847BE3" w:rsidRPr="00847BE3" w:rsidRDefault="00847BE3" w:rsidP="00847BE3">
      <w:pPr>
        <w:pStyle w:val="tv213"/>
        <w:spacing w:before="120" w:beforeAutospacing="0" w:after="120" w:afterAutospacing="0"/>
        <w:jc w:val="both"/>
        <w:rPr>
          <w:rFonts w:asciiTheme="minorHAnsi" w:hAnsiTheme="minorHAnsi" w:cstheme="minorHAnsi"/>
        </w:rPr>
      </w:pPr>
      <w:r w:rsidRPr="00847BE3">
        <w:rPr>
          <w:rFonts w:asciiTheme="minorHAnsi" w:hAnsiTheme="minorHAnsi" w:cstheme="minorHAnsi"/>
        </w:rPr>
        <w:t>Saskaņā ar likumu “Par pašvaldību budžetiem” pašvaldības savus budžetus izstrādā pašas ņemot vērā spēkā esošos tiesību aktus, un valsts pārvaldei nav tiesību iejaukties pašvaldību budžetu izstrādē un izpildē. Pašvaldību budžetu veido no vairāku nodokļu ieņēmumiem, no kuriem daļa ir saistīta arī ar enerģētikas un klimata darbībām, piemēram, dabas resursu nodoklis, nekustamā īpašuma nodoklis. Tieši pašvaldībām ir tiesības arī noteikt nodokļu atvieglojumus.</w:t>
      </w:r>
    </w:p>
    <w:p w14:paraId="4C3FCC8D" w14:textId="77777777" w:rsidR="00847BE3" w:rsidRPr="00847BE3" w:rsidRDefault="00847BE3" w:rsidP="00847BE3">
      <w:pPr>
        <w:pStyle w:val="tv213"/>
        <w:spacing w:before="120" w:beforeAutospacing="0" w:after="120" w:afterAutospacing="0"/>
        <w:jc w:val="both"/>
        <w:rPr>
          <w:rFonts w:asciiTheme="minorHAnsi" w:hAnsiTheme="minorHAnsi" w:cstheme="minorHAnsi"/>
        </w:rPr>
      </w:pPr>
      <w:r w:rsidRPr="00847BE3">
        <w:rPr>
          <w:rFonts w:asciiTheme="minorHAnsi" w:hAnsiTheme="minorHAnsi" w:cstheme="minorHAnsi"/>
        </w:rPr>
        <w:t>Latvijā daudzas pašvaldības savos budžetos ieplāno finansējumu energoefektivitātes pasākumu, tai skaitā energopārvaldības sistēmu ieviešana, veikšanai gan savos īpašumos, gan kā atbalstu iedzīvotāju energoefektivitātes uzlabošanas pasākumu veikšanai. Tāpat vairākas pašvaldības piemēro nekustamā īpašuma nodokļa atvieglojumus par īpašumos veiktajiem energoefektivitātes pasākumiem, piemēram, dzīvokļiem nosiltinātās daudzdzīvokļu dzīvojamās ēkās.</w:t>
      </w:r>
    </w:p>
    <w:p w14:paraId="46970BAC" w14:textId="77777777" w:rsidR="00847BE3" w:rsidRPr="00847BE3" w:rsidRDefault="00847BE3" w:rsidP="00847BE3">
      <w:pPr>
        <w:pStyle w:val="tv213"/>
        <w:spacing w:before="120" w:beforeAutospacing="0" w:after="120" w:afterAutospacing="0"/>
        <w:jc w:val="both"/>
        <w:rPr>
          <w:rFonts w:asciiTheme="minorHAnsi" w:hAnsiTheme="minorHAnsi" w:cstheme="minorHAnsi"/>
          <w:u w:val="single"/>
        </w:rPr>
      </w:pPr>
      <w:r w:rsidRPr="00847BE3">
        <w:rPr>
          <w:rFonts w:asciiTheme="minorHAnsi" w:hAnsiTheme="minorHAnsi" w:cstheme="minorHAnsi"/>
          <w:u w:val="single"/>
        </w:rPr>
        <w:t>MFF2027</w:t>
      </w:r>
    </w:p>
    <w:p w14:paraId="2BA7A625" w14:textId="77777777" w:rsidR="00847BE3" w:rsidRPr="00847BE3" w:rsidRDefault="00847BE3" w:rsidP="00847BE3">
      <w:pPr>
        <w:pStyle w:val="tv213"/>
        <w:spacing w:before="120" w:beforeAutospacing="0" w:after="120" w:afterAutospacing="0"/>
        <w:jc w:val="both"/>
        <w:rPr>
          <w:rFonts w:asciiTheme="minorHAnsi" w:hAnsiTheme="minorHAnsi" w:cstheme="minorHAnsi"/>
        </w:rPr>
      </w:pPr>
      <w:r w:rsidRPr="00847BE3">
        <w:rPr>
          <w:rFonts w:asciiTheme="minorHAnsi" w:hAnsiTheme="minorHAnsi" w:cstheme="minorHAnsi"/>
        </w:rPr>
        <w:t>Attiecībā uz ES fondu pieejamību Plāna aptvertajā periodā līdz 2019.gada beigām var spriest tikai pēc MFF2027 projekta. Tomēr finansējuma apmēri fondu sadalījumos var mainīties sarunu gaitā. Šobrīd arī nav zināms Latvijas apjoms zemāk minētajos finansēšanas avotos.</w:t>
      </w:r>
    </w:p>
    <w:p w14:paraId="599D990E" w14:textId="77777777" w:rsidR="00847BE3" w:rsidRPr="00847BE3" w:rsidRDefault="00847BE3" w:rsidP="00847BE3">
      <w:pPr>
        <w:pStyle w:val="tv213"/>
        <w:spacing w:before="120" w:beforeAutospacing="0" w:after="120" w:afterAutospacing="0"/>
        <w:jc w:val="both"/>
        <w:rPr>
          <w:rFonts w:asciiTheme="minorHAnsi" w:hAnsiTheme="minorHAnsi" w:cstheme="minorHAnsi"/>
        </w:rPr>
      </w:pPr>
      <w:r w:rsidRPr="00847BE3">
        <w:rPr>
          <w:rFonts w:asciiTheme="minorHAnsi" w:hAnsiTheme="minorHAnsi" w:cstheme="minorHAnsi"/>
        </w:rPr>
        <w:t>MFF ietvaros ir izveidoti vairāki finansēšanas avoti:</w:t>
      </w:r>
    </w:p>
    <w:p w14:paraId="0E059018" w14:textId="77777777" w:rsidR="00847BE3" w:rsidRPr="00847BE3" w:rsidRDefault="00847BE3" w:rsidP="00847BE3">
      <w:pPr>
        <w:pStyle w:val="ListParagraph"/>
        <w:numPr>
          <w:ilvl w:val="0"/>
          <w:numId w:val="42"/>
        </w:numPr>
        <w:spacing w:before="120" w:after="120" w:line="240" w:lineRule="auto"/>
        <w:ind w:left="397" w:hanging="397"/>
        <w:contextualSpacing w:val="0"/>
        <w:jc w:val="both"/>
        <w:rPr>
          <w:rFonts w:cstheme="minorHAnsi"/>
          <w:iCs/>
          <w:szCs w:val="24"/>
          <w:shd w:val="clear" w:color="auto" w:fill="FFFFFF"/>
        </w:rPr>
      </w:pPr>
      <w:r w:rsidRPr="00847BE3">
        <w:rPr>
          <w:rFonts w:cstheme="minorHAnsi"/>
          <w:i/>
          <w:szCs w:val="24"/>
          <w:shd w:val="clear" w:color="auto" w:fill="FFFFFF"/>
        </w:rPr>
        <w:t>InvestEU</w:t>
      </w:r>
      <w:r w:rsidRPr="00847BE3">
        <w:rPr>
          <w:rFonts w:cstheme="minorHAnsi"/>
          <w:iCs/>
          <w:szCs w:val="24"/>
        </w:rPr>
        <w:t xml:space="preserve"> fonds visus ES centralizēti pārvaldītos finanšu instrumentus sasaistīs vienotā, racionalizētā struktūrā. Šī jaunā pieeja novērsīs pārklāšanos, vienkāršos piekļuvi finansējumam un samazinās administratīvo slogu. Turklāt fonds InvestEU nodrošinās konsultāciju pakalpojumus un atbalstu projektu izveidei un attīstībai.</w:t>
      </w:r>
    </w:p>
    <w:p w14:paraId="0675B2AD" w14:textId="77777777" w:rsidR="00847BE3" w:rsidRPr="00847BE3" w:rsidRDefault="00847BE3" w:rsidP="00847BE3">
      <w:pPr>
        <w:pStyle w:val="ListParagraph"/>
        <w:numPr>
          <w:ilvl w:val="0"/>
          <w:numId w:val="42"/>
        </w:numPr>
        <w:shd w:val="clear" w:color="auto" w:fill="FFFFFF"/>
        <w:spacing w:before="120" w:after="120" w:line="240" w:lineRule="auto"/>
        <w:ind w:left="397" w:hanging="397"/>
        <w:contextualSpacing w:val="0"/>
        <w:jc w:val="both"/>
        <w:textAlignment w:val="baseline"/>
        <w:rPr>
          <w:rFonts w:eastAsia="Times New Roman" w:cstheme="minorHAnsi"/>
          <w:iCs/>
          <w:szCs w:val="24"/>
          <w:lang w:eastAsia="lv-LV"/>
        </w:rPr>
      </w:pPr>
      <w:r w:rsidRPr="00847BE3">
        <w:rPr>
          <w:rFonts w:cstheme="minorHAnsi"/>
          <w:i/>
          <w:szCs w:val="24"/>
          <w:shd w:val="clear" w:color="auto" w:fill="FFFFFF"/>
        </w:rPr>
        <w:t>Apvārsnis Eiropa</w:t>
      </w:r>
      <w:r w:rsidRPr="00847BE3">
        <w:rPr>
          <w:rFonts w:cstheme="minorHAnsi"/>
          <w:iCs/>
          <w:szCs w:val="24"/>
          <w:shd w:val="clear" w:color="auto" w:fill="FFFFFF"/>
        </w:rPr>
        <w:t xml:space="preserve"> </w:t>
      </w:r>
      <w:r w:rsidRPr="00847BE3">
        <w:rPr>
          <w:rFonts w:eastAsia="Times New Roman" w:cstheme="minorHAnsi"/>
          <w:iCs/>
          <w:szCs w:val="24"/>
          <w:bdr w:val="none" w:sz="0" w:space="0" w:color="auto" w:frame="1"/>
          <w:lang w:eastAsia="lv-LV"/>
        </w:rPr>
        <w:t>ir ES pamatprogramma pētniecības un inovācijas sekmēšanai 2021. – 2027. gada periodā, finansiāli atbalstot uz izcilību vērstus un perspektīvus starptautisku konsorciju pieteiktus projektus ES tematiskajās prioritātēs. Programma ir vērsta uz zinātni un inovāciju ar mērķi stiprināt ES zinātnisko un tehnoloģisko bāzi, veicināt ES konkurētspēju un inovāciju, īstenot ES stratēģiskās prioritātes un risināt globālas problēmas.</w:t>
      </w:r>
    </w:p>
    <w:p w14:paraId="6C545509" w14:textId="77777777" w:rsidR="00847BE3" w:rsidRPr="00847BE3" w:rsidRDefault="00847BE3" w:rsidP="00847BE3">
      <w:pPr>
        <w:pStyle w:val="ListParagraph"/>
        <w:numPr>
          <w:ilvl w:val="0"/>
          <w:numId w:val="42"/>
        </w:numPr>
        <w:spacing w:before="120" w:after="120" w:line="240" w:lineRule="auto"/>
        <w:ind w:left="397" w:hanging="397"/>
        <w:contextualSpacing w:val="0"/>
        <w:jc w:val="both"/>
        <w:rPr>
          <w:rFonts w:cstheme="minorHAnsi"/>
          <w:iCs/>
          <w:color w:val="000000"/>
        </w:rPr>
      </w:pPr>
      <w:r w:rsidRPr="00847BE3">
        <w:rPr>
          <w:rFonts w:cstheme="minorHAnsi"/>
          <w:i/>
          <w:color w:val="000000"/>
          <w:szCs w:val="24"/>
          <w:shd w:val="clear" w:color="auto" w:fill="FFFFFF"/>
        </w:rPr>
        <w:t>Eiropas infrastruktūras savienošanas instruments</w:t>
      </w:r>
      <w:r w:rsidRPr="00847BE3">
        <w:rPr>
          <w:rFonts w:cstheme="minorHAnsi"/>
          <w:iCs/>
          <w:color w:val="000000"/>
          <w:szCs w:val="24"/>
          <w:shd w:val="clear" w:color="auto" w:fill="FFFFFF"/>
        </w:rPr>
        <w:t xml:space="preserve"> </w:t>
      </w:r>
      <w:r w:rsidRPr="00847BE3">
        <w:rPr>
          <w:rFonts w:cstheme="minorHAnsi"/>
          <w:iCs/>
          <w:color w:val="000000"/>
          <w:szCs w:val="24"/>
          <w:bdr w:val="none" w:sz="0" w:space="0" w:color="auto" w:frame="1"/>
          <w:shd w:val="clear" w:color="auto" w:fill="FFFFFF"/>
        </w:rPr>
        <w:t xml:space="preserve">atbalsta ieguldījumus pārrobežu infrastruktūrā transporta, enerģētikas un digitālajā nozarē. </w:t>
      </w:r>
      <w:r w:rsidRPr="00847BE3">
        <w:rPr>
          <w:rFonts w:cstheme="minorHAnsi"/>
          <w:iCs/>
          <w:color w:val="000000"/>
          <w:szCs w:val="24"/>
          <w:shd w:val="clear" w:color="auto" w:fill="FFFFFF"/>
        </w:rPr>
        <w:t>Minētais instruments ir izstrādāts, lai veicinātu ieguldījumus Eiropas komunikāciju tīklos. I</w:t>
      </w:r>
      <w:r w:rsidRPr="00847BE3">
        <w:rPr>
          <w:rFonts w:cstheme="minorHAnsi"/>
          <w:iCs/>
          <w:color w:val="000000"/>
          <w:szCs w:val="24"/>
          <w:bdr w:val="none" w:sz="0" w:space="0" w:color="auto" w:frame="1"/>
        </w:rPr>
        <w:t xml:space="preserve">nstruments atbalsta ieguldījumus un sadarbību, lai attīstītu infrastruktūru transporta, enerģētikas un digitālajās nozarēs, kā arī savieno ES ar tās reģioniem. </w:t>
      </w:r>
    </w:p>
    <w:p w14:paraId="7A4F3154" w14:textId="77777777" w:rsidR="00847BE3" w:rsidRPr="00847BE3" w:rsidRDefault="00847BE3" w:rsidP="00847BE3">
      <w:pPr>
        <w:pStyle w:val="ListParagraph"/>
        <w:numPr>
          <w:ilvl w:val="0"/>
          <w:numId w:val="41"/>
        </w:numPr>
        <w:shd w:val="clear" w:color="auto" w:fill="FFFFFF"/>
        <w:autoSpaceDE w:val="0"/>
        <w:autoSpaceDN w:val="0"/>
        <w:adjustRightInd w:val="0"/>
        <w:spacing w:before="120" w:after="120" w:line="240" w:lineRule="auto"/>
        <w:ind w:left="397" w:hanging="397"/>
        <w:contextualSpacing w:val="0"/>
        <w:jc w:val="both"/>
        <w:textAlignment w:val="baseline"/>
        <w:rPr>
          <w:rFonts w:eastAsia="Times New Roman" w:cstheme="minorHAnsi"/>
          <w:iCs/>
          <w:color w:val="000000"/>
          <w:szCs w:val="24"/>
        </w:rPr>
      </w:pPr>
      <w:r w:rsidRPr="00847BE3">
        <w:rPr>
          <w:rFonts w:cstheme="minorHAnsi"/>
          <w:i/>
          <w:szCs w:val="24"/>
          <w:bdr w:val="none" w:sz="0" w:space="0" w:color="auto" w:frame="1"/>
          <w:shd w:val="clear" w:color="auto" w:fill="FFFFFF"/>
        </w:rPr>
        <w:t>ERAF</w:t>
      </w:r>
      <w:r w:rsidRPr="00847BE3">
        <w:rPr>
          <w:rFonts w:cstheme="minorHAnsi"/>
          <w:iCs/>
          <w:szCs w:val="24"/>
          <w:bdr w:val="none" w:sz="0" w:space="0" w:color="auto" w:frame="1"/>
          <w:shd w:val="clear" w:color="auto" w:fill="FFFFFF"/>
        </w:rPr>
        <w:t xml:space="preserve"> un </w:t>
      </w:r>
      <w:r w:rsidRPr="00847BE3">
        <w:rPr>
          <w:rFonts w:cstheme="minorHAnsi"/>
          <w:i/>
          <w:szCs w:val="24"/>
          <w:bdr w:val="none" w:sz="0" w:space="0" w:color="auto" w:frame="1"/>
          <w:shd w:val="clear" w:color="auto" w:fill="FFFFFF"/>
        </w:rPr>
        <w:t>KF</w:t>
      </w:r>
      <w:r w:rsidRPr="00847BE3">
        <w:rPr>
          <w:rFonts w:cstheme="minorHAnsi"/>
          <w:iCs/>
          <w:szCs w:val="24"/>
          <w:bdr w:val="none" w:sz="0" w:space="0" w:color="auto" w:frame="1"/>
          <w:shd w:val="clear" w:color="auto" w:fill="FFFFFF"/>
        </w:rPr>
        <w:t xml:space="preserve"> finansējums būs pieejams šādos virzienos: </w:t>
      </w:r>
      <w:r w:rsidRPr="00847BE3">
        <w:rPr>
          <w:rFonts w:eastAsia="Times New Roman" w:cstheme="minorHAnsi"/>
          <w:iCs/>
          <w:szCs w:val="24"/>
          <w:bdr w:val="none" w:sz="0" w:space="0" w:color="auto" w:frame="1"/>
          <w:lang w:eastAsia="lv-LV"/>
        </w:rPr>
        <w:t xml:space="preserve">viedāka Eiropa, veicinot inovatīvas un viedas ekonomiskās pārmaiņas, zaļāka Eiropa ar zemām oglekļa emisijām, veicinot tīru un taisnīgu enerģētikas pārkārtošanu, “zaļas” un “zilas” investīcijas, aprites ekonomiku, pielāgošanos klimata pārmaiņām un risku novēršanu, ciešāk savienota Eiropa, uzlabojot mobilitāti un reģionālo IKT savienotību, sociālāka Eiropa, īstenojot Eiropas sociālo tiesību pīlāru, iedzīvotājiem tuvāka Eiropa, ar vietējo iniciatīvu palīdzību veicinot pilsētu, lauku un piekrastes teritoriju ilgtspējīgu un integrētu attīstību”. ERAF </w:t>
      </w:r>
      <w:r w:rsidRPr="00847BE3">
        <w:rPr>
          <w:rFonts w:eastAsia="Times New Roman" w:cstheme="minorHAnsi"/>
          <w:iCs/>
          <w:color w:val="000000"/>
          <w:szCs w:val="24"/>
          <w:bdr w:val="none" w:sz="0" w:space="0" w:color="auto" w:frame="1"/>
        </w:rPr>
        <w:t>atbalsta investīcijas infrastruktūrā, investīcijas piekļuvē pakalpojumiem, produktīvas investīcijas MVU, aprīkojumu, programmatūru un nemateriālos aktīvus, informāciju, komunikāciju, pētījumus, tīklošanu, sadarbību, pieredzes apmaiņu un darbības, kas saistītas ar kopām, tehnisko palīdzību. No KF atbalsta vides investīcijas, tostarp investīcijas, kuras saistītas ar ilgtspējīgu attīstību un enerģētiku un dod vides labumu, investīcijas TEN-T (Trans-European Transport Network), tehnisko palīdzību.</w:t>
      </w:r>
    </w:p>
    <w:p w14:paraId="4B24557B" w14:textId="77777777" w:rsidR="00847BE3" w:rsidRPr="00847BE3" w:rsidRDefault="00847BE3" w:rsidP="00847BE3">
      <w:pPr>
        <w:pStyle w:val="programme"/>
        <w:numPr>
          <w:ilvl w:val="0"/>
          <w:numId w:val="40"/>
        </w:numPr>
        <w:shd w:val="clear" w:color="auto" w:fill="FFFFFF"/>
        <w:spacing w:before="120" w:beforeAutospacing="0" w:after="120" w:afterAutospacing="0"/>
        <w:ind w:left="397" w:hanging="397"/>
        <w:jc w:val="both"/>
        <w:textAlignment w:val="baseline"/>
        <w:rPr>
          <w:rFonts w:asciiTheme="minorHAnsi" w:hAnsiTheme="minorHAnsi" w:cstheme="minorHAnsi"/>
          <w:i/>
          <w:color w:val="000000"/>
          <w:sz w:val="24"/>
          <w:szCs w:val="24"/>
          <w:shd w:val="clear" w:color="auto" w:fill="FFFFFF"/>
        </w:rPr>
      </w:pPr>
      <w:r w:rsidRPr="00847BE3">
        <w:rPr>
          <w:rFonts w:asciiTheme="minorHAnsi" w:hAnsiTheme="minorHAnsi" w:cstheme="minorHAnsi"/>
          <w:i/>
          <w:sz w:val="24"/>
          <w:szCs w:val="24"/>
          <w:bdr w:val="none" w:sz="0" w:space="0" w:color="auto" w:frame="1"/>
        </w:rPr>
        <w:t>LIFE – Vides un klimata pasākumu programmā</w:t>
      </w:r>
      <w:r w:rsidRPr="00847BE3">
        <w:rPr>
          <w:rFonts w:asciiTheme="minorHAnsi" w:hAnsiTheme="minorHAnsi" w:cstheme="minorHAnsi"/>
          <w:iCs/>
          <w:sz w:val="24"/>
          <w:szCs w:val="24"/>
          <w:bdr w:val="none" w:sz="0" w:space="0" w:color="auto" w:frame="1"/>
        </w:rPr>
        <w:t xml:space="preserve"> </w:t>
      </w:r>
      <w:r w:rsidRPr="00847BE3">
        <w:rPr>
          <w:rFonts w:asciiTheme="minorHAnsi" w:hAnsiTheme="minorHAnsi" w:cstheme="minorHAnsi"/>
          <w:iCs/>
          <w:sz w:val="24"/>
          <w:szCs w:val="24"/>
          <w:bdr w:val="none" w:sz="0" w:space="0" w:color="auto" w:frame="1"/>
          <w:shd w:val="clear" w:color="auto" w:fill="FFFFFF"/>
        </w:rPr>
        <w:t xml:space="preserve">galvenā uzmanība pievērsta tam, lai izstrādātu un īstenotu novatoriskus veidus, kā reaģēt uz problēmām klimata jomā, tādējādi sekmējot izmaiņas politikas izstrādē, īstenošanā un izpildes nodrošināšanā. Programmā finansējums būs pieejams </w:t>
      </w:r>
      <w:r w:rsidRPr="00847BE3">
        <w:rPr>
          <w:rFonts w:asciiTheme="minorHAnsi" w:eastAsia="Times New Roman" w:hAnsiTheme="minorHAnsi" w:cstheme="minorHAnsi"/>
          <w:iCs/>
          <w:sz w:val="24"/>
          <w:szCs w:val="24"/>
          <w:bdr w:val="none" w:sz="0" w:space="0" w:color="auto" w:frame="1"/>
        </w:rPr>
        <w:t xml:space="preserve">pārejai uz aprites ekonomiku, ko raksturo efektīvs resursu un enerģijas izmantojums, zemas </w:t>
      </w:r>
      <w:r w:rsidRPr="00847BE3">
        <w:rPr>
          <w:rFonts w:asciiTheme="minorHAnsi" w:eastAsia="Times New Roman" w:hAnsiTheme="minorHAnsi" w:cstheme="minorHAnsi"/>
          <w:iCs/>
          <w:color w:val="000000"/>
          <w:sz w:val="24"/>
          <w:szCs w:val="24"/>
          <w:bdr w:val="none" w:sz="0" w:space="0" w:color="auto" w:frame="1"/>
        </w:rPr>
        <w:t>oglekļa emisijas un klimatnoturība, vides kvalitātes aizsardzībai un uzlabošanai, dabas aizsardzībai un bioloģiskās daudzveidības zaudēšanas apturēšanai un tās atjaunošanai.</w:t>
      </w:r>
    </w:p>
    <w:p w14:paraId="4BF03429" w14:textId="77777777" w:rsidR="00847BE3" w:rsidRPr="00847BE3" w:rsidRDefault="00847BE3" w:rsidP="00847BE3">
      <w:pPr>
        <w:pStyle w:val="programme"/>
        <w:numPr>
          <w:ilvl w:val="0"/>
          <w:numId w:val="38"/>
        </w:numPr>
        <w:shd w:val="clear" w:color="auto" w:fill="FFFFFF"/>
        <w:spacing w:before="120" w:beforeAutospacing="0" w:after="120" w:afterAutospacing="0"/>
        <w:ind w:left="397" w:hanging="397"/>
        <w:jc w:val="both"/>
        <w:textAlignment w:val="baseline"/>
        <w:rPr>
          <w:rFonts w:asciiTheme="minorHAnsi" w:hAnsiTheme="minorHAnsi" w:cstheme="minorHAnsi"/>
          <w:i/>
          <w:color w:val="444444"/>
          <w:sz w:val="24"/>
          <w:szCs w:val="24"/>
          <w:shd w:val="clear" w:color="auto" w:fill="FFFFFF"/>
        </w:rPr>
      </w:pPr>
      <w:r w:rsidRPr="00847BE3">
        <w:rPr>
          <w:rFonts w:asciiTheme="minorHAnsi" w:hAnsiTheme="minorHAnsi" w:cstheme="minorHAnsi"/>
          <w:i/>
          <w:color w:val="000000"/>
          <w:sz w:val="24"/>
          <w:szCs w:val="24"/>
          <w:shd w:val="clear" w:color="auto" w:fill="FFFFFF"/>
        </w:rPr>
        <w:t xml:space="preserve">Eiropas Lauksaimniecības garantiju fonds un Eiropas Lauksaimniecības fonds lauku attīstībai </w:t>
      </w:r>
      <w:r w:rsidRPr="00847BE3">
        <w:rPr>
          <w:rFonts w:asciiTheme="minorHAnsi" w:eastAsia="Times New Roman" w:hAnsiTheme="minorHAnsi" w:cstheme="minorHAnsi"/>
          <w:color w:val="000000"/>
          <w:sz w:val="24"/>
          <w:szCs w:val="24"/>
          <w:bdr w:val="none" w:sz="0" w:space="0" w:color="auto" w:frame="1"/>
        </w:rPr>
        <w:t>aptver visas trīs ilgtspējīgas lauksaimniecības dimensijas</w:t>
      </w:r>
      <w:r w:rsidRPr="00847BE3">
        <w:rPr>
          <w:rFonts w:asciiTheme="minorHAnsi" w:hAnsiTheme="minorHAnsi" w:cstheme="minorHAnsi"/>
          <w:sz w:val="24"/>
          <w:szCs w:val="24"/>
          <w:bdr w:val="none" w:sz="0" w:space="0" w:color="auto" w:frame="1"/>
          <w:shd w:val="clear" w:color="auto" w:fill="FFFFFF"/>
        </w:rPr>
        <w:t xml:space="preserve">: </w:t>
      </w:r>
      <w:r w:rsidRPr="00847BE3">
        <w:rPr>
          <w:rFonts w:asciiTheme="minorHAnsi" w:eastAsia="Times New Roman" w:hAnsiTheme="minorHAnsi" w:cstheme="minorHAnsi"/>
          <w:color w:val="000000"/>
          <w:sz w:val="24"/>
          <w:szCs w:val="24"/>
          <w:bdr w:val="none" w:sz="0" w:space="0" w:color="auto" w:frame="1"/>
        </w:rPr>
        <w:t>veicināt viedu un noturīgu lauksaimniecības nozari, atbalstīt vidaprūpi un rīcību klimata jomā un sniegt ieguldījumu ES mērķu sasniegšanā vides un klimata jomā, stiprināt sociālekonomisko vidi lauku apvidos.</w:t>
      </w:r>
    </w:p>
    <w:p w14:paraId="590DF8FC" w14:textId="77777777" w:rsidR="00847BE3" w:rsidRPr="00847BE3" w:rsidRDefault="00847BE3" w:rsidP="00847BE3">
      <w:pPr>
        <w:pStyle w:val="programme"/>
        <w:numPr>
          <w:ilvl w:val="0"/>
          <w:numId w:val="39"/>
        </w:numPr>
        <w:shd w:val="clear" w:color="auto" w:fill="FFFFFF"/>
        <w:spacing w:before="120" w:beforeAutospacing="0" w:after="120" w:afterAutospacing="0"/>
        <w:ind w:left="397" w:hanging="397"/>
        <w:jc w:val="both"/>
        <w:textAlignment w:val="baseline"/>
        <w:rPr>
          <w:rFonts w:asciiTheme="minorHAnsi" w:hAnsiTheme="minorHAnsi" w:cstheme="minorHAnsi"/>
        </w:rPr>
      </w:pPr>
      <w:r w:rsidRPr="00847BE3">
        <w:rPr>
          <w:rFonts w:asciiTheme="minorHAnsi" w:hAnsiTheme="minorHAnsi" w:cstheme="minorHAnsi"/>
          <w:i/>
          <w:color w:val="000000"/>
          <w:sz w:val="24"/>
          <w:szCs w:val="24"/>
          <w:shd w:val="clear" w:color="auto" w:fill="FFFFFF"/>
        </w:rPr>
        <w:t xml:space="preserve">Eiropas Jūrlietu un zivsaimniecības fonds </w:t>
      </w:r>
      <w:r w:rsidRPr="00847BE3">
        <w:rPr>
          <w:rFonts w:asciiTheme="minorHAnsi" w:hAnsiTheme="minorHAnsi" w:cstheme="minorHAnsi"/>
          <w:color w:val="000000"/>
          <w:sz w:val="24"/>
          <w:szCs w:val="24"/>
          <w:bdr w:val="none" w:sz="0" w:space="0" w:color="auto" w:frame="1"/>
          <w:shd w:val="clear" w:color="auto" w:fill="FFFFFF"/>
        </w:rPr>
        <w:t xml:space="preserve">ir īpaša ES programma, lai atbalstītu ilgtspējīgu ES zivsaimniecības nozari un piekrastes kopienas, kuras no tās ir atkarīgas, kuras </w:t>
      </w:r>
      <w:r w:rsidRPr="00847BE3">
        <w:rPr>
          <w:rFonts w:asciiTheme="minorHAnsi" w:hAnsiTheme="minorHAnsi" w:cstheme="minorHAnsi"/>
          <w:sz w:val="24"/>
          <w:szCs w:val="24"/>
          <w:bdr w:val="none" w:sz="0" w:space="0" w:color="auto" w:frame="1"/>
          <w:shd w:val="clear" w:color="auto" w:fill="FFFFFF"/>
        </w:rPr>
        <w:t xml:space="preserve">finansējums būs pieejams šādos virzienos: </w:t>
      </w:r>
      <w:r w:rsidRPr="00847BE3">
        <w:rPr>
          <w:rFonts w:asciiTheme="minorHAnsi" w:hAnsiTheme="minorHAnsi" w:cstheme="minorHAnsi"/>
          <w:sz w:val="24"/>
          <w:szCs w:val="24"/>
        </w:rPr>
        <w:t>aizsargāt veselīgas jūras un okeānus un nodrošināt ilgtspējīgu zivsaimniecību un akvakultūru, samazinot zvejas ietekmi uz jūras vidi un vienlaikus uzlabojot konkurētspēju un zivsaimniecības nozares pievilcību, sekmēt zilo ekonomiku, jo īpaši palīdzot ilgtspējīgām un pārtikušām piekrastes kopienām veicināt ieguldījumus, prasmes, zināšanas un tirgus attīstību, stiprināt okeānu starptautisko pārvaldību un jūras telpas drošumu un drošību jomās, kas vēl nav ietvertas starptautiskajos zivsaimniecības nolīgumos.</w:t>
      </w:r>
    </w:p>
    <w:p w14:paraId="0815D190" w14:textId="77777777" w:rsidR="00847BE3" w:rsidRPr="00847BE3" w:rsidRDefault="00847BE3" w:rsidP="00847BE3">
      <w:pPr>
        <w:pStyle w:val="tv213"/>
        <w:spacing w:before="120" w:beforeAutospacing="0" w:after="120" w:afterAutospacing="0"/>
        <w:jc w:val="both"/>
        <w:rPr>
          <w:rFonts w:asciiTheme="minorHAnsi" w:hAnsiTheme="minorHAnsi" w:cstheme="minorHAnsi"/>
          <w:bCs/>
          <w:u w:val="single"/>
        </w:rPr>
      </w:pPr>
      <w:r w:rsidRPr="00847BE3">
        <w:rPr>
          <w:rFonts w:asciiTheme="minorHAnsi" w:hAnsiTheme="minorHAnsi" w:cstheme="minorHAnsi"/>
          <w:bCs/>
          <w:u w:val="single"/>
        </w:rPr>
        <w:t>Klimata finansējums</w:t>
      </w:r>
    </w:p>
    <w:p w14:paraId="48153803" w14:textId="77777777" w:rsidR="00847BE3" w:rsidRPr="00847BE3" w:rsidRDefault="00847BE3" w:rsidP="00847BE3">
      <w:pPr>
        <w:pStyle w:val="tv213"/>
        <w:spacing w:before="120" w:beforeAutospacing="0" w:after="120" w:afterAutospacing="0"/>
        <w:jc w:val="both"/>
        <w:rPr>
          <w:rFonts w:asciiTheme="minorHAnsi" w:hAnsiTheme="minorHAnsi" w:cstheme="minorHAnsi"/>
          <w:i/>
        </w:rPr>
      </w:pPr>
      <w:r w:rsidRPr="00847BE3">
        <w:rPr>
          <w:rFonts w:asciiTheme="minorHAnsi" w:hAnsiTheme="minorHAnsi" w:cstheme="minorHAnsi"/>
          <w:i/>
        </w:rPr>
        <w:t>EKII</w:t>
      </w:r>
    </w:p>
    <w:p w14:paraId="7112957E" w14:textId="77777777" w:rsidR="00847BE3" w:rsidRPr="00847BE3" w:rsidRDefault="00847BE3" w:rsidP="00847BE3">
      <w:pPr>
        <w:pStyle w:val="tv213"/>
        <w:spacing w:before="120" w:beforeAutospacing="0" w:after="120" w:afterAutospacing="0"/>
        <w:jc w:val="both"/>
        <w:rPr>
          <w:rFonts w:asciiTheme="minorHAnsi" w:hAnsiTheme="minorHAnsi" w:cstheme="minorHAnsi"/>
        </w:rPr>
      </w:pPr>
      <w:r w:rsidRPr="00847BE3">
        <w:rPr>
          <w:rFonts w:asciiTheme="minorHAnsi" w:hAnsiTheme="minorHAnsi" w:cstheme="minorHAnsi"/>
        </w:rPr>
        <w:t>Ieņēmumi no emisijas kvotu izsolīšanas ETS 3.periodā (2013.-2020.g.) indikatīvi varētu būt ap 170 milj. EUR visā periodā kopā. Tomēr ieņēmumu apjoms no ETS emisijas kvotu pārdošanas var būtiski mainīties atbilstoši emisijas kvotu tirgus svārstībām. Latvija laika periodā no 2021. gada līdz 2030. gadam izsolītu apmēram 16,07 milj. emisijas kvotu, kas vidēji būtu 1,6 milj. emisijas kvotu gadā, un pie potenciāli vidējās emisijas kvotu cenas ETS 4. periodā 25 EUR</w:t>
      </w:r>
      <w:r w:rsidRPr="00847BE3">
        <w:rPr>
          <w:rStyle w:val="FootnoteReference"/>
          <w:rFonts w:asciiTheme="minorHAnsi" w:hAnsiTheme="minorHAnsi" w:cstheme="minorHAnsi"/>
          <w:i/>
        </w:rPr>
        <w:footnoteReference w:id="216"/>
      </w:r>
      <w:r w:rsidRPr="00847BE3">
        <w:rPr>
          <w:rFonts w:asciiTheme="minorHAnsi" w:hAnsiTheme="minorHAnsi" w:cstheme="minorHAnsi"/>
        </w:rPr>
        <w:t>, Latvija no emisijas kvotu izsolīšanas valsts budžetā varētu iegūt līdz 402 milj. EUR. Jānorāda, ka šie ieņēmumu apjomi faktiski var atšķirties no prognozētā, jo joprojām ir daudz nezināmo faktoru, t.sk. sākotnējais kopapjoms 2021. gadam, kā rezultātā nav iespējams aprēķināt precīzu izsolāmo apjomu katram gadam. Turklāt ieņēmumu apjomu būtiski ietekmē emisijas kvotu cena, kas arī praksē var atšķirties no prognozēm, jo bijušas ar lielu svārstības diapazonu. Jānorāda, ka periodā pēc 2021.gada EKII ietvaros būs izmantojams arī tas finansējums, kas EKII ietvaros bija pieejams 2013.-2020.g. periodā, bet netika iztērēts periodā līdz 2021.gadam. Šobrīd šis uzkrājums veido apmēram 120 milj.EUR</w:t>
      </w:r>
      <w:r w:rsidRPr="00847BE3">
        <w:rPr>
          <w:rStyle w:val="FootnoteReference"/>
          <w:rFonts w:asciiTheme="minorHAnsi" w:hAnsiTheme="minorHAnsi" w:cstheme="minorHAnsi"/>
        </w:rPr>
        <w:footnoteReference w:id="217"/>
      </w:r>
      <w:r w:rsidRPr="00847BE3">
        <w:rPr>
          <w:rFonts w:asciiTheme="minorHAnsi" w:hAnsiTheme="minorHAnsi" w:cstheme="minorHAnsi"/>
        </w:rPr>
        <w:t>. EKII arī tiks iekļauts viss tas finanšu līdzekļu apjoms, kas tiks atgūts no nerealizētajiem projektiem KPFI ietvaros. Tādējādi, ja EKII uzkrājums turpinās saglabāties esošajā līmenī, EKII periodā līdz 2030.gadam varētu būt pieejams līdz 622 milj.EUR.</w:t>
      </w:r>
    </w:p>
    <w:p w14:paraId="70FDEAC5" w14:textId="77777777" w:rsidR="00847BE3" w:rsidRPr="00847BE3" w:rsidRDefault="00847BE3" w:rsidP="00847BE3">
      <w:pPr>
        <w:pStyle w:val="naiskr"/>
        <w:spacing w:before="120" w:after="120"/>
        <w:jc w:val="both"/>
        <w:rPr>
          <w:rFonts w:asciiTheme="minorHAnsi" w:hAnsiTheme="minorHAnsi" w:cstheme="minorHAnsi"/>
        </w:rPr>
      </w:pPr>
      <w:r w:rsidRPr="00847BE3">
        <w:rPr>
          <w:rFonts w:asciiTheme="minorHAnsi" w:hAnsiTheme="minorHAnsi" w:cstheme="minorHAnsi"/>
        </w:rPr>
        <w:t>EKII ir izmantojams klimata pārmaiņu mazināšanas un pielāgošanās klimata pārmaiņām nodrošināšanai, t.sk. SEG emisiju samazināšanai vai ierobežošanai enerģētikas, rūpniecības, transporta, lauksaimniecības un atkritumu apsaimniekošanas nozarēs.</w:t>
      </w:r>
    </w:p>
    <w:p w14:paraId="58248C43" w14:textId="77777777" w:rsidR="00847BE3" w:rsidRPr="00847BE3" w:rsidRDefault="00847BE3" w:rsidP="00847BE3">
      <w:pPr>
        <w:autoSpaceDE w:val="0"/>
        <w:adjustRightInd w:val="0"/>
        <w:spacing w:before="120" w:after="120" w:line="240" w:lineRule="auto"/>
        <w:jc w:val="both"/>
        <w:rPr>
          <w:rFonts w:cstheme="minorHAnsi"/>
          <w:i/>
          <w:szCs w:val="24"/>
        </w:rPr>
      </w:pPr>
      <w:r w:rsidRPr="00847BE3">
        <w:rPr>
          <w:rFonts w:cstheme="minorHAnsi"/>
          <w:i/>
          <w:szCs w:val="24"/>
        </w:rPr>
        <w:t xml:space="preserve">Inovāciju fonds </w:t>
      </w:r>
    </w:p>
    <w:p w14:paraId="0D25DA8F" w14:textId="77777777" w:rsidR="00847BE3" w:rsidRPr="00847BE3" w:rsidRDefault="00847BE3" w:rsidP="00847BE3">
      <w:pPr>
        <w:autoSpaceDE w:val="0"/>
        <w:adjustRightInd w:val="0"/>
        <w:spacing w:before="120" w:after="120" w:line="240" w:lineRule="auto"/>
        <w:jc w:val="both"/>
        <w:rPr>
          <w:rFonts w:cstheme="minorHAnsi"/>
          <w:szCs w:val="24"/>
        </w:rPr>
      </w:pPr>
      <w:r w:rsidRPr="00847BE3">
        <w:rPr>
          <w:rFonts w:cstheme="minorHAnsi"/>
          <w:szCs w:val="24"/>
        </w:rPr>
        <w:t>Inovāciju fonda atbalsta programmas ietvaros tiek atbalstīti projekti, kuru mērķis ir CO</w:t>
      </w:r>
      <w:r w:rsidRPr="00847BE3">
        <w:rPr>
          <w:rFonts w:cstheme="minorHAnsi"/>
          <w:szCs w:val="24"/>
          <w:vertAlign w:val="subscript"/>
        </w:rPr>
        <w:t>2</w:t>
      </w:r>
      <w:r w:rsidRPr="00847BE3">
        <w:rPr>
          <w:rFonts w:cstheme="minorHAnsi"/>
          <w:szCs w:val="24"/>
        </w:rPr>
        <w:t xml:space="preserve"> uztveršana un ģeoloģiska uzglabāšana videi drošā veidā, inovatīvu AE tehnoloģiju demonstrējumu projekti, </w:t>
      </w:r>
      <w:r w:rsidRPr="00847BE3">
        <w:rPr>
          <w:rFonts w:cstheme="minorHAnsi"/>
        </w:rPr>
        <w:t xml:space="preserve">oglekļa uztveršana un izmantošanas projekti, inovatīvas AE un enerģijas uzglabāšanas tehnoloģiju projekti, inovatīvi projekti energoietilpīgās rūpnieciskās ražošanas sektorā, kas savu darbību uzsāks jau 2020. gadā. </w:t>
      </w:r>
      <w:r w:rsidRPr="00847BE3">
        <w:rPr>
          <w:rFonts w:cstheme="minorHAnsi"/>
          <w:szCs w:val="24"/>
        </w:rPr>
        <w:t xml:space="preserve">Latvijai būs pieejami Inovāciju fonda līdzekļi. Konkrētu Latvijai pieejamo finansējuma apjomu nav iespējams prognozēt, jo Inovāciju fonda līdzekļiem dalībvalstis pieteiksies pašas iepriekš izvērtējot un apstiprinot projektu iesniegšanu no projekta pieteicējiem valstī. </w:t>
      </w:r>
    </w:p>
    <w:p w14:paraId="003E48DD" w14:textId="77777777" w:rsidR="00847BE3" w:rsidRPr="00847BE3" w:rsidRDefault="00847BE3" w:rsidP="00847BE3">
      <w:pPr>
        <w:autoSpaceDE w:val="0"/>
        <w:adjustRightInd w:val="0"/>
        <w:spacing w:before="120" w:after="120" w:line="240" w:lineRule="auto"/>
        <w:jc w:val="both"/>
        <w:rPr>
          <w:rFonts w:cstheme="minorHAnsi"/>
          <w:i/>
          <w:szCs w:val="24"/>
        </w:rPr>
      </w:pPr>
      <w:r w:rsidRPr="00847BE3">
        <w:rPr>
          <w:rFonts w:cstheme="minorHAnsi"/>
          <w:i/>
          <w:szCs w:val="24"/>
        </w:rPr>
        <w:t>Modernizācijas fonds</w:t>
      </w:r>
    </w:p>
    <w:p w14:paraId="707E0080" w14:textId="77777777" w:rsidR="00847BE3" w:rsidRPr="00847BE3" w:rsidRDefault="00847BE3" w:rsidP="00847BE3">
      <w:pPr>
        <w:pStyle w:val="Standard"/>
        <w:spacing w:before="120" w:after="120"/>
        <w:jc w:val="both"/>
        <w:rPr>
          <w:rFonts w:asciiTheme="minorHAnsi" w:hAnsiTheme="minorHAnsi" w:cstheme="minorHAnsi"/>
        </w:rPr>
      </w:pPr>
      <w:r w:rsidRPr="00847BE3">
        <w:rPr>
          <w:rFonts w:asciiTheme="minorHAnsi" w:hAnsiTheme="minorHAnsi" w:cstheme="minorHAnsi"/>
        </w:rPr>
        <w:t>Modernizācijas fonda līdzekļi būs pieejami, lai finansētu energoefektivitātes uzlabošanas un enerģētikas sektora modernizācijas projektus (arī maza apmēra projektus) – investīcijas elektroenerģijas ražošanā un izmantošanā no atjaunojamiem avotiem, energoefektivitātes uzlabošanā, izņemot cietā fosilā kurināmā tehnoloģijas, enerģijas uzglabāšanā un energotīklu, tostarp CSA izmantoto cauruļvadu, un elektropārvades tīklu modernizēšanā un starpsavienojumu palielināšana starp dalībvalstīm. Finansējumu var piešķirt arī investīcijām energoefektivitātē transporta, ēku, lauksaimniecības un atkritumu apsaimniekošanas nozarēs. Latvijai projektu realizācijai maksimāli pieejami 1,44% no kopējā fonda apmēra, jeb aptuveni 4,464 milj. emisijas kvotu, kas 2018.gada septembra vidējās emisijas kvotu cenas – 25 EUR par emisijas kvotu var veidot līdz 112 milj.EUR apjomu.</w:t>
      </w:r>
    </w:p>
    <w:p w14:paraId="2CE633E0" w14:textId="77777777" w:rsidR="00847BE3" w:rsidRPr="00847BE3" w:rsidRDefault="00847BE3" w:rsidP="00847BE3">
      <w:pPr>
        <w:spacing w:before="120" w:after="120" w:line="240" w:lineRule="auto"/>
        <w:jc w:val="both"/>
        <w:rPr>
          <w:rFonts w:cstheme="minorHAnsi"/>
        </w:rPr>
      </w:pPr>
    </w:p>
    <w:p w14:paraId="21F1A75F" w14:textId="77777777" w:rsidR="00847BE3" w:rsidRPr="00847BE3" w:rsidRDefault="00847BE3" w:rsidP="00847BE3">
      <w:pPr>
        <w:spacing w:before="120" w:after="120" w:line="240" w:lineRule="auto"/>
        <w:sectPr w:rsidR="00847BE3" w:rsidRPr="00847BE3" w:rsidSect="00DD44D5">
          <w:pgSz w:w="11906" w:h="16838" w:code="9"/>
          <w:pgMar w:top="1418" w:right="1134" w:bottom="1134" w:left="1701" w:header="567" w:footer="567" w:gutter="0"/>
          <w:cols w:space="708"/>
          <w:docGrid w:linePitch="360"/>
        </w:sectPr>
      </w:pPr>
    </w:p>
    <w:p w14:paraId="77EEC80D" w14:textId="77777777" w:rsidR="00847BE3" w:rsidRPr="00847BE3" w:rsidRDefault="00847BE3" w:rsidP="001E38CE">
      <w:pPr>
        <w:pStyle w:val="Heading1"/>
      </w:pPr>
      <w:bookmarkStart w:id="633" w:name="_Toc10527222"/>
      <w:bookmarkStart w:id="634" w:name="_Toc23245837"/>
      <w:bookmarkStart w:id="635" w:name="_Toc23246044"/>
      <w:bookmarkStart w:id="636" w:name="_Toc24408081"/>
      <w:bookmarkStart w:id="637" w:name="_Toc24408132"/>
      <w:r w:rsidRPr="00847BE3">
        <w:t>PLĀNA PĀRSKATS UN ATJAUNINĀŠANA</w:t>
      </w:r>
      <w:bookmarkEnd w:id="633"/>
      <w:bookmarkEnd w:id="634"/>
      <w:bookmarkEnd w:id="635"/>
      <w:bookmarkEnd w:id="636"/>
      <w:bookmarkEnd w:id="637"/>
    </w:p>
    <w:p w14:paraId="1E7D863F" w14:textId="77777777" w:rsidR="00847BE3" w:rsidRPr="00847BE3" w:rsidRDefault="00847BE3" w:rsidP="00847BE3">
      <w:pPr>
        <w:spacing w:before="120" w:after="120" w:line="240" w:lineRule="auto"/>
        <w:jc w:val="both"/>
        <w:rPr>
          <w:rFonts w:eastAsia="Calibri" w:cs="Times New Roman"/>
        </w:rPr>
      </w:pPr>
      <w:r w:rsidRPr="00847BE3">
        <w:rPr>
          <w:rFonts w:cs="Times New Roman"/>
          <w:lang w:eastAsia="lv-LV"/>
        </w:rPr>
        <w:t>Saskaņā ar Regulas 2018/1999 14.pantu</w:t>
      </w:r>
      <w:r w:rsidRPr="00847BE3">
        <w:rPr>
          <w:rFonts w:eastAsia="Calibri" w:cs="Times New Roman"/>
        </w:rPr>
        <w:t xml:space="preserve"> Latvijai līdz 2023.gada 30.jūnija ir jāsagatavo un jāiesniedz EK Plāna atjauninājuma projekts vai arī jāsniedz EK argumentēts pamatojums, kāpēc Plāna atjaunināšana nav nepieciešama. Savukārt līdz 2024.gada 30.jūnijam Latvijai ir jāiesniedz EK Plāna atjauninājuma galaversiju, ja Latvija nav sniegusi argumentētu pamatojumu par to, ka nav nepieciešams atjaunināt Plānu vai arī EK ir novērtējusi, ka iepriekš sniegtie argumenti nav pamatoti. Plāna atjaunināšanas.</w:t>
      </w:r>
    </w:p>
    <w:p w14:paraId="5093EB8A" w14:textId="77777777" w:rsidR="00847BE3" w:rsidRPr="00847BE3" w:rsidRDefault="00847BE3" w:rsidP="00847BE3">
      <w:pPr>
        <w:spacing w:before="120" w:after="120" w:line="240" w:lineRule="auto"/>
        <w:jc w:val="both"/>
        <w:rPr>
          <w:rFonts w:cs="Times New Roman"/>
        </w:rPr>
      </w:pPr>
      <w:r w:rsidRPr="00847BE3">
        <w:rPr>
          <w:rFonts w:eastAsia="Calibri" w:cs="Times New Roman"/>
        </w:rPr>
        <w:t xml:space="preserve">Saskaņā ar </w:t>
      </w:r>
      <w:r w:rsidRPr="00847BE3">
        <w:rPr>
          <w:rFonts w:cs="Times New Roman"/>
          <w:lang w:eastAsia="lv-LV"/>
        </w:rPr>
        <w:t xml:space="preserve">Regulu 2018/1999 </w:t>
      </w:r>
      <w:r w:rsidRPr="00847BE3">
        <w:rPr>
          <w:rFonts w:eastAsia="Calibri" w:cs="Times New Roman"/>
        </w:rPr>
        <w:t xml:space="preserve">Plānā iekļautos nacionālos mērķrādītājus, mērķus vai piedāvātos devumus Plāna atjauninājumā var mainīt tā, lai tie būtu līdzvērtīgi vai būtu ambiciozāki par tiem, kas izvirzīti Plāna spēkā esošajā Plānā. Plāna atjauninājumā ir jāņem vērā jaunākie EK ieteikumi un ieteikumi, kas Latvijai ir sniegti </w:t>
      </w:r>
      <w:r w:rsidRPr="00847BE3">
        <w:rPr>
          <w:rFonts w:cs="Times New Roman"/>
        </w:rPr>
        <w:t xml:space="preserve">Eiropas pusgada kontekstā, kā arī pienākumus, kas izriet no Parīzes nolīguma. </w:t>
      </w:r>
      <w:r w:rsidRPr="00847BE3">
        <w:rPr>
          <w:rFonts w:eastAsia="Calibri" w:cs="Times New Roman"/>
        </w:rPr>
        <w:t xml:space="preserve">Plāna atjauninājumā ir jācenšas </w:t>
      </w:r>
      <w:r w:rsidRPr="00847BE3">
        <w:rPr>
          <w:rFonts w:cs="Times New Roman"/>
        </w:rPr>
        <w:t>mazināt jebkādu negatīvu ietekmi uz vidi, kas konstatēta integrētajā ziņošanā, kas noteikta Plāna 6. nodaļā.</w:t>
      </w:r>
    </w:p>
    <w:p w14:paraId="55BFE001" w14:textId="77777777" w:rsidR="00847BE3" w:rsidRPr="00847BE3" w:rsidRDefault="00847BE3" w:rsidP="00847BE3">
      <w:pPr>
        <w:spacing w:before="120" w:after="120" w:line="240" w:lineRule="auto"/>
        <w:jc w:val="both"/>
        <w:rPr>
          <w:rFonts w:cs="Times New Roman"/>
          <w:bCs/>
        </w:rPr>
      </w:pPr>
      <w:r w:rsidRPr="00847BE3">
        <w:rPr>
          <w:rFonts w:cs="Times New Roman"/>
        </w:rPr>
        <w:t xml:space="preserve">Tomēr Latvija var pati jebkurā laikā </w:t>
      </w:r>
      <w:r w:rsidRPr="00847BE3">
        <w:rPr>
          <w:rFonts w:cs="Times New Roman"/>
          <w:bCs/>
        </w:rPr>
        <w:t>izdarīt izmaiņas un pielāgojumus nacionālajās rīcībpolitikās, kas izklāstītas Plānā ar nosacījumi, ka šādas izmaiņas un pielāgojumi tiek iekļauti šī Plāna 6.nodaļā minētajā integrētajā ziņojumā.</w:t>
      </w:r>
    </w:p>
    <w:p w14:paraId="3D015C28" w14:textId="77777777" w:rsidR="00847BE3" w:rsidRPr="00847BE3" w:rsidRDefault="00847BE3" w:rsidP="00847BE3">
      <w:pPr>
        <w:spacing w:before="120" w:after="120" w:line="240" w:lineRule="auto"/>
        <w:jc w:val="both"/>
        <w:rPr>
          <w:rFonts w:cs="Times New Roman"/>
          <w:bCs/>
        </w:rPr>
      </w:pPr>
      <w:r w:rsidRPr="00847BE3">
        <w:rPr>
          <w:rFonts w:cs="Times New Roman"/>
          <w:bCs/>
        </w:rPr>
        <w:t xml:space="preserve">Ir saprotams, ka Plāna aktualizācija, iespējams periodā pirms </w:t>
      </w:r>
      <w:r w:rsidRPr="00847BE3">
        <w:rPr>
          <w:rFonts w:cs="Times New Roman"/>
          <w:lang w:eastAsia="lv-LV"/>
        </w:rPr>
        <w:t>Regulas 2018/1999 14.pantā</w:t>
      </w:r>
      <w:r w:rsidRPr="00847BE3">
        <w:rPr>
          <w:rFonts w:eastAsia="Calibri" w:cs="Times New Roman"/>
        </w:rPr>
        <w:t xml:space="preserve"> noteiktā pirmā aktualizācijas termiņa, </w:t>
      </w:r>
      <w:r w:rsidRPr="00847BE3">
        <w:rPr>
          <w:rFonts w:cs="Times New Roman"/>
          <w:bCs/>
        </w:rPr>
        <w:t>būs nepieciešama, jo:</w:t>
      </w:r>
    </w:p>
    <w:p w14:paraId="7839438B" w14:textId="77777777" w:rsidR="00847BE3" w:rsidRPr="00847BE3" w:rsidRDefault="00847BE3" w:rsidP="00847BE3">
      <w:pPr>
        <w:pStyle w:val="ListParagraph"/>
        <w:numPr>
          <w:ilvl w:val="0"/>
          <w:numId w:val="43"/>
        </w:numPr>
        <w:spacing w:before="120" w:after="120" w:line="240" w:lineRule="auto"/>
        <w:ind w:left="397" w:hanging="397"/>
        <w:contextualSpacing w:val="0"/>
        <w:jc w:val="both"/>
        <w:rPr>
          <w:rFonts w:cs="Times New Roman"/>
        </w:rPr>
      </w:pPr>
      <w:r w:rsidRPr="00847BE3">
        <w:rPr>
          <w:rFonts w:cs="Times New Roman"/>
        </w:rPr>
        <w:t>Vēl nav apstiprināts LNAP2027;</w:t>
      </w:r>
    </w:p>
    <w:p w14:paraId="47E1239B" w14:textId="77777777" w:rsidR="00847BE3" w:rsidRPr="00847BE3" w:rsidRDefault="00847BE3" w:rsidP="00847BE3">
      <w:pPr>
        <w:pStyle w:val="ListParagraph"/>
        <w:numPr>
          <w:ilvl w:val="0"/>
          <w:numId w:val="43"/>
        </w:numPr>
        <w:spacing w:before="120" w:after="120" w:line="240" w:lineRule="auto"/>
        <w:ind w:left="397" w:hanging="397"/>
        <w:contextualSpacing w:val="0"/>
        <w:jc w:val="both"/>
        <w:rPr>
          <w:rFonts w:cs="Times New Roman"/>
        </w:rPr>
      </w:pPr>
      <w:r w:rsidRPr="00847BE3">
        <w:rPr>
          <w:rFonts w:cs="Times New Roman"/>
        </w:rPr>
        <w:t>Vēl nav apstiprināts ES fondu regulējums;</w:t>
      </w:r>
    </w:p>
    <w:p w14:paraId="231FD1BE" w14:textId="77777777" w:rsidR="00847BE3" w:rsidRPr="00847BE3" w:rsidRDefault="00847BE3" w:rsidP="00847BE3">
      <w:pPr>
        <w:pStyle w:val="ListParagraph"/>
        <w:numPr>
          <w:ilvl w:val="0"/>
          <w:numId w:val="43"/>
        </w:numPr>
        <w:spacing w:before="120" w:after="120" w:line="240" w:lineRule="auto"/>
        <w:ind w:left="397" w:hanging="397"/>
        <w:contextualSpacing w:val="0"/>
        <w:jc w:val="both"/>
        <w:rPr>
          <w:rFonts w:cs="Times New Roman"/>
        </w:rPr>
      </w:pPr>
      <w:r w:rsidRPr="00847BE3">
        <w:rPr>
          <w:rFonts w:cs="Times New Roman"/>
        </w:rPr>
        <w:t>Tikai pēc LNAP2027 un ES fondu regulējuma apstiprināšanas tiks izstrādāts normatīvais regulējums ES fondu finansējuma sadalei – ES fondu ietvara likums un ES fondu finansējuma darbības programmas (MK noteikumi);</w:t>
      </w:r>
    </w:p>
    <w:p w14:paraId="16BE3719" w14:textId="77777777" w:rsidR="00847BE3" w:rsidRPr="00847BE3" w:rsidRDefault="00847BE3" w:rsidP="00847BE3">
      <w:pPr>
        <w:pStyle w:val="ListParagraph"/>
        <w:numPr>
          <w:ilvl w:val="0"/>
          <w:numId w:val="43"/>
        </w:numPr>
        <w:spacing w:before="120" w:after="120" w:line="240" w:lineRule="auto"/>
        <w:ind w:left="397" w:hanging="397"/>
        <w:contextualSpacing w:val="0"/>
        <w:jc w:val="both"/>
        <w:rPr>
          <w:rFonts w:cs="Times New Roman"/>
        </w:rPr>
      </w:pPr>
      <w:r w:rsidRPr="00847BE3">
        <w:rPr>
          <w:rFonts w:cs="Times New Roman"/>
        </w:rPr>
        <w:t>Drīzumā tiks uzsākts darbs pie nepieciešamās informācijas un datu sagatavošanas jaunajai Latvijas nacionālajai reformu programmai periodam pēc 2021.gada;</w:t>
      </w:r>
    </w:p>
    <w:p w14:paraId="1A548217" w14:textId="77777777" w:rsidR="00847BE3" w:rsidRPr="00847BE3" w:rsidRDefault="00847BE3" w:rsidP="00847BE3">
      <w:pPr>
        <w:pStyle w:val="ListParagraph"/>
        <w:numPr>
          <w:ilvl w:val="0"/>
          <w:numId w:val="43"/>
        </w:numPr>
        <w:spacing w:before="120" w:after="120" w:line="240" w:lineRule="auto"/>
        <w:ind w:left="397" w:hanging="397"/>
        <w:contextualSpacing w:val="0"/>
        <w:jc w:val="both"/>
        <w:rPr>
          <w:rFonts w:cs="Times New Roman"/>
        </w:rPr>
      </w:pPr>
      <w:r w:rsidRPr="00847BE3">
        <w:rPr>
          <w:rFonts w:cs="Times New Roman"/>
        </w:rPr>
        <w:t>Tuvākajos 2 gados pēc Plāna apstiprināšanas Latvijā un EK periodam pēc 2021.gada tiks izstrādāti vairāki jauni vai aktualizēti esošie nozaru plānošanas dokumenti, tai skaitā Vides politikas pamatnostādnes, Kopējās lauksaimniecības politikas stratēģiskais plāns, Ēku atjaunošanas ilgtermiņa stratēģija, Meža un saistīto nozaru attīstības pamatnostādnes, Transporta attīstības pamatnostādnes, Nacionālās industriālās politikas pamatnostādnes, Zinātnes, tehnoloģiju attīstības un inovācijas pamatnostādnes (tai skaitā, viedās specializācijas stratēģija).</w:t>
      </w:r>
    </w:p>
    <w:p w14:paraId="370F7530" w14:textId="4A3E292D" w:rsidR="00847BE3" w:rsidRDefault="00847BE3" w:rsidP="00847BE3">
      <w:pPr>
        <w:spacing w:before="120" w:after="120" w:line="240" w:lineRule="auto"/>
        <w:jc w:val="both"/>
        <w:rPr>
          <w:rFonts w:cs="Times New Roman"/>
        </w:rPr>
      </w:pPr>
      <w:r w:rsidRPr="00847BE3">
        <w:rPr>
          <w:rFonts w:cs="Times New Roman"/>
        </w:rPr>
        <w:t xml:space="preserve">Līdz ar to ir secināms, ka Plānā iekļauto rīcības virzienu īstenošanas pasākumu un īpaši tam noteiktā finansējuma apjoma un finansējuma avota pārskats būs nepieciešams periodā pēc 2021.gada. </w:t>
      </w:r>
    </w:p>
    <w:p w14:paraId="4DBE7060" w14:textId="1DE9E23A" w:rsidR="00FD23B9" w:rsidRDefault="00FD23B9" w:rsidP="00847BE3">
      <w:pPr>
        <w:spacing w:before="120" w:after="120" w:line="240" w:lineRule="auto"/>
        <w:jc w:val="both"/>
        <w:rPr>
          <w:rFonts w:cs="Times New Roman"/>
        </w:rPr>
      </w:pPr>
    </w:p>
    <w:p w14:paraId="4822B662" w14:textId="776A37CE" w:rsidR="00FD23B9" w:rsidRDefault="00FD23B9" w:rsidP="00FD23B9">
      <w:pPr>
        <w:tabs>
          <w:tab w:val="left" w:pos="7230"/>
        </w:tabs>
        <w:jc w:val="both"/>
        <w:rPr>
          <w:sz w:val="28"/>
          <w:szCs w:val="28"/>
        </w:rPr>
      </w:pPr>
      <w:r>
        <w:rPr>
          <w:sz w:val="28"/>
          <w:szCs w:val="28"/>
        </w:rPr>
        <w:t>Ekonomikas ministrs</w:t>
      </w:r>
      <w:r>
        <w:rPr>
          <w:sz w:val="28"/>
          <w:szCs w:val="28"/>
        </w:rPr>
        <w:tab/>
      </w:r>
      <w:r>
        <w:rPr>
          <w:sz w:val="28"/>
          <w:szCs w:val="28"/>
        </w:rPr>
        <w:tab/>
        <w:t>R. Nemiro</w:t>
      </w:r>
    </w:p>
    <w:p w14:paraId="76BBA2A4" w14:textId="77777777" w:rsidR="00FD23B9" w:rsidRDefault="00FD23B9" w:rsidP="00FD23B9">
      <w:pPr>
        <w:tabs>
          <w:tab w:val="left" w:pos="7230"/>
        </w:tabs>
        <w:rPr>
          <w:sz w:val="28"/>
          <w:szCs w:val="28"/>
        </w:rPr>
      </w:pPr>
    </w:p>
    <w:p w14:paraId="175B7401" w14:textId="700DB35A" w:rsidR="00FD23B9" w:rsidRDefault="00FD23B9" w:rsidP="00FD23B9">
      <w:pPr>
        <w:tabs>
          <w:tab w:val="left" w:pos="7230"/>
        </w:tabs>
        <w:rPr>
          <w:rFonts w:cstheme="minorHAnsi"/>
        </w:rPr>
      </w:pPr>
      <w:r>
        <w:rPr>
          <w:sz w:val="28"/>
          <w:szCs w:val="28"/>
        </w:rPr>
        <w:t>Valsts sekretārs</w:t>
      </w:r>
      <w:r>
        <w:rPr>
          <w:sz w:val="28"/>
          <w:szCs w:val="28"/>
        </w:rPr>
        <w:tab/>
      </w:r>
      <w:r>
        <w:rPr>
          <w:sz w:val="28"/>
          <w:szCs w:val="28"/>
        </w:rPr>
        <w:tab/>
        <w:t>Ē.Eglītis</w:t>
      </w:r>
    </w:p>
    <w:p w14:paraId="30988C42" w14:textId="77777777" w:rsidR="00FD23B9" w:rsidRPr="00847BE3" w:rsidRDefault="00FD23B9" w:rsidP="00847BE3">
      <w:pPr>
        <w:spacing w:before="120" w:after="120" w:line="240" w:lineRule="auto"/>
        <w:jc w:val="both"/>
        <w:rPr>
          <w:rFonts w:cs="Times New Roman"/>
        </w:rPr>
      </w:pPr>
    </w:p>
    <w:sectPr w:rsidR="00FD23B9" w:rsidRPr="00847BE3" w:rsidSect="00DD44D5">
      <w:pgSz w:w="11906" w:h="16838" w:code="9"/>
      <w:pgMar w:top="1418" w:right="1134"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6AFF04" w14:textId="77777777" w:rsidR="004458DE" w:rsidRDefault="004458DE" w:rsidP="00DD44D5">
      <w:pPr>
        <w:spacing w:after="0" w:line="240" w:lineRule="auto"/>
      </w:pPr>
      <w:r>
        <w:separator/>
      </w:r>
    </w:p>
  </w:endnote>
  <w:endnote w:type="continuationSeparator" w:id="0">
    <w:p w14:paraId="5342D404" w14:textId="77777777" w:rsidR="004458DE" w:rsidRDefault="004458DE" w:rsidP="00DD4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EC Square Sans Pro">
    <w:altName w:val="Calibri"/>
    <w:panose1 w:val="00000000000000000000"/>
    <w:charset w:val="00"/>
    <w:family w:val="swiss"/>
    <w:notTrueType/>
    <w:pitch w:val="default"/>
    <w:sig w:usb0="00000007" w:usb1="00000000" w:usb2="00000000" w:usb3="00000000" w:csb0="00000003"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12E63" w14:textId="46A9F3C8" w:rsidR="007A7EAC" w:rsidRPr="00F45E73" w:rsidRDefault="007A7EAC">
    <w:pPr>
      <w:pStyle w:val="Footer"/>
      <w:rPr>
        <w:sz w:val="20"/>
        <w:szCs w:val="20"/>
      </w:rPr>
    </w:pPr>
    <w:r w:rsidRPr="00F45E73">
      <w:rPr>
        <w:sz w:val="20"/>
        <w:szCs w:val="20"/>
      </w:rPr>
      <w:fldChar w:fldCharType="begin"/>
    </w:r>
    <w:r w:rsidRPr="00F45E73">
      <w:rPr>
        <w:sz w:val="20"/>
        <w:szCs w:val="20"/>
      </w:rPr>
      <w:instrText xml:space="preserve"> FILENAME   \* MERGEFORMAT </w:instrText>
    </w:r>
    <w:r w:rsidRPr="00F45E73">
      <w:rPr>
        <w:sz w:val="20"/>
        <w:szCs w:val="20"/>
      </w:rPr>
      <w:fldChar w:fldCharType="separate"/>
    </w:r>
    <w:r w:rsidR="00BB4D42">
      <w:rPr>
        <w:noProof/>
        <w:sz w:val="20"/>
        <w:szCs w:val="20"/>
      </w:rPr>
      <w:t>EMPl_11112019_NEKP2030.docx</w:t>
    </w:r>
    <w:r w:rsidRPr="00F45E73">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E59DB" w14:textId="24AB0E34" w:rsidR="007A7EAC" w:rsidRPr="00F45E73" w:rsidRDefault="007A7EAC">
    <w:pPr>
      <w:pStyle w:val="Footer"/>
      <w:rPr>
        <w:sz w:val="20"/>
        <w:szCs w:val="20"/>
      </w:rPr>
    </w:pPr>
    <w:r w:rsidRPr="00F45E73">
      <w:rPr>
        <w:sz w:val="20"/>
        <w:szCs w:val="20"/>
      </w:rPr>
      <w:fldChar w:fldCharType="begin"/>
    </w:r>
    <w:r w:rsidRPr="00F45E73">
      <w:rPr>
        <w:sz w:val="20"/>
        <w:szCs w:val="20"/>
      </w:rPr>
      <w:instrText xml:space="preserve"> FILENAME   \* MERGEFORMAT </w:instrText>
    </w:r>
    <w:r w:rsidRPr="00F45E73">
      <w:rPr>
        <w:sz w:val="20"/>
        <w:szCs w:val="20"/>
      </w:rPr>
      <w:fldChar w:fldCharType="separate"/>
    </w:r>
    <w:r w:rsidR="00BB4D42">
      <w:rPr>
        <w:noProof/>
        <w:sz w:val="20"/>
        <w:szCs w:val="20"/>
      </w:rPr>
      <w:t>EMPl_11112019_NEKP2030.docx</w:t>
    </w:r>
    <w:r w:rsidRPr="00F45E73">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436EB7" w14:textId="77777777" w:rsidR="004458DE" w:rsidRDefault="004458DE" w:rsidP="00DD44D5">
      <w:pPr>
        <w:spacing w:after="0" w:line="240" w:lineRule="auto"/>
      </w:pPr>
      <w:r>
        <w:separator/>
      </w:r>
    </w:p>
  </w:footnote>
  <w:footnote w:type="continuationSeparator" w:id="0">
    <w:p w14:paraId="525EECD2" w14:textId="77777777" w:rsidR="004458DE" w:rsidRDefault="004458DE" w:rsidP="00DD44D5">
      <w:pPr>
        <w:spacing w:after="0" w:line="240" w:lineRule="auto"/>
      </w:pPr>
      <w:r>
        <w:continuationSeparator/>
      </w:r>
    </w:p>
  </w:footnote>
  <w:footnote w:id="1">
    <w:p w14:paraId="7FFDAF99"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1" w:history="1">
        <w:r w:rsidRPr="00A45809">
          <w:rPr>
            <w:rStyle w:val="Hyperlink"/>
            <w:rFonts w:asciiTheme="minorHAnsi" w:hAnsiTheme="minorHAnsi" w:cstheme="minorHAnsi"/>
          </w:rPr>
          <w:t>https://likumi.lv/ta/id/281943-par-valdibas-ricibas-planu-deklaracijas-par-mara-kucinska-vadita-ministru-kabineta-iecereto-darbibu-istenosanai</w:t>
        </w:r>
      </w:hyperlink>
      <w:r w:rsidRPr="00A45809">
        <w:rPr>
          <w:rFonts w:asciiTheme="minorHAnsi" w:hAnsiTheme="minorHAnsi" w:cstheme="minorHAnsi"/>
        </w:rPr>
        <w:t xml:space="preserve"> </w:t>
      </w:r>
    </w:p>
  </w:footnote>
  <w:footnote w:id="2">
    <w:p w14:paraId="42467B2A"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 w:history="1">
        <w:r w:rsidRPr="00A45809">
          <w:rPr>
            <w:rStyle w:val="Hyperlink"/>
            <w:rFonts w:asciiTheme="minorHAnsi" w:hAnsiTheme="minorHAnsi" w:cstheme="minorHAnsi"/>
          </w:rPr>
          <w:t>https://likumi.lv/ta/id/306691-par-valdibas-ricibas-planu-deklaracijas-par-artura-krisjana-karina-vadita-ministru-kabineta-iecereto-darbibu-istenosanai</w:t>
        </w:r>
      </w:hyperlink>
    </w:p>
  </w:footnote>
  <w:footnote w:id="3">
    <w:p w14:paraId="24EFDA65"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3" w:history="1">
        <w:r w:rsidRPr="00A45809">
          <w:rPr>
            <w:rStyle w:val="Hyperlink"/>
            <w:rFonts w:asciiTheme="minorHAnsi" w:hAnsiTheme="minorHAnsi" w:cstheme="minorHAnsi"/>
          </w:rPr>
          <w:t>http://data.consilium.europa.eu/doc/document/ST-169-2014-INIT/lv/pdf</w:t>
        </w:r>
      </w:hyperlink>
      <w:r w:rsidRPr="00A45809">
        <w:rPr>
          <w:rFonts w:asciiTheme="minorHAnsi" w:hAnsiTheme="minorHAnsi" w:cstheme="minorHAnsi"/>
        </w:rPr>
        <w:t xml:space="preserve"> </w:t>
      </w:r>
    </w:p>
  </w:footnote>
  <w:footnote w:id="4">
    <w:p w14:paraId="209A09E5"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4" w:history="1">
        <w:r w:rsidRPr="00A45809">
          <w:rPr>
            <w:rStyle w:val="Hyperlink"/>
            <w:rFonts w:asciiTheme="minorHAnsi" w:hAnsiTheme="minorHAnsi" w:cstheme="minorHAnsi"/>
          </w:rPr>
          <w:t>http://data.consilium.europa.eu/doc/document/ST-14459-2015-INIT/lv/pdf</w:t>
        </w:r>
      </w:hyperlink>
      <w:r w:rsidRPr="00A45809">
        <w:rPr>
          <w:rFonts w:asciiTheme="minorHAnsi" w:hAnsiTheme="minorHAnsi" w:cstheme="minorHAnsi"/>
        </w:rPr>
        <w:t xml:space="preserve"> </w:t>
      </w:r>
    </w:p>
  </w:footnote>
  <w:footnote w:id="5">
    <w:p w14:paraId="507A485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5" w:history="1">
        <w:r w:rsidRPr="00A45809">
          <w:rPr>
            <w:rStyle w:val="Hyperlink"/>
            <w:rFonts w:asciiTheme="minorHAnsi" w:hAnsiTheme="minorHAnsi" w:cstheme="minorHAnsi"/>
          </w:rPr>
          <w:t>https://eur-lex.europa.eu/legal-content/LV/TXT/PDF/?uri=CELEX:32018R1999&amp;from=EN</w:t>
        </w:r>
      </w:hyperlink>
      <w:r w:rsidRPr="00A45809">
        <w:rPr>
          <w:rFonts w:asciiTheme="minorHAnsi" w:hAnsiTheme="minorHAnsi" w:cstheme="minorHAnsi"/>
        </w:rPr>
        <w:t xml:space="preserve"> </w:t>
      </w:r>
    </w:p>
  </w:footnote>
  <w:footnote w:id="6">
    <w:p w14:paraId="7E35391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6" w:history="1">
        <w:r w:rsidRPr="00A45809">
          <w:rPr>
            <w:rStyle w:val="Hyperlink"/>
            <w:rFonts w:asciiTheme="minorHAnsi" w:hAnsiTheme="minorHAnsi" w:cstheme="minorHAnsi"/>
          </w:rPr>
          <w:t>https://eur-lex.europa.eu/legal-content/LV/TXT/PDF/?uri=CELEX:32018R1999&amp;from=LV</w:t>
        </w:r>
      </w:hyperlink>
    </w:p>
  </w:footnote>
  <w:footnote w:id="7">
    <w:p w14:paraId="5ADD311A"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7" w:history="1">
        <w:r w:rsidRPr="00A45809">
          <w:rPr>
            <w:rStyle w:val="Hyperlink"/>
            <w:rFonts w:asciiTheme="minorHAnsi" w:hAnsiTheme="minorHAnsi" w:cstheme="minorHAnsi"/>
          </w:rPr>
          <w:t>https://ec.europa.eu/clima/sites/clima/files/docs/pages/com_2018_733_en.pdf</w:t>
        </w:r>
      </w:hyperlink>
      <w:r w:rsidRPr="00A45809">
        <w:rPr>
          <w:rFonts w:asciiTheme="minorHAnsi" w:hAnsiTheme="minorHAnsi" w:cstheme="minorHAnsi"/>
        </w:rPr>
        <w:t xml:space="preserve"> </w:t>
      </w:r>
    </w:p>
  </w:footnote>
  <w:footnote w:id="8">
    <w:p w14:paraId="72B1A05D" w14:textId="07472EE6"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normālrakstā iekļauti jau šobrīd spēkā esošie mērķi, kas ir noteikti saistošos ES tiesību aktos, citos Latvijas politikas plānošanas dokumentos vai tiesību aktos, slīprakstā ir atzīmēti Plānā nosakāmie indikatīvie mērķi, treknrakstā ir atzīmēti Plānā nosakāmie saistošie mērķi</w:t>
      </w:r>
    </w:p>
  </w:footnote>
  <w:footnote w:id="9">
    <w:p w14:paraId="2361FB89"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KEP2020 un pakārtotie ES tiesību akti vai KEPS2030</w:t>
      </w:r>
    </w:p>
  </w:footnote>
  <w:footnote w:id="10">
    <w:p w14:paraId="00FB720B"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KEPS2030 un pakārtotie ES tiesību akti</w:t>
      </w:r>
    </w:p>
  </w:footnote>
  <w:footnote w:id="11">
    <w:p w14:paraId="5A48B151" w14:textId="72E6F00F"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moderno biodegvielu un biogāzes – biodegvielu un biogāzes, kas ražotas no </w:t>
      </w:r>
      <w:r w:rsidRPr="00A45809">
        <w:rPr>
          <w:rFonts w:asciiTheme="minorHAnsi" w:hAnsiTheme="minorHAnsi" w:cstheme="minorHAnsi"/>
          <w:bCs/>
        </w:rPr>
        <w:t xml:space="preserve">Direktīvas 2018/2001 IX pielikuma A daļā uzskaitītajām izejvielām, AER elektroenerģijas, un citas biodegvielas, kas nav biodegvielas, bioloģiskais šķidrais kurināmais vai biomasas degvielas, kas ražotas no pārtikas vai dzīvnieku barības kultūraugiem, </w:t>
      </w:r>
      <w:r w:rsidRPr="00A45809">
        <w:rPr>
          <w:rFonts w:asciiTheme="minorHAnsi" w:hAnsiTheme="minorHAnsi" w:cstheme="minorHAnsi"/>
        </w:rPr>
        <w:t>izmantošanas mērķis</w:t>
      </w:r>
    </w:p>
  </w:footnote>
  <w:footnote w:id="12">
    <w:p w14:paraId="4952B71C"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2016.g. apjoms</w:t>
      </w:r>
    </w:p>
  </w:footnote>
  <w:footnote w:id="13">
    <w:p w14:paraId="05477FF9"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8" w:history="1">
        <w:r w:rsidRPr="00A45809">
          <w:rPr>
            <w:rStyle w:val="Hyperlink"/>
            <w:rFonts w:asciiTheme="minorHAnsi" w:hAnsiTheme="minorHAnsi" w:cstheme="minorHAnsi"/>
          </w:rPr>
          <w:t>https://eur-lex.europa.eu/legal-content/LV/TXT/PDF/?uri=CELEX:52011DC0112&amp;from=LV</w:t>
        </w:r>
      </w:hyperlink>
      <w:r w:rsidRPr="00A45809">
        <w:rPr>
          <w:rFonts w:asciiTheme="minorHAnsi" w:hAnsiTheme="minorHAnsi" w:cstheme="minorHAnsi"/>
        </w:rPr>
        <w:t xml:space="preserve"> </w:t>
      </w:r>
    </w:p>
  </w:footnote>
  <w:footnote w:id="14">
    <w:p w14:paraId="2305276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https://eur-lex.europa.eu/legal-content/EN/TXT/?qid=1485341914564&amp;uri=CELEX:52016DC0860%2801%29</w:t>
      </w:r>
    </w:p>
  </w:footnote>
  <w:footnote w:id="15">
    <w:p w14:paraId="17C4AFB9"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9" w:history="1">
        <w:r w:rsidRPr="00A45809">
          <w:rPr>
            <w:rStyle w:val="Hyperlink"/>
            <w:rFonts w:asciiTheme="minorHAnsi" w:hAnsiTheme="minorHAnsi" w:cstheme="minorHAnsi"/>
          </w:rPr>
          <w:t>http://polsis.mk.gov.lv/documents/3323</w:t>
        </w:r>
      </w:hyperlink>
      <w:r w:rsidRPr="00A45809">
        <w:rPr>
          <w:rFonts w:asciiTheme="minorHAnsi" w:hAnsiTheme="minorHAnsi" w:cstheme="minorHAnsi"/>
        </w:rPr>
        <w:t xml:space="preserve"> </w:t>
      </w:r>
    </w:p>
  </w:footnote>
  <w:footnote w:id="16">
    <w:p w14:paraId="6F960CD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datu avots: EUROSTAT</w:t>
      </w:r>
    </w:p>
  </w:footnote>
  <w:footnote w:id="17">
    <w:p w14:paraId="6A78977C"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eastAsia="Calibri" w:hAnsiTheme="minorHAnsi" w:cstheme="minorHAnsi"/>
        </w:rPr>
        <w:t>CSP</w:t>
      </w:r>
    </w:p>
  </w:footnote>
  <w:footnote w:id="18">
    <w:p w14:paraId="2F584D2F"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neto importa īpatsvars visā energoresursu patēriņā</w:t>
      </w:r>
    </w:p>
  </w:footnote>
  <w:footnote w:id="19">
    <w:p w14:paraId="6995D57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Datu avots: EUROSTAT</w:t>
      </w:r>
    </w:p>
  </w:footnote>
  <w:footnote w:id="20">
    <w:p w14:paraId="342A5A4B"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Datu avots: EUROSTAT</w:t>
      </w:r>
    </w:p>
  </w:footnote>
  <w:footnote w:id="21">
    <w:p w14:paraId="57D6CDF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10" w:history="1">
        <w:r w:rsidRPr="00A45809">
          <w:rPr>
            <w:rStyle w:val="Hyperlink"/>
            <w:rFonts w:asciiTheme="minorHAnsi" w:hAnsiTheme="minorHAnsi" w:cstheme="minorHAnsi"/>
          </w:rPr>
          <w:t>https://eur-lex.europa.eu/legal-content/LV/TXT/PDF/?uri=CELEX:32018L2001&amp;from=EN</w:t>
        </w:r>
      </w:hyperlink>
      <w:r w:rsidRPr="00A45809">
        <w:rPr>
          <w:rFonts w:asciiTheme="minorHAnsi" w:hAnsiTheme="minorHAnsi" w:cstheme="minorHAnsi"/>
        </w:rPr>
        <w:t xml:space="preserve"> </w:t>
      </w:r>
    </w:p>
  </w:footnote>
  <w:footnote w:id="22">
    <w:p w14:paraId="66A7FA4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11" w:history="1">
        <w:r w:rsidRPr="00A45809">
          <w:rPr>
            <w:rStyle w:val="Hyperlink"/>
            <w:rFonts w:asciiTheme="minorHAnsi" w:hAnsiTheme="minorHAnsi" w:cstheme="minorHAnsi"/>
          </w:rPr>
          <w:t>https://eur-lex.europa.eu/legal-content/LV/TXT/PDF/?uri=CELEX:32018L2002&amp;from=EN</w:t>
        </w:r>
      </w:hyperlink>
      <w:r w:rsidRPr="00A45809">
        <w:rPr>
          <w:rFonts w:asciiTheme="minorHAnsi" w:hAnsiTheme="minorHAnsi" w:cstheme="minorHAnsi"/>
        </w:rPr>
        <w:t xml:space="preserve"> </w:t>
      </w:r>
    </w:p>
  </w:footnote>
  <w:footnote w:id="23">
    <w:p w14:paraId="5538900A"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12" w:history="1">
        <w:r w:rsidRPr="00A45809">
          <w:rPr>
            <w:rStyle w:val="Hyperlink"/>
            <w:rFonts w:asciiTheme="minorHAnsi" w:hAnsiTheme="minorHAnsi" w:cstheme="minorHAnsi"/>
          </w:rPr>
          <w:t>http://polsis.mk.gov.lv/documents/4247</w:t>
        </w:r>
      </w:hyperlink>
    </w:p>
  </w:footnote>
  <w:footnote w:id="24">
    <w:p w14:paraId="75FAB635"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13" w:history="1">
        <w:r w:rsidRPr="00A45809">
          <w:rPr>
            <w:rStyle w:val="Hyperlink"/>
            <w:rFonts w:asciiTheme="minorHAnsi" w:hAnsiTheme="minorHAnsi" w:cstheme="minorHAnsi"/>
          </w:rPr>
          <w:t>http://polsis.mk.gov.lv/documents/4849</w:t>
        </w:r>
      </w:hyperlink>
      <w:r w:rsidRPr="00A45809">
        <w:rPr>
          <w:rFonts w:asciiTheme="minorHAnsi" w:hAnsiTheme="minorHAnsi" w:cstheme="minorHAnsi"/>
        </w:rPr>
        <w:t xml:space="preserve"> </w:t>
      </w:r>
    </w:p>
  </w:footnote>
  <w:footnote w:id="25">
    <w:p w14:paraId="2E2D02A5"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14" w:history="1">
        <w:r w:rsidRPr="00A45809">
          <w:rPr>
            <w:rStyle w:val="Hyperlink"/>
            <w:rFonts w:asciiTheme="minorHAnsi" w:hAnsiTheme="minorHAnsi" w:cstheme="minorHAnsi"/>
          </w:rPr>
          <w:t>https://likumi.lv/doc.php?id=207119</w:t>
        </w:r>
      </w:hyperlink>
      <w:r w:rsidRPr="00A45809">
        <w:rPr>
          <w:rFonts w:asciiTheme="minorHAnsi" w:hAnsiTheme="minorHAnsi" w:cstheme="minorHAnsi"/>
        </w:rPr>
        <w:t xml:space="preserve">; </w:t>
      </w:r>
      <w:hyperlink r:id="rId15" w:history="1">
        <w:r w:rsidRPr="00A45809">
          <w:rPr>
            <w:rStyle w:val="Hyperlink"/>
            <w:rFonts w:asciiTheme="minorHAnsi" w:hAnsiTheme="minorHAnsi" w:cstheme="minorHAnsi"/>
          </w:rPr>
          <w:t>https://likumi.lv/doc.php?id=74746</w:t>
        </w:r>
      </w:hyperlink>
      <w:r w:rsidRPr="00A45809">
        <w:rPr>
          <w:rFonts w:asciiTheme="minorHAnsi" w:hAnsiTheme="minorHAnsi" w:cstheme="minorHAnsi"/>
        </w:rPr>
        <w:t xml:space="preserve">; </w:t>
      </w:r>
      <w:hyperlink r:id="rId16" w:history="1">
        <w:r w:rsidRPr="00A45809">
          <w:rPr>
            <w:rStyle w:val="Hyperlink"/>
            <w:rFonts w:asciiTheme="minorHAnsi" w:hAnsiTheme="minorHAnsi" w:cstheme="minorHAnsi"/>
          </w:rPr>
          <w:t>https://likumi.lv/doc.php?id=74749</w:t>
        </w:r>
      </w:hyperlink>
      <w:r w:rsidRPr="00A45809">
        <w:rPr>
          <w:rFonts w:asciiTheme="minorHAnsi" w:hAnsiTheme="minorHAnsi" w:cstheme="minorHAnsi"/>
        </w:rPr>
        <w:t xml:space="preserve">; </w:t>
      </w:r>
      <w:hyperlink r:id="rId17" w:history="1">
        <w:r w:rsidRPr="00A45809">
          <w:rPr>
            <w:rStyle w:val="Hyperlink"/>
            <w:rFonts w:asciiTheme="minorHAnsi" w:hAnsiTheme="minorHAnsi" w:cstheme="minorHAnsi"/>
          </w:rPr>
          <w:t>https://likumi.lv/doc.php?id=79100</w:t>
        </w:r>
      </w:hyperlink>
      <w:r w:rsidRPr="00A45809">
        <w:rPr>
          <w:rFonts w:asciiTheme="minorHAnsi" w:hAnsiTheme="minorHAnsi" w:cstheme="minorHAnsi"/>
        </w:rPr>
        <w:t xml:space="preserve">; </w:t>
      </w:r>
      <w:hyperlink r:id="rId18" w:history="1">
        <w:r w:rsidRPr="00A45809">
          <w:rPr>
            <w:rStyle w:val="Hyperlink"/>
            <w:rFonts w:asciiTheme="minorHAnsi" w:hAnsiTheme="minorHAnsi" w:cstheme="minorHAnsi"/>
          </w:rPr>
          <w:t>https://likumi.lv/doc.php?id=228051</w:t>
        </w:r>
      </w:hyperlink>
      <w:r w:rsidRPr="00A45809">
        <w:rPr>
          <w:rFonts w:asciiTheme="minorHAnsi" w:hAnsiTheme="minorHAnsi" w:cstheme="minorHAnsi"/>
        </w:rPr>
        <w:t xml:space="preserve">  </w:t>
      </w:r>
    </w:p>
  </w:footnote>
  <w:footnote w:id="26">
    <w:p w14:paraId="0FCB434B"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19" w:history="1">
        <w:r w:rsidRPr="00A45809">
          <w:rPr>
            <w:rStyle w:val="Hyperlink"/>
            <w:rFonts w:asciiTheme="minorHAnsi" w:hAnsiTheme="minorHAnsi" w:cstheme="minorHAnsi"/>
          </w:rPr>
          <w:t>https://bankwatch.org/wp-content/uploads/2019/03/NECP-in-8-CEE-countries-1.pdf</w:t>
        </w:r>
      </w:hyperlink>
    </w:p>
  </w:footnote>
  <w:footnote w:id="27">
    <w:p w14:paraId="03E15570"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0" w:history="1">
        <w:r w:rsidRPr="00A45809">
          <w:rPr>
            <w:rStyle w:val="Hyperlink"/>
            <w:rFonts w:asciiTheme="minorHAnsi" w:hAnsiTheme="minorHAnsi" w:cstheme="minorHAnsi"/>
          </w:rPr>
          <w:t>https://europeanclimate.org/wp-content/uploads/2019/05/Planning-for-Net-Zero.-Assessing-the-draft-NECPs.pdf</w:t>
        </w:r>
      </w:hyperlink>
      <w:r w:rsidRPr="00A45809">
        <w:rPr>
          <w:rFonts w:asciiTheme="minorHAnsi" w:hAnsiTheme="minorHAnsi" w:cstheme="minorHAnsi"/>
        </w:rPr>
        <w:t xml:space="preserve"> </w:t>
      </w:r>
    </w:p>
  </w:footnote>
  <w:footnote w:id="28">
    <w:p w14:paraId="76975E3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1" w:history="1">
        <w:r w:rsidRPr="00A45809">
          <w:rPr>
            <w:rStyle w:val="Hyperlink"/>
            <w:rFonts w:asciiTheme="minorHAnsi" w:hAnsiTheme="minorHAnsi" w:cstheme="minorHAnsi"/>
          </w:rPr>
          <w:t>http://www.caneurope.org/docman/climate-energy-targets/3477-time-to-pick-up-the-pace-insights-into-the-draft-national-energy-and-climate-plans/file</w:t>
        </w:r>
      </w:hyperlink>
      <w:r w:rsidRPr="00A45809">
        <w:rPr>
          <w:rFonts w:asciiTheme="minorHAnsi" w:hAnsiTheme="minorHAnsi" w:cstheme="minorHAnsi"/>
        </w:rPr>
        <w:t xml:space="preserve"> </w:t>
      </w:r>
    </w:p>
  </w:footnote>
  <w:footnote w:id="29">
    <w:p w14:paraId="5AC30894" w14:textId="4CF71FEF"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MK sēdes protokollēmums “Informatīvais ziņojums "Par Nacionālā enerģētikas un klimata plāna izstrādi"” (MK 2018.gada 26.jūnija protokola Nr.30 50.§)</w:t>
      </w:r>
    </w:p>
  </w:footnote>
  <w:footnote w:id="30">
    <w:p w14:paraId="2806241F" w14:textId="7A75146A"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Tautsaimniecības padomes Enerģētikas komiteja ir izveidota saskaņā ar MK 2010. gada 23. marta noteikumu Nr. 271 „Ekonomikas ministrijas nolikums 6.11., 7.2. un 17. punktu un Ekonomikas ministrijas 2012. gada 9. novembra Nr.1-7-32 „Tautsaimniecības padomes nolikums 12. punktu</w:t>
      </w:r>
    </w:p>
  </w:footnote>
  <w:footnote w:id="31">
    <w:p w14:paraId="0EA47F53"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2" w:history="1">
        <w:r w:rsidRPr="00A45809">
          <w:rPr>
            <w:rStyle w:val="Hyperlink"/>
            <w:rFonts w:asciiTheme="minorHAnsi" w:hAnsiTheme="minorHAnsi" w:cstheme="minorHAnsi"/>
          </w:rPr>
          <w:t>https://em.gov.lv/lv/par_ministriju/notikumu_kalendars/21866-konference-nacionalais-energetikas-un-klimata-plans-2021-2030gadam-energetikas-attistiba-un-klimata-parmainu-mazinasana</w:t>
        </w:r>
      </w:hyperlink>
      <w:r w:rsidRPr="00A45809">
        <w:rPr>
          <w:rFonts w:asciiTheme="minorHAnsi" w:hAnsiTheme="minorHAnsi" w:cstheme="minorHAnsi"/>
        </w:rPr>
        <w:t xml:space="preserve"> </w:t>
      </w:r>
    </w:p>
  </w:footnote>
  <w:footnote w:id="32">
    <w:p w14:paraId="57B5404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3" w:history="1">
        <w:r w:rsidRPr="00A45809">
          <w:rPr>
            <w:rStyle w:val="Hyperlink"/>
            <w:rFonts w:asciiTheme="minorHAnsi" w:hAnsiTheme="minorHAnsi" w:cstheme="minorHAnsi"/>
          </w:rPr>
          <w:t>https://em.gov.lv/lv/nozares_politika/nacionalais_energetikas_un_klimata_plans/</w:t>
        </w:r>
      </w:hyperlink>
    </w:p>
  </w:footnote>
  <w:footnote w:id="33">
    <w:p w14:paraId="4AE9ED6A" w14:textId="268D266B"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Igaunijas, Latvijas un Lietuvas parlamentu sadarbība</w:t>
      </w:r>
    </w:p>
  </w:footnote>
  <w:footnote w:id="34">
    <w:p w14:paraId="0B45E9E1" w14:textId="14B83E98"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4" w:history="1">
        <w:r w:rsidRPr="00A45809">
          <w:rPr>
            <w:rStyle w:val="Hyperlink"/>
            <w:rFonts w:asciiTheme="minorHAnsi" w:hAnsiTheme="minorHAnsi" w:cstheme="minorHAnsi"/>
          </w:rPr>
          <w:t>https://op.europa.eu/en/publication/-/publikācija/9590 cdee-cd30-11e9-992f-01 aa75ed71a1/language-en</w:t>
        </w:r>
      </w:hyperlink>
    </w:p>
  </w:footnote>
  <w:footnote w:id="35">
    <w:p w14:paraId="6897691A" w14:textId="1A60A879"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5" w:history="1">
        <w:r w:rsidRPr="00A45809">
          <w:rPr>
            <w:rStyle w:val="Hyperlink"/>
            <w:rFonts w:asciiTheme="minorHAnsi" w:hAnsiTheme="minorHAnsi" w:cstheme="minorHAnsi"/>
          </w:rPr>
          <w:t>https://eur-lex.europa.eu/legal-content/LV/TXT/HTML/?uri=CELEX:31991L0676&amp;from=LV</w:t>
        </w:r>
      </w:hyperlink>
      <w:r w:rsidRPr="00A45809">
        <w:rPr>
          <w:rFonts w:asciiTheme="minorHAnsi" w:hAnsiTheme="minorHAnsi" w:cstheme="minorHAnsi"/>
        </w:rPr>
        <w:t xml:space="preserve"> </w:t>
      </w:r>
    </w:p>
  </w:footnote>
  <w:footnote w:id="36">
    <w:p w14:paraId="42C08AFD"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CSP</w:t>
      </w:r>
    </w:p>
  </w:footnote>
  <w:footnote w:id="37">
    <w:p w14:paraId="708E4F00" w14:textId="77777777" w:rsidR="007A7EAC" w:rsidRPr="00A45809" w:rsidRDefault="007A7EAC" w:rsidP="00A45809">
      <w:pPr>
        <w:spacing w:after="0" w:line="240" w:lineRule="auto"/>
        <w:jc w:val="both"/>
        <w:rPr>
          <w:rFonts w:cstheme="minorHAnsi"/>
          <w:sz w:val="18"/>
          <w:szCs w:val="18"/>
        </w:rPr>
      </w:pPr>
      <w:r w:rsidRPr="00A45809">
        <w:rPr>
          <w:rStyle w:val="FootnoteReference"/>
          <w:rFonts w:cstheme="minorHAnsi"/>
          <w:sz w:val="18"/>
          <w:szCs w:val="18"/>
        </w:rPr>
        <w:footnoteRef/>
      </w:r>
      <w:r w:rsidRPr="00A45809">
        <w:rPr>
          <w:rFonts w:cstheme="minorHAnsi"/>
          <w:sz w:val="18"/>
          <w:szCs w:val="18"/>
        </w:rPr>
        <w:t xml:space="preserve"> </w:t>
      </w:r>
      <w:r w:rsidRPr="00A45809">
        <w:rPr>
          <w:rFonts w:cstheme="minorHAnsi"/>
          <w:b/>
          <w:sz w:val="18"/>
          <w:szCs w:val="18"/>
          <w:lang w:eastAsia="lv-LV"/>
        </w:rPr>
        <w:t xml:space="preserve">Plānā iekļautais bāzes scenārijs ir scenārijs, kurā ir apvienotas “īstenotās rīcībpolitikas un pasākumi”, “pieņemtās rīcībpolitikas un pasākumi”,  kā arī daļēji ir iekļautas “plānotās rīcībpolitikas un pasākumi”. </w:t>
      </w:r>
      <w:r w:rsidRPr="00A45809">
        <w:rPr>
          <w:rFonts w:cstheme="minorHAnsi"/>
          <w:sz w:val="18"/>
          <w:szCs w:val="18"/>
          <w:lang w:eastAsia="lv-LV"/>
        </w:rPr>
        <w:t>Plāna projektā visi pasākumi, kas attiecas uz ES fondu atbalsta programmām ir “plānotās rīcībpolitikas un pasākumi”, jo finansējums šiem pasākumiem tiks sadalīts tikai pēc Plāna apstiprināšanas Latvijā (2019.gadā tikai notiks kopējā finansējuma pārdale ES dalībvalstīm).</w:t>
      </w:r>
    </w:p>
  </w:footnote>
  <w:footnote w:id="38">
    <w:p w14:paraId="76D3B8AD"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39">
    <w:p w14:paraId="16C7E916" w14:textId="02735EF8"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2018.gada dati ir aptuvenās SEG inventarizācijas dati (i</w:t>
      </w:r>
      <w:r w:rsidRPr="00A45809">
        <w:rPr>
          <w:rFonts w:asciiTheme="minorHAnsi" w:hAnsiTheme="minorHAnsi" w:cstheme="minorHAnsi"/>
          <w:color w:val="000000"/>
          <w:shd w:val="clear" w:color="auto" w:fill="FFFFFF"/>
        </w:rPr>
        <w:t>zslēdzot kopējās aptuvenās CO</w:t>
      </w:r>
      <w:r w:rsidRPr="00A45809">
        <w:rPr>
          <w:rStyle w:val="sub"/>
          <w:rFonts w:asciiTheme="minorHAnsi" w:hAnsiTheme="minorHAnsi" w:cstheme="minorHAnsi"/>
          <w:color w:val="000000"/>
          <w:shd w:val="clear" w:color="auto" w:fill="FFFFFF"/>
          <w:vertAlign w:val="subscript"/>
        </w:rPr>
        <w:t>2</w:t>
      </w:r>
      <w:r w:rsidRPr="00A45809">
        <w:rPr>
          <w:rFonts w:asciiTheme="minorHAnsi" w:hAnsiTheme="minorHAnsi" w:cstheme="minorHAnsi"/>
          <w:color w:val="000000"/>
          <w:shd w:val="clear" w:color="auto" w:fill="FFFFFF"/>
        </w:rPr>
        <w:t> ekvivalenta emisijas un piesaisti no</w:t>
      </w:r>
      <w:r w:rsidRPr="00A45809">
        <w:rPr>
          <w:rFonts w:asciiTheme="minorHAnsi" w:hAnsiTheme="minorHAnsi" w:cstheme="minorHAnsi"/>
        </w:rPr>
        <w:t xml:space="preserve"> zemes izmantošanas, zemes izmantošanas maiņas un mežsaimniecības saskaņā ar</w:t>
      </w:r>
      <w:r w:rsidRPr="00A45809">
        <w:rPr>
          <w:rFonts w:asciiTheme="minorHAnsi" w:hAnsiTheme="minorHAnsi" w:cstheme="minorHAnsi"/>
          <w:bCs/>
          <w:color w:val="000000"/>
        </w:rPr>
        <w:t xml:space="preserve"> Komisijas Īstenošanas regulas</w:t>
      </w:r>
      <w:r w:rsidRPr="00A45809">
        <w:rPr>
          <w:rFonts w:asciiTheme="minorHAnsi" w:hAnsiTheme="minorHAnsi" w:cstheme="minorHAnsi"/>
          <w:b/>
          <w:bCs/>
          <w:color w:val="000000"/>
        </w:rPr>
        <w:t xml:space="preserve"> </w:t>
      </w:r>
      <w:r w:rsidRPr="00A45809">
        <w:rPr>
          <w:rFonts w:asciiTheme="minorHAnsi" w:hAnsiTheme="minorHAnsi" w:cstheme="minorHAnsi"/>
          <w:bCs/>
          <w:color w:val="000000"/>
        </w:rPr>
        <w:t>749/2014 17. pantu),</w:t>
      </w:r>
      <w:r w:rsidRPr="00A45809">
        <w:rPr>
          <w:rFonts w:asciiTheme="minorHAnsi" w:hAnsiTheme="minorHAnsi" w:cstheme="minorHAnsi"/>
        </w:rPr>
        <w:t xml:space="preserve">  kuri ir aprēķināti, ņemot vērā sākotnējos statistikas datus, un kurus nav pārbaudījuši vai apstiprinājuši EK un UNFCCC Sekretariāta eksperti. Šajā nodaļā 2018.gada aptuvenās SEG inventarizācijas par 2018.gadu dati ir iekļauti aptuvenai 2018.gada situācijas raksturošanai</w:t>
      </w:r>
    </w:p>
  </w:footnote>
  <w:footnote w:id="40">
    <w:p w14:paraId="0E45BE79" w14:textId="166BF7A0"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Style w:val="Hyperlink"/>
          <w:rFonts w:asciiTheme="minorHAnsi" w:hAnsiTheme="minorHAnsi" w:cstheme="minorHAnsi"/>
        </w:rPr>
        <w:t>https://unfccc.int/documents/194812</w:t>
      </w:r>
    </w:p>
  </w:footnote>
  <w:footnote w:id="41">
    <w:p w14:paraId="24A8D464" w14:textId="64E12D15"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6" w:history="1">
        <w:r w:rsidRPr="00A45809">
          <w:rPr>
            <w:rStyle w:val="Hyperlink"/>
            <w:rFonts w:asciiTheme="minorHAnsi" w:hAnsiTheme="minorHAnsi" w:cstheme="minorHAnsi"/>
          </w:rPr>
          <w:t>https://cdr.eionet.europa.eu/lv/eu/mmr/art08_proxy/envxta4zg</w:t>
        </w:r>
      </w:hyperlink>
    </w:p>
  </w:footnote>
  <w:footnote w:id="42">
    <w:p w14:paraId="37FE322B" w14:textId="1DC6ACB1"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Ne-ETS darbībām, uz kurām attiecas Lēmums 406/2009/EK, SEG emisiju aprēķins veikts, izmantojot EK formulu – kopējais SEG emisiju apjoms mīnus ES ETS operatoru verificētais CO</w:t>
      </w:r>
      <w:r w:rsidRPr="00A45809">
        <w:rPr>
          <w:rFonts w:asciiTheme="minorHAnsi" w:hAnsiTheme="minorHAnsi" w:cstheme="minorHAnsi"/>
          <w:vertAlign w:val="subscript"/>
        </w:rPr>
        <w:t>2</w:t>
      </w:r>
      <w:r w:rsidRPr="00A45809">
        <w:rPr>
          <w:rFonts w:asciiTheme="minorHAnsi" w:hAnsiTheme="minorHAnsi" w:cstheme="minorHAnsi"/>
        </w:rPr>
        <w:t xml:space="preserve"> emisiju apjoms mīnus vietējās aviācijas CO</w:t>
      </w:r>
      <w:r w:rsidRPr="00A45809">
        <w:rPr>
          <w:rFonts w:asciiTheme="minorHAnsi" w:hAnsiTheme="minorHAnsi" w:cstheme="minorHAnsi"/>
          <w:vertAlign w:val="subscript"/>
        </w:rPr>
        <w:t>2</w:t>
      </w:r>
      <w:r w:rsidRPr="00A45809">
        <w:rPr>
          <w:rFonts w:asciiTheme="minorHAnsi" w:hAnsiTheme="minorHAnsi" w:cstheme="minorHAnsi"/>
        </w:rPr>
        <w:t xml:space="preserve"> emisiju apjoms</w:t>
      </w:r>
    </w:p>
  </w:footnote>
  <w:footnote w:id="43">
    <w:p w14:paraId="2E112CAB" w14:textId="30326ECE"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SEG emisiju aprēķins veikts, izmantojot EK noteikto formulu – kopējais valsts SEG emisiju apjoms mīnus ES ETS operatoru verificētais oglekļa dioksīda emisiju apjoms mīnus vietējās aviācijas oglekļa dioksīda emisiju apjoms saskaņa ar Lēmumu 406/2009/EK</w:t>
      </w:r>
    </w:p>
  </w:footnote>
  <w:footnote w:id="44">
    <w:p w14:paraId="23BBC3AF" w14:textId="28782DE5"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attīstības prognozes ir indikatīvas un var mainīties</w:t>
      </w:r>
    </w:p>
  </w:footnote>
  <w:footnote w:id="45">
    <w:p w14:paraId="7BE8CF2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Datu avots: CSP</w:t>
      </w:r>
    </w:p>
  </w:footnote>
  <w:footnote w:id="46">
    <w:p w14:paraId="2D5FE84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Datu avots: CSP</w:t>
      </w:r>
    </w:p>
  </w:footnote>
  <w:footnote w:id="47">
    <w:p w14:paraId="535FC9C8"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Datu avots: CSP</w:t>
      </w:r>
    </w:p>
  </w:footnote>
  <w:footnote w:id="48">
    <w:p w14:paraId="1CCCE882" w14:textId="2846278F"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CSP, EUROSTAT</w:t>
      </w:r>
    </w:p>
  </w:footnote>
  <w:footnote w:id="49">
    <w:p w14:paraId="7C007773"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7" w:history="1">
        <w:r w:rsidRPr="00A45809">
          <w:rPr>
            <w:rStyle w:val="Hyperlink"/>
            <w:rFonts w:asciiTheme="minorHAnsi" w:hAnsiTheme="minorHAnsi" w:cstheme="minorHAnsi"/>
          </w:rPr>
          <w:t>https://ec.europa.eu/energy/sites/ener/files/documents/dir_2009_0028_action_plan_latvia.zip</w:t>
        </w:r>
      </w:hyperlink>
      <w:r w:rsidRPr="00A45809">
        <w:rPr>
          <w:rFonts w:asciiTheme="minorHAnsi" w:hAnsiTheme="minorHAnsi" w:cstheme="minorHAnsi"/>
        </w:rPr>
        <w:t xml:space="preserve"> </w:t>
      </w:r>
    </w:p>
  </w:footnote>
  <w:footnote w:id="50">
    <w:p w14:paraId="38F367C5"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eastAsia="Calibri" w:hAnsiTheme="minorHAnsi" w:cstheme="minorHAnsi"/>
        </w:rPr>
        <w:t>Direktīva 2009/28/EK</w:t>
      </w:r>
    </w:p>
  </w:footnote>
  <w:footnote w:id="51">
    <w:p w14:paraId="06434F26" w14:textId="1C9F59D6"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28" w:history="1">
        <w:r w:rsidRPr="00A45809">
          <w:rPr>
            <w:rStyle w:val="Hyperlink"/>
            <w:rFonts w:asciiTheme="minorHAnsi" w:hAnsiTheme="minorHAnsi" w:cstheme="minorHAnsi"/>
          </w:rPr>
          <w:t>https://www.em.gov.lv/files/nozares_politika/EMZino_AER_030518.pdf</w:t>
        </w:r>
      </w:hyperlink>
      <w:r w:rsidRPr="00A45809">
        <w:rPr>
          <w:rFonts w:asciiTheme="minorHAnsi" w:hAnsiTheme="minorHAnsi" w:cstheme="minorHAnsi"/>
        </w:rPr>
        <w:t xml:space="preserve">. </w:t>
      </w:r>
    </w:p>
  </w:footnote>
  <w:footnote w:id="52">
    <w:p w14:paraId="2A6D88B8" w14:textId="6E66E9BB"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53">
    <w:p w14:paraId="4722CF10" w14:textId="0D407C21"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54">
    <w:p w14:paraId="20485837" w14:textId="06655C7D"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Direktīvas </w:t>
      </w:r>
      <w:r w:rsidRPr="00A45809">
        <w:rPr>
          <w:rFonts w:asciiTheme="minorHAnsi" w:hAnsiTheme="minorHAnsi" w:cstheme="minorHAnsi"/>
          <w:lang w:eastAsia="lv-LV"/>
        </w:rPr>
        <w:t>2012/27/ES (un Direktīvas 2018/2002) izpratnē (direktīvā noteikto definīciju aptvērumā)</w:t>
      </w:r>
    </w:p>
  </w:footnote>
  <w:footnote w:id="55">
    <w:p w14:paraId="5F400D7D"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CSP</w:t>
      </w:r>
    </w:p>
  </w:footnote>
  <w:footnote w:id="56">
    <w:p w14:paraId="37526674" w14:textId="69698D69"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Datu avots: EUROSTAT, CSP</w:t>
      </w:r>
    </w:p>
  </w:footnote>
  <w:footnote w:id="57">
    <w:p w14:paraId="6EDCB8E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Direktīvas </w:t>
      </w:r>
      <w:r w:rsidRPr="00A45809">
        <w:rPr>
          <w:rFonts w:asciiTheme="minorHAnsi" w:hAnsiTheme="minorHAnsi" w:cstheme="minorHAnsi"/>
          <w:lang w:eastAsia="lv-LV"/>
        </w:rPr>
        <w:t>2012/27/ES (un Direktīvas 2018/2002) izpratnē (direktīvā noteikto definīciju aptvērumā)</w:t>
      </w:r>
    </w:p>
  </w:footnote>
  <w:footnote w:id="58">
    <w:p w14:paraId="6F31352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Datu avots: CSP</w:t>
      </w:r>
    </w:p>
  </w:footnote>
  <w:footnote w:id="59">
    <w:p w14:paraId="4DD0D7CF"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CSP</w:t>
      </w:r>
    </w:p>
  </w:footnote>
  <w:footnote w:id="60">
    <w:p w14:paraId="5FF3F458" w14:textId="77777777" w:rsidR="007A7EAC" w:rsidRPr="00A45809" w:rsidRDefault="007A7EAC" w:rsidP="00A45809">
      <w:pPr>
        <w:autoSpaceDE w:val="0"/>
        <w:autoSpaceDN w:val="0"/>
        <w:adjustRightInd w:val="0"/>
        <w:spacing w:after="0" w:line="240" w:lineRule="auto"/>
        <w:jc w:val="both"/>
        <w:rPr>
          <w:rFonts w:eastAsia="Calibri" w:cstheme="minorHAnsi"/>
          <w:sz w:val="18"/>
          <w:szCs w:val="18"/>
          <w:lang w:eastAsia="lv-LV"/>
        </w:rPr>
      </w:pPr>
      <w:r w:rsidRPr="00A45809">
        <w:rPr>
          <w:rStyle w:val="FootnoteReference"/>
          <w:rFonts w:cstheme="minorHAnsi"/>
          <w:sz w:val="18"/>
          <w:szCs w:val="18"/>
        </w:rPr>
        <w:footnoteRef/>
      </w:r>
      <w:r w:rsidRPr="00A45809">
        <w:rPr>
          <w:rFonts w:cstheme="minorHAnsi"/>
          <w:sz w:val="18"/>
          <w:szCs w:val="18"/>
        </w:rPr>
        <w:t xml:space="preserve"> </w:t>
      </w:r>
      <w:hyperlink r:id="rId29" w:history="1">
        <w:r w:rsidRPr="00A45809">
          <w:rPr>
            <w:rStyle w:val="Hyperlink"/>
            <w:rFonts w:eastAsia="Calibri" w:cstheme="minorHAnsi"/>
            <w:bCs/>
            <w:sz w:val="18"/>
            <w:szCs w:val="18"/>
            <w:lang w:eastAsia="lv-LV"/>
          </w:rPr>
          <w:t>https://ec.europa.eu/energy/sites/ener/files/documents/lv_annual_report_2019_lv.zip</w:t>
        </w:r>
      </w:hyperlink>
      <w:r w:rsidRPr="00A45809">
        <w:rPr>
          <w:rFonts w:eastAsia="Calibri" w:cstheme="minorHAnsi"/>
          <w:bCs/>
          <w:sz w:val="18"/>
          <w:szCs w:val="18"/>
          <w:lang w:eastAsia="lv-LV"/>
        </w:rPr>
        <w:t xml:space="preserve"> </w:t>
      </w:r>
    </w:p>
  </w:footnote>
  <w:footnote w:id="61">
    <w:p w14:paraId="2CF1AD23"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30" w:history="1">
        <w:r w:rsidRPr="00A45809">
          <w:rPr>
            <w:rStyle w:val="Hyperlink"/>
            <w:rFonts w:asciiTheme="minorHAnsi" w:hAnsiTheme="minorHAnsi" w:cstheme="minorHAnsi"/>
          </w:rPr>
          <w:t>https://www.em.gov.lv/lv/nozares_politika/energoefektivitate_un_siltumapgade/zinojumi_eiropas_komisijai/</w:t>
        </w:r>
      </w:hyperlink>
      <w:r w:rsidRPr="00A45809">
        <w:rPr>
          <w:rFonts w:asciiTheme="minorHAnsi" w:hAnsiTheme="minorHAnsi" w:cstheme="minorHAnsi"/>
        </w:rPr>
        <w:t xml:space="preserve"> </w:t>
      </w:r>
    </w:p>
  </w:footnote>
  <w:footnote w:id="62">
    <w:p w14:paraId="1F6AF216" w14:textId="30F79C65"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63">
    <w:p w14:paraId="200FA8BA" w14:textId="5352DE4B"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64">
    <w:p w14:paraId="41BD4037" w14:textId="26F3D5F2"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65">
    <w:p w14:paraId="4E8BD109"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enerģētiskā atkarība parāda, cik lielā mērā valsts ir atkarīga no energoresursu importa, lai apmierinātu savas enerģētiskās vajadzības. Šis indikators tiek aprēķināts, atņemot no energoresursu importa rādītāja eksporta apjomu un dalot  ar kopējo energoresursu patēriņu. Šādu indikatoru iespējams aprēķināt jebkuram energoresursu produktam.</w:t>
      </w:r>
    </w:p>
  </w:footnote>
  <w:footnote w:id="66">
    <w:p w14:paraId="64DF1E6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EUROSTAT</w:t>
      </w:r>
    </w:p>
  </w:footnote>
  <w:footnote w:id="67">
    <w:p w14:paraId="5E9D86D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Avots: AS “Augstsprieguma tīkls”</w:t>
      </w:r>
    </w:p>
  </w:footnote>
  <w:footnote w:id="68">
    <w:p w14:paraId="5C49EB5F"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N-1 ir teorētisks aprēķins, kas raksturo gāzes infrastruktūras tehnisko spēju apmierināt gāzes kopējo pieprasījumu aprēķinātajā platībā, ja rodas traucējumi vienotajā lielākajā gāzes infrastruktūrā dienā, kad ir ārkārtīgi liels gāzes pieprasījums, kas statistiski iespējams reizi 20 gados.</w:t>
      </w:r>
    </w:p>
  </w:footnote>
  <w:footnote w:id="69">
    <w:p w14:paraId="1AD7877C"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Saskaņā ar regulas Nr. 2017/1938 prasībām N – 1 ≥ 100 %</w:t>
      </w:r>
    </w:p>
  </w:footnote>
  <w:footnote w:id="70">
    <w:p w14:paraId="5975701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Avots: a/s “Conexus Baltic Grid” (</w:t>
      </w:r>
      <w:hyperlink r:id="rId31" w:history="1">
        <w:r w:rsidRPr="00A45809">
          <w:rPr>
            <w:rStyle w:val="Hyperlink"/>
            <w:rFonts w:asciiTheme="minorHAnsi" w:hAnsiTheme="minorHAnsi" w:cstheme="minorHAnsi"/>
          </w:rPr>
          <w:t>http://www.conexus.lv/uploads/filedir/parvades_operatora_zinojums_2018.pdf</w:t>
        </w:r>
      </w:hyperlink>
      <w:r w:rsidRPr="00A45809">
        <w:rPr>
          <w:rFonts w:asciiTheme="minorHAnsi" w:hAnsiTheme="minorHAnsi" w:cstheme="minorHAnsi"/>
        </w:rPr>
        <w:t xml:space="preserve">) </w:t>
      </w:r>
    </w:p>
  </w:footnote>
  <w:footnote w:id="71">
    <w:p w14:paraId="09593C15"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Avots: AS “Augstspriegumu tīkls”</w:t>
      </w:r>
    </w:p>
  </w:footnote>
  <w:footnote w:id="72">
    <w:p w14:paraId="3F62A76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LV-Latvijas tirdzniecības apgabals, LT-Lietuvas tirdzniecības apgabals, EE-Igaunijas tirdzniecības apgabals, FI-Somijas tirdzniecības apgabals, SE4-Zviedrijas ceturtais tirdzniecības apgabals, LBI-Lietuvas-Baltkrievijas importa tirdzniecības apgabals</w:t>
      </w:r>
    </w:p>
  </w:footnote>
  <w:footnote w:id="73">
    <w:p w14:paraId="46BDEA79"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Noslogotība = mēneša summārā komercplūsmas kWh / mēneša summārā neto pārvades jauda kWh („Net Transfer Capacity” NTC).</w:t>
      </w:r>
    </w:p>
  </w:footnote>
  <w:footnote w:id="74">
    <w:p w14:paraId="7ED8F0A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spacing w:val="-2"/>
        </w:rPr>
        <w:t>Nord Pool ir Ziemeļvalstu elektroenerģijas birža, kurā, balstoties uz tirgus principiem, tiek noteikta Latvijas tirdzniecības apgabala elektroenerģijas cena</w:t>
      </w:r>
    </w:p>
  </w:footnote>
  <w:footnote w:id="75">
    <w:p w14:paraId="63964369"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32" w:history="1">
        <w:r w:rsidRPr="00A45809">
          <w:rPr>
            <w:rStyle w:val="Hyperlink"/>
            <w:rFonts w:asciiTheme="minorHAnsi" w:hAnsiTheme="minorHAnsi" w:cstheme="minorHAnsi"/>
          </w:rPr>
          <w:t>https://ec.europa.eu/commission/sites/beta-political/files/energy-union-factsheet-latvia_en.pdf</w:t>
        </w:r>
      </w:hyperlink>
      <w:r w:rsidRPr="00A45809">
        <w:rPr>
          <w:rFonts w:asciiTheme="minorHAnsi" w:hAnsiTheme="minorHAnsi" w:cstheme="minorHAnsi"/>
        </w:rPr>
        <w:t xml:space="preserve">; </w:t>
      </w:r>
      <w:hyperlink r:id="rId33" w:history="1">
        <w:r w:rsidRPr="00A45809">
          <w:rPr>
            <w:rStyle w:val="Hyperlink"/>
            <w:rFonts w:asciiTheme="minorHAnsi" w:hAnsiTheme="minorHAnsi" w:cstheme="minorHAnsi"/>
          </w:rPr>
          <w:t>https://ec.europa.eu/energy/sites/ener/files/documents/report_of_the_commission_expert_group_on_electricity_interconnection_targets.pdf</w:t>
        </w:r>
      </w:hyperlink>
      <w:r w:rsidRPr="00A45809">
        <w:rPr>
          <w:rFonts w:asciiTheme="minorHAnsi" w:hAnsiTheme="minorHAnsi" w:cstheme="minorHAnsi"/>
        </w:rPr>
        <w:t xml:space="preserve">; </w:t>
      </w:r>
      <w:hyperlink r:id="rId34" w:history="1">
        <w:r w:rsidRPr="00A45809">
          <w:rPr>
            <w:rStyle w:val="Hyperlink"/>
            <w:rFonts w:asciiTheme="minorHAnsi" w:hAnsiTheme="minorHAnsi" w:cstheme="minorHAnsi"/>
          </w:rPr>
          <w:t>https://ec.europa.eu/energy/sites/ener/files/documents/2nd_report_ic_with_neighbouring_countries_b5.pdf</w:t>
        </w:r>
      </w:hyperlink>
      <w:r w:rsidRPr="00A45809">
        <w:rPr>
          <w:rFonts w:asciiTheme="minorHAnsi" w:hAnsiTheme="minorHAnsi" w:cstheme="minorHAnsi"/>
        </w:rPr>
        <w:t xml:space="preserve"> </w:t>
      </w:r>
    </w:p>
  </w:footnote>
  <w:footnote w:id="76">
    <w:p w14:paraId="16A50B4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EK starpsavienojumu ekspertu grupā ir ieteikts DV ar &lt;30% kādā no rādītājiem steidzami pētīt papildu starpsavienojumu iespējas un ikgadēji ziņot augsta līmeņa reģionālajām grupām un Infrastruktūras forumam par šādas izpētes rezultātiem. Jebkurš projekts, kas palīdz DV sasniegt 30% slieksni, ir jāiesniedz iekļaušanai desmit gadu tīklu attīstības plānā (</w:t>
      </w:r>
      <w:r w:rsidRPr="00A45809">
        <w:rPr>
          <w:rFonts w:asciiTheme="minorHAnsi" w:hAnsiTheme="minorHAnsi" w:cstheme="minorHAnsi"/>
          <w:i/>
          <w:iCs/>
        </w:rPr>
        <w:t>Ten-Year Network Development Plan</w:t>
      </w:r>
      <w:r w:rsidRPr="00A45809">
        <w:rPr>
          <w:rFonts w:asciiTheme="minorHAnsi" w:hAnsiTheme="minorHAnsi" w:cstheme="minorHAnsi"/>
        </w:rPr>
        <w:t>) un turpmākajos KĪP sarakstos. DV ar &gt;30%, bet &lt;60% kādā no rādītājiem tiek prasīts pētīt izstrādāt papildu starpsavienojumu projektus. Tādiem projektiem būtu jāapsver iespēja pieteikties iekļaušanai TYNDP un turpmākajos PCI sarakstos</w:t>
      </w:r>
    </w:p>
  </w:footnote>
  <w:footnote w:id="77">
    <w:p w14:paraId="54AD9CF8"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Avots: AS “Augstspriegumu tīkls”</w:t>
      </w:r>
    </w:p>
  </w:footnote>
  <w:footnote w:id="78">
    <w:p w14:paraId="236BC690"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http://www.conexus.lv/uploads/filedir/parvades_operatora_zinojums_2018.pdf</w:t>
      </w:r>
    </w:p>
  </w:footnote>
  <w:footnote w:id="79">
    <w:p w14:paraId="78AD4E70"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http://www.ast.lv/content/elektroenergijas-parvades-sistemas-attistibas-plans</w:t>
      </w:r>
    </w:p>
  </w:footnote>
  <w:footnote w:id="80">
    <w:p w14:paraId="2BA70D8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http://tyndp.entsoe.eu/</w:t>
      </w:r>
    </w:p>
  </w:footnote>
  <w:footnote w:id="81">
    <w:p w14:paraId="42BE009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35" w:history="1">
        <w:r w:rsidRPr="00A45809">
          <w:rPr>
            <w:rStyle w:val="Hyperlink"/>
            <w:rFonts w:asciiTheme="minorHAnsi" w:hAnsiTheme="minorHAnsi" w:cstheme="minorHAnsi"/>
          </w:rPr>
          <w:t>http://www.conexus.lv/uploads/filedir/pso_zinojums_2018.pdf</w:t>
        </w:r>
      </w:hyperlink>
    </w:p>
  </w:footnote>
  <w:footnote w:id="82">
    <w:p w14:paraId="5CE57648" w14:textId="4122CD0C"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CSP</w:t>
      </w:r>
    </w:p>
  </w:footnote>
  <w:footnote w:id="83">
    <w:p w14:paraId="0E290B2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Aprēķinam izmantota vidējā Nord Pool elektroenerģijas cena – 0,0348EUR/kWh</w:t>
      </w:r>
    </w:p>
  </w:footnote>
  <w:footnote w:id="84">
    <w:p w14:paraId="579CB0E7"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36" w:history="1">
        <w:r w:rsidRPr="00A45809">
          <w:rPr>
            <w:rStyle w:val="Hyperlink"/>
            <w:rFonts w:asciiTheme="minorHAnsi" w:hAnsiTheme="minorHAnsi" w:cstheme="minorHAnsi"/>
          </w:rPr>
          <w:t>http://ec.europa.eu/eurostat/data/database</w:t>
        </w:r>
      </w:hyperlink>
    </w:p>
  </w:footnote>
  <w:footnote w:id="85">
    <w:p w14:paraId="5C9EE87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hyperlink r:id="rId37" w:history="1">
        <w:r w:rsidRPr="00A45809">
          <w:rPr>
            <w:rStyle w:val="Hyperlink"/>
            <w:rFonts w:asciiTheme="minorHAnsi" w:hAnsiTheme="minorHAnsi" w:cstheme="minorHAnsi"/>
          </w:rPr>
          <w:t>https://ec.europa.eu/energy/sites/ener/files/documents/quarterly_report_on_european_gas_markets_q4_2017_final_20180323.pdf</w:t>
        </w:r>
      </w:hyperlink>
    </w:p>
  </w:footnote>
  <w:footnote w:id="86">
    <w:p w14:paraId="4EAF3328"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38" w:history="1">
        <w:r w:rsidRPr="00A45809">
          <w:rPr>
            <w:rStyle w:val="Hyperlink"/>
            <w:rFonts w:asciiTheme="minorHAnsi" w:hAnsiTheme="minorHAnsi" w:cstheme="minorHAnsi"/>
          </w:rPr>
          <w:t>https://www.iub.gov.lv/lv/iubsearch/q/dabasg%C4%81ze/</w:t>
        </w:r>
      </w:hyperlink>
    </w:p>
  </w:footnote>
  <w:footnote w:id="87">
    <w:p w14:paraId="324A6B9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39" w:history="1">
        <w:r w:rsidRPr="00A45809">
          <w:rPr>
            <w:rStyle w:val="Hyperlink"/>
            <w:rFonts w:asciiTheme="minorHAnsi" w:hAnsiTheme="minorHAnsi" w:cstheme="minorHAnsi"/>
          </w:rPr>
          <w:t>http://www.ast.lv/sites/default/files/editor/PSO_Zinojums_2018.pdf</w:t>
        </w:r>
      </w:hyperlink>
    </w:p>
  </w:footnote>
  <w:footnote w:id="88">
    <w:p w14:paraId="6C0E1C1A"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EUROSTAT</w:t>
      </w:r>
    </w:p>
  </w:footnote>
  <w:footnote w:id="89">
    <w:p w14:paraId="7458FDA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EUROSTAT</w:t>
      </w:r>
    </w:p>
  </w:footnote>
  <w:footnote w:id="90">
    <w:p w14:paraId="1507618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Tabulā iekļauti tie mājsaimniecību veidi, kur atšķirības ar ES-28 vidējo rādītāju ir vairāk kā 4 procentpunkti. </w:t>
      </w:r>
    </w:p>
  </w:footnote>
  <w:footnote w:id="91">
    <w:p w14:paraId="5734857A"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Nabadzības riskam pakļauts</w:t>
      </w:r>
    </w:p>
  </w:footnote>
  <w:footnote w:id="92">
    <w:p w14:paraId="14F17D9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Avots: AS “Latvijas gāze”</w:t>
      </w:r>
    </w:p>
  </w:footnote>
  <w:footnote w:id="93">
    <w:p w14:paraId="0F6B4B98"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Avots: a/s “Sadales tīkls”</w:t>
      </w:r>
    </w:p>
  </w:footnote>
  <w:footnote w:id="94">
    <w:p w14:paraId="223FBBDF"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Avots: SPRK</w:t>
      </w:r>
    </w:p>
    <w:p w14:paraId="02170F97" w14:textId="77777777" w:rsidR="007A7EAC" w:rsidRPr="00A45809" w:rsidRDefault="007A7EAC" w:rsidP="00A45809">
      <w:pPr>
        <w:pStyle w:val="FootnoteText"/>
        <w:rPr>
          <w:rFonts w:asciiTheme="minorHAnsi" w:hAnsiTheme="minorHAnsi" w:cstheme="minorHAnsi"/>
        </w:rPr>
      </w:pPr>
      <w:r w:rsidRPr="00A45809">
        <w:rPr>
          <w:rFonts w:asciiTheme="minorHAnsi" w:hAnsiTheme="minorHAnsi" w:cstheme="minorHAnsi"/>
        </w:rPr>
        <w:t>Attēls neatspoguļo reālās proporcijas, bet demonstrē tarifu sastāvdaļu ietekmes apjomu</w:t>
      </w:r>
    </w:p>
  </w:footnote>
  <w:footnote w:id="95">
    <w:p w14:paraId="49BDC27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Avots: Latvijas Degvielas tirgotāju asociācija</w:t>
      </w:r>
    </w:p>
  </w:footnote>
  <w:footnote w:id="96">
    <w:p w14:paraId="0FDA01F6"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etilspirts, kas iegūts no lauksaimniecības izejvielām un kas ir dehidrēts (ar spirta saturu vismaz 99,5 tilpumprocenti) un absolūtā spirta saturs veido 5,0 tilpumprocentus no kopējā produktu daudzuma</w:t>
      </w:r>
    </w:p>
  </w:footnote>
  <w:footnote w:id="97">
    <w:p w14:paraId="398A03B9"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shd w:val="clear" w:color="auto" w:fill="FFFFFF"/>
        </w:rPr>
        <w:t>nodokli par 1000 litriem aprēķina 30 % apmērā no likmes svinu nesaturošam benzīnam</w:t>
      </w:r>
    </w:p>
  </w:footnote>
  <w:footnote w:id="98">
    <w:p w14:paraId="7EBDA360"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etilspirts, kas iegūts no lauksaimniecības izejvielām un ir dehidratēts (ar spirta saturu vismaz 99,5 tilpumprocenti) un absolūtā spirta saturs veido no 70,0 līdz 85,0 tilpumprocentus no kopējā produktu daudzuma</w:t>
      </w:r>
    </w:p>
  </w:footnote>
  <w:footnote w:id="99">
    <w:p w14:paraId="4C318B8A"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eastAsia="Times New Roman" w:hAnsiTheme="minorHAnsi" w:cstheme="minorHAnsi"/>
          <w:color w:val="000000"/>
          <w:lang w:eastAsia="lv-LV"/>
        </w:rPr>
        <w:t>absolūtā spirta saturs no 70 līdz 85 tilpumprocentiem</w:t>
      </w:r>
    </w:p>
  </w:footnote>
  <w:footnote w:id="100">
    <w:p w14:paraId="23C31C1B"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eastAsia="Times New Roman" w:hAnsiTheme="minorHAnsi" w:cstheme="minorHAnsi"/>
          <w:color w:val="000000"/>
          <w:lang w:eastAsia="lv-LV"/>
        </w:rPr>
        <w:t>absolūtā spirta saturs no 70 līdz 85 tilpumprocentiem</w:t>
      </w:r>
    </w:p>
  </w:footnote>
  <w:footnote w:id="101">
    <w:p w14:paraId="0F19EBAA"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biodīzeļdegviela vai rapšu sēklu eļļa veido no 5 līdz 30 (neieskaitot) tilpumprocentiem no kopējā naftas produktu daudzuma</w:t>
      </w:r>
    </w:p>
  </w:footnote>
  <w:footnote w:id="102">
    <w:p w14:paraId="7072808B"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biodīzeļdegviela vai rapšu sēklu eļļa veido vismaz 30 tilpumprocentus no kopējā naftas produktu daudzuma</w:t>
      </w:r>
    </w:p>
  </w:footnote>
  <w:footnote w:id="103">
    <w:p w14:paraId="73BA3FA4"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biodīzeļdegviela, kas pilnībā iegūta no rapšu sēklu eļļas un rapšu sēklu eļļa, kuru realizē vai izmanto par kurināmo vai degvielu</w:t>
      </w:r>
    </w:p>
  </w:footnote>
  <w:footnote w:id="104">
    <w:p w14:paraId="4B286D30"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degvieleļļai, kuras kolometriskais indekss ir mazāks par 2,0 un kinemātiskā viskozitāte 50</w:t>
      </w:r>
      <w:r w:rsidRPr="00A45809">
        <w:rPr>
          <w:rFonts w:asciiTheme="minorHAnsi" w:hAnsiTheme="minorHAnsi" w:cstheme="minorHAnsi"/>
          <w:color w:val="000000"/>
          <w:vertAlign w:val="superscript"/>
        </w:rPr>
        <w:t>o</w:t>
      </w:r>
      <w:r w:rsidRPr="00A45809">
        <w:rPr>
          <w:rFonts w:asciiTheme="minorHAnsi" w:hAnsiTheme="minorHAnsi" w:cstheme="minorHAnsi"/>
          <w:color w:val="000000"/>
        </w:rPr>
        <w:t> C ir mazāka par 25 mm²/s, tās aizstājējproduktiem un komponentiem</w:t>
      </w:r>
    </w:p>
  </w:footnote>
  <w:footnote w:id="105">
    <w:p w14:paraId="68F1B8F4" w14:textId="77777777" w:rsidR="007A7EAC" w:rsidRPr="00A45809" w:rsidRDefault="007A7EAC" w:rsidP="00A45809">
      <w:pPr>
        <w:pStyle w:val="NormalWeb"/>
        <w:shd w:val="clear" w:color="auto" w:fill="FFFFFF"/>
        <w:spacing w:before="0" w:beforeAutospacing="0" w:after="0" w:afterAutospacing="0"/>
        <w:jc w:val="both"/>
        <w:rPr>
          <w:rFonts w:asciiTheme="minorHAnsi" w:hAnsiTheme="minorHAnsi" w:cstheme="minorHAnsi"/>
          <w:color w:val="000000"/>
          <w:sz w:val="18"/>
          <w:szCs w:val="18"/>
        </w:rPr>
      </w:pPr>
      <w:r w:rsidRPr="00A45809">
        <w:rPr>
          <w:rStyle w:val="FootnoteReference"/>
          <w:rFonts w:asciiTheme="minorHAnsi" w:hAnsiTheme="minorHAnsi" w:cstheme="minorHAnsi"/>
          <w:sz w:val="18"/>
          <w:szCs w:val="18"/>
        </w:rPr>
        <w:footnoteRef/>
      </w:r>
      <w:r w:rsidRPr="00A45809">
        <w:rPr>
          <w:rFonts w:asciiTheme="minorHAnsi" w:hAnsiTheme="minorHAnsi" w:cstheme="minorHAnsi"/>
          <w:sz w:val="18"/>
          <w:szCs w:val="18"/>
        </w:rPr>
        <w:t xml:space="preserve"> </w:t>
      </w:r>
      <w:r w:rsidRPr="00A45809">
        <w:rPr>
          <w:rFonts w:asciiTheme="minorHAnsi" w:hAnsiTheme="minorHAnsi" w:cstheme="minorHAnsi"/>
          <w:color w:val="000000"/>
          <w:sz w:val="18"/>
          <w:szCs w:val="18"/>
        </w:rPr>
        <w:t>ja piegādā izmantošanai par kurināmo - 0 EUR</w:t>
      </w:r>
    </w:p>
  </w:footnote>
  <w:footnote w:id="106">
    <w:p w14:paraId="1C5165C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shd w:val="clear" w:color="auto" w:fill="FFFFFF"/>
        </w:rPr>
        <w:t>nodokli par 1000 litriem aprēķina 15 % apmērā no likmes dīzeļdegvielai</w:t>
      </w:r>
    </w:p>
  </w:footnote>
  <w:footnote w:id="107">
    <w:p w14:paraId="79BA1D71"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000000"/>
        </w:rPr>
        <w:t>dīzeļdegviela (gāzeļļa) un tāda dīzeļdegviela (gāzeļļa), kurai pievienota no rapšu sēklām iegūta biodīzeļdegviela un kuru izmanto atbilstoši likuma “Par akcīzes nodokli” 18.panta piektajā daļā minētajam veidam, mērķiem un nosacījumiem (lauksaimniecības produkcijas ražošanai, lauksaimniecības zemes apstrādei, kā arī tādas meža vai purva zemes apstrādei, kur kultivē dzērvenes vai mellenes un zemes zem zivju dīķiem apstrādei, ja ir nodrošināti minimālie ieņēmumi no lauksaimnieciskās ražošanas)un tiek iezīmēti (marķēti)</w:t>
      </w:r>
    </w:p>
  </w:footnote>
  <w:footnote w:id="108">
    <w:p w14:paraId="740860F3" w14:textId="77777777" w:rsidR="007A7EAC" w:rsidRPr="00A45809" w:rsidRDefault="007A7EAC" w:rsidP="00A45809">
      <w:pPr>
        <w:pStyle w:val="FootnoteText"/>
        <w:rPr>
          <w:rFonts w:asciiTheme="minorHAnsi" w:hAnsiTheme="minorHAnsi" w:cstheme="minorHAnsi"/>
          <w:lang w:val="en-US"/>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Nacionālā zinātniskās darbības informācijas sistēma (NZDIS) </w:t>
      </w:r>
      <w:r w:rsidRPr="00A45809">
        <w:rPr>
          <w:rStyle w:val="standard-description"/>
          <w:rFonts w:asciiTheme="minorHAnsi" w:hAnsiTheme="minorHAnsi" w:cstheme="minorHAnsi"/>
        </w:rPr>
        <w:t xml:space="preserve">Zinātniskajās institūcijās akadēmiskajos amatos ievēlēto personu reģistrs, </w:t>
      </w:r>
      <w:r w:rsidRPr="00A45809">
        <w:rPr>
          <w:rFonts w:asciiTheme="minorHAnsi" w:eastAsia="Times New Roman" w:hAnsiTheme="minorHAnsi" w:cstheme="minorHAnsi"/>
        </w:rPr>
        <w:t xml:space="preserve">(dati uz 08.08.2019.) </w:t>
      </w:r>
      <w:r w:rsidRPr="00A45809">
        <w:rPr>
          <w:rFonts w:asciiTheme="minorHAnsi" w:hAnsiTheme="minorHAnsi" w:cstheme="minorHAnsi"/>
        </w:rPr>
        <w:t xml:space="preserve"> </w:t>
      </w:r>
      <w:hyperlink w:history="1">
        <w:r w:rsidRPr="00A45809">
          <w:rPr>
            <w:rStyle w:val="Hyperlink"/>
            <w:rFonts w:asciiTheme="minorHAnsi" w:hAnsiTheme="minorHAnsi" w:cstheme="minorHAnsi"/>
          </w:rPr>
          <w:t xml:space="preserve">https://sciencelatvia.lv </w:t>
        </w:r>
      </w:hyperlink>
    </w:p>
  </w:footnote>
  <w:footnote w:id="109">
    <w:p w14:paraId="007C2F82" w14:textId="77777777" w:rsidR="007A7EAC" w:rsidRPr="00A45809" w:rsidRDefault="007A7EAC" w:rsidP="00A45809">
      <w:pPr>
        <w:pStyle w:val="FootnoteText"/>
        <w:rPr>
          <w:rFonts w:asciiTheme="minorHAnsi" w:hAnsiTheme="minorHAnsi" w:cstheme="minorHAnsi"/>
          <w:lang w:val="en-US"/>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Eiropas Patentu birojs, </w:t>
      </w:r>
      <w:hyperlink r:id="rId40" w:history="1">
        <w:r w:rsidRPr="00A45809">
          <w:rPr>
            <w:rStyle w:val="Hyperlink"/>
            <w:rFonts w:asciiTheme="minorHAnsi" w:hAnsiTheme="minorHAnsi" w:cstheme="minorHAnsi"/>
          </w:rPr>
          <w:t>https://www.epo.org/</w:t>
        </w:r>
      </w:hyperlink>
      <w:r w:rsidRPr="00A45809">
        <w:rPr>
          <w:rFonts w:asciiTheme="minorHAnsi" w:hAnsiTheme="minorHAnsi" w:cstheme="minorHAnsi"/>
        </w:rPr>
        <w:t xml:space="preserve"> </w:t>
      </w:r>
    </w:p>
  </w:footnote>
  <w:footnote w:id="110">
    <w:p w14:paraId="373750FD" w14:textId="77777777" w:rsidR="007A7EAC" w:rsidRPr="00A45809" w:rsidRDefault="007A7EAC" w:rsidP="00A45809">
      <w:pPr>
        <w:pStyle w:val="FootnoteText"/>
        <w:rPr>
          <w:rFonts w:asciiTheme="minorHAnsi" w:hAnsiTheme="minorHAnsi" w:cstheme="minorHAnsi"/>
          <w:lang w:val="en-US"/>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41" w:history="1">
        <w:r w:rsidRPr="00A45809">
          <w:rPr>
            <w:rStyle w:val="Hyperlink"/>
            <w:rFonts w:asciiTheme="minorHAnsi" w:hAnsiTheme="minorHAnsi" w:cstheme="minorHAnsi"/>
          </w:rPr>
          <w:t>https://likumi.lv/ta/id/287272-jaunuznemumu-darbibas-atbalsta-likums</w:t>
        </w:r>
      </w:hyperlink>
      <w:r w:rsidRPr="00A45809">
        <w:rPr>
          <w:rFonts w:asciiTheme="minorHAnsi" w:hAnsiTheme="minorHAnsi" w:cstheme="minorHAnsi"/>
        </w:rPr>
        <w:t xml:space="preserve"> </w:t>
      </w:r>
    </w:p>
  </w:footnote>
  <w:footnote w:id="111">
    <w:p w14:paraId="602ACDAE" w14:textId="77777777" w:rsidR="007A7EAC" w:rsidRPr="00A45809" w:rsidRDefault="007A7EAC" w:rsidP="00A45809">
      <w:pPr>
        <w:pStyle w:val="FootnoteText"/>
        <w:rPr>
          <w:rFonts w:asciiTheme="minorHAnsi" w:hAnsiTheme="minorHAnsi" w:cstheme="minorHAnsi"/>
          <w:lang w:val="en-US"/>
        </w:rPr>
      </w:pPr>
      <w:r w:rsidRPr="00A45809">
        <w:rPr>
          <w:rStyle w:val="FootnoteReference"/>
          <w:rFonts w:asciiTheme="minorHAnsi" w:hAnsiTheme="minorHAnsi" w:cstheme="minorHAnsi"/>
        </w:rPr>
        <w:footnoteRef/>
      </w:r>
      <w:r w:rsidRPr="00A45809">
        <w:rPr>
          <w:rFonts w:asciiTheme="minorHAnsi" w:hAnsiTheme="minorHAnsi" w:cstheme="minorHAnsi"/>
        </w:rPr>
        <w:t xml:space="preserve"> Viedo inženiersistēmu, transporta un enerģētikas Kompetences centrs, </w:t>
      </w:r>
      <w:hyperlink r:id="rId42" w:history="1">
        <w:r w:rsidRPr="00A45809">
          <w:rPr>
            <w:rStyle w:val="Hyperlink"/>
            <w:rFonts w:asciiTheme="minorHAnsi" w:hAnsiTheme="minorHAnsi" w:cstheme="minorHAnsi"/>
          </w:rPr>
          <w:t>http://www.vitekc.lv/</w:t>
        </w:r>
      </w:hyperlink>
      <w:r w:rsidRPr="00A45809">
        <w:rPr>
          <w:rFonts w:asciiTheme="minorHAnsi" w:hAnsiTheme="minorHAnsi" w:cstheme="minorHAnsi"/>
        </w:rPr>
        <w:t xml:space="preserve"> </w:t>
      </w:r>
    </w:p>
  </w:footnote>
  <w:footnote w:id="112">
    <w:p w14:paraId="6521745C"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43" w:history="1">
        <w:r w:rsidRPr="00A45809">
          <w:rPr>
            <w:rStyle w:val="Hyperlink"/>
            <w:rFonts w:asciiTheme="minorHAnsi" w:hAnsiTheme="minorHAnsi" w:cstheme="minorHAnsi"/>
          </w:rPr>
          <w:t>http://polsis.mk.gov.lv/documents/4294</w:t>
        </w:r>
      </w:hyperlink>
    </w:p>
  </w:footnote>
  <w:footnote w:id="113">
    <w:p w14:paraId="68F9863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44" w:history="1">
        <w:r w:rsidRPr="00A45809">
          <w:rPr>
            <w:rStyle w:val="Hyperlink"/>
            <w:rFonts w:asciiTheme="minorHAnsi" w:hAnsiTheme="minorHAnsi" w:cstheme="minorHAnsi"/>
          </w:rPr>
          <w:t>https://unfccc.int/sites/default/files/english_paris_agreement.pdf</w:t>
        </w:r>
      </w:hyperlink>
      <w:r w:rsidRPr="00A45809">
        <w:rPr>
          <w:rFonts w:asciiTheme="minorHAnsi" w:hAnsiTheme="minorHAnsi" w:cstheme="minorHAnsi"/>
        </w:rPr>
        <w:t xml:space="preserve">; </w:t>
      </w:r>
      <w:hyperlink r:id="rId45" w:history="1">
        <w:r w:rsidRPr="00A45809">
          <w:rPr>
            <w:rStyle w:val="Hyperlink"/>
            <w:rFonts w:asciiTheme="minorHAnsi" w:hAnsiTheme="minorHAnsi" w:cstheme="minorHAnsi"/>
          </w:rPr>
          <w:t>https://unfccc.int/sites/default/files/resource/docs/2015/cop21/eng/10a01.pdf</w:t>
        </w:r>
      </w:hyperlink>
      <w:r w:rsidRPr="00A45809">
        <w:rPr>
          <w:rStyle w:val="Hyperlink"/>
          <w:rFonts w:asciiTheme="minorHAnsi" w:hAnsiTheme="minorHAnsi" w:cstheme="minorHAnsi"/>
        </w:rPr>
        <w:t xml:space="preserve">; </w:t>
      </w:r>
      <w:hyperlink r:id="rId46" w:history="1">
        <w:r w:rsidRPr="00A45809">
          <w:rPr>
            <w:rStyle w:val="Hyperlink"/>
            <w:rFonts w:asciiTheme="minorHAnsi" w:hAnsiTheme="minorHAnsi" w:cstheme="minorHAnsi"/>
          </w:rPr>
          <w:t>https://likumi.lv/doc.php?id=288575</w:t>
        </w:r>
      </w:hyperlink>
    </w:p>
  </w:footnote>
  <w:footnote w:id="114">
    <w:p w14:paraId="618D6BBE" w14:textId="721F1945"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https://unfccc.int/documents/194812</w:t>
      </w:r>
    </w:p>
  </w:footnote>
  <w:footnote w:id="115">
    <w:p w14:paraId="1B8D4A3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Normālrakstā iekļauti jau šobrīd spēkā esošie mērķi, kas ir noteikti saistošos ES tiesību aktos, citos Latvijas politikas plānošanas dokumentos vai tiesību aktos, treknrakstā ir atzīmēti Plānā nosakāmie saistošie mērķi</w:t>
      </w:r>
    </w:p>
  </w:footnote>
  <w:footnote w:id="116">
    <w:p w14:paraId="1663FB24" w14:textId="085A947F"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Regula 2018/841; Regula 2018/842 </w:t>
      </w:r>
    </w:p>
  </w:footnote>
  <w:footnote w:id="117">
    <w:p w14:paraId="1F2B4B80" w14:textId="76D479BB"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Tabulā minētie lielumi ir indikatīvi, jo aprēķiniem tiks izmantota 2020. gadā iesniegtās un pārbaudītās SEG inventarizācijas dati 2005.gadam un 2016., 2017. un 2018.gadam</w:t>
      </w:r>
    </w:p>
  </w:footnote>
  <w:footnote w:id="118">
    <w:p w14:paraId="5AFC39ED" w14:textId="2E1624BC"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Ne-ETS darbību SEG emisiju aprēķins veikts, izmantojot EK noteikto formulu – kopējais valsts SEG emisiju apjoms mīnus ES ETS operatoru verificētais oglekļa dioksīda emisiju apjoms mīnus vietējās aviācijas oglekļa dioksīda emisiju apjoms. Datu avoti: </w:t>
      </w:r>
      <w:hyperlink r:id="rId47" w:history="1">
        <w:r w:rsidRPr="00A45809">
          <w:rPr>
            <w:rStyle w:val="Hyperlink"/>
            <w:rFonts w:asciiTheme="minorHAnsi" w:hAnsiTheme="minorHAnsi" w:cstheme="minorHAnsi"/>
          </w:rPr>
          <w:t>https://unfccc.int/documents/194812</w:t>
        </w:r>
      </w:hyperlink>
      <w:r w:rsidRPr="00A45809">
        <w:rPr>
          <w:rFonts w:asciiTheme="minorHAnsi" w:hAnsiTheme="minorHAnsi" w:cstheme="minorHAnsi"/>
        </w:rPr>
        <w:t>; https://cdr.eionet.europa.eu/lv/eu/mmr/art08_proxy/envxta4zg</w:t>
      </w:r>
    </w:p>
  </w:footnote>
  <w:footnote w:id="119">
    <w:p w14:paraId="19471D6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48" w:history="1">
        <w:r w:rsidRPr="00A45809">
          <w:rPr>
            <w:rStyle w:val="Hyperlink"/>
            <w:rFonts w:asciiTheme="minorHAnsi" w:hAnsiTheme="minorHAnsi" w:cstheme="minorHAnsi"/>
          </w:rPr>
          <w:t>https://eur-lex.europa.eu/legal-content/LV/TXT/PDF/?uri=CELEX:32017D1471&amp;from=EN</w:t>
        </w:r>
      </w:hyperlink>
      <w:r w:rsidRPr="00A45809">
        <w:rPr>
          <w:rFonts w:asciiTheme="minorHAnsi" w:hAnsiTheme="minorHAnsi" w:cstheme="minorHAnsi"/>
        </w:rPr>
        <w:t xml:space="preserve">; </w:t>
      </w:r>
      <w:hyperlink r:id="rId49" w:history="1">
        <w:r w:rsidRPr="00A45809">
          <w:rPr>
            <w:rStyle w:val="Hyperlink"/>
            <w:rFonts w:asciiTheme="minorHAnsi" w:hAnsiTheme="minorHAnsi" w:cstheme="minorHAnsi"/>
          </w:rPr>
          <w:t>https://eur-lex.europa.eu/legal-content/LV/TXT/HTML/?uri=CELEX:32013D0634&amp;from=EN</w:t>
        </w:r>
      </w:hyperlink>
      <w:r w:rsidRPr="00A45809">
        <w:rPr>
          <w:rFonts w:asciiTheme="minorHAnsi" w:hAnsiTheme="minorHAnsi" w:cstheme="minorHAnsi"/>
        </w:rPr>
        <w:t xml:space="preserve"> </w:t>
      </w:r>
    </w:p>
  </w:footnote>
  <w:footnote w:id="120">
    <w:p w14:paraId="5840C0C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bookmarkStart w:id="323" w:name="_Hlk18926290"/>
      <w:r w:rsidRPr="00A45809">
        <w:rPr>
          <w:rFonts w:asciiTheme="minorHAnsi" w:hAnsiTheme="minorHAnsi" w:cstheme="minorHAnsi"/>
        </w:rPr>
        <w:t xml:space="preserve">Aprēķināts saskaņā ar Regulas 2018/842 4.panta 2.punkta 2.teikumā minētajām 2 aprēķinu metodēm: </w:t>
      </w:r>
      <w:bookmarkStart w:id="324" w:name="_Hlk18926744"/>
      <w:r w:rsidRPr="00A45809">
        <w:rPr>
          <w:rFonts w:asciiTheme="minorHAnsi" w:hAnsiTheme="minorHAnsi" w:cstheme="minorHAnsi"/>
        </w:rPr>
        <w:t>lineārā trajektorijā, kuras izejas punkts ir 2016., 2017. un 2018. gada vidējais SEG emisiju apjoms, bet beigu punkts – 2030. gadā noteiktais ierobežojums, un</w:t>
      </w:r>
      <w:bookmarkEnd w:id="324"/>
      <w:r w:rsidRPr="00A45809">
        <w:rPr>
          <w:rFonts w:asciiTheme="minorHAnsi" w:hAnsiTheme="minorHAnsi" w:cstheme="minorHAnsi"/>
        </w:rPr>
        <w:t xml:space="preserve"> lineārās trajektorijas izejas punkts ir 1) piecās divpadsmitajās daļās no laika perioda starp 2019. un 2020. gadu; 2) 2020. gadā – atkarībā no tā, kurš no abiem attiecīgajai dalībvalstij aprēķina rezultātā dod mazāku sadales apjomu</w:t>
      </w:r>
      <w:bookmarkEnd w:id="323"/>
    </w:p>
  </w:footnote>
  <w:footnote w:id="121">
    <w:p w14:paraId="3DD996AB" w14:textId="0FD91781"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50" w:history="1">
        <w:r w:rsidRPr="00A45809">
          <w:rPr>
            <w:rStyle w:val="Hyperlink"/>
            <w:rFonts w:asciiTheme="minorHAnsi" w:hAnsiTheme="minorHAnsi" w:cstheme="minorHAnsi"/>
          </w:rPr>
          <w:t>http://polsis.mk.gov.lv/documents/6507</w:t>
        </w:r>
      </w:hyperlink>
    </w:p>
  </w:footnote>
  <w:footnote w:id="122">
    <w:p w14:paraId="5363C803"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51" w:history="1">
        <w:r w:rsidRPr="00A45809">
          <w:rPr>
            <w:rStyle w:val="Hyperlink"/>
            <w:rFonts w:asciiTheme="minorHAnsi" w:hAnsiTheme="minorHAnsi" w:cstheme="minorHAnsi"/>
          </w:rPr>
          <w:t>https://eur-lex.europa.eu/legal-content/LV/TXT/PDF/?uri=CELEX:32018L2001&amp;from=EN</w:t>
        </w:r>
      </w:hyperlink>
    </w:p>
  </w:footnote>
  <w:footnote w:id="123">
    <w:p w14:paraId="472F840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Normālrakstā iekļauti jau šobrīd spēkā esošie mērķi, kas ir noteikti saistošos ES tiesību aktos, citos Latvijas politikas plānošanas dokumentos vai tiesību aktos, slīprakstā ir atzīmēti Plānā nosakāmie indikatīvie mērķi, treknrakstā ir atzīmēti Plānā nosakāmie saistošie mērķi</w:t>
      </w:r>
    </w:p>
  </w:footnote>
  <w:footnote w:id="124">
    <w:p w14:paraId="04E7F6AE" w14:textId="72B4A664"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2022., 2025., 2027.g. indikatīvās mērķrādītāja vērtības noteiktas saskaņā ar Regulas 2018/1999 4.panta (a) apakšpunkta 2.punktā iekļautajiem nosacījumiem</w:t>
      </w:r>
    </w:p>
  </w:footnote>
  <w:footnote w:id="125">
    <w:p w14:paraId="51EF1C4B"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EK rekomendācijās stingri ieteiktā mērķa vērtība (</w:t>
      </w:r>
      <w:hyperlink r:id="rId52" w:history="1">
        <w:r w:rsidRPr="00A45809">
          <w:rPr>
            <w:rStyle w:val="Hyperlink"/>
            <w:rFonts w:asciiTheme="minorHAnsi" w:hAnsiTheme="minorHAnsi" w:cstheme="minorHAnsi"/>
          </w:rPr>
          <w:t>https://em.gov.lv/files/attachments/lv_rec_lv.pdf</w:t>
        </w:r>
      </w:hyperlink>
      <w:r w:rsidRPr="00A45809">
        <w:rPr>
          <w:rFonts w:asciiTheme="minorHAnsi" w:hAnsiTheme="minorHAnsi" w:cstheme="minorHAnsi"/>
        </w:rPr>
        <w:t xml:space="preserve">) </w:t>
      </w:r>
    </w:p>
  </w:footnote>
  <w:footnote w:id="126">
    <w:p w14:paraId="5D1D5418" w14:textId="77777777" w:rsidR="007A7EAC" w:rsidRPr="00A45809" w:rsidRDefault="007A7EAC" w:rsidP="00A45809">
      <w:pPr>
        <w:spacing w:after="0" w:line="240" w:lineRule="auto"/>
        <w:jc w:val="both"/>
        <w:rPr>
          <w:rFonts w:cstheme="minorHAnsi"/>
          <w:sz w:val="18"/>
          <w:szCs w:val="18"/>
        </w:rPr>
      </w:pPr>
      <w:r w:rsidRPr="00A45809">
        <w:rPr>
          <w:rStyle w:val="FootnoteReference"/>
          <w:rFonts w:cstheme="minorHAnsi"/>
          <w:sz w:val="18"/>
          <w:szCs w:val="18"/>
        </w:rPr>
        <w:footnoteRef/>
      </w:r>
      <w:r w:rsidRPr="00A45809">
        <w:rPr>
          <w:rFonts w:cstheme="minorHAnsi"/>
          <w:sz w:val="18"/>
          <w:szCs w:val="18"/>
        </w:rPr>
        <w:t xml:space="preserve"> 2022., 2025., 2027.gada indikatīvās mērķrādītāja vērtības noteiktas saskaņā ar Direktīvas 2018/2001 23.panta 1. un 2.punktu. </w:t>
      </w:r>
      <w:r w:rsidRPr="00A45809">
        <w:rPr>
          <w:rFonts w:cstheme="minorHAnsi"/>
          <w:b/>
          <w:bCs/>
          <w:sz w:val="18"/>
          <w:szCs w:val="18"/>
        </w:rPr>
        <w:t>2022., 2025., 2027.g. indikatīvā AER īpatsvara siltumenerģijas un aukstumenerģijas ražošanā vērtības tiks pārrēķinātas 2021.gadā, ņemot vērā 2020.gada indikatīvo AER īpatsvaru siltumenerģijas un aukstumenerģijas ražošanā saskaņā ar Direktīvas 2018/2001 23.panta 1.punktu, jo aprēķinā kā atsauces vērtība ir jāizmanto 2020.gada vērtība</w:t>
      </w:r>
    </w:p>
  </w:footnote>
  <w:footnote w:id="127">
    <w:p w14:paraId="492FF74F"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Aprēķinot AER īpatsvaru transportā, no modernajām biodegvielām un biogāzes iegūtu enerģijas daudzumu var uzskatīt par divkāršu, ja tās iegūtas no izejvielām, kas minētas Direktīvas 2018/2001 IX pielikuma A un B daļā. Šī pielikuma B daļā minēto izejvielu izmantošanas apjoms ir ierobežots līdz 1,7% no transporta galapatēriņa (pēc enerģijas daudzuma), tādējādi no B daļā minētajām izejvielām ražotu biodegvielu un biogāzes īpatsvars 2030.gadā nevarēs pārsniegt 3,4% (ar dubulto ieskaiti)  </w:t>
      </w:r>
    </w:p>
  </w:footnote>
  <w:footnote w:id="128">
    <w:p w14:paraId="43F5D90F" w14:textId="02CBC569"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modernās biodegvielas, kas tiek ražotas no Direktīvas 2018/2001 IX pielikumā minētajām izejvielām, piemēram, aļģēm, salmiem, kūtsmēsliem vai notekūdeņu dūņām,  glicerīna u.c.</w:t>
      </w:r>
    </w:p>
  </w:footnote>
  <w:footnote w:id="129">
    <w:p w14:paraId="4994E66C"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Normālrakstā iekļauti jau šobrīd spēkā esošie mērķi, kas ir noteikti saistošos ES tiesību aktos, citos Latvijas politikas plānošanas dokumentos vai tiesību aktos, slīprakstā ir atzīmēti Plānā nosakāmie indikatīvie mērķi, treknrakstā ir atzīmēti Plānā nosakāmie saistošie mērķi</w:t>
      </w:r>
    </w:p>
  </w:footnote>
  <w:footnote w:id="130">
    <w:p w14:paraId="279738A8" w14:textId="09F61D2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aprēķināts, balstoties uz EUROSTAT datiem</w:t>
      </w:r>
    </w:p>
  </w:footnote>
  <w:footnote w:id="131">
    <w:p w14:paraId="70588C2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Normālrakstā iekļauti jau šobrīd spēkā esošie mērķi, kas ir noteikti saistošos ES tiesību aktos, citos Latvijas politikas plānošanas dokumentos vai tiesību aktos, slīprakstā ir atzīmēti Plānā nosakāmie indikatīvie mērķi, treknrakstā ir atzīmēti Plānā nosakāmie saistošie mērķi</w:t>
      </w:r>
    </w:p>
  </w:footnote>
  <w:footnote w:id="132">
    <w:p w14:paraId="1004D87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Maksimālā prognoze, jo mērķis mainās ikgadēji. Kopējais mērķis līdz 2017.gada beigām ir 392 010 m</w:t>
      </w:r>
      <w:r w:rsidRPr="00A45809">
        <w:rPr>
          <w:rFonts w:asciiTheme="minorHAnsi" w:hAnsiTheme="minorHAnsi" w:cstheme="minorHAnsi"/>
          <w:vertAlign w:val="superscript"/>
        </w:rPr>
        <w:t>2</w:t>
      </w:r>
    </w:p>
  </w:footnote>
  <w:footnote w:id="133">
    <w:p w14:paraId="24F0CDC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Maksimālā prognoze</w:t>
      </w:r>
    </w:p>
  </w:footnote>
  <w:footnote w:id="134">
    <w:p w14:paraId="4512495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Normālrakstā iekļauti jau šobrīd spēkā esošie mērķi, kas ir noteikti saistošos ES tiesību aktos, citos Latvijas politikas plānošanas dokumentos vai tiesību aktos, treknrakstā ir atzīmēti Plānā nosakāmie saistošie mērķi</w:t>
      </w:r>
    </w:p>
  </w:footnote>
  <w:footnote w:id="135">
    <w:p w14:paraId="69957655"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Normālrakstā iekļauti jau šobrīd spēkā esošie mērķi, kas ir noteikti saistošos ES tiesību aktos, citos Latvijas politikas plānošanas dokumentos vai tiesību aktos, treknrakstā ir atzīmēti Plānā nosakāmie saistošie mērķi</w:t>
      </w:r>
    </w:p>
  </w:footnote>
  <w:footnote w:id="136">
    <w:p w14:paraId="25E99D4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53" w:history="1">
        <w:r w:rsidRPr="00A45809">
          <w:rPr>
            <w:rStyle w:val="Hyperlink"/>
            <w:rFonts w:asciiTheme="minorHAnsi" w:hAnsiTheme="minorHAnsi" w:cstheme="minorHAnsi"/>
          </w:rPr>
          <w:t>http://www.ast.lv/sites/default/files/editor/Gada_parsk_2017_parakstits_Final_print_arvaku_.pdf</w:t>
        </w:r>
      </w:hyperlink>
      <w:r w:rsidRPr="00A45809">
        <w:rPr>
          <w:rFonts w:asciiTheme="minorHAnsi" w:hAnsiTheme="minorHAnsi" w:cstheme="minorHAnsi"/>
        </w:rPr>
        <w:t xml:space="preserve"> </w:t>
      </w:r>
    </w:p>
  </w:footnote>
  <w:footnote w:id="137">
    <w:p w14:paraId="0E42A28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elektroenerģijas neto sistēma ir kārtība, kādā veicami maksājumi par patērēto elektroenerģiju un kādā sadales sistēmas operators veic ieskaitu par lietotāja, kas ražo elektroenerģiju savām vajadzībām no AER, patērēto elektroenerģiju un saražoto elektroenerģiju, kas nodota sadales sistēmas operatora tīklā</w:t>
      </w:r>
    </w:p>
  </w:footnote>
  <w:footnote w:id="138">
    <w:p w14:paraId="2D62D03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aizsargātais lietotājs ir trūcīgas vai maznodrošinātas ģimenes (personas), daudzbērnu ģimenes vai ģimenes (personas), kuru aprūpē ir bērns ar invaliditāti, personas ar I invaliditātes grupu, kura izlieto elektroenerģiju savā mājsaimniecībā pašas vajadzībām (galapatēriņam)</w:t>
      </w:r>
    </w:p>
  </w:footnote>
  <w:footnote w:id="139">
    <w:p w14:paraId="42D9C0E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Stratēģiskās ekosistēmas tiks veidotas kā nacionālās pētniecības un inovācijas sistēmas pamatelementi, kuri tiks attīstīti veidojot mērķtiecīgu sasaisti starp izglītības, pētniecības un uzņēmējdarbības aktivitātēm un veidojot atbilstošu finanšu sistēmu un normatīvo regulējumu.</w:t>
      </w:r>
    </w:p>
  </w:footnote>
  <w:footnote w:id="140">
    <w:p w14:paraId="36C9C38B" w14:textId="297D4B61" w:rsidR="007A7EAC" w:rsidRPr="00A45809" w:rsidRDefault="007A7EAC" w:rsidP="00A45809">
      <w:pPr>
        <w:pStyle w:val="FootnoteText"/>
        <w:rPr>
          <w:rFonts w:asciiTheme="minorHAnsi" w:eastAsia="SimSun"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54" w:history="1">
        <w:r w:rsidRPr="00A45809">
          <w:rPr>
            <w:rStyle w:val="Hyperlink"/>
            <w:rFonts w:asciiTheme="minorHAnsi" w:hAnsiTheme="minorHAnsi" w:cstheme="minorHAnsi"/>
          </w:rPr>
          <w:t>http://polsis.mk.gov.lv/documents/4294</w:t>
        </w:r>
      </w:hyperlink>
      <w:r w:rsidRPr="00A45809">
        <w:rPr>
          <w:rFonts w:asciiTheme="minorHAnsi" w:hAnsiTheme="minorHAnsi" w:cstheme="minorHAnsi"/>
        </w:rPr>
        <w:t xml:space="preserve"> </w:t>
      </w:r>
    </w:p>
  </w:footnote>
  <w:footnote w:id="141">
    <w:p w14:paraId="755F87BB"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Normālrakstā iekļauti jau šobrīd spēkā esošie mērķi, kas ir noteikti saistošos ES tiesību aktos, citos Latvijas politikas plānošanas dokumentos vai tiesību aktos, treknrakstā ir atzīmēti Plānā nosakāmie saistošie mērķi</w:t>
      </w:r>
    </w:p>
  </w:footnote>
  <w:footnote w:id="142">
    <w:p w14:paraId="6CE701C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2016.g. apjoms</w:t>
      </w:r>
    </w:p>
  </w:footnote>
  <w:footnote w:id="143">
    <w:p w14:paraId="753BF80C"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2014.-2016.g. periodā</w:t>
      </w:r>
    </w:p>
  </w:footnote>
  <w:footnote w:id="144">
    <w:p w14:paraId="18A7CC9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ES struktūrfondu un nacionālā budžeta finansējums</w:t>
      </w:r>
    </w:p>
  </w:footnote>
  <w:footnote w:id="145">
    <w:p w14:paraId="7860637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Dati par 2014.-2019.g. periodu (Apvārsnis2020)</w:t>
      </w:r>
    </w:p>
  </w:footnote>
  <w:footnote w:id="146">
    <w:p w14:paraId="24D3D4CC"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Zaļā krāsā atzīmētas Latvijas P&amp;I prioritātes 2014.-2018.g. periodā</w:t>
      </w:r>
    </w:p>
  </w:footnote>
  <w:footnote w:id="147">
    <w:p w14:paraId="27CFD27B"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Nacionālā zinātniskās darbības informācijas sistēma (NZDIS) </w:t>
      </w:r>
      <w:r w:rsidRPr="00A45809">
        <w:rPr>
          <w:rStyle w:val="standard-description"/>
          <w:rFonts w:asciiTheme="minorHAnsi" w:hAnsiTheme="minorHAnsi" w:cstheme="minorHAnsi"/>
        </w:rPr>
        <w:t xml:space="preserve">Zinātniskajās institūcijās akadēmiskajos amatos ievēlēto personu reģistrs, </w:t>
      </w:r>
      <w:r w:rsidRPr="00A45809">
        <w:rPr>
          <w:rFonts w:asciiTheme="minorHAnsi" w:eastAsia="Times New Roman" w:hAnsiTheme="minorHAnsi" w:cstheme="minorHAnsi"/>
        </w:rPr>
        <w:t xml:space="preserve">(dati uz 08.08.2019.) </w:t>
      </w:r>
      <w:r w:rsidRPr="00A45809">
        <w:rPr>
          <w:rFonts w:asciiTheme="minorHAnsi" w:hAnsiTheme="minorHAnsi" w:cstheme="minorHAnsi"/>
        </w:rPr>
        <w:t xml:space="preserve"> </w:t>
      </w:r>
      <w:hyperlink w:history="1">
        <w:r w:rsidRPr="00A45809">
          <w:rPr>
            <w:rStyle w:val="Hyperlink"/>
            <w:rFonts w:asciiTheme="minorHAnsi" w:hAnsiTheme="minorHAnsi" w:cstheme="minorHAnsi"/>
          </w:rPr>
          <w:t xml:space="preserve">https://sciencelatvia.lv </w:t>
        </w:r>
      </w:hyperlink>
    </w:p>
  </w:footnote>
  <w:footnote w:id="148">
    <w:p w14:paraId="6ACA8A47" w14:textId="4B776F3F"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Valsts budžeta un ES struktūrfondu finansētās pētniecības un inovācijas programmas un ES pētniecības un inovāciju programma “Apvārsnis2020”</w:t>
      </w:r>
    </w:p>
  </w:footnote>
  <w:footnote w:id="149">
    <w:p w14:paraId="199D0303"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Joint Research centre, Smart specialisation platform, http://s3platform.jrc.ec.europa.eu/</w:t>
      </w:r>
    </w:p>
  </w:footnote>
  <w:footnote w:id="150">
    <w:p w14:paraId="358265D8"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https://ec.europa.eu/commfrontoffice/publicopinion/index.cfm/ResultDoc/download/DocumentKy/87717</w:t>
      </w:r>
    </w:p>
  </w:footnote>
  <w:footnote w:id="151">
    <w:p w14:paraId="6689DE5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hyperlink r:id="rId55" w:history="1">
        <w:r w:rsidRPr="00A45809">
          <w:rPr>
            <w:rStyle w:val="Hyperlink"/>
            <w:rFonts w:asciiTheme="minorHAnsi" w:hAnsiTheme="minorHAnsi" w:cstheme="minorHAnsi"/>
          </w:rPr>
          <w:t>https://ec.europa.eu/commfrontoffice/publicopinion/index.cfm/survey/getsurveydetail/instruments/standard/surveyky/2253</w:t>
        </w:r>
      </w:hyperlink>
    </w:p>
  </w:footnote>
  <w:footnote w:id="152">
    <w:p w14:paraId="5224A040"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56" w:history="1">
        <w:r w:rsidRPr="00A45809">
          <w:rPr>
            <w:rStyle w:val="Hyperlink"/>
            <w:rFonts w:asciiTheme="minorHAnsi" w:hAnsiTheme="minorHAnsi" w:cstheme="minorHAnsi"/>
          </w:rPr>
          <w:t>http://klimatam.lv/</w:t>
        </w:r>
      </w:hyperlink>
      <w:r w:rsidRPr="00A45809">
        <w:rPr>
          <w:rFonts w:asciiTheme="minorHAnsi" w:hAnsiTheme="minorHAnsi" w:cstheme="minorHAnsi"/>
        </w:rPr>
        <w:t xml:space="preserve"> </w:t>
      </w:r>
    </w:p>
  </w:footnote>
  <w:footnote w:id="153">
    <w:p w14:paraId="6224AADD" w14:textId="533E8682"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kopējais SEG emisiju apjoms cilvēkam, notikumam, komersantam, vai produktam, kas rodas no preču un pakalpojumu izmantošanas. Kopējā SEG emisiju daudzums noteiktā populācijā, sistēmā vai darbībā mērījums, ņemot vērā visus attiecīgos SEG emisiju avotus, CO</w:t>
      </w:r>
      <w:r w:rsidRPr="00A45809">
        <w:rPr>
          <w:rFonts w:asciiTheme="minorHAnsi" w:hAnsiTheme="minorHAnsi" w:cstheme="minorHAnsi"/>
          <w:vertAlign w:val="subscript"/>
        </w:rPr>
        <w:t>2</w:t>
      </w:r>
      <w:r w:rsidRPr="00A45809">
        <w:rPr>
          <w:rFonts w:asciiTheme="minorHAnsi" w:hAnsiTheme="minorHAnsi" w:cstheme="minorHAnsi"/>
        </w:rPr>
        <w:t xml:space="preserve"> piesaistes un CO</w:t>
      </w:r>
      <w:r w:rsidRPr="00A45809">
        <w:rPr>
          <w:rFonts w:asciiTheme="minorHAnsi" w:hAnsiTheme="minorHAnsi" w:cstheme="minorHAnsi"/>
          <w:vertAlign w:val="subscript"/>
        </w:rPr>
        <w:t>2</w:t>
      </w:r>
      <w:r w:rsidRPr="00A45809">
        <w:rPr>
          <w:rFonts w:asciiTheme="minorHAnsi" w:hAnsiTheme="minorHAnsi" w:cstheme="minorHAnsi"/>
        </w:rPr>
        <w:t xml:space="preserve"> uzglabāšanu populācijas, sistēmas vai darbības teritoriālās un laika robežas</w:t>
      </w:r>
    </w:p>
  </w:footnote>
  <w:footnote w:id="154">
    <w:p w14:paraId="2CF85ED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FM, VID</w:t>
      </w:r>
    </w:p>
  </w:footnote>
  <w:footnote w:id="155">
    <w:p w14:paraId="35F29EE8"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CSP</w:t>
      </w:r>
    </w:p>
  </w:footnote>
  <w:footnote w:id="156">
    <w:p w14:paraId="37C6F0A4"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Valsts zemes dienesta sniegtie Nekustamā īpašuma valsts kadastra informācijas sistēmas dati uz 2017.gada 1.janvāri.</w:t>
      </w:r>
    </w:p>
  </w:footnote>
  <w:footnote w:id="157">
    <w:p w14:paraId="660A8C8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Būvniecības informācijas sistēmas Ēku energosertifikātu reģistra apkopojums uz 2019.gada 5. septembri</w:t>
      </w:r>
    </w:p>
  </w:footnote>
  <w:footnote w:id="158">
    <w:p w14:paraId="3DBF20A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Valsts ēku saraksta - </w:t>
      </w:r>
      <w:r w:rsidRPr="00A45809">
        <w:rPr>
          <w:rFonts w:asciiTheme="minorHAnsi" w:hAnsiTheme="minorHAnsi" w:cstheme="minorHAnsi"/>
          <w:shd w:val="clear" w:color="auto" w:fill="FFFFFF"/>
        </w:rPr>
        <w:t>tiek apkopoti dati par Valsts institūciju īpašumā, valdījumā un lietošanā esošās ēkām ar kopējo platību virs 250 m</w:t>
      </w:r>
      <w:r w:rsidRPr="00A45809">
        <w:rPr>
          <w:rFonts w:asciiTheme="minorHAnsi" w:hAnsiTheme="minorHAnsi" w:cstheme="minorHAnsi"/>
          <w:shd w:val="clear" w:color="auto" w:fill="FFFFFF"/>
          <w:vertAlign w:val="superscript"/>
        </w:rPr>
        <w:t>2</w:t>
      </w:r>
      <w:r w:rsidRPr="00A45809">
        <w:rPr>
          <w:rFonts w:asciiTheme="minorHAnsi" w:hAnsiTheme="minorHAnsi" w:cstheme="minorHAnsi"/>
          <w:shd w:val="clear" w:color="auto" w:fill="FFFFFF"/>
        </w:rPr>
        <w:t>,</w:t>
      </w:r>
      <w:r w:rsidRPr="00A45809">
        <w:rPr>
          <w:rFonts w:asciiTheme="minorHAnsi" w:hAnsiTheme="minorHAnsi" w:cstheme="minorHAnsi"/>
        </w:rPr>
        <w:t xml:space="preserve"> dati par 2017.gada enerģijas patēriņiem:</w:t>
      </w:r>
    </w:p>
    <w:p w14:paraId="6854137C" w14:textId="77777777" w:rsidR="007A7EAC" w:rsidRPr="00A45809" w:rsidRDefault="004458DE" w:rsidP="00A45809">
      <w:pPr>
        <w:pStyle w:val="FootnoteText"/>
        <w:rPr>
          <w:rFonts w:asciiTheme="minorHAnsi" w:hAnsiTheme="minorHAnsi" w:cstheme="minorHAnsi"/>
        </w:rPr>
      </w:pPr>
      <w:hyperlink r:id="rId57" w:history="1">
        <w:r w:rsidR="007A7EAC" w:rsidRPr="00A45809">
          <w:rPr>
            <w:rStyle w:val="Hyperlink"/>
            <w:rFonts w:asciiTheme="minorHAnsi" w:hAnsiTheme="minorHAnsi" w:cstheme="minorHAnsi"/>
          </w:rPr>
          <w:t>https://www.em.gov.lv/lv/nozares_politika/majokli/eku_energoefektivitate/no_direktivas_2012_27_es_par_energoefektivitati_izrietosas_prasibas/</w:t>
        </w:r>
      </w:hyperlink>
    </w:p>
  </w:footnote>
  <w:footnote w:id="159">
    <w:p w14:paraId="7C7C6910" w14:textId="6DAF5B16"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Centrālās valdības ēku definīcija noteikta MK 2013.gada 2.decembra rīkojumā Nr.587 “Par Koncepciju par Eiropas Parlamenta un Padomes 2012.gada 25.oktobra Direktīvas 2012/27/ES par energoefektivitāti, ar ko groza Direktīvas 2009/125/EK un 2010/30/ES un atceļ Direktīvas 2004/8/EK un 2006/32/EK, prasību pārņemšanu normatīvajos aktos</w:t>
      </w:r>
    </w:p>
  </w:footnote>
  <w:footnote w:id="160">
    <w:p w14:paraId="3124A96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CSB</w:t>
      </w:r>
    </w:p>
  </w:footnote>
  <w:footnote w:id="161">
    <w:p w14:paraId="2EAFF702" w14:textId="3984EAB6"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skatīt, piemēram: IRENA (2019), Renewable Power Generation Costs in 2018, International Renewable Energy Agency, Abu Dhabi, </w:t>
      </w:r>
      <w:hyperlink r:id="rId58" w:history="1">
        <w:r w:rsidRPr="00A45809">
          <w:rPr>
            <w:rStyle w:val="Hyperlink"/>
            <w:rFonts w:asciiTheme="minorHAnsi" w:hAnsiTheme="minorHAnsi" w:cstheme="minorHAnsi"/>
          </w:rPr>
          <w:t>https://www.irena.org/publications/2019/May/Renewable-power-generation-costs-in-2018</w:t>
        </w:r>
      </w:hyperlink>
    </w:p>
  </w:footnote>
  <w:footnote w:id="162">
    <w:p w14:paraId="2FA3DA60" w14:textId="7E10043B"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59" w:history="1">
        <w:r w:rsidRPr="00A45809">
          <w:rPr>
            <w:rStyle w:val="Hyperlink"/>
            <w:rFonts w:asciiTheme="minorHAnsi" w:hAnsiTheme="minorHAnsi" w:cstheme="minorHAnsi"/>
          </w:rPr>
          <w:t>https://solargis.com/maps-and-gis-data/download/europe</w:t>
        </w:r>
      </w:hyperlink>
    </w:p>
  </w:footnote>
  <w:footnote w:id="163">
    <w:p w14:paraId="3BFD55C3" w14:textId="76CAFD4F"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60" w:history="1">
        <w:r w:rsidRPr="00A45809">
          <w:rPr>
            <w:rStyle w:val="Hyperlink"/>
            <w:rFonts w:asciiTheme="minorHAnsi" w:hAnsiTheme="minorHAnsi" w:cstheme="minorHAnsi"/>
          </w:rPr>
          <w:t>https://op.europa.eu/en/publication-detail/-/publication/9590cdee-cd30-11e9-992f-01aa75ed71a1/language-en/format-PDF/source-107469700</w:t>
        </w:r>
      </w:hyperlink>
    </w:p>
  </w:footnote>
  <w:footnote w:id="164">
    <w:p w14:paraId="16AAECE3" w14:textId="0B1B031E"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Elektroenerģijas tirgus likuma 30.</w:t>
      </w:r>
      <w:r w:rsidRPr="00A45809">
        <w:rPr>
          <w:rFonts w:asciiTheme="minorHAnsi" w:hAnsiTheme="minorHAnsi" w:cstheme="minorHAnsi"/>
          <w:vertAlign w:val="superscript"/>
        </w:rPr>
        <w:t>1</w:t>
      </w:r>
      <w:r w:rsidRPr="00A45809">
        <w:rPr>
          <w:rFonts w:asciiTheme="minorHAnsi" w:hAnsiTheme="minorHAnsi" w:cstheme="minorHAnsi"/>
        </w:rPr>
        <w:t xml:space="preserve"> pants, skatīt: https://likumi.lv/ta/id/108834#p30.1</w:t>
      </w:r>
    </w:p>
  </w:footnote>
  <w:footnote w:id="165">
    <w:p w14:paraId="6EA83C85" w14:textId="2637D026"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AS “Sadales tīkls”</w:t>
      </w:r>
    </w:p>
  </w:footnote>
  <w:footnote w:id="166">
    <w:p w14:paraId="7CE562A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naftas un gāzveida produktu pārvade cauruļvados, kur enerģija tiek izmantota pārvades nodrošināšanai</w:t>
      </w:r>
    </w:p>
  </w:footnote>
  <w:footnote w:id="167">
    <w:p w14:paraId="0705C55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CSP</w:t>
      </w:r>
    </w:p>
  </w:footnote>
  <w:footnote w:id="168">
    <w:p w14:paraId="037017B0"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2019. gada SEG inventarizācija un aptuvenā SEG inventarizācija par 2018. gadu</w:t>
      </w:r>
    </w:p>
  </w:footnote>
  <w:footnote w:id="169">
    <w:p w14:paraId="7E496B30"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CSDD, CSP</w:t>
      </w:r>
    </w:p>
  </w:footnote>
  <w:footnote w:id="170">
    <w:p w14:paraId="61A20FBD"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Izteiktu CO</w:t>
      </w:r>
      <w:r w:rsidRPr="00A45809">
        <w:rPr>
          <w:rFonts w:asciiTheme="minorHAnsi" w:hAnsiTheme="minorHAnsi" w:cstheme="minorHAnsi"/>
          <w:vertAlign w:val="subscript"/>
        </w:rPr>
        <w:t>2</w:t>
      </w:r>
      <w:r w:rsidRPr="00A45809">
        <w:rPr>
          <w:rFonts w:asciiTheme="minorHAnsi" w:hAnsiTheme="minorHAnsi" w:cstheme="minorHAnsi"/>
        </w:rPr>
        <w:t xml:space="preserve"> tonnās uz TJ</w:t>
      </w:r>
    </w:p>
  </w:footnote>
  <w:footnote w:id="171">
    <w:p w14:paraId="2142B6E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61" w:history="1">
        <w:r w:rsidRPr="00A45809">
          <w:rPr>
            <w:rStyle w:val="Hyperlink"/>
            <w:rFonts w:asciiTheme="minorHAnsi" w:hAnsiTheme="minorHAnsi" w:cstheme="minorHAnsi"/>
          </w:rPr>
          <w:t>http://www.meteo.lv/fs/files/CMSP_Static_Page_Attach/00/00/00/02/03/1548165912_CO2_met_2019.pdf</w:t>
        </w:r>
      </w:hyperlink>
      <w:r w:rsidRPr="00A45809">
        <w:rPr>
          <w:rFonts w:asciiTheme="minorHAnsi" w:hAnsiTheme="minorHAnsi" w:cstheme="minorHAnsi"/>
        </w:rPr>
        <w:t xml:space="preserve"> </w:t>
      </w:r>
    </w:p>
  </w:footnote>
  <w:footnote w:id="172">
    <w:p w14:paraId="176E9AD3" w14:textId="60FA6202"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Saskaņā ar Direktīvas 2009/28/EK nosacījumiem (aprēķinu metodiku)</w:t>
      </w:r>
    </w:p>
  </w:footnote>
  <w:footnote w:id="173">
    <w:p w14:paraId="0936564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Autotransporta direkcija</w:t>
      </w:r>
    </w:p>
  </w:footnote>
  <w:footnote w:id="174">
    <w:p w14:paraId="0498185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SKDS aptaujas, 2017–2019</w:t>
      </w:r>
    </w:p>
  </w:footnote>
  <w:footnote w:id="175">
    <w:p w14:paraId="652CD78A"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saīsinājums no: </w:t>
      </w:r>
      <w:r w:rsidRPr="00A45809">
        <w:rPr>
          <w:rFonts w:asciiTheme="minorHAnsi" w:hAnsiTheme="minorHAnsi" w:cstheme="minorHAnsi"/>
          <w:iCs/>
        </w:rPr>
        <w:t>Belarus, Russia, Estonia, Latvia, Lithuania</w:t>
      </w:r>
    </w:p>
  </w:footnote>
  <w:footnote w:id="176">
    <w:p w14:paraId="0455B2C9" w14:textId="7430B91D"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MK 2013.gada 30.aprīļa noteikumos Nr.240 “Vispārīgie teritorijas plānošanas, izmantošanas un apbūves noteikumi”</w:t>
      </w:r>
    </w:p>
  </w:footnote>
  <w:footnote w:id="177">
    <w:p w14:paraId="66B880D7"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Agregators ir tirgus dalībnieks, kas summē vairāku klientu nepatērēto jaudu vai saražoto elektroenerģiju pārdošanai, iepirkumiem, izsolei vai jebkādam regulētam elektroenerģijas tirgum. Neatkarīga agregatora (tāda, kurš nav piesaistīts nevienam elektroenerģijas tirgotājam vai citam tirgus dalībniekam) gadījumā, gala patērētājam jāslēdz divi līgumi – piegādes līgums ar elektroenerģijas tirgotāju un “elastības līgums” ar agregatoru. Elastības līgums agregatoram nodrošina tiešu pieeju gala patērētāja jaudai un iekārtām un tirgus nepieciešamības gadījumā, agregators, kontrolēti samazina lietotāja patēriņu, ar šo nepatērēto elektroenerģiju pēc tam piedaloties tirgū. Atsevišķs norēķinu mehānisms regulē, kā un vai agregators kompenesē tirgotājam pārvadīto gala patērētāja ietaupīto vai virslimita elektroenerģiju, ar ko operējis agregators. Tirgotājam piesaistīts agregators pilda savu funkciju, ar kontroles mehānismiem rezervējot tirgotāja definētu elektroenerģijas ietaupījumu gala patērētājam. Tādējādi tirgotājam ir zināma elektroenerģijas rezerve, ko nepieciešamības gadījumā tas var izmantot tirgus balansēšanai vai augstas elektroenerģijas cenas apstākļos. Gala patērētājs slēdz vienu līgumu – tikai ar tirgotāju. Agregators var apvienot elektroenerģijas patēriņa samazinājumu/pieaugumu, elektroenerģijas  ražošanas samazinājumu/pieaugumu vai kombinēt abu šo procesu gaitā radušos elektroenerģiju.</w:t>
      </w:r>
    </w:p>
  </w:footnote>
  <w:footnote w:id="178">
    <w:p w14:paraId="4F339E4F"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hyperlink r:id="rId62" w:history="1">
        <w:r w:rsidRPr="00A45809">
          <w:rPr>
            <w:rStyle w:val="Hyperlink"/>
            <w:rFonts w:asciiTheme="minorHAnsi" w:hAnsiTheme="minorHAnsi" w:cstheme="minorHAnsi"/>
          </w:rPr>
          <w:t>https://www.em.gov.lv/lv/nozares_politika/valsts_petijumu_programma__energetika_/konkurss__ilgtspejiga_energetikas_infrastruktura_un_tirgus_/</w:t>
        </w:r>
      </w:hyperlink>
    </w:p>
  </w:footnote>
  <w:footnote w:id="179">
    <w:p w14:paraId="0A4D0D40"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hyperlink r:id="rId63" w:history="1">
        <w:r w:rsidRPr="00A45809">
          <w:rPr>
            <w:rStyle w:val="Hyperlink"/>
            <w:rFonts w:asciiTheme="minorHAnsi" w:hAnsiTheme="minorHAnsi" w:cstheme="minorHAnsi"/>
          </w:rPr>
          <w:t>http://www.zrea.lv/lv/jaunumi_5/ar_starptautiska_projekta_step_palidzibu_lpiaa_noteiks_energijas_nabadzibas_kriterijus_3030/</w:t>
        </w:r>
      </w:hyperlink>
    </w:p>
  </w:footnote>
  <w:footnote w:id="180">
    <w:p w14:paraId="4FA39FEA"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Latvijas SEG inventarizācijas ziņojums par 1990.-2017. gadu </w:t>
      </w:r>
      <w:hyperlink r:id="rId64" w:history="1">
        <w:r w:rsidRPr="00A45809">
          <w:rPr>
            <w:rStyle w:val="Hyperlink"/>
            <w:rFonts w:asciiTheme="minorHAnsi" w:hAnsiTheme="minorHAnsi" w:cstheme="minorHAnsi"/>
          </w:rPr>
          <w:t>https://unfccc.int/documents/194812</w:t>
        </w:r>
      </w:hyperlink>
      <w:r w:rsidRPr="00A45809">
        <w:rPr>
          <w:rFonts w:asciiTheme="minorHAnsi" w:hAnsiTheme="minorHAnsi" w:cstheme="minorHAnsi"/>
        </w:rPr>
        <w:t xml:space="preserve"> </w:t>
      </w:r>
    </w:p>
  </w:footnote>
  <w:footnote w:id="181">
    <w:p w14:paraId="533AB6D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color w:val="333333"/>
          <w:shd w:val="clear" w:color="auto" w:fill="FFFFFF"/>
        </w:rPr>
        <w:t xml:space="preserve">Sadzīves un bīstamie atkritumi, to savākšana un pārstrāde </w:t>
      </w:r>
      <w:hyperlink r:id="rId65" w:history="1">
        <w:r w:rsidRPr="00A45809">
          <w:rPr>
            <w:rStyle w:val="Hyperlink"/>
            <w:rFonts w:asciiTheme="minorHAnsi" w:hAnsiTheme="minorHAnsi" w:cstheme="minorHAnsi"/>
          </w:rPr>
          <w:t>https://data1.csb.gov.lv/pxweb/lv/vide/vide__vide__ikgad/VIG040.px/table/tableViewLayout1/</w:t>
        </w:r>
      </w:hyperlink>
      <w:r w:rsidRPr="00A45809">
        <w:rPr>
          <w:rFonts w:asciiTheme="minorHAnsi" w:hAnsiTheme="minorHAnsi" w:cstheme="minorHAnsi"/>
        </w:rPr>
        <w:t xml:space="preserve"> </w:t>
      </w:r>
    </w:p>
  </w:footnote>
  <w:footnote w:id="182">
    <w:p w14:paraId="0E851FFD"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https://ec.europa.eu/eurostat/statistics-explained/index.php?title=Waste_statistics/lv</w:t>
      </w:r>
    </w:p>
  </w:footnote>
  <w:footnote w:id="183">
    <w:p w14:paraId="2428E422"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66" w:history="1">
        <w:r w:rsidRPr="00A45809">
          <w:rPr>
            <w:rStyle w:val="Hyperlink"/>
            <w:rFonts w:asciiTheme="minorHAnsi" w:hAnsiTheme="minorHAnsi" w:cstheme="minorHAnsi"/>
          </w:rPr>
          <w:t>https://unfccc.int/documents/194812</w:t>
        </w:r>
      </w:hyperlink>
      <w:r w:rsidRPr="00A45809">
        <w:rPr>
          <w:rFonts w:asciiTheme="minorHAnsi" w:hAnsiTheme="minorHAnsi" w:cstheme="minorHAnsi"/>
        </w:rPr>
        <w:t xml:space="preserve"> </w:t>
      </w:r>
    </w:p>
  </w:footnote>
  <w:footnote w:id="184">
    <w:p w14:paraId="252B0FD3" w14:textId="3E91499E" w:rsidR="00A45809" w:rsidRPr="00A45809" w:rsidRDefault="00A45809"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EUROSTAT</w:t>
      </w:r>
    </w:p>
  </w:footnote>
  <w:footnote w:id="185">
    <w:p w14:paraId="4FC4C12B"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Aprites ekonomika: vairāk pārstrādes, mazāk atkritumu poligonos </w:t>
      </w:r>
      <w:hyperlink r:id="rId67" w:history="1">
        <w:r w:rsidRPr="00A45809">
          <w:rPr>
            <w:rStyle w:val="Hyperlink"/>
            <w:rFonts w:asciiTheme="minorHAnsi" w:hAnsiTheme="minorHAnsi" w:cstheme="minorHAnsi"/>
          </w:rPr>
          <w:t>http://www.europarl.europa.eu/latvia/lv/jaunumi/2018/aprila_jaunumi_2018/atkritumu_skirosana.html</w:t>
        </w:r>
      </w:hyperlink>
      <w:r w:rsidRPr="00A45809">
        <w:rPr>
          <w:rFonts w:asciiTheme="minorHAnsi" w:hAnsiTheme="minorHAnsi" w:cstheme="minorHAnsi"/>
        </w:rPr>
        <w:t xml:space="preserve"> </w:t>
      </w:r>
    </w:p>
  </w:footnote>
  <w:footnote w:id="186">
    <w:p w14:paraId="4A338023"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N. Belmane (2013) Ievads ekodizainā </w:t>
      </w:r>
      <w:hyperlink r:id="rId68" w:history="1">
        <w:r w:rsidRPr="00A45809">
          <w:rPr>
            <w:rStyle w:val="Hyperlink"/>
            <w:rFonts w:asciiTheme="minorHAnsi" w:hAnsiTheme="minorHAnsi" w:cstheme="minorHAnsi"/>
          </w:rPr>
          <w:t>https://www.liaa.gov.lv/files/liaa/attachments/01_namedabelmane_ievads-ekodizains.pdf</w:t>
        </w:r>
      </w:hyperlink>
      <w:r w:rsidRPr="00A45809">
        <w:rPr>
          <w:rFonts w:asciiTheme="minorHAnsi" w:hAnsiTheme="minorHAnsi" w:cstheme="minorHAnsi"/>
        </w:rPr>
        <w:t xml:space="preserve"> </w:t>
      </w:r>
    </w:p>
  </w:footnote>
  <w:footnote w:id="187">
    <w:p w14:paraId="3B5D7BA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69" w:history="1">
        <w:r w:rsidRPr="00A45809">
          <w:rPr>
            <w:rStyle w:val="Hyperlink"/>
            <w:rFonts w:asciiTheme="minorHAnsi" w:hAnsiTheme="minorHAnsi" w:cstheme="minorHAnsi"/>
          </w:rPr>
          <w:t>https://www.vzd.gov.lv/lv/parskati-un-statistika/statistika/statistika-no-kadastra/ZLV/</w:t>
        </w:r>
      </w:hyperlink>
    </w:p>
  </w:footnote>
  <w:footnote w:id="188">
    <w:p w14:paraId="74AFE98E"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2019. gada Nacionālais meža monitorings</w:t>
      </w:r>
    </w:p>
  </w:footnote>
  <w:footnote w:id="189">
    <w:p w14:paraId="1B9FE23A"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2019. gada Latvijas SEG inventarizācija </w:t>
      </w:r>
      <w:hyperlink r:id="rId70" w:history="1">
        <w:r w:rsidRPr="00A45809">
          <w:rPr>
            <w:rStyle w:val="Hyperlink"/>
            <w:rFonts w:asciiTheme="minorHAnsi" w:hAnsiTheme="minorHAnsi" w:cstheme="minorHAnsi"/>
          </w:rPr>
          <w:t>https://www.meteo.lv/fs/CKFinderJava/userfiles/files/Vide/Klimats/Majas_lapai_LVGMC_2019_seginvkopsavilkums.pdf</w:t>
        </w:r>
      </w:hyperlink>
    </w:p>
  </w:footnote>
  <w:footnote w:id="190">
    <w:p w14:paraId="5FB68570" w14:textId="39BB16B5"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C</w:t>
      </w:r>
      <w:r w:rsidR="00A86C27">
        <w:rPr>
          <w:rFonts w:asciiTheme="minorHAnsi" w:hAnsiTheme="minorHAnsi" w:cstheme="minorHAnsi"/>
        </w:rPr>
        <w:t>SP</w:t>
      </w:r>
      <w:r w:rsidRPr="00A45809">
        <w:rPr>
          <w:rFonts w:asciiTheme="minorHAnsi" w:hAnsiTheme="minorHAnsi" w:cstheme="minorHAnsi"/>
        </w:rPr>
        <w:t xml:space="preserve"> datubāze </w:t>
      </w:r>
      <w:hyperlink r:id="rId71" w:history="1">
        <w:r w:rsidRPr="00A45809">
          <w:rPr>
            <w:rStyle w:val="Hyperlink"/>
            <w:rFonts w:asciiTheme="minorHAnsi" w:hAnsiTheme="minorHAnsi" w:cstheme="minorHAnsi"/>
          </w:rPr>
          <w:t>http://data1.csb.gov.lv/pxweb/lv/lauks/lauks__agro/MGG010.px/table/tableViewLayout1/</w:t>
        </w:r>
      </w:hyperlink>
      <w:r w:rsidRPr="00A45809">
        <w:rPr>
          <w:rFonts w:asciiTheme="minorHAnsi" w:hAnsiTheme="minorHAnsi" w:cstheme="minorHAnsi"/>
        </w:rPr>
        <w:t xml:space="preserve"> </w:t>
      </w:r>
    </w:p>
  </w:footnote>
  <w:footnote w:id="191">
    <w:p w14:paraId="782A06A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LLU “</w:t>
      </w:r>
      <w:r w:rsidRPr="00A45809">
        <w:rPr>
          <w:rFonts w:asciiTheme="minorHAnsi" w:hAnsiTheme="minorHAnsi" w:cstheme="minorHAnsi"/>
          <w:bCs/>
          <w:color w:val="000000"/>
          <w:shd w:val="clear" w:color="auto" w:fill="FFFFFF"/>
        </w:rPr>
        <w:t>SEG emisijas samazinoši pasākumi</w:t>
      </w:r>
      <w:r w:rsidRPr="00A45809">
        <w:rPr>
          <w:rFonts w:asciiTheme="minorHAnsi" w:hAnsiTheme="minorHAnsi" w:cstheme="minorHAnsi"/>
        </w:rPr>
        <w:t xml:space="preserve">” </w:t>
      </w:r>
      <w:hyperlink r:id="rId72" w:history="1">
        <w:r w:rsidRPr="00A45809">
          <w:rPr>
            <w:rStyle w:val="Hyperlink"/>
            <w:rFonts w:asciiTheme="minorHAnsi" w:hAnsiTheme="minorHAnsi" w:cstheme="minorHAnsi"/>
          </w:rPr>
          <w:t>https://www.llu.lv/lv/seg-emisijas-samazinosi-pasakumi</w:t>
        </w:r>
      </w:hyperlink>
      <w:r w:rsidRPr="00A45809">
        <w:rPr>
          <w:rFonts w:asciiTheme="minorHAnsi" w:hAnsiTheme="minorHAnsi" w:cstheme="minorHAnsi"/>
        </w:rPr>
        <w:t xml:space="preserve"> </w:t>
      </w:r>
    </w:p>
  </w:footnote>
  <w:footnote w:id="192">
    <w:p w14:paraId="7F4D52BC"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LLU  “Siltumnīcefekta gāzu emisiju samazināšanas iespējas ar klimatam draudzīgu lauksaimniecību un mežsaimniecību Latvijā” EVIDEnT projekti. 2018.</w:t>
      </w:r>
    </w:p>
  </w:footnote>
  <w:footnote w:id="193">
    <w:p w14:paraId="546BE710"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Padomes 1991.gada 12.decembra direktīva Nr. 91/676/EEK attiecībā uz ūdeņu aizsardzību pret piesārņojumu, ko rada lauksaimnieciskas izcelsmes nitrāti</w:t>
      </w:r>
    </w:p>
  </w:footnote>
  <w:footnote w:id="194">
    <w:p w14:paraId="174E625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2019. gada iesniegtā SEG inventarizācija (1990.-2017.gads): </w:t>
      </w:r>
      <w:hyperlink r:id="rId73" w:history="1">
        <w:r w:rsidRPr="00A45809">
          <w:rPr>
            <w:rStyle w:val="Hyperlink"/>
            <w:rFonts w:asciiTheme="minorHAnsi" w:hAnsiTheme="minorHAnsi" w:cstheme="minorHAnsi"/>
          </w:rPr>
          <w:t>https://unfccc.int/documents/194812</w:t>
        </w:r>
      </w:hyperlink>
      <w:r w:rsidRPr="00A45809">
        <w:rPr>
          <w:rFonts w:asciiTheme="minorHAnsi" w:hAnsiTheme="minorHAnsi" w:cstheme="minorHAnsi"/>
        </w:rPr>
        <w:t>/ Kopsavilkums: https://www.meteo.lv/fs/CKFinderJava/userfiles/files/Vide/Klimats/Majas_lapai_LVGMC_2019_seginvkopsavilkums.pdf</w:t>
      </w:r>
    </w:p>
  </w:footnote>
  <w:footnote w:id="195">
    <w:p w14:paraId="5E022A26"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196">
    <w:p w14:paraId="297EFABA"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197">
    <w:p w14:paraId="3520C969"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198">
    <w:p w14:paraId="08AA0705" w14:textId="2FA0DD3F"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vēsturiskā AER elektroenerģijā daļa aprēķināta pie faktiski saražotās  hidroenerģijas un vēja enerģijas daudzuma, bet prognozētā pie normalizētās hidroenerģijas un vēja enerģijas ražošanas.  </w:t>
      </w:r>
    </w:p>
  </w:footnote>
  <w:footnote w:id="199">
    <w:p w14:paraId="049F05F7" w14:textId="0042DB3D"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200">
    <w:p w14:paraId="2091237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201">
    <w:p w14:paraId="49DBC488"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202">
    <w:p w14:paraId="448B42EF"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203">
    <w:p w14:paraId="5D19A358"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204">
    <w:p w14:paraId="3059B358"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205">
    <w:p w14:paraId="0437E4A1"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AER daļa aprēķināta, pielietojot aprēķināšanas koeficientus</w:t>
      </w:r>
    </w:p>
  </w:footnote>
  <w:footnote w:id="206">
    <w:p w14:paraId="122E72A7"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207">
    <w:p w14:paraId="2D26503B"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208">
    <w:p w14:paraId="6FC4C983" w14:textId="553E4A33"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209">
    <w:p w14:paraId="538F2AEE" w14:textId="06BE8BFE"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EM</w:t>
      </w:r>
    </w:p>
  </w:footnote>
  <w:footnote w:id="210">
    <w:p w14:paraId="4E332137" w14:textId="6E675406"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74" w:history="1">
        <w:r w:rsidRPr="00A45809">
          <w:rPr>
            <w:rStyle w:val="Hyperlink"/>
            <w:rFonts w:asciiTheme="minorHAnsi" w:hAnsiTheme="minorHAnsi" w:cstheme="minorHAnsi"/>
          </w:rPr>
          <w:t>https://www.wwf.no/assets/attachments/84-wwf_a4_report___havvindrapport.pdf</w:t>
        </w:r>
      </w:hyperlink>
      <w:r w:rsidRPr="00A45809">
        <w:rPr>
          <w:rFonts w:asciiTheme="minorHAnsi" w:hAnsiTheme="minorHAnsi" w:cstheme="minorHAnsi"/>
        </w:rPr>
        <w:t xml:space="preserve"> </w:t>
      </w:r>
    </w:p>
  </w:footnote>
  <w:footnote w:id="211">
    <w:p w14:paraId="1A8E2B4D" w14:textId="16C709C8"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75" w:history="1">
        <w:r w:rsidRPr="00A45809">
          <w:rPr>
            <w:rStyle w:val="Hyperlink"/>
            <w:rFonts w:asciiTheme="minorHAnsi" w:hAnsiTheme="minorHAnsi" w:cstheme="minorHAnsi"/>
          </w:rPr>
          <w:t>https://www.iea.org/offshorewind2019/</w:t>
        </w:r>
      </w:hyperlink>
      <w:r w:rsidRPr="00A45809">
        <w:rPr>
          <w:rFonts w:asciiTheme="minorHAnsi" w:hAnsiTheme="minorHAnsi" w:cstheme="minorHAnsi"/>
        </w:rPr>
        <w:t xml:space="preserve"> </w:t>
      </w:r>
    </w:p>
  </w:footnote>
  <w:footnote w:id="212">
    <w:p w14:paraId="5B1FE729" w14:textId="606FE3F1"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76" w:history="1">
        <w:r w:rsidRPr="00A45809">
          <w:rPr>
            <w:rStyle w:val="Hyperlink"/>
            <w:rFonts w:asciiTheme="minorHAnsi" w:hAnsiTheme="minorHAnsi" w:cstheme="minorHAnsi"/>
          </w:rPr>
          <w:t>https://www.graanulinvest.com/eng/frontpage</w:t>
        </w:r>
      </w:hyperlink>
    </w:p>
  </w:footnote>
  <w:footnote w:id="213">
    <w:p w14:paraId="71F406F4" w14:textId="76860D88"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77" w:history="1">
        <w:r w:rsidRPr="00A45809">
          <w:rPr>
            <w:rStyle w:val="Hyperlink"/>
            <w:rFonts w:asciiTheme="minorHAnsi" w:hAnsiTheme="minorHAnsi" w:cstheme="minorHAnsi"/>
          </w:rPr>
          <w:t>https://www.baltpool.eu/lv/</w:t>
        </w:r>
      </w:hyperlink>
    </w:p>
  </w:footnote>
  <w:footnote w:id="214">
    <w:p w14:paraId="228615CC" w14:textId="56A9AB4E"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78" w:history="1">
        <w:r w:rsidRPr="00A45809">
          <w:rPr>
            <w:rStyle w:val="Hyperlink"/>
            <w:rFonts w:asciiTheme="minorHAnsi" w:hAnsiTheme="minorHAnsi" w:cstheme="minorHAnsi"/>
          </w:rPr>
          <w:t>https://likumi.lv/ta/id/6075-par-piesarnojumu</w:t>
        </w:r>
      </w:hyperlink>
    </w:p>
  </w:footnote>
  <w:footnote w:id="215">
    <w:p w14:paraId="5991FA9C" w14:textId="0E4A5F4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r w:rsidRPr="00A45809">
        <w:rPr>
          <w:rFonts w:asciiTheme="minorHAnsi" w:hAnsiTheme="minorHAnsi" w:cstheme="minorHAnsi"/>
          <w:lang w:eastAsia="lv-LV"/>
        </w:rPr>
        <w:t>MK 2017.gada 12.decembra noteikumi Nr.737 “Siltumnīcefekta gāzu inventarizācijas un prognožu sagatavošanas nacionālās sistēmas izveidošanas un uzturēšanas noteikumi” (</w:t>
      </w:r>
      <w:hyperlink r:id="rId79" w:history="1">
        <w:r w:rsidRPr="00A45809">
          <w:rPr>
            <w:rStyle w:val="Hyperlink"/>
            <w:rFonts w:asciiTheme="minorHAnsi" w:hAnsiTheme="minorHAnsi" w:cstheme="minorHAnsi"/>
          </w:rPr>
          <w:t>https://likumi.lv/ta/id/295801-siltumnicefekta-gazu-inventarizacijas-un-prognozu-sagatavosanas-nacionalas-sistemas-izveidosanas-un-uzturesanas-noteikumi</w:t>
        </w:r>
      </w:hyperlink>
      <w:r w:rsidRPr="00A45809">
        <w:rPr>
          <w:rFonts w:asciiTheme="minorHAnsi" w:hAnsiTheme="minorHAnsi" w:cstheme="minorHAnsi"/>
        </w:rPr>
        <w:t>)</w:t>
      </w:r>
    </w:p>
  </w:footnote>
  <w:footnote w:id="216">
    <w:p w14:paraId="1660E687" w14:textId="77777777" w:rsidR="007A7EAC" w:rsidRPr="00A45809" w:rsidRDefault="007A7EAC" w:rsidP="00A45809">
      <w:pPr>
        <w:pStyle w:val="FootnoteText"/>
        <w:jc w:val="both"/>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šāda cena tiek prognozēta EK Ietekmes novērtējumā strādājot pie </w:t>
      </w:r>
      <w:r w:rsidRPr="00A45809">
        <w:rPr>
          <w:rFonts w:asciiTheme="minorHAnsi" w:eastAsia="Calibri" w:hAnsiTheme="minorHAnsi" w:cstheme="minorHAnsi"/>
        </w:rPr>
        <w:t>Direktīvas 2003/87/EK</w:t>
      </w:r>
      <w:r w:rsidRPr="00A45809">
        <w:rPr>
          <w:rFonts w:asciiTheme="minorHAnsi" w:hAnsiTheme="minorHAnsi" w:cstheme="minorHAnsi"/>
        </w:rPr>
        <w:t xml:space="preserve"> grozījumiem 2015. gadā. https://ec.europa.eu/clima/sites/clima/files/ets/revision/docs/impact_assessment_en.pdf un vidēji to apstiprina arī vairāku vadošo ekspertu prognozes (skatīt sadaļu 4.1.3)</w:t>
      </w:r>
    </w:p>
  </w:footnote>
  <w:footnote w:id="217">
    <w:p w14:paraId="1E788DD4" w14:textId="77777777" w:rsidR="007A7EAC" w:rsidRPr="00A45809" w:rsidRDefault="007A7EAC" w:rsidP="00A45809">
      <w:pPr>
        <w:pStyle w:val="FootnoteText"/>
        <w:rPr>
          <w:rFonts w:asciiTheme="minorHAnsi" w:hAnsiTheme="minorHAnsi" w:cstheme="minorHAnsi"/>
        </w:rPr>
      </w:pPr>
      <w:r w:rsidRPr="00A45809">
        <w:rPr>
          <w:rStyle w:val="FootnoteReference"/>
          <w:rFonts w:asciiTheme="minorHAnsi" w:hAnsiTheme="minorHAnsi" w:cstheme="minorHAnsi"/>
        </w:rPr>
        <w:footnoteRef/>
      </w:r>
      <w:r w:rsidRPr="00A45809">
        <w:rPr>
          <w:rFonts w:asciiTheme="minorHAnsi" w:hAnsiTheme="minorHAnsi" w:cstheme="minorHAnsi"/>
        </w:rPr>
        <w:t xml:space="preserve"> </w:t>
      </w:r>
      <w:hyperlink r:id="rId80" w:history="1">
        <w:r w:rsidRPr="00A45809">
          <w:rPr>
            <w:rStyle w:val="Hyperlink"/>
            <w:rFonts w:asciiTheme="minorHAnsi" w:hAnsiTheme="minorHAnsi" w:cstheme="minorHAnsi"/>
          </w:rPr>
          <w:t>http://polsis.mk.gov.lv/documents/6456</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2"/>
      </w:rPr>
      <w:id w:val="-1429570495"/>
      <w:docPartObj>
        <w:docPartGallery w:val="Page Numbers (Top of Page)"/>
        <w:docPartUnique/>
      </w:docPartObj>
    </w:sdtPr>
    <w:sdtEndPr>
      <w:rPr>
        <w:noProof/>
      </w:rPr>
    </w:sdtEndPr>
    <w:sdtContent>
      <w:p w14:paraId="02527C62" w14:textId="77777777" w:rsidR="007A7EAC" w:rsidRPr="0007326F" w:rsidRDefault="007A7EAC">
        <w:pPr>
          <w:pStyle w:val="Header"/>
          <w:jc w:val="center"/>
          <w:rPr>
            <w:sz w:val="22"/>
          </w:rPr>
        </w:pPr>
        <w:r w:rsidRPr="0007326F">
          <w:rPr>
            <w:sz w:val="22"/>
          </w:rPr>
          <w:fldChar w:fldCharType="begin"/>
        </w:r>
        <w:r w:rsidRPr="0007326F">
          <w:rPr>
            <w:sz w:val="22"/>
          </w:rPr>
          <w:instrText xml:space="preserve"> PAGE   \* MERGEFORMAT </w:instrText>
        </w:r>
        <w:r w:rsidRPr="0007326F">
          <w:rPr>
            <w:sz w:val="22"/>
          </w:rPr>
          <w:fldChar w:fldCharType="separate"/>
        </w:r>
        <w:r w:rsidRPr="0007326F">
          <w:rPr>
            <w:noProof/>
            <w:sz w:val="22"/>
          </w:rPr>
          <w:t>2</w:t>
        </w:r>
        <w:r w:rsidRPr="0007326F">
          <w:rPr>
            <w:noProof/>
            <w:sz w:val="22"/>
          </w:rPr>
          <w:fldChar w:fldCharType="end"/>
        </w:r>
      </w:p>
    </w:sdtContent>
  </w:sdt>
  <w:p w14:paraId="317A5A8C" w14:textId="77777777" w:rsidR="007A7EAC" w:rsidRDefault="007A7E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77836"/>
    <w:multiLevelType w:val="hybridMultilevel"/>
    <w:tmpl w:val="E1E22F0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15:restartNumberingAfterBreak="0">
    <w:nsid w:val="041F3E64"/>
    <w:multiLevelType w:val="hybridMultilevel"/>
    <w:tmpl w:val="85FA3F58"/>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 w15:restartNumberingAfterBreak="0">
    <w:nsid w:val="052755D8"/>
    <w:multiLevelType w:val="hybridMultilevel"/>
    <w:tmpl w:val="0632E9A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 w15:restartNumberingAfterBreak="0">
    <w:nsid w:val="061D4968"/>
    <w:multiLevelType w:val="hybridMultilevel"/>
    <w:tmpl w:val="3F88D1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7404F8B"/>
    <w:multiLevelType w:val="hybridMultilevel"/>
    <w:tmpl w:val="B75E32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74055A5"/>
    <w:multiLevelType w:val="hybridMultilevel"/>
    <w:tmpl w:val="CF20B9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9203941"/>
    <w:multiLevelType w:val="hybridMultilevel"/>
    <w:tmpl w:val="4AEEE78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 w15:restartNumberingAfterBreak="0">
    <w:nsid w:val="09E43316"/>
    <w:multiLevelType w:val="hybridMultilevel"/>
    <w:tmpl w:val="0882C4F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0A6C03AE"/>
    <w:multiLevelType w:val="hybridMultilevel"/>
    <w:tmpl w:val="CD82804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 w15:restartNumberingAfterBreak="0">
    <w:nsid w:val="12201BEC"/>
    <w:multiLevelType w:val="hybridMultilevel"/>
    <w:tmpl w:val="D7A6B770"/>
    <w:lvl w:ilvl="0" w:tplc="0426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0" w15:restartNumberingAfterBreak="0">
    <w:nsid w:val="145357C2"/>
    <w:multiLevelType w:val="hybridMultilevel"/>
    <w:tmpl w:val="C708FE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47E500B"/>
    <w:multiLevelType w:val="multilevel"/>
    <w:tmpl w:val="0C64DAAC"/>
    <w:lvl w:ilvl="0">
      <w:start w:val="4"/>
      <w:numFmt w:val="decimal"/>
      <w:lvlText w:val="%1."/>
      <w:lvlJc w:val="left"/>
      <w:pPr>
        <w:ind w:left="840" w:hanging="840"/>
      </w:pPr>
      <w:rPr>
        <w:rFonts w:hint="default"/>
      </w:rPr>
    </w:lvl>
    <w:lvl w:ilvl="1">
      <w:start w:val="10"/>
      <w:numFmt w:val="decimal"/>
      <w:lvlText w:val="%1.%2."/>
      <w:lvlJc w:val="left"/>
      <w:pPr>
        <w:ind w:left="840" w:hanging="84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2" w15:restartNumberingAfterBreak="0">
    <w:nsid w:val="162A1149"/>
    <w:multiLevelType w:val="hybridMultilevel"/>
    <w:tmpl w:val="41D02298"/>
    <w:lvl w:ilvl="0" w:tplc="04260001">
      <w:start w:val="1"/>
      <w:numFmt w:val="bullet"/>
      <w:lvlText w:val=""/>
      <w:lvlJc w:val="left"/>
      <w:pPr>
        <w:ind w:left="720" w:hanging="360"/>
      </w:pPr>
      <w:rPr>
        <w:rFonts w:ascii="Symbol" w:hAnsi="Symbol" w:hint="default"/>
        <w:color w:val="auto"/>
      </w:rPr>
    </w:lvl>
    <w:lvl w:ilvl="1" w:tplc="F31AE06E">
      <w:numFmt w:val="bullet"/>
      <w:lvlText w:val="-"/>
      <w:lvlJc w:val="left"/>
      <w:pPr>
        <w:ind w:left="1440" w:hanging="360"/>
      </w:pPr>
      <w:rPr>
        <w:rFonts w:ascii="Calibri" w:eastAsiaTheme="minorHAnsi" w:hAnsi="Calibri" w:cs="Calibri" w:hint="default"/>
        <w:b/>
      </w:rPr>
    </w:lvl>
    <w:lvl w:ilvl="2" w:tplc="A6D85372">
      <w:numFmt w:val="bullet"/>
      <w:lvlText w:val="–"/>
      <w:lvlJc w:val="left"/>
      <w:pPr>
        <w:ind w:left="2340" w:hanging="360"/>
      </w:pPr>
      <w:rPr>
        <w:rFonts w:ascii="Calibri" w:eastAsiaTheme="minorHAnsi" w:hAnsi="Calibri" w:cs="Calibri"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6736BB4"/>
    <w:multiLevelType w:val="hybridMultilevel"/>
    <w:tmpl w:val="72ACA32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7FC64E3"/>
    <w:multiLevelType w:val="hybridMultilevel"/>
    <w:tmpl w:val="E89AF9B0"/>
    <w:lvl w:ilvl="0" w:tplc="04260001">
      <w:start w:val="1"/>
      <w:numFmt w:val="bullet"/>
      <w:lvlText w:val=""/>
      <w:lvlJc w:val="left"/>
      <w:pPr>
        <w:ind w:left="720" w:hanging="360"/>
      </w:pPr>
      <w:rPr>
        <w:rFonts w:ascii="Symbol" w:hAnsi="Symbol" w:hint="default"/>
      </w:rPr>
    </w:lvl>
    <w:lvl w:ilvl="1" w:tplc="9748509C">
      <w:numFmt w:val="bullet"/>
      <w:lvlText w:val=""/>
      <w:lvlJc w:val="left"/>
      <w:pPr>
        <w:ind w:left="1440" w:hanging="360"/>
      </w:pPr>
      <w:rPr>
        <w:rFonts w:ascii="Symbol" w:eastAsia="Times New Roman" w:hAnsi="Symbol" w:cs="Times New Roman" w:hint="default"/>
        <w:color w:val="auto"/>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94E0570"/>
    <w:multiLevelType w:val="hybridMultilevel"/>
    <w:tmpl w:val="200E24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9F03871"/>
    <w:multiLevelType w:val="hybridMultilevel"/>
    <w:tmpl w:val="1998580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7" w15:restartNumberingAfterBreak="0">
    <w:nsid w:val="1F2E5037"/>
    <w:multiLevelType w:val="hybridMultilevel"/>
    <w:tmpl w:val="23200C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1FC03274"/>
    <w:multiLevelType w:val="multilevel"/>
    <w:tmpl w:val="8C6A685E"/>
    <w:lvl w:ilvl="0">
      <w:start w:val="4"/>
      <w:numFmt w:val="decimal"/>
      <w:lvlText w:val="%1."/>
      <w:lvlJc w:val="left"/>
      <w:pPr>
        <w:ind w:left="630" w:hanging="63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9" w15:restartNumberingAfterBreak="0">
    <w:nsid w:val="21E86705"/>
    <w:multiLevelType w:val="hybridMultilevel"/>
    <w:tmpl w:val="071C2D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3C203C9"/>
    <w:multiLevelType w:val="hybridMultilevel"/>
    <w:tmpl w:val="C8A4B184"/>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1" w15:restartNumberingAfterBreak="0">
    <w:nsid w:val="23D550BD"/>
    <w:multiLevelType w:val="multilevel"/>
    <w:tmpl w:val="787A8606"/>
    <w:lvl w:ilvl="0">
      <w:start w:val="4"/>
      <w:numFmt w:val="decimal"/>
      <w:lvlText w:val="%1."/>
      <w:lvlJc w:val="left"/>
      <w:pPr>
        <w:ind w:left="400" w:hanging="400"/>
      </w:pPr>
      <w:rPr>
        <w:rFonts w:hint="default"/>
      </w:rPr>
    </w:lvl>
    <w:lvl w:ilvl="1">
      <w:start w:val="1"/>
      <w:numFmt w:val="decimal"/>
      <w:lvlText w:val="%1.%2."/>
      <w:lvlJc w:val="left"/>
      <w:pPr>
        <w:ind w:left="833" w:hanging="72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2005" w:hanging="144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591" w:hanging="1800"/>
      </w:pPr>
      <w:rPr>
        <w:rFonts w:hint="default"/>
      </w:rPr>
    </w:lvl>
    <w:lvl w:ilvl="8">
      <w:start w:val="1"/>
      <w:numFmt w:val="decimal"/>
      <w:lvlText w:val="%1.%2.%3.%4.%5.%6.%7.%8.%9."/>
      <w:lvlJc w:val="left"/>
      <w:pPr>
        <w:ind w:left="2704" w:hanging="1800"/>
      </w:pPr>
      <w:rPr>
        <w:rFonts w:hint="default"/>
      </w:rPr>
    </w:lvl>
  </w:abstractNum>
  <w:abstractNum w:abstractNumId="22" w15:restartNumberingAfterBreak="0">
    <w:nsid w:val="247E3EB7"/>
    <w:multiLevelType w:val="hybridMultilevel"/>
    <w:tmpl w:val="EC8EA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006A31"/>
    <w:multiLevelType w:val="multilevel"/>
    <w:tmpl w:val="328219F4"/>
    <w:lvl w:ilvl="0">
      <w:start w:val="4"/>
      <w:numFmt w:val="decimal"/>
      <w:lvlText w:val="%1."/>
      <w:lvlJc w:val="left"/>
      <w:pPr>
        <w:ind w:left="820" w:hanging="820"/>
      </w:pPr>
      <w:rPr>
        <w:rFonts w:hint="default"/>
      </w:rPr>
    </w:lvl>
    <w:lvl w:ilvl="1">
      <w:start w:val="13"/>
      <w:numFmt w:val="decimal"/>
      <w:lvlText w:val="%1.%2."/>
      <w:lvlJc w:val="left"/>
      <w:pPr>
        <w:ind w:left="820" w:hanging="8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4" w15:restartNumberingAfterBreak="0">
    <w:nsid w:val="284D5C92"/>
    <w:multiLevelType w:val="hybridMultilevel"/>
    <w:tmpl w:val="2312C0DE"/>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5" w15:restartNumberingAfterBreak="0">
    <w:nsid w:val="290977A7"/>
    <w:multiLevelType w:val="hybridMultilevel"/>
    <w:tmpl w:val="3E28D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BB76C2"/>
    <w:multiLevelType w:val="multilevel"/>
    <w:tmpl w:val="89F4D1EC"/>
    <w:lvl w:ilvl="0">
      <w:start w:val="4"/>
      <w:numFmt w:val="decimal"/>
      <w:lvlText w:val="%1."/>
      <w:lvlJc w:val="left"/>
      <w:pPr>
        <w:ind w:left="620" w:hanging="620"/>
      </w:pPr>
      <w:rPr>
        <w:rFonts w:hint="default"/>
      </w:rPr>
    </w:lvl>
    <w:lvl w:ilvl="1">
      <w:start w:val="7"/>
      <w:numFmt w:val="decimal"/>
      <w:lvlText w:val="%1.%2."/>
      <w:lvlJc w:val="left"/>
      <w:pPr>
        <w:ind w:left="1553" w:hanging="720"/>
      </w:pPr>
      <w:rPr>
        <w:rFonts w:hint="default"/>
      </w:rPr>
    </w:lvl>
    <w:lvl w:ilvl="2">
      <w:start w:val="1"/>
      <w:numFmt w:val="decimal"/>
      <w:lvlText w:val="%1.%2.%3."/>
      <w:lvlJc w:val="left"/>
      <w:pPr>
        <w:ind w:left="2746" w:hanging="1080"/>
      </w:pPr>
      <w:rPr>
        <w:rFonts w:hint="default"/>
      </w:rPr>
    </w:lvl>
    <w:lvl w:ilvl="3">
      <w:start w:val="1"/>
      <w:numFmt w:val="decimal"/>
      <w:lvlText w:val="%1.%2.%3.%4."/>
      <w:lvlJc w:val="left"/>
      <w:pPr>
        <w:ind w:left="3939" w:hanging="1440"/>
      </w:pPr>
      <w:rPr>
        <w:rFonts w:hint="default"/>
      </w:rPr>
    </w:lvl>
    <w:lvl w:ilvl="4">
      <w:start w:val="1"/>
      <w:numFmt w:val="decimal"/>
      <w:lvlText w:val="%1.%2.%3.%4.%5."/>
      <w:lvlJc w:val="left"/>
      <w:pPr>
        <w:ind w:left="5132" w:hanging="1800"/>
      </w:pPr>
      <w:rPr>
        <w:rFonts w:hint="default"/>
      </w:rPr>
    </w:lvl>
    <w:lvl w:ilvl="5">
      <w:start w:val="1"/>
      <w:numFmt w:val="decimal"/>
      <w:lvlText w:val="%1.%2.%3.%4.%5.%6."/>
      <w:lvlJc w:val="left"/>
      <w:pPr>
        <w:ind w:left="6325" w:hanging="2160"/>
      </w:pPr>
      <w:rPr>
        <w:rFonts w:hint="default"/>
      </w:rPr>
    </w:lvl>
    <w:lvl w:ilvl="6">
      <w:start w:val="1"/>
      <w:numFmt w:val="decimal"/>
      <w:lvlText w:val="%1.%2.%3.%4.%5.%6.%7."/>
      <w:lvlJc w:val="left"/>
      <w:pPr>
        <w:ind w:left="7158" w:hanging="2160"/>
      </w:pPr>
      <w:rPr>
        <w:rFonts w:hint="default"/>
      </w:rPr>
    </w:lvl>
    <w:lvl w:ilvl="7">
      <w:start w:val="1"/>
      <w:numFmt w:val="decimal"/>
      <w:lvlText w:val="%1.%2.%3.%4.%5.%6.%7.%8."/>
      <w:lvlJc w:val="left"/>
      <w:pPr>
        <w:ind w:left="8351" w:hanging="2520"/>
      </w:pPr>
      <w:rPr>
        <w:rFonts w:hint="default"/>
      </w:rPr>
    </w:lvl>
    <w:lvl w:ilvl="8">
      <w:start w:val="1"/>
      <w:numFmt w:val="decimal"/>
      <w:lvlText w:val="%1.%2.%3.%4.%5.%6.%7.%8.%9."/>
      <w:lvlJc w:val="left"/>
      <w:pPr>
        <w:ind w:left="9544" w:hanging="2880"/>
      </w:pPr>
      <w:rPr>
        <w:rFonts w:hint="default"/>
      </w:rPr>
    </w:lvl>
  </w:abstractNum>
  <w:abstractNum w:abstractNumId="27" w15:restartNumberingAfterBreak="0">
    <w:nsid w:val="2BC61173"/>
    <w:multiLevelType w:val="multilevel"/>
    <w:tmpl w:val="56D6A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C475961"/>
    <w:multiLevelType w:val="hybridMultilevel"/>
    <w:tmpl w:val="4EF464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2D8326FF"/>
    <w:multiLevelType w:val="hybridMultilevel"/>
    <w:tmpl w:val="6A34AD5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0" w15:restartNumberingAfterBreak="0">
    <w:nsid w:val="2DAD0A3C"/>
    <w:multiLevelType w:val="multilevel"/>
    <w:tmpl w:val="B5D2B756"/>
    <w:lvl w:ilvl="0">
      <w:start w:val="4"/>
      <w:numFmt w:val="decimal"/>
      <w:lvlText w:val="%1."/>
      <w:lvlJc w:val="left"/>
      <w:pPr>
        <w:ind w:left="840" w:hanging="840"/>
      </w:pPr>
      <w:rPr>
        <w:rFonts w:hint="default"/>
      </w:rPr>
    </w:lvl>
    <w:lvl w:ilvl="1">
      <w:start w:val="12"/>
      <w:numFmt w:val="decimal"/>
      <w:lvlText w:val="%1.%2."/>
      <w:lvlJc w:val="left"/>
      <w:pPr>
        <w:ind w:left="1200" w:hanging="84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31" w15:restartNumberingAfterBreak="0">
    <w:nsid w:val="32563F95"/>
    <w:multiLevelType w:val="multilevel"/>
    <w:tmpl w:val="AAAC14B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rPr>
        <w:rFonts w:asciiTheme="minorHAnsi" w:hAnsiTheme="minorHAnsi" w:cstheme="minorHAnsi" w:hint="default"/>
        <w:b w:val="0"/>
        <w:bCs/>
      </w:rPr>
    </w:lvl>
    <w:lvl w:ilvl="3">
      <w:start w:val="1"/>
      <w:numFmt w:val="decimal"/>
      <w:pStyle w:val="Heading4"/>
      <w:lvlText w:val="%1.%2.%3.%4."/>
      <w:lvlJc w:val="left"/>
      <w:pPr>
        <w:ind w:left="263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3725258"/>
    <w:multiLevelType w:val="hybridMultilevel"/>
    <w:tmpl w:val="A76C6DD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3" w15:restartNumberingAfterBreak="0">
    <w:nsid w:val="339F187F"/>
    <w:multiLevelType w:val="hybridMultilevel"/>
    <w:tmpl w:val="D3DA0BA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4" w15:restartNumberingAfterBreak="0">
    <w:nsid w:val="350302D6"/>
    <w:multiLevelType w:val="hybridMultilevel"/>
    <w:tmpl w:val="F51E04C0"/>
    <w:lvl w:ilvl="0" w:tplc="0EFE7DD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3F235B60"/>
    <w:multiLevelType w:val="hybridMultilevel"/>
    <w:tmpl w:val="929AAA2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36" w15:restartNumberingAfterBreak="0">
    <w:nsid w:val="402B7914"/>
    <w:multiLevelType w:val="hybridMultilevel"/>
    <w:tmpl w:val="AA08A6B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7" w15:restartNumberingAfterBreak="0">
    <w:nsid w:val="40343CF1"/>
    <w:multiLevelType w:val="hybridMultilevel"/>
    <w:tmpl w:val="47781D6E"/>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38" w15:restartNumberingAfterBreak="0">
    <w:nsid w:val="40A77BFC"/>
    <w:multiLevelType w:val="hybridMultilevel"/>
    <w:tmpl w:val="A3F8FC5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41A9396D"/>
    <w:multiLevelType w:val="hybridMultilevel"/>
    <w:tmpl w:val="38D48EBA"/>
    <w:lvl w:ilvl="0" w:tplc="DA60153C">
      <w:start w:val="1"/>
      <w:numFmt w:val="decimal"/>
      <w:lvlText w:val="%1."/>
      <w:lvlJc w:val="left"/>
      <w:pPr>
        <w:ind w:left="720" w:hanging="360"/>
      </w:pPr>
      <w:rPr>
        <w:rFonts w:hint="default"/>
        <w:b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41D13DEC"/>
    <w:multiLevelType w:val="multilevel"/>
    <w:tmpl w:val="236E79AC"/>
    <w:lvl w:ilvl="0">
      <w:start w:val="4"/>
      <w:numFmt w:val="decimal"/>
      <w:lvlText w:val="%1."/>
      <w:lvlJc w:val="left"/>
      <w:pPr>
        <w:ind w:left="630" w:hanging="630"/>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41" w15:restartNumberingAfterBreak="0">
    <w:nsid w:val="42057265"/>
    <w:multiLevelType w:val="hybridMultilevel"/>
    <w:tmpl w:val="7C7C47B6"/>
    <w:lvl w:ilvl="0" w:tplc="2E306552">
      <w:numFmt w:val="bullet"/>
      <w:lvlText w:val="-"/>
      <w:lvlJc w:val="left"/>
      <w:pPr>
        <w:ind w:left="720" w:hanging="360"/>
      </w:pPr>
      <w:rPr>
        <w:rFonts w:ascii="Calibri" w:eastAsia="Times New Roman" w:hAnsi="Calibri" w:cs="Calibri"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42" w15:restartNumberingAfterBreak="0">
    <w:nsid w:val="43AA0E90"/>
    <w:multiLevelType w:val="hybridMultilevel"/>
    <w:tmpl w:val="AF1C33F8"/>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color w:val="auto"/>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47F54BEA"/>
    <w:multiLevelType w:val="hybridMultilevel"/>
    <w:tmpl w:val="043CEDC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4" w15:restartNumberingAfterBreak="0">
    <w:nsid w:val="482A3A86"/>
    <w:multiLevelType w:val="multilevel"/>
    <w:tmpl w:val="26CE011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491C7173"/>
    <w:multiLevelType w:val="hybridMultilevel"/>
    <w:tmpl w:val="151E7D68"/>
    <w:lvl w:ilvl="0" w:tplc="04260001">
      <w:start w:val="1"/>
      <w:numFmt w:val="bullet"/>
      <w:lvlText w:val=""/>
      <w:lvlJc w:val="left"/>
      <w:pPr>
        <w:ind w:left="1080" w:hanging="72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49C675AF"/>
    <w:multiLevelType w:val="multilevel"/>
    <w:tmpl w:val="248C5118"/>
    <w:lvl w:ilvl="0">
      <w:start w:val="4"/>
      <w:numFmt w:val="decimal"/>
      <w:lvlText w:val="%1."/>
      <w:lvlJc w:val="left"/>
      <w:pPr>
        <w:ind w:left="630" w:hanging="63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7" w15:restartNumberingAfterBreak="0">
    <w:nsid w:val="4F1647E5"/>
    <w:multiLevelType w:val="hybridMultilevel"/>
    <w:tmpl w:val="BB401E62"/>
    <w:lvl w:ilvl="0" w:tplc="DA60153C">
      <w:start w:val="1"/>
      <w:numFmt w:val="decimal"/>
      <w:lvlText w:val="%1."/>
      <w:lvlJc w:val="left"/>
      <w:pPr>
        <w:ind w:left="780" w:hanging="360"/>
      </w:pPr>
      <w:rPr>
        <w:rFonts w:hint="default"/>
        <w:b w:val="0"/>
      </w:rPr>
    </w:lvl>
    <w:lvl w:ilvl="1" w:tplc="04260019" w:tentative="1">
      <w:start w:val="1"/>
      <w:numFmt w:val="lowerLetter"/>
      <w:lvlText w:val="%2."/>
      <w:lvlJc w:val="left"/>
      <w:pPr>
        <w:ind w:left="1500" w:hanging="360"/>
      </w:pPr>
    </w:lvl>
    <w:lvl w:ilvl="2" w:tplc="0426001B" w:tentative="1">
      <w:start w:val="1"/>
      <w:numFmt w:val="lowerRoman"/>
      <w:lvlText w:val="%3."/>
      <w:lvlJc w:val="right"/>
      <w:pPr>
        <w:ind w:left="2220" w:hanging="180"/>
      </w:pPr>
    </w:lvl>
    <w:lvl w:ilvl="3" w:tplc="0426000F" w:tentative="1">
      <w:start w:val="1"/>
      <w:numFmt w:val="decimal"/>
      <w:lvlText w:val="%4."/>
      <w:lvlJc w:val="left"/>
      <w:pPr>
        <w:ind w:left="2940" w:hanging="360"/>
      </w:pPr>
    </w:lvl>
    <w:lvl w:ilvl="4" w:tplc="04260019" w:tentative="1">
      <w:start w:val="1"/>
      <w:numFmt w:val="lowerLetter"/>
      <w:lvlText w:val="%5."/>
      <w:lvlJc w:val="left"/>
      <w:pPr>
        <w:ind w:left="3660" w:hanging="360"/>
      </w:pPr>
    </w:lvl>
    <w:lvl w:ilvl="5" w:tplc="0426001B" w:tentative="1">
      <w:start w:val="1"/>
      <w:numFmt w:val="lowerRoman"/>
      <w:lvlText w:val="%6."/>
      <w:lvlJc w:val="right"/>
      <w:pPr>
        <w:ind w:left="4380" w:hanging="180"/>
      </w:pPr>
    </w:lvl>
    <w:lvl w:ilvl="6" w:tplc="0426000F" w:tentative="1">
      <w:start w:val="1"/>
      <w:numFmt w:val="decimal"/>
      <w:lvlText w:val="%7."/>
      <w:lvlJc w:val="left"/>
      <w:pPr>
        <w:ind w:left="5100" w:hanging="360"/>
      </w:pPr>
    </w:lvl>
    <w:lvl w:ilvl="7" w:tplc="04260019" w:tentative="1">
      <w:start w:val="1"/>
      <w:numFmt w:val="lowerLetter"/>
      <w:lvlText w:val="%8."/>
      <w:lvlJc w:val="left"/>
      <w:pPr>
        <w:ind w:left="5820" w:hanging="360"/>
      </w:pPr>
    </w:lvl>
    <w:lvl w:ilvl="8" w:tplc="0426001B" w:tentative="1">
      <w:start w:val="1"/>
      <w:numFmt w:val="lowerRoman"/>
      <w:lvlText w:val="%9."/>
      <w:lvlJc w:val="right"/>
      <w:pPr>
        <w:ind w:left="6540" w:hanging="180"/>
      </w:pPr>
    </w:lvl>
  </w:abstractNum>
  <w:abstractNum w:abstractNumId="48" w15:restartNumberingAfterBreak="0">
    <w:nsid w:val="4F3E3E92"/>
    <w:multiLevelType w:val="hybridMultilevel"/>
    <w:tmpl w:val="322C072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4FC571FA"/>
    <w:multiLevelType w:val="hybridMultilevel"/>
    <w:tmpl w:val="AA0AC3C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52D903C2"/>
    <w:multiLevelType w:val="multilevel"/>
    <w:tmpl w:val="971C7D1E"/>
    <w:lvl w:ilvl="0">
      <w:start w:val="1"/>
      <w:numFmt w:val="decimal"/>
      <w:lvlText w:val="%1"/>
      <w:lvlJc w:val="left"/>
      <w:pPr>
        <w:ind w:left="435" w:hanging="435"/>
      </w:pPr>
    </w:lvl>
    <w:lvl w:ilvl="1">
      <w:start w:val="1"/>
      <w:numFmt w:val="decimal"/>
      <w:pStyle w:val="VirsrkastsOtrais"/>
      <w:lvlText w:val="%1.%2."/>
      <w:lvlJc w:val="left"/>
      <w:pPr>
        <w:ind w:left="862" w:hanging="720"/>
      </w:pPr>
    </w:lvl>
    <w:lvl w:ilvl="2">
      <w:start w:val="1"/>
      <w:numFmt w:val="decimal"/>
      <w:lvlText w:val="%1.%2.%3"/>
      <w:lvlJc w:val="left"/>
      <w:pPr>
        <w:ind w:left="3600" w:hanging="720"/>
      </w:pPr>
    </w:lvl>
    <w:lvl w:ilvl="3">
      <w:start w:val="1"/>
      <w:numFmt w:val="decimal"/>
      <w:lvlText w:val="%1.%2.%3.%4"/>
      <w:lvlJc w:val="left"/>
      <w:pPr>
        <w:ind w:left="5400" w:hanging="1080"/>
      </w:pPr>
    </w:lvl>
    <w:lvl w:ilvl="4">
      <w:start w:val="1"/>
      <w:numFmt w:val="decimal"/>
      <w:lvlText w:val="%1.%2.%3.%4.%5"/>
      <w:lvlJc w:val="left"/>
      <w:pPr>
        <w:ind w:left="7200" w:hanging="1440"/>
      </w:pPr>
    </w:lvl>
    <w:lvl w:ilvl="5">
      <w:start w:val="1"/>
      <w:numFmt w:val="decimal"/>
      <w:lvlText w:val="%1.%2.%3.%4.%5.%6"/>
      <w:lvlJc w:val="left"/>
      <w:pPr>
        <w:ind w:left="8640" w:hanging="1440"/>
      </w:pPr>
    </w:lvl>
    <w:lvl w:ilvl="6">
      <w:start w:val="1"/>
      <w:numFmt w:val="decimal"/>
      <w:lvlText w:val="%1.%2.%3.%4.%5.%6.%7"/>
      <w:lvlJc w:val="left"/>
      <w:pPr>
        <w:ind w:left="10440" w:hanging="1800"/>
      </w:pPr>
    </w:lvl>
    <w:lvl w:ilvl="7">
      <w:start w:val="1"/>
      <w:numFmt w:val="decimal"/>
      <w:lvlText w:val="%1.%2.%3.%4.%5.%6.%7.%8"/>
      <w:lvlJc w:val="left"/>
      <w:pPr>
        <w:ind w:left="11880" w:hanging="1800"/>
      </w:pPr>
    </w:lvl>
    <w:lvl w:ilvl="8">
      <w:start w:val="1"/>
      <w:numFmt w:val="decimal"/>
      <w:lvlText w:val="%1.%2.%3.%4.%5.%6.%7.%8.%9"/>
      <w:lvlJc w:val="left"/>
      <w:pPr>
        <w:ind w:left="13680" w:hanging="2160"/>
      </w:pPr>
    </w:lvl>
  </w:abstractNum>
  <w:abstractNum w:abstractNumId="51" w15:restartNumberingAfterBreak="0">
    <w:nsid w:val="52E43E78"/>
    <w:multiLevelType w:val="hybridMultilevel"/>
    <w:tmpl w:val="9C865B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53D736F1"/>
    <w:multiLevelType w:val="hybridMultilevel"/>
    <w:tmpl w:val="D19616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5603699F"/>
    <w:multiLevelType w:val="hybridMultilevel"/>
    <w:tmpl w:val="A440B2DC"/>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54" w15:restartNumberingAfterBreak="0">
    <w:nsid w:val="583128CA"/>
    <w:multiLevelType w:val="hybridMultilevel"/>
    <w:tmpl w:val="1F0C7CE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5" w15:restartNumberingAfterBreak="0">
    <w:nsid w:val="596F3989"/>
    <w:multiLevelType w:val="hybridMultilevel"/>
    <w:tmpl w:val="D9D451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598043D6"/>
    <w:multiLevelType w:val="hybridMultilevel"/>
    <w:tmpl w:val="34A4BEDC"/>
    <w:lvl w:ilvl="0" w:tplc="04260001">
      <w:start w:val="1"/>
      <w:numFmt w:val="bullet"/>
      <w:lvlText w:val=""/>
      <w:lvlJc w:val="left"/>
      <w:pPr>
        <w:ind w:left="774" w:hanging="360"/>
      </w:pPr>
      <w:rPr>
        <w:rFonts w:ascii="Symbol" w:hAnsi="Symbol" w:hint="default"/>
      </w:rPr>
    </w:lvl>
    <w:lvl w:ilvl="1" w:tplc="04260003" w:tentative="1">
      <w:start w:val="1"/>
      <w:numFmt w:val="bullet"/>
      <w:lvlText w:val="o"/>
      <w:lvlJc w:val="left"/>
      <w:pPr>
        <w:ind w:left="1494" w:hanging="360"/>
      </w:pPr>
      <w:rPr>
        <w:rFonts w:ascii="Courier New" w:hAnsi="Courier New" w:cs="Courier New" w:hint="default"/>
      </w:rPr>
    </w:lvl>
    <w:lvl w:ilvl="2" w:tplc="04260005" w:tentative="1">
      <w:start w:val="1"/>
      <w:numFmt w:val="bullet"/>
      <w:lvlText w:val=""/>
      <w:lvlJc w:val="left"/>
      <w:pPr>
        <w:ind w:left="2214" w:hanging="360"/>
      </w:pPr>
      <w:rPr>
        <w:rFonts w:ascii="Wingdings" w:hAnsi="Wingdings" w:hint="default"/>
      </w:rPr>
    </w:lvl>
    <w:lvl w:ilvl="3" w:tplc="04260001" w:tentative="1">
      <w:start w:val="1"/>
      <w:numFmt w:val="bullet"/>
      <w:lvlText w:val=""/>
      <w:lvlJc w:val="left"/>
      <w:pPr>
        <w:ind w:left="2934" w:hanging="360"/>
      </w:pPr>
      <w:rPr>
        <w:rFonts w:ascii="Symbol" w:hAnsi="Symbol" w:hint="default"/>
      </w:rPr>
    </w:lvl>
    <w:lvl w:ilvl="4" w:tplc="04260003" w:tentative="1">
      <w:start w:val="1"/>
      <w:numFmt w:val="bullet"/>
      <w:lvlText w:val="o"/>
      <w:lvlJc w:val="left"/>
      <w:pPr>
        <w:ind w:left="3654" w:hanging="360"/>
      </w:pPr>
      <w:rPr>
        <w:rFonts w:ascii="Courier New" w:hAnsi="Courier New" w:cs="Courier New" w:hint="default"/>
      </w:rPr>
    </w:lvl>
    <w:lvl w:ilvl="5" w:tplc="04260005" w:tentative="1">
      <w:start w:val="1"/>
      <w:numFmt w:val="bullet"/>
      <w:lvlText w:val=""/>
      <w:lvlJc w:val="left"/>
      <w:pPr>
        <w:ind w:left="4374" w:hanging="360"/>
      </w:pPr>
      <w:rPr>
        <w:rFonts w:ascii="Wingdings" w:hAnsi="Wingdings" w:hint="default"/>
      </w:rPr>
    </w:lvl>
    <w:lvl w:ilvl="6" w:tplc="04260001" w:tentative="1">
      <w:start w:val="1"/>
      <w:numFmt w:val="bullet"/>
      <w:lvlText w:val=""/>
      <w:lvlJc w:val="left"/>
      <w:pPr>
        <w:ind w:left="5094" w:hanging="360"/>
      </w:pPr>
      <w:rPr>
        <w:rFonts w:ascii="Symbol" w:hAnsi="Symbol" w:hint="default"/>
      </w:rPr>
    </w:lvl>
    <w:lvl w:ilvl="7" w:tplc="04260003" w:tentative="1">
      <w:start w:val="1"/>
      <w:numFmt w:val="bullet"/>
      <w:lvlText w:val="o"/>
      <w:lvlJc w:val="left"/>
      <w:pPr>
        <w:ind w:left="5814" w:hanging="360"/>
      </w:pPr>
      <w:rPr>
        <w:rFonts w:ascii="Courier New" w:hAnsi="Courier New" w:cs="Courier New" w:hint="default"/>
      </w:rPr>
    </w:lvl>
    <w:lvl w:ilvl="8" w:tplc="04260005" w:tentative="1">
      <w:start w:val="1"/>
      <w:numFmt w:val="bullet"/>
      <w:lvlText w:val=""/>
      <w:lvlJc w:val="left"/>
      <w:pPr>
        <w:ind w:left="6534" w:hanging="360"/>
      </w:pPr>
      <w:rPr>
        <w:rFonts w:ascii="Wingdings" w:hAnsi="Wingdings" w:hint="default"/>
      </w:rPr>
    </w:lvl>
  </w:abstractNum>
  <w:abstractNum w:abstractNumId="57" w15:restartNumberingAfterBreak="0">
    <w:nsid w:val="59F00773"/>
    <w:multiLevelType w:val="hybridMultilevel"/>
    <w:tmpl w:val="FAAC208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5AB927AA"/>
    <w:multiLevelType w:val="hybridMultilevel"/>
    <w:tmpl w:val="A656B658"/>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59" w15:restartNumberingAfterBreak="0">
    <w:nsid w:val="5AFF2E50"/>
    <w:multiLevelType w:val="multilevel"/>
    <w:tmpl w:val="E6E6B818"/>
    <w:lvl w:ilvl="0">
      <w:start w:val="4"/>
      <w:numFmt w:val="decimal"/>
      <w:lvlText w:val="%1."/>
      <w:lvlJc w:val="left"/>
      <w:pPr>
        <w:ind w:left="795" w:hanging="795"/>
      </w:pPr>
      <w:rPr>
        <w:rFonts w:hint="default"/>
      </w:rPr>
    </w:lvl>
    <w:lvl w:ilvl="1">
      <w:start w:val="12"/>
      <w:numFmt w:val="decimal"/>
      <w:lvlText w:val="%1.%2."/>
      <w:lvlJc w:val="left"/>
      <w:pPr>
        <w:ind w:left="795" w:hanging="79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0" w15:restartNumberingAfterBreak="0">
    <w:nsid w:val="5B132619"/>
    <w:multiLevelType w:val="hybridMultilevel"/>
    <w:tmpl w:val="C4847084"/>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695" w:hanging="615"/>
      </w:pPr>
      <w:rPr>
        <w:rFonts w:ascii="Symbol" w:hAnsi="Symbol" w:hint="default"/>
      </w:rPr>
    </w:lvl>
    <w:lvl w:ilvl="2" w:tplc="0AAE33E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BED6CC2"/>
    <w:multiLevelType w:val="hybridMultilevel"/>
    <w:tmpl w:val="4FF0274C"/>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2" w15:restartNumberingAfterBreak="0">
    <w:nsid w:val="666039A0"/>
    <w:multiLevelType w:val="multilevel"/>
    <w:tmpl w:val="DD8E33C4"/>
    <w:lvl w:ilvl="0">
      <w:start w:val="4"/>
      <w:numFmt w:val="decimal"/>
      <w:lvlText w:val="%1."/>
      <w:lvlJc w:val="left"/>
      <w:pPr>
        <w:ind w:left="840" w:hanging="840"/>
      </w:pPr>
      <w:rPr>
        <w:rFonts w:hint="default"/>
      </w:rPr>
    </w:lvl>
    <w:lvl w:ilvl="1">
      <w:start w:val="11"/>
      <w:numFmt w:val="decimal"/>
      <w:lvlText w:val="%1.%2."/>
      <w:lvlJc w:val="left"/>
      <w:pPr>
        <w:ind w:left="840" w:hanging="84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63" w15:restartNumberingAfterBreak="0">
    <w:nsid w:val="68997B2D"/>
    <w:multiLevelType w:val="hybridMultilevel"/>
    <w:tmpl w:val="9A30A2F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4" w15:restartNumberingAfterBreak="0">
    <w:nsid w:val="6B0F6717"/>
    <w:multiLevelType w:val="hybridMultilevel"/>
    <w:tmpl w:val="3D5C82A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6D7F7D05"/>
    <w:multiLevelType w:val="hybridMultilevel"/>
    <w:tmpl w:val="1CCAF7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6DA525B2"/>
    <w:multiLevelType w:val="hybridMultilevel"/>
    <w:tmpl w:val="942846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6F10156B"/>
    <w:multiLevelType w:val="multilevel"/>
    <w:tmpl w:val="51F226B8"/>
    <w:lvl w:ilvl="0">
      <w:start w:val="1"/>
      <w:numFmt w:val="decimal"/>
      <w:pStyle w:val="virsraksts"/>
      <w:lvlText w:val="%1."/>
      <w:lvlJc w:val="left"/>
      <w:pPr>
        <w:ind w:left="360" w:hanging="360"/>
      </w:pPr>
      <w:rPr>
        <w:rFonts w:hint="default"/>
      </w:rPr>
    </w:lvl>
    <w:lvl w:ilvl="1">
      <w:start w:val="1"/>
      <w:numFmt w:val="decimal"/>
      <w:pStyle w:val="apakvirsraksts"/>
      <w:lvlText w:val="%1.%2."/>
      <w:lvlJc w:val="left"/>
      <w:pPr>
        <w:ind w:left="792" w:hanging="432"/>
      </w:pPr>
      <w:rPr>
        <w:rFonts w:hint="default"/>
      </w:rPr>
    </w:lvl>
    <w:lvl w:ilvl="2">
      <w:start w:val="1"/>
      <w:numFmt w:val="decimal"/>
      <w:pStyle w:val="apakapakvirsraksts"/>
      <w:lvlText w:val="%1.%2.%3."/>
      <w:lvlJc w:val="left"/>
      <w:pPr>
        <w:ind w:left="5183"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3apakvirsraksts"/>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6F1D7CDC"/>
    <w:multiLevelType w:val="hybridMultilevel"/>
    <w:tmpl w:val="D84EC13E"/>
    <w:lvl w:ilvl="0" w:tplc="30B04F6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9" w15:restartNumberingAfterBreak="0">
    <w:nsid w:val="6F5439CF"/>
    <w:multiLevelType w:val="multilevel"/>
    <w:tmpl w:val="E70E9EA4"/>
    <w:lvl w:ilvl="0">
      <w:start w:val="4"/>
      <w:numFmt w:val="decimal"/>
      <w:lvlText w:val="%1."/>
      <w:lvlJc w:val="left"/>
      <w:pPr>
        <w:ind w:left="630" w:hanging="63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0" w15:restartNumberingAfterBreak="0">
    <w:nsid w:val="71AD5A2C"/>
    <w:multiLevelType w:val="hybridMultilevel"/>
    <w:tmpl w:val="353C93B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1" w15:restartNumberingAfterBreak="0">
    <w:nsid w:val="72A626D3"/>
    <w:multiLevelType w:val="hybridMultilevel"/>
    <w:tmpl w:val="469E99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2" w15:restartNumberingAfterBreak="0">
    <w:nsid w:val="72B72C5C"/>
    <w:multiLevelType w:val="hybridMultilevel"/>
    <w:tmpl w:val="03BCC5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74826622"/>
    <w:multiLevelType w:val="hybridMultilevel"/>
    <w:tmpl w:val="D30627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74C322FF"/>
    <w:multiLevelType w:val="hybridMultilevel"/>
    <w:tmpl w:val="95F41F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5" w15:restartNumberingAfterBreak="0">
    <w:nsid w:val="755A4771"/>
    <w:multiLevelType w:val="hybridMultilevel"/>
    <w:tmpl w:val="E5C67A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15:restartNumberingAfterBreak="0">
    <w:nsid w:val="769E5A4C"/>
    <w:multiLevelType w:val="hybridMultilevel"/>
    <w:tmpl w:val="9828CC0A"/>
    <w:lvl w:ilvl="0" w:tplc="04260011">
      <w:start w:val="1"/>
      <w:numFmt w:val="decimal"/>
      <w:lvlText w:val="%1)"/>
      <w:lvlJc w:val="left"/>
      <w:pPr>
        <w:ind w:left="1429" w:hanging="360"/>
      </w:pPr>
    </w:lvl>
    <w:lvl w:ilvl="1" w:tplc="04260001">
      <w:start w:val="1"/>
      <w:numFmt w:val="bullet"/>
      <w:lvlText w:val=""/>
      <w:lvlJc w:val="left"/>
      <w:pPr>
        <w:ind w:left="2149" w:hanging="360"/>
      </w:pPr>
      <w:rPr>
        <w:rFonts w:ascii="Symbol" w:hAnsi="Symbol" w:hint="default"/>
      </w:rPr>
    </w:lvl>
    <w:lvl w:ilvl="2" w:tplc="0426001B">
      <w:start w:val="1"/>
      <w:numFmt w:val="lowerRoman"/>
      <w:lvlText w:val="%3."/>
      <w:lvlJc w:val="right"/>
      <w:pPr>
        <w:ind w:left="2869" w:hanging="180"/>
      </w:pPr>
    </w:lvl>
    <w:lvl w:ilvl="3" w:tplc="0426000F">
      <w:start w:val="1"/>
      <w:numFmt w:val="decimal"/>
      <w:lvlText w:val="%4."/>
      <w:lvlJc w:val="left"/>
      <w:pPr>
        <w:ind w:left="3589" w:hanging="360"/>
      </w:pPr>
    </w:lvl>
    <w:lvl w:ilvl="4" w:tplc="04260019">
      <w:start w:val="1"/>
      <w:numFmt w:val="lowerLetter"/>
      <w:lvlText w:val="%5."/>
      <w:lvlJc w:val="left"/>
      <w:pPr>
        <w:ind w:left="4309" w:hanging="360"/>
      </w:pPr>
    </w:lvl>
    <w:lvl w:ilvl="5" w:tplc="0426001B">
      <w:start w:val="1"/>
      <w:numFmt w:val="lowerRoman"/>
      <w:lvlText w:val="%6."/>
      <w:lvlJc w:val="right"/>
      <w:pPr>
        <w:ind w:left="5029" w:hanging="180"/>
      </w:pPr>
    </w:lvl>
    <w:lvl w:ilvl="6" w:tplc="0426000F">
      <w:start w:val="1"/>
      <w:numFmt w:val="decimal"/>
      <w:lvlText w:val="%7."/>
      <w:lvlJc w:val="left"/>
      <w:pPr>
        <w:ind w:left="5749" w:hanging="360"/>
      </w:pPr>
    </w:lvl>
    <w:lvl w:ilvl="7" w:tplc="04260019">
      <w:start w:val="1"/>
      <w:numFmt w:val="lowerLetter"/>
      <w:lvlText w:val="%8."/>
      <w:lvlJc w:val="left"/>
      <w:pPr>
        <w:ind w:left="6469" w:hanging="360"/>
      </w:pPr>
    </w:lvl>
    <w:lvl w:ilvl="8" w:tplc="0426001B">
      <w:start w:val="1"/>
      <w:numFmt w:val="lowerRoman"/>
      <w:lvlText w:val="%9."/>
      <w:lvlJc w:val="right"/>
      <w:pPr>
        <w:ind w:left="7189" w:hanging="180"/>
      </w:pPr>
    </w:lvl>
  </w:abstractNum>
  <w:abstractNum w:abstractNumId="77" w15:restartNumberingAfterBreak="0">
    <w:nsid w:val="78302CCF"/>
    <w:multiLevelType w:val="multilevel"/>
    <w:tmpl w:val="DD8E33C4"/>
    <w:lvl w:ilvl="0">
      <w:start w:val="4"/>
      <w:numFmt w:val="decimal"/>
      <w:lvlText w:val="%1."/>
      <w:lvlJc w:val="left"/>
      <w:pPr>
        <w:ind w:left="840" w:hanging="840"/>
      </w:pPr>
      <w:rPr>
        <w:rFonts w:hint="default"/>
      </w:rPr>
    </w:lvl>
    <w:lvl w:ilvl="1">
      <w:start w:val="11"/>
      <w:numFmt w:val="decimal"/>
      <w:lvlText w:val="%1.%2."/>
      <w:lvlJc w:val="left"/>
      <w:pPr>
        <w:ind w:left="840" w:hanging="84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8" w15:restartNumberingAfterBreak="0">
    <w:nsid w:val="7FCC050F"/>
    <w:multiLevelType w:val="hybridMultilevel"/>
    <w:tmpl w:val="7F40527A"/>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9" w15:restartNumberingAfterBreak="0">
    <w:nsid w:val="7FDF4FAC"/>
    <w:multiLevelType w:val="hybridMultilevel"/>
    <w:tmpl w:val="67F6C8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1"/>
  </w:num>
  <w:num w:numId="2">
    <w:abstractNumId w:val="68"/>
  </w:num>
  <w:num w:numId="3">
    <w:abstractNumId w:val="39"/>
  </w:num>
  <w:num w:numId="4">
    <w:abstractNumId w:val="61"/>
  </w:num>
  <w:num w:numId="5">
    <w:abstractNumId w:val="15"/>
  </w:num>
  <w:num w:numId="6">
    <w:abstractNumId w:val="5"/>
  </w:num>
  <w:num w:numId="7">
    <w:abstractNumId w:val="49"/>
  </w:num>
  <w:num w:numId="8">
    <w:abstractNumId w:val="12"/>
  </w:num>
  <w:num w:numId="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0"/>
  </w:num>
  <w:num w:numId="11">
    <w:abstractNumId w:val="56"/>
  </w:num>
  <w:num w:numId="12">
    <w:abstractNumId w:val="27"/>
  </w:num>
  <w:num w:numId="13">
    <w:abstractNumId w:val="14"/>
  </w:num>
  <w:num w:numId="14">
    <w:abstractNumId w:val="71"/>
  </w:num>
  <w:num w:numId="15">
    <w:abstractNumId w:val="65"/>
  </w:num>
  <w:num w:numId="16">
    <w:abstractNumId w:val="42"/>
  </w:num>
  <w:num w:numId="17">
    <w:abstractNumId w:val="76"/>
  </w:num>
  <w:num w:numId="18">
    <w:abstractNumId w:val="20"/>
  </w:num>
  <w:num w:numId="19">
    <w:abstractNumId w:val="66"/>
  </w:num>
  <w:num w:numId="20">
    <w:abstractNumId w:val="1"/>
  </w:num>
  <w:num w:numId="21">
    <w:abstractNumId w:val="55"/>
  </w:num>
  <w:num w:numId="22">
    <w:abstractNumId w:val="28"/>
  </w:num>
  <w:num w:numId="23">
    <w:abstractNumId w:val="67"/>
  </w:num>
  <w:num w:numId="24">
    <w:abstractNumId w:val="34"/>
  </w:num>
  <w:num w:numId="25">
    <w:abstractNumId w:val="4"/>
  </w:num>
  <w:num w:numId="26">
    <w:abstractNumId w:val="19"/>
  </w:num>
  <w:num w:numId="27">
    <w:abstractNumId w:val="24"/>
  </w:num>
  <w:num w:numId="28">
    <w:abstractNumId w:val="53"/>
  </w:num>
  <w:num w:numId="29">
    <w:abstractNumId w:val="74"/>
  </w:num>
  <w:num w:numId="30">
    <w:abstractNumId w:val="22"/>
  </w:num>
  <w:num w:numId="31">
    <w:abstractNumId w:val="33"/>
  </w:num>
  <w:num w:numId="32">
    <w:abstractNumId w:val="79"/>
  </w:num>
  <w:num w:numId="33">
    <w:abstractNumId w:val="45"/>
  </w:num>
  <w:num w:numId="34">
    <w:abstractNumId w:val="58"/>
  </w:num>
  <w:num w:numId="35">
    <w:abstractNumId w:val="72"/>
  </w:num>
  <w:num w:numId="36">
    <w:abstractNumId w:val="17"/>
  </w:num>
  <w:num w:numId="37">
    <w:abstractNumId w:val="51"/>
  </w:num>
  <w:num w:numId="38">
    <w:abstractNumId w:val="6"/>
  </w:num>
  <w:num w:numId="39">
    <w:abstractNumId w:val="52"/>
  </w:num>
  <w:num w:numId="40">
    <w:abstractNumId w:val="32"/>
  </w:num>
  <w:num w:numId="41">
    <w:abstractNumId w:val="25"/>
  </w:num>
  <w:num w:numId="42">
    <w:abstractNumId w:val="3"/>
  </w:num>
  <w:num w:numId="43">
    <w:abstractNumId w:val="75"/>
  </w:num>
  <w:num w:numId="44">
    <w:abstractNumId w:val="16"/>
  </w:num>
  <w:num w:numId="45">
    <w:abstractNumId w:val="63"/>
  </w:num>
  <w:num w:numId="46">
    <w:abstractNumId w:val="7"/>
  </w:num>
  <w:num w:numId="47">
    <w:abstractNumId w:val="54"/>
  </w:num>
  <w:num w:numId="48">
    <w:abstractNumId w:val="64"/>
  </w:num>
  <w:num w:numId="49">
    <w:abstractNumId w:val="2"/>
  </w:num>
  <w:num w:numId="50">
    <w:abstractNumId w:val="10"/>
  </w:num>
  <w:num w:numId="51">
    <w:abstractNumId w:val="8"/>
  </w:num>
  <w:num w:numId="52">
    <w:abstractNumId w:val="70"/>
  </w:num>
  <w:num w:numId="53">
    <w:abstractNumId w:val="21"/>
  </w:num>
  <w:num w:numId="54">
    <w:abstractNumId w:val="37"/>
  </w:num>
  <w:num w:numId="55">
    <w:abstractNumId w:val="26"/>
  </w:num>
  <w:num w:numId="56">
    <w:abstractNumId w:val="36"/>
  </w:num>
  <w:num w:numId="57">
    <w:abstractNumId w:val="45"/>
  </w:num>
  <w:num w:numId="58">
    <w:abstractNumId w:val="40"/>
  </w:num>
  <w:num w:numId="59">
    <w:abstractNumId w:val="18"/>
  </w:num>
  <w:num w:numId="60">
    <w:abstractNumId w:val="11"/>
  </w:num>
  <w:num w:numId="61">
    <w:abstractNumId w:val="62"/>
  </w:num>
  <w:num w:numId="62">
    <w:abstractNumId w:val="59"/>
  </w:num>
  <w:num w:numId="63">
    <w:abstractNumId w:val="77"/>
  </w:num>
  <w:num w:numId="64">
    <w:abstractNumId w:val="31"/>
  </w:num>
  <w:num w:numId="65">
    <w:abstractNumId w:val="30"/>
  </w:num>
  <w:num w:numId="66">
    <w:abstractNumId w:val="23"/>
  </w:num>
  <w:num w:numId="67">
    <w:abstractNumId w:val="43"/>
  </w:num>
  <w:num w:numId="6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1"/>
  </w:num>
  <w:num w:numId="71">
    <w:abstractNumId w:val="46"/>
  </w:num>
  <w:num w:numId="72">
    <w:abstractNumId w:val="69"/>
  </w:num>
  <w:num w:numId="73">
    <w:abstractNumId w:val="47"/>
  </w:num>
  <w:num w:numId="7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5"/>
  </w:num>
  <w:num w:numId="76">
    <w:abstractNumId w:val="41"/>
  </w:num>
  <w:num w:numId="77">
    <w:abstractNumId w:val="0"/>
  </w:num>
  <w:num w:numId="78">
    <w:abstractNumId w:val="31"/>
  </w:num>
  <w:num w:numId="79">
    <w:abstractNumId w:val="31"/>
  </w:num>
  <w:num w:numId="80">
    <w:abstractNumId w:val="0"/>
  </w:num>
  <w:num w:numId="81">
    <w:abstractNumId w:val="78"/>
  </w:num>
  <w:num w:numId="82">
    <w:abstractNumId w:val="41"/>
  </w:num>
  <w:num w:numId="83">
    <w:abstractNumId w:val="9"/>
  </w:num>
  <w:num w:numId="84">
    <w:abstractNumId w:val="29"/>
  </w:num>
  <w:num w:numId="85">
    <w:abstractNumId w:val="48"/>
  </w:num>
  <w:num w:numId="86">
    <w:abstractNumId w:val="38"/>
  </w:num>
  <w:num w:numId="87">
    <w:abstractNumId w:val="13"/>
  </w:num>
  <w:num w:numId="88">
    <w:abstractNumId w:val="57"/>
  </w:num>
  <w:num w:numId="89">
    <w:abstractNumId w:val="73"/>
  </w:num>
  <w:num w:numId="90">
    <w:abstractNumId w:val="31"/>
  </w:num>
  <w:num w:numId="91">
    <w:abstractNumId w:val="31"/>
  </w:num>
  <w:num w:numId="92">
    <w:abstractNumId w:val="31"/>
  </w:num>
  <w:num w:numId="93">
    <w:abstractNumId w:val="31"/>
  </w:num>
  <w:num w:numId="94">
    <w:abstractNumId w:val="31"/>
  </w:num>
  <w:num w:numId="95">
    <w:abstractNumId w:val="31"/>
  </w:num>
  <w:num w:numId="96">
    <w:abstractNumId w:val="31"/>
  </w:num>
  <w:num w:numId="97">
    <w:abstractNumId w:val="31"/>
  </w:num>
  <w:num w:numId="98">
    <w:abstractNumId w:val="31"/>
  </w:num>
  <w:num w:numId="99">
    <w:abstractNumId w:val="31"/>
  </w:num>
  <w:num w:numId="100">
    <w:abstractNumId w:val="31"/>
  </w:num>
  <w:num w:numId="101">
    <w:abstractNumId w:val="44"/>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264"/>
    <w:rsid w:val="000055AB"/>
    <w:rsid w:val="00037A05"/>
    <w:rsid w:val="000578B6"/>
    <w:rsid w:val="00065E4F"/>
    <w:rsid w:val="00066565"/>
    <w:rsid w:val="0007326F"/>
    <w:rsid w:val="00092AD6"/>
    <w:rsid w:val="000A3A42"/>
    <w:rsid w:val="000B07AF"/>
    <w:rsid w:val="000B0D2F"/>
    <w:rsid w:val="000B4D63"/>
    <w:rsid w:val="000C620B"/>
    <w:rsid w:val="000D4B98"/>
    <w:rsid w:val="000E53BB"/>
    <w:rsid w:val="000F675F"/>
    <w:rsid w:val="00102358"/>
    <w:rsid w:val="00143723"/>
    <w:rsid w:val="0015352C"/>
    <w:rsid w:val="00170697"/>
    <w:rsid w:val="0018280F"/>
    <w:rsid w:val="001A39C3"/>
    <w:rsid w:val="001A6F1C"/>
    <w:rsid w:val="001A7896"/>
    <w:rsid w:val="001B161F"/>
    <w:rsid w:val="001E2A9B"/>
    <w:rsid w:val="001E38CE"/>
    <w:rsid w:val="001E3CA9"/>
    <w:rsid w:val="001E6837"/>
    <w:rsid w:val="001E7AE9"/>
    <w:rsid w:val="001E7B1A"/>
    <w:rsid w:val="001F601F"/>
    <w:rsid w:val="00204E50"/>
    <w:rsid w:val="00207561"/>
    <w:rsid w:val="002116C5"/>
    <w:rsid w:val="00212FFB"/>
    <w:rsid w:val="00217066"/>
    <w:rsid w:val="00217A1E"/>
    <w:rsid w:val="0022577A"/>
    <w:rsid w:val="00240553"/>
    <w:rsid w:val="0025546A"/>
    <w:rsid w:val="0026004A"/>
    <w:rsid w:val="00272B86"/>
    <w:rsid w:val="00276A9B"/>
    <w:rsid w:val="00283992"/>
    <w:rsid w:val="0028675B"/>
    <w:rsid w:val="00287C99"/>
    <w:rsid w:val="00293AB8"/>
    <w:rsid w:val="002D1881"/>
    <w:rsid w:val="002D799E"/>
    <w:rsid w:val="002E0F59"/>
    <w:rsid w:val="002E72A7"/>
    <w:rsid w:val="002F2E36"/>
    <w:rsid w:val="00313FA6"/>
    <w:rsid w:val="003172C5"/>
    <w:rsid w:val="00357C72"/>
    <w:rsid w:val="00370269"/>
    <w:rsid w:val="0038195E"/>
    <w:rsid w:val="00384E02"/>
    <w:rsid w:val="003A5818"/>
    <w:rsid w:val="003C5D2F"/>
    <w:rsid w:val="003E5124"/>
    <w:rsid w:val="003F78FD"/>
    <w:rsid w:val="00415B59"/>
    <w:rsid w:val="004162ED"/>
    <w:rsid w:val="004458DE"/>
    <w:rsid w:val="0044653B"/>
    <w:rsid w:val="004572FE"/>
    <w:rsid w:val="0047533B"/>
    <w:rsid w:val="00477CC4"/>
    <w:rsid w:val="004910BB"/>
    <w:rsid w:val="00493E08"/>
    <w:rsid w:val="004948DF"/>
    <w:rsid w:val="00495EE5"/>
    <w:rsid w:val="004A3F05"/>
    <w:rsid w:val="004B309E"/>
    <w:rsid w:val="004E5FDF"/>
    <w:rsid w:val="004F21FE"/>
    <w:rsid w:val="0053715D"/>
    <w:rsid w:val="0055426F"/>
    <w:rsid w:val="00560FA1"/>
    <w:rsid w:val="00592BE9"/>
    <w:rsid w:val="005A651C"/>
    <w:rsid w:val="005B67A2"/>
    <w:rsid w:val="005C0161"/>
    <w:rsid w:val="006179BB"/>
    <w:rsid w:val="00621737"/>
    <w:rsid w:val="00631A9D"/>
    <w:rsid w:val="00651C6E"/>
    <w:rsid w:val="00673C3B"/>
    <w:rsid w:val="00686144"/>
    <w:rsid w:val="006864F6"/>
    <w:rsid w:val="006A1055"/>
    <w:rsid w:val="006C05EE"/>
    <w:rsid w:val="006D77F6"/>
    <w:rsid w:val="006E210B"/>
    <w:rsid w:val="006E6675"/>
    <w:rsid w:val="006F419D"/>
    <w:rsid w:val="0073028B"/>
    <w:rsid w:val="00744A8D"/>
    <w:rsid w:val="00762546"/>
    <w:rsid w:val="00776032"/>
    <w:rsid w:val="007800F9"/>
    <w:rsid w:val="007A7EAC"/>
    <w:rsid w:val="007C7DE4"/>
    <w:rsid w:val="007D4632"/>
    <w:rsid w:val="007D5452"/>
    <w:rsid w:val="007F552C"/>
    <w:rsid w:val="00805677"/>
    <w:rsid w:val="00815257"/>
    <w:rsid w:val="00817C15"/>
    <w:rsid w:val="008267B0"/>
    <w:rsid w:val="00842899"/>
    <w:rsid w:val="00847BE3"/>
    <w:rsid w:val="008618A9"/>
    <w:rsid w:val="0086217C"/>
    <w:rsid w:val="008872C9"/>
    <w:rsid w:val="00893C96"/>
    <w:rsid w:val="008A2B5F"/>
    <w:rsid w:val="008B0809"/>
    <w:rsid w:val="008C17F6"/>
    <w:rsid w:val="008E5C42"/>
    <w:rsid w:val="008F5746"/>
    <w:rsid w:val="008F7A23"/>
    <w:rsid w:val="0090313C"/>
    <w:rsid w:val="00904150"/>
    <w:rsid w:val="00905CC0"/>
    <w:rsid w:val="009365B3"/>
    <w:rsid w:val="009377F4"/>
    <w:rsid w:val="00954E08"/>
    <w:rsid w:val="00971B96"/>
    <w:rsid w:val="009766B1"/>
    <w:rsid w:val="00987728"/>
    <w:rsid w:val="00991264"/>
    <w:rsid w:val="00992D8D"/>
    <w:rsid w:val="009A0CBA"/>
    <w:rsid w:val="009A6597"/>
    <w:rsid w:val="009B05F4"/>
    <w:rsid w:val="009B2499"/>
    <w:rsid w:val="009F32EE"/>
    <w:rsid w:val="00A21A23"/>
    <w:rsid w:val="00A24279"/>
    <w:rsid w:val="00A30D6B"/>
    <w:rsid w:val="00A45809"/>
    <w:rsid w:val="00A66357"/>
    <w:rsid w:val="00A83529"/>
    <w:rsid w:val="00A86C27"/>
    <w:rsid w:val="00A9617F"/>
    <w:rsid w:val="00A97783"/>
    <w:rsid w:val="00A97DD0"/>
    <w:rsid w:val="00AA17B7"/>
    <w:rsid w:val="00AC2049"/>
    <w:rsid w:val="00AD4781"/>
    <w:rsid w:val="00AE2E35"/>
    <w:rsid w:val="00AE6D82"/>
    <w:rsid w:val="00B12E83"/>
    <w:rsid w:val="00B17E49"/>
    <w:rsid w:val="00B26096"/>
    <w:rsid w:val="00B4234A"/>
    <w:rsid w:val="00B52DF2"/>
    <w:rsid w:val="00B573BB"/>
    <w:rsid w:val="00B75C0D"/>
    <w:rsid w:val="00B768AF"/>
    <w:rsid w:val="00B92FC2"/>
    <w:rsid w:val="00B94505"/>
    <w:rsid w:val="00BB175F"/>
    <w:rsid w:val="00BB4D42"/>
    <w:rsid w:val="00BB5499"/>
    <w:rsid w:val="00BC0E9E"/>
    <w:rsid w:val="00BC7613"/>
    <w:rsid w:val="00C03553"/>
    <w:rsid w:val="00C22CAB"/>
    <w:rsid w:val="00C352B8"/>
    <w:rsid w:val="00C63D24"/>
    <w:rsid w:val="00CA308F"/>
    <w:rsid w:val="00CB24A1"/>
    <w:rsid w:val="00CB43F5"/>
    <w:rsid w:val="00CC138D"/>
    <w:rsid w:val="00CC7640"/>
    <w:rsid w:val="00CD313C"/>
    <w:rsid w:val="00D00624"/>
    <w:rsid w:val="00D023FA"/>
    <w:rsid w:val="00D11941"/>
    <w:rsid w:val="00D13531"/>
    <w:rsid w:val="00D226B0"/>
    <w:rsid w:val="00D44C1F"/>
    <w:rsid w:val="00D60622"/>
    <w:rsid w:val="00D66A5A"/>
    <w:rsid w:val="00D67F99"/>
    <w:rsid w:val="00D91B2F"/>
    <w:rsid w:val="00D934CE"/>
    <w:rsid w:val="00D96018"/>
    <w:rsid w:val="00DB390C"/>
    <w:rsid w:val="00DB4262"/>
    <w:rsid w:val="00DC30F5"/>
    <w:rsid w:val="00DD44D5"/>
    <w:rsid w:val="00DE4B7F"/>
    <w:rsid w:val="00E350C8"/>
    <w:rsid w:val="00E350ED"/>
    <w:rsid w:val="00E51916"/>
    <w:rsid w:val="00E816BF"/>
    <w:rsid w:val="00E92547"/>
    <w:rsid w:val="00E93C6D"/>
    <w:rsid w:val="00EA0909"/>
    <w:rsid w:val="00EA2D80"/>
    <w:rsid w:val="00ED49BD"/>
    <w:rsid w:val="00EE5AB6"/>
    <w:rsid w:val="00EE6F52"/>
    <w:rsid w:val="00F009B7"/>
    <w:rsid w:val="00F34EC7"/>
    <w:rsid w:val="00F37EA7"/>
    <w:rsid w:val="00F428AD"/>
    <w:rsid w:val="00F45E73"/>
    <w:rsid w:val="00F505BA"/>
    <w:rsid w:val="00F62076"/>
    <w:rsid w:val="00F6571B"/>
    <w:rsid w:val="00F733D5"/>
    <w:rsid w:val="00F82F85"/>
    <w:rsid w:val="00FA6AC5"/>
    <w:rsid w:val="00FD23B9"/>
    <w:rsid w:val="00FD28DE"/>
    <w:rsid w:val="00FD4D67"/>
    <w:rsid w:val="00FF5328"/>
    <w:rsid w:val="00FF651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2C9BA"/>
  <w15:chartTrackingRefBased/>
  <w15:docId w15:val="{BFF71B73-EA18-49BA-B0D4-00FDB552E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91264"/>
    <w:rPr>
      <w:sz w:val="24"/>
    </w:rPr>
  </w:style>
  <w:style w:type="paragraph" w:styleId="Heading1">
    <w:name w:val="heading 1"/>
    <w:basedOn w:val="Normal"/>
    <w:next w:val="Normal"/>
    <w:link w:val="Heading1Char"/>
    <w:qFormat/>
    <w:rsid w:val="001E38CE"/>
    <w:pPr>
      <w:keepNext/>
      <w:keepLines/>
      <w:numPr>
        <w:numId w:val="1"/>
      </w:numPr>
      <w:tabs>
        <w:tab w:val="left" w:pos="2694"/>
      </w:tabs>
      <w:spacing w:before="120" w:after="120" w:line="240" w:lineRule="auto"/>
      <w:ind w:left="397" w:hanging="397"/>
      <w:outlineLvl w:val="0"/>
    </w:pPr>
    <w:rPr>
      <w:rFonts w:eastAsia="Times New Roman" w:cstheme="minorHAnsi"/>
      <w:b/>
      <w:sz w:val="28"/>
      <w:szCs w:val="32"/>
      <w:lang w:eastAsia="lv-LV"/>
    </w:rPr>
  </w:style>
  <w:style w:type="paragraph" w:styleId="Heading2">
    <w:name w:val="heading 2"/>
    <w:basedOn w:val="Normal"/>
    <w:next w:val="Normal"/>
    <w:link w:val="Heading2Char"/>
    <w:unhideWhenUsed/>
    <w:qFormat/>
    <w:rsid w:val="001E38CE"/>
    <w:pPr>
      <w:keepNext/>
      <w:keepLines/>
      <w:numPr>
        <w:ilvl w:val="1"/>
        <w:numId w:val="1"/>
      </w:numPr>
      <w:spacing w:before="120" w:after="120" w:line="240" w:lineRule="auto"/>
      <w:outlineLvl w:val="1"/>
    </w:pPr>
    <w:rPr>
      <w:rFonts w:eastAsiaTheme="majorEastAsia" w:cstheme="minorHAnsi"/>
      <w:b/>
      <w:sz w:val="26"/>
      <w:szCs w:val="26"/>
    </w:rPr>
  </w:style>
  <w:style w:type="paragraph" w:styleId="Heading3">
    <w:name w:val="heading 3"/>
    <w:aliases w:val="virsraksts3"/>
    <w:basedOn w:val="Normal"/>
    <w:next w:val="Normal"/>
    <w:link w:val="Heading3Char"/>
    <w:unhideWhenUsed/>
    <w:qFormat/>
    <w:rsid w:val="00D934CE"/>
    <w:pPr>
      <w:keepNext/>
      <w:keepLines/>
      <w:numPr>
        <w:ilvl w:val="2"/>
        <w:numId w:val="1"/>
      </w:numPr>
      <w:spacing w:before="120" w:after="120" w:line="240" w:lineRule="auto"/>
      <w:jc w:val="both"/>
      <w:outlineLvl w:val="2"/>
    </w:pPr>
    <w:rPr>
      <w:rFonts w:eastAsiaTheme="majorEastAsia" w:cstheme="minorHAnsi"/>
      <w:szCs w:val="24"/>
      <w:u w:val="single"/>
      <w:lang w:eastAsia="lv-LV"/>
    </w:rPr>
  </w:style>
  <w:style w:type="paragraph" w:styleId="Heading4">
    <w:name w:val="heading 4"/>
    <w:basedOn w:val="Normal"/>
    <w:next w:val="Normal"/>
    <w:link w:val="Heading4Char"/>
    <w:unhideWhenUsed/>
    <w:qFormat/>
    <w:rsid w:val="006E6675"/>
    <w:pPr>
      <w:keepNext/>
      <w:keepLines/>
      <w:numPr>
        <w:ilvl w:val="3"/>
        <w:numId w:val="1"/>
      </w:numPr>
      <w:tabs>
        <w:tab w:val="left" w:pos="993"/>
      </w:tabs>
      <w:spacing w:before="120" w:after="120" w:line="240" w:lineRule="auto"/>
      <w:ind w:left="1077" w:hanging="737"/>
      <w:jc w:val="both"/>
      <w:outlineLvl w:val="3"/>
    </w:pPr>
    <w:rPr>
      <w:rFonts w:eastAsiaTheme="majorEastAsia" w:cstheme="minorHAnsi"/>
      <w:i/>
      <w:iCs/>
      <w:szCs w:val="24"/>
    </w:rPr>
  </w:style>
  <w:style w:type="paragraph" w:styleId="Heading5">
    <w:name w:val="heading 5"/>
    <w:basedOn w:val="Normal"/>
    <w:next w:val="Normal"/>
    <w:link w:val="Heading5Char"/>
    <w:unhideWhenUsed/>
    <w:qFormat/>
    <w:rsid w:val="006179B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7A7EAC"/>
    <w:pPr>
      <w:spacing w:after="120" w:line="252" w:lineRule="auto"/>
      <w:ind w:left="1152" w:hanging="1152"/>
      <w:jc w:val="center"/>
      <w:outlineLvl w:val="5"/>
    </w:pPr>
    <w:rPr>
      <w:rFonts w:ascii="Cambria" w:eastAsia="Times New Roman" w:hAnsi="Cambria" w:cs="Times New Roman"/>
      <w:caps/>
      <w:color w:val="943634"/>
      <w:spacing w:val="10"/>
      <w:sz w:val="22"/>
      <w:lang w:val="en-US" w:bidi="en-US"/>
    </w:rPr>
  </w:style>
  <w:style w:type="paragraph" w:styleId="Heading7">
    <w:name w:val="heading 7"/>
    <w:basedOn w:val="Normal"/>
    <w:next w:val="Normal"/>
    <w:link w:val="Heading7Char"/>
    <w:qFormat/>
    <w:rsid w:val="007A7EAC"/>
    <w:pPr>
      <w:spacing w:after="120" w:line="252" w:lineRule="auto"/>
      <w:ind w:left="1296" w:hanging="1296"/>
      <w:jc w:val="center"/>
      <w:outlineLvl w:val="6"/>
    </w:pPr>
    <w:rPr>
      <w:rFonts w:ascii="Cambria" w:eastAsia="Times New Roman" w:hAnsi="Cambria" w:cs="Times New Roman"/>
      <w:i/>
      <w:iCs/>
      <w:caps/>
      <w:color w:val="943634"/>
      <w:spacing w:val="10"/>
      <w:sz w:val="22"/>
      <w:lang w:val="en-US" w:bidi="en-US"/>
    </w:rPr>
  </w:style>
  <w:style w:type="paragraph" w:styleId="Heading8">
    <w:name w:val="heading 8"/>
    <w:basedOn w:val="Normal"/>
    <w:next w:val="Normal"/>
    <w:link w:val="Heading8Char"/>
    <w:qFormat/>
    <w:rsid w:val="007A7EAC"/>
    <w:pPr>
      <w:spacing w:after="120" w:line="252" w:lineRule="auto"/>
      <w:ind w:left="1440" w:hanging="1440"/>
      <w:jc w:val="center"/>
      <w:outlineLvl w:val="7"/>
    </w:pPr>
    <w:rPr>
      <w:rFonts w:ascii="Cambria" w:eastAsia="Times New Roman" w:hAnsi="Cambria" w:cs="Times New Roman"/>
      <w:caps/>
      <w:spacing w:val="10"/>
      <w:sz w:val="20"/>
      <w:szCs w:val="20"/>
      <w:lang w:val="en-US" w:bidi="en-US"/>
    </w:rPr>
  </w:style>
  <w:style w:type="paragraph" w:styleId="Heading9">
    <w:name w:val="heading 9"/>
    <w:basedOn w:val="Normal"/>
    <w:next w:val="Normal"/>
    <w:link w:val="Heading9Char"/>
    <w:qFormat/>
    <w:rsid w:val="007A7EAC"/>
    <w:pPr>
      <w:spacing w:after="120" w:line="252" w:lineRule="auto"/>
      <w:ind w:left="1584" w:hanging="1584"/>
      <w:jc w:val="center"/>
      <w:outlineLvl w:val="8"/>
    </w:pPr>
    <w:rPr>
      <w:rFonts w:ascii="Cambria" w:eastAsia="Times New Roman" w:hAnsi="Cambria" w:cs="Times New Roman"/>
      <w:i/>
      <w:iCs/>
      <w:caps/>
      <w:spacing w:val="10"/>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8CE"/>
    <w:rPr>
      <w:rFonts w:eastAsia="Times New Roman" w:cstheme="minorHAnsi"/>
      <w:b/>
      <w:sz w:val="28"/>
      <w:szCs w:val="32"/>
      <w:lang w:eastAsia="lv-LV"/>
    </w:rPr>
  </w:style>
  <w:style w:type="character" w:customStyle="1" w:styleId="Heading2Char">
    <w:name w:val="Heading 2 Char"/>
    <w:basedOn w:val="DefaultParagraphFont"/>
    <w:link w:val="Heading2"/>
    <w:uiPriority w:val="9"/>
    <w:rsid w:val="001E38CE"/>
    <w:rPr>
      <w:rFonts w:eastAsiaTheme="majorEastAsia" w:cstheme="minorHAnsi"/>
      <w:b/>
      <w:sz w:val="26"/>
      <w:szCs w:val="26"/>
    </w:rPr>
  </w:style>
  <w:style w:type="character" w:customStyle="1" w:styleId="Heading3Char">
    <w:name w:val="Heading 3 Char"/>
    <w:aliases w:val="virsraksts3 Char"/>
    <w:basedOn w:val="DefaultParagraphFont"/>
    <w:link w:val="Heading3"/>
    <w:uiPriority w:val="9"/>
    <w:rsid w:val="00D934CE"/>
    <w:rPr>
      <w:rFonts w:eastAsiaTheme="majorEastAsia" w:cstheme="minorHAnsi"/>
      <w:sz w:val="24"/>
      <w:szCs w:val="24"/>
      <w:u w:val="single"/>
      <w:lang w:eastAsia="lv-LV"/>
    </w:rPr>
  </w:style>
  <w:style w:type="character" w:customStyle="1" w:styleId="Heading4Char">
    <w:name w:val="Heading 4 Char"/>
    <w:basedOn w:val="DefaultParagraphFont"/>
    <w:link w:val="Heading4"/>
    <w:uiPriority w:val="9"/>
    <w:rsid w:val="006E6675"/>
    <w:rPr>
      <w:rFonts w:eastAsiaTheme="majorEastAsia" w:cstheme="minorHAnsi"/>
      <w:i/>
      <w:iCs/>
      <w:sz w:val="24"/>
      <w:szCs w:val="24"/>
    </w:rPr>
  </w:style>
  <w:style w:type="character" w:customStyle="1" w:styleId="Heading5Char">
    <w:name w:val="Heading 5 Char"/>
    <w:basedOn w:val="DefaultParagraphFont"/>
    <w:link w:val="Heading5"/>
    <w:uiPriority w:val="9"/>
    <w:rsid w:val="006179BB"/>
    <w:rPr>
      <w:rFonts w:asciiTheme="majorHAnsi" w:eastAsiaTheme="majorEastAsia" w:hAnsiTheme="majorHAnsi" w:cstheme="majorBidi"/>
      <w:color w:val="2F5496" w:themeColor="accent1" w:themeShade="BF"/>
      <w:sz w:val="24"/>
    </w:rPr>
  </w:style>
  <w:style w:type="paragraph" w:styleId="ListParagraph">
    <w:name w:val="List Paragraph"/>
    <w:aliases w:val="2,Strip,Numbered Para 1,Dot pt,No Spacing1,List Paragraph Char Char Char,Indicator Text,List Paragraph1,Bullet Points,MAIN CONTENT,IFCL - List Paragraph,List Paragraph12,OBC Bullet,F5 List Paragraph,Colorful List - Accent 11"/>
    <w:basedOn w:val="Normal"/>
    <w:link w:val="ListParagraphChar"/>
    <w:uiPriority w:val="34"/>
    <w:qFormat/>
    <w:rsid w:val="00DD44D5"/>
    <w:pPr>
      <w:ind w:left="720"/>
      <w:contextualSpacing/>
    </w:pPr>
  </w:style>
  <w:style w:type="character" w:customStyle="1" w:styleId="ListParagraphChar">
    <w:name w:val="List Paragraph Char"/>
    <w:aliases w:val="2 Char,Strip Char,Numbered Para 1 Char,Dot pt Char,No Spacing1 Char,List Paragraph Char Char Char Char,Indicator Text Char,List Paragraph1 Char,Bullet Points Char,MAIN CONTENT Char,IFCL - List Paragraph Char,List Paragraph12 Char"/>
    <w:link w:val="ListParagraph"/>
    <w:uiPriority w:val="34"/>
    <w:qFormat/>
    <w:locked/>
    <w:rsid w:val="00DD44D5"/>
    <w:rPr>
      <w:sz w:val="24"/>
    </w:rPr>
  </w:style>
  <w:style w:type="paragraph" w:styleId="Caption">
    <w:name w:val="caption"/>
    <w:aliases w:val="Beschriftung Char"/>
    <w:basedOn w:val="Normal"/>
    <w:next w:val="Normal"/>
    <w:link w:val="CaptionChar"/>
    <w:unhideWhenUsed/>
    <w:qFormat/>
    <w:rsid w:val="00DD44D5"/>
    <w:pPr>
      <w:keepNext/>
      <w:spacing w:before="120" w:after="120" w:line="240" w:lineRule="auto"/>
      <w:jc w:val="center"/>
    </w:pPr>
    <w:rPr>
      <w:rFonts w:ascii="Times New Roman" w:eastAsiaTheme="majorEastAsia" w:hAnsi="Times New Roman" w:cs="Times New Roman"/>
      <w:b/>
      <w:iCs/>
      <w:sz w:val="20"/>
      <w:szCs w:val="20"/>
    </w:rPr>
  </w:style>
  <w:style w:type="character" w:customStyle="1" w:styleId="CaptionChar">
    <w:name w:val="Caption Char"/>
    <w:aliases w:val="Beschriftung Char Char"/>
    <w:link w:val="Caption"/>
    <w:uiPriority w:val="35"/>
    <w:rsid w:val="00DD44D5"/>
    <w:rPr>
      <w:rFonts w:ascii="Times New Roman" w:eastAsiaTheme="majorEastAsia" w:hAnsi="Times New Roman" w:cs="Times New Roman"/>
      <w:b/>
      <w:iCs/>
      <w:sz w:val="20"/>
      <w:szCs w:val="20"/>
    </w:rPr>
  </w:style>
  <w:style w:type="paragraph" w:styleId="Header">
    <w:name w:val="header"/>
    <w:basedOn w:val="Normal"/>
    <w:link w:val="HeaderChar"/>
    <w:uiPriority w:val="99"/>
    <w:unhideWhenUsed/>
    <w:rsid w:val="00DD44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44D5"/>
    <w:rPr>
      <w:sz w:val="24"/>
    </w:rPr>
  </w:style>
  <w:style w:type="character" w:customStyle="1" w:styleId="normaltextrun">
    <w:name w:val="normaltextrun"/>
    <w:basedOn w:val="DefaultParagraphFont"/>
    <w:rsid w:val="00DD44D5"/>
  </w:style>
  <w:style w:type="character" w:customStyle="1" w:styleId="eop">
    <w:name w:val="eop"/>
    <w:basedOn w:val="DefaultParagraphFont"/>
    <w:rsid w:val="00DD44D5"/>
  </w:style>
  <w:style w:type="character" w:customStyle="1" w:styleId="spellingerror">
    <w:name w:val="spellingerror"/>
    <w:basedOn w:val="DefaultParagraphFont"/>
    <w:rsid w:val="00DD44D5"/>
  </w:style>
  <w:style w:type="paragraph" w:styleId="FootnoteText">
    <w:name w:val="footnote text"/>
    <w:aliases w:val="Footnote,Fußnote,Fußnotentext Char,Fußnotentext Char1 Char1,Fußnotentext Char Char Char Char,Fußnotentext Char1 Char Char Char,Fußnotentext Char Char,Fußnotentext Char1 Char Char Char Char,Fußnotentext Char Char Char Char Char Char,Fußn,o"/>
    <w:basedOn w:val="Normal"/>
    <w:link w:val="FootnoteTextChar"/>
    <w:uiPriority w:val="99"/>
    <w:unhideWhenUsed/>
    <w:qFormat/>
    <w:rsid w:val="00DD44D5"/>
    <w:pPr>
      <w:spacing w:after="0" w:line="240" w:lineRule="auto"/>
    </w:pPr>
    <w:rPr>
      <w:rFonts w:ascii="Times New Roman" w:hAnsi="Times New Roman" w:cs="Times New Roman"/>
      <w:sz w:val="18"/>
      <w:szCs w:val="18"/>
    </w:rPr>
  </w:style>
  <w:style w:type="character" w:customStyle="1" w:styleId="FootnoteTextChar">
    <w:name w:val="Footnote Text Char"/>
    <w:aliases w:val="Footnote Char,Fußnote Char,Fußnotentext Char Char1,Fußnotentext Char1 Char1 Char,Fußnotentext Char Char Char Char Char,Fußnotentext Char1 Char Char Char Char1,Fußnotentext Char Char Char,Fußnotentext Char1 Char Char Char Char Char"/>
    <w:basedOn w:val="DefaultParagraphFont"/>
    <w:link w:val="FootnoteText"/>
    <w:uiPriority w:val="99"/>
    <w:qFormat/>
    <w:rsid w:val="00DD44D5"/>
    <w:rPr>
      <w:rFonts w:ascii="Times New Roman" w:hAnsi="Times New Roman" w:cs="Times New Roman"/>
      <w:sz w:val="18"/>
      <w:szCs w:val="18"/>
    </w:rPr>
  </w:style>
  <w:style w:type="character" w:styleId="FootnoteReference">
    <w:name w:val="footnote reference"/>
    <w:aliases w:val="Footnote Reference Number,SUPERS,Footnote Reference Superscript,Footnote symbol,fr,Stinking Styles22,BVI fnr,(Footnote Reference),Footnote reference number,note TESI,EN Footnote Reference,Voetnootverwijzing,Times 10 Point,No,number,FR"/>
    <w:basedOn w:val="DefaultParagraphFont"/>
    <w:link w:val="FootnoteRefernece"/>
    <w:uiPriority w:val="99"/>
    <w:unhideWhenUsed/>
    <w:qFormat/>
    <w:rsid w:val="00DD44D5"/>
    <w:rPr>
      <w:vertAlign w:val="superscript"/>
    </w:rPr>
  </w:style>
  <w:style w:type="paragraph" w:customStyle="1" w:styleId="FootnoteRefernece">
    <w:name w:val="Footnote Refernece"/>
    <w:aliases w:val="ftref,Odwołanie przypisu,Footnotes refss,Ref,de nota al pie,-E Fußnotenzeichen,E,E FNZ"/>
    <w:basedOn w:val="Normal"/>
    <w:next w:val="Normal"/>
    <w:link w:val="FootnoteReference"/>
    <w:uiPriority w:val="99"/>
    <w:rsid w:val="00DD44D5"/>
    <w:pPr>
      <w:spacing w:line="240" w:lineRule="exact"/>
      <w:jc w:val="both"/>
    </w:pPr>
    <w:rPr>
      <w:sz w:val="22"/>
      <w:vertAlign w:val="superscript"/>
    </w:rPr>
  </w:style>
  <w:style w:type="paragraph" w:customStyle="1" w:styleId="Default">
    <w:name w:val="Default"/>
    <w:link w:val="DefaultChar"/>
    <w:rsid w:val="00DD44D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link w:val="Default"/>
    <w:rsid w:val="00DD44D5"/>
    <w:rPr>
      <w:rFonts w:ascii="Times New Roman" w:hAnsi="Times New Roman" w:cs="Times New Roman"/>
      <w:color w:val="000000"/>
      <w:sz w:val="24"/>
      <w:szCs w:val="24"/>
    </w:rPr>
  </w:style>
  <w:style w:type="character" w:styleId="Hyperlink">
    <w:name w:val="Hyperlink"/>
    <w:basedOn w:val="DefaultParagraphFont"/>
    <w:uiPriority w:val="99"/>
    <w:unhideWhenUsed/>
    <w:rsid w:val="00DD44D5"/>
    <w:rPr>
      <w:color w:val="0563C1" w:themeColor="hyperlink"/>
      <w:u w:val="single"/>
    </w:rPr>
  </w:style>
  <w:style w:type="character" w:customStyle="1" w:styleId="st">
    <w:name w:val="st"/>
    <w:rsid w:val="00DD44D5"/>
  </w:style>
  <w:style w:type="character" w:styleId="CommentReference">
    <w:name w:val="annotation reference"/>
    <w:basedOn w:val="DefaultParagraphFont"/>
    <w:uiPriority w:val="99"/>
    <w:unhideWhenUsed/>
    <w:rsid w:val="00D66A5A"/>
    <w:rPr>
      <w:sz w:val="16"/>
      <w:szCs w:val="16"/>
    </w:rPr>
  </w:style>
  <w:style w:type="paragraph" w:styleId="CommentText">
    <w:name w:val="annotation text"/>
    <w:basedOn w:val="Normal"/>
    <w:link w:val="CommentTextChar"/>
    <w:uiPriority w:val="99"/>
    <w:unhideWhenUsed/>
    <w:rsid w:val="00D66A5A"/>
    <w:pPr>
      <w:spacing w:line="240" w:lineRule="auto"/>
    </w:pPr>
    <w:rPr>
      <w:sz w:val="20"/>
      <w:szCs w:val="20"/>
    </w:rPr>
  </w:style>
  <w:style w:type="character" w:customStyle="1" w:styleId="CommentTextChar">
    <w:name w:val="Comment Text Char"/>
    <w:basedOn w:val="DefaultParagraphFont"/>
    <w:link w:val="CommentText"/>
    <w:uiPriority w:val="99"/>
    <w:rsid w:val="00D66A5A"/>
    <w:rPr>
      <w:sz w:val="20"/>
      <w:szCs w:val="20"/>
    </w:rPr>
  </w:style>
  <w:style w:type="paragraph" w:styleId="CommentSubject">
    <w:name w:val="annotation subject"/>
    <w:basedOn w:val="CommentText"/>
    <w:next w:val="CommentText"/>
    <w:link w:val="CommentSubjectChar"/>
    <w:uiPriority w:val="99"/>
    <w:semiHidden/>
    <w:unhideWhenUsed/>
    <w:rsid w:val="00D66A5A"/>
    <w:rPr>
      <w:b/>
      <w:bCs/>
    </w:rPr>
  </w:style>
  <w:style w:type="character" w:customStyle="1" w:styleId="CommentSubjectChar">
    <w:name w:val="Comment Subject Char"/>
    <w:basedOn w:val="CommentTextChar"/>
    <w:link w:val="CommentSubject"/>
    <w:uiPriority w:val="99"/>
    <w:semiHidden/>
    <w:rsid w:val="00D66A5A"/>
    <w:rPr>
      <w:b/>
      <w:bCs/>
      <w:sz w:val="20"/>
      <w:szCs w:val="20"/>
    </w:rPr>
  </w:style>
  <w:style w:type="paragraph" w:styleId="BalloonText">
    <w:name w:val="Balloon Text"/>
    <w:basedOn w:val="Normal"/>
    <w:link w:val="BalloonTextChar"/>
    <w:uiPriority w:val="99"/>
    <w:unhideWhenUsed/>
    <w:rsid w:val="00D66A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D66A5A"/>
    <w:rPr>
      <w:rFonts w:ascii="Segoe UI" w:hAnsi="Segoe UI" w:cs="Segoe UI"/>
      <w:sz w:val="18"/>
      <w:szCs w:val="18"/>
    </w:rPr>
  </w:style>
  <w:style w:type="table" w:styleId="TableGrid">
    <w:name w:val="Table Grid"/>
    <w:basedOn w:val="TableNormal"/>
    <w:uiPriority w:val="39"/>
    <w:rsid w:val="00617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179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79BB"/>
    <w:rPr>
      <w:sz w:val="24"/>
    </w:rPr>
  </w:style>
  <w:style w:type="character" w:customStyle="1" w:styleId="UnresolvedMention1">
    <w:name w:val="Unresolved Mention1"/>
    <w:basedOn w:val="DefaultParagraphFont"/>
    <w:uiPriority w:val="99"/>
    <w:semiHidden/>
    <w:unhideWhenUsed/>
    <w:rsid w:val="006179BB"/>
    <w:rPr>
      <w:color w:val="808080"/>
      <w:shd w:val="clear" w:color="auto" w:fill="E6E6E6"/>
    </w:rPr>
  </w:style>
  <w:style w:type="paragraph" w:customStyle="1" w:styleId="paragraph">
    <w:name w:val="paragraph"/>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styleId="BlockText">
    <w:name w:val="Block Text"/>
    <w:basedOn w:val="Normal"/>
    <w:unhideWhenUsed/>
    <w:rsid w:val="006179BB"/>
    <w:pPr>
      <w:overflowPunct w:val="0"/>
      <w:autoSpaceDE w:val="0"/>
      <w:autoSpaceDN w:val="0"/>
      <w:adjustRightInd w:val="0"/>
      <w:spacing w:after="240" w:line="240" w:lineRule="auto"/>
      <w:ind w:left="720"/>
      <w:jc w:val="both"/>
    </w:pPr>
    <w:rPr>
      <w:rFonts w:ascii="Times New Roman" w:eastAsia="Times New Roman" w:hAnsi="Times New Roman" w:cs="Times New Roman"/>
      <w:szCs w:val="20"/>
      <w:lang w:val="en-GB"/>
    </w:rPr>
  </w:style>
  <w:style w:type="paragraph" w:styleId="TOCHeading">
    <w:name w:val="TOC Heading"/>
    <w:basedOn w:val="Heading1"/>
    <w:next w:val="Normal"/>
    <w:uiPriority w:val="39"/>
    <w:unhideWhenUsed/>
    <w:qFormat/>
    <w:rsid w:val="006179BB"/>
    <w:pPr>
      <w:numPr>
        <w:numId w:val="0"/>
      </w:numPr>
      <w:spacing w:before="240" w:after="0"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6179BB"/>
    <w:pPr>
      <w:spacing w:after="100"/>
    </w:pPr>
  </w:style>
  <w:style w:type="paragraph" w:styleId="TOC2">
    <w:name w:val="toc 2"/>
    <w:basedOn w:val="Normal"/>
    <w:next w:val="Normal"/>
    <w:autoRedefine/>
    <w:uiPriority w:val="39"/>
    <w:unhideWhenUsed/>
    <w:rsid w:val="006179BB"/>
    <w:pPr>
      <w:spacing w:after="100"/>
      <w:ind w:left="220"/>
    </w:pPr>
  </w:style>
  <w:style w:type="paragraph" w:styleId="TOC3">
    <w:name w:val="toc 3"/>
    <w:basedOn w:val="Normal"/>
    <w:next w:val="Normal"/>
    <w:autoRedefine/>
    <w:uiPriority w:val="39"/>
    <w:unhideWhenUsed/>
    <w:rsid w:val="006179BB"/>
    <w:pPr>
      <w:tabs>
        <w:tab w:val="left" w:pos="1320"/>
        <w:tab w:val="right" w:leader="dot" w:pos="9016"/>
      </w:tabs>
      <w:spacing w:after="0" w:line="240" w:lineRule="auto"/>
    </w:pPr>
  </w:style>
  <w:style w:type="paragraph" w:customStyle="1" w:styleId="Char2">
    <w:name w:val="Char2"/>
    <w:aliases w:val="Char Char Char Char"/>
    <w:basedOn w:val="Normal"/>
    <w:next w:val="Normal"/>
    <w:uiPriority w:val="99"/>
    <w:rsid w:val="006179BB"/>
    <w:pPr>
      <w:spacing w:line="240" w:lineRule="exact"/>
      <w:jc w:val="both"/>
      <w:textAlignment w:val="baseline"/>
    </w:pPr>
    <w:rPr>
      <w:vertAlign w:val="superscript"/>
    </w:rPr>
  </w:style>
  <w:style w:type="paragraph" w:styleId="NormalWeb">
    <w:name w:val="Normal (Web)"/>
    <w:basedOn w:val="Normal"/>
    <w:uiPriority w:val="99"/>
    <w:unhideWhenUsed/>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styleId="TableofFigures">
    <w:name w:val="table of figures"/>
    <w:basedOn w:val="Normal"/>
    <w:next w:val="Normal"/>
    <w:uiPriority w:val="99"/>
    <w:unhideWhenUsed/>
    <w:rsid w:val="006179BB"/>
    <w:pPr>
      <w:spacing w:after="0"/>
    </w:pPr>
  </w:style>
  <w:style w:type="paragraph" w:styleId="TOC4">
    <w:name w:val="toc 4"/>
    <w:basedOn w:val="Normal"/>
    <w:next w:val="Normal"/>
    <w:autoRedefine/>
    <w:uiPriority w:val="39"/>
    <w:unhideWhenUsed/>
    <w:rsid w:val="006179BB"/>
    <w:pPr>
      <w:spacing w:after="100"/>
      <w:ind w:left="660"/>
    </w:pPr>
    <w:rPr>
      <w:rFonts w:eastAsiaTheme="minorEastAsia"/>
      <w:lang w:eastAsia="lv-LV"/>
    </w:rPr>
  </w:style>
  <w:style w:type="paragraph" w:styleId="TOC5">
    <w:name w:val="toc 5"/>
    <w:basedOn w:val="Normal"/>
    <w:next w:val="Normal"/>
    <w:autoRedefine/>
    <w:uiPriority w:val="39"/>
    <w:unhideWhenUsed/>
    <w:rsid w:val="006179BB"/>
    <w:pPr>
      <w:spacing w:after="100"/>
      <w:ind w:left="880"/>
    </w:pPr>
    <w:rPr>
      <w:rFonts w:eastAsiaTheme="minorEastAsia"/>
      <w:lang w:eastAsia="lv-LV"/>
    </w:rPr>
  </w:style>
  <w:style w:type="paragraph" w:styleId="TOC6">
    <w:name w:val="toc 6"/>
    <w:basedOn w:val="Normal"/>
    <w:next w:val="Normal"/>
    <w:autoRedefine/>
    <w:uiPriority w:val="39"/>
    <w:unhideWhenUsed/>
    <w:rsid w:val="006179BB"/>
    <w:pPr>
      <w:spacing w:after="100"/>
      <w:ind w:left="1100"/>
    </w:pPr>
    <w:rPr>
      <w:rFonts w:eastAsiaTheme="minorEastAsia"/>
      <w:lang w:eastAsia="lv-LV"/>
    </w:rPr>
  </w:style>
  <w:style w:type="paragraph" w:styleId="TOC7">
    <w:name w:val="toc 7"/>
    <w:basedOn w:val="Normal"/>
    <w:next w:val="Normal"/>
    <w:autoRedefine/>
    <w:uiPriority w:val="39"/>
    <w:unhideWhenUsed/>
    <w:rsid w:val="006179BB"/>
    <w:pPr>
      <w:spacing w:after="100"/>
      <w:ind w:left="1320"/>
    </w:pPr>
    <w:rPr>
      <w:rFonts w:eastAsiaTheme="minorEastAsia"/>
      <w:lang w:eastAsia="lv-LV"/>
    </w:rPr>
  </w:style>
  <w:style w:type="paragraph" w:styleId="TOC8">
    <w:name w:val="toc 8"/>
    <w:basedOn w:val="Normal"/>
    <w:next w:val="Normal"/>
    <w:autoRedefine/>
    <w:uiPriority w:val="39"/>
    <w:unhideWhenUsed/>
    <w:rsid w:val="006179BB"/>
    <w:pPr>
      <w:spacing w:after="100"/>
      <w:ind w:left="1540"/>
    </w:pPr>
    <w:rPr>
      <w:rFonts w:eastAsiaTheme="minorEastAsia"/>
      <w:lang w:eastAsia="lv-LV"/>
    </w:rPr>
  </w:style>
  <w:style w:type="paragraph" w:styleId="TOC9">
    <w:name w:val="toc 9"/>
    <w:basedOn w:val="Normal"/>
    <w:next w:val="Normal"/>
    <w:autoRedefine/>
    <w:uiPriority w:val="39"/>
    <w:unhideWhenUsed/>
    <w:rsid w:val="006179BB"/>
    <w:pPr>
      <w:spacing w:after="100"/>
      <w:ind w:left="1760"/>
    </w:pPr>
    <w:rPr>
      <w:rFonts w:eastAsiaTheme="minorEastAsia"/>
      <w:lang w:eastAsia="lv-LV"/>
    </w:rPr>
  </w:style>
  <w:style w:type="character" w:customStyle="1" w:styleId="mw-headline">
    <w:name w:val="mw-headline"/>
    <w:basedOn w:val="DefaultParagraphFont"/>
    <w:rsid w:val="006179BB"/>
  </w:style>
  <w:style w:type="character" w:customStyle="1" w:styleId="VirsrkastsOtraisRakstz">
    <w:name w:val="Virsrkasts Otrais Rakstz."/>
    <w:basedOn w:val="DefaultParagraphFont"/>
    <w:link w:val="VirsrkastsOtrais"/>
    <w:locked/>
    <w:rsid w:val="006179BB"/>
    <w:rPr>
      <w:rFonts w:ascii="Cambria" w:hAnsi="Cambria"/>
      <w:b/>
      <w:sz w:val="28"/>
      <w:szCs w:val="28"/>
      <w:lang w:val="x-none"/>
    </w:rPr>
  </w:style>
  <w:style w:type="paragraph" w:customStyle="1" w:styleId="VirsrkastsOtrais">
    <w:name w:val="Virsrkasts Otrais"/>
    <w:basedOn w:val="ListParagraph"/>
    <w:link w:val="VirsrkastsOtraisRakstz"/>
    <w:qFormat/>
    <w:rsid w:val="006179BB"/>
    <w:pPr>
      <w:numPr>
        <w:ilvl w:val="1"/>
        <w:numId w:val="9"/>
      </w:numPr>
      <w:spacing w:after="0" w:line="240" w:lineRule="auto"/>
    </w:pPr>
    <w:rPr>
      <w:rFonts w:ascii="Cambria" w:hAnsi="Cambria"/>
      <w:b/>
      <w:sz w:val="28"/>
      <w:szCs w:val="28"/>
      <w:lang w:val="x-none"/>
    </w:rPr>
  </w:style>
  <w:style w:type="character" w:customStyle="1" w:styleId="BodyText2Char">
    <w:name w:val="Body Text 2 Char"/>
    <w:basedOn w:val="DefaultParagraphFont"/>
    <w:link w:val="BodyText2"/>
    <w:uiPriority w:val="99"/>
    <w:semiHidden/>
    <w:rsid w:val="006179BB"/>
    <w:rPr>
      <w:rFonts w:ascii="Times New Roman" w:hAnsi="Times New Roman"/>
      <w:sz w:val="28"/>
    </w:rPr>
  </w:style>
  <w:style w:type="paragraph" w:styleId="BodyText2">
    <w:name w:val="Body Text 2"/>
    <w:basedOn w:val="Normal"/>
    <w:link w:val="BodyText2Char"/>
    <w:uiPriority w:val="99"/>
    <w:semiHidden/>
    <w:unhideWhenUsed/>
    <w:rsid w:val="006179BB"/>
    <w:pPr>
      <w:spacing w:after="120" w:line="480" w:lineRule="auto"/>
      <w:ind w:firstLine="720"/>
      <w:jc w:val="both"/>
    </w:pPr>
    <w:rPr>
      <w:rFonts w:ascii="Times New Roman" w:hAnsi="Times New Roman"/>
      <w:sz w:val="28"/>
    </w:rPr>
  </w:style>
  <w:style w:type="character" w:styleId="Emphasis">
    <w:name w:val="Emphasis"/>
    <w:qFormat/>
    <w:rsid w:val="006179BB"/>
    <w:rPr>
      <w:i/>
      <w:iCs/>
    </w:rPr>
  </w:style>
  <w:style w:type="character" w:customStyle="1" w:styleId="standard-description">
    <w:name w:val="standard-description"/>
    <w:basedOn w:val="DefaultParagraphFont"/>
    <w:rsid w:val="006179BB"/>
  </w:style>
  <w:style w:type="character" w:styleId="Strong">
    <w:name w:val="Strong"/>
    <w:basedOn w:val="DefaultParagraphFont"/>
    <w:uiPriority w:val="22"/>
    <w:qFormat/>
    <w:rsid w:val="006179BB"/>
    <w:rPr>
      <w:b/>
      <w:bCs/>
    </w:rPr>
  </w:style>
  <w:style w:type="paragraph" w:styleId="BodyText">
    <w:name w:val="Body Text"/>
    <w:basedOn w:val="Normal"/>
    <w:link w:val="BodyTextChar"/>
    <w:uiPriority w:val="99"/>
    <w:unhideWhenUsed/>
    <w:rsid w:val="006179BB"/>
    <w:pPr>
      <w:spacing w:after="120"/>
    </w:pPr>
  </w:style>
  <w:style w:type="character" w:customStyle="1" w:styleId="BodyTextChar">
    <w:name w:val="Body Text Char"/>
    <w:basedOn w:val="DefaultParagraphFont"/>
    <w:link w:val="BodyText"/>
    <w:uiPriority w:val="99"/>
    <w:rsid w:val="006179BB"/>
    <w:rPr>
      <w:sz w:val="24"/>
    </w:rPr>
  </w:style>
  <w:style w:type="paragraph" w:styleId="NoSpacing">
    <w:name w:val="No Spacing"/>
    <w:aliases w:val="atsauces un tabulas"/>
    <w:uiPriority w:val="1"/>
    <w:qFormat/>
    <w:rsid w:val="006179BB"/>
    <w:pPr>
      <w:spacing w:after="0" w:line="240" w:lineRule="auto"/>
    </w:pPr>
    <w:rPr>
      <w:rFonts w:ascii="Times New Roman" w:eastAsia="Calibri" w:hAnsi="Times New Roman" w:cs="Times New Roman"/>
      <w:sz w:val="24"/>
    </w:rPr>
  </w:style>
  <w:style w:type="paragraph" w:customStyle="1" w:styleId="Pamatteksts1">
    <w:name w:val="Pamatteksts1"/>
    <w:basedOn w:val="NoSpacing"/>
    <w:qFormat/>
    <w:rsid w:val="006179BB"/>
    <w:pPr>
      <w:spacing w:after="120" w:line="276" w:lineRule="auto"/>
      <w:ind w:firstLine="720"/>
      <w:jc w:val="both"/>
    </w:pPr>
    <w:rPr>
      <w:rFonts w:eastAsiaTheme="minorHAnsi" w:cstheme="minorBidi"/>
    </w:rPr>
  </w:style>
  <w:style w:type="character" w:customStyle="1" w:styleId="A11">
    <w:name w:val="A1+1"/>
    <w:uiPriority w:val="99"/>
    <w:rsid w:val="006179BB"/>
    <w:rPr>
      <w:color w:val="000000"/>
      <w:sz w:val="16"/>
      <w:szCs w:val="16"/>
    </w:rPr>
  </w:style>
  <w:style w:type="paragraph" w:customStyle="1" w:styleId="tv213">
    <w:name w:val="tv213"/>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naiskr">
    <w:name w:val="naiskr"/>
    <w:basedOn w:val="Normal"/>
    <w:uiPriority w:val="99"/>
    <w:rsid w:val="006179BB"/>
    <w:pPr>
      <w:spacing w:before="75" w:after="75" w:line="240" w:lineRule="auto"/>
    </w:pPr>
    <w:rPr>
      <w:rFonts w:ascii="Times New Roman" w:eastAsia="Times New Roman" w:hAnsi="Times New Roman" w:cs="Times New Roman"/>
      <w:szCs w:val="24"/>
      <w:lang w:eastAsia="lv-LV"/>
    </w:rPr>
  </w:style>
  <w:style w:type="paragraph" w:customStyle="1" w:styleId="li">
    <w:name w:val="li"/>
    <w:basedOn w:val="Normal"/>
    <w:rsid w:val="006179BB"/>
    <w:pPr>
      <w:spacing w:before="100" w:beforeAutospacing="1" w:after="100" w:afterAutospacing="1" w:line="240" w:lineRule="auto"/>
    </w:pPr>
    <w:rPr>
      <w:rFonts w:ascii="Calibri" w:hAnsi="Calibri" w:cs="Calibri"/>
      <w:sz w:val="22"/>
      <w:lang w:eastAsia="lv-LV"/>
    </w:rPr>
  </w:style>
  <w:style w:type="paragraph" w:customStyle="1" w:styleId="programme">
    <w:name w:val="programme"/>
    <w:basedOn w:val="Normal"/>
    <w:rsid w:val="006179BB"/>
    <w:pPr>
      <w:spacing w:before="100" w:beforeAutospacing="1" w:after="100" w:afterAutospacing="1" w:line="240" w:lineRule="auto"/>
    </w:pPr>
    <w:rPr>
      <w:rFonts w:ascii="Calibri" w:hAnsi="Calibri" w:cs="Calibri"/>
      <w:sz w:val="22"/>
      <w:lang w:eastAsia="lv-LV"/>
    </w:rPr>
  </w:style>
  <w:style w:type="character" w:customStyle="1" w:styleId="num">
    <w:name w:val="num"/>
    <w:basedOn w:val="DefaultParagraphFont"/>
    <w:rsid w:val="006179BB"/>
  </w:style>
  <w:style w:type="paragraph" w:customStyle="1" w:styleId="Pa1">
    <w:name w:val="Pa1"/>
    <w:basedOn w:val="Default"/>
    <w:next w:val="Default"/>
    <w:uiPriority w:val="99"/>
    <w:rsid w:val="006179BB"/>
    <w:pPr>
      <w:spacing w:line="211" w:lineRule="atLeast"/>
    </w:pPr>
    <w:rPr>
      <w:rFonts w:ascii="EC Square Sans Pro" w:hAnsi="EC Square Sans Pro" w:cstheme="minorBidi"/>
      <w:color w:val="auto"/>
    </w:rPr>
  </w:style>
  <w:style w:type="paragraph" w:customStyle="1" w:styleId="Pa2">
    <w:name w:val="Pa2"/>
    <w:basedOn w:val="Default"/>
    <w:next w:val="Default"/>
    <w:uiPriority w:val="99"/>
    <w:rsid w:val="006179BB"/>
    <w:pPr>
      <w:spacing w:line="211" w:lineRule="atLeast"/>
    </w:pPr>
    <w:rPr>
      <w:rFonts w:ascii="EC Square Sans Pro" w:hAnsi="EC Square Sans Pro" w:cstheme="minorBidi"/>
      <w:color w:val="auto"/>
    </w:rPr>
  </w:style>
  <w:style w:type="paragraph" w:customStyle="1" w:styleId="Pa5">
    <w:name w:val="Pa5"/>
    <w:basedOn w:val="Default"/>
    <w:next w:val="Default"/>
    <w:uiPriority w:val="99"/>
    <w:rsid w:val="006179BB"/>
    <w:pPr>
      <w:spacing w:line="211" w:lineRule="atLeast"/>
    </w:pPr>
    <w:rPr>
      <w:rFonts w:ascii="EC Square Sans Pro" w:hAnsi="EC Square Sans Pro" w:cstheme="minorBidi"/>
      <w:color w:val="auto"/>
    </w:rPr>
  </w:style>
  <w:style w:type="paragraph" w:customStyle="1" w:styleId="Normal1">
    <w:name w:val="Normal1"/>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default0">
    <w:name w:val="default"/>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psparagraphtitle">
    <w:name w:val="psparagraphtitle"/>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character" w:customStyle="1" w:styleId="tab">
    <w:name w:val="tab"/>
    <w:basedOn w:val="DefaultParagraphFont"/>
    <w:rsid w:val="006179BB"/>
  </w:style>
  <w:style w:type="character" w:customStyle="1" w:styleId="fontsize2">
    <w:name w:val="fontsize2"/>
    <w:basedOn w:val="DefaultParagraphFont"/>
    <w:rsid w:val="006179BB"/>
  </w:style>
  <w:style w:type="paragraph" w:customStyle="1" w:styleId="article-lead">
    <w:name w:val="article-lead"/>
    <w:basedOn w:val="Normal"/>
    <w:rsid w:val="006179BB"/>
    <w:pPr>
      <w:spacing w:before="100" w:beforeAutospacing="1" w:after="100" w:afterAutospacing="1" w:line="240" w:lineRule="auto"/>
    </w:pPr>
    <w:rPr>
      <w:rFonts w:ascii="Times New Roman" w:eastAsia="Times New Roman" w:hAnsi="Times New Roman" w:cs="Times New Roman"/>
      <w:szCs w:val="24"/>
      <w:lang w:eastAsia="lv-LV"/>
    </w:rPr>
  </w:style>
  <w:style w:type="paragraph" w:customStyle="1" w:styleId="naispant">
    <w:name w:val="naispant"/>
    <w:basedOn w:val="Normal"/>
    <w:uiPriority w:val="99"/>
    <w:rsid w:val="006179BB"/>
    <w:pPr>
      <w:spacing w:before="75" w:after="75" w:line="240" w:lineRule="auto"/>
      <w:ind w:left="375" w:firstLine="375"/>
      <w:jc w:val="both"/>
    </w:pPr>
    <w:rPr>
      <w:rFonts w:ascii="Times New Roman" w:eastAsia="Times New Roman" w:hAnsi="Times New Roman" w:cs="Times New Roman"/>
      <w:b/>
      <w:bCs/>
      <w:szCs w:val="24"/>
      <w:lang w:eastAsia="lv-LV"/>
    </w:rPr>
  </w:style>
  <w:style w:type="paragraph" w:customStyle="1" w:styleId="naisc">
    <w:name w:val="naisc"/>
    <w:basedOn w:val="Normal"/>
    <w:rsid w:val="006179BB"/>
    <w:pPr>
      <w:spacing w:before="75" w:after="75" w:line="240" w:lineRule="auto"/>
      <w:jc w:val="center"/>
    </w:pPr>
    <w:rPr>
      <w:rFonts w:ascii="Times New Roman" w:eastAsia="Times New Roman" w:hAnsi="Times New Roman" w:cs="Times New Roman"/>
      <w:szCs w:val="24"/>
      <w:lang w:eastAsia="lv-LV"/>
    </w:rPr>
  </w:style>
  <w:style w:type="character" w:customStyle="1" w:styleId="fontstyle01">
    <w:name w:val="fontstyle01"/>
    <w:basedOn w:val="DefaultParagraphFont"/>
    <w:rsid w:val="006179BB"/>
    <w:rPr>
      <w:rFonts w:ascii="TimesNewRomanPSMT" w:hAnsi="TimesNewRomanPSMT" w:hint="default"/>
      <w:b w:val="0"/>
      <w:bCs w:val="0"/>
      <w:i w:val="0"/>
      <w:iCs w:val="0"/>
      <w:color w:val="000000"/>
      <w:sz w:val="28"/>
      <w:szCs w:val="28"/>
    </w:rPr>
  </w:style>
  <w:style w:type="table" w:customStyle="1" w:styleId="TableGrid1">
    <w:name w:val="Table Grid1"/>
    <w:basedOn w:val="TableNormal"/>
    <w:next w:val="TableGrid"/>
    <w:uiPriority w:val="59"/>
    <w:rsid w:val="00617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179BB"/>
    <w:pPr>
      <w:spacing w:before="100" w:beforeAutospacing="1" w:after="100" w:afterAutospacing="1" w:line="240" w:lineRule="auto"/>
    </w:pPr>
    <w:rPr>
      <w:rFonts w:ascii="Times New Roman" w:eastAsia="Times New Roman" w:hAnsi="Times New Roman" w:cs="Times New Roman"/>
      <w:szCs w:val="24"/>
      <w:lang w:val="en-US"/>
    </w:rPr>
  </w:style>
  <w:style w:type="character" w:customStyle="1" w:styleId="FootnoteCharacters">
    <w:name w:val="Footnote Characters"/>
    <w:uiPriority w:val="99"/>
    <w:unhideWhenUsed/>
    <w:qFormat/>
    <w:rsid w:val="006179BB"/>
    <w:rPr>
      <w:vertAlign w:val="superscript"/>
    </w:rPr>
  </w:style>
  <w:style w:type="character" w:customStyle="1" w:styleId="FootnoteAnchor">
    <w:name w:val="Footnote Anchor"/>
    <w:rsid w:val="006179BB"/>
    <w:rPr>
      <w:vertAlign w:val="superscript"/>
    </w:rPr>
  </w:style>
  <w:style w:type="paragraph" w:customStyle="1" w:styleId="Standard">
    <w:name w:val="Standard"/>
    <w:rsid w:val="006179BB"/>
    <w:pPr>
      <w:suppressAutoHyphens/>
      <w:autoSpaceDN w:val="0"/>
      <w:spacing w:after="0" w:line="240" w:lineRule="auto"/>
    </w:pPr>
    <w:rPr>
      <w:rFonts w:ascii="Times New Roman" w:eastAsia="SimSun" w:hAnsi="Times New Roman" w:cs="Times New Roman"/>
      <w:color w:val="000000"/>
      <w:kern w:val="3"/>
      <w:sz w:val="24"/>
      <w:szCs w:val="24"/>
    </w:rPr>
  </w:style>
  <w:style w:type="character" w:customStyle="1" w:styleId="Heading2Char0">
    <w:name w:val="Heading2 Char"/>
    <w:basedOn w:val="DefaultParagraphFont"/>
    <w:link w:val="Heading20"/>
    <w:locked/>
    <w:rsid w:val="00817C15"/>
    <w:rPr>
      <w:rFonts w:eastAsiaTheme="majorEastAsia" w:cstheme="minorHAnsi"/>
      <w:b/>
      <w:sz w:val="26"/>
      <w:szCs w:val="26"/>
    </w:rPr>
  </w:style>
  <w:style w:type="paragraph" w:customStyle="1" w:styleId="Heading20">
    <w:name w:val="Heading2"/>
    <w:basedOn w:val="Heading2"/>
    <w:link w:val="Heading2Char0"/>
    <w:qFormat/>
    <w:rsid w:val="00817C15"/>
    <w:pPr>
      <w:ind w:left="510" w:hanging="510"/>
    </w:pPr>
  </w:style>
  <w:style w:type="character" w:customStyle="1" w:styleId="Heading3Char0">
    <w:name w:val="Heading3 Char"/>
    <w:basedOn w:val="Heading2Char0"/>
    <w:link w:val="Heading30"/>
    <w:locked/>
    <w:rsid w:val="008E5C42"/>
    <w:rPr>
      <w:rFonts w:eastAsiaTheme="majorEastAsia" w:cstheme="minorHAnsi"/>
      <w:b w:val="0"/>
      <w:sz w:val="24"/>
      <w:szCs w:val="24"/>
      <w:u w:val="single"/>
      <w:lang w:eastAsia="lv-LV"/>
    </w:rPr>
  </w:style>
  <w:style w:type="paragraph" w:customStyle="1" w:styleId="Heading30">
    <w:name w:val="Heading3"/>
    <w:basedOn w:val="Heading3"/>
    <w:link w:val="Heading3Char0"/>
    <w:qFormat/>
    <w:rsid w:val="008E5C42"/>
    <w:pPr>
      <w:ind w:left="851" w:hanging="624"/>
    </w:pPr>
  </w:style>
  <w:style w:type="paragraph" w:customStyle="1" w:styleId="Zemsvtra">
    <w:name w:val="Zemsvītra"/>
    <w:basedOn w:val="FootnoteText"/>
    <w:link w:val="ZemsvtraChar"/>
    <w:qFormat/>
    <w:rsid w:val="006179BB"/>
    <w:pPr>
      <w:jc w:val="both"/>
    </w:pPr>
    <w:rPr>
      <w:rFonts w:eastAsia="Times New Roman"/>
      <w:lang w:val="en-GB" w:eastAsia="da-DK"/>
    </w:rPr>
  </w:style>
  <w:style w:type="character" w:customStyle="1" w:styleId="ZemsvtraChar">
    <w:name w:val="Zemsvītra Char"/>
    <w:link w:val="Zemsvtra"/>
    <w:rsid w:val="006179BB"/>
    <w:rPr>
      <w:rFonts w:ascii="Times New Roman" w:eastAsia="Times New Roman" w:hAnsi="Times New Roman" w:cs="Times New Roman"/>
      <w:sz w:val="18"/>
      <w:szCs w:val="18"/>
      <w:lang w:val="en-GB" w:eastAsia="da-DK"/>
    </w:rPr>
  </w:style>
  <w:style w:type="paragraph" w:customStyle="1" w:styleId="apakapakvirsraksts">
    <w:name w:val="apakš apakš virsraksts"/>
    <w:basedOn w:val="Normal"/>
    <w:next w:val="3apakvirsraksts"/>
    <w:qFormat/>
    <w:rsid w:val="006179BB"/>
    <w:pPr>
      <w:numPr>
        <w:ilvl w:val="2"/>
        <w:numId w:val="23"/>
      </w:numPr>
      <w:shd w:val="clear" w:color="auto" w:fill="FFFFFF"/>
      <w:ind w:left="284" w:hanging="284"/>
      <w:jc w:val="center"/>
    </w:pPr>
    <w:rPr>
      <w:rFonts w:ascii="Times New Roman" w:hAnsi="Times New Roman" w:cs="Times New Roman"/>
      <w:color w:val="000000"/>
      <w:szCs w:val="24"/>
      <w:u w:val="single"/>
    </w:rPr>
  </w:style>
  <w:style w:type="paragraph" w:customStyle="1" w:styleId="3apakvirsraksts">
    <w:name w:val="3apakš virsraksts"/>
    <w:basedOn w:val="Normal"/>
    <w:qFormat/>
    <w:rsid w:val="006179BB"/>
    <w:pPr>
      <w:numPr>
        <w:ilvl w:val="3"/>
        <w:numId w:val="23"/>
      </w:numPr>
      <w:shd w:val="clear" w:color="auto" w:fill="FFFFFF"/>
      <w:spacing w:after="0" w:line="276" w:lineRule="auto"/>
      <w:ind w:left="993" w:hanging="1019"/>
      <w:jc w:val="both"/>
    </w:pPr>
    <w:rPr>
      <w:rFonts w:ascii="Times New Roman" w:hAnsi="Times New Roman" w:cs="Times New Roman"/>
      <w:color w:val="000000"/>
      <w:szCs w:val="24"/>
    </w:rPr>
  </w:style>
  <w:style w:type="paragraph" w:customStyle="1" w:styleId="apakvirsraksts">
    <w:name w:val="apakšvirsraksts"/>
    <w:basedOn w:val="Normal"/>
    <w:next w:val="apakapakvirsraksts"/>
    <w:link w:val="apakvirsrakstsChar"/>
    <w:qFormat/>
    <w:rsid w:val="006179BB"/>
    <w:pPr>
      <w:numPr>
        <w:ilvl w:val="1"/>
        <w:numId w:val="23"/>
      </w:numPr>
      <w:shd w:val="clear" w:color="auto" w:fill="FFFFFF"/>
      <w:jc w:val="center"/>
    </w:pPr>
    <w:rPr>
      <w:rFonts w:ascii="Times New Roman" w:hAnsi="Times New Roman" w:cs="Times New Roman"/>
      <w:color w:val="000000"/>
      <w:sz w:val="28"/>
      <w:szCs w:val="24"/>
    </w:rPr>
  </w:style>
  <w:style w:type="character" w:customStyle="1" w:styleId="apakvirsrakstsChar">
    <w:name w:val="apakšvirsraksts Char"/>
    <w:basedOn w:val="DefaultParagraphFont"/>
    <w:link w:val="apakvirsraksts"/>
    <w:rsid w:val="006179BB"/>
    <w:rPr>
      <w:rFonts w:ascii="Times New Roman" w:hAnsi="Times New Roman" w:cs="Times New Roman"/>
      <w:color w:val="000000"/>
      <w:sz w:val="28"/>
      <w:szCs w:val="24"/>
      <w:shd w:val="clear" w:color="auto" w:fill="FFFFFF"/>
    </w:rPr>
  </w:style>
  <w:style w:type="paragraph" w:customStyle="1" w:styleId="virsraksts">
    <w:name w:val="virsraksts"/>
    <w:basedOn w:val="Normal"/>
    <w:next w:val="apakvirsraksts"/>
    <w:qFormat/>
    <w:rsid w:val="006179BB"/>
    <w:pPr>
      <w:numPr>
        <w:numId w:val="23"/>
      </w:numPr>
      <w:shd w:val="clear" w:color="auto" w:fill="FFFFFF"/>
      <w:jc w:val="center"/>
    </w:pPr>
    <w:rPr>
      <w:rFonts w:ascii="Times New Roman" w:hAnsi="Times New Roman" w:cs="Times New Roman"/>
      <w:b/>
      <w:color w:val="000000"/>
      <w:sz w:val="32"/>
      <w:szCs w:val="24"/>
    </w:rPr>
  </w:style>
  <w:style w:type="character" w:customStyle="1" w:styleId="sub">
    <w:name w:val="sub"/>
    <w:basedOn w:val="DefaultParagraphFont"/>
    <w:rsid w:val="00EA2D80"/>
  </w:style>
  <w:style w:type="character" w:styleId="FollowedHyperlink">
    <w:name w:val="FollowedHyperlink"/>
    <w:basedOn w:val="DefaultParagraphFont"/>
    <w:uiPriority w:val="99"/>
    <w:semiHidden/>
    <w:unhideWhenUsed/>
    <w:rsid w:val="00904150"/>
    <w:rPr>
      <w:color w:val="954F72" w:themeColor="followedHyperlink"/>
      <w:u w:val="single"/>
    </w:rPr>
  </w:style>
  <w:style w:type="character" w:styleId="UnresolvedMention">
    <w:name w:val="Unresolved Mention"/>
    <w:basedOn w:val="DefaultParagraphFont"/>
    <w:uiPriority w:val="99"/>
    <w:semiHidden/>
    <w:unhideWhenUsed/>
    <w:rsid w:val="00904150"/>
    <w:rPr>
      <w:color w:val="605E5C"/>
      <w:shd w:val="clear" w:color="auto" w:fill="E1DFDD"/>
    </w:rPr>
  </w:style>
  <w:style w:type="table" w:customStyle="1" w:styleId="GridTable1Light-Accent61">
    <w:name w:val="Grid Table 1 Light - Accent 61"/>
    <w:basedOn w:val="TableNormal"/>
    <w:uiPriority w:val="46"/>
    <w:rsid w:val="00C03553"/>
    <w:pPr>
      <w:spacing w:after="0" w:line="240" w:lineRule="auto"/>
      <w:jc w:val="both"/>
    </w:pPr>
    <w:rPr>
      <w:lang w:val="en-US"/>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word">
    <w:name w:val="word"/>
    <w:basedOn w:val="DefaultParagraphFont"/>
    <w:rsid w:val="001A39C3"/>
  </w:style>
  <w:style w:type="character" w:customStyle="1" w:styleId="Heading6Char">
    <w:name w:val="Heading 6 Char"/>
    <w:basedOn w:val="DefaultParagraphFont"/>
    <w:link w:val="Heading6"/>
    <w:rsid w:val="007A7EAC"/>
    <w:rPr>
      <w:rFonts w:ascii="Cambria" w:eastAsia="Times New Roman" w:hAnsi="Cambria" w:cs="Times New Roman"/>
      <w:caps/>
      <w:color w:val="943634"/>
      <w:spacing w:val="10"/>
      <w:lang w:val="en-US" w:bidi="en-US"/>
    </w:rPr>
  </w:style>
  <w:style w:type="character" w:customStyle="1" w:styleId="Heading7Char">
    <w:name w:val="Heading 7 Char"/>
    <w:basedOn w:val="DefaultParagraphFont"/>
    <w:link w:val="Heading7"/>
    <w:rsid w:val="007A7EAC"/>
    <w:rPr>
      <w:rFonts w:ascii="Cambria" w:eastAsia="Times New Roman" w:hAnsi="Cambria" w:cs="Times New Roman"/>
      <w:i/>
      <w:iCs/>
      <w:caps/>
      <w:color w:val="943634"/>
      <w:spacing w:val="10"/>
      <w:lang w:val="en-US" w:bidi="en-US"/>
    </w:rPr>
  </w:style>
  <w:style w:type="character" w:customStyle="1" w:styleId="Heading8Char">
    <w:name w:val="Heading 8 Char"/>
    <w:basedOn w:val="DefaultParagraphFont"/>
    <w:link w:val="Heading8"/>
    <w:rsid w:val="007A7EAC"/>
    <w:rPr>
      <w:rFonts w:ascii="Cambria" w:eastAsia="Times New Roman" w:hAnsi="Cambria" w:cs="Times New Roman"/>
      <w:caps/>
      <w:spacing w:val="10"/>
      <w:sz w:val="20"/>
      <w:szCs w:val="20"/>
      <w:lang w:val="en-US" w:bidi="en-US"/>
    </w:rPr>
  </w:style>
  <w:style w:type="character" w:customStyle="1" w:styleId="Heading9Char">
    <w:name w:val="Heading 9 Char"/>
    <w:basedOn w:val="DefaultParagraphFont"/>
    <w:link w:val="Heading9"/>
    <w:rsid w:val="007A7EAC"/>
    <w:rPr>
      <w:rFonts w:ascii="Cambria" w:eastAsia="Times New Roman" w:hAnsi="Cambria" w:cs="Times New Roman"/>
      <w:i/>
      <w:iCs/>
      <w:caps/>
      <w:spacing w:val="10"/>
      <w:sz w:val="20"/>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087174">
      <w:bodyDiv w:val="1"/>
      <w:marLeft w:val="0"/>
      <w:marRight w:val="0"/>
      <w:marTop w:val="0"/>
      <w:marBottom w:val="0"/>
      <w:divBdr>
        <w:top w:val="none" w:sz="0" w:space="0" w:color="auto"/>
        <w:left w:val="none" w:sz="0" w:space="0" w:color="auto"/>
        <w:bottom w:val="none" w:sz="0" w:space="0" w:color="auto"/>
        <w:right w:val="none" w:sz="0" w:space="0" w:color="auto"/>
      </w:divBdr>
    </w:div>
    <w:div w:id="186800288">
      <w:bodyDiv w:val="1"/>
      <w:marLeft w:val="0"/>
      <w:marRight w:val="0"/>
      <w:marTop w:val="0"/>
      <w:marBottom w:val="0"/>
      <w:divBdr>
        <w:top w:val="none" w:sz="0" w:space="0" w:color="auto"/>
        <w:left w:val="none" w:sz="0" w:space="0" w:color="auto"/>
        <w:bottom w:val="none" w:sz="0" w:space="0" w:color="auto"/>
        <w:right w:val="none" w:sz="0" w:space="0" w:color="auto"/>
      </w:divBdr>
    </w:div>
    <w:div w:id="207763633">
      <w:bodyDiv w:val="1"/>
      <w:marLeft w:val="0"/>
      <w:marRight w:val="0"/>
      <w:marTop w:val="0"/>
      <w:marBottom w:val="0"/>
      <w:divBdr>
        <w:top w:val="none" w:sz="0" w:space="0" w:color="auto"/>
        <w:left w:val="none" w:sz="0" w:space="0" w:color="auto"/>
        <w:bottom w:val="none" w:sz="0" w:space="0" w:color="auto"/>
        <w:right w:val="none" w:sz="0" w:space="0" w:color="auto"/>
      </w:divBdr>
    </w:div>
    <w:div w:id="250504670">
      <w:bodyDiv w:val="1"/>
      <w:marLeft w:val="0"/>
      <w:marRight w:val="0"/>
      <w:marTop w:val="0"/>
      <w:marBottom w:val="0"/>
      <w:divBdr>
        <w:top w:val="none" w:sz="0" w:space="0" w:color="auto"/>
        <w:left w:val="none" w:sz="0" w:space="0" w:color="auto"/>
        <w:bottom w:val="none" w:sz="0" w:space="0" w:color="auto"/>
        <w:right w:val="none" w:sz="0" w:space="0" w:color="auto"/>
      </w:divBdr>
    </w:div>
    <w:div w:id="342367657">
      <w:bodyDiv w:val="1"/>
      <w:marLeft w:val="0"/>
      <w:marRight w:val="0"/>
      <w:marTop w:val="0"/>
      <w:marBottom w:val="0"/>
      <w:divBdr>
        <w:top w:val="none" w:sz="0" w:space="0" w:color="auto"/>
        <w:left w:val="none" w:sz="0" w:space="0" w:color="auto"/>
        <w:bottom w:val="none" w:sz="0" w:space="0" w:color="auto"/>
        <w:right w:val="none" w:sz="0" w:space="0" w:color="auto"/>
      </w:divBdr>
    </w:div>
    <w:div w:id="349524728">
      <w:bodyDiv w:val="1"/>
      <w:marLeft w:val="0"/>
      <w:marRight w:val="0"/>
      <w:marTop w:val="0"/>
      <w:marBottom w:val="0"/>
      <w:divBdr>
        <w:top w:val="none" w:sz="0" w:space="0" w:color="auto"/>
        <w:left w:val="none" w:sz="0" w:space="0" w:color="auto"/>
        <w:bottom w:val="none" w:sz="0" w:space="0" w:color="auto"/>
        <w:right w:val="none" w:sz="0" w:space="0" w:color="auto"/>
      </w:divBdr>
    </w:div>
    <w:div w:id="389118475">
      <w:bodyDiv w:val="1"/>
      <w:marLeft w:val="0"/>
      <w:marRight w:val="0"/>
      <w:marTop w:val="0"/>
      <w:marBottom w:val="0"/>
      <w:divBdr>
        <w:top w:val="none" w:sz="0" w:space="0" w:color="auto"/>
        <w:left w:val="none" w:sz="0" w:space="0" w:color="auto"/>
        <w:bottom w:val="none" w:sz="0" w:space="0" w:color="auto"/>
        <w:right w:val="none" w:sz="0" w:space="0" w:color="auto"/>
      </w:divBdr>
    </w:div>
    <w:div w:id="404453571">
      <w:bodyDiv w:val="1"/>
      <w:marLeft w:val="0"/>
      <w:marRight w:val="0"/>
      <w:marTop w:val="0"/>
      <w:marBottom w:val="0"/>
      <w:divBdr>
        <w:top w:val="none" w:sz="0" w:space="0" w:color="auto"/>
        <w:left w:val="none" w:sz="0" w:space="0" w:color="auto"/>
        <w:bottom w:val="none" w:sz="0" w:space="0" w:color="auto"/>
        <w:right w:val="none" w:sz="0" w:space="0" w:color="auto"/>
      </w:divBdr>
    </w:div>
    <w:div w:id="480002101">
      <w:bodyDiv w:val="1"/>
      <w:marLeft w:val="0"/>
      <w:marRight w:val="0"/>
      <w:marTop w:val="0"/>
      <w:marBottom w:val="0"/>
      <w:divBdr>
        <w:top w:val="none" w:sz="0" w:space="0" w:color="auto"/>
        <w:left w:val="none" w:sz="0" w:space="0" w:color="auto"/>
        <w:bottom w:val="none" w:sz="0" w:space="0" w:color="auto"/>
        <w:right w:val="none" w:sz="0" w:space="0" w:color="auto"/>
      </w:divBdr>
    </w:div>
    <w:div w:id="630402562">
      <w:bodyDiv w:val="1"/>
      <w:marLeft w:val="0"/>
      <w:marRight w:val="0"/>
      <w:marTop w:val="0"/>
      <w:marBottom w:val="0"/>
      <w:divBdr>
        <w:top w:val="none" w:sz="0" w:space="0" w:color="auto"/>
        <w:left w:val="none" w:sz="0" w:space="0" w:color="auto"/>
        <w:bottom w:val="none" w:sz="0" w:space="0" w:color="auto"/>
        <w:right w:val="none" w:sz="0" w:space="0" w:color="auto"/>
      </w:divBdr>
    </w:div>
    <w:div w:id="666442779">
      <w:bodyDiv w:val="1"/>
      <w:marLeft w:val="0"/>
      <w:marRight w:val="0"/>
      <w:marTop w:val="0"/>
      <w:marBottom w:val="0"/>
      <w:divBdr>
        <w:top w:val="none" w:sz="0" w:space="0" w:color="auto"/>
        <w:left w:val="none" w:sz="0" w:space="0" w:color="auto"/>
        <w:bottom w:val="none" w:sz="0" w:space="0" w:color="auto"/>
        <w:right w:val="none" w:sz="0" w:space="0" w:color="auto"/>
      </w:divBdr>
    </w:div>
    <w:div w:id="808977963">
      <w:bodyDiv w:val="1"/>
      <w:marLeft w:val="0"/>
      <w:marRight w:val="0"/>
      <w:marTop w:val="0"/>
      <w:marBottom w:val="0"/>
      <w:divBdr>
        <w:top w:val="none" w:sz="0" w:space="0" w:color="auto"/>
        <w:left w:val="none" w:sz="0" w:space="0" w:color="auto"/>
        <w:bottom w:val="none" w:sz="0" w:space="0" w:color="auto"/>
        <w:right w:val="none" w:sz="0" w:space="0" w:color="auto"/>
      </w:divBdr>
    </w:div>
    <w:div w:id="894584320">
      <w:bodyDiv w:val="1"/>
      <w:marLeft w:val="0"/>
      <w:marRight w:val="0"/>
      <w:marTop w:val="0"/>
      <w:marBottom w:val="0"/>
      <w:divBdr>
        <w:top w:val="none" w:sz="0" w:space="0" w:color="auto"/>
        <w:left w:val="none" w:sz="0" w:space="0" w:color="auto"/>
        <w:bottom w:val="none" w:sz="0" w:space="0" w:color="auto"/>
        <w:right w:val="none" w:sz="0" w:space="0" w:color="auto"/>
      </w:divBdr>
    </w:div>
    <w:div w:id="997466660">
      <w:bodyDiv w:val="1"/>
      <w:marLeft w:val="0"/>
      <w:marRight w:val="0"/>
      <w:marTop w:val="0"/>
      <w:marBottom w:val="0"/>
      <w:divBdr>
        <w:top w:val="none" w:sz="0" w:space="0" w:color="auto"/>
        <w:left w:val="none" w:sz="0" w:space="0" w:color="auto"/>
        <w:bottom w:val="none" w:sz="0" w:space="0" w:color="auto"/>
        <w:right w:val="none" w:sz="0" w:space="0" w:color="auto"/>
      </w:divBdr>
    </w:div>
    <w:div w:id="1048332856">
      <w:bodyDiv w:val="1"/>
      <w:marLeft w:val="0"/>
      <w:marRight w:val="0"/>
      <w:marTop w:val="0"/>
      <w:marBottom w:val="0"/>
      <w:divBdr>
        <w:top w:val="none" w:sz="0" w:space="0" w:color="auto"/>
        <w:left w:val="none" w:sz="0" w:space="0" w:color="auto"/>
        <w:bottom w:val="none" w:sz="0" w:space="0" w:color="auto"/>
        <w:right w:val="none" w:sz="0" w:space="0" w:color="auto"/>
      </w:divBdr>
    </w:div>
    <w:div w:id="1085343103">
      <w:bodyDiv w:val="1"/>
      <w:marLeft w:val="0"/>
      <w:marRight w:val="0"/>
      <w:marTop w:val="0"/>
      <w:marBottom w:val="0"/>
      <w:divBdr>
        <w:top w:val="none" w:sz="0" w:space="0" w:color="auto"/>
        <w:left w:val="none" w:sz="0" w:space="0" w:color="auto"/>
        <w:bottom w:val="none" w:sz="0" w:space="0" w:color="auto"/>
        <w:right w:val="none" w:sz="0" w:space="0" w:color="auto"/>
      </w:divBdr>
    </w:div>
    <w:div w:id="1088233068">
      <w:bodyDiv w:val="1"/>
      <w:marLeft w:val="0"/>
      <w:marRight w:val="0"/>
      <w:marTop w:val="0"/>
      <w:marBottom w:val="0"/>
      <w:divBdr>
        <w:top w:val="none" w:sz="0" w:space="0" w:color="auto"/>
        <w:left w:val="none" w:sz="0" w:space="0" w:color="auto"/>
        <w:bottom w:val="none" w:sz="0" w:space="0" w:color="auto"/>
        <w:right w:val="none" w:sz="0" w:space="0" w:color="auto"/>
      </w:divBdr>
    </w:div>
    <w:div w:id="1099988300">
      <w:bodyDiv w:val="1"/>
      <w:marLeft w:val="0"/>
      <w:marRight w:val="0"/>
      <w:marTop w:val="0"/>
      <w:marBottom w:val="0"/>
      <w:divBdr>
        <w:top w:val="none" w:sz="0" w:space="0" w:color="auto"/>
        <w:left w:val="none" w:sz="0" w:space="0" w:color="auto"/>
        <w:bottom w:val="none" w:sz="0" w:space="0" w:color="auto"/>
        <w:right w:val="none" w:sz="0" w:space="0" w:color="auto"/>
      </w:divBdr>
    </w:div>
    <w:div w:id="1485582600">
      <w:bodyDiv w:val="1"/>
      <w:marLeft w:val="0"/>
      <w:marRight w:val="0"/>
      <w:marTop w:val="0"/>
      <w:marBottom w:val="0"/>
      <w:divBdr>
        <w:top w:val="none" w:sz="0" w:space="0" w:color="auto"/>
        <w:left w:val="none" w:sz="0" w:space="0" w:color="auto"/>
        <w:bottom w:val="none" w:sz="0" w:space="0" w:color="auto"/>
        <w:right w:val="none" w:sz="0" w:space="0" w:color="auto"/>
      </w:divBdr>
    </w:div>
    <w:div w:id="1559390931">
      <w:bodyDiv w:val="1"/>
      <w:marLeft w:val="0"/>
      <w:marRight w:val="0"/>
      <w:marTop w:val="0"/>
      <w:marBottom w:val="0"/>
      <w:divBdr>
        <w:top w:val="none" w:sz="0" w:space="0" w:color="auto"/>
        <w:left w:val="none" w:sz="0" w:space="0" w:color="auto"/>
        <w:bottom w:val="none" w:sz="0" w:space="0" w:color="auto"/>
        <w:right w:val="none" w:sz="0" w:space="0" w:color="auto"/>
      </w:divBdr>
    </w:div>
    <w:div w:id="1617173517">
      <w:bodyDiv w:val="1"/>
      <w:marLeft w:val="0"/>
      <w:marRight w:val="0"/>
      <w:marTop w:val="0"/>
      <w:marBottom w:val="0"/>
      <w:divBdr>
        <w:top w:val="none" w:sz="0" w:space="0" w:color="auto"/>
        <w:left w:val="none" w:sz="0" w:space="0" w:color="auto"/>
        <w:bottom w:val="none" w:sz="0" w:space="0" w:color="auto"/>
        <w:right w:val="none" w:sz="0" w:space="0" w:color="auto"/>
      </w:divBdr>
    </w:div>
    <w:div w:id="1619097804">
      <w:bodyDiv w:val="1"/>
      <w:marLeft w:val="0"/>
      <w:marRight w:val="0"/>
      <w:marTop w:val="0"/>
      <w:marBottom w:val="0"/>
      <w:divBdr>
        <w:top w:val="none" w:sz="0" w:space="0" w:color="auto"/>
        <w:left w:val="none" w:sz="0" w:space="0" w:color="auto"/>
        <w:bottom w:val="none" w:sz="0" w:space="0" w:color="auto"/>
        <w:right w:val="none" w:sz="0" w:space="0" w:color="auto"/>
      </w:divBdr>
    </w:div>
    <w:div w:id="1632051203">
      <w:bodyDiv w:val="1"/>
      <w:marLeft w:val="0"/>
      <w:marRight w:val="0"/>
      <w:marTop w:val="0"/>
      <w:marBottom w:val="0"/>
      <w:divBdr>
        <w:top w:val="none" w:sz="0" w:space="0" w:color="auto"/>
        <w:left w:val="none" w:sz="0" w:space="0" w:color="auto"/>
        <w:bottom w:val="none" w:sz="0" w:space="0" w:color="auto"/>
        <w:right w:val="none" w:sz="0" w:space="0" w:color="auto"/>
      </w:divBdr>
    </w:div>
    <w:div w:id="1704473491">
      <w:bodyDiv w:val="1"/>
      <w:marLeft w:val="0"/>
      <w:marRight w:val="0"/>
      <w:marTop w:val="0"/>
      <w:marBottom w:val="0"/>
      <w:divBdr>
        <w:top w:val="none" w:sz="0" w:space="0" w:color="auto"/>
        <w:left w:val="none" w:sz="0" w:space="0" w:color="auto"/>
        <w:bottom w:val="none" w:sz="0" w:space="0" w:color="auto"/>
        <w:right w:val="none" w:sz="0" w:space="0" w:color="auto"/>
      </w:divBdr>
    </w:div>
    <w:div w:id="179262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S:\Ilgtsp&#275;j&#299;gas%20ener&#291;&#275;tikas%20politikas%20departaments\NEKP\!_VIRZ&#298;BA\2_VSS\NAMEJS\EMPl_11112019_NEKP2030.docx" TargetMode="External"/><Relationship Id="rId18" Type="http://schemas.openxmlformats.org/officeDocument/2006/relationships/hyperlink" Target="file:///S:\Ilgtsp&#275;j&#299;gas%20ener&#291;&#275;tikas%20politikas%20departaments\NEKP\!_VIRZ&#298;BA\2_VSS\NAMEJS\EMPl_11112019_NEKP2030.docx"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file:///S:\Ilgtsp&#275;j&#299;gas%20ener&#291;&#275;tikas%20politikas%20departaments\NEKP\!_VIRZ&#298;BA\2_VSS\NAMEJS\EMPl_11112019_NEKP2030.docx"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1.png"/><Relationship Id="rId63" Type="http://schemas.openxmlformats.org/officeDocument/2006/relationships/image" Target="media/image34.png"/><Relationship Id="rId68" Type="http://schemas.openxmlformats.org/officeDocument/2006/relationships/image" Target="media/image39.png"/><Relationship Id="rId76" Type="http://schemas.openxmlformats.org/officeDocument/2006/relationships/image" Target="media/image47.png"/><Relationship Id="rId89"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S:\Ilgtsp&#275;j&#299;gas%20ener&#291;&#275;tikas%20politikas%20departaments\NEKP\!_VIRZ&#298;BA\2_VSS\NAMEJS\EMPl_11112019_NEKP2030.docx" TargetMode="External"/><Relationship Id="rId29" Type="http://schemas.openxmlformats.org/officeDocument/2006/relationships/image" Target="media/image6.png"/><Relationship Id="rId11" Type="http://schemas.openxmlformats.org/officeDocument/2006/relationships/hyperlink" Target="file:///S:\Ilgtsp&#275;j&#299;gas%20ener&#291;&#275;tikas%20politikas%20departaments\NEKP\!_VIRZ&#298;BA\2_VSS\NAMEJS\EMPl_11112019_NEKP2030.docx"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diagramData" Target="diagrams/data1.xml"/><Relationship Id="rId66"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image" Target="media/image50.png"/><Relationship Id="rId87"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diagramColors" Target="diagrams/colors1.xml"/><Relationship Id="rId90" Type="http://schemas.openxmlformats.org/officeDocument/2006/relationships/image" Target="media/image56.emf"/><Relationship Id="rId19" Type="http://schemas.openxmlformats.org/officeDocument/2006/relationships/hyperlink" Target="file:///S:\Ilgtsp&#275;j&#299;gas%20ener&#291;&#275;tikas%20politikas%20departaments\NEKP\!_VIRZ&#298;BA\2_VSS\NAMEJS\EMPl_11112019_NEKP2030.docx"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file:///S:\Ilgtsp&#275;j&#299;gas%20ener&#291;&#275;tikas%20politikas%20departaments\NEKP\!_VIRZ&#298;BA\2_VSS\NAMEJS\EMPl_11112019_NEKP2030.docx" TargetMode="External"/><Relationship Id="rId22" Type="http://schemas.openxmlformats.org/officeDocument/2006/relationships/hyperlink" Target="file:///S:\Ilgtsp&#275;j&#299;gas%20ener&#291;&#275;tikas%20politikas%20departaments\NEKP\!_VIRZ&#298;BA\2_VSS\NAMEJS\EMPl_11112019_NEKP2030.docx"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35.png"/><Relationship Id="rId69" Type="http://schemas.openxmlformats.org/officeDocument/2006/relationships/image" Target="media/image40.jpg"/><Relationship Id="rId77" Type="http://schemas.openxmlformats.org/officeDocument/2006/relationships/image" Target="media/image48.png"/><Relationship Id="rId8" Type="http://schemas.openxmlformats.org/officeDocument/2006/relationships/footer" Target="footer1.xml"/><Relationship Id="rId51" Type="http://schemas.openxmlformats.org/officeDocument/2006/relationships/image" Target="media/image28.emf"/><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image" Target="media/image510.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S:\Ilgtsp&#275;j&#299;gas%20ener&#291;&#275;tikas%20politikas%20departaments\NEKP\!_VIRZ&#298;BA\2_VSS\NAMEJS\EMPl_11112019_NEKP2030.docx" TargetMode="External"/><Relationship Id="rId17" Type="http://schemas.openxmlformats.org/officeDocument/2006/relationships/hyperlink" Target="file:///S:\Ilgtsp&#275;j&#299;gas%20ener&#291;&#275;tikas%20politikas%20departaments\NEKP\!_VIRZ&#298;BA\2_VSS\NAMEJS\EMPl_11112019_NEKP2030.docx"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diagramLayout" Target="diagrams/layout1.xml"/><Relationship Id="rId67" Type="http://schemas.openxmlformats.org/officeDocument/2006/relationships/image" Target="media/image38.emf"/><Relationship Id="rId20" Type="http://schemas.openxmlformats.org/officeDocument/2006/relationships/hyperlink" Target="file:///S:\Ilgtsp&#275;j&#299;gas%20ener&#291;&#275;tikas%20politikas%20departaments\NEKP\!_VIRZ&#298;BA\2_VSS\NAMEJS\EMPl_11112019_NEKP2030.docx" TargetMode="External"/><Relationship Id="rId41" Type="http://schemas.openxmlformats.org/officeDocument/2006/relationships/image" Target="media/image18.png"/><Relationship Id="rId54" Type="http://schemas.openxmlformats.org/officeDocument/2006/relationships/image" Target="media/image30.png"/><Relationship Id="rId62" Type="http://schemas.microsoft.com/office/2007/relationships/diagramDrawing" Target="diagrams/drawing1.xml"/><Relationship Id="rId70" Type="http://schemas.openxmlformats.org/officeDocument/2006/relationships/image" Target="media/image41.png"/><Relationship Id="rId75" Type="http://schemas.openxmlformats.org/officeDocument/2006/relationships/image" Target="media/image46.png"/><Relationship Id="rId88" Type="http://schemas.openxmlformats.org/officeDocument/2006/relationships/image" Target="media/image54.png"/><Relationship Id="rId91" Type="http://schemas.openxmlformats.org/officeDocument/2006/relationships/image" Target="media/image5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S:\Ilgtsp&#275;j&#299;gas%20ener&#291;&#275;tikas%20politikas%20departaments\NEKP\!_VIRZ&#298;BA\2_VSS\NAMEJS\EMPl_11112019_NEKP2030.docx" TargetMode="External"/><Relationship Id="rId23" Type="http://schemas.openxmlformats.org/officeDocument/2006/relationships/header" Target="header1.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emf"/><Relationship Id="rId57" Type="http://schemas.openxmlformats.org/officeDocument/2006/relationships/image" Target="media/image33.png"/><Relationship Id="rId10" Type="http://schemas.openxmlformats.org/officeDocument/2006/relationships/hyperlink" Target="file:///S:\Ilgtsp&#275;j&#299;gas%20ener&#291;&#275;tikas%20politikas%20departaments\NEKP\!_VIRZ&#298;BA\2_VSS\NAMEJS\EMPl_11112019_NEKP2030.docx"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hyperlink" Target="http://www.ast.lv/lv/transmission-network-projects/esoso-igaunijas-latvijas-330-kv-starpsavienojumu-parbuve" TargetMode="External"/><Relationship Id="rId60" Type="http://schemas.openxmlformats.org/officeDocument/2006/relationships/diagramQuickStyle" Target="diagrams/quickStyle1.xml"/><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20.png"/></Relationships>
</file>

<file path=word/_rels/footnotes.xml.rels><?xml version="1.0" encoding="UTF-8" standalone="yes"?>
<Relationships xmlns="http://schemas.openxmlformats.org/package/2006/relationships"><Relationship Id="rId13" Type="http://schemas.openxmlformats.org/officeDocument/2006/relationships/hyperlink" Target="http://polsis.mk.gov.lv/documents/4849" TargetMode="External"/><Relationship Id="rId18" Type="http://schemas.openxmlformats.org/officeDocument/2006/relationships/hyperlink" Target="https://likumi.lv/doc.php?id=228051" TargetMode="External"/><Relationship Id="rId26" Type="http://schemas.openxmlformats.org/officeDocument/2006/relationships/hyperlink" Target="https://cdr.eionet.europa.eu/lv/eu/mmr/art08_proxy/envxta4zg" TargetMode="External"/><Relationship Id="rId39" Type="http://schemas.openxmlformats.org/officeDocument/2006/relationships/hyperlink" Target="http://www.ast.lv/sites/default/files/editor/PSO_Zinojums_2018.pdf" TargetMode="External"/><Relationship Id="rId21" Type="http://schemas.openxmlformats.org/officeDocument/2006/relationships/hyperlink" Target="http://www.caneurope.org/docman/climate-energy-targets/3477-time-to-pick-up-the-pace-insights-into-the-draft-national-energy-and-climate-plans/file" TargetMode="External"/><Relationship Id="rId34" Type="http://schemas.openxmlformats.org/officeDocument/2006/relationships/hyperlink" Target="https://ec.europa.eu/energy/sites/ener/files/documents/2nd_report_ic_with_neighbouring_countries_b5.pdf" TargetMode="External"/><Relationship Id="rId42" Type="http://schemas.openxmlformats.org/officeDocument/2006/relationships/hyperlink" Target="http://www.vitekc.lv/" TargetMode="External"/><Relationship Id="rId47" Type="http://schemas.openxmlformats.org/officeDocument/2006/relationships/hyperlink" Target="https://unfccc.int/documents/194812" TargetMode="External"/><Relationship Id="rId50" Type="http://schemas.openxmlformats.org/officeDocument/2006/relationships/hyperlink" Target="http://polsis.mk.gov.lv/documents/6507" TargetMode="External"/><Relationship Id="rId55" Type="http://schemas.openxmlformats.org/officeDocument/2006/relationships/hyperlink" Target="https://ec.europa.eu/commfrontoffice/publicopinion/index.cfm/survey/getsurveydetail/instruments/standard/surveyky/2253" TargetMode="External"/><Relationship Id="rId63" Type="http://schemas.openxmlformats.org/officeDocument/2006/relationships/hyperlink" Target="http://www.zrea.lv/lv/jaunumi_5/ar_starptautiska_projekta_step_palidzibu_lpiaa_noteiks_energijas_nabadzibas_kriterijus_3030/" TargetMode="External"/><Relationship Id="rId68" Type="http://schemas.openxmlformats.org/officeDocument/2006/relationships/hyperlink" Target="https://www.liaa.gov.lv/files/liaa/attachments/01_namedabelmane_ievads-ekodizains.pdf" TargetMode="External"/><Relationship Id="rId76" Type="http://schemas.openxmlformats.org/officeDocument/2006/relationships/hyperlink" Target="https://www.graanulinvest.com/eng/frontpage" TargetMode="External"/><Relationship Id="rId7" Type="http://schemas.openxmlformats.org/officeDocument/2006/relationships/hyperlink" Target="https://ec.europa.eu/clima/sites/clima/files/docs/pages/com_2018_733_en.pdf" TargetMode="External"/><Relationship Id="rId71" Type="http://schemas.openxmlformats.org/officeDocument/2006/relationships/hyperlink" Target="http://data1.csb.gov.lv/pxweb/lv/lauks/lauks__agro/MGG010.px/table/tableViewLayout1/" TargetMode="External"/><Relationship Id="rId2" Type="http://schemas.openxmlformats.org/officeDocument/2006/relationships/hyperlink" Target="https://likumi.lv/ta/id/306691-par-valdibas-ricibas-planu-deklaracijas-par-artura-krisjana-karina-vadita-ministru-kabineta-iecereto-darbibu-istenosanai" TargetMode="External"/><Relationship Id="rId16" Type="http://schemas.openxmlformats.org/officeDocument/2006/relationships/hyperlink" Target="https://likumi.lv/doc.php?id=74749" TargetMode="External"/><Relationship Id="rId29" Type="http://schemas.openxmlformats.org/officeDocument/2006/relationships/hyperlink" Target="https://ec.europa.eu/energy/sites/ener/files/documents/lv_annual_report_2019_lv.zip" TargetMode="External"/><Relationship Id="rId11" Type="http://schemas.openxmlformats.org/officeDocument/2006/relationships/hyperlink" Target="https://eur-lex.europa.eu/legal-content/LV/TXT/PDF/?uri=CELEX:32018L2002&amp;from=EN" TargetMode="External"/><Relationship Id="rId24" Type="http://schemas.openxmlformats.org/officeDocument/2006/relationships/hyperlink" Target="https://op.europa.eu/en/publication/-/publik&#257;cija/9590%20cdee-cd30-11e9-992f-01%20aa75ed71a1/language-en" TargetMode="External"/><Relationship Id="rId32" Type="http://schemas.openxmlformats.org/officeDocument/2006/relationships/hyperlink" Target="https://ec.europa.eu/commission/sites/beta-political/files/energy-union-factsheet-latvia_en.pdf" TargetMode="External"/><Relationship Id="rId37" Type="http://schemas.openxmlformats.org/officeDocument/2006/relationships/hyperlink" Target="https://ec.europa.eu/energy/sites/ener/files/documents/quarterly_report_on_european_gas_markets_q4_2017_final_20180323.pdf" TargetMode="External"/><Relationship Id="rId40" Type="http://schemas.openxmlformats.org/officeDocument/2006/relationships/hyperlink" Target="https://www.epo.org/" TargetMode="External"/><Relationship Id="rId45" Type="http://schemas.openxmlformats.org/officeDocument/2006/relationships/hyperlink" Target="https://unfccc.int/sites/default/files/resource/docs/2015/cop21/eng/10a01.pdf" TargetMode="External"/><Relationship Id="rId53" Type="http://schemas.openxmlformats.org/officeDocument/2006/relationships/hyperlink" Target="http://www.ast.lv/sites/default/files/editor/Gada_parsk_2017_parakstits_Final_print_arvaku_.pdf" TargetMode="External"/><Relationship Id="rId58" Type="http://schemas.openxmlformats.org/officeDocument/2006/relationships/hyperlink" Target="https://www.irena.org/publications/2019/May/Renewable-power-generation-costs-in-2018" TargetMode="External"/><Relationship Id="rId66" Type="http://schemas.openxmlformats.org/officeDocument/2006/relationships/hyperlink" Target="https://unfccc.int/documents/194812" TargetMode="External"/><Relationship Id="rId74" Type="http://schemas.openxmlformats.org/officeDocument/2006/relationships/hyperlink" Target="https://www.wwf.no/assets/attachments/84-wwf_a4_report___havvindrapport.pdf" TargetMode="External"/><Relationship Id="rId79" Type="http://schemas.openxmlformats.org/officeDocument/2006/relationships/hyperlink" Target="https://likumi.lv/ta/id/295801-siltumnicefekta-gazu-inventarizacijas-un-prognozu-sagatavosanas-nacionalas-sistemas-izveidosanas-un-uzturesanas-noteikumi" TargetMode="External"/><Relationship Id="rId5" Type="http://schemas.openxmlformats.org/officeDocument/2006/relationships/hyperlink" Target="https://eur-lex.europa.eu/legal-content/LV/TXT/PDF/?uri=CELEX:32018R1999&amp;from=EN" TargetMode="External"/><Relationship Id="rId61" Type="http://schemas.openxmlformats.org/officeDocument/2006/relationships/hyperlink" Target="http://www.meteo.lv/fs/files/CMSP_Static_Page_Attach/00/00/00/02/03/1548165912_CO2_met_2019.pdf" TargetMode="External"/><Relationship Id="rId10" Type="http://schemas.openxmlformats.org/officeDocument/2006/relationships/hyperlink" Target="https://eur-lex.europa.eu/legal-content/LV/TXT/PDF/?uri=CELEX:32018L2001&amp;from=EN" TargetMode="External"/><Relationship Id="rId19" Type="http://schemas.openxmlformats.org/officeDocument/2006/relationships/hyperlink" Target="https://bankwatch.org/wp-content/uploads/2019/03/NECP-in-8-CEE-countries-1.pdf" TargetMode="External"/><Relationship Id="rId31" Type="http://schemas.openxmlformats.org/officeDocument/2006/relationships/hyperlink" Target="http://www.conexus.lv/uploads/filedir/parvades_operatora_zinojums_2018.pdf" TargetMode="External"/><Relationship Id="rId44" Type="http://schemas.openxmlformats.org/officeDocument/2006/relationships/hyperlink" Target="https://unfccc.int/sites/default/files/english_paris_agreement.pdf" TargetMode="External"/><Relationship Id="rId52" Type="http://schemas.openxmlformats.org/officeDocument/2006/relationships/hyperlink" Target="https://em.gov.lv/files/attachments/lv_rec_lv.pdf" TargetMode="External"/><Relationship Id="rId60" Type="http://schemas.openxmlformats.org/officeDocument/2006/relationships/hyperlink" Target="https://op.europa.eu/en/publication-detail/-/publication/9590cdee-cd30-11e9-992f-01aa75ed71a1/language-en/format-PDF/source-107469700" TargetMode="External"/><Relationship Id="rId65" Type="http://schemas.openxmlformats.org/officeDocument/2006/relationships/hyperlink" Target="https://data1.csb.gov.lv/pxweb/lv/vide/vide__vide__ikgad/VIG040.px/table/tableViewLayout1/" TargetMode="External"/><Relationship Id="rId73" Type="http://schemas.openxmlformats.org/officeDocument/2006/relationships/hyperlink" Target="https://unfccc.int/documents/194812" TargetMode="External"/><Relationship Id="rId78" Type="http://schemas.openxmlformats.org/officeDocument/2006/relationships/hyperlink" Target="https://likumi.lv/ta/id/6075-par-piesarnojumu" TargetMode="External"/><Relationship Id="rId4" Type="http://schemas.openxmlformats.org/officeDocument/2006/relationships/hyperlink" Target="http://data.consilium.europa.eu/doc/document/ST-14459-2015-INIT/lv/pdf" TargetMode="External"/><Relationship Id="rId9" Type="http://schemas.openxmlformats.org/officeDocument/2006/relationships/hyperlink" Target="http://polsis.mk.gov.lv/documents/3323" TargetMode="External"/><Relationship Id="rId14" Type="http://schemas.openxmlformats.org/officeDocument/2006/relationships/hyperlink" Target="https://likumi.lv/doc.php?id=207119" TargetMode="External"/><Relationship Id="rId22" Type="http://schemas.openxmlformats.org/officeDocument/2006/relationships/hyperlink" Target="https://em.gov.lv/lv/par_ministriju/notikumu_kalendars/21866-konference-nacionalais-energetikas-un-klimata-plans-2021-2030gadam-energetikas-attistiba-un-klimata-parmainu-mazinasana" TargetMode="External"/><Relationship Id="rId27" Type="http://schemas.openxmlformats.org/officeDocument/2006/relationships/hyperlink" Target="https://ec.europa.eu/energy/sites/ener/files/documents/dir_2009_0028_action_plan_latvia.zip" TargetMode="External"/><Relationship Id="rId30" Type="http://schemas.openxmlformats.org/officeDocument/2006/relationships/hyperlink" Target="https://www.em.gov.lv/lv/nozares_politika/energoefektivitate_un_siltumapgade/zinojumi_eiropas_komisijai/" TargetMode="External"/><Relationship Id="rId35" Type="http://schemas.openxmlformats.org/officeDocument/2006/relationships/hyperlink" Target="http://www.conexus.lv/uploads/filedir/pso_zinojums_2018.pdf" TargetMode="External"/><Relationship Id="rId43" Type="http://schemas.openxmlformats.org/officeDocument/2006/relationships/hyperlink" Target="http://polsis.mk.gov.lv/documents/4294" TargetMode="External"/><Relationship Id="rId48" Type="http://schemas.openxmlformats.org/officeDocument/2006/relationships/hyperlink" Target="https://eur-lex.europa.eu/legal-content/LV/TXT/PDF/?uri=CELEX:32017D1471&amp;from=EN" TargetMode="External"/><Relationship Id="rId56" Type="http://schemas.openxmlformats.org/officeDocument/2006/relationships/hyperlink" Target="http://klimatam.lv/" TargetMode="External"/><Relationship Id="rId64" Type="http://schemas.openxmlformats.org/officeDocument/2006/relationships/hyperlink" Target="https://unfccc.int/documents/194812" TargetMode="External"/><Relationship Id="rId69" Type="http://schemas.openxmlformats.org/officeDocument/2006/relationships/hyperlink" Target="https://www.vzd.gov.lv/lv/parskati-un-statistika/statistika/statistika-no-kadastra/ZLV/" TargetMode="External"/><Relationship Id="rId77" Type="http://schemas.openxmlformats.org/officeDocument/2006/relationships/hyperlink" Target="https://www.baltpool.eu/lv/" TargetMode="External"/><Relationship Id="rId8" Type="http://schemas.openxmlformats.org/officeDocument/2006/relationships/hyperlink" Target="https://eur-lex.europa.eu/legal-content/LV/TXT/PDF/?uri=CELEX:52011DC0112&amp;from=LV" TargetMode="External"/><Relationship Id="rId51" Type="http://schemas.openxmlformats.org/officeDocument/2006/relationships/hyperlink" Target="https://eur-lex.europa.eu/legal-content/LV/TXT/PDF/?uri=CELEX:32018L2001&amp;from=EN" TargetMode="External"/><Relationship Id="rId72" Type="http://schemas.openxmlformats.org/officeDocument/2006/relationships/hyperlink" Target="https://www.llu.lv/lv/seg-emisijas-samazinosi-pasakumi" TargetMode="External"/><Relationship Id="rId80" Type="http://schemas.openxmlformats.org/officeDocument/2006/relationships/hyperlink" Target="http://polsis.mk.gov.lv/documents/6456" TargetMode="External"/><Relationship Id="rId3" Type="http://schemas.openxmlformats.org/officeDocument/2006/relationships/hyperlink" Target="http://data.consilium.europa.eu/doc/document/ST-169-2014-INIT/lv/pdf" TargetMode="External"/><Relationship Id="rId12" Type="http://schemas.openxmlformats.org/officeDocument/2006/relationships/hyperlink" Target="http://polsis.mk.gov.lv/documents/4247" TargetMode="External"/><Relationship Id="rId17" Type="http://schemas.openxmlformats.org/officeDocument/2006/relationships/hyperlink" Target="https://likumi.lv/doc.php?id=79100" TargetMode="External"/><Relationship Id="rId25" Type="http://schemas.openxmlformats.org/officeDocument/2006/relationships/hyperlink" Target="https://eur-lex.europa.eu/legal-content/LV/TXT/HTML/?uri=CELEX:31991L0676&amp;from=LV" TargetMode="External"/><Relationship Id="rId33" Type="http://schemas.openxmlformats.org/officeDocument/2006/relationships/hyperlink" Target="https://ec.europa.eu/energy/sites/ener/files/documents/report_of_the_commission_expert_group_on_electricity_interconnection_targets.pdf" TargetMode="External"/><Relationship Id="rId38" Type="http://schemas.openxmlformats.org/officeDocument/2006/relationships/hyperlink" Target="https://www.iub.gov.lv/lv/iubsearch/q/dabasg%C4%81ze/" TargetMode="External"/><Relationship Id="rId46" Type="http://schemas.openxmlformats.org/officeDocument/2006/relationships/hyperlink" Target="https://likumi.lv/doc.php?id=288575" TargetMode="External"/><Relationship Id="rId59" Type="http://schemas.openxmlformats.org/officeDocument/2006/relationships/hyperlink" Target="https://solargis.com/maps-and-gis-data/download/europe" TargetMode="External"/><Relationship Id="rId67" Type="http://schemas.openxmlformats.org/officeDocument/2006/relationships/hyperlink" Target="http://www.europarl.europa.eu/latvia/lv/jaunumi/2018/aprila_jaunumi_2018/atkritumu_skirosana.html" TargetMode="External"/><Relationship Id="rId20" Type="http://schemas.openxmlformats.org/officeDocument/2006/relationships/hyperlink" Target="https://europeanclimate.org/wp-content/uploads/2019/05/Planning-for-Net-Zero.-Assessing-the-draft-NECPs.pdf" TargetMode="External"/><Relationship Id="rId41" Type="http://schemas.openxmlformats.org/officeDocument/2006/relationships/hyperlink" Target="https://likumi.lv/ta/id/287272-jaunuznemumu-darbibas-atbalsta-likums" TargetMode="External"/><Relationship Id="rId54" Type="http://schemas.openxmlformats.org/officeDocument/2006/relationships/hyperlink" Target="http://polsis.mk.gov.lv/documents/4294" TargetMode="External"/><Relationship Id="rId62" Type="http://schemas.openxmlformats.org/officeDocument/2006/relationships/hyperlink" Target="https://www.em.gov.lv/lv/nozares_politika/valsts_petijumu_programma__energetika_/konkurss__ilgtspejiga_energetikas_infrastruktura_un_tirgus_/" TargetMode="External"/><Relationship Id="rId70" Type="http://schemas.openxmlformats.org/officeDocument/2006/relationships/hyperlink" Target="https://www.meteo.lv/fs/CKFinderJava/userfiles/files/Vide/Klimats/Majas_lapai_LVGMC_2019_seginvkopsavilkums.pdf" TargetMode="External"/><Relationship Id="rId75" Type="http://schemas.openxmlformats.org/officeDocument/2006/relationships/hyperlink" Target="https://www.iea.org/offshorewind2019/" TargetMode="External"/><Relationship Id="rId1" Type="http://schemas.openxmlformats.org/officeDocument/2006/relationships/hyperlink" Target="https://likumi.lv/ta/id/281943-par-valdibas-ricibas-planu-deklaracijas-par-mara-kucinska-vadita-ministru-kabineta-iecereto-darbibu-istenosanai" TargetMode="External"/><Relationship Id="rId6" Type="http://schemas.openxmlformats.org/officeDocument/2006/relationships/hyperlink" Target="https://eur-lex.europa.eu/legal-content/LV/TXT/PDF/?uri=CELEX:32018R1999&amp;from=LV" TargetMode="External"/><Relationship Id="rId15" Type="http://schemas.openxmlformats.org/officeDocument/2006/relationships/hyperlink" Target="https://likumi.lv/doc.php?id=74746" TargetMode="External"/><Relationship Id="rId23" Type="http://schemas.openxmlformats.org/officeDocument/2006/relationships/hyperlink" Target="https://em.gov.lv/lv/nozares_politika/nacionalais_energetikas_un_klimata_plans/" TargetMode="External"/><Relationship Id="rId28" Type="http://schemas.openxmlformats.org/officeDocument/2006/relationships/hyperlink" Target="https://www.em.gov.lv/files/nozares_politika/EMZino_AER_030518.pdf" TargetMode="External"/><Relationship Id="rId36" Type="http://schemas.openxmlformats.org/officeDocument/2006/relationships/hyperlink" Target="http://ec.europa.eu/eurostat/data/database" TargetMode="External"/><Relationship Id="rId49" Type="http://schemas.openxmlformats.org/officeDocument/2006/relationships/hyperlink" Target="https://eur-lex.europa.eu/legal-content/LV/TXT/HTML/?uri=CELEX:32013D0634&amp;from=EN" TargetMode="External"/><Relationship Id="rId57" Type="http://schemas.openxmlformats.org/officeDocument/2006/relationships/hyperlink" Target="https://www.em.gov.lv/lv/nozares_politika/majokli/eku_energoefektivitate/no_direktivas_2012_27_es_par_energoefektivitati_izrietosas_prasibas/"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E04CD3-ECF8-4F9F-B74B-4CCDAAA7968F}" type="doc">
      <dgm:prSet loTypeId="urn:microsoft.com/office/officeart/2005/8/layout/chart3" loCatId="cycle" qsTypeId="urn:microsoft.com/office/officeart/2005/8/quickstyle/simple1" qsCatId="simple" csTypeId="urn:microsoft.com/office/officeart/2005/8/colors/colorful5" csCatId="colorful" phldr="1"/>
      <dgm:spPr/>
    </dgm:pt>
    <dgm:pt modelId="{A3C3F178-6212-4868-B111-2761E88D7D46}">
      <dgm:prSet phldrT="[Text]" custT="1"/>
      <dgm:spPr/>
      <dgm:t>
        <a:bodyPr/>
        <a:lstStyle/>
        <a:p>
          <a:pPr algn="ctr"/>
          <a:r>
            <a:rPr lang="lv-LV" sz="1000">
              <a:solidFill>
                <a:sysClr val="windowText" lastClr="000000"/>
              </a:solidFill>
            </a:rPr>
            <a:t>dabasgāzes tirgus cena</a:t>
          </a:r>
        </a:p>
      </dgm:t>
    </dgm:pt>
    <dgm:pt modelId="{0762894F-D258-4B95-A177-DE74DCF57E18}" type="parTrans" cxnId="{E418E420-7D6B-4A04-97A5-BEFB654F249A}">
      <dgm:prSet/>
      <dgm:spPr/>
      <dgm:t>
        <a:bodyPr/>
        <a:lstStyle/>
        <a:p>
          <a:pPr algn="ctr"/>
          <a:endParaRPr lang="lv-LV" sz="1000">
            <a:solidFill>
              <a:sysClr val="windowText" lastClr="000000"/>
            </a:solidFill>
          </a:endParaRPr>
        </a:p>
      </dgm:t>
    </dgm:pt>
    <dgm:pt modelId="{F1CFBA51-A1E8-4BEE-BECC-A9F72CBD918B}" type="sibTrans" cxnId="{E418E420-7D6B-4A04-97A5-BEFB654F249A}">
      <dgm:prSet/>
      <dgm:spPr/>
      <dgm:t>
        <a:bodyPr/>
        <a:lstStyle/>
        <a:p>
          <a:pPr algn="ctr"/>
          <a:endParaRPr lang="lv-LV" sz="1000">
            <a:solidFill>
              <a:sysClr val="windowText" lastClr="000000"/>
            </a:solidFill>
          </a:endParaRPr>
        </a:p>
      </dgm:t>
    </dgm:pt>
    <dgm:pt modelId="{DBB391B3-449E-4174-B3D2-E2103341FCC6}">
      <dgm:prSet phldrT="[Text]" custT="1"/>
      <dgm:spPr/>
      <dgm:t>
        <a:bodyPr/>
        <a:lstStyle/>
        <a:p>
          <a:pPr algn="ctr"/>
          <a:r>
            <a:rPr lang="lv-LV" sz="1000">
              <a:solidFill>
                <a:sysClr val="windowText" lastClr="000000"/>
              </a:solidFill>
            </a:rPr>
            <a:t>sadales sistēmas pakalpojums (tarifs)</a:t>
          </a:r>
        </a:p>
      </dgm:t>
    </dgm:pt>
    <dgm:pt modelId="{83F32F4C-ADC4-4457-BCF5-0F57E93E6FD3}" type="parTrans" cxnId="{D11CE909-7A8C-41C2-AB46-CAC58308A38A}">
      <dgm:prSet/>
      <dgm:spPr/>
      <dgm:t>
        <a:bodyPr/>
        <a:lstStyle/>
        <a:p>
          <a:pPr algn="ctr"/>
          <a:endParaRPr lang="lv-LV" sz="1000">
            <a:solidFill>
              <a:sysClr val="windowText" lastClr="000000"/>
            </a:solidFill>
          </a:endParaRPr>
        </a:p>
      </dgm:t>
    </dgm:pt>
    <dgm:pt modelId="{5D725C25-7BF2-4B2E-AAE0-171793B26DCE}" type="sibTrans" cxnId="{D11CE909-7A8C-41C2-AB46-CAC58308A38A}">
      <dgm:prSet/>
      <dgm:spPr/>
      <dgm:t>
        <a:bodyPr/>
        <a:lstStyle/>
        <a:p>
          <a:pPr algn="ctr"/>
          <a:endParaRPr lang="lv-LV" sz="1000">
            <a:solidFill>
              <a:sysClr val="windowText" lastClr="000000"/>
            </a:solidFill>
          </a:endParaRPr>
        </a:p>
      </dgm:t>
    </dgm:pt>
    <dgm:pt modelId="{516D55C4-5D01-4768-AA14-2E647598E5CC}">
      <dgm:prSet phldrT="[Text]" custT="1"/>
      <dgm:spPr/>
      <dgm:t>
        <a:bodyPr/>
        <a:lstStyle/>
        <a:p>
          <a:pPr algn="ctr"/>
          <a:r>
            <a:rPr lang="lv-LV" sz="1000">
              <a:solidFill>
                <a:sysClr val="windowText" lastClr="000000"/>
              </a:solidFill>
            </a:rPr>
            <a:t>uzglabāša-nas sistēmas pakalpojums (tarifs)</a:t>
          </a:r>
        </a:p>
      </dgm:t>
    </dgm:pt>
    <dgm:pt modelId="{4EC62071-B851-493A-AD8E-F18A76EBB25B}" type="parTrans" cxnId="{C716CABE-2F63-4064-A3DD-0C14DB3593F7}">
      <dgm:prSet/>
      <dgm:spPr/>
      <dgm:t>
        <a:bodyPr/>
        <a:lstStyle/>
        <a:p>
          <a:pPr algn="ctr"/>
          <a:endParaRPr lang="lv-LV" sz="1000">
            <a:solidFill>
              <a:sysClr val="windowText" lastClr="000000"/>
            </a:solidFill>
          </a:endParaRPr>
        </a:p>
      </dgm:t>
    </dgm:pt>
    <dgm:pt modelId="{8A13B056-C972-4905-B88D-D1A089FCA437}" type="sibTrans" cxnId="{C716CABE-2F63-4064-A3DD-0C14DB3593F7}">
      <dgm:prSet/>
      <dgm:spPr/>
      <dgm:t>
        <a:bodyPr/>
        <a:lstStyle/>
        <a:p>
          <a:pPr algn="ctr"/>
          <a:endParaRPr lang="lv-LV" sz="1000">
            <a:solidFill>
              <a:sysClr val="windowText" lastClr="000000"/>
            </a:solidFill>
          </a:endParaRPr>
        </a:p>
      </dgm:t>
    </dgm:pt>
    <dgm:pt modelId="{DEDA63ED-ADEE-4815-B836-7E2AC0567C35}">
      <dgm:prSet phldrT="[Text]" custT="1"/>
      <dgm:spPr/>
      <dgm:t>
        <a:bodyPr/>
        <a:lstStyle/>
        <a:p>
          <a:pPr algn="ctr"/>
          <a:r>
            <a:rPr lang="lv-LV" sz="1000">
              <a:solidFill>
                <a:sysClr val="windowText" lastClr="000000"/>
              </a:solidFill>
            </a:rPr>
            <a:t>PVN 21%</a:t>
          </a:r>
        </a:p>
      </dgm:t>
    </dgm:pt>
    <dgm:pt modelId="{B11630CE-BE90-43FD-BC5E-2FABAD75ED8F}" type="parTrans" cxnId="{3AA5C011-7337-4E1B-B8EE-D346A2CA16FB}">
      <dgm:prSet/>
      <dgm:spPr/>
      <dgm:t>
        <a:bodyPr/>
        <a:lstStyle/>
        <a:p>
          <a:pPr algn="ctr"/>
          <a:endParaRPr lang="lv-LV" sz="1000">
            <a:solidFill>
              <a:sysClr val="windowText" lastClr="000000"/>
            </a:solidFill>
          </a:endParaRPr>
        </a:p>
      </dgm:t>
    </dgm:pt>
    <dgm:pt modelId="{27D98343-2E26-43E6-BA87-662DD74A1DA7}" type="sibTrans" cxnId="{3AA5C011-7337-4E1B-B8EE-D346A2CA16FB}">
      <dgm:prSet/>
      <dgm:spPr/>
      <dgm:t>
        <a:bodyPr/>
        <a:lstStyle/>
        <a:p>
          <a:pPr algn="ctr"/>
          <a:endParaRPr lang="lv-LV" sz="1000">
            <a:solidFill>
              <a:sysClr val="windowText" lastClr="000000"/>
            </a:solidFill>
          </a:endParaRPr>
        </a:p>
      </dgm:t>
    </dgm:pt>
    <dgm:pt modelId="{76B8EFF8-0574-4FD8-847B-52806845AAA4}">
      <dgm:prSet phldrT="[Text]" custT="1"/>
      <dgm:spPr/>
      <dgm:t>
        <a:bodyPr/>
        <a:lstStyle/>
        <a:p>
          <a:pPr algn="ctr"/>
          <a:r>
            <a:rPr lang="lv-LV" sz="1000">
              <a:solidFill>
                <a:sysClr val="windowText" lastClr="000000"/>
              </a:solidFill>
            </a:rPr>
            <a:t>pārvades sistēmas pakalpojums (tarifs)</a:t>
          </a:r>
        </a:p>
      </dgm:t>
    </dgm:pt>
    <dgm:pt modelId="{F75CEAE9-368D-4A56-AA21-204A5655AC73}" type="parTrans" cxnId="{207A6B35-EE3E-4A60-A3D1-C805498BF83C}">
      <dgm:prSet/>
      <dgm:spPr/>
      <dgm:t>
        <a:bodyPr/>
        <a:lstStyle/>
        <a:p>
          <a:pPr algn="ctr"/>
          <a:endParaRPr lang="lv-LV" sz="1000">
            <a:solidFill>
              <a:sysClr val="windowText" lastClr="000000"/>
            </a:solidFill>
          </a:endParaRPr>
        </a:p>
      </dgm:t>
    </dgm:pt>
    <dgm:pt modelId="{B859C559-6375-4E61-B7EF-A7351D4F2773}" type="sibTrans" cxnId="{207A6B35-EE3E-4A60-A3D1-C805498BF83C}">
      <dgm:prSet/>
      <dgm:spPr/>
      <dgm:t>
        <a:bodyPr/>
        <a:lstStyle/>
        <a:p>
          <a:pPr algn="ctr"/>
          <a:endParaRPr lang="lv-LV" sz="1000">
            <a:solidFill>
              <a:sysClr val="windowText" lastClr="000000"/>
            </a:solidFill>
          </a:endParaRPr>
        </a:p>
      </dgm:t>
    </dgm:pt>
    <dgm:pt modelId="{2C6EBD79-0EF4-439F-883B-E46C9370B204}">
      <dgm:prSet phldrT="[Text]" custT="1"/>
      <dgm:spPr/>
      <dgm:t>
        <a:bodyPr/>
        <a:lstStyle/>
        <a:p>
          <a:pPr algn="ctr"/>
          <a:r>
            <a:rPr lang="lv-LV" sz="1000">
              <a:solidFill>
                <a:sysClr val="windowText" lastClr="000000"/>
              </a:solidFill>
            </a:rPr>
            <a:t>akcīzes nodoklis (diferencēta likme)</a:t>
          </a:r>
        </a:p>
      </dgm:t>
    </dgm:pt>
    <dgm:pt modelId="{F86C4C03-7F35-4CA5-A6DB-190053640427}" type="parTrans" cxnId="{8647AF44-2F6A-418B-BF59-94488033F77B}">
      <dgm:prSet/>
      <dgm:spPr/>
      <dgm:t>
        <a:bodyPr/>
        <a:lstStyle/>
        <a:p>
          <a:pPr algn="ctr"/>
          <a:endParaRPr lang="lv-LV" sz="1000">
            <a:solidFill>
              <a:sysClr val="windowText" lastClr="000000"/>
            </a:solidFill>
          </a:endParaRPr>
        </a:p>
      </dgm:t>
    </dgm:pt>
    <dgm:pt modelId="{62B3B93B-261A-4850-8EA3-269D786512F5}" type="sibTrans" cxnId="{8647AF44-2F6A-418B-BF59-94488033F77B}">
      <dgm:prSet/>
      <dgm:spPr/>
      <dgm:t>
        <a:bodyPr/>
        <a:lstStyle/>
        <a:p>
          <a:pPr algn="ctr"/>
          <a:endParaRPr lang="lv-LV" sz="1000">
            <a:solidFill>
              <a:sysClr val="windowText" lastClr="000000"/>
            </a:solidFill>
          </a:endParaRPr>
        </a:p>
      </dgm:t>
    </dgm:pt>
    <dgm:pt modelId="{3F8E37A3-4A98-4A1C-A270-5E036BA9F5B3}" type="pres">
      <dgm:prSet presAssocID="{52E04CD3-ECF8-4F9F-B74B-4CCDAAA7968F}" presName="compositeShape" presStyleCnt="0">
        <dgm:presLayoutVars>
          <dgm:chMax val="7"/>
          <dgm:dir/>
          <dgm:resizeHandles val="exact"/>
        </dgm:presLayoutVars>
      </dgm:prSet>
      <dgm:spPr/>
    </dgm:pt>
    <dgm:pt modelId="{49E55D25-2532-463A-B7E0-43EEAA60D186}" type="pres">
      <dgm:prSet presAssocID="{52E04CD3-ECF8-4F9F-B74B-4CCDAAA7968F}" presName="wedge1" presStyleLbl="node1" presStyleIdx="0" presStyleCnt="6" custLinFactNeighborX="-2929" custLinFactNeighborY="5208"/>
      <dgm:spPr/>
    </dgm:pt>
    <dgm:pt modelId="{E8965566-BC06-49A8-B2D2-5319BC4A6E3B}" type="pres">
      <dgm:prSet presAssocID="{52E04CD3-ECF8-4F9F-B74B-4CCDAAA7968F}" presName="wedge1Tx" presStyleLbl="node1" presStyleIdx="0" presStyleCnt="6">
        <dgm:presLayoutVars>
          <dgm:chMax val="0"/>
          <dgm:chPref val="0"/>
          <dgm:bulletEnabled val="1"/>
        </dgm:presLayoutVars>
      </dgm:prSet>
      <dgm:spPr/>
    </dgm:pt>
    <dgm:pt modelId="{5B7FB9D7-BBFF-41A4-9A89-BC43D53E3590}" type="pres">
      <dgm:prSet presAssocID="{52E04CD3-ECF8-4F9F-B74B-4CCDAAA7968F}" presName="wedge2" presStyleLbl="node1" presStyleIdx="1" presStyleCnt="6"/>
      <dgm:spPr/>
    </dgm:pt>
    <dgm:pt modelId="{43B88EED-EE24-455A-A9A0-AD9F877D1185}" type="pres">
      <dgm:prSet presAssocID="{52E04CD3-ECF8-4F9F-B74B-4CCDAAA7968F}" presName="wedge2Tx" presStyleLbl="node1" presStyleIdx="1" presStyleCnt="6">
        <dgm:presLayoutVars>
          <dgm:chMax val="0"/>
          <dgm:chPref val="0"/>
          <dgm:bulletEnabled val="1"/>
        </dgm:presLayoutVars>
      </dgm:prSet>
      <dgm:spPr/>
    </dgm:pt>
    <dgm:pt modelId="{4E479108-95F2-4F4C-8A3B-8FA33DCF896D}" type="pres">
      <dgm:prSet presAssocID="{52E04CD3-ECF8-4F9F-B74B-4CCDAAA7968F}" presName="wedge3" presStyleLbl="node1" presStyleIdx="2" presStyleCnt="6"/>
      <dgm:spPr/>
    </dgm:pt>
    <dgm:pt modelId="{FE0FA282-FFD8-4A68-8A6A-CAE2B7796E25}" type="pres">
      <dgm:prSet presAssocID="{52E04CD3-ECF8-4F9F-B74B-4CCDAAA7968F}" presName="wedge3Tx" presStyleLbl="node1" presStyleIdx="2" presStyleCnt="6">
        <dgm:presLayoutVars>
          <dgm:chMax val="0"/>
          <dgm:chPref val="0"/>
          <dgm:bulletEnabled val="1"/>
        </dgm:presLayoutVars>
      </dgm:prSet>
      <dgm:spPr/>
    </dgm:pt>
    <dgm:pt modelId="{51F7A5EA-9C66-4FD2-8C94-3C781BE77897}" type="pres">
      <dgm:prSet presAssocID="{52E04CD3-ECF8-4F9F-B74B-4CCDAAA7968F}" presName="wedge4" presStyleLbl="node1" presStyleIdx="3" presStyleCnt="6"/>
      <dgm:spPr/>
    </dgm:pt>
    <dgm:pt modelId="{7A2F0BA8-98EA-43A8-986F-7FF50952C003}" type="pres">
      <dgm:prSet presAssocID="{52E04CD3-ECF8-4F9F-B74B-4CCDAAA7968F}" presName="wedge4Tx" presStyleLbl="node1" presStyleIdx="3" presStyleCnt="6">
        <dgm:presLayoutVars>
          <dgm:chMax val="0"/>
          <dgm:chPref val="0"/>
          <dgm:bulletEnabled val="1"/>
        </dgm:presLayoutVars>
      </dgm:prSet>
      <dgm:spPr/>
    </dgm:pt>
    <dgm:pt modelId="{DE2BFA71-4993-4CBF-A5BF-BA7C1A2B2315}" type="pres">
      <dgm:prSet presAssocID="{52E04CD3-ECF8-4F9F-B74B-4CCDAAA7968F}" presName="wedge5" presStyleLbl="node1" presStyleIdx="4" presStyleCnt="6"/>
      <dgm:spPr/>
    </dgm:pt>
    <dgm:pt modelId="{B79D5C08-4D7A-48BA-BE30-8F66B77DA84B}" type="pres">
      <dgm:prSet presAssocID="{52E04CD3-ECF8-4F9F-B74B-4CCDAAA7968F}" presName="wedge5Tx" presStyleLbl="node1" presStyleIdx="4" presStyleCnt="6">
        <dgm:presLayoutVars>
          <dgm:chMax val="0"/>
          <dgm:chPref val="0"/>
          <dgm:bulletEnabled val="1"/>
        </dgm:presLayoutVars>
      </dgm:prSet>
      <dgm:spPr/>
    </dgm:pt>
    <dgm:pt modelId="{BC9D766E-18DF-4439-92AD-DE56CDBF3329}" type="pres">
      <dgm:prSet presAssocID="{52E04CD3-ECF8-4F9F-B74B-4CCDAAA7968F}" presName="wedge6" presStyleLbl="node1" presStyleIdx="5" presStyleCnt="6"/>
      <dgm:spPr/>
    </dgm:pt>
    <dgm:pt modelId="{8CA5AA04-4511-4EB2-9E54-E8D0DACD13BC}" type="pres">
      <dgm:prSet presAssocID="{52E04CD3-ECF8-4F9F-B74B-4CCDAAA7968F}" presName="wedge6Tx" presStyleLbl="node1" presStyleIdx="5" presStyleCnt="6">
        <dgm:presLayoutVars>
          <dgm:chMax val="0"/>
          <dgm:chPref val="0"/>
          <dgm:bulletEnabled val="1"/>
        </dgm:presLayoutVars>
      </dgm:prSet>
      <dgm:spPr/>
    </dgm:pt>
  </dgm:ptLst>
  <dgm:cxnLst>
    <dgm:cxn modelId="{39BA5305-8182-4F00-9E1A-CD0B03AD06E9}" type="presOf" srcId="{52E04CD3-ECF8-4F9F-B74B-4CCDAAA7968F}" destId="{3F8E37A3-4A98-4A1C-A270-5E036BA9F5B3}" srcOrd="0" destOrd="0" presId="urn:microsoft.com/office/officeart/2005/8/layout/chart3"/>
    <dgm:cxn modelId="{D11CE909-7A8C-41C2-AB46-CAC58308A38A}" srcId="{52E04CD3-ECF8-4F9F-B74B-4CCDAAA7968F}" destId="{DBB391B3-449E-4174-B3D2-E2103341FCC6}" srcOrd="1" destOrd="0" parTransId="{83F32F4C-ADC4-4457-BCF5-0F57E93E6FD3}" sibTransId="{5D725C25-7BF2-4B2E-AAE0-171793B26DCE}"/>
    <dgm:cxn modelId="{3AA5C011-7337-4E1B-B8EE-D346A2CA16FB}" srcId="{52E04CD3-ECF8-4F9F-B74B-4CCDAAA7968F}" destId="{DEDA63ED-ADEE-4815-B836-7E2AC0567C35}" srcOrd="4" destOrd="0" parTransId="{B11630CE-BE90-43FD-BC5E-2FABAD75ED8F}" sibTransId="{27D98343-2E26-43E6-BA87-662DD74A1DA7}"/>
    <dgm:cxn modelId="{62598D14-1E1B-4102-95D0-804419925286}" type="presOf" srcId="{A3C3F178-6212-4868-B111-2761E88D7D46}" destId="{E8965566-BC06-49A8-B2D2-5319BC4A6E3B}" srcOrd="1" destOrd="0" presId="urn:microsoft.com/office/officeart/2005/8/layout/chart3"/>
    <dgm:cxn modelId="{23F1F41C-0A4C-4F27-B911-89A2A9CBBC4B}" type="presOf" srcId="{DBB391B3-449E-4174-B3D2-E2103341FCC6}" destId="{5B7FB9D7-BBFF-41A4-9A89-BC43D53E3590}" srcOrd="0" destOrd="0" presId="urn:microsoft.com/office/officeart/2005/8/layout/chart3"/>
    <dgm:cxn modelId="{E1254F20-B0A7-406C-9B3A-38196930C60B}" type="presOf" srcId="{DEDA63ED-ADEE-4815-B836-7E2AC0567C35}" destId="{DE2BFA71-4993-4CBF-A5BF-BA7C1A2B2315}" srcOrd="0" destOrd="0" presId="urn:microsoft.com/office/officeart/2005/8/layout/chart3"/>
    <dgm:cxn modelId="{E418E420-7D6B-4A04-97A5-BEFB654F249A}" srcId="{52E04CD3-ECF8-4F9F-B74B-4CCDAAA7968F}" destId="{A3C3F178-6212-4868-B111-2761E88D7D46}" srcOrd="0" destOrd="0" parTransId="{0762894F-D258-4B95-A177-DE74DCF57E18}" sibTransId="{F1CFBA51-A1E8-4BEE-BECC-A9F72CBD918B}"/>
    <dgm:cxn modelId="{207A6B35-EE3E-4A60-A3D1-C805498BF83C}" srcId="{52E04CD3-ECF8-4F9F-B74B-4CCDAAA7968F}" destId="{76B8EFF8-0574-4FD8-847B-52806845AAA4}" srcOrd="2" destOrd="0" parTransId="{F75CEAE9-368D-4A56-AA21-204A5655AC73}" sibTransId="{B859C559-6375-4E61-B7EF-A7351D4F2773}"/>
    <dgm:cxn modelId="{8647AF44-2F6A-418B-BF59-94488033F77B}" srcId="{52E04CD3-ECF8-4F9F-B74B-4CCDAAA7968F}" destId="{2C6EBD79-0EF4-439F-883B-E46C9370B204}" srcOrd="5" destOrd="0" parTransId="{F86C4C03-7F35-4CA5-A6DB-190053640427}" sibTransId="{62B3B93B-261A-4850-8EA3-269D786512F5}"/>
    <dgm:cxn modelId="{336D336A-E9AB-4821-B892-E24585124853}" type="presOf" srcId="{2C6EBD79-0EF4-439F-883B-E46C9370B204}" destId="{BC9D766E-18DF-4439-92AD-DE56CDBF3329}" srcOrd="0" destOrd="0" presId="urn:microsoft.com/office/officeart/2005/8/layout/chart3"/>
    <dgm:cxn modelId="{366DAB4D-0765-469B-BDA1-EBDDD2B6473A}" type="presOf" srcId="{A3C3F178-6212-4868-B111-2761E88D7D46}" destId="{49E55D25-2532-463A-B7E0-43EEAA60D186}" srcOrd="0" destOrd="0" presId="urn:microsoft.com/office/officeart/2005/8/layout/chart3"/>
    <dgm:cxn modelId="{E843927E-D130-46F0-B269-1EC85E662C35}" type="presOf" srcId="{2C6EBD79-0EF4-439F-883B-E46C9370B204}" destId="{8CA5AA04-4511-4EB2-9E54-E8D0DACD13BC}" srcOrd="1" destOrd="0" presId="urn:microsoft.com/office/officeart/2005/8/layout/chart3"/>
    <dgm:cxn modelId="{4DBC1F9E-6026-4451-ADF0-5E495E562A1F}" type="presOf" srcId="{76B8EFF8-0574-4FD8-847B-52806845AAA4}" destId="{FE0FA282-FFD8-4A68-8A6A-CAE2B7796E25}" srcOrd="1" destOrd="0" presId="urn:microsoft.com/office/officeart/2005/8/layout/chart3"/>
    <dgm:cxn modelId="{B99990B4-966E-430A-8B4C-4C2F64B33686}" type="presOf" srcId="{516D55C4-5D01-4768-AA14-2E647598E5CC}" destId="{51F7A5EA-9C66-4FD2-8C94-3C781BE77897}" srcOrd="0" destOrd="0" presId="urn:microsoft.com/office/officeart/2005/8/layout/chart3"/>
    <dgm:cxn modelId="{75E70DB7-E907-4ECD-B523-FBE359504A11}" type="presOf" srcId="{76B8EFF8-0574-4FD8-847B-52806845AAA4}" destId="{4E479108-95F2-4F4C-8A3B-8FA33DCF896D}" srcOrd="0" destOrd="0" presId="urn:microsoft.com/office/officeart/2005/8/layout/chart3"/>
    <dgm:cxn modelId="{CF6393B8-4C3D-4C4A-B50F-D063CD619A0F}" type="presOf" srcId="{516D55C4-5D01-4768-AA14-2E647598E5CC}" destId="{7A2F0BA8-98EA-43A8-986F-7FF50952C003}" srcOrd="1" destOrd="0" presId="urn:microsoft.com/office/officeart/2005/8/layout/chart3"/>
    <dgm:cxn modelId="{C716CABE-2F63-4064-A3DD-0C14DB3593F7}" srcId="{52E04CD3-ECF8-4F9F-B74B-4CCDAAA7968F}" destId="{516D55C4-5D01-4768-AA14-2E647598E5CC}" srcOrd="3" destOrd="0" parTransId="{4EC62071-B851-493A-AD8E-F18A76EBB25B}" sibTransId="{8A13B056-C972-4905-B88D-D1A089FCA437}"/>
    <dgm:cxn modelId="{8D5FD7BE-8E33-401D-8057-17C07991B18A}" type="presOf" srcId="{DEDA63ED-ADEE-4815-B836-7E2AC0567C35}" destId="{B79D5C08-4D7A-48BA-BE30-8F66B77DA84B}" srcOrd="1" destOrd="0" presId="urn:microsoft.com/office/officeart/2005/8/layout/chart3"/>
    <dgm:cxn modelId="{9E2B67D0-F006-4A82-81B7-844E72F439C2}" type="presOf" srcId="{DBB391B3-449E-4174-B3D2-E2103341FCC6}" destId="{43B88EED-EE24-455A-A9A0-AD9F877D1185}" srcOrd="1" destOrd="0" presId="urn:microsoft.com/office/officeart/2005/8/layout/chart3"/>
    <dgm:cxn modelId="{32B71445-87CF-4A60-8255-4CCA5E580EF2}" type="presParOf" srcId="{3F8E37A3-4A98-4A1C-A270-5E036BA9F5B3}" destId="{49E55D25-2532-463A-B7E0-43EEAA60D186}" srcOrd="0" destOrd="0" presId="urn:microsoft.com/office/officeart/2005/8/layout/chart3"/>
    <dgm:cxn modelId="{9EC96FDE-A67C-4D4E-81BF-4412FE443B7E}" type="presParOf" srcId="{3F8E37A3-4A98-4A1C-A270-5E036BA9F5B3}" destId="{E8965566-BC06-49A8-B2D2-5319BC4A6E3B}" srcOrd="1" destOrd="0" presId="urn:microsoft.com/office/officeart/2005/8/layout/chart3"/>
    <dgm:cxn modelId="{00DB052D-2AFA-46C3-9FD4-2B43E56DD99F}" type="presParOf" srcId="{3F8E37A3-4A98-4A1C-A270-5E036BA9F5B3}" destId="{5B7FB9D7-BBFF-41A4-9A89-BC43D53E3590}" srcOrd="2" destOrd="0" presId="urn:microsoft.com/office/officeart/2005/8/layout/chart3"/>
    <dgm:cxn modelId="{22CF65F3-5263-42FF-B367-23570DF8DF83}" type="presParOf" srcId="{3F8E37A3-4A98-4A1C-A270-5E036BA9F5B3}" destId="{43B88EED-EE24-455A-A9A0-AD9F877D1185}" srcOrd="3" destOrd="0" presId="urn:microsoft.com/office/officeart/2005/8/layout/chart3"/>
    <dgm:cxn modelId="{3EEF1EBE-07F8-425D-A16B-A795D23C1416}" type="presParOf" srcId="{3F8E37A3-4A98-4A1C-A270-5E036BA9F5B3}" destId="{4E479108-95F2-4F4C-8A3B-8FA33DCF896D}" srcOrd="4" destOrd="0" presId="urn:microsoft.com/office/officeart/2005/8/layout/chart3"/>
    <dgm:cxn modelId="{BAEDBA8B-A441-4AF3-8063-2873D0A8B5F8}" type="presParOf" srcId="{3F8E37A3-4A98-4A1C-A270-5E036BA9F5B3}" destId="{FE0FA282-FFD8-4A68-8A6A-CAE2B7796E25}" srcOrd="5" destOrd="0" presId="urn:microsoft.com/office/officeart/2005/8/layout/chart3"/>
    <dgm:cxn modelId="{656654DA-04B2-4D74-8801-8DD481FDE027}" type="presParOf" srcId="{3F8E37A3-4A98-4A1C-A270-5E036BA9F5B3}" destId="{51F7A5EA-9C66-4FD2-8C94-3C781BE77897}" srcOrd="6" destOrd="0" presId="urn:microsoft.com/office/officeart/2005/8/layout/chart3"/>
    <dgm:cxn modelId="{2781B07A-260E-4F34-BAF0-1E189FE06012}" type="presParOf" srcId="{3F8E37A3-4A98-4A1C-A270-5E036BA9F5B3}" destId="{7A2F0BA8-98EA-43A8-986F-7FF50952C003}" srcOrd="7" destOrd="0" presId="urn:microsoft.com/office/officeart/2005/8/layout/chart3"/>
    <dgm:cxn modelId="{7008C00C-931D-4FAF-AA35-A1FDC160152A}" type="presParOf" srcId="{3F8E37A3-4A98-4A1C-A270-5E036BA9F5B3}" destId="{DE2BFA71-4993-4CBF-A5BF-BA7C1A2B2315}" srcOrd="8" destOrd="0" presId="urn:microsoft.com/office/officeart/2005/8/layout/chart3"/>
    <dgm:cxn modelId="{828D7035-7F55-40FD-B4AE-D7DEE9FC8963}" type="presParOf" srcId="{3F8E37A3-4A98-4A1C-A270-5E036BA9F5B3}" destId="{B79D5C08-4D7A-48BA-BE30-8F66B77DA84B}" srcOrd="9" destOrd="0" presId="urn:microsoft.com/office/officeart/2005/8/layout/chart3"/>
    <dgm:cxn modelId="{28903411-C61E-4E56-B82D-C00D2413E9C3}" type="presParOf" srcId="{3F8E37A3-4A98-4A1C-A270-5E036BA9F5B3}" destId="{BC9D766E-18DF-4439-92AD-DE56CDBF3329}" srcOrd="10" destOrd="0" presId="urn:microsoft.com/office/officeart/2005/8/layout/chart3"/>
    <dgm:cxn modelId="{79BA76F4-FB38-4ACD-8E81-8A1159EFA6BA}" type="presParOf" srcId="{3F8E37A3-4A98-4A1C-A270-5E036BA9F5B3}" destId="{8CA5AA04-4511-4EB2-9E54-E8D0DACD13BC}" srcOrd="11" destOrd="0" presId="urn:microsoft.com/office/officeart/2005/8/layout/chart3"/>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E55D25-2532-463A-B7E0-43EEAA60D186}">
      <dsp:nvSpPr>
        <dsp:cNvPr id="0" name=""/>
        <dsp:cNvSpPr/>
      </dsp:nvSpPr>
      <dsp:spPr>
        <a:xfrm>
          <a:off x="1474705" y="287254"/>
          <a:ext cx="2363372" cy="2363372"/>
        </a:xfrm>
        <a:prstGeom prst="pie">
          <a:avLst>
            <a:gd name="adj1" fmla="val 16200000"/>
            <a:gd name="adj2" fmla="val 1980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dabasgāzes tirgus cena</a:t>
          </a:r>
        </a:p>
      </dsp:txBody>
      <dsp:txXfrm>
        <a:off x="2681713" y="540472"/>
        <a:ext cx="689317" cy="506437"/>
      </dsp:txXfrm>
    </dsp:sp>
    <dsp:sp modelId="{5B7FB9D7-BBFF-41A4-9A89-BC43D53E3590}">
      <dsp:nvSpPr>
        <dsp:cNvPr id="0" name=""/>
        <dsp:cNvSpPr/>
      </dsp:nvSpPr>
      <dsp:spPr>
        <a:xfrm>
          <a:off x="1473590" y="285996"/>
          <a:ext cx="2363372" cy="2363372"/>
        </a:xfrm>
        <a:prstGeom prst="pie">
          <a:avLst>
            <a:gd name="adj1" fmla="val 19800000"/>
            <a:gd name="adj2" fmla="val 1800000"/>
          </a:avLst>
        </a:prstGeom>
        <a:solidFill>
          <a:schemeClr val="accent5">
            <a:hueOff val="-1351709"/>
            <a:satOff val="-3484"/>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sadales sistēmas pakalpojums (tarifs)</a:t>
          </a:r>
        </a:p>
      </dsp:txBody>
      <dsp:txXfrm>
        <a:off x="3091375" y="1228531"/>
        <a:ext cx="714638" cy="478301"/>
      </dsp:txXfrm>
    </dsp:sp>
    <dsp:sp modelId="{4E479108-95F2-4F4C-8A3B-8FA33DCF896D}">
      <dsp:nvSpPr>
        <dsp:cNvPr id="0" name=""/>
        <dsp:cNvSpPr/>
      </dsp:nvSpPr>
      <dsp:spPr>
        <a:xfrm>
          <a:off x="1473590" y="285996"/>
          <a:ext cx="2363372" cy="2363372"/>
        </a:xfrm>
        <a:prstGeom prst="pie">
          <a:avLst>
            <a:gd name="adj1" fmla="val 1800000"/>
            <a:gd name="adj2" fmla="val 5400000"/>
          </a:avLst>
        </a:prstGeom>
        <a:solidFill>
          <a:schemeClr val="accent5">
            <a:hueOff val="-2703417"/>
            <a:satOff val="-6968"/>
            <a:lumOff val="-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pārvades sistēmas pakalpojums (tarifs)</a:t>
          </a:r>
        </a:p>
      </dsp:txBody>
      <dsp:txXfrm>
        <a:off x="2680598" y="1889713"/>
        <a:ext cx="689317" cy="506437"/>
      </dsp:txXfrm>
    </dsp:sp>
    <dsp:sp modelId="{51F7A5EA-9C66-4FD2-8C94-3C781BE77897}">
      <dsp:nvSpPr>
        <dsp:cNvPr id="0" name=""/>
        <dsp:cNvSpPr/>
      </dsp:nvSpPr>
      <dsp:spPr>
        <a:xfrm>
          <a:off x="1473590" y="285996"/>
          <a:ext cx="2363372" cy="2363372"/>
        </a:xfrm>
        <a:prstGeom prst="pie">
          <a:avLst>
            <a:gd name="adj1" fmla="val 5400000"/>
            <a:gd name="adj2" fmla="val 9000000"/>
          </a:avLst>
        </a:prstGeom>
        <a:solidFill>
          <a:schemeClr val="accent5">
            <a:hueOff val="-4055126"/>
            <a:satOff val="-10451"/>
            <a:lumOff val="-7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uzglabāša-nas sistēmas pakalpojums (tarifs)</a:t>
          </a:r>
        </a:p>
      </dsp:txBody>
      <dsp:txXfrm>
        <a:off x="1940637" y="1889713"/>
        <a:ext cx="689317" cy="506437"/>
      </dsp:txXfrm>
    </dsp:sp>
    <dsp:sp modelId="{DE2BFA71-4993-4CBF-A5BF-BA7C1A2B2315}">
      <dsp:nvSpPr>
        <dsp:cNvPr id="0" name=""/>
        <dsp:cNvSpPr/>
      </dsp:nvSpPr>
      <dsp:spPr>
        <a:xfrm>
          <a:off x="1473590" y="285996"/>
          <a:ext cx="2363372" cy="2363372"/>
        </a:xfrm>
        <a:prstGeom prst="pie">
          <a:avLst>
            <a:gd name="adj1" fmla="val 9000000"/>
            <a:gd name="adj2" fmla="val 12600000"/>
          </a:avLst>
        </a:prstGeom>
        <a:solidFill>
          <a:schemeClr val="accent5">
            <a:hueOff val="-5406834"/>
            <a:satOff val="-13935"/>
            <a:lumOff val="-9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PVN 21%</a:t>
          </a:r>
        </a:p>
      </dsp:txBody>
      <dsp:txXfrm>
        <a:off x="1510166" y="1228531"/>
        <a:ext cx="714638" cy="478301"/>
      </dsp:txXfrm>
    </dsp:sp>
    <dsp:sp modelId="{BC9D766E-18DF-4439-92AD-DE56CDBF3329}">
      <dsp:nvSpPr>
        <dsp:cNvPr id="0" name=""/>
        <dsp:cNvSpPr/>
      </dsp:nvSpPr>
      <dsp:spPr>
        <a:xfrm>
          <a:off x="1473590" y="285996"/>
          <a:ext cx="2363372" cy="2363372"/>
        </a:xfrm>
        <a:prstGeom prst="pie">
          <a:avLst>
            <a:gd name="adj1" fmla="val 12600000"/>
            <a:gd name="adj2" fmla="val 1620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lv-LV" sz="1000" kern="1200">
              <a:solidFill>
                <a:sysClr val="windowText" lastClr="000000"/>
              </a:solidFill>
            </a:rPr>
            <a:t>akcīzes nodoklis (diferencēta likme)</a:t>
          </a:r>
        </a:p>
      </dsp:txBody>
      <dsp:txXfrm>
        <a:off x="1940637" y="539214"/>
        <a:ext cx="689317" cy="506437"/>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C1B0A-3304-47D5-8FF6-0338EEA49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235316</Words>
  <Characters>134131</Characters>
  <Application>Microsoft Office Word</Application>
  <DocSecurity>0</DocSecurity>
  <Lines>1117</Lines>
  <Paragraphs>737</Paragraphs>
  <ScaleCrop>false</ScaleCrop>
  <HeadingPairs>
    <vt:vector size="2" baseType="variant">
      <vt:variant>
        <vt:lpstr>Title</vt:lpstr>
      </vt:variant>
      <vt:variant>
        <vt:i4>1</vt:i4>
      </vt:variant>
    </vt:vector>
  </HeadingPairs>
  <TitlesOfParts>
    <vt:vector size="1" baseType="lpstr">
      <vt:lpstr>Latvijas Nacionālais enerģētikas un klimata plāns 2021.-2030.gadam</vt:lpstr>
    </vt:vector>
  </TitlesOfParts>
  <Company/>
  <LinksUpToDate>false</LinksUpToDate>
  <CharactersWithSpaces>368710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Latvijas Nacionālais enerģētikas un klimata plāns 2021.-2030.gadam</dc:title>
  <dc:subject/>
  <dc:creator>Helēna Rimša</dc:creator>
  <cp:keywords/>
  <dc:description>Helena.Rimsa@em.gov.lv; 67013244</dc:description>
  <cp:lastModifiedBy>Jekaterina Borovika</cp:lastModifiedBy>
  <cp:revision>3</cp:revision>
  <cp:lastPrinted>2019-10-28T07:07:00Z</cp:lastPrinted>
  <dcterms:created xsi:type="dcterms:W3CDTF">2019-11-14T06:32:00Z</dcterms:created>
  <dcterms:modified xsi:type="dcterms:W3CDTF">2019-11-14T06:32:00Z</dcterms:modified>
</cp:coreProperties>
</file>