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1606A5CA" w14:textId="77777777" w:rsidTr="009A1554">
        <w:trPr>
          <w:trHeight w:val="345"/>
          <w:jc w:val="center"/>
        </w:trPr>
        <w:tc>
          <w:tcPr>
            <w:tcW w:w="12985" w:type="dxa"/>
            <w:tcBorders>
              <w:bottom w:val="single" w:sz="6" w:space="0" w:color="000000"/>
            </w:tcBorders>
          </w:tcPr>
          <w:p w14:paraId="3022D803"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43C5CAEC" w14:textId="77777777" w:rsidR="00B21B35" w:rsidRPr="0085135D" w:rsidRDefault="00581F4B" w:rsidP="0003729E">
            <w:pPr>
              <w:pStyle w:val="naisnod"/>
              <w:spacing w:before="0" w:after="0"/>
              <w:ind w:left="57" w:right="57"/>
            </w:pPr>
            <w:r w:rsidRPr="0085135D">
              <w:t>n</w:t>
            </w:r>
            <w:r w:rsidR="00B21B35" w:rsidRPr="0085135D">
              <w:t xml:space="preserve">oteikumu projekts </w:t>
            </w:r>
            <w:r w:rsidR="0003729E">
              <w:t xml:space="preserve">“Grozījumi Ministru kabineta </w:t>
            </w:r>
            <w:r w:rsidR="009D6BE1">
              <w:t xml:space="preserve">2014.gada 2.septembra </w:t>
            </w:r>
            <w:r w:rsidR="0003729E">
              <w:t>noteikumos Nr.529 “</w:t>
            </w:r>
            <w:r w:rsidR="00BF07A1" w:rsidRPr="0085135D">
              <w:t>Ēku būvnoteikumi</w:t>
            </w:r>
            <w:r w:rsidR="0003729E">
              <w:t>””</w:t>
            </w:r>
          </w:p>
        </w:tc>
      </w:tr>
    </w:tbl>
    <w:p w14:paraId="1812F8FF" w14:textId="27C1152B" w:rsidR="00B21B35" w:rsidRDefault="00B21B35" w:rsidP="00074DED">
      <w:pPr>
        <w:pStyle w:val="naisc"/>
        <w:spacing w:before="0" w:after="0"/>
        <w:ind w:left="57" w:right="57"/>
      </w:pPr>
      <w:r w:rsidRPr="0085135D">
        <w:t>(dokumenta veids un nosaukums)</w:t>
      </w:r>
    </w:p>
    <w:p w14:paraId="3555E5DF" w14:textId="77777777" w:rsidR="00D071A6" w:rsidRDefault="00D071A6" w:rsidP="00074DED">
      <w:pPr>
        <w:pStyle w:val="naisc"/>
        <w:spacing w:before="0" w:after="0"/>
        <w:ind w:left="57" w:right="57"/>
      </w:pPr>
    </w:p>
    <w:p w14:paraId="5907FDC7" w14:textId="77777777" w:rsidR="00D071A6" w:rsidRPr="000D1975" w:rsidRDefault="00D071A6" w:rsidP="00D071A6">
      <w:pPr>
        <w:pStyle w:val="naisf"/>
        <w:numPr>
          <w:ilvl w:val="0"/>
          <w:numId w:val="1"/>
        </w:numPr>
        <w:spacing w:before="60" w:after="60"/>
        <w:ind w:left="57" w:right="57" w:firstLine="0"/>
        <w:jc w:val="center"/>
        <w:rPr>
          <w:b/>
        </w:rPr>
      </w:pPr>
      <w:r w:rsidRPr="000D1975">
        <w:rPr>
          <w:b/>
        </w:rPr>
        <w:t>Jautājumi, par kuriem saskaņošanā vienošanās nav panākta</w:t>
      </w:r>
    </w:p>
    <w:tbl>
      <w:tblPr>
        <w:tblpPr w:leftFromText="180" w:rightFromText="180" w:vertAnchor="text" w:tblpX="-459"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853"/>
        <w:gridCol w:w="3402"/>
        <w:gridCol w:w="2436"/>
        <w:gridCol w:w="2100"/>
      </w:tblGrid>
      <w:tr w:rsidR="00D071A6" w:rsidRPr="0085135D" w14:paraId="141A1E69" w14:textId="77777777" w:rsidTr="00E078C0">
        <w:tc>
          <w:tcPr>
            <w:tcW w:w="675" w:type="dxa"/>
            <w:tcBorders>
              <w:top w:val="single" w:sz="6" w:space="0" w:color="000000"/>
              <w:left w:val="single" w:sz="6" w:space="0" w:color="000000"/>
              <w:bottom w:val="single" w:sz="6" w:space="0" w:color="000000"/>
              <w:right w:val="single" w:sz="6" w:space="0" w:color="000000"/>
            </w:tcBorders>
            <w:vAlign w:val="center"/>
          </w:tcPr>
          <w:p w14:paraId="229FA77E" w14:textId="77777777" w:rsidR="00D071A6" w:rsidRPr="00C6676A" w:rsidRDefault="00D071A6" w:rsidP="00E078C0">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61E94B56" w14:textId="77777777" w:rsidR="00D071A6" w:rsidRPr="00C6676A" w:rsidRDefault="00D071A6" w:rsidP="00E078C0">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853" w:type="dxa"/>
            <w:tcBorders>
              <w:top w:val="single" w:sz="6" w:space="0" w:color="000000"/>
              <w:left w:val="single" w:sz="6" w:space="0" w:color="000000"/>
              <w:bottom w:val="single" w:sz="6" w:space="0" w:color="000000"/>
              <w:right w:val="single" w:sz="6" w:space="0" w:color="000000"/>
            </w:tcBorders>
            <w:vAlign w:val="center"/>
          </w:tcPr>
          <w:p w14:paraId="4DFC15C8" w14:textId="77777777" w:rsidR="00D071A6" w:rsidRPr="00C6676A" w:rsidRDefault="00D071A6" w:rsidP="00E078C0">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5ADC76F1" w14:textId="77777777" w:rsidR="00D071A6" w:rsidRPr="00C6676A" w:rsidRDefault="00D071A6" w:rsidP="00E078C0">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56CBDADC" w14:textId="77777777" w:rsidR="00D071A6" w:rsidRPr="00C6676A" w:rsidRDefault="00D071A6" w:rsidP="00E078C0">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6598058F" w14:textId="77777777" w:rsidR="00D071A6" w:rsidRPr="00C6676A" w:rsidRDefault="00D071A6" w:rsidP="00E078C0">
            <w:pPr>
              <w:ind w:left="57" w:right="57"/>
              <w:contextualSpacing/>
              <w:jc w:val="center"/>
              <w:rPr>
                <w:sz w:val="22"/>
                <w:szCs w:val="22"/>
              </w:rPr>
            </w:pPr>
            <w:r w:rsidRPr="00C6676A">
              <w:rPr>
                <w:sz w:val="22"/>
                <w:szCs w:val="22"/>
              </w:rPr>
              <w:t>Projekta attiecīgā punkta (panta) galīgā redakcija</w:t>
            </w:r>
          </w:p>
        </w:tc>
      </w:tr>
      <w:tr w:rsidR="00D071A6" w:rsidRPr="0085135D" w14:paraId="26DF0924" w14:textId="77777777" w:rsidTr="00E078C0">
        <w:tc>
          <w:tcPr>
            <w:tcW w:w="675" w:type="dxa"/>
            <w:tcBorders>
              <w:top w:val="single" w:sz="6" w:space="0" w:color="000000"/>
              <w:left w:val="single" w:sz="6" w:space="0" w:color="000000"/>
              <w:bottom w:val="single" w:sz="6" w:space="0" w:color="000000"/>
              <w:right w:val="single" w:sz="6" w:space="0" w:color="000000"/>
            </w:tcBorders>
          </w:tcPr>
          <w:p w14:paraId="490D655B" w14:textId="77777777" w:rsidR="00D071A6" w:rsidRPr="0085135D" w:rsidRDefault="00D071A6" w:rsidP="00E078C0">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21F62B47" w14:textId="77777777" w:rsidR="00D071A6" w:rsidRPr="0085135D" w:rsidRDefault="00D071A6" w:rsidP="00E078C0">
            <w:pPr>
              <w:pStyle w:val="naisc"/>
              <w:spacing w:before="0" w:after="0"/>
              <w:ind w:left="57" w:right="57"/>
              <w:contextualSpacing/>
            </w:pPr>
            <w:r w:rsidRPr="0085135D">
              <w:t>2</w:t>
            </w:r>
          </w:p>
        </w:tc>
        <w:tc>
          <w:tcPr>
            <w:tcW w:w="3853" w:type="dxa"/>
            <w:tcBorders>
              <w:top w:val="single" w:sz="6" w:space="0" w:color="000000"/>
              <w:left w:val="single" w:sz="6" w:space="0" w:color="000000"/>
              <w:bottom w:val="single" w:sz="6" w:space="0" w:color="000000"/>
              <w:right w:val="single" w:sz="6" w:space="0" w:color="000000"/>
            </w:tcBorders>
          </w:tcPr>
          <w:p w14:paraId="7BE706C0" w14:textId="77777777" w:rsidR="00D071A6" w:rsidRPr="0085135D" w:rsidRDefault="00D071A6" w:rsidP="00E078C0">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68FAEA49" w14:textId="77777777" w:rsidR="00D071A6" w:rsidRPr="0085135D" w:rsidRDefault="00D071A6" w:rsidP="00E078C0">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7CFADA24" w14:textId="77777777" w:rsidR="00D071A6" w:rsidRPr="0085135D" w:rsidRDefault="00D071A6" w:rsidP="00E078C0">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3E8F9F4C" w14:textId="77777777" w:rsidR="00D071A6" w:rsidRPr="0085135D" w:rsidRDefault="00D071A6" w:rsidP="00E078C0">
            <w:pPr>
              <w:pStyle w:val="naisc"/>
              <w:spacing w:before="0" w:after="0"/>
              <w:ind w:left="57" w:right="57"/>
              <w:contextualSpacing/>
            </w:pPr>
            <w:r w:rsidRPr="0085135D">
              <w:t>6</w:t>
            </w:r>
          </w:p>
        </w:tc>
      </w:tr>
      <w:tr w:rsidR="002E36BE" w:rsidRPr="003D3BC6" w14:paraId="02F90F00" w14:textId="77777777" w:rsidTr="00E078C0">
        <w:tc>
          <w:tcPr>
            <w:tcW w:w="675" w:type="dxa"/>
            <w:tcBorders>
              <w:top w:val="single" w:sz="6" w:space="0" w:color="000000"/>
              <w:left w:val="single" w:sz="6" w:space="0" w:color="000000"/>
              <w:bottom w:val="single" w:sz="6" w:space="0" w:color="000000"/>
              <w:right w:val="single" w:sz="6" w:space="0" w:color="000000"/>
            </w:tcBorders>
          </w:tcPr>
          <w:p w14:paraId="556E7E72" w14:textId="736783B6" w:rsidR="002E36BE" w:rsidRPr="003D3BC6" w:rsidRDefault="002E36BE" w:rsidP="002E36BE">
            <w:pPr>
              <w:pStyle w:val="naisc"/>
              <w:spacing w:before="0" w:after="0"/>
              <w:ind w:left="57" w:right="57"/>
              <w:contextualSpacing/>
              <w:jc w:val="both"/>
            </w:pPr>
          </w:p>
        </w:tc>
        <w:tc>
          <w:tcPr>
            <w:tcW w:w="2835" w:type="dxa"/>
            <w:tcBorders>
              <w:top w:val="single" w:sz="6" w:space="0" w:color="000000"/>
              <w:left w:val="single" w:sz="6" w:space="0" w:color="000000"/>
              <w:bottom w:val="single" w:sz="6" w:space="0" w:color="000000"/>
              <w:right w:val="single" w:sz="6" w:space="0" w:color="000000"/>
            </w:tcBorders>
          </w:tcPr>
          <w:p w14:paraId="0AF5C97D" w14:textId="05054394" w:rsidR="002E36BE" w:rsidRPr="003D3BC6" w:rsidRDefault="002E36BE" w:rsidP="002E36BE">
            <w:pPr>
              <w:pStyle w:val="naisc"/>
              <w:spacing w:before="0" w:after="0"/>
              <w:ind w:left="57" w:right="57"/>
              <w:contextualSpacing/>
              <w:jc w:val="both"/>
            </w:pPr>
          </w:p>
        </w:tc>
        <w:tc>
          <w:tcPr>
            <w:tcW w:w="3853" w:type="dxa"/>
            <w:tcBorders>
              <w:top w:val="single" w:sz="6" w:space="0" w:color="000000"/>
              <w:left w:val="single" w:sz="6" w:space="0" w:color="000000"/>
              <w:bottom w:val="single" w:sz="6" w:space="0" w:color="000000"/>
              <w:right w:val="single" w:sz="6" w:space="0" w:color="000000"/>
            </w:tcBorders>
          </w:tcPr>
          <w:p w14:paraId="123F6D5F" w14:textId="6C355711" w:rsidR="002E36BE" w:rsidRPr="003D3BC6" w:rsidRDefault="002E36BE" w:rsidP="002E36BE">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26538864" w14:textId="3C8F9AE0" w:rsidR="002E36BE" w:rsidRPr="003D3BC6" w:rsidRDefault="002E36BE" w:rsidP="002E36BE">
            <w:pPr>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6DA4249D" w14:textId="77777777" w:rsidR="002E36BE" w:rsidRPr="003D3BC6" w:rsidRDefault="002E36BE" w:rsidP="002E36BE">
            <w:pPr>
              <w:ind w:left="57" w:right="57"/>
              <w:contextualSpacing/>
              <w:jc w:val="both"/>
            </w:pPr>
          </w:p>
        </w:tc>
        <w:tc>
          <w:tcPr>
            <w:tcW w:w="2100" w:type="dxa"/>
            <w:tcBorders>
              <w:top w:val="single" w:sz="4" w:space="0" w:color="auto"/>
              <w:left w:val="single" w:sz="4" w:space="0" w:color="auto"/>
              <w:bottom w:val="single" w:sz="4" w:space="0" w:color="auto"/>
            </w:tcBorders>
          </w:tcPr>
          <w:p w14:paraId="4D1D9565" w14:textId="3D7322A7" w:rsidR="002E36BE" w:rsidRPr="003D3BC6" w:rsidRDefault="002E36BE" w:rsidP="002E36BE">
            <w:pPr>
              <w:pStyle w:val="naisc"/>
              <w:spacing w:before="0" w:after="0"/>
              <w:ind w:left="57" w:right="57"/>
              <w:contextualSpacing/>
              <w:jc w:val="both"/>
            </w:pPr>
          </w:p>
        </w:tc>
      </w:tr>
    </w:tbl>
    <w:p w14:paraId="63BC2DC6" w14:textId="4534FE17" w:rsidR="003D3BC6" w:rsidRDefault="003D3BC6" w:rsidP="00074DED">
      <w:pPr>
        <w:pStyle w:val="naisc"/>
        <w:spacing w:before="0" w:after="0"/>
        <w:ind w:left="57" w:right="57"/>
      </w:pPr>
    </w:p>
    <w:p w14:paraId="0E59D840" w14:textId="77777777" w:rsidR="003D3BC6" w:rsidRPr="003D3BC6" w:rsidRDefault="003D3BC6" w:rsidP="003D3BC6">
      <w:pPr>
        <w:jc w:val="both"/>
        <w:outlineLvl w:val="0"/>
      </w:pPr>
      <w:r w:rsidRPr="003D3BC6">
        <w:t xml:space="preserve">Informācija par  </w:t>
      </w:r>
      <w:proofErr w:type="spellStart"/>
      <w:r w:rsidRPr="003D3BC6">
        <w:t>starpministriju</w:t>
      </w:r>
      <w:proofErr w:type="spellEnd"/>
      <w:r w:rsidRPr="003D3BC6">
        <w:t xml:space="preserve"> (starpinstitūciju) sanāksmi:</w:t>
      </w:r>
    </w:p>
    <w:tbl>
      <w:tblPr>
        <w:tblW w:w="14459" w:type="dxa"/>
        <w:tblLook w:val="00A0" w:firstRow="1" w:lastRow="0" w:firstColumn="1" w:lastColumn="0" w:noHBand="0" w:noVBand="0"/>
      </w:tblPr>
      <w:tblGrid>
        <w:gridCol w:w="3936"/>
        <w:gridCol w:w="2772"/>
        <w:gridCol w:w="7751"/>
      </w:tblGrid>
      <w:tr w:rsidR="003D3BC6" w:rsidRPr="003D3BC6" w14:paraId="25EE8412" w14:textId="77777777" w:rsidTr="00330C93">
        <w:tc>
          <w:tcPr>
            <w:tcW w:w="3936" w:type="dxa"/>
          </w:tcPr>
          <w:p w14:paraId="27C9C4AD" w14:textId="77777777" w:rsidR="003D3BC6" w:rsidRPr="003D3BC6" w:rsidRDefault="003D3BC6" w:rsidP="00330C93">
            <w:pPr>
              <w:pStyle w:val="naisf"/>
              <w:spacing w:before="0" w:after="0"/>
              <w:ind w:firstLine="0"/>
            </w:pPr>
            <w:r w:rsidRPr="003D3BC6">
              <w:t xml:space="preserve">Datums  </w:t>
            </w:r>
          </w:p>
        </w:tc>
        <w:tc>
          <w:tcPr>
            <w:tcW w:w="10523" w:type="dxa"/>
            <w:gridSpan w:val="2"/>
          </w:tcPr>
          <w:p w14:paraId="028AE7E2" w14:textId="07714AF3" w:rsidR="003D3BC6" w:rsidRPr="003D3BC6" w:rsidRDefault="00183D2F" w:rsidP="00330C93">
            <w:pPr>
              <w:pStyle w:val="NormalWeb"/>
              <w:spacing w:before="0" w:beforeAutospacing="0" w:after="0" w:afterAutospacing="0"/>
              <w:ind w:left="33"/>
              <w:jc w:val="both"/>
            </w:pPr>
            <w:r>
              <w:t>21.</w:t>
            </w:r>
            <w:r w:rsidR="006B0290">
              <w:t>08.</w:t>
            </w:r>
            <w:r w:rsidR="003D3BC6" w:rsidRPr="003D3BC6">
              <w:t>2019.</w:t>
            </w:r>
          </w:p>
        </w:tc>
      </w:tr>
      <w:tr w:rsidR="003D3BC6" w:rsidRPr="003D3BC6" w14:paraId="50671710" w14:textId="77777777" w:rsidTr="00330C93">
        <w:trPr>
          <w:trHeight w:val="135"/>
        </w:trPr>
        <w:tc>
          <w:tcPr>
            <w:tcW w:w="3936" w:type="dxa"/>
          </w:tcPr>
          <w:p w14:paraId="4A4D7E82" w14:textId="77777777" w:rsidR="003D3BC6" w:rsidRPr="003D3BC6" w:rsidRDefault="003D3BC6" w:rsidP="00330C93">
            <w:pPr>
              <w:pStyle w:val="naisf"/>
              <w:spacing w:before="0" w:after="0"/>
              <w:ind w:firstLine="0"/>
            </w:pPr>
          </w:p>
        </w:tc>
        <w:tc>
          <w:tcPr>
            <w:tcW w:w="10523" w:type="dxa"/>
            <w:gridSpan w:val="2"/>
          </w:tcPr>
          <w:p w14:paraId="19FB1526" w14:textId="77777777" w:rsidR="003D3BC6" w:rsidRPr="003D3BC6" w:rsidRDefault="003D3BC6" w:rsidP="00330C93">
            <w:pPr>
              <w:pStyle w:val="NormalWeb"/>
              <w:spacing w:before="0" w:beforeAutospacing="0" w:after="0" w:afterAutospacing="0"/>
              <w:jc w:val="both"/>
            </w:pPr>
          </w:p>
        </w:tc>
      </w:tr>
      <w:tr w:rsidR="003D3BC6" w:rsidRPr="003D3BC6" w14:paraId="5536C86D" w14:textId="77777777" w:rsidTr="00330C93">
        <w:tc>
          <w:tcPr>
            <w:tcW w:w="3936" w:type="dxa"/>
          </w:tcPr>
          <w:p w14:paraId="1DECACDD" w14:textId="77777777" w:rsidR="003D3BC6" w:rsidRPr="003D3BC6" w:rsidRDefault="003D3BC6" w:rsidP="00330C93">
            <w:pPr>
              <w:pStyle w:val="naiskr"/>
              <w:spacing w:before="0" w:after="0"/>
              <w:ind w:right="-108"/>
              <w:jc w:val="both"/>
            </w:pPr>
            <w:r w:rsidRPr="003D3BC6">
              <w:t xml:space="preserve">Saskaņošanas dalībnieki   </w:t>
            </w:r>
          </w:p>
        </w:tc>
        <w:tc>
          <w:tcPr>
            <w:tcW w:w="10523" w:type="dxa"/>
            <w:gridSpan w:val="2"/>
          </w:tcPr>
          <w:p w14:paraId="1BB04AEB" w14:textId="3288DD01" w:rsidR="003D3BC6" w:rsidRPr="003D3BC6" w:rsidRDefault="003D3BC6" w:rsidP="00330C93">
            <w:pPr>
              <w:pStyle w:val="naiskr"/>
              <w:spacing w:before="0" w:after="0"/>
              <w:jc w:val="both"/>
              <w:rPr>
                <w:b/>
              </w:rPr>
            </w:pPr>
            <w:r w:rsidRPr="003D3BC6">
              <w:t xml:space="preserve">Tieslietu ministrija, Finanšu ministrija, Aizsardzības ministrija, </w:t>
            </w:r>
            <w:proofErr w:type="spellStart"/>
            <w:r w:rsidRPr="003D3BC6">
              <w:t>Iekšlietu</w:t>
            </w:r>
            <w:proofErr w:type="spellEnd"/>
            <w:r w:rsidRPr="003D3BC6">
              <w:t xml:space="preserve"> ministrija, Satiksmes ministrija, Vides aizsardzības un reģionālās attīstības ministrija, Latvijas Brīvo arodbiedrību savienība, Latvijas Pašvaldību savienība, Latvijas Tirdzniecības un rūpniecības kamera</w:t>
            </w:r>
            <w:r w:rsidR="006B0290">
              <w:t>, Latvijas Lielo pilsētu asociācija</w:t>
            </w:r>
          </w:p>
        </w:tc>
      </w:tr>
      <w:tr w:rsidR="003D3BC6" w:rsidRPr="003D3BC6" w14:paraId="108D47E1" w14:textId="77777777" w:rsidTr="00330C93">
        <w:trPr>
          <w:trHeight w:val="285"/>
        </w:trPr>
        <w:tc>
          <w:tcPr>
            <w:tcW w:w="3936" w:type="dxa"/>
          </w:tcPr>
          <w:p w14:paraId="31B3DA23" w14:textId="77777777" w:rsidR="003D3BC6" w:rsidRPr="003D3BC6" w:rsidRDefault="003D3BC6" w:rsidP="00330C93">
            <w:pPr>
              <w:pStyle w:val="naiskr"/>
              <w:spacing w:before="0" w:after="0"/>
              <w:ind w:right="-108"/>
              <w:jc w:val="both"/>
            </w:pPr>
          </w:p>
        </w:tc>
        <w:tc>
          <w:tcPr>
            <w:tcW w:w="10523" w:type="dxa"/>
            <w:gridSpan w:val="2"/>
          </w:tcPr>
          <w:p w14:paraId="5BC430B4" w14:textId="77777777" w:rsidR="003D3BC6" w:rsidRPr="003D3BC6" w:rsidRDefault="003D3BC6" w:rsidP="00330C93">
            <w:pPr>
              <w:pStyle w:val="naiskr"/>
              <w:spacing w:before="0" w:after="0"/>
              <w:ind w:left="33" w:right="-108"/>
              <w:jc w:val="both"/>
            </w:pPr>
          </w:p>
        </w:tc>
      </w:tr>
      <w:tr w:rsidR="003D3BC6" w:rsidRPr="003D3BC6" w14:paraId="7F921052" w14:textId="77777777" w:rsidTr="00330C93">
        <w:trPr>
          <w:trHeight w:val="285"/>
        </w:trPr>
        <w:tc>
          <w:tcPr>
            <w:tcW w:w="6708" w:type="dxa"/>
            <w:gridSpan w:val="2"/>
          </w:tcPr>
          <w:p w14:paraId="170B3817" w14:textId="77777777" w:rsidR="003D3BC6" w:rsidRPr="003D3BC6" w:rsidRDefault="003D3BC6" w:rsidP="00330C93">
            <w:pPr>
              <w:pStyle w:val="naiskr"/>
              <w:spacing w:before="0" w:after="0"/>
              <w:jc w:val="both"/>
            </w:pPr>
            <w:r w:rsidRPr="003D3BC6">
              <w:t>Saskaņošanas dalībnieki izskatīja šādu ministriju (citu institūciju) iebildumus</w:t>
            </w:r>
          </w:p>
        </w:tc>
        <w:tc>
          <w:tcPr>
            <w:tcW w:w="7751" w:type="dxa"/>
          </w:tcPr>
          <w:p w14:paraId="24738A6C" w14:textId="1C572DE6" w:rsidR="003D3BC6" w:rsidRPr="003D3BC6" w:rsidRDefault="003D3BC6" w:rsidP="00330C93">
            <w:pPr>
              <w:pStyle w:val="naiskr"/>
              <w:spacing w:before="0" w:after="0"/>
              <w:jc w:val="both"/>
              <w:rPr>
                <w:b/>
              </w:rPr>
            </w:pPr>
            <w:r w:rsidRPr="003D3BC6">
              <w:t>Tieslietu ministrijas</w:t>
            </w:r>
            <w:r w:rsidR="006B0290">
              <w:t xml:space="preserve">, </w:t>
            </w:r>
            <w:r w:rsidR="006B0290" w:rsidRPr="006B0290">
              <w:t>Finanšu ministrija</w:t>
            </w:r>
            <w:r w:rsidR="006B0290">
              <w:t xml:space="preserve">s, </w:t>
            </w:r>
            <w:r w:rsidR="006B0290" w:rsidRPr="006B0290">
              <w:t>Latvijas Pašvaldību savienība</w:t>
            </w:r>
            <w:r w:rsidR="006B0290">
              <w:t>s,</w:t>
            </w:r>
            <w:r w:rsidR="006B0290" w:rsidRPr="006B0290">
              <w:t xml:space="preserve"> </w:t>
            </w:r>
            <w:r w:rsidR="006B0290">
              <w:t>Latvijas Lielo pilsētu asociācijas</w:t>
            </w:r>
            <w:r w:rsidR="00A33698">
              <w:t xml:space="preserve"> (Rīgas pilsētas b</w:t>
            </w:r>
            <w:r w:rsidR="006B657C">
              <w:t>ū</w:t>
            </w:r>
            <w:r w:rsidR="00A33698">
              <w:t>vvalde)</w:t>
            </w:r>
          </w:p>
        </w:tc>
      </w:tr>
      <w:tr w:rsidR="003D3BC6" w:rsidRPr="003D3BC6" w14:paraId="79D8315E" w14:textId="77777777" w:rsidTr="00330C93">
        <w:trPr>
          <w:trHeight w:val="95"/>
        </w:trPr>
        <w:tc>
          <w:tcPr>
            <w:tcW w:w="6708" w:type="dxa"/>
            <w:gridSpan w:val="2"/>
          </w:tcPr>
          <w:p w14:paraId="7EB5CD20" w14:textId="77777777" w:rsidR="007D5441" w:rsidRDefault="007D5441" w:rsidP="00330C93">
            <w:pPr>
              <w:pStyle w:val="naiskr"/>
              <w:spacing w:before="0" w:after="0"/>
              <w:jc w:val="both"/>
            </w:pPr>
          </w:p>
          <w:p w14:paraId="218917BF" w14:textId="53444FCA" w:rsidR="003D3BC6" w:rsidRPr="003D3BC6" w:rsidRDefault="003D3BC6" w:rsidP="00330C93">
            <w:pPr>
              <w:pStyle w:val="naiskr"/>
              <w:spacing w:before="0" w:after="0"/>
              <w:jc w:val="both"/>
            </w:pPr>
            <w:r w:rsidRPr="003D3BC6">
              <w:t>Ministrijas (citas institūcijas), kuras nav ieradušās uz sanāksmi vai kuras nav atbildējušas uz uzaicinājumu piedalīties elektroniskajā saskaņošanā</w:t>
            </w:r>
          </w:p>
        </w:tc>
        <w:tc>
          <w:tcPr>
            <w:tcW w:w="7751" w:type="dxa"/>
          </w:tcPr>
          <w:p w14:paraId="2360BAE7" w14:textId="77777777" w:rsidR="003D3BC6" w:rsidRPr="003D3BC6" w:rsidRDefault="003D3BC6" w:rsidP="00330C93">
            <w:pPr>
              <w:ind w:right="-108"/>
              <w:jc w:val="both"/>
            </w:pPr>
          </w:p>
          <w:p w14:paraId="50EEF274" w14:textId="6A2C1611" w:rsidR="003D3BC6" w:rsidRPr="003D3BC6" w:rsidRDefault="007D5441" w:rsidP="00330C93">
            <w:pPr>
              <w:ind w:right="-108"/>
              <w:jc w:val="both"/>
            </w:pPr>
            <w:r w:rsidRPr="007D5441">
              <w:t>Aizsardzības ministrija</w:t>
            </w:r>
            <w:r>
              <w:t xml:space="preserve">, </w:t>
            </w:r>
            <w:r w:rsidRPr="007D5441">
              <w:t>Vides aizsardzības un reģionālās attīstības ministrija, Latvijas Brīvo arodbiedrību savienība,</w:t>
            </w:r>
            <w:r>
              <w:t xml:space="preserve"> </w:t>
            </w:r>
            <w:r w:rsidRPr="007D5441">
              <w:t>Latvijas Tirdzniecības un rūpniecības kamera</w:t>
            </w:r>
          </w:p>
        </w:tc>
      </w:tr>
    </w:tbl>
    <w:p w14:paraId="2AE71479" w14:textId="77777777" w:rsidR="00847932" w:rsidRPr="0085135D" w:rsidRDefault="00847932" w:rsidP="00074DED">
      <w:pPr>
        <w:pStyle w:val="naisc"/>
        <w:spacing w:before="0" w:after="0"/>
        <w:ind w:left="57" w:right="57"/>
      </w:pPr>
    </w:p>
    <w:p w14:paraId="59930329" w14:textId="0CF8386C" w:rsidR="00847932" w:rsidRPr="003D3BC6" w:rsidRDefault="00847932" w:rsidP="003D3BC6">
      <w:pPr>
        <w:jc w:val="both"/>
        <w:outlineLvl w:val="0"/>
      </w:pPr>
    </w:p>
    <w:p w14:paraId="7A8C53F1" w14:textId="77777777" w:rsidR="00B21B35" w:rsidRPr="003D3BC6" w:rsidRDefault="00B21B35" w:rsidP="00D071A6">
      <w:pPr>
        <w:pStyle w:val="naisf"/>
        <w:numPr>
          <w:ilvl w:val="0"/>
          <w:numId w:val="1"/>
        </w:numPr>
        <w:spacing w:before="60" w:after="60"/>
        <w:ind w:right="57" w:firstLine="0"/>
        <w:jc w:val="center"/>
        <w:rPr>
          <w:b/>
        </w:rPr>
      </w:pPr>
      <w:r w:rsidRPr="003D3BC6">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3D3BC6" w14:paraId="27EC7530"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747D31B8" w14:textId="77777777" w:rsidR="00B21B35" w:rsidRPr="003D3BC6" w:rsidRDefault="00B21B35" w:rsidP="003D3BC6">
            <w:pPr>
              <w:pStyle w:val="naisc"/>
              <w:spacing w:before="0" w:after="0"/>
              <w:ind w:left="57" w:right="57"/>
              <w:contextualSpacing/>
              <w:jc w:val="both"/>
            </w:pPr>
            <w:proofErr w:type="spellStart"/>
            <w:r w:rsidRPr="003D3BC6">
              <w:t>Nrp.k</w:t>
            </w:r>
            <w:proofErr w:type="spellEnd"/>
            <w:r w:rsidRPr="003D3BC6">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7FA68954" w14:textId="0AB59E0B" w:rsidR="00E93646" w:rsidRPr="00E93646" w:rsidRDefault="00B21B35" w:rsidP="00E93646">
            <w:pPr>
              <w:pStyle w:val="naisc"/>
              <w:spacing w:before="0" w:after="0"/>
              <w:ind w:left="57" w:right="57"/>
              <w:contextualSpacing/>
              <w:jc w:val="both"/>
            </w:pPr>
            <w:r w:rsidRPr="003D3BC6">
              <w:t>Saskaņošanai nosūtītā projekta redakcija (konkrēta punkta (panta) redakcija)</w:t>
            </w:r>
          </w:p>
          <w:p w14:paraId="01E952B7" w14:textId="186E399F" w:rsidR="00E93646" w:rsidRPr="00E93646" w:rsidRDefault="00E93646" w:rsidP="00E93646"/>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6F16D520" w14:textId="77777777" w:rsidR="00B21B35" w:rsidRPr="003D3BC6" w:rsidRDefault="00B21B35" w:rsidP="003D3BC6">
            <w:pPr>
              <w:pStyle w:val="naisc"/>
              <w:spacing w:before="0" w:after="0"/>
              <w:ind w:left="57" w:right="57"/>
              <w:contextualSpacing/>
              <w:jc w:val="both"/>
            </w:pPr>
            <w:r w:rsidRPr="003D3BC6">
              <w:lastRenderedPageBreak/>
              <w:t xml:space="preserve">Atzinumā norādītais ministrijas (citas institūcijas) iebildums, kā arī saskaņošanā </w:t>
            </w:r>
            <w:r w:rsidRPr="003D3BC6">
              <w:lastRenderedPageBreak/>
              <w:t>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59FB11A1" w14:textId="77777777" w:rsidR="00B21B35" w:rsidRPr="003D3BC6" w:rsidRDefault="00B21B35" w:rsidP="003D3BC6">
            <w:pPr>
              <w:pStyle w:val="naisc"/>
              <w:spacing w:before="0" w:after="0"/>
              <w:ind w:left="57" w:right="57"/>
              <w:contextualSpacing/>
              <w:jc w:val="both"/>
            </w:pPr>
            <w:r w:rsidRPr="003D3BC6">
              <w:lastRenderedPageBreak/>
              <w:t xml:space="preserve">Atbildīgās ministrijas norāde par to, ka iebildums ir ņemts vērā, vai informācija par </w:t>
            </w:r>
            <w:r w:rsidRPr="003D3BC6">
              <w:lastRenderedPageBreak/>
              <w:t>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0FE038B7" w14:textId="77777777" w:rsidR="00B21B35" w:rsidRPr="003D3BC6" w:rsidRDefault="00B21B35" w:rsidP="003D3BC6">
            <w:pPr>
              <w:ind w:left="57" w:right="57"/>
              <w:contextualSpacing/>
              <w:jc w:val="both"/>
            </w:pPr>
            <w:r w:rsidRPr="003D3BC6">
              <w:lastRenderedPageBreak/>
              <w:t>Projekta attiecīgā punkta (panta) galīgā redakcija</w:t>
            </w:r>
          </w:p>
        </w:tc>
      </w:tr>
      <w:tr w:rsidR="00B21B35" w:rsidRPr="003D3BC6" w14:paraId="77AB0974"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5586876" w14:textId="77777777" w:rsidR="00B21B35" w:rsidRPr="003D3BC6" w:rsidRDefault="00B21B35" w:rsidP="003D3BC6">
            <w:pPr>
              <w:pStyle w:val="naisc"/>
              <w:spacing w:before="0" w:after="0"/>
              <w:ind w:left="57" w:right="57"/>
              <w:contextualSpacing/>
              <w:jc w:val="both"/>
            </w:pPr>
            <w:r w:rsidRPr="003D3BC6">
              <w:t>1</w:t>
            </w:r>
          </w:p>
        </w:tc>
        <w:tc>
          <w:tcPr>
            <w:tcW w:w="3680" w:type="dxa"/>
            <w:gridSpan w:val="2"/>
            <w:tcBorders>
              <w:top w:val="single" w:sz="6" w:space="0" w:color="000000"/>
              <w:left w:val="single" w:sz="6" w:space="0" w:color="000000"/>
              <w:bottom w:val="single" w:sz="4" w:space="0" w:color="auto"/>
              <w:right w:val="single" w:sz="6" w:space="0" w:color="000000"/>
            </w:tcBorders>
          </w:tcPr>
          <w:p w14:paraId="1BAC4F49" w14:textId="77777777" w:rsidR="00B21B35" w:rsidRPr="003D3BC6" w:rsidRDefault="00B21B35" w:rsidP="003D3BC6">
            <w:pPr>
              <w:pStyle w:val="naisc"/>
              <w:spacing w:before="0" w:after="0"/>
              <w:ind w:left="57" w:right="57"/>
              <w:contextualSpacing/>
              <w:jc w:val="both"/>
            </w:pPr>
            <w:r w:rsidRPr="003D3BC6">
              <w:t>2</w:t>
            </w:r>
          </w:p>
        </w:tc>
        <w:tc>
          <w:tcPr>
            <w:tcW w:w="4386" w:type="dxa"/>
            <w:gridSpan w:val="2"/>
            <w:tcBorders>
              <w:top w:val="single" w:sz="6" w:space="0" w:color="000000"/>
              <w:left w:val="single" w:sz="6" w:space="0" w:color="000000"/>
              <w:bottom w:val="single" w:sz="4" w:space="0" w:color="auto"/>
              <w:right w:val="single" w:sz="6" w:space="0" w:color="000000"/>
            </w:tcBorders>
          </w:tcPr>
          <w:p w14:paraId="3C6A63E2" w14:textId="77777777" w:rsidR="00B21B35" w:rsidRPr="003D3BC6" w:rsidRDefault="00B21B35" w:rsidP="003D3BC6">
            <w:pPr>
              <w:pStyle w:val="naisc"/>
              <w:spacing w:before="0" w:after="0"/>
              <w:ind w:left="57" w:right="57"/>
              <w:contextualSpacing/>
              <w:jc w:val="both"/>
            </w:pPr>
            <w:r w:rsidRPr="003D3BC6">
              <w:t>3</w:t>
            </w:r>
          </w:p>
        </w:tc>
        <w:tc>
          <w:tcPr>
            <w:tcW w:w="3275" w:type="dxa"/>
            <w:gridSpan w:val="2"/>
            <w:tcBorders>
              <w:top w:val="single" w:sz="6" w:space="0" w:color="000000"/>
              <w:left w:val="single" w:sz="6" w:space="0" w:color="000000"/>
              <w:bottom w:val="single" w:sz="4" w:space="0" w:color="auto"/>
              <w:right w:val="single" w:sz="6" w:space="0" w:color="000000"/>
            </w:tcBorders>
          </w:tcPr>
          <w:p w14:paraId="5886B010" w14:textId="77777777" w:rsidR="00B21B35" w:rsidRPr="003D3BC6" w:rsidRDefault="00B21B35" w:rsidP="003D3BC6">
            <w:pPr>
              <w:pStyle w:val="naisc"/>
              <w:spacing w:before="0" w:after="0"/>
              <w:ind w:left="57" w:right="57"/>
              <w:contextualSpacing/>
              <w:jc w:val="both"/>
            </w:pPr>
            <w:r w:rsidRPr="003D3BC6">
              <w:t>4</w:t>
            </w:r>
          </w:p>
        </w:tc>
        <w:tc>
          <w:tcPr>
            <w:tcW w:w="3638" w:type="dxa"/>
            <w:gridSpan w:val="2"/>
            <w:tcBorders>
              <w:top w:val="single" w:sz="4" w:space="0" w:color="auto"/>
              <w:left w:val="single" w:sz="4" w:space="0" w:color="auto"/>
              <w:bottom w:val="single" w:sz="4" w:space="0" w:color="auto"/>
            </w:tcBorders>
          </w:tcPr>
          <w:p w14:paraId="421D4348" w14:textId="77777777" w:rsidR="00B21B35" w:rsidRPr="003D3BC6" w:rsidRDefault="00B21B35" w:rsidP="003D3BC6">
            <w:pPr>
              <w:ind w:left="57" w:right="57"/>
              <w:contextualSpacing/>
              <w:jc w:val="both"/>
            </w:pPr>
            <w:r w:rsidRPr="003D3BC6">
              <w:t>5</w:t>
            </w:r>
          </w:p>
        </w:tc>
      </w:tr>
      <w:tr w:rsidR="004E2CF7" w:rsidRPr="003D3BC6" w14:paraId="4FC27F6F" w14:textId="77777777" w:rsidTr="00850040">
        <w:trPr>
          <w:trHeight w:val="318"/>
        </w:trPr>
        <w:tc>
          <w:tcPr>
            <w:tcW w:w="709" w:type="dxa"/>
            <w:tcBorders>
              <w:top w:val="single" w:sz="6" w:space="0" w:color="000000"/>
              <w:left w:val="single" w:sz="6" w:space="0" w:color="000000"/>
              <w:bottom w:val="single" w:sz="4" w:space="0" w:color="auto"/>
              <w:right w:val="single" w:sz="6" w:space="0" w:color="000000"/>
            </w:tcBorders>
          </w:tcPr>
          <w:p w14:paraId="4A42F99A" w14:textId="37692C8E" w:rsidR="004E2CF7" w:rsidRPr="003D3BC6" w:rsidRDefault="004E2CF7" w:rsidP="004E2CF7">
            <w:pPr>
              <w:pStyle w:val="naisc"/>
              <w:spacing w:before="0" w:after="0"/>
              <w:ind w:left="57" w:right="57"/>
              <w:contextualSpacing/>
              <w:jc w:val="both"/>
            </w:pPr>
            <w:r>
              <w:t>1.</w:t>
            </w:r>
          </w:p>
        </w:tc>
        <w:tc>
          <w:tcPr>
            <w:tcW w:w="3680" w:type="dxa"/>
            <w:gridSpan w:val="2"/>
            <w:tcBorders>
              <w:top w:val="single" w:sz="6" w:space="0" w:color="000000"/>
              <w:left w:val="single" w:sz="6" w:space="0" w:color="000000"/>
              <w:bottom w:val="single" w:sz="4" w:space="0" w:color="auto"/>
              <w:right w:val="single" w:sz="6" w:space="0" w:color="000000"/>
            </w:tcBorders>
          </w:tcPr>
          <w:p w14:paraId="066E7286" w14:textId="77777777" w:rsidR="004E2CF7" w:rsidRPr="003D3BC6" w:rsidRDefault="004E2CF7" w:rsidP="004E2CF7">
            <w:pPr>
              <w:pStyle w:val="naisc"/>
              <w:spacing w:before="0" w:after="0"/>
              <w:ind w:left="57" w:right="57"/>
              <w:contextualSpacing/>
              <w:jc w:val="both"/>
            </w:pPr>
          </w:p>
        </w:tc>
        <w:tc>
          <w:tcPr>
            <w:tcW w:w="4386" w:type="dxa"/>
            <w:gridSpan w:val="2"/>
            <w:tcBorders>
              <w:top w:val="single" w:sz="6" w:space="0" w:color="000000"/>
              <w:left w:val="single" w:sz="6" w:space="0" w:color="000000"/>
              <w:bottom w:val="single" w:sz="6" w:space="0" w:color="000000"/>
              <w:right w:val="single" w:sz="6" w:space="0" w:color="000000"/>
            </w:tcBorders>
          </w:tcPr>
          <w:p w14:paraId="3A07DF87" w14:textId="77777777" w:rsidR="004E2CF7" w:rsidRPr="004E19F5" w:rsidRDefault="004E2CF7" w:rsidP="004E2CF7">
            <w:pPr>
              <w:pStyle w:val="naisc"/>
              <w:spacing w:before="0" w:after="0"/>
              <w:ind w:left="57" w:right="57"/>
              <w:contextualSpacing/>
              <w:jc w:val="both"/>
              <w:rPr>
                <w:b/>
                <w:u w:val="single"/>
              </w:rPr>
            </w:pPr>
            <w:r w:rsidRPr="004E19F5">
              <w:rPr>
                <w:b/>
                <w:u w:val="single"/>
              </w:rPr>
              <w:t>Tieslietu ministrija:</w:t>
            </w:r>
          </w:p>
          <w:p w14:paraId="5B17164F" w14:textId="77777777" w:rsidR="004E2CF7" w:rsidRPr="004E19F5" w:rsidRDefault="004E2CF7" w:rsidP="004E2CF7">
            <w:pPr>
              <w:pStyle w:val="NormalWeb"/>
              <w:spacing w:before="0" w:beforeAutospacing="0" w:after="0" w:afterAutospacing="0"/>
              <w:jc w:val="both"/>
            </w:pPr>
            <w:r w:rsidRPr="004E19F5">
              <w:t>1. Būvniecības likuma 12. panta septītā un astotā daļa noteic, ka būvvalde būvniecības un ekspluatācijas kontroles ietvaros nepieciešamās procesuālās darbības atspoguļo un lēmumus izdod būvniecības informācijas sistēmā, izņemot likumā konkrēti norādītas darbības. Savukārt Būvniecības likuma 14. panta pirmā daļa noteic, ka būvniecības informācijas sistēmu  persona izmanto būvniecības ierosināšanai. Tāpat būvniecības informācijas sistēma tiek izmantota, lai izdotu tehniskos vai īpašos noteikumus, kā arī saskaņojumus vai atļaujas. Tādējādi no minētajiem un citiem Būvniecības likuma pantiem izriet, ka būvniecības process, tostarp ar to saistītais administratīvais process, pamatā notiek elektroniski, proti, būvniecības informācijas sistēmā.</w:t>
            </w:r>
          </w:p>
          <w:p w14:paraId="1FBFBBE1" w14:textId="77777777" w:rsidR="004E2CF7" w:rsidRPr="004E19F5" w:rsidRDefault="004E2CF7" w:rsidP="004E2CF7">
            <w:pPr>
              <w:jc w:val="both"/>
            </w:pPr>
            <w:r w:rsidRPr="004E19F5">
              <w:t>Vienlaikus Ministru kabineta 2015. gada 28. jūlija noteikumi Nr. 438 "Būvniecības informācijas sistēmas noteikumi" nosaka dokumentu iesniegšanas kārtību (piemēram, parakstīšanas veidus, noteiktu dokumentu aizpildīšanu tiešsaistes formā).</w:t>
            </w:r>
          </w:p>
          <w:p w14:paraId="19975ECA" w14:textId="77777777" w:rsidR="004E2CF7" w:rsidRPr="004E19F5" w:rsidRDefault="004E2CF7" w:rsidP="004E2CF7">
            <w:pPr>
              <w:jc w:val="both"/>
            </w:pPr>
            <w:r w:rsidRPr="004E19F5">
              <w:t xml:space="preserve">Vēršam uzmanību, ka tiesību normu jaunradē jāievēro tehnoloģiskās neitralitātes princips. Proti, tiesību normas nedrīkst rakstīt konkrētai tehnoloģijai, </w:t>
            </w:r>
            <w:r w:rsidRPr="004E19F5">
              <w:lastRenderedPageBreak/>
              <w:t>tostarp informācijas sistēmai (</w:t>
            </w:r>
            <w:r w:rsidRPr="004E19F5">
              <w:rPr>
                <w:i/>
                <w:iCs/>
              </w:rPr>
              <w:t>sal. Informācijas un komunikāciju tiesības. I sējums. Rīga: Turība, 2002, 33. lpp.).</w:t>
            </w:r>
            <w:r w:rsidRPr="004E19F5">
              <w:t xml:space="preserve"> Tā vietā izmantojams vispārīgs regulējums, kas raksturo sasniedzamo rezultātu vai citus nepieciešamos raksturlielumus (pazīmes, standartus u. tml.) </w:t>
            </w:r>
            <w:r w:rsidRPr="004E19F5">
              <w:rPr>
                <w:i/>
                <w:iCs/>
              </w:rPr>
              <w:t xml:space="preserve">(sal. Satversmes tiesas 2019. gada 21. februāra sprieduma lietā Nr. 2018-10-0103 18.1. punkts). </w:t>
            </w:r>
            <w:r w:rsidRPr="004E19F5">
              <w:t>Projekta kontekstā tas nozīmē, ka regulējumam jābūt vienlīdz piemērojamam gan tad, ja izmanto būvniecības informācijas sistēmu, gan tad, ja informācijas aprite notiek papīra formā.</w:t>
            </w:r>
          </w:p>
          <w:p w14:paraId="5F1C19C3" w14:textId="77777777" w:rsidR="004E2CF7" w:rsidRPr="004E19F5" w:rsidRDefault="004E2CF7" w:rsidP="004E2CF7">
            <w:pPr>
              <w:jc w:val="both"/>
            </w:pPr>
            <w:r w:rsidRPr="004E19F5">
              <w:t>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projekta sākotnējās (</w:t>
            </w:r>
            <w:proofErr w:type="spellStart"/>
            <w:r w:rsidRPr="004E19F5">
              <w:rPr>
                <w:i/>
                <w:iCs/>
              </w:rPr>
              <w:t>ex</w:t>
            </w:r>
            <w:proofErr w:type="spellEnd"/>
            <w:r w:rsidRPr="004E19F5">
              <w:rPr>
                <w:i/>
                <w:iCs/>
              </w:rPr>
              <w:t xml:space="preserve"> – </w:t>
            </w:r>
            <w:proofErr w:type="spellStart"/>
            <w:r w:rsidRPr="004E19F5">
              <w:rPr>
                <w:i/>
                <w:iCs/>
              </w:rPr>
              <w:t>ante</w:t>
            </w:r>
            <w:proofErr w:type="spellEnd"/>
            <w:r w:rsidRPr="004E19F5">
              <w:rPr>
                <w:i/>
                <w:iCs/>
              </w:rPr>
              <w:t xml:space="preserve">) </w:t>
            </w:r>
            <w:r w:rsidRPr="004E19F5">
              <w:t>ietekmes novērtējuma ziņojumā (turpmāk – anotācija) ietverot pamatojumu par šāda izņēmuma atbilstību Būvniecības likumam).</w:t>
            </w:r>
          </w:p>
          <w:p w14:paraId="562C2F88" w14:textId="54153863" w:rsidR="004E2CF7" w:rsidRPr="003D3BC6" w:rsidRDefault="004E2CF7" w:rsidP="004E2CF7">
            <w:pPr>
              <w:pStyle w:val="naisc"/>
              <w:spacing w:before="0" w:after="0"/>
              <w:ind w:left="57" w:right="57"/>
              <w:contextualSpacing/>
              <w:jc w:val="both"/>
            </w:pPr>
            <w:r w:rsidRPr="004E19F5">
              <w:t xml:space="preserve">Tāpat norādām, ka normatīvā akta tekstam jābūt lakoniskam, un ir jāizvairās no pārlieku </w:t>
            </w:r>
            <w:proofErr w:type="spellStart"/>
            <w:r w:rsidRPr="004E19F5">
              <w:t>kazuistiska</w:t>
            </w:r>
            <w:proofErr w:type="spellEnd"/>
            <w:r w:rsidRPr="004E19F5">
              <w:t xml:space="preserve"> regulējuma (</w:t>
            </w:r>
            <w:r w:rsidRPr="004E19F5">
              <w:rPr>
                <w:i/>
                <w:iCs/>
              </w:rPr>
              <w:t>Normatīvo aktu projektu izstrādes rokasgrāmata,</w:t>
            </w:r>
            <w:r w:rsidRPr="004E19F5">
              <w:rPr>
                <w:b/>
                <w:bCs/>
                <w:i/>
                <w:iCs/>
              </w:rPr>
              <w:t xml:space="preserve"> </w:t>
            </w:r>
            <w:r w:rsidRPr="004E19F5">
              <w:rPr>
                <w:i/>
                <w:iCs/>
              </w:rPr>
              <w:t>https://tai.mk.gov.lv/book/1/chapter/79</w:t>
            </w:r>
            <w:r w:rsidRPr="004E19F5">
              <w:t xml:space="preserve">). Pretēji tam projekta sākumā šobrīd ir noteikti pamatprincipi, tad iekļauts </w:t>
            </w:r>
            <w:r w:rsidRPr="004E19F5">
              <w:lastRenderedPageBreak/>
              <w:t>detalizēts regulējums saistībā ar būvniecības informācijas sistēmas izmantošanu, visbeidzot tiek regulēts process, neizmantojot būvniecības informācijas sistēmu. Lūdzam izvērtēt iespēju projekta regulējumu veidot vispārīgu, neuzsverot vairumā projekta vienību būvniecības informācijas sistēmas izmantošanu un neatkārtojot vispārīgajos jautājumos iekļauto regulējumu. Ievērojot minēto, lūdzam precizēt projektu, kā arī attiecīgi papildināt anotāciju.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4D21130B" w14:textId="3F3DB5C5" w:rsidR="004E2CF7" w:rsidRPr="006B0290" w:rsidRDefault="004E2CF7" w:rsidP="004E2CF7">
            <w:pPr>
              <w:contextualSpacing/>
              <w:jc w:val="center"/>
              <w:rPr>
                <w:b/>
              </w:rPr>
            </w:pPr>
            <w:r>
              <w:rPr>
                <w:b/>
              </w:rPr>
              <w:lastRenderedPageBreak/>
              <w:t>Panākta vienošanās</w:t>
            </w:r>
          </w:p>
          <w:p w14:paraId="78285EBA" w14:textId="08E4681D" w:rsidR="004E2CF7" w:rsidRPr="003D3BC6" w:rsidRDefault="004E2CF7" w:rsidP="004E2CF7">
            <w:pPr>
              <w:pStyle w:val="naisc"/>
              <w:spacing w:before="0" w:after="0"/>
              <w:ind w:left="57" w:right="57"/>
              <w:contextualSpacing/>
              <w:jc w:val="both"/>
            </w:pPr>
            <w:r w:rsidRPr="00183D2F">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183D2F">
              <w:rPr>
                <w:vertAlign w:val="superscript"/>
              </w:rPr>
              <w:t>1 </w:t>
            </w:r>
            <w:r w:rsidRPr="00183D2F">
              <w:t xml:space="preserve">daļu). Ministrijas ieskatā prasība administratīvajā procesā noteiktā veidā izmantot </w:t>
            </w:r>
            <w:r w:rsidRPr="00183D2F">
              <w:lastRenderedPageBreak/>
              <w:t>noteiktu valsts informatīvo sistēmu pēc savas būtības 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14:paraId="3FC6FC1B" w14:textId="77777777" w:rsidR="004E2CF7" w:rsidRPr="003D3BC6" w:rsidRDefault="004E2CF7" w:rsidP="004E2CF7">
            <w:pPr>
              <w:ind w:left="57" w:right="57"/>
              <w:contextualSpacing/>
              <w:jc w:val="both"/>
            </w:pPr>
          </w:p>
        </w:tc>
      </w:tr>
      <w:tr w:rsidR="004E2CF7" w:rsidRPr="003D3BC6" w14:paraId="166C3441"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1A1E7A57" w14:textId="11990E03" w:rsidR="004E2CF7" w:rsidRPr="003D3BC6" w:rsidRDefault="004E2CF7" w:rsidP="004E2CF7">
            <w:pPr>
              <w:pStyle w:val="naisc"/>
              <w:spacing w:before="0" w:after="0"/>
              <w:ind w:left="57" w:right="57"/>
              <w:contextualSpacing/>
              <w:jc w:val="both"/>
            </w:pPr>
            <w:r>
              <w:lastRenderedPageBreak/>
              <w:t>2.</w:t>
            </w:r>
          </w:p>
        </w:tc>
        <w:tc>
          <w:tcPr>
            <w:tcW w:w="3680" w:type="dxa"/>
            <w:gridSpan w:val="2"/>
            <w:tcBorders>
              <w:top w:val="single" w:sz="6" w:space="0" w:color="000000"/>
              <w:left w:val="single" w:sz="6" w:space="0" w:color="000000"/>
              <w:bottom w:val="single" w:sz="4" w:space="0" w:color="auto"/>
              <w:right w:val="single" w:sz="6" w:space="0" w:color="000000"/>
            </w:tcBorders>
          </w:tcPr>
          <w:p w14:paraId="69643D21" w14:textId="6CF70D73" w:rsidR="004E2CF7" w:rsidRPr="00D300AB" w:rsidRDefault="004E2CF7" w:rsidP="004E2CF7">
            <w:pPr>
              <w:pStyle w:val="naisc"/>
              <w:spacing w:before="0" w:after="0"/>
              <w:ind w:left="57" w:right="57"/>
              <w:contextualSpacing/>
              <w:jc w:val="both"/>
              <w:rPr>
                <w:iCs/>
              </w:rPr>
            </w:pPr>
            <w:r w:rsidRPr="00D300AB">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32246585" w14:textId="77777777" w:rsidR="004E2CF7" w:rsidRPr="003D3BC6" w:rsidRDefault="004E2CF7" w:rsidP="004E2CF7">
            <w:pPr>
              <w:pStyle w:val="naisc"/>
              <w:spacing w:before="0" w:after="0"/>
              <w:ind w:left="57" w:right="57"/>
              <w:contextualSpacing/>
              <w:jc w:val="both"/>
              <w:rPr>
                <w:b/>
                <w:u w:val="single"/>
              </w:rPr>
            </w:pPr>
            <w:r w:rsidRPr="003D3BC6">
              <w:rPr>
                <w:b/>
                <w:u w:val="single"/>
              </w:rPr>
              <w:t>Finanšu ministrija:</w:t>
            </w:r>
          </w:p>
          <w:p w14:paraId="502A8DBD" w14:textId="7B973CCE" w:rsidR="004E2CF7" w:rsidRPr="00D300AB" w:rsidRDefault="004E2CF7" w:rsidP="004E2CF7">
            <w:pPr>
              <w:pStyle w:val="ListParagraph"/>
              <w:ind w:left="0"/>
              <w:jc w:val="both"/>
              <w:rPr>
                <w:bCs/>
                <w:lang w:val="lv-LV"/>
              </w:rPr>
            </w:pPr>
            <w:r w:rsidRPr="003D3BC6">
              <w:rPr>
                <w:color w:val="000000" w:themeColor="text1"/>
                <w:lang w:val="lv-LV"/>
              </w:rPr>
              <w:t>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6" w:space="0" w:color="000000"/>
              <w:right w:val="single" w:sz="6" w:space="0" w:color="000000"/>
            </w:tcBorders>
          </w:tcPr>
          <w:p w14:paraId="243CBBEB" w14:textId="11401078" w:rsidR="004E2CF7" w:rsidRPr="00D300AB" w:rsidRDefault="004E2CF7" w:rsidP="004E2CF7">
            <w:pPr>
              <w:contextualSpacing/>
              <w:jc w:val="center"/>
              <w:rPr>
                <w:b/>
              </w:rPr>
            </w:pPr>
            <w:r>
              <w:rPr>
                <w:b/>
              </w:rPr>
              <w:t>Panākta vienošanās</w:t>
            </w:r>
          </w:p>
          <w:p w14:paraId="4901F26D" w14:textId="77777777" w:rsidR="004E2CF7" w:rsidRPr="00D300AB" w:rsidRDefault="004E2CF7" w:rsidP="004E2CF7">
            <w:pPr>
              <w:contextualSpacing/>
              <w:jc w:val="both"/>
              <w:rPr>
                <w:bCs/>
              </w:rPr>
            </w:pPr>
            <w:r w:rsidRPr="00D300AB">
              <w:rPr>
                <w:bCs/>
              </w:rPr>
              <w:t>Saskaņā ar Ministru kabineta 2015. gada 28. jūlija noteikumu Nr.438 “Būvniecības informācijas sistēmas noteikumi” 4. un 5. punktu personas, institūcijas ir tiesīgas saņemt vai piekļūt būvniecības informācijas sistēmā pieejamai informācijai un to lietot atbilstoši normatīvo aktu prasībām.</w:t>
            </w:r>
          </w:p>
          <w:p w14:paraId="6E9EC499" w14:textId="6BB59723" w:rsidR="004E2CF7" w:rsidRPr="00D300AB" w:rsidRDefault="004E2CF7" w:rsidP="004E2CF7">
            <w:pPr>
              <w:contextualSpacing/>
              <w:jc w:val="both"/>
              <w:rPr>
                <w:b/>
              </w:rPr>
            </w:pPr>
            <w:r w:rsidRPr="00D300AB">
              <w:t xml:space="preserve">Piemēram, </w:t>
            </w:r>
            <w:r w:rsidRPr="00D300AB">
              <w:rPr>
                <w:bCs/>
              </w:rPr>
              <w:t>Centrālā finanšu un līgumu aģentūra</w:t>
            </w:r>
            <w:r w:rsidRPr="00D300AB">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14:paraId="5BE90B87" w14:textId="3073FE7F" w:rsidR="004E2CF7" w:rsidRPr="003D3BC6" w:rsidRDefault="004E2CF7" w:rsidP="004E2CF7">
            <w:pPr>
              <w:ind w:left="57" w:right="57"/>
              <w:contextualSpacing/>
              <w:jc w:val="both"/>
            </w:pPr>
            <w:r>
              <w:t>-</w:t>
            </w:r>
          </w:p>
        </w:tc>
      </w:tr>
      <w:tr w:rsidR="004E2CF7" w:rsidRPr="0085135D" w14:paraId="58645BB9"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501D5EE7" w14:textId="26B30578" w:rsidR="004E2CF7" w:rsidRPr="00C6676A" w:rsidRDefault="004E2CF7" w:rsidP="004E2CF7">
            <w:pPr>
              <w:pStyle w:val="naisc"/>
              <w:spacing w:before="0" w:after="0"/>
              <w:ind w:left="60" w:right="57"/>
              <w:contextualSpacing/>
              <w:jc w:val="left"/>
            </w:pPr>
            <w:r>
              <w:t>3.</w:t>
            </w:r>
          </w:p>
        </w:tc>
        <w:tc>
          <w:tcPr>
            <w:tcW w:w="3680" w:type="dxa"/>
            <w:gridSpan w:val="2"/>
            <w:tcBorders>
              <w:top w:val="single" w:sz="6" w:space="0" w:color="000000"/>
              <w:left w:val="single" w:sz="6" w:space="0" w:color="000000"/>
              <w:bottom w:val="single" w:sz="4" w:space="0" w:color="auto"/>
              <w:right w:val="single" w:sz="6" w:space="0" w:color="000000"/>
            </w:tcBorders>
          </w:tcPr>
          <w:p w14:paraId="11CEB417" w14:textId="5CCBE146" w:rsidR="004E2CF7" w:rsidRPr="00D300AB" w:rsidRDefault="004E2CF7" w:rsidP="004E2CF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14:paraId="69ECE950" w14:textId="777BB881" w:rsidR="004E2CF7" w:rsidRPr="003D3BC6" w:rsidRDefault="004E2CF7" w:rsidP="004E2CF7">
            <w:pPr>
              <w:pStyle w:val="naisc"/>
              <w:spacing w:before="0" w:after="0"/>
              <w:ind w:left="57" w:right="57"/>
              <w:contextualSpacing/>
              <w:jc w:val="both"/>
              <w:rPr>
                <w:b/>
                <w:u w:val="single"/>
              </w:rPr>
            </w:pPr>
            <w:r>
              <w:rPr>
                <w:b/>
                <w:u w:val="single"/>
              </w:rPr>
              <w:t>Latvijas Lielo pilsētu asociācija (</w:t>
            </w:r>
            <w:r w:rsidRPr="003D3BC6">
              <w:rPr>
                <w:b/>
                <w:u w:val="single"/>
              </w:rPr>
              <w:t>Rīgas pilsētas būvvalde</w:t>
            </w:r>
            <w:r>
              <w:rPr>
                <w:b/>
                <w:u w:val="single"/>
              </w:rPr>
              <w:t>)</w:t>
            </w:r>
            <w:r w:rsidRPr="003D3BC6">
              <w:rPr>
                <w:b/>
                <w:u w:val="single"/>
              </w:rPr>
              <w:t>:</w:t>
            </w:r>
          </w:p>
          <w:p w14:paraId="373BE79D" w14:textId="40BF9ED2" w:rsidR="004E2CF7" w:rsidRPr="00373200" w:rsidRDefault="004E2CF7" w:rsidP="004E2CF7">
            <w:pPr>
              <w:pStyle w:val="naisc"/>
              <w:spacing w:before="0" w:after="0"/>
              <w:ind w:left="57" w:right="57"/>
              <w:contextualSpacing/>
              <w:jc w:val="both"/>
            </w:pPr>
            <w:r w:rsidRPr="003D3BC6">
              <w:t xml:space="preserve">Projektu anotācijās norādīts, ka Ministru kabineta noteikumi stāsies spēkā </w:t>
            </w:r>
            <w:r w:rsidRPr="003D3BC6">
              <w:lastRenderedPageBreak/>
              <w:t xml:space="preserve">nākamajā dienā pēc to izsludināšanas. Vienlaikus Projekti neparedz grozījumus, kas papildinātu Ministru kabineta noteikumus ar pārejas noteikumu. Atbilstoši Projektu anotācijās norādītājam grozījumu mērķis ir elektroniskais būvniecības process, kas atbilstoši Būvniecības likumam tiks ieviests ar 01.01.2020. Būvvalde vērš uzmanību, ka Projekti paredz vairāku darbību veikšanu Būvniecības informācijas sistēmā (turpmāk – BIS), piemēram, pilnvarojums (šobrīd BIS ir pieteikta problēma, ka nav iespējas pilnvarot juridisko personu), piekļūšana visai lietai un konkrētiem dokumentiem, būvdarbu uzsākšanas nosacījumu izpilde pa būves kārtām un trešo personu saskaņojums kā atsevišķs dokuments), bet nerisina jautājumu par tam nepieciešamo funkcionalitātes nodrošināšanu. Būvvalde uzskata, ka grozījumu spēkā stāšanas brīdis ir jāsasaista ar nepieciešamās BIS funkcionalitātes nodrošināšanu. Papildus, ņemot vērā Projektu anotācijās norādīto, ja kāda dokumenta iesniegšanai BIS nav pieejama atbilstoša funkcionalitāte sistēmā, tad personai ir jāizmanto vispārīgā funkcionalitāte iesniegumu iesniegšanai, Būvvalde vērš uzmanību, ka nebūtu pieļaujami izveidot situāciju, ka iesniegto būvniecības dokumentu kopums BIS tiktu veidots tikai ar esošo BIS </w:t>
            </w:r>
            <w:r w:rsidRPr="003D3BC6">
              <w:lastRenderedPageBreak/>
              <w:t>funkcionalitāti “cits dokuments”, proti, ir jāizdala būvekspertīze, tehniskās apsekošanas atzinums, trešo personu saskaņojums, darbu veikšanas projekts, segto darbu akti, kultūrvēsturiskās inventarizācijas dokumentācija).</w:t>
            </w:r>
          </w:p>
        </w:tc>
        <w:tc>
          <w:tcPr>
            <w:tcW w:w="3275" w:type="dxa"/>
            <w:gridSpan w:val="2"/>
            <w:tcBorders>
              <w:top w:val="single" w:sz="6" w:space="0" w:color="000000"/>
              <w:left w:val="single" w:sz="6" w:space="0" w:color="000000"/>
              <w:bottom w:val="single" w:sz="4" w:space="0" w:color="auto"/>
              <w:right w:val="single" w:sz="6" w:space="0" w:color="000000"/>
            </w:tcBorders>
          </w:tcPr>
          <w:p w14:paraId="7262F04B" w14:textId="77777777" w:rsidR="004E2CF7" w:rsidRPr="002E36BE" w:rsidRDefault="004E2CF7" w:rsidP="004E2CF7">
            <w:pPr>
              <w:contextualSpacing/>
              <w:jc w:val="center"/>
              <w:rPr>
                <w:b/>
              </w:rPr>
            </w:pPr>
            <w:r w:rsidRPr="002E36BE">
              <w:rPr>
                <w:b/>
              </w:rPr>
              <w:lastRenderedPageBreak/>
              <w:t>Panākta vienošanās</w:t>
            </w:r>
          </w:p>
          <w:p w14:paraId="2A545E60" w14:textId="77777777" w:rsidR="004E2CF7" w:rsidRPr="00D300AB" w:rsidRDefault="004E2CF7" w:rsidP="004E2CF7">
            <w:pPr>
              <w:contextualSpacing/>
              <w:jc w:val="both"/>
            </w:pPr>
            <w:r w:rsidRPr="00D300AB">
              <w:t xml:space="preserve">Termiņu maiņa attiecas tikai uz jaunām būvniecības iecerēm, kuras tiks akceptētas pēc MK </w:t>
            </w:r>
            <w:r w:rsidRPr="00D300AB">
              <w:lastRenderedPageBreak/>
              <w:t>noteikumu spēkā stāšanās. Pārējām būvniecības iecerēm, kuras uzsāktas pirms šo noteikumu spēkā stāšanās un tiek turpinās pēc minētā termiņa ir spēkā iepriekšējie būvniecības ieceres realizācijas termiņi.</w:t>
            </w:r>
          </w:p>
          <w:p w14:paraId="2F360F15" w14:textId="77777777" w:rsidR="004E2CF7" w:rsidRPr="00183D2F" w:rsidRDefault="004E2CF7" w:rsidP="004E2CF7">
            <w:pPr>
              <w:ind w:firstLine="67"/>
              <w:contextualSpacing/>
              <w:jc w:val="both"/>
              <w:rPr>
                <w:bCs/>
              </w:rPr>
            </w:pPr>
            <w:r w:rsidRPr="00183D2F">
              <w:rPr>
                <w:bCs/>
              </w:rPr>
              <w:t xml:space="preserve">BIS attīstības ietvaros funkcionalitātē tiks paplašināta. Taču BIS esošā funkcionalitāte ir pietiekoša, lai nodrošinātu elektronisko būvniecības procesu. Tas, ka noteiktu dokumentu iesniegšanai nav izveidota kāda īpaša funkcionalitātē, nenozīmē, ka šo dokumentu nevar iesniegt. </w:t>
            </w:r>
          </w:p>
          <w:p w14:paraId="10313CD1" w14:textId="47ED59BE" w:rsidR="004E2CF7" w:rsidRPr="00D300AB" w:rsidRDefault="004E2CF7" w:rsidP="004E2CF7">
            <w:pPr>
              <w:ind w:firstLine="67"/>
              <w:contextualSpacing/>
              <w:jc w:val="both"/>
              <w:rPr>
                <w:bCs/>
              </w:rPr>
            </w:pPr>
            <w:r w:rsidRPr="00183D2F">
              <w:rPr>
                <w:bCs/>
              </w:rPr>
              <w:t xml:space="preserve">Vēršam uzmanību, ka nevienā informācijas sistēmā nav iespējams izvairīties no vispārīgās funkcionalitātes izmantošanas, līdz ar to BIS dažādiem dokumentiem ir dažāda strukturēto datu detalizācija, ir dokumenti, kuru pievienošana ir paredzēta kā daļa no cita dokumenta. Piemēram, būvekspertīze ir būvprojekta sastāvdaļa, segto darbu akti ir daļa no būvdarbu žurnāla datiem, tehniskās apsekošanas atzinums paredzēts </w:t>
            </w:r>
            <w:r w:rsidRPr="00183D2F">
              <w:rPr>
                <w:bCs/>
              </w:rPr>
              <w:lastRenderedPageBreak/>
              <w:t>kā strukturēts dokuments, darbu veikšanas projekts un trešo personu saskaņojums paredzēti kā augšupielādējami (pievienojami) dokumenti. Papildus jānorāda, ka pilnvarojuma funkcionālā papildināšana BIS šobrīd tiek risināta, taču tas nav šo noteikumu jautājums. Pie tam, līdzīgi kā līdz šim būvdarbu uzsākšanas nosacījumus var izpildīt katrai kārtai atsevišķi. Vienlaikus vēršam, ka visu trešo personu (piemēram, kaimiņu) saskaņojumu saņemšana tikai caur BIS nav šī regulējuma jautājums. Tad, kad visām personām būs valsts elektroniskā adrese, varēs arī paredzēt atbilstošo tiesisko ietvaru un risinājumu.</w:t>
            </w:r>
          </w:p>
        </w:tc>
        <w:tc>
          <w:tcPr>
            <w:tcW w:w="3638" w:type="dxa"/>
            <w:gridSpan w:val="2"/>
            <w:tcBorders>
              <w:top w:val="single" w:sz="4" w:space="0" w:color="auto"/>
              <w:left w:val="single" w:sz="4" w:space="0" w:color="auto"/>
              <w:bottom w:val="single" w:sz="4" w:space="0" w:color="auto"/>
            </w:tcBorders>
          </w:tcPr>
          <w:p w14:paraId="4BF6DC0A" w14:textId="148E14DF" w:rsidR="004E2CF7" w:rsidRPr="00D300AB" w:rsidRDefault="004E2CF7" w:rsidP="004E2CF7">
            <w:pPr>
              <w:ind w:left="57" w:right="57"/>
              <w:contextualSpacing/>
              <w:jc w:val="both"/>
              <w:rPr>
                <w:iCs/>
              </w:rPr>
            </w:pPr>
            <w:r>
              <w:rPr>
                <w:iCs/>
              </w:rPr>
              <w:lastRenderedPageBreak/>
              <w:t>-</w:t>
            </w:r>
          </w:p>
        </w:tc>
      </w:tr>
      <w:tr w:rsidR="004E2CF7" w:rsidRPr="006B3DB3" w14:paraId="68057E35"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FBFFC2D" w14:textId="4D2F7009" w:rsidR="004E2CF7" w:rsidRPr="006B3DB3" w:rsidRDefault="004E2CF7" w:rsidP="004E2CF7">
            <w:pPr>
              <w:pStyle w:val="naisc"/>
              <w:spacing w:before="0" w:after="0"/>
              <w:ind w:left="60" w:right="57"/>
              <w:contextualSpacing/>
              <w:jc w:val="left"/>
            </w:pPr>
            <w:r>
              <w:lastRenderedPageBreak/>
              <w:t>4.</w:t>
            </w:r>
          </w:p>
        </w:tc>
        <w:tc>
          <w:tcPr>
            <w:tcW w:w="3680" w:type="dxa"/>
            <w:gridSpan w:val="2"/>
            <w:tcBorders>
              <w:top w:val="single" w:sz="6" w:space="0" w:color="000000"/>
              <w:left w:val="single" w:sz="6" w:space="0" w:color="000000"/>
              <w:bottom w:val="single" w:sz="4" w:space="0" w:color="auto"/>
              <w:right w:val="single" w:sz="6" w:space="0" w:color="000000"/>
            </w:tcBorders>
          </w:tcPr>
          <w:p w14:paraId="533A0265" w14:textId="10429248" w:rsidR="004E2CF7" w:rsidRPr="00D300AB" w:rsidRDefault="004E2CF7" w:rsidP="004E2CF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14:paraId="4674CCE6" w14:textId="77777777" w:rsidR="004E2CF7" w:rsidRPr="006B3DB3" w:rsidRDefault="004E2CF7" w:rsidP="004E2CF7">
            <w:pPr>
              <w:pStyle w:val="naisc"/>
              <w:spacing w:before="0" w:after="0"/>
              <w:ind w:left="57" w:right="57"/>
              <w:contextualSpacing/>
              <w:jc w:val="both"/>
              <w:rPr>
                <w:b/>
                <w:u w:val="single"/>
              </w:rPr>
            </w:pPr>
            <w:r w:rsidRPr="006B3DB3">
              <w:rPr>
                <w:b/>
                <w:u w:val="single"/>
              </w:rPr>
              <w:t>Latvijas Pašvaldību savienība:</w:t>
            </w:r>
          </w:p>
          <w:p w14:paraId="737AB16F" w14:textId="2542D719" w:rsidR="004E2CF7" w:rsidRPr="006B3DB3" w:rsidRDefault="004E2CF7" w:rsidP="004E2CF7">
            <w:pPr>
              <w:jc w:val="both"/>
            </w:pPr>
            <w:r w:rsidRPr="006B3DB3">
              <w:t>Iev</w:t>
            </w:r>
            <w:r w:rsidRPr="006B3DB3">
              <w:rPr>
                <w:rFonts w:hint="eastAsia"/>
              </w:rPr>
              <w:t>ē</w:t>
            </w:r>
            <w:r w:rsidRPr="006B3DB3">
              <w:t>rojot to, ka noteikumu projekts paredz b</w:t>
            </w:r>
            <w:r w:rsidRPr="006B3DB3">
              <w:rPr>
                <w:rFonts w:hint="eastAsia"/>
              </w:rPr>
              <w:t>ū</w:t>
            </w:r>
            <w:r w:rsidRPr="006B3DB3">
              <w:t>tisku termi</w:t>
            </w:r>
            <w:r w:rsidRPr="006B3DB3">
              <w:rPr>
                <w:rFonts w:hint="eastAsia"/>
              </w:rPr>
              <w:t>ņ</w:t>
            </w:r>
            <w:r w:rsidRPr="006B3DB3">
              <w:t>u mai</w:t>
            </w:r>
            <w:r w:rsidRPr="006B3DB3">
              <w:rPr>
                <w:rFonts w:hint="eastAsia"/>
              </w:rPr>
              <w:t>ņ</w:t>
            </w:r>
            <w:r w:rsidRPr="006B3DB3">
              <w:t>u - projekt</w:t>
            </w:r>
            <w:r w:rsidRPr="006B3DB3">
              <w:rPr>
                <w:rFonts w:hint="eastAsia"/>
              </w:rPr>
              <w:t>ēš</w:t>
            </w:r>
            <w:r w:rsidRPr="006B3DB3">
              <w:t>anas nosac</w:t>
            </w:r>
            <w:r w:rsidRPr="006B3DB3">
              <w:rPr>
                <w:rFonts w:hint="eastAsia"/>
              </w:rPr>
              <w:t>ī</w:t>
            </w:r>
            <w:r w:rsidRPr="006B3DB3">
              <w:t>jumu izpildei, b</w:t>
            </w:r>
            <w:r w:rsidRPr="006B3DB3">
              <w:rPr>
                <w:rFonts w:hint="eastAsia"/>
              </w:rPr>
              <w:t>ū</w:t>
            </w:r>
            <w:r w:rsidRPr="006B3DB3">
              <w:t>vdarbu uzs</w:t>
            </w:r>
            <w:r w:rsidRPr="006B3DB3">
              <w:rPr>
                <w:rFonts w:hint="eastAsia"/>
              </w:rPr>
              <w:t>ā</w:t>
            </w:r>
            <w:r w:rsidRPr="006B3DB3">
              <w:t>kšanas nosac</w:t>
            </w:r>
            <w:r w:rsidRPr="006B3DB3">
              <w:rPr>
                <w:rFonts w:hint="eastAsia"/>
              </w:rPr>
              <w:t>ī</w:t>
            </w:r>
            <w:r w:rsidRPr="006B3DB3">
              <w:t>jumu izpildei, Paskaidrojuma rakstu un Apliecin</w:t>
            </w:r>
            <w:r w:rsidRPr="006B3DB3">
              <w:rPr>
                <w:rFonts w:hint="eastAsia"/>
              </w:rPr>
              <w:t>ā</w:t>
            </w:r>
            <w:r w:rsidRPr="006B3DB3">
              <w:t>juma karšu realiz</w:t>
            </w:r>
            <w:r w:rsidRPr="006B3DB3">
              <w:rPr>
                <w:rFonts w:hint="eastAsia"/>
              </w:rPr>
              <w:t>ā</w:t>
            </w:r>
            <w:r w:rsidRPr="006B3DB3">
              <w:t>cijas termi</w:t>
            </w:r>
            <w:r w:rsidRPr="006B3DB3">
              <w:rPr>
                <w:rFonts w:hint="eastAsia"/>
              </w:rPr>
              <w:t>ņ</w:t>
            </w:r>
            <w:r w:rsidRPr="006B3DB3">
              <w:t>os, l</w:t>
            </w:r>
            <w:r w:rsidRPr="006B3DB3">
              <w:rPr>
                <w:rFonts w:hint="eastAsia"/>
              </w:rPr>
              <w:t>ū</w:t>
            </w:r>
            <w:r w:rsidRPr="006B3DB3">
              <w:t>dzam katru noteikumu p</w:t>
            </w:r>
            <w:r w:rsidRPr="006B3DB3">
              <w:rPr>
                <w:rFonts w:hint="eastAsia"/>
              </w:rPr>
              <w:t>ā</w:t>
            </w:r>
            <w:r w:rsidRPr="006B3DB3">
              <w:t>rejas noteikumos (Nosl</w:t>
            </w:r>
            <w:r w:rsidRPr="006B3DB3">
              <w:rPr>
                <w:rFonts w:hint="eastAsia"/>
              </w:rPr>
              <w:t>ē</w:t>
            </w:r>
            <w:r w:rsidRPr="006B3DB3">
              <w:t>guma jaut</w:t>
            </w:r>
            <w:r w:rsidRPr="006B3DB3">
              <w:rPr>
                <w:rFonts w:hint="eastAsia"/>
              </w:rPr>
              <w:t>ā</w:t>
            </w:r>
            <w:r w:rsidRPr="006B3DB3">
              <w:t>jumi) nep</w:t>
            </w:r>
            <w:r w:rsidRPr="006B3DB3">
              <w:rPr>
                <w:rFonts w:hint="eastAsia"/>
              </w:rPr>
              <w:t>ā</w:t>
            </w:r>
            <w:r w:rsidRPr="006B3DB3">
              <w:t>rprotami preciz</w:t>
            </w:r>
            <w:r w:rsidRPr="006B3DB3">
              <w:rPr>
                <w:rFonts w:hint="eastAsia"/>
              </w:rPr>
              <w:t>ē</w:t>
            </w:r>
            <w:r w:rsidRPr="006B3DB3">
              <w:t>t, uz kur</w:t>
            </w:r>
            <w:r w:rsidRPr="006B3DB3">
              <w:rPr>
                <w:rFonts w:hint="eastAsia"/>
              </w:rPr>
              <w:t>ā</w:t>
            </w:r>
            <w:r w:rsidRPr="006B3DB3">
              <w:t>m b</w:t>
            </w:r>
            <w:r w:rsidRPr="006B3DB3">
              <w:rPr>
                <w:rFonts w:hint="eastAsia"/>
              </w:rPr>
              <w:t>ū</w:t>
            </w:r>
            <w:r w:rsidRPr="006B3DB3">
              <w:t>vniec</w:t>
            </w:r>
            <w:r w:rsidRPr="006B3DB3">
              <w:rPr>
                <w:rFonts w:hint="eastAsia"/>
              </w:rPr>
              <w:t>ī</w:t>
            </w:r>
            <w:r w:rsidRPr="006B3DB3">
              <w:t>bas iecer</w:t>
            </w:r>
            <w:r w:rsidRPr="006B3DB3">
              <w:rPr>
                <w:rFonts w:hint="eastAsia"/>
              </w:rPr>
              <w:t>ē</w:t>
            </w:r>
            <w:r w:rsidRPr="006B3DB3">
              <w:t>m termi</w:t>
            </w:r>
            <w:r w:rsidRPr="006B3DB3">
              <w:rPr>
                <w:rFonts w:hint="eastAsia"/>
              </w:rPr>
              <w:t>ņ</w:t>
            </w:r>
            <w:r w:rsidRPr="006B3DB3">
              <w:t>u mai</w:t>
            </w:r>
            <w:r w:rsidRPr="006B3DB3">
              <w:rPr>
                <w:rFonts w:hint="eastAsia"/>
              </w:rPr>
              <w:t>ņ</w:t>
            </w:r>
            <w:r w:rsidRPr="006B3DB3">
              <w:t>a attiecin</w:t>
            </w:r>
            <w:r w:rsidRPr="006B3DB3">
              <w:rPr>
                <w:rFonts w:hint="eastAsia"/>
              </w:rPr>
              <w:t>ā</w:t>
            </w:r>
            <w:r w:rsidRPr="006B3DB3">
              <w:t>ma, l</w:t>
            </w:r>
            <w:r w:rsidRPr="006B3DB3">
              <w:rPr>
                <w:rFonts w:hint="eastAsia"/>
              </w:rPr>
              <w:t>ī</w:t>
            </w:r>
            <w:r w:rsidRPr="006B3DB3">
              <w:t>dz</w:t>
            </w:r>
            <w:r w:rsidRPr="006B3DB3">
              <w:rPr>
                <w:rFonts w:hint="eastAsia"/>
              </w:rPr>
              <w:t>ī</w:t>
            </w:r>
            <w:r w:rsidRPr="006B3DB3">
              <w:t>gi k</w:t>
            </w:r>
            <w:r w:rsidRPr="006B3DB3">
              <w:rPr>
                <w:rFonts w:hint="eastAsia"/>
              </w:rPr>
              <w:t>ā</w:t>
            </w:r>
            <w:r w:rsidRPr="006B3DB3">
              <w:t xml:space="preserve"> </w:t>
            </w:r>
            <w:r w:rsidRPr="006B3DB3">
              <w:rPr>
                <w:rFonts w:hint="eastAsia"/>
              </w:rPr>
              <w:t>Ē</w:t>
            </w:r>
            <w:r w:rsidRPr="006B3DB3">
              <w:t>ku b</w:t>
            </w:r>
            <w:r w:rsidRPr="006B3DB3">
              <w:rPr>
                <w:rFonts w:hint="eastAsia"/>
              </w:rPr>
              <w:t>ū</w:t>
            </w:r>
            <w:r w:rsidRPr="006B3DB3">
              <w:t xml:space="preserve">vnoteikumu </w:t>
            </w:r>
            <w:r w:rsidRPr="006B3DB3">
              <w:lastRenderedPageBreak/>
              <w:t>228.punkt</w:t>
            </w:r>
            <w:r w:rsidRPr="006B3DB3">
              <w:rPr>
                <w:rFonts w:hint="eastAsia"/>
              </w:rPr>
              <w:t>ā</w:t>
            </w:r>
            <w:r w:rsidRPr="006B3DB3">
              <w:t>. V</w:t>
            </w:r>
            <w:r w:rsidRPr="006B3DB3">
              <w:rPr>
                <w:rFonts w:hint="eastAsia"/>
              </w:rPr>
              <w:t>ē</w:t>
            </w:r>
            <w:r w:rsidRPr="006B3DB3">
              <w:t>ršam uzman</w:t>
            </w:r>
            <w:r w:rsidRPr="006B3DB3">
              <w:rPr>
                <w:rFonts w:hint="eastAsia"/>
              </w:rPr>
              <w:t>ī</w:t>
            </w:r>
            <w:r w:rsidRPr="006B3DB3">
              <w:t>bu uz to, ka b</w:t>
            </w:r>
            <w:r w:rsidRPr="006B3DB3">
              <w:rPr>
                <w:rFonts w:hint="eastAsia"/>
              </w:rPr>
              <w:t>ū</w:t>
            </w:r>
            <w:r w:rsidRPr="006B3DB3">
              <w:t>vvaldes da</w:t>
            </w:r>
            <w:r w:rsidRPr="006B3DB3">
              <w:rPr>
                <w:rFonts w:hint="eastAsia"/>
              </w:rPr>
              <w:t>ļ</w:t>
            </w:r>
            <w:r w:rsidRPr="006B3DB3">
              <w:t>u no Apliecin</w:t>
            </w:r>
            <w:r w:rsidRPr="006B3DB3">
              <w:rPr>
                <w:rFonts w:hint="eastAsia"/>
              </w:rPr>
              <w:t>ā</w:t>
            </w:r>
            <w:r w:rsidRPr="006B3DB3">
              <w:t>juma kart</w:t>
            </w:r>
            <w:r w:rsidRPr="006B3DB3">
              <w:rPr>
                <w:rFonts w:hint="eastAsia"/>
              </w:rPr>
              <w:t>ē</w:t>
            </w:r>
            <w:r w:rsidRPr="006B3DB3">
              <w:t>m, Paskaidrojuma rakstiem, B</w:t>
            </w:r>
            <w:r w:rsidRPr="006B3DB3">
              <w:rPr>
                <w:rFonts w:hint="eastAsia"/>
              </w:rPr>
              <w:t>ū</w:t>
            </w:r>
            <w:r w:rsidRPr="006B3DB3">
              <w:t>vat</w:t>
            </w:r>
            <w:r w:rsidRPr="006B3DB3">
              <w:rPr>
                <w:rFonts w:hint="eastAsia"/>
              </w:rPr>
              <w:t>ļ</w:t>
            </w:r>
            <w:r w:rsidRPr="006B3DB3">
              <w:t>auj</w:t>
            </w:r>
            <w:r w:rsidRPr="006B3DB3">
              <w:rPr>
                <w:rFonts w:hint="eastAsia"/>
              </w:rPr>
              <w:t>ā</w:t>
            </w:r>
            <w:r w:rsidRPr="006B3DB3">
              <w:t>m, kur</w:t>
            </w:r>
            <w:r w:rsidRPr="006B3DB3">
              <w:rPr>
                <w:rFonts w:hint="eastAsia"/>
              </w:rPr>
              <w:t>ā</w:t>
            </w:r>
            <w:r w:rsidRPr="006B3DB3">
              <w:t>m beidzies projekt</w:t>
            </w:r>
            <w:r w:rsidRPr="006B3DB3">
              <w:rPr>
                <w:rFonts w:hint="eastAsia"/>
              </w:rPr>
              <w:t>ēš</w:t>
            </w:r>
            <w:r w:rsidRPr="006B3DB3">
              <w:t>anas nosac</w:t>
            </w:r>
            <w:r w:rsidRPr="006B3DB3">
              <w:rPr>
                <w:rFonts w:hint="eastAsia"/>
              </w:rPr>
              <w:t>ī</w:t>
            </w:r>
            <w:r w:rsidRPr="006B3DB3">
              <w:t>jumu vai b</w:t>
            </w:r>
            <w:r w:rsidRPr="006B3DB3">
              <w:rPr>
                <w:rFonts w:hint="eastAsia"/>
              </w:rPr>
              <w:t>ū</w:t>
            </w:r>
            <w:r w:rsidRPr="006B3DB3">
              <w:t>vdarbu uzs</w:t>
            </w:r>
            <w:r w:rsidRPr="006B3DB3">
              <w:rPr>
                <w:rFonts w:hint="eastAsia"/>
              </w:rPr>
              <w:t>ā</w:t>
            </w:r>
            <w:r w:rsidRPr="006B3DB3">
              <w:t>kšanas nosac</w:t>
            </w:r>
            <w:r w:rsidRPr="006B3DB3">
              <w:rPr>
                <w:rFonts w:hint="eastAsia"/>
              </w:rPr>
              <w:t>ī</w:t>
            </w:r>
            <w:r w:rsidRPr="006B3DB3">
              <w:t>jumu izpildes termi</w:t>
            </w:r>
            <w:r w:rsidRPr="006B3DB3">
              <w:rPr>
                <w:rFonts w:hint="eastAsia"/>
              </w:rPr>
              <w:t>ņš</w:t>
            </w:r>
            <w:r w:rsidRPr="006B3DB3">
              <w:t xml:space="preserve"> ir beidzies, ir atc</w:t>
            </w:r>
            <w:r w:rsidRPr="006B3DB3">
              <w:rPr>
                <w:rFonts w:hint="eastAsia"/>
              </w:rPr>
              <w:t>ē</w:t>
            </w:r>
            <w:r w:rsidRPr="006B3DB3">
              <w:t>lušas.</w:t>
            </w:r>
          </w:p>
        </w:tc>
        <w:tc>
          <w:tcPr>
            <w:tcW w:w="3275" w:type="dxa"/>
            <w:gridSpan w:val="2"/>
            <w:tcBorders>
              <w:top w:val="single" w:sz="6" w:space="0" w:color="000000"/>
              <w:left w:val="single" w:sz="6" w:space="0" w:color="000000"/>
              <w:bottom w:val="single" w:sz="4" w:space="0" w:color="auto"/>
              <w:right w:val="single" w:sz="6" w:space="0" w:color="000000"/>
            </w:tcBorders>
          </w:tcPr>
          <w:p w14:paraId="3AA8BBAC" w14:textId="77777777" w:rsidR="004E2CF7" w:rsidRPr="002E36BE" w:rsidRDefault="004E2CF7" w:rsidP="004E2CF7">
            <w:pPr>
              <w:contextualSpacing/>
              <w:jc w:val="center"/>
              <w:rPr>
                <w:b/>
              </w:rPr>
            </w:pPr>
            <w:r w:rsidRPr="002E36BE">
              <w:rPr>
                <w:b/>
              </w:rPr>
              <w:lastRenderedPageBreak/>
              <w:t>Panākta vienošanās</w:t>
            </w:r>
          </w:p>
          <w:p w14:paraId="547F9BFA" w14:textId="77777777" w:rsidR="004E2CF7" w:rsidRPr="00D300AB" w:rsidRDefault="004E2CF7" w:rsidP="004E2CF7">
            <w:pPr>
              <w:contextualSpacing/>
              <w:jc w:val="both"/>
            </w:pPr>
            <w:r w:rsidRPr="00D300AB">
              <w:t xml:space="preserve">Termiņu maiņa attiecas tikai uz jaunām būvniecības iecerēm, kuras tiks akceptētas pēc MK noteikumu spēkā stāšanās. Pārējām būvniecības iecerēm, kuras uzsāktas pirms šo noteikumu spēkā stāšanās un tiek turpinās pēc minētā termiņa ir spēkā iepriekšējie </w:t>
            </w:r>
            <w:r w:rsidRPr="00D300AB">
              <w:lastRenderedPageBreak/>
              <w:t>būvniecības ieceres realizācijas termiņi.</w:t>
            </w:r>
          </w:p>
          <w:p w14:paraId="30C0DC3A" w14:textId="77777777" w:rsidR="004E2CF7" w:rsidRDefault="004E2CF7" w:rsidP="004E2CF7">
            <w:pPr>
              <w:ind w:firstLine="67"/>
              <w:contextualSpacing/>
              <w:jc w:val="both"/>
            </w:pPr>
            <w:r w:rsidRPr="00D300AB">
              <w:t>Būvatļaujas, kuras ir atceltas, jo tām beidzies projektēšanas nosacījumu vai būvdarbu uzsākšanas nosacījumu izpildes termiņš, nav spēkā. Šādas būvniecības ieceres jārealizē no jauna.</w:t>
            </w:r>
          </w:p>
          <w:p w14:paraId="44F5D9DF" w14:textId="71CD7BB4" w:rsidR="004E2CF7" w:rsidRPr="00D300AB" w:rsidRDefault="004E2CF7" w:rsidP="004E2CF7">
            <w:pPr>
              <w:ind w:firstLine="67"/>
              <w:contextualSpacing/>
              <w:jc w:val="both"/>
              <w:rPr>
                <w:b/>
              </w:rPr>
            </w:pPr>
            <w:r w:rsidRPr="00183D2F">
              <w:t>Vēršam uzmanību, ka attiecīgais Ēku būvnoteikumu punkts bija tieši radīts, lai pagarinātu iepriekš izdotos aktus. Šajā gadījumā, kad tas netiek darīts, pārejas regulējums nav nepieciešams – skaidrojums jau ir dots anotācijā.</w:t>
            </w:r>
          </w:p>
        </w:tc>
        <w:tc>
          <w:tcPr>
            <w:tcW w:w="3638" w:type="dxa"/>
            <w:gridSpan w:val="2"/>
            <w:tcBorders>
              <w:top w:val="single" w:sz="4" w:space="0" w:color="auto"/>
              <w:left w:val="single" w:sz="4" w:space="0" w:color="auto"/>
              <w:bottom w:val="single" w:sz="4" w:space="0" w:color="auto"/>
            </w:tcBorders>
          </w:tcPr>
          <w:p w14:paraId="26B4253E" w14:textId="56B6742B" w:rsidR="004E2CF7" w:rsidRPr="00D300AB" w:rsidRDefault="004E2CF7" w:rsidP="004E2CF7">
            <w:pPr>
              <w:ind w:left="57" w:right="57"/>
              <w:contextualSpacing/>
              <w:jc w:val="both"/>
              <w:rPr>
                <w:iCs/>
              </w:rPr>
            </w:pPr>
            <w:r>
              <w:rPr>
                <w:iCs/>
              </w:rPr>
              <w:lastRenderedPageBreak/>
              <w:t>-</w:t>
            </w:r>
          </w:p>
        </w:tc>
      </w:tr>
      <w:tr w:rsidR="004E2CF7" w:rsidRPr="0085135D" w14:paraId="6E5AA828"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4EC90F04" w14:textId="3C0DAB95" w:rsidR="004E2CF7" w:rsidRPr="00C6676A" w:rsidRDefault="004E2CF7" w:rsidP="004E2CF7">
            <w:pPr>
              <w:pStyle w:val="naisc"/>
              <w:spacing w:before="0" w:after="0"/>
              <w:ind w:left="60" w:right="57"/>
              <w:contextualSpacing/>
              <w:jc w:val="left"/>
            </w:pPr>
            <w:r>
              <w:t>5.</w:t>
            </w:r>
          </w:p>
        </w:tc>
        <w:tc>
          <w:tcPr>
            <w:tcW w:w="3680" w:type="dxa"/>
            <w:gridSpan w:val="2"/>
            <w:tcBorders>
              <w:top w:val="single" w:sz="6" w:space="0" w:color="000000"/>
              <w:left w:val="single" w:sz="6" w:space="0" w:color="000000"/>
              <w:bottom w:val="single" w:sz="4" w:space="0" w:color="auto"/>
              <w:right w:val="single" w:sz="6" w:space="0" w:color="000000"/>
            </w:tcBorders>
          </w:tcPr>
          <w:p w14:paraId="1251E8FE" w14:textId="64F29079" w:rsidR="004E2CF7" w:rsidRPr="00D300AB" w:rsidRDefault="004E2CF7" w:rsidP="004E2CF7">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14:paraId="46C7F4A3" w14:textId="77777777" w:rsidR="004E2CF7" w:rsidRPr="006B3DB3" w:rsidRDefault="004E2CF7" w:rsidP="004E2CF7">
            <w:pPr>
              <w:pStyle w:val="naisc"/>
              <w:spacing w:before="0" w:after="0"/>
              <w:ind w:left="57" w:right="57"/>
              <w:contextualSpacing/>
              <w:jc w:val="both"/>
              <w:rPr>
                <w:b/>
                <w:u w:val="single"/>
              </w:rPr>
            </w:pPr>
            <w:r w:rsidRPr="006B3DB3">
              <w:rPr>
                <w:b/>
                <w:u w:val="single"/>
              </w:rPr>
              <w:t>Latvijas Pašvaldību savienība:</w:t>
            </w:r>
          </w:p>
          <w:p w14:paraId="6B641843" w14:textId="0000DDCC" w:rsidR="004E2CF7" w:rsidRPr="00373200" w:rsidRDefault="004E2CF7" w:rsidP="004E2CF7">
            <w:pPr>
              <w:pStyle w:val="naisc"/>
              <w:spacing w:before="0" w:after="0"/>
              <w:ind w:left="57" w:right="57"/>
              <w:contextualSpacing/>
              <w:jc w:val="both"/>
            </w:pPr>
            <w:r w:rsidRPr="006B3DB3">
              <w:t>Saist</w:t>
            </w:r>
            <w:r w:rsidRPr="006B3DB3">
              <w:rPr>
                <w:rFonts w:hint="eastAsia"/>
              </w:rPr>
              <w:t>ī</w:t>
            </w:r>
            <w:r w:rsidRPr="006B3DB3">
              <w:t>b</w:t>
            </w:r>
            <w:r w:rsidRPr="006B3DB3">
              <w:rPr>
                <w:rFonts w:hint="eastAsia"/>
              </w:rPr>
              <w:t>ā</w:t>
            </w:r>
            <w:r w:rsidRPr="006B3DB3">
              <w:t xml:space="preserve"> ar projekt</w:t>
            </w:r>
            <w:r w:rsidRPr="006B3DB3">
              <w:rPr>
                <w:rFonts w:hint="eastAsia"/>
              </w:rPr>
              <w:t>ēš</w:t>
            </w:r>
            <w:r w:rsidRPr="006B3DB3">
              <w:t>anas nosac</w:t>
            </w:r>
            <w:r w:rsidRPr="006B3DB3">
              <w:rPr>
                <w:rFonts w:hint="eastAsia"/>
              </w:rPr>
              <w:t>ī</w:t>
            </w:r>
            <w:r w:rsidRPr="006B3DB3">
              <w:t>jumu izpildes termi</w:t>
            </w:r>
            <w:r w:rsidRPr="006B3DB3">
              <w:rPr>
                <w:rFonts w:hint="eastAsia"/>
              </w:rPr>
              <w:t>ņ</w:t>
            </w:r>
            <w:r w:rsidRPr="006B3DB3">
              <w:t>a mai</w:t>
            </w:r>
            <w:r w:rsidRPr="006B3DB3">
              <w:rPr>
                <w:rFonts w:hint="eastAsia"/>
              </w:rPr>
              <w:t>ņ</w:t>
            </w:r>
            <w:r w:rsidRPr="006B3DB3">
              <w:t>u uz pieciem gadiem, un, iev</w:t>
            </w:r>
            <w:r w:rsidRPr="006B3DB3">
              <w:rPr>
                <w:rFonts w:hint="eastAsia"/>
              </w:rPr>
              <w:t>ē</w:t>
            </w:r>
            <w:r w:rsidRPr="006B3DB3">
              <w:t>rojot to, ka Tehnisko noteikumu der</w:t>
            </w:r>
            <w:r w:rsidRPr="006B3DB3">
              <w:rPr>
                <w:rFonts w:hint="eastAsia"/>
              </w:rPr>
              <w:t>ī</w:t>
            </w:r>
            <w:r w:rsidRPr="006B3DB3">
              <w:t>guma termi</w:t>
            </w:r>
            <w:r w:rsidRPr="006B3DB3">
              <w:rPr>
                <w:rFonts w:hint="eastAsia"/>
              </w:rPr>
              <w:t>ņš</w:t>
            </w:r>
            <w:r w:rsidRPr="006B3DB3">
              <w:t xml:space="preserve"> parasti ir  viens vai divi gadi, l</w:t>
            </w:r>
            <w:r w:rsidRPr="006B3DB3">
              <w:rPr>
                <w:rFonts w:hint="eastAsia"/>
              </w:rPr>
              <w:t>ū</w:t>
            </w:r>
            <w:r w:rsidRPr="006B3DB3">
              <w:t>dzam preciz</w:t>
            </w:r>
            <w:r w:rsidRPr="006B3DB3">
              <w:rPr>
                <w:rFonts w:hint="eastAsia"/>
              </w:rPr>
              <w:t>ē</w:t>
            </w:r>
            <w:r w:rsidRPr="006B3DB3">
              <w:t>t b</w:t>
            </w:r>
            <w:r w:rsidRPr="006B3DB3">
              <w:rPr>
                <w:rFonts w:hint="eastAsia"/>
              </w:rPr>
              <w:t>ū</w:t>
            </w:r>
            <w:r w:rsidRPr="006B3DB3">
              <w:t>vniec</w:t>
            </w:r>
            <w:r w:rsidRPr="006B3DB3">
              <w:rPr>
                <w:rFonts w:hint="eastAsia"/>
              </w:rPr>
              <w:t>ī</w:t>
            </w:r>
            <w:r w:rsidRPr="006B3DB3">
              <w:t>bas ierosin</w:t>
            </w:r>
            <w:r w:rsidRPr="006B3DB3">
              <w:rPr>
                <w:rFonts w:hint="eastAsia"/>
              </w:rPr>
              <w:t>ā</w:t>
            </w:r>
            <w:r w:rsidRPr="006B3DB3">
              <w:t>t</w:t>
            </w:r>
            <w:r w:rsidRPr="006B3DB3">
              <w:rPr>
                <w:rFonts w:hint="eastAsia"/>
              </w:rPr>
              <w:t>ā</w:t>
            </w:r>
            <w:r w:rsidRPr="006B3DB3">
              <w:t>ja un tehnisko noteikumu izdev</w:t>
            </w:r>
            <w:r w:rsidRPr="006B3DB3">
              <w:rPr>
                <w:rFonts w:hint="eastAsia"/>
              </w:rPr>
              <w:t>ē</w:t>
            </w:r>
            <w:r w:rsidRPr="006B3DB3">
              <w:t>ja r</w:t>
            </w:r>
            <w:r w:rsidRPr="006B3DB3">
              <w:rPr>
                <w:rFonts w:hint="eastAsia"/>
              </w:rPr>
              <w:t>ī</w:t>
            </w:r>
            <w:r w:rsidRPr="006B3DB3">
              <w:t>c</w:t>
            </w:r>
            <w:r w:rsidRPr="006B3DB3">
              <w:rPr>
                <w:rFonts w:hint="eastAsia"/>
              </w:rPr>
              <w:t>ī</w:t>
            </w:r>
            <w:r w:rsidRPr="006B3DB3">
              <w:t>bu gad</w:t>
            </w:r>
            <w:r w:rsidRPr="006B3DB3">
              <w:rPr>
                <w:rFonts w:hint="eastAsia"/>
              </w:rPr>
              <w:t>ī</w:t>
            </w:r>
            <w:r w:rsidRPr="006B3DB3">
              <w:t>jumos, kad beidzies der</w:t>
            </w:r>
            <w:r w:rsidRPr="006B3DB3">
              <w:rPr>
                <w:rFonts w:hint="eastAsia"/>
              </w:rPr>
              <w:t>ī</w:t>
            </w:r>
            <w:r w:rsidRPr="006B3DB3">
              <w:t>guma termi</w:t>
            </w:r>
            <w:r w:rsidRPr="006B3DB3">
              <w:rPr>
                <w:rFonts w:hint="eastAsia"/>
              </w:rPr>
              <w:t>ņš</w:t>
            </w:r>
            <w:r w:rsidRPr="006B3DB3">
              <w:t>, bet b</w:t>
            </w:r>
            <w:r w:rsidRPr="006B3DB3">
              <w:rPr>
                <w:rFonts w:hint="eastAsia"/>
              </w:rPr>
              <w:t>ū</w:t>
            </w:r>
            <w:r w:rsidRPr="006B3DB3">
              <w:t>vprojekts kopum</w:t>
            </w:r>
            <w:r w:rsidRPr="006B3DB3">
              <w:rPr>
                <w:rFonts w:hint="eastAsia"/>
              </w:rPr>
              <w:t>ā</w:t>
            </w:r>
            <w:r w:rsidRPr="006B3DB3">
              <w:t xml:space="preserve"> B</w:t>
            </w:r>
            <w:r w:rsidRPr="006B3DB3">
              <w:rPr>
                <w:rFonts w:hint="eastAsia"/>
              </w:rPr>
              <w:t>ū</w:t>
            </w:r>
            <w:r w:rsidRPr="006B3DB3">
              <w:t>vvald</w:t>
            </w:r>
            <w:r w:rsidRPr="006B3DB3">
              <w:rPr>
                <w:rFonts w:hint="eastAsia"/>
              </w:rPr>
              <w:t>ē</w:t>
            </w:r>
            <w:r w:rsidRPr="006B3DB3">
              <w:t xml:space="preserve"> v</w:t>
            </w:r>
            <w:r w:rsidRPr="006B3DB3">
              <w:rPr>
                <w:rFonts w:hint="eastAsia"/>
              </w:rPr>
              <w:t>ē</w:t>
            </w:r>
            <w:r w:rsidRPr="006B3DB3">
              <w:t>l nav iesniegts.</w:t>
            </w:r>
          </w:p>
        </w:tc>
        <w:tc>
          <w:tcPr>
            <w:tcW w:w="3275" w:type="dxa"/>
            <w:gridSpan w:val="2"/>
            <w:tcBorders>
              <w:top w:val="single" w:sz="6" w:space="0" w:color="000000"/>
              <w:left w:val="single" w:sz="6" w:space="0" w:color="000000"/>
              <w:bottom w:val="single" w:sz="4" w:space="0" w:color="auto"/>
              <w:right w:val="single" w:sz="6" w:space="0" w:color="000000"/>
            </w:tcBorders>
          </w:tcPr>
          <w:p w14:paraId="490790D9" w14:textId="77777777" w:rsidR="004E2CF7" w:rsidRPr="002E36BE" w:rsidRDefault="004E2CF7" w:rsidP="004E2CF7">
            <w:pPr>
              <w:ind w:firstLine="67"/>
              <w:contextualSpacing/>
              <w:jc w:val="center"/>
              <w:rPr>
                <w:b/>
              </w:rPr>
            </w:pPr>
            <w:r w:rsidRPr="002E36BE">
              <w:rPr>
                <w:b/>
              </w:rPr>
              <w:t>Panākta vienošanās</w:t>
            </w:r>
          </w:p>
          <w:p w14:paraId="6A211856" w14:textId="77777777" w:rsidR="004E2CF7" w:rsidRPr="00D300AB" w:rsidRDefault="004E2CF7" w:rsidP="004E2CF7">
            <w:pPr>
              <w:ind w:firstLine="67"/>
              <w:contextualSpacing/>
              <w:jc w:val="both"/>
              <w:rPr>
                <w:bCs/>
              </w:rPr>
            </w:pPr>
            <w:r w:rsidRPr="00D300AB">
              <w:rPr>
                <w:bCs/>
              </w:rPr>
              <w:t>Tehnisko noteikumu derīguma termiņš un saskaņojuma nepieciešamība par tehnisko noteikumu izpildi ir tehnisko noteikumu izdevēja nosacījums.</w:t>
            </w:r>
          </w:p>
          <w:p w14:paraId="7A03A0D2" w14:textId="12AF9C0C" w:rsidR="004E2CF7" w:rsidRPr="005B072F" w:rsidRDefault="004E2CF7" w:rsidP="004E2CF7">
            <w:pPr>
              <w:ind w:firstLine="67"/>
              <w:contextualSpacing/>
              <w:jc w:val="both"/>
              <w:rPr>
                <w:b/>
              </w:rPr>
            </w:pPr>
            <w:r w:rsidRPr="00D300AB">
              <w:rPr>
                <w:bCs/>
              </w:rPr>
              <w:t>Būvvaldes pienākums ir pārliecināties, ka ir tehnisko noteikumu izdevēja saskaņojums, ja tāds ir nepieciešams, nevis vērtēt tehnisko noteikumu derīguma termiņu.</w:t>
            </w:r>
          </w:p>
        </w:tc>
        <w:tc>
          <w:tcPr>
            <w:tcW w:w="3638" w:type="dxa"/>
            <w:gridSpan w:val="2"/>
            <w:tcBorders>
              <w:top w:val="single" w:sz="4" w:space="0" w:color="auto"/>
              <w:left w:val="single" w:sz="4" w:space="0" w:color="auto"/>
              <w:bottom w:val="single" w:sz="4" w:space="0" w:color="auto"/>
            </w:tcBorders>
          </w:tcPr>
          <w:p w14:paraId="783D9A70" w14:textId="489D5443" w:rsidR="004E2CF7" w:rsidRPr="00D300AB" w:rsidRDefault="004E2CF7" w:rsidP="004E2CF7">
            <w:pPr>
              <w:ind w:left="57" w:right="57"/>
              <w:contextualSpacing/>
              <w:jc w:val="both"/>
              <w:rPr>
                <w:iCs/>
              </w:rPr>
            </w:pPr>
            <w:r>
              <w:rPr>
                <w:iCs/>
              </w:rPr>
              <w:t>-</w:t>
            </w:r>
          </w:p>
        </w:tc>
      </w:tr>
      <w:tr w:rsidR="004E2CF7" w:rsidRPr="0085135D" w14:paraId="0FDCB3AC"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B4DB41C" w14:textId="046D8314" w:rsidR="004E2CF7" w:rsidRPr="00C6676A" w:rsidRDefault="004E2CF7" w:rsidP="004E2CF7">
            <w:pPr>
              <w:pStyle w:val="naisc"/>
              <w:spacing w:before="0" w:after="0"/>
              <w:ind w:left="60" w:right="57"/>
              <w:contextualSpacing/>
              <w:jc w:val="left"/>
            </w:pPr>
            <w:r>
              <w:t>6.</w:t>
            </w:r>
          </w:p>
        </w:tc>
        <w:tc>
          <w:tcPr>
            <w:tcW w:w="3680" w:type="dxa"/>
            <w:gridSpan w:val="2"/>
            <w:tcBorders>
              <w:top w:val="single" w:sz="6" w:space="0" w:color="000000"/>
              <w:left w:val="single" w:sz="6" w:space="0" w:color="000000"/>
              <w:bottom w:val="single" w:sz="4" w:space="0" w:color="auto"/>
              <w:right w:val="single" w:sz="6" w:space="0" w:color="000000"/>
            </w:tcBorders>
          </w:tcPr>
          <w:p w14:paraId="3001944E" w14:textId="77777777" w:rsidR="004E2CF7" w:rsidRPr="003D3BC6" w:rsidRDefault="004E2CF7" w:rsidP="004E2CF7">
            <w:pPr>
              <w:jc w:val="both"/>
              <w:rPr>
                <w:shd w:val="clear" w:color="auto" w:fill="FFFFFF"/>
              </w:rPr>
            </w:pPr>
            <w:r w:rsidRPr="003D3BC6">
              <w:rPr>
                <w:shd w:val="clear" w:color="auto" w:fill="FFFFFF"/>
              </w:rPr>
              <w:t>109. Papildināt noteikumus ar 9.</w:t>
            </w:r>
            <w:r w:rsidRPr="003D3BC6">
              <w:rPr>
                <w:shd w:val="clear" w:color="auto" w:fill="FFFFFF"/>
                <w:vertAlign w:val="superscript"/>
              </w:rPr>
              <w:t>1</w:t>
            </w:r>
            <w:r w:rsidRPr="003D3BC6">
              <w:rPr>
                <w:shd w:val="clear" w:color="auto" w:fill="FFFFFF"/>
              </w:rPr>
              <w:t> nodaļu šādā redakcijā:</w:t>
            </w:r>
          </w:p>
          <w:p w14:paraId="47A347F5" w14:textId="77777777" w:rsidR="004E2CF7" w:rsidRPr="003D3BC6" w:rsidRDefault="004E2CF7" w:rsidP="004E2CF7">
            <w:pPr>
              <w:jc w:val="both"/>
              <w:rPr>
                <w:shd w:val="clear" w:color="auto" w:fill="FFFFFF"/>
              </w:rPr>
            </w:pPr>
          </w:p>
          <w:p w14:paraId="5E0C50C1" w14:textId="77777777" w:rsidR="004E2CF7" w:rsidRPr="003D3BC6" w:rsidRDefault="004E2CF7" w:rsidP="004E2CF7">
            <w:pPr>
              <w:jc w:val="center"/>
              <w:rPr>
                <w:shd w:val="clear" w:color="auto" w:fill="FFFFFF"/>
              </w:rPr>
            </w:pPr>
            <w:r w:rsidRPr="003D3BC6">
              <w:rPr>
                <w:shd w:val="clear" w:color="auto" w:fill="FFFFFF"/>
              </w:rPr>
              <w:t>“</w:t>
            </w:r>
            <w:r w:rsidRPr="003D3BC6">
              <w:rPr>
                <w:b/>
                <w:shd w:val="clear" w:color="auto" w:fill="FFFFFF"/>
              </w:rPr>
              <w:t>9.</w:t>
            </w:r>
            <w:r w:rsidRPr="003D3BC6">
              <w:rPr>
                <w:b/>
                <w:shd w:val="clear" w:color="auto" w:fill="FFFFFF"/>
                <w:vertAlign w:val="superscript"/>
              </w:rPr>
              <w:t>1</w:t>
            </w:r>
            <w:r w:rsidRPr="003D3BC6">
              <w:rPr>
                <w:b/>
                <w:shd w:val="clear" w:color="auto" w:fill="FFFFFF"/>
              </w:rPr>
              <w:t> Būvniecības administratīvais process neizmantojot būvniecības informācijas sistēmu</w:t>
            </w:r>
          </w:p>
          <w:p w14:paraId="744C68C0" w14:textId="33EDF7B6" w:rsidR="004E2CF7" w:rsidRDefault="004E2CF7" w:rsidP="004E2CF7">
            <w:pPr>
              <w:pStyle w:val="naisc"/>
              <w:spacing w:before="0" w:after="0"/>
              <w:ind w:left="57" w:right="57"/>
              <w:contextualSpacing/>
              <w:jc w:val="both"/>
              <w:rPr>
                <w:shd w:val="clear" w:color="auto" w:fill="FFFFFF"/>
              </w:rPr>
            </w:pPr>
            <w:r>
              <w:rPr>
                <w:shd w:val="clear" w:color="auto" w:fill="FFFFFF"/>
              </w:rPr>
              <w:t>…</w:t>
            </w:r>
          </w:p>
          <w:p w14:paraId="3F034587" w14:textId="271BE5D2" w:rsidR="004E2CF7" w:rsidRPr="00486F68" w:rsidRDefault="004E2CF7" w:rsidP="004E2CF7">
            <w:pPr>
              <w:pStyle w:val="naisc"/>
              <w:spacing w:before="0" w:after="0"/>
              <w:ind w:left="57" w:right="57"/>
              <w:contextualSpacing/>
              <w:jc w:val="both"/>
              <w:rPr>
                <w:i/>
                <w:highlight w:val="yellow"/>
              </w:rPr>
            </w:pPr>
            <w:r w:rsidRPr="003D3BC6">
              <w:rPr>
                <w:shd w:val="clear" w:color="auto" w:fill="FFFFFF"/>
              </w:rPr>
              <w:t>223.</w:t>
            </w:r>
            <w:r w:rsidRPr="003D3BC6">
              <w:rPr>
                <w:shd w:val="clear" w:color="auto" w:fill="FFFFFF"/>
                <w:vertAlign w:val="superscript"/>
              </w:rPr>
              <w:t>3</w:t>
            </w:r>
            <w:r w:rsidRPr="003D3BC6">
              <w:rPr>
                <w:shd w:val="clear" w:color="auto" w:fill="FFFFFF"/>
              </w:rPr>
              <w:t xml:space="preserve"> Būvniecības ieceres dokumentāciju, būvprojektu, kā arī izmainītās būvprojekta daļas izstrādā trijos eksemplāros (ar atbildīgā </w:t>
            </w:r>
            <w:proofErr w:type="spellStart"/>
            <w:r w:rsidRPr="003D3BC6">
              <w:rPr>
                <w:shd w:val="clear" w:color="auto" w:fill="FFFFFF"/>
              </w:rPr>
              <w:t>būvspeciālista</w:t>
            </w:r>
            <w:proofErr w:type="spellEnd"/>
            <w:r w:rsidRPr="003D3BC6">
              <w:rPr>
                <w:shd w:val="clear" w:color="auto" w:fill="FFFFFF"/>
              </w:rPr>
              <w:t xml:space="preserve"> un būvniecības ierosinātāja parakstiem un saskaņojumiem uz būvprojekta ģenerālplāna), izņemot būvniecības iesniegumu, bet Būvniecības likuma 6.</w:t>
            </w:r>
            <w:r w:rsidRPr="003D3BC6">
              <w:rPr>
                <w:shd w:val="clear" w:color="auto" w:fill="FFFFFF"/>
                <w:vertAlign w:val="superscript"/>
              </w:rPr>
              <w:t>1 </w:t>
            </w:r>
            <w:r w:rsidRPr="003D3BC6">
              <w:rPr>
                <w:shd w:val="clear" w:color="auto" w:fill="FFFFFF"/>
              </w:rPr>
              <w:t>panta pirmās daļas 1. punktā minētajos gadījumos – četros eksemplāros. Ja būvniecības ierosinātājs pats izstrādā būvniecības ieceres dokumentāciju, to sagatavo divos eksemplāros.</w:t>
            </w:r>
          </w:p>
        </w:tc>
        <w:tc>
          <w:tcPr>
            <w:tcW w:w="4386" w:type="dxa"/>
            <w:gridSpan w:val="2"/>
            <w:tcBorders>
              <w:top w:val="single" w:sz="6" w:space="0" w:color="000000"/>
              <w:left w:val="single" w:sz="6" w:space="0" w:color="000000"/>
              <w:bottom w:val="single" w:sz="4" w:space="0" w:color="auto"/>
              <w:right w:val="single" w:sz="6" w:space="0" w:color="000000"/>
            </w:tcBorders>
          </w:tcPr>
          <w:p w14:paraId="1982D249" w14:textId="77777777" w:rsidR="004E2CF7" w:rsidRPr="003D3BC6" w:rsidRDefault="004E2CF7" w:rsidP="004E2CF7">
            <w:pPr>
              <w:pStyle w:val="naisc"/>
              <w:spacing w:before="0" w:after="0"/>
              <w:ind w:left="57" w:right="57"/>
              <w:contextualSpacing/>
              <w:jc w:val="both"/>
              <w:rPr>
                <w:b/>
                <w:u w:val="single"/>
              </w:rPr>
            </w:pPr>
            <w:r w:rsidRPr="003D3BC6">
              <w:rPr>
                <w:b/>
                <w:u w:val="single"/>
              </w:rPr>
              <w:lastRenderedPageBreak/>
              <w:t>Tieslietu ministrija:</w:t>
            </w:r>
          </w:p>
          <w:p w14:paraId="4AC9E9A6" w14:textId="77777777" w:rsidR="004E2CF7" w:rsidRPr="003D3BC6" w:rsidRDefault="004E2CF7" w:rsidP="004E2CF7">
            <w:pPr>
              <w:pStyle w:val="NormalWeb"/>
              <w:spacing w:before="0" w:beforeAutospacing="0" w:after="0" w:afterAutospacing="0"/>
              <w:jc w:val="both"/>
            </w:pPr>
            <w:r w:rsidRPr="003D3BC6">
              <w:lastRenderedPageBreak/>
              <w:t>2. Projekts paredz papildināt Ministru kabineta 2014. gada 2. septembra noteikumus Nr. 529 "Ēku būvnoteikumi" (turpmāk – noteikumi) ar jaunu nodaļu "Būvniecības administratīvais process, neizmantojot būvniecības informācijas sistēmu".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14:paraId="3F1568CF" w14:textId="77777777" w:rsidR="004E2CF7" w:rsidRPr="003D3BC6" w:rsidRDefault="004E2CF7" w:rsidP="004E2CF7">
            <w:pPr>
              <w:pStyle w:val="NormalWeb"/>
              <w:spacing w:before="0" w:beforeAutospacing="0" w:after="0" w:afterAutospacing="0"/>
              <w:jc w:val="both"/>
            </w:pPr>
            <w:r w:rsidRPr="003D3BC6">
              <w:t>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3D3BC6">
              <w:rPr>
                <w:i/>
                <w:iCs/>
              </w:rPr>
              <w:t xml:space="preserve">sal. Normatīvo aktu </w:t>
            </w:r>
            <w:r w:rsidRPr="003D3BC6">
              <w:rPr>
                <w:i/>
                <w:iCs/>
              </w:rPr>
              <w:lastRenderedPageBreak/>
              <w:t>projektu izstrādes rokasgrāmata, https://tai.mk.gov.lv/book/1/chapter/98</w:t>
            </w:r>
            <w:r w:rsidRPr="003D3BC6">
              <w:t>).</w:t>
            </w:r>
          </w:p>
          <w:p w14:paraId="3362AF6E" w14:textId="77777777" w:rsidR="004E2CF7" w:rsidRPr="003D3BC6" w:rsidRDefault="004E2CF7" w:rsidP="004E2CF7">
            <w:pPr>
              <w:pStyle w:val="NormalWeb"/>
              <w:spacing w:before="0" w:beforeAutospacing="0" w:after="0" w:afterAutospacing="0"/>
              <w:jc w:val="both"/>
            </w:pPr>
            <w:r w:rsidRPr="003D3BC6">
              <w:t>Tāpat Būvniecības likuma pārejas noteikumu 22., 23. un 24. punktā jau ir noteikts regulējums saistībā ar t. s. "papīra" būvniecības procesu.</w:t>
            </w:r>
          </w:p>
          <w:p w14:paraId="757A4883" w14:textId="77777777" w:rsidR="004E2CF7" w:rsidRDefault="004E2CF7" w:rsidP="004E2CF7">
            <w:pPr>
              <w:pStyle w:val="NormalWeb"/>
              <w:spacing w:before="0" w:beforeAutospacing="0" w:after="0" w:afterAutospacing="0"/>
              <w:jc w:val="both"/>
            </w:pPr>
            <w:r w:rsidRPr="003D3BC6">
              <w:t>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p w14:paraId="090DCE65" w14:textId="77777777" w:rsidR="004E2CF7" w:rsidRDefault="004E2CF7" w:rsidP="004E2CF7">
            <w:pPr>
              <w:pStyle w:val="NormalWeb"/>
              <w:spacing w:before="0" w:beforeAutospacing="0" w:after="0" w:afterAutospacing="0"/>
              <w:jc w:val="both"/>
            </w:pPr>
          </w:p>
          <w:p w14:paraId="20467BDF" w14:textId="04191F30" w:rsidR="004E2CF7" w:rsidRPr="003D3BC6" w:rsidRDefault="004E2CF7" w:rsidP="004E2CF7">
            <w:pPr>
              <w:pStyle w:val="naisc"/>
              <w:spacing w:before="0" w:after="0"/>
              <w:ind w:left="57" w:right="57"/>
              <w:contextualSpacing/>
              <w:jc w:val="both"/>
              <w:rPr>
                <w:b/>
                <w:u w:val="single"/>
              </w:rPr>
            </w:pPr>
            <w:r>
              <w:rPr>
                <w:b/>
                <w:u w:val="single"/>
              </w:rPr>
              <w:t xml:space="preserve">Latvijas Lielo </w:t>
            </w:r>
            <w:r w:rsidR="0086702A">
              <w:rPr>
                <w:b/>
                <w:u w:val="single"/>
              </w:rPr>
              <w:t xml:space="preserve">pilsētu </w:t>
            </w:r>
            <w:r>
              <w:rPr>
                <w:b/>
                <w:u w:val="single"/>
              </w:rPr>
              <w:t>asociācij</w:t>
            </w:r>
            <w:r w:rsidR="0086702A">
              <w:rPr>
                <w:b/>
                <w:u w:val="single"/>
              </w:rPr>
              <w:t>a</w:t>
            </w:r>
            <w:r>
              <w:rPr>
                <w:b/>
                <w:u w:val="single"/>
              </w:rPr>
              <w:t xml:space="preserve"> (</w:t>
            </w:r>
            <w:r w:rsidRPr="003D3BC6">
              <w:rPr>
                <w:b/>
                <w:u w:val="single"/>
              </w:rPr>
              <w:t>Rīgas pilsētas būvvalde</w:t>
            </w:r>
            <w:r>
              <w:rPr>
                <w:b/>
                <w:u w:val="single"/>
              </w:rPr>
              <w:t>)</w:t>
            </w:r>
            <w:r w:rsidRPr="003D3BC6">
              <w:rPr>
                <w:b/>
                <w:u w:val="single"/>
              </w:rPr>
              <w:t>:</w:t>
            </w:r>
          </w:p>
          <w:p w14:paraId="4ABDEC28" w14:textId="5BDFCECF" w:rsidR="004E2CF7" w:rsidRDefault="004E2CF7" w:rsidP="004E2CF7">
            <w:pPr>
              <w:pStyle w:val="NormalWeb"/>
              <w:spacing w:before="0" w:beforeAutospacing="0" w:after="0" w:afterAutospacing="0"/>
              <w:jc w:val="both"/>
            </w:pPr>
            <w:r w:rsidRPr="003D3BC6">
              <w:t>Būvvalde konstatē, ka Projekti neatrunā gadījumu, ja līdz 31.12.2019. būvniecības process uzsākts elektroniski, neizmantojot BIS, Līdz ar to Projektu attiecīgie punkti ir jāpapildina ar vārdiem: “elektroniski – vienā eksemplārā”.</w:t>
            </w:r>
          </w:p>
          <w:p w14:paraId="340DB530" w14:textId="77777777" w:rsidR="009147DE" w:rsidRDefault="009147DE" w:rsidP="004E2CF7">
            <w:pPr>
              <w:pStyle w:val="NormalWeb"/>
              <w:spacing w:before="0" w:beforeAutospacing="0" w:after="0" w:afterAutospacing="0"/>
              <w:jc w:val="both"/>
            </w:pPr>
          </w:p>
          <w:p w14:paraId="5BD52A73" w14:textId="290F40FF" w:rsidR="004E2CF7" w:rsidRPr="004E2CF7" w:rsidRDefault="004E2CF7" w:rsidP="009147DE">
            <w:pPr>
              <w:pStyle w:val="NormalWeb"/>
              <w:spacing w:before="0" w:beforeAutospacing="0" w:after="0" w:afterAutospacing="0"/>
              <w:rPr>
                <w:b/>
                <w:u w:val="single"/>
              </w:rPr>
            </w:pPr>
            <w:r w:rsidRPr="004E2CF7">
              <w:rPr>
                <w:b/>
                <w:u w:val="single"/>
              </w:rPr>
              <w:t xml:space="preserve">Latvijas Lielo </w:t>
            </w:r>
            <w:r w:rsidR="0086702A">
              <w:rPr>
                <w:b/>
                <w:u w:val="single"/>
              </w:rPr>
              <w:t xml:space="preserve">pilsētu </w:t>
            </w:r>
            <w:r w:rsidRPr="004E2CF7">
              <w:rPr>
                <w:b/>
                <w:u w:val="single"/>
              </w:rPr>
              <w:t>asociācij</w:t>
            </w:r>
            <w:r w:rsidR="0086702A">
              <w:rPr>
                <w:b/>
                <w:u w:val="single"/>
              </w:rPr>
              <w:t>a</w:t>
            </w:r>
            <w:r w:rsidRPr="004E2CF7">
              <w:rPr>
                <w:b/>
                <w:u w:val="single"/>
              </w:rPr>
              <w:t xml:space="preserve"> (Rīgas pilsētas būvvalde)</w:t>
            </w:r>
            <w:r>
              <w:rPr>
                <w:b/>
                <w:u w:val="single"/>
              </w:rPr>
              <w:t xml:space="preserve"> – 25.09.2019.</w:t>
            </w:r>
            <w:r w:rsidRPr="004E2CF7">
              <w:rPr>
                <w:b/>
                <w:u w:val="single"/>
              </w:rPr>
              <w:t>:</w:t>
            </w:r>
          </w:p>
          <w:p w14:paraId="6443C956" w14:textId="77777777" w:rsidR="004E2CF7" w:rsidRPr="004E2CF7" w:rsidRDefault="004E2CF7" w:rsidP="004E2CF7">
            <w:pPr>
              <w:pStyle w:val="NormalWeb"/>
              <w:spacing w:before="0" w:beforeAutospacing="0" w:after="0" w:afterAutospacing="0"/>
              <w:jc w:val="both"/>
              <w:rPr>
                <w:b/>
                <w:u w:val="single"/>
              </w:rPr>
            </w:pPr>
            <w:r w:rsidRPr="004E2CF7">
              <w:t xml:space="preserve">Atbilstoši noteikumu projektos noteiktajam elektroniskajiem būvniecības procesiem, kuri tiek turpināti pēc 01.01.2020. ārpus BIS, būs jāpievieno būvniecības ieceres </w:t>
            </w:r>
            <w:r w:rsidRPr="004E2CF7">
              <w:lastRenderedPageBreak/>
              <w:t xml:space="preserve">dokumentācija BIS. Ņemot vērā, ka būvniecības process pārejas posmā tiks turpināts ārpus BIS, secināms, ka saņemtās dokumenta datnes būvvaldēm būs manuāli jāpievieno BIS. Ņemot vērā, ka minētajām darbībām ir nepieciešams papildu administratīvais resurss, </w:t>
            </w:r>
            <w:r w:rsidRPr="004E2CF7">
              <w:rPr>
                <w:bCs/>
                <w:u w:val="single"/>
              </w:rPr>
              <w:t>iebilstam pret noteikumu projektu turpmāko virzību daļā par būvvalžu pienākumu pievienot BIS saņemtās būvniecības ieceres dokumentācijas elektroniskās datnes līdz 31.12.2019. ārpus BIS elektroniski iesāktajiem būvniecības procesiem.</w:t>
            </w:r>
          </w:p>
          <w:p w14:paraId="7B8F1E16" w14:textId="2754235A" w:rsidR="004E2CF7" w:rsidRPr="00486F68" w:rsidRDefault="004E2CF7" w:rsidP="004E2CF7">
            <w:pPr>
              <w:pStyle w:val="NormalWeb"/>
              <w:spacing w:before="0" w:beforeAutospacing="0" w:after="0" w:afterAutospacing="0"/>
              <w:jc w:val="both"/>
              <w:rPr>
                <w:highlight w:val="yellow"/>
              </w:rPr>
            </w:pPr>
            <w:r w:rsidRPr="004E2CF7">
              <w:rPr>
                <w:u w:val="single"/>
              </w:rPr>
              <w:t>Ir jānosaka pārejas posms (būvniecības ierosinātāja tiesības līdz 31.12.2019. uzsākto būvniecības procesu turpināt ārpus BIS) ne vien uz papīra formas būvniecības ieceres dokumentāciju, bet arī uz elektroniskās formas būvniecības ieceres dokumentāciju.</w:t>
            </w:r>
          </w:p>
        </w:tc>
        <w:tc>
          <w:tcPr>
            <w:tcW w:w="3275" w:type="dxa"/>
            <w:gridSpan w:val="2"/>
            <w:tcBorders>
              <w:top w:val="single" w:sz="6" w:space="0" w:color="000000"/>
              <w:left w:val="single" w:sz="6" w:space="0" w:color="000000"/>
              <w:bottom w:val="single" w:sz="4" w:space="0" w:color="auto"/>
              <w:right w:val="single" w:sz="6" w:space="0" w:color="000000"/>
            </w:tcBorders>
          </w:tcPr>
          <w:p w14:paraId="445A0956" w14:textId="77777777" w:rsidR="004E2CF7" w:rsidRPr="00BB0FFC" w:rsidRDefault="004E2CF7" w:rsidP="004E2CF7">
            <w:pPr>
              <w:ind w:firstLine="67"/>
              <w:contextualSpacing/>
              <w:jc w:val="center"/>
              <w:rPr>
                <w:b/>
                <w:bCs/>
              </w:rPr>
            </w:pPr>
            <w:r w:rsidRPr="00BB0FFC">
              <w:rPr>
                <w:b/>
                <w:bCs/>
              </w:rPr>
              <w:lastRenderedPageBreak/>
              <w:t>Ņemt vērā</w:t>
            </w:r>
          </w:p>
          <w:p w14:paraId="6068D6CB" w14:textId="0EE8687C" w:rsidR="004E2CF7" w:rsidRDefault="004E2CF7" w:rsidP="004E2CF7">
            <w:pPr>
              <w:ind w:firstLine="67"/>
              <w:contextualSpacing/>
              <w:jc w:val="both"/>
            </w:pPr>
          </w:p>
          <w:p w14:paraId="2B3BC293" w14:textId="77777777" w:rsidR="004E2CF7" w:rsidRDefault="004E2CF7" w:rsidP="004E2CF7">
            <w:pPr>
              <w:ind w:firstLine="67"/>
              <w:contextualSpacing/>
              <w:jc w:val="both"/>
            </w:pPr>
          </w:p>
          <w:p w14:paraId="71D470A0" w14:textId="77777777" w:rsidR="004E2CF7" w:rsidRDefault="004E2CF7" w:rsidP="004E2CF7">
            <w:pPr>
              <w:ind w:firstLine="67"/>
              <w:contextualSpacing/>
              <w:jc w:val="both"/>
            </w:pPr>
          </w:p>
          <w:p w14:paraId="38404B5F" w14:textId="77777777" w:rsidR="004E2CF7" w:rsidRDefault="004E2CF7" w:rsidP="004E2CF7">
            <w:pPr>
              <w:ind w:firstLine="67"/>
              <w:contextualSpacing/>
              <w:jc w:val="both"/>
            </w:pPr>
          </w:p>
          <w:p w14:paraId="0E2C4519" w14:textId="77777777" w:rsidR="004E2CF7" w:rsidRDefault="004E2CF7" w:rsidP="004E2CF7">
            <w:pPr>
              <w:ind w:firstLine="67"/>
              <w:contextualSpacing/>
              <w:jc w:val="both"/>
            </w:pPr>
          </w:p>
          <w:p w14:paraId="2BEE944B" w14:textId="77777777" w:rsidR="004E2CF7" w:rsidRDefault="004E2CF7" w:rsidP="004E2CF7">
            <w:pPr>
              <w:ind w:firstLine="67"/>
              <w:contextualSpacing/>
              <w:jc w:val="both"/>
            </w:pPr>
          </w:p>
          <w:p w14:paraId="1421290C" w14:textId="77777777" w:rsidR="004E2CF7" w:rsidRDefault="004E2CF7" w:rsidP="004E2CF7">
            <w:pPr>
              <w:ind w:firstLine="67"/>
              <w:contextualSpacing/>
              <w:jc w:val="both"/>
            </w:pPr>
          </w:p>
          <w:p w14:paraId="76823872" w14:textId="77777777" w:rsidR="004E2CF7" w:rsidRDefault="004E2CF7" w:rsidP="004E2CF7">
            <w:pPr>
              <w:ind w:firstLine="67"/>
              <w:contextualSpacing/>
              <w:jc w:val="both"/>
            </w:pPr>
          </w:p>
          <w:p w14:paraId="62E5E23B" w14:textId="77777777" w:rsidR="004E2CF7" w:rsidRDefault="004E2CF7" w:rsidP="004E2CF7">
            <w:pPr>
              <w:ind w:firstLine="67"/>
              <w:contextualSpacing/>
              <w:jc w:val="both"/>
            </w:pPr>
          </w:p>
          <w:p w14:paraId="29C1A9A2" w14:textId="77777777" w:rsidR="004E2CF7" w:rsidRDefault="004E2CF7" w:rsidP="004E2CF7">
            <w:pPr>
              <w:ind w:firstLine="67"/>
              <w:contextualSpacing/>
              <w:jc w:val="both"/>
            </w:pPr>
          </w:p>
          <w:p w14:paraId="52763D26" w14:textId="77777777" w:rsidR="004E2CF7" w:rsidRDefault="004E2CF7" w:rsidP="004E2CF7">
            <w:pPr>
              <w:ind w:firstLine="67"/>
              <w:contextualSpacing/>
              <w:jc w:val="both"/>
            </w:pPr>
          </w:p>
          <w:p w14:paraId="3CED406D" w14:textId="77777777" w:rsidR="004E2CF7" w:rsidRDefault="004E2CF7" w:rsidP="004E2CF7">
            <w:pPr>
              <w:ind w:firstLine="67"/>
              <w:contextualSpacing/>
              <w:jc w:val="both"/>
            </w:pPr>
          </w:p>
          <w:p w14:paraId="07F3F078" w14:textId="77777777" w:rsidR="004E2CF7" w:rsidRDefault="004E2CF7" w:rsidP="004E2CF7">
            <w:pPr>
              <w:ind w:firstLine="67"/>
              <w:contextualSpacing/>
              <w:jc w:val="both"/>
            </w:pPr>
          </w:p>
          <w:p w14:paraId="676E23A9" w14:textId="77777777" w:rsidR="004E2CF7" w:rsidRDefault="004E2CF7" w:rsidP="004E2CF7">
            <w:pPr>
              <w:ind w:firstLine="67"/>
              <w:contextualSpacing/>
              <w:jc w:val="both"/>
            </w:pPr>
          </w:p>
          <w:p w14:paraId="4884BA58" w14:textId="77777777" w:rsidR="004E2CF7" w:rsidRDefault="004E2CF7" w:rsidP="004E2CF7">
            <w:pPr>
              <w:ind w:firstLine="67"/>
              <w:contextualSpacing/>
              <w:jc w:val="both"/>
            </w:pPr>
          </w:p>
          <w:p w14:paraId="03823141" w14:textId="77777777" w:rsidR="004E2CF7" w:rsidRDefault="004E2CF7" w:rsidP="004E2CF7">
            <w:pPr>
              <w:ind w:firstLine="67"/>
              <w:contextualSpacing/>
              <w:jc w:val="both"/>
            </w:pPr>
          </w:p>
          <w:p w14:paraId="37EC6CCD" w14:textId="77777777" w:rsidR="004E2CF7" w:rsidRDefault="004E2CF7" w:rsidP="004E2CF7">
            <w:pPr>
              <w:ind w:firstLine="67"/>
              <w:contextualSpacing/>
              <w:jc w:val="both"/>
            </w:pPr>
          </w:p>
          <w:p w14:paraId="784C37DF" w14:textId="77777777" w:rsidR="004E2CF7" w:rsidRDefault="004E2CF7" w:rsidP="004E2CF7">
            <w:pPr>
              <w:ind w:firstLine="67"/>
              <w:contextualSpacing/>
              <w:jc w:val="both"/>
            </w:pPr>
          </w:p>
          <w:p w14:paraId="1F9F653B" w14:textId="77777777" w:rsidR="004E2CF7" w:rsidRDefault="004E2CF7" w:rsidP="004E2CF7">
            <w:pPr>
              <w:ind w:firstLine="67"/>
              <w:contextualSpacing/>
              <w:jc w:val="both"/>
            </w:pPr>
          </w:p>
          <w:p w14:paraId="038370CF" w14:textId="77777777" w:rsidR="004E2CF7" w:rsidRDefault="004E2CF7" w:rsidP="004E2CF7">
            <w:pPr>
              <w:ind w:firstLine="67"/>
              <w:contextualSpacing/>
              <w:jc w:val="both"/>
            </w:pPr>
          </w:p>
          <w:p w14:paraId="530AA8B8" w14:textId="77777777" w:rsidR="004E2CF7" w:rsidRDefault="004E2CF7" w:rsidP="004E2CF7">
            <w:pPr>
              <w:ind w:firstLine="67"/>
              <w:contextualSpacing/>
              <w:jc w:val="both"/>
            </w:pPr>
          </w:p>
          <w:p w14:paraId="61331B88" w14:textId="77777777" w:rsidR="004E2CF7" w:rsidRDefault="004E2CF7" w:rsidP="004E2CF7">
            <w:pPr>
              <w:ind w:firstLine="67"/>
              <w:contextualSpacing/>
              <w:jc w:val="both"/>
            </w:pPr>
          </w:p>
          <w:p w14:paraId="171677C2" w14:textId="77777777" w:rsidR="004E2CF7" w:rsidRDefault="004E2CF7" w:rsidP="004E2CF7">
            <w:pPr>
              <w:ind w:firstLine="67"/>
              <w:contextualSpacing/>
              <w:jc w:val="both"/>
            </w:pPr>
          </w:p>
          <w:p w14:paraId="2E22B668" w14:textId="77777777" w:rsidR="004E2CF7" w:rsidRDefault="004E2CF7" w:rsidP="004E2CF7">
            <w:pPr>
              <w:ind w:firstLine="67"/>
              <w:contextualSpacing/>
              <w:jc w:val="both"/>
            </w:pPr>
          </w:p>
          <w:p w14:paraId="50278338" w14:textId="77777777" w:rsidR="004E2CF7" w:rsidRDefault="004E2CF7" w:rsidP="004E2CF7">
            <w:pPr>
              <w:ind w:firstLine="67"/>
              <w:contextualSpacing/>
              <w:jc w:val="both"/>
            </w:pPr>
          </w:p>
          <w:p w14:paraId="7085A033" w14:textId="77777777" w:rsidR="004E2CF7" w:rsidRDefault="004E2CF7" w:rsidP="004E2CF7">
            <w:pPr>
              <w:ind w:firstLine="67"/>
              <w:contextualSpacing/>
              <w:jc w:val="both"/>
            </w:pPr>
          </w:p>
          <w:p w14:paraId="623629D0" w14:textId="77777777" w:rsidR="004E2CF7" w:rsidRDefault="004E2CF7" w:rsidP="004E2CF7">
            <w:pPr>
              <w:ind w:firstLine="67"/>
              <w:contextualSpacing/>
              <w:jc w:val="both"/>
            </w:pPr>
          </w:p>
          <w:p w14:paraId="36E4B214" w14:textId="77777777" w:rsidR="004E2CF7" w:rsidRDefault="004E2CF7" w:rsidP="004E2CF7">
            <w:pPr>
              <w:ind w:firstLine="67"/>
              <w:contextualSpacing/>
              <w:jc w:val="both"/>
            </w:pPr>
          </w:p>
          <w:p w14:paraId="04D80477" w14:textId="77777777" w:rsidR="004E2CF7" w:rsidRDefault="004E2CF7" w:rsidP="004E2CF7">
            <w:pPr>
              <w:ind w:firstLine="67"/>
              <w:contextualSpacing/>
              <w:jc w:val="both"/>
            </w:pPr>
          </w:p>
          <w:p w14:paraId="411887C6" w14:textId="77777777" w:rsidR="004E2CF7" w:rsidRDefault="004E2CF7" w:rsidP="004E2CF7">
            <w:pPr>
              <w:ind w:firstLine="67"/>
              <w:contextualSpacing/>
              <w:jc w:val="both"/>
            </w:pPr>
          </w:p>
          <w:p w14:paraId="37E642A8" w14:textId="77777777" w:rsidR="004E2CF7" w:rsidRDefault="004E2CF7" w:rsidP="004E2CF7">
            <w:pPr>
              <w:ind w:firstLine="67"/>
              <w:contextualSpacing/>
              <w:jc w:val="both"/>
            </w:pPr>
          </w:p>
          <w:p w14:paraId="3C078C76" w14:textId="77777777" w:rsidR="004E2CF7" w:rsidRDefault="004E2CF7" w:rsidP="004E2CF7">
            <w:pPr>
              <w:ind w:firstLine="67"/>
              <w:contextualSpacing/>
              <w:jc w:val="both"/>
            </w:pPr>
          </w:p>
          <w:p w14:paraId="26423F38" w14:textId="77777777" w:rsidR="004E2CF7" w:rsidRDefault="004E2CF7" w:rsidP="004E2CF7">
            <w:pPr>
              <w:ind w:firstLine="67"/>
              <w:contextualSpacing/>
              <w:jc w:val="both"/>
            </w:pPr>
          </w:p>
          <w:p w14:paraId="0B8EA4DF" w14:textId="77777777" w:rsidR="004E2CF7" w:rsidRDefault="004E2CF7" w:rsidP="004E2CF7">
            <w:pPr>
              <w:ind w:firstLine="67"/>
              <w:contextualSpacing/>
              <w:jc w:val="both"/>
            </w:pPr>
          </w:p>
          <w:p w14:paraId="12B4A815" w14:textId="77777777" w:rsidR="004E2CF7" w:rsidRDefault="004E2CF7" w:rsidP="004E2CF7">
            <w:pPr>
              <w:ind w:firstLine="67"/>
              <w:contextualSpacing/>
              <w:jc w:val="both"/>
            </w:pPr>
          </w:p>
          <w:p w14:paraId="34F6774E" w14:textId="77777777" w:rsidR="004E2CF7" w:rsidRDefault="004E2CF7" w:rsidP="004E2CF7">
            <w:pPr>
              <w:ind w:firstLine="67"/>
              <w:contextualSpacing/>
              <w:jc w:val="both"/>
            </w:pPr>
          </w:p>
          <w:p w14:paraId="6A84F047" w14:textId="77777777" w:rsidR="004E2CF7" w:rsidRDefault="004E2CF7" w:rsidP="004E2CF7">
            <w:pPr>
              <w:ind w:firstLine="67"/>
              <w:contextualSpacing/>
              <w:jc w:val="both"/>
            </w:pPr>
          </w:p>
          <w:p w14:paraId="4A9D458D" w14:textId="77777777" w:rsidR="004E2CF7" w:rsidRDefault="004E2CF7" w:rsidP="004E2CF7">
            <w:pPr>
              <w:ind w:firstLine="67"/>
              <w:contextualSpacing/>
              <w:jc w:val="both"/>
            </w:pPr>
          </w:p>
          <w:p w14:paraId="30C1B4B5" w14:textId="77777777" w:rsidR="004E2CF7" w:rsidRDefault="004E2CF7" w:rsidP="004E2CF7">
            <w:pPr>
              <w:ind w:firstLine="67"/>
              <w:contextualSpacing/>
              <w:jc w:val="both"/>
            </w:pPr>
          </w:p>
          <w:p w14:paraId="7A46882B" w14:textId="77777777" w:rsidR="004E2CF7" w:rsidRDefault="004E2CF7" w:rsidP="004E2CF7">
            <w:pPr>
              <w:ind w:firstLine="67"/>
              <w:contextualSpacing/>
              <w:jc w:val="both"/>
            </w:pPr>
          </w:p>
          <w:p w14:paraId="5E8F13A0" w14:textId="77777777" w:rsidR="004E2CF7" w:rsidRDefault="004E2CF7" w:rsidP="004E2CF7">
            <w:pPr>
              <w:ind w:firstLine="67"/>
              <w:contextualSpacing/>
              <w:jc w:val="both"/>
            </w:pPr>
          </w:p>
          <w:p w14:paraId="7B30282D" w14:textId="77777777" w:rsidR="004E2CF7" w:rsidRDefault="004E2CF7" w:rsidP="004E2CF7">
            <w:pPr>
              <w:ind w:firstLine="67"/>
              <w:contextualSpacing/>
              <w:jc w:val="both"/>
            </w:pPr>
          </w:p>
          <w:p w14:paraId="7BBCF948" w14:textId="77777777" w:rsidR="004E2CF7" w:rsidRDefault="004E2CF7" w:rsidP="004E2CF7">
            <w:pPr>
              <w:ind w:firstLine="67"/>
              <w:contextualSpacing/>
              <w:jc w:val="both"/>
            </w:pPr>
          </w:p>
          <w:p w14:paraId="694953A9" w14:textId="77777777" w:rsidR="004E2CF7" w:rsidRDefault="004E2CF7" w:rsidP="004E2CF7">
            <w:pPr>
              <w:ind w:firstLine="67"/>
              <w:contextualSpacing/>
              <w:jc w:val="both"/>
            </w:pPr>
          </w:p>
          <w:p w14:paraId="618039A9" w14:textId="23101731" w:rsidR="004E2CF7" w:rsidRDefault="004E2CF7" w:rsidP="004E2CF7">
            <w:pPr>
              <w:ind w:firstLine="67"/>
              <w:contextualSpacing/>
              <w:jc w:val="both"/>
            </w:pPr>
          </w:p>
          <w:p w14:paraId="3B567291" w14:textId="7E75EE40" w:rsidR="004E2CF7" w:rsidRDefault="004E2CF7" w:rsidP="004E2CF7">
            <w:pPr>
              <w:ind w:firstLine="67"/>
              <w:contextualSpacing/>
              <w:jc w:val="both"/>
            </w:pPr>
          </w:p>
          <w:p w14:paraId="0D421BB1" w14:textId="3C2D1451" w:rsidR="004E2CF7" w:rsidRDefault="004E2CF7" w:rsidP="004E2CF7">
            <w:pPr>
              <w:ind w:firstLine="67"/>
              <w:contextualSpacing/>
              <w:jc w:val="both"/>
            </w:pPr>
          </w:p>
          <w:p w14:paraId="2871380D" w14:textId="1A800F49" w:rsidR="004E2CF7" w:rsidRDefault="004E2CF7" w:rsidP="004E2CF7">
            <w:pPr>
              <w:ind w:firstLine="67"/>
              <w:contextualSpacing/>
              <w:jc w:val="both"/>
            </w:pPr>
          </w:p>
          <w:p w14:paraId="3DD71EB7" w14:textId="00C218FE" w:rsidR="004E2CF7" w:rsidRDefault="004E2CF7" w:rsidP="004E2CF7">
            <w:pPr>
              <w:ind w:firstLine="67"/>
              <w:contextualSpacing/>
              <w:jc w:val="both"/>
            </w:pPr>
          </w:p>
          <w:p w14:paraId="314578D4" w14:textId="61DCEC90" w:rsidR="004E2CF7" w:rsidRDefault="004E2CF7" w:rsidP="004E2CF7">
            <w:pPr>
              <w:ind w:firstLine="67"/>
              <w:contextualSpacing/>
              <w:jc w:val="both"/>
            </w:pPr>
          </w:p>
          <w:p w14:paraId="736C4B58" w14:textId="1C93528D" w:rsidR="004E2CF7" w:rsidRDefault="004E2CF7" w:rsidP="004E2CF7">
            <w:pPr>
              <w:ind w:firstLine="67"/>
              <w:contextualSpacing/>
              <w:jc w:val="both"/>
            </w:pPr>
          </w:p>
          <w:p w14:paraId="5AD2AE22" w14:textId="77777777" w:rsidR="004E2CF7" w:rsidRDefault="004E2CF7" w:rsidP="004E2CF7">
            <w:pPr>
              <w:ind w:firstLine="67"/>
              <w:contextualSpacing/>
              <w:jc w:val="both"/>
            </w:pPr>
          </w:p>
          <w:p w14:paraId="479383E5" w14:textId="77777777" w:rsidR="004E2CF7" w:rsidRDefault="004E2CF7" w:rsidP="004E2CF7">
            <w:pPr>
              <w:ind w:firstLine="67"/>
              <w:contextualSpacing/>
              <w:jc w:val="center"/>
              <w:rPr>
                <w:b/>
              </w:rPr>
            </w:pPr>
            <w:r>
              <w:rPr>
                <w:b/>
              </w:rPr>
              <w:t>Ņemts vērā</w:t>
            </w:r>
          </w:p>
          <w:p w14:paraId="516F31D9" w14:textId="77777777" w:rsidR="004E2CF7" w:rsidRDefault="004E2CF7" w:rsidP="004E2CF7">
            <w:pPr>
              <w:ind w:firstLine="67"/>
              <w:contextualSpacing/>
              <w:jc w:val="center"/>
              <w:rPr>
                <w:b/>
              </w:rPr>
            </w:pPr>
          </w:p>
          <w:p w14:paraId="4D07A302" w14:textId="77777777" w:rsidR="004E2CF7" w:rsidRDefault="004E2CF7" w:rsidP="004E2CF7">
            <w:pPr>
              <w:ind w:firstLine="67"/>
              <w:contextualSpacing/>
              <w:jc w:val="center"/>
              <w:rPr>
                <w:b/>
              </w:rPr>
            </w:pPr>
          </w:p>
          <w:p w14:paraId="1E78CEA0" w14:textId="77777777" w:rsidR="004E2CF7" w:rsidRDefault="004E2CF7" w:rsidP="004E2CF7">
            <w:pPr>
              <w:ind w:firstLine="67"/>
              <w:contextualSpacing/>
              <w:jc w:val="center"/>
              <w:rPr>
                <w:b/>
              </w:rPr>
            </w:pPr>
          </w:p>
          <w:p w14:paraId="3A64A1FA" w14:textId="77777777" w:rsidR="004E2CF7" w:rsidRDefault="004E2CF7" w:rsidP="004E2CF7">
            <w:pPr>
              <w:ind w:firstLine="67"/>
              <w:contextualSpacing/>
              <w:jc w:val="center"/>
              <w:rPr>
                <w:b/>
              </w:rPr>
            </w:pPr>
          </w:p>
          <w:p w14:paraId="365DA761" w14:textId="77777777" w:rsidR="004E2CF7" w:rsidRDefault="004E2CF7" w:rsidP="004E2CF7">
            <w:pPr>
              <w:ind w:firstLine="67"/>
              <w:contextualSpacing/>
              <w:jc w:val="center"/>
              <w:rPr>
                <w:b/>
              </w:rPr>
            </w:pPr>
          </w:p>
          <w:p w14:paraId="6FEFB94D" w14:textId="77777777" w:rsidR="004E2CF7" w:rsidRDefault="004E2CF7" w:rsidP="004E2CF7">
            <w:pPr>
              <w:ind w:firstLine="67"/>
              <w:contextualSpacing/>
              <w:jc w:val="center"/>
              <w:rPr>
                <w:b/>
              </w:rPr>
            </w:pPr>
          </w:p>
          <w:p w14:paraId="78EBA545" w14:textId="77777777" w:rsidR="004E2CF7" w:rsidRDefault="004E2CF7" w:rsidP="004E2CF7">
            <w:pPr>
              <w:ind w:firstLine="67"/>
              <w:contextualSpacing/>
              <w:jc w:val="center"/>
              <w:rPr>
                <w:b/>
              </w:rPr>
            </w:pPr>
          </w:p>
          <w:p w14:paraId="6D73FAD8" w14:textId="77777777" w:rsidR="004E2CF7" w:rsidRDefault="004E2CF7" w:rsidP="004E2CF7">
            <w:pPr>
              <w:ind w:firstLine="67"/>
              <w:contextualSpacing/>
              <w:jc w:val="center"/>
              <w:rPr>
                <w:b/>
              </w:rPr>
            </w:pPr>
          </w:p>
          <w:p w14:paraId="3C822E39" w14:textId="5FDF67DE" w:rsidR="004E2CF7" w:rsidRPr="005B072F" w:rsidRDefault="004E2CF7" w:rsidP="004E2CF7">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19456064" w14:textId="2358E37F" w:rsidR="004E2CF7" w:rsidRDefault="004E2CF7" w:rsidP="004E2CF7">
            <w:pPr>
              <w:ind w:left="57" w:right="57"/>
              <w:contextualSpacing/>
              <w:jc w:val="both"/>
              <w:rPr>
                <w:iCs/>
              </w:rPr>
            </w:pPr>
            <w:r>
              <w:rPr>
                <w:iCs/>
              </w:rPr>
              <w:lastRenderedPageBreak/>
              <w:t>9.</w:t>
            </w:r>
            <w:r w:rsidRPr="002E36BE">
              <w:rPr>
                <w:iCs/>
                <w:vertAlign w:val="superscript"/>
              </w:rPr>
              <w:t>1</w:t>
            </w:r>
            <w:r>
              <w:rPr>
                <w:iCs/>
              </w:rPr>
              <w:t> nodaļa svītrota</w:t>
            </w:r>
          </w:p>
          <w:p w14:paraId="438ED557" w14:textId="213DCC7A" w:rsidR="004E2CF7" w:rsidRDefault="004E2CF7" w:rsidP="004E2CF7">
            <w:pPr>
              <w:ind w:left="57" w:right="57"/>
              <w:contextualSpacing/>
              <w:jc w:val="both"/>
              <w:rPr>
                <w:iCs/>
              </w:rPr>
            </w:pPr>
          </w:p>
          <w:p w14:paraId="5ADA38D7" w14:textId="77777777" w:rsidR="004E2CF7" w:rsidRDefault="004E2CF7" w:rsidP="004E2CF7">
            <w:pPr>
              <w:ind w:left="57" w:right="57"/>
              <w:contextualSpacing/>
              <w:jc w:val="both"/>
              <w:rPr>
                <w:iCs/>
              </w:rPr>
            </w:pPr>
          </w:p>
          <w:p w14:paraId="3C36BF2B" w14:textId="77777777" w:rsidR="004E2CF7" w:rsidRPr="004E2CF7" w:rsidRDefault="004E2CF7" w:rsidP="004E2CF7">
            <w:pPr>
              <w:ind w:left="57" w:right="57"/>
              <w:contextualSpacing/>
              <w:jc w:val="both"/>
              <w:rPr>
                <w:iCs/>
              </w:rPr>
            </w:pPr>
            <w:r w:rsidRPr="004E2CF7">
              <w:rPr>
                <w:iCs/>
              </w:rPr>
              <w:t>5. Izteikt 20. punktu šādā redakcijā:</w:t>
            </w:r>
          </w:p>
          <w:p w14:paraId="23336698" w14:textId="2D37AA2B" w:rsidR="004E2CF7" w:rsidRDefault="004E2CF7" w:rsidP="004E2CF7">
            <w:pPr>
              <w:ind w:left="57" w:right="57"/>
              <w:contextualSpacing/>
              <w:jc w:val="both"/>
              <w:rPr>
                <w:iCs/>
              </w:rPr>
            </w:pPr>
            <w:r w:rsidRPr="004E2CF7">
              <w:rPr>
                <w:iCs/>
              </w:rPr>
              <w:t>“20. Būvniecības ieceres dokumentāciju izstrādā elektroniski vienā eksemplārā un to pievieno būvniecības informācijas sistēmā, ja veic elektronisko saskaņošanu. Ja būvniecības process noris ārpus būvniecības informācijas sistēmas, tad būvniecības ieceres dokumentāciju papīra dokumenta formā (izņemot būvniecības iesniegumu) izstrādā trijos eksemplāros, Būvniecības likuma 6.</w:t>
            </w:r>
            <w:r w:rsidRPr="004E2CF7">
              <w:rPr>
                <w:iCs/>
                <w:vertAlign w:val="superscript"/>
              </w:rPr>
              <w:t>1</w:t>
            </w:r>
            <w:r w:rsidRPr="004E2CF7">
              <w:rPr>
                <w:iCs/>
              </w:rPr>
              <w:t xml:space="preserve"> panta pirmās daļas 1. punktā minētajos gadījumos – četros eksemplāros, bet elektroniski – vienā eksemplārā. Ja būvniecības ierosinātājs pats izstrādā būvniecības ieceres dokumentāciju papīra formā, to sagatavo divos eksemplāros. Izstrādāto būvniecības ieceres dokumentāciju paraksta vai būvniecības informācijas sistēmā apstiprina būvspeciālists, </w:t>
            </w:r>
            <w:bookmarkStart w:id="2" w:name="_Hlk11408208"/>
            <w:r w:rsidRPr="004E2CF7">
              <w:rPr>
                <w:iCs/>
              </w:rPr>
              <w:t>izņemot gadījumu, ja būvniecības ieceri izstrādā pats būvniecības ierosinātājs.</w:t>
            </w:r>
            <w:bookmarkEnd w:id="2"/>
            <w:r w:rsidRPr="004E2CF7">
              <w:rPr>
                <w:iCs/>
              </w:rPr>
              <w:t>”</w:t>
            </w:r>
          </w:p>
          <w:p w14:paraId="4B87FB1B" w14:textId="77777777" w:rsidR="004E2CF7" w:rsidRDefault="004E2CF7" w:rsidP="004E2CF7">
            <w:pPr>
              <w:ind w:left="57" w:right="57"/>
              <w:contextualSpacing/>
              <w:jc w:val="both"/>
              <w:rPr>
                <w:iCs/>
              </w:rPr>
            </w:pPr>
          </w:p>
          <w:p w14:paraId="22D05195" w14:textId="77777777" w:rsidR="004E2CF7" w:rsidRPr="004E2CF7" w:rsidRDefault="004E2CF7" w:rsidP="004E2CF7">
            <w:pPr>
              <w:ind w:left="57" w:right="57"/>
              <w:contextualSpacing/>
              <w:jc w:val="both"/>
              <w:rPr>
                <w:iCs/>
              </w:rPr>
            </w:pPr>
            <w:r w:rsidRPr="004E2CF7">
              <w:rPr>
                <w:iCs/>
              </w:rPr>
              <w:lastRenderedPageBreak/>
              <w:t>39. </w:t>
            </w:r>
            <w:bookmarkStart w:id="3" w:name="_Hlk11228687"/>
            <w:r w:rsidRPr="004E2CF7">
              <w:rPr>
                <w:iCs/>
              </w:rPr>
              <w:t>Izteikt 87. punktu šādā redakcijā:</w:t>
            </w:r>
            <w:bookmarkEnd w:id="3"/>
          </w:p>
          <w:p w14:paraId="693420D6" w14:textId="3E6EA000" w:rsidR="004E2CF7" w:rsidRPr="00D21A87" w:rsidRDefault="004E2CF7" w:rsidP="004E2CF7">
            <w:pPr>
              <w:ind w:left="57" w:right="57"/>
              <w:contextualSpacing/>
              <w:jc w:val="both"/>
              <w:rPr>
                <w:iCs/>
              </w:rPr>
            </w:pPr>
            <w:r w:rsidRPr="004E2CF7">
              <w:rPr>
                <w:iCs/>
              </w:rPr>
              <w:t xml:space="preserve">“87. Būvprojektu izstrādā elektroniski vienā eksemplārā un to pievieno būvniecības informācijas sistēmā, </w:t>
            </w:r>
            <w:bookmarkStart w:id="4" w:name="_Hlk19191204"/>
            <w:r w:rsidRPr="004E2CF7">
              <w:rPr>
                <w:iCs/>
              </w:rPr>
              <w:t>ja veic elektronisko saskaņošanu</w:t>
            </w:r>
            <w:bookmarkEnd w:id="4"/>
            <w:r w:rsidRPr="004E2CF7">
              <w:rPr>
                <w:iCs/>
              </w:rPr>
              <w:t xml:space="preserve">. </w:t>
            </w:r>
            <w:bookmarkStart w:id="5" w:name="_Hlk19191238"/>
            <w:r w:rsidRPr="004E2CF7">
              <w:rPr>
                <w:iCs/>
              </w:rPr>
              <w:t>Ja būvniecības process noris ārpus būvniecības informācijas sistēmas, tad būvprojektu papīra dokumenta formā izstrādā trijos eksemplāros (ar atbildīgā būvprojekta izstrādātāja un būvniecības ierosinātāja parakstiem un saskaņojumiem uz būvprojekta ģenerālplāna), Būvniecības likuma 6.</w:t>
            </w:r>
            <w:r w:rsidRPr="004E2CF7">
              <w:rPr>
                <w:iCs/>
                <w:vertAlign w:val="superscript"/>
              </w:rPr>
              <w:t>1</w:t>
            </w:r>
            <w:r w:rsidRPr="004E2CF7">
              <w:rPr>
                <w:iCs/>
              </w:rPr>
              <w:t> panta pirmās daļas 1. punktā minētajos gadījumos – četros eksemplāros, bet elektroniski – vienā eksemplārā.</w:t>
            </w:r>
            <w:bookmarkEnd w:id="5"/>
            <w:r w:rsidRPr="004E2CF7">
              <w:rPr>
                <w:iCs/>
              </w:rPr>
              <w:t xml:space="preserve"> Izstrādāto būvprojektu paraksta vai būvniecības informācijas sistēmā apstiprina būvprojekta izstrādātājs un citas personas atbilstoši būvatļaujā ietvertajiem projektēšanas nosacījumiem, izņemot šo noteikumu 9. punktā minētās personas.”</w:t>
            </w:r>
          </w:p>
        </w:tc>
      </w:tr>
      <w:tr w:rsidR="004E2CF7" w:rsidRPr="0085135D" w14:paraId="2B044872"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8E0AA11" w14:textId="53DC5CA1" w:rsidR="004E2CF7" w:rsidRPr="00C6676A" w:rsidRDefault="004E2CF7" w:rsidP="004E2CF7">
            <w:pPr>
              <w:pStyle w:val="naisc"/>
              <w:spacing w:before="0" w:after="0"/>
              <w:ind w:left="60" w:right="57"/>
              <w:contextualSpacing/>
              <w:jc w:val="left"/>
            </w:pPr>
            <w:r>
              <w:lastRenderedPageBreak/>
              <w:t>7.</w:t>
            </w:r>
          </w:p>
        </w:tc>
        <w:tc>
          <w:tcPr>
            <w:tcW w:w="3680" w:type="dxa"/>
            <w:gridSpan w:val="2"/>
            <w:tcBorders>
              <w:top w:val="single" w:sz="6" w:space="0" w:color="000000"/>
              <w:left w:val="single" w:sz="6" w:space="0" w:color="000000"/>
              <w:bottom w:val="single" w:sz="4" w:space="0" w:color="auto"/>
              <w:right w:val="single" w:sz="6" w:space="0" w:color="000000"/>
            </w:tcBorders>
          </w:tcPr>
          <w:p w14:paraId="1DE92206" w14:textId="369A8471" w:rsidR="004E2CF7" w:rsidRPr="00641F91" w:rsidRDefault="004E2CF7" w:rsidP="004E2CF7">
            <w:pPr>
              <w:jc w:val="both"/>
              <w:rPr>
                <w:i/>
              </w:rPr>
            </w:pPr>
            <w:r w:rsidRPr="006B0290">
              <w:rPr>
                <w:bCs/>
              </w:rPr>
              <w:t>Anotācija</w:t>
            </w:r>
            <w:r>
              <w:rPr>
                <w:bCs/>
              </w:rPr>
              <w:t xml:space="preserve"> III sadaļa</w:t>
            </w:r>
          </w:p>
        </w:tc>
        <w:tc>
          <w:tcPr>
            <w:tcW w:w="4386" w:type="dxa"/>
            <w:gridSpan w:val="2"/>
            <w:tcBorders>
              <w:top w:val="single" w:sz="6" w:space="0" w:color="000000"/>
              <w:left w:val="single" w:sz="6" w:space="0" w:color="000000"/>
              <w:bottom w:val="single" w:sz="4" w:space="0" w:color="auto"/>
              <w:right w:val="single" w:sz="6" w:space="0" w:color="000000"/>
            </w:tcBorders>
          </w:tcPr>
          <w:p w14:paraId="60D7A789" w14:textId="77777777" w:rsidR="004E2CF7" w:rsidRPr="003D3BC6" w:rsidRDefault="004E2CF7" w:rsidP="004E2CF7">
            <w:pPr>
              <w:pStyle w:val="naisc"/>
              <w:spacing w:before="0" w:after="0"/>
              <w:ind w:left="57" w:right="57"/>
              <w:contextualSpacing/>
              <w:jc w:val="both"/>
              <w:rPr>
                <w:b/>
                <w:u w:val="single"/>
              </w:rPr>
            </w:pPr>
            <w:r w:rsidRPr="003D3BC6">
              <w:rPr>
                <w:b/>
                <w:u w:val="single"/>
              </w:rPr>
              <w:t>Finanšu ministrija:</w:t>
            </w:r>
          </w:p>
          <w:p w14:paraId="4C430D5B" w14:textId="77777777" w:rsidR="004E2CF7" w:rsidRPr="003D3BC6" w:rsidRDefault="004E2CF7" w:rsidP="004E2CF7">
            <w:pPr>
              <w:jc w:val="both"/>
              <w:rPr>
                <w:color w:val="000000" w:themeColor="text1"/>
              </w:rPr>
            </w:pPr>
            <w:r w:rsidRPr="003D3BC6">
              <w:rPr>
                <w:color w:val="000000" w:themeColor="text1"/>
              </w:rPr>
              <w:t xml:space="preserve">1.Anotācijas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3D3BC6">
              <w:rPr>
                <w:color w:val="000000" w:themeColor="text1"/>
              </w:rPr>
              <w:t>atkalizmantošanas</w:t>
            </w:r>
            <w:proofErr w:type="spellEnd"/>
            <w:r w:rsidRPr="003D3BC6">
              <w:rPr>
                <w:color w:val="000000" w:themeColor="text1"/>
              </w:rPr>
              <w:t xml:space="preserve"> pieaugumu un efektīvu publiskās pārvaldes un privātā sektora mijiedarbību” 2.2.1.1. pasākuma “Centralizētu publiskās pārvaldes IKT platformu izveide, publiskās pārvaldes procesu optimizēšana un attīstība” </w:t>
            </w:r>
            <w:r w:rsidRPr="003D3BC6">
              <w:rPr>
                <w:color w:val="000000" w:themeColor="text1"/>
              </w:rPr>
              <w:lastRenderedPageBreak/>
              <w:t xml:space="preserve">projektam “Būvniecības procesu un informācijas sistēmas attīstība (1.kārta)” paredzētā finansējuma, kā arī no Būvniecības informācijas sistēmas uzturēšanai piešķirtajiem valsts budžeta līdzekļiem 143 209 </w:t>
            </w:r>
            <w:r w:rsidRPr="003D3BC6">
              <w:rPr>
                <w:i/>
                <w:iCs/>
                <w:color w:val="000000" w:themeColor="text1"/>
              </w:rPr>
              <w:t>euro</w:t>
            </w:r>
            <w:r w:rsidRPr="003D3BC6">
              <w:rPr>
                <w:color w:val="000000" w:themeColor="text1"/>
              </w:rPr>
              <w:t xml:space="preserve"> apmērā. </w:t>
            </w:r>
          </w:p>
          <w:p w14:paraId="13CAFD79" w14:textId="43644D0D" w:rsidR="004E2CF7" w:rsidRPr="00373200" w:rsidRDefault="004E2CF7" w:rsidP="004E2CF7">
            <w:pPr>
              <w:pStyle w:val="naisc"/>
              <w:spacing w:before="0" w:after="0"/>
              <w:ind w:left="57" w:right="57"/>
              <w:contextualSpacing/>
              <w:jc w:val="both"/>
            </w:pPr>
            <w:r w:rsidRPr="003D3BC6">
              <w:rPr>
                <w:color w:val="000000" w:themeColor="text1"/>
              </w:rPr>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4" w:space="0" w:color="auto"/>
              <w:right w:val="single" w:sz="6" w:space="0" w:color="000000"/>
            </w:tcBorders>
          </w:tcPr>
          <w:p w14:paraId="6D6AD4C2" w14:textId="79ECC243" w:rsidR="004E2CF7" w:rsidRPr="005B072F" w:rsidRDefault="004E2CF7" w:rsidP="004E2CF7">
            <w:pPr>
              <w:ind w:firstLine="67"/>
              <w:contextualSpacing/>
              <w:jc w:val="center"/>
              <w:rPr>
                <w:b/>
              </w:rPr>
            </w:pPr>
            <w:r>
              <w:rPr>
                <w:b/>
              </w:rPr>
              <w:lastRenderedPageBreak/>
              <w:t>Ņemts vērā</w:t>
            </w:r>
          </w:p>
        </w:tc>
        <w:tc>
          <w:tcPr>
            <w:tcW w:w="3638" w:type="dxa"/>
            <w:gridSpan w:val="2"/>
            <w:tcBorders>
              <w:top w:val="single" w:sz="4" w:space="0" w:color="auto"/>
              <w:left w:val="single" w:sz="4" w:space="0" w:color="auto"/>
              <w:bottom w:val="single" w:sz="4" w:space="0" w:color="auto"/>
            </w:tcBorders>
          </w:tcPr>
          <w:p w14:paraId="36711375" w14:textId="5D6CBA3C" w:rsidR="004E2CF7" w:rsidRPr="006B657C" w:rsidRDefault="004E2CF7" w:rsidP="004E2CF7">
            <w:pPr>
              <w:ind w:left="57" w:right="57"/>
              <w:contextualSpacing/>
              <w:jc w:val="both"/>
              <w:rPr>
                <w:iCs/>
              </w:rPr>
            </w:pPr>
            <w:r w:rsidRPr="00C83832">
              <w:rPr>
                <w:iCs/>
              </w:rPr>
              <w:t>Skat. precizēto anotācijas III sadaļu</w:t>
            </w:r>
            <w:r>
              <w:rPr>
                <w:iCs/>
              </w:rPr>
              <w:t>.</w:t>
            </w:r>
          </w:p>
        </w:tc>
      </w:tr>
      <w:tr w:rsidR="004E2CF7" w:rsidRPr="0085135D" w14:paraId="4516C13D"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D1FBE39" w14:textId="77777777" w:rsidR="004E2CF7" w:rsidRDefault="004E2CF7" w:rsidP="004E2CF7">
            <w:pPr>
              <w:pStyle w:val="naiskr"/>
              <w:spacing w:before="0" w:after="0"/>
              <w:contextualSpacing/>
            </w:pPr>
            <w:r w:rsidRPr="0085135D">
              <w:t> </w:t>
            </w:r>
          </w:p>
          <w:p w14:paraId="65D14767" w14:textId="77777777" w:rsidR="004E2CF7" w:rsidRPr="0085135D" w:rsidRDefault="004E2CF7" w:rsidP="004E2CF7">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28AD2B30" w14:textId="77777777" w:rsidR="004E2CF7" w:rsidRPr="0085135D" w:rsidRDefault="004E2CF7" w:rsidP="004E2CF7">
            <w:pPr>
              <w:pStyle w:val="naiskr"/>
              <w:spacing w:before="0" w:after="0"/>
              <w:contextualSpacing/>
            </w:pPr>
            <w:r w:rsidRPr="0085135D">
              <w:t>  </w:t>
            </w:r>
          </w:p>
        </w:tc>
        <w:tc>
          <w:tcPr>
            <w:tcW w:w="3549" w:type="dxa"/>
            <w:gridSpan w:val="2"/>
            <w:tcBorders>
              <w:top w:val="nil"/>
              <w:left w:val="nil"/>
              <w:bottom w:val="nil"/>
              <w:right w:val="nil"/>
            </w:tcBorders>
            <w:vAlign w:val="center"/>
          </w:tcPr>
          <w:p w14:paraId="165E9214" w14:textId="77777777" w:rsidR="004E2CF7" w:rsidRPr="0085135D" w:rsidRDefault="004E2CF7" w:rsidP="004E2CF7">
            <w:pPr>
              <w:pStyle w:val="naisf"/>
              <w:spacing w:before="0" w:after="0"/>
              <w:contextualSpacing/>
            </w:pPr>
            <w:r w:rsidRPr="0085135D">
              <w:t> </w:t>
            </w:r>
          </w:p>
        </w:tc>
      </w:tr>
      <w:tr w:rsidR="004E2CF7" w:rsidRPr="0085135D" w14:paraId="024751F5"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5000EF0" w14:textId="77777777" w:rsidR="004E2CF7" w:rsidRPr="0085135D" w:rsidRDefault="004E2CF7" w:rsidP="004E2CF7">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3E49D57E" w14:textId="77777777" w:rsidR="004E2CF7" w:rsidRPr="0085135D" w:rsidRDefault="004E2CF7" w:rsidP="004E2CF7">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3190277A" w14:textId="77777777" w:rsidR="004E2CF7" w:rsidRPr="0085135D" w:rsidRDefault="004E2CF7" w:rsidP="004E2CF7">
            <w:pPr>
              <w:pStyle w:val="naisf"/>
              <w:spacing w:before="0" w:after="0"/>
              <w:contextualSpacing/>
            </w:pPr>
            <w:r w:rsidRPr="0085135D">
              <w:t> </w:t>
            </w:r>
          </w:p>
        </w:tc>
      </w:tr>
    </w:tbl>
    <w:p w14:paraId="051FE74B" w14:textId="77777777" w:rsidR="00F33734" w:rsidRDefault="00F33734" w:rsidP="00F11CB9">
      <w:pPr>
        <w:pStyle w:val="naisf"/>
        <w:spacing w:before="0" w:after="0"/>
        <w:ind w:firstLine="0"/>
        <w:rPr>
          <w:sz w:val="22"/>
          <w:szCs w:val="22"/>
        </w:rPr>
      </w:pPr>
    </w:p>
    <w:p w14:paraId="33F8E012" w14:textId="77777777" w:rsidR="00074DED" w:rsidRPr="0085135D" w:rsidRDefault="00074DED" w:rsidP="00F11CB9">
      <w:pPr>
        <w:pStyle w:val="naisf"/>
        <w:spacing w:before="0" w:after="0"/>
        <w:ind w:firstLine="0"/>
        <w:rPr>
          <w:sz w:val="22"/>
          <w:szCs w:val="22"/>
        </w:rPr>
      </w:pPr>
    </w:p>
    <w:p w14:paraId="559C4816" w14:textId="77777777" w:rsidR="00BA4471" w:rsidRPr="0085135D" w:rsidRDefault="00BA4471" w:rsidP="00BA4471">
      <w:pPr>
        <w:pStyle w:val="naisf"/>
        <w:spacing w:before="0" w:after="0"/>
        <w:ind w:firstLine="0"/>
        <w:rPr>
          <w:sz w:val="22"/>
          <w:szCs w:val="22"/>
        </w:rPr>
      </w:pPr>
      <w:r w:rsidRPr="0085135D">
        <w:rPr>
          <w:sz w:val="22"/>
          <w:szCs w:val="22"/>
        </w:rPr>
        <w:t>Par projektu atbildīgā amatpersona:</w:t>
      </w:r>
    </w:p>
    <w:p w14:paraId="67866A74" w14:textId="77777777" w:rsidR="00BA4471" w:rsidRPr="0085135D" w:rsidRDefault="00BA4471" w:rsidP="00BA4471">
      <w:pPr>
        <w:pStyle w:val="naisf"/>
        <w:spacing w:before="0" w:after="0"/>
        <w:ind w:firstLine="0"/>
        <w:rPr>
          <w:sz w:val="22"/>
          <w:szCs w:val="22"/>
        </w:rPr>
      </w:pPr>
      <w:r>
        <w:rPr>
          <w:sz w:val="22"/>
          <w:szCs w:val="22"/>
        </w:rPr>
        <w:t>Andris Lazarevs</w:t>
      </w:r>
    </w:p>
    <w:p w14:paraId="2AAEC4A6" w14:textId="77777777" w:rsidR="00BA4471" w:rsidRDefault="00BA4471" w:rsidP="00BA4471">
      <w:pPr>
        <w:pStyle w:val="naisf"/>
        <w:spacing w:before="0" w:after="0"/>
        <w:ind w:firstLine="0"/>
        <w:rPr>
          <w:sz w:val="22"/>
          <w:szCs w:val="22"/>
        </w:rPr>
      </w:pPr>
      <w:r w:rsidRPr="0085135D">
        <w:rPr>
          <w:sz w:val="22"/>
          <w:szCs w:val="22"/>
        </w:rPr>
        <w:t>Ekonomikas ministrijas</w:t>
      </w:r>
    </w:p>
    <w:p w14:paraId="0DBAEC59" w14:textId="77777777" w:rsidR="00BA4471" w:rsidRPr="0085135D" w:rsidRDefault="00BA4471" w:rsidP="00BA4471">
      <w:pPr>
        <w:pStyle w:val="naisf"/>
        <w:spacing w:before="0" w:after="0"/>
        <w:ind w:firstLine="0"/>
        <w:rPr>
          <w:sz w:val="22"/>
          <w:szCs w:val="22"/>
        </w:rPr>
      </w:pPr>
      <w:r>
        <w:rPr>
          <w:sz w:val="22"/>
          <w:szCs w:val="22"/>
        </w:rPr>
        <w:t>Būvniecības politikas departamenta direktores vietnieks</w:t>
      </w:r>
    </w:p>
    <w:p w14:paraId="5709D637" w14:textId="77777777" w:rsidR="00BA4471" w:rsidRPr="0085135D" w:rsidRDefault="00BA4471" w:rsidP="00BA4471">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2F6BEB8D" w14:textId="77777777" w:rsidR="00BA4471" w:rsidRDefault="00BA4471" w:rsidP="00BA4471">
      <w:pPr>
        <w:pStyle w:val="naisf"/>
        <w:spacing w:before="0" w:after="0"/>
        <w:ind w:firstLine="0"/>
        <w:rPr>
          <w:rStyle w:val="Hyperlink"/>
          <w:sz w:val="22"/>
          <w:szCs w:val="22"/>
        </w:rPr>
      </w:pPr>
      <w:r w:rsidRPr="0085135D">
        <w:rPr>
          <w:sz w:val="22"/>
          <w:szCs w:val="22"/>
        </w:rPr>
        <w:t xml:space="preserve">e-pasts: </w:t>
      </w:r>
      <w:hyperlink r:id="rId8" w:history="1">
        <w:r w:rsidRPr="00CE30A5">
          <w:rPr>
            <w:rStyle w:val="Hyperlink"/>
            <w:sz w:val="22"/>
            <w:szCs w:val="22"/>
          </w:rPr>
          <w:t>Andris.Lazarevs@em.gov.lv</w:t>
        </w:r>
      </w:hyperlink>
    </w:p>
    <w:p w14:paraId="5A384575" w14:textId="77777777" w:rsidR="00BA4471" w:rsidRDefault="00BA4471" w:rsidP="00BA4471">
      <w:pPr>
        <w:pStyle w:val="naisf"/>
        <w:tabs>
          <w:tab w:val="left" w:pos="0"/>
        </w:tabs>
        <w:spacing w:before="0" w:after="0"/>
        <w:ind w:right="57" w:firstLine="0"/>
      </w:pPr>
    </w:p>
    <w:p w14:paraId="3BCD6D0D" w14:textId="77777777" w:rsidR="00BA4471" w:rsidRDefault="00BA4471" w:rsidP="00BA4471">
      <w:pPr>
        <w:pStyle w:val="naisf"/>
        <w:tabs>
          <w:tab w:val="left" w:pos="0"/>
        </w:tabs>
        <w:spacing w:before="0" w:after="0"/>
        <w:ind w:right="57" w:firstLine="0"/>
      </w:pPr>
    </w:p>
    <w:p w14:paraId="52DD5381" w14:textId="6220607E" w:rsidR="00BA4471" w:rsidRPr="0085135D" w:rsidRDefault="004E2CF7" w:rsidP="00BA4471">
      <w:pPr>
        <w:rPr>
          <w:sz w:val="18"/>
          <w:szCs w:val="18"/>
        </w:rPr>
      </w:pPr>
      <w:r>
        <w:rPr>
          <w:sz w:val="18"/>
          <w:szCs w:val="18"/>
        </w:rPr>
        <w:t>01</w:t>
      </w:r>
      <w:r w:rsidR="00BA4471" w:rsidRPr="0085135D">
        <w:rPr>
          <w:sz w:val="18"/>
          <w:szCs w:val="18"/>
        </w:rPr>
        <w:t>.</w:t>
      </w:r>
      <w:r>
        <w:rPr>
          <w:sz w:val="18"/>
          <w:szCs w:val="18"/>
        </w:rPr>
        <w:t>10</w:t>
      </w:r>
      <w:r w:rsidR="00BA4471" w:rsidRPr="0085135D">
        <w:rPr>
          <w:sz w:val="18"/>
          <w:szCs w:val="18"/>
        </w:rPr>
        <w:t>.201</w:t>
      </w:r>
      <w:r w:rsidR="00BA4471">
        <w:rPr>
          <w:sz w:val="18"/>
          <w:szCs w:val="18"/>
        </w:rPr>
        <w:t>9</w:t>
      </w:r>
      <w:r w:rsidR="00BA4471" w:rsidRPr="0085135D">
        <w:rPr>
          <w:sz w:val="18"/>
          <w:szCs w:val="18"/>
        </w:rPr>
        <w:t>.</w:t>
      </w:r>
    </w:p>
    <w:bookmarkStart w:id="6" w:name="OLE_LINK3"/>
    <w:bookmarkStart w:id="7" w:name="OLE_LINK4"/>
    <w:p w14:paraId="0FD95628" w14:textId="47E9E42F" w:rsidR="00BA4471" w:rsidRPr="0085135D" w:rsidRDefault="00BA4471" w:rsidP="00BA4471">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86702A">
        <w:rPr>
          <w:noProof/>
          <w:sz w:val="18"/>
          <w:szCs w:val="18"/>
        </w:rPr>
        <w:t>2252</w:t>
      </w:r>
      <w:r w:rsidRPr="0085135D">
        <w:rPr>
          <w:sz w:val="18"/>
          <w:szCs w:val="18"/>
        </w:rPr>
        <w:fldChar w:fldCharType="end"/>
      </w:r>
      <w:bookmarkStart w:id="8" w:name="_GoBack"/>
      <w:bookmarkEnd w:id="8"/>
    </w:p>
    <w:p w14:paraId="1FCAEB4A" w14:textId="77777777" w:rsidR="00BA4471" w:rsidRDefault="00BA4471" w:rsidP="00BA4471">
      <w:pPr>
        <w:rPr>
          <w:sz w:val="18"/>
          <w:szCs w:val="18"/>
        </w:rPr>
      </w:pPr>
      <w:proofErr w:type="spellStart"/>
      <w:r>
        <w:rPr>
          <w:sz w:val="18"/>
          <w:szCs w:val="18"/>
        </w:rPr>
        <w:t>E.Bučinska</w:t>
      </w:r>
      <w:proofErr w:type="spellEnd"/>
      <w:r>
        <w:rPr>
          <w:sz w:val="18"/>
          <w:szCs w:val="18"/>
        </w:rPr>
        <w:t>, 67013032</w:t>
      </w:r>
    </w:p>
    <w:p w14:paraId="46B1368C" w14:textId="77777777" w:rsidR="00BA4471" w:rsidRDefault="0086702A" w:rsidP="00BA4471">
      <w:pPr>
        <w:rPr>
          <w:sz w:val="18"/>
          <w:szCs w:val="18"/>
        </w:rPr>
      </w:pPr>
      <w:hyperlink r:id="rId9" w:history="1">
        <w:r w:rsidR="00BA4471" w:rsidRPr="00CE30A5">
          <w:rPr>
            <w:rStyle w:val="Hyperlink"/>
            <w:sz w:val="18"/>
            <w:szCs w:val="18"/>
          </w:rPr>
          <w:t>Elga.Bucinska@em.gov.lv</w:t>
        </w:r>
      </w:hyperlink>
    </w:p>
    <w:p w14:paraId="17866956" w14:textId="77777777" w:rsidR="00BA4471" w:rsidRDefault="00BA4471" w:rsidP="00BA4471">
      <w:pPr>
        <w:rPr>
          <w:sz w:val="18"/>
          <w:szCs w:val="18"/>
        </w:rPr>
      </w:pPr>
    </w:p>
    <w:p w14:paraId="1A83BEDE" w14:textId="77777777" w:rsidR="00BA4471" w:rsidRPr="0085135D" w:rsidRDefault="00BA4471" w:rsidP="00BA4471">
      <w:pPr>
        <w:rPr>
          <w:sz w:val="18"/>
          <w:szCs w:val="18"/>
        </w:rPr>
      </w:pPr>
      <w:proofErr w:type="spellStart"/>
      <w:r w:rsidRPr="0085135D">
        <w:rPr>
          <w:sz w:val="18"/>
          <w:szCs w:val="18"/>
        </w:rPr>
        <w:t>E.Avota</w:t>
      </w:r>
      <w:proofErr w:type="spellEnd"/>
      <w:r w:rsidRPr="0085135D">
        <w:rPr>
          <w:sz w:val="18"/>
          <w:szCs w:val="18"/>
        </w:rPr>
        <w:t xml:space="preserve">, </w:t>
      </w:r>
      <w:bookmarkEnd w:id="6"/>
      <w:bookmarkEnd w:id="7"/>
      <w:r w:rsidRPr="0085135D">
        <w:rPr>
          <w:sz w:val="18"/>
          <w:szCs w:val="18"/>
        </w:rPr>
        <w:t>67013262</w:t>
      </w:r>
    </w:p>
    <w:p w14:paraId="14AE68A2" w14:textId="6FCAED69" w:rsidR="00261A6F" w:rsidRPr="0085135D" w:rsidRDefault="0086702A" w:rsidP="00BA4471">
      <w:pPr>
        <w:rPr>
          <w:sz w:val="18"/>
          <w:szCs w:val="18"/>
        </w:rPr>
      </w:pPr>
      <w:hyperlink r:id="rId10" w:history="1">
        <w:r w:rsidR="00BA4471" w:rsidRPr="00CC221B">
          <w:rPr>
            <w:rStyle w:val="Hyperlink"/>
            <w:sz w:val="18"/>
            <w:szCs w:val="18"/>
          </w:rPr>
          <w:t>Evija.Avota@em.gov.lv</w:t>
        </w:r>
      </w:hyperlink>
    </w:p>
    <w:sectPr w:rsidR="00261A6F" w:rsidRPr="0085135D"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AC3B" w14:textId="77777777" w:rsidR="000670F0" w:rsidRDefault="000670F0" w:rsidP="006D13B8">
      <w:r>
        <w:separator/>
      </w:r>
    </w:p>
  </w:endnote>
  <w:endnote w:type="continuationSeparator" w:id="0">
    <w:p w14:paraId="0690530B" w14:textId="77777777" w:rsidR="000670F0" w:rsidRDefault="000670F0"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2BDE" w14:textId="69ACA749"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B6530B">
      <w:rPr>
        <w:noProof/>
        <w:sz w:val="20"/>
        <w:szCs w:val="18"/>
      </w:rPr>
      <w:t>EMizz_011019_groz529</w:t>
    </w:r>
    <w:r w:rsidR="00B6530B" w:rsidRPr="00B6530B">
      <w:rPr>
        <w:noProof/>
      </w:rPr>
      <w:t>_ekas</w:t>
    </w:r>
    <w:r w:rsidR="00B6530B">
      <w:rPr>
        <w:noProof/>
        <w:sz w:val="20"/>
        <w:szCs w:val="18"/>
      </w:rPr>
      <w:t>_VSS-592.docx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w:t>
    </w:r>
    <w:bookmarkStart w:id="9" w:name="_Hlk15917822"/>
    <w:r>
      <w:rPr>
        <w:sz w:val="20"/>
        <w:szCs w:val="18"/>
      </w:rPr>
      <w:t xml:space="preserve">noteikumu projektam “Grozījumi Ministru kabineta 2014.gada 2.septembra noteikumos Nr.529 “Ēku būvnoteikumi”” </w:t>
    </w:r>
    <w:bookmarkEnd w:id="9"/>
    <w:r>
      <w:rPr>
        <w:sz w:val="20"/>
        <w:szCs w:val="18"/>
      </w:rPr>
      <w:t>(VSS-</w:t>
    </w:r>
    <w:r w:rsidR="00BA4471">
      <w:rPr>
        <w:sz w:val="20"/>
        <w:szCs w:val="18"/>
      </w:rPr>
      <w:t>592</w:t>
    </w:r>
    <w:r>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5417" w14:textId="625D0A30"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B6530B">
      <w:rPr>
        <w:noProof/>
        <w:sz w:val="20"/>
        <w:szCs w:val="18"/>
      </w:rPr>
      <w:t>EMizz_011019_groz529</w:t>
    </w:r>
    <w:r w:rsidR="00B6530B" w:rsidRPr="00B6530B">
      <w:rPr>
        <w:noProof/>
      </w:rPr>
      <w:t>_ekas</w:t>
    </w:r>
    <w:r w:rsidR="00B6530B">
      <w:rPr>
        <w:noProof/>
        <w:sz w:val="20"/>
        <w:szCs w:val="18"/>
      </w:rPr>
      <w:t>_VSS-592.docx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ebildumiem noteikumu projektam “Grozījumi Ministru kabineta 2014.gada 2.septembra noteikumiem Nr.529 “Ēku būvnoteikumi”” (VSS-</w:t>
    </w:r>
    <w:r w:rsidR="00BA4471">
      <w:rPr>
        <w:sz w:val="20"/>
        <w:szCs w:val="18"/>
      </w:rPr>
      <w:t>592</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D31E" w14:textId="77777777" w:rsidR="000670F0" w:rsidRDefault="000670F0" w:rsidP="006D13B8">
      <w:r>
        <w:separator/>
      </w:r>
    </w:p>
  </w:footnote>
  <w:footnote w:type="continuationSeparator" w:id="0">
    <w:p w14:paraId="399DCC57" w14:textId="77777777" w:rsidR="000670F0" w:rsidRDefault="000670F0"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8A64"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EF41F"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CF8B"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CD1C17E"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945484E"/>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261C2F04"/>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6"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5"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0"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3"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8"/>
  </w:num>
  <w:num w:numId="4">
    <w:abstractNumId w:val="17"/>
  </w:num>
  <w:num w:numId="5">
    <w:abstractNumId w:val="31"/>
  </w:num>
  <w:num w:numId="6">
    <w:abstractNumId w:val="18"/>
  </w:num>
  <w:num w:numId="7">
    <w:abstractNumId w:val="1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4"/>
  </w:num>
  <w:num w:numId="12">
    <w:abstractNumId w:val="9"/>
  </w:num>
  <w:num w:numId="13">
    <w:abstractNumId w:val="2"/>
  </w:num>
  <w:num w:numId="14">
    <w:abstractNumId w:val="28"/>
  </w:num>
  <w:num w:numId="15">
    <w:abstractNumId w:val="19"/>
  </w:num>
  <w:num w:numId="16">
    <w:abstractNumId w:val="29"/>
  </w:num>
  <w:num w:numId="17">
    <w:abstractNumId w:val="25"/>
  </w:num>
  <w:num w:numId="18">
    <w:abstractNumId w:val="16"/>
  </w:num>
  <w:num w:numId="19">
    <w:abstractNumId w:val="30"/>
  </w:num>
  <w:num w:numId="20">
    <w:abstractNumId w:val="27"/>
  </w:num>
  <w:num w:numId="21">
    <w:abstractNumId w:val="10"/>
  </w:num>
  <w:num w:numId="22">
    <w:abstractNumId w:val="34"/>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6"/>
  </w:num>
  <w:num w:numId="28">
    <w:abstractNumId w:val="33"/>
  </w:num>
  <w:num w:numId="29">
    <w:abstractNumId w:val="15"/>
  </w:num>
  <w:num w:numId="30">
    <w:abstractNumId w:val="12"/>
  </w:num>
  <w:num w:numId="31">
    <w:abstractNumId w:val="14"/>
  </w:num>
  <w:num w:numId="32">
    <w:abstractNumId w:val="24"/>
  </w:num>
  <w:num w:numId="33">
    <w:abstractNumId w:val="7"/>
  </w:num>
  <w:num w:numId="34">
    <w:abstractNumId w:val="32"/>
  </w:num>
  <w:num w:numId="35">
    <w:abstractNumId w:val="0"/>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15D3"/>
    <w:rsid w:val="00026063"/>
    <w:rsid w:val="000275A8"/>
    <w:rsid w:val="00030238"/>
    <w:rsid w:val="00030F6B"/>
    <w:rsid w:val="0003127D"/>
    <w:rsid w:val="00034482"/>
    <w:rsid w:val="00035553"/>
    <w:rsid w:val="000362CE"/>
    <w:rsid w:val="0003729E"/>
    <w:rsid w:val="000428C3"/>
    <w:rsid w:val="00047434"/>
    <w:rsid w:val="00047E25"/>
    <w:rsid w:val="00051A7A"/>
    <w:rsid w:val="00052919"/>
    <w:rsid w:val="00052AC6"/>
    <w:rsid w:val="0005491D"/>
    <w:rsid w:val="000572D1"/>
    <w:rsid w:val="000646F5"/>
    <w:rsid w:val="000670F0"/>
    <w:rsid w:val="00074DED"/>
    <w:rsid w:val="000751B1"/>
    <w:rsid w:val="00077245"/>
    <w:rsid w:val="00081703"/>
    <w:rsid w:val="0008351B"/>
    <w:rsid w:val="00083906"/>
    <w:rsid w:val="00083B68"/>
    <w:rsid w:val="00084AE3"/>
    <w:rsid w:val="000906BE"/>
    <w:rsid w:val="00092A26"/>
    <w:rsid w:val="00092F5E"/>
    <w:rsid w:val="000940DA"/>
    <w:rsid w:val="000A145D"/>
    <w:rsid w:val="000A2295"/>
    <w:rsid w:val="000A3E1C"/>
    <w:rsid w:val="000B6345"/>
    <w:rsid w:val="000B7130"/>
    <w:rsid w:val="000C1235"/>
    <w:rsid w:val="000D0301"/>
    <w:rsid w:val="000D1975"/>
    <w:rsid w:val="000D4DA3"/>
    <w:rsid w:val="000D50BB"/>
    <w:rsid w:val="000D7B2C"/>
    <w:rsid w:val="000E4D4E"/>
    <w:rsid w:val="000E57C5"/>
    <w:rsid w:val="000F4B37"/>
    <w:rsid w:val="000F5750"/>
    <w:rsid w:val="000F6793"/>
    <w:rsid w:val="00105EB6"/>
    <w:rsid w:val="00110B97"/>
    <w:rsid w:val="00110E31"/>
    <w:rsid w:val="00112567"/>
    <w:rsid w:val="00112FE1"/>
    <w:rsid w:val="00123539"/>
    <w:rsid w:val="00127447"/>
    <w:rsid w:val="0012783F"/>
    <w:rsid w:val="00130110"/>
    <w:rsid w:val="00137222"/>
    <w:rsid w:val="00137CD6"/>
    <w:rsid w:val="001418D3"/>
    <w:rsid w:val="0014470A"/>
    <w:rsid w:val="00154E01"/>
    <w:rsid w:val="00164528"/>
    <w:rsid w:val="00174FF5"/>
    <w:rsid w:val="00175352"/>
    <w:rsid w:val="00176699"/>
    <w:rsid w:val="001804B4"/>
    <w:rsid w:val="00180543"/>
    <w:rsid w:val="001810F5"/>
    <w:rsid w:val="001816C2"/>
    <w:rsid w:val="0018356F"/>
    <w:rsid w:val="00183D2F"/>
    <w:rsid w:val="0018465F"/>
    <w:rsid w:val="001874F7"/>
    <w:rsid w:val="00197257"/>
    <w:rsid w:val="001A3023"/>
    <w:rsid w:val="001A4C20"/>
    <w:rsid w:val="001A7B83"/>
    <w:rsid w:val="001B16C7"/>
    <w:rsid w:val="001B18E9"/>
    <w:rsid w:val="001B2F85"/>
    <w:rsid w:val="001B570A"/>
    <w:rsid w:val="001B5D55"/>
    <w:rsid w:val="001B69A4"/>
    <w:rsid w:val="001C34D4"/>
    <w:rsid w:val="001C4D65"/>
    <w:rsid w:val="001D252B"/>
    <w:rsid w:val="001D2806"/>
    <w:rsid w:val="001D6D52"/>
    <w:rsid w:val="001E1878"/>
    <w:rsid w:val="001E22D6"/>
    <w:rsid w:val="001E2BC3"/>
    <w:rsid w:val="001E53BF"/>
    <w:rsid w:val="001E7C74"/>
    <w:rsid w:val="001F3C74"/>
    <w:rsid w:val="00201C2C"/>
    <w:rsid w:val="00202586"/>
    <w:rsid w:val="0020317D"/>
    <w:rsid w:val="00205CDF"/>
    <w:rsid w:val="002061BB"/>
    <w:rsid w:val="0020747D"/>
    <w:rsid w:val="0021288B"/>
    <w:rsid w:val="00214DDE"/>
    <w:rsid w:val="00215565"/>
    <w:rsid w:val="0022297C"/>
    <w:rsid w:val="0022753A"/>
    <w:rsid w:val="002304D9"/>
    <w:rsid w:val="0023224C"/>
    <w:rsid w:val="00237F07"/>
    <w:rsid w:val="002469B5"/>
    <w:rsid w:val="00246DDD"/>
    <w:rsid w:val="00252ADF"/>
    <w:rsid w:val="002561B6"/>
    <w:rsid w:val="00256D87"/>
    <w:rsid w:val="00260F46"/>
    <w:rsid w:val="00261A6F"/>
    <w:rsid w:val="00266B58"/>
    <w:rsid w:val="002675F3"/>
    <w:rsid w:val="00273107"/>
    <w:rsid w:val="00273365"/>
    <w:rsid w:val="00276253"/>
    <w:rsid w:val="00283697"/>
    <w:rsid w:val="00293ECB"/>
    <w:rsid w:val="00293F72"/>
    <w:rsid w:val="002A17FD"/>
    <w:rsid w:val="002A26EF"/>
    <w:rsid w:val="002A421E"/>
    <w:rsid w:val="002A6EBF"/>
    <w:rsid w:val="002A7D7A"/>
    <w:rsid w:val="002B03C8"/>
    <w:rsid w:val="002B7466"/>
    <w:rsid w:val="002C02C4"/>
    <w:rsid w:val="002C03CD"/>
    <w:rsid w:val="002C3D7F"/>
    <w:rsid w:val="002C49BE"/>
    <w:rsid w:val="002C503A"/>
    <w:rsid w:val="002C5D75"/>
    <w:rsid w:val="002C5E0D"/>
    <w:rsid w:val="002C6EC9"/>
    <w:rsid w:val="002D2950"/>
    <w:rsid w:val="002D47AE"/>
    <w:rsid w:val="002D75C1"/>
    <w:rsid w:val="002E0EEC"/>
    <w:rsid w:val="002E1B36"/>
    <w:rsid w:val="002E22BF"/>
    <w:rsid w:val="002E36BE"/>
    <w:rsid w:val="002E4311"/>
    <w:rsid w:val="002E7410"/>
    <w:rsid w:val="002F014D"/>
    <w:rsid w:val="002F618B"/>
    <w:rsid w:val="002F619E"/>
    <w:rsid w:val="002F7514"/>
    <w:rsid w:val="00304ABB"/>
    <w:rsid w:val="00306508"/>
    <w:rsid w:val="0031388F"/>
    <w:rsid w:val="0031644E"/>
    <w:rsid w:val="003166E1"/>
    <w:rsid w:val="00317CA0"/>
    <w:rsid w:val="00322F8F"/>
    <w:rsid w:val="00333202"/>
    <w:rsid w:val="00342067"/>
    <w:rsid w:val="003434AC"/>
    <w:rsid w:val="00345223"/>
    <w:rsid w:val="003477B8"/>
    <w:rsid w:val="003519D5"/>
    <w:rsid w:val="0035664F"/>
    <w:rsid w:val="003623C0"/>
    <w:rsid w:val="0036491A"/>
    <w:rsid w:val="00373200"/>
    <w:rsid w:val="00373C41"/>
    <w:rsid w:val="003742B8"/>
    <w:rsid w:val="0037443F"/>
    <w:rsid w:val="00375153"/>
    <w:rsid w:val="00377BE1"/>
    <w:rsid w:val="00380EB3"/>
    <w:rsid w:val="00380ED5"/>
    <w:rsid w:val="00384A37"/>
    <w:rsid w:val="00386730"/>
    <w:rsid w:val="00393FEC"/>
    <w:rsid w:val="00395058"/>
    <w:rsid w:val="003A30C2"/>
    <w:rsid w:val="003A30D0"/>
    <w:rsid w:val="003A5375"/>
    <w:rsid w:val="003A70F1"/>
    <w:rsid w:val="003B0A85"/>
    <w:rsid w:val="003B14FC"/>
    <w:rsid w:val="003B2B80"/>
    <w:rsid w:val="003C4552"/>
    <w:rsid w:val="003C5C26"/>
    <w:rsid w:val="003D14AC"/>
    <w:rsid w:val="003D3BC6"/>
    <w:rsid w:val="003E096B"/>
    <w:rsid w:val="003E33CD"/>
    <w:rsid w:val="003E6079"/>
    <w:rsid w:val="003E6A20"/>
    <w:rsid w:val="003E7916"/>
    <w:rsid w:val="003F0CE3"/>
    <w:rsid w:val="003F2B11"/>
    <w:rsid w:val="003F50B1"/>
    <w:rsid w:val="003F5F7B"/>
    <w:rsid w:val="003F7992"/>
    <w:rsid w:val="00402433"/>
    <w:rsid w:val="00402D0E"/>
    <w:rsid w:val="00403182"/>
    <w:rsid w:val="00405673"/>
    <w:rsid w:val="004066ED"/>
    <w:rsid w:val="00406806"/>
    <w:rsid w:val="00414057"/>
    <w:rsid w:val="00415457"/>
    <w:rsid w:val="00417081"/>
    <w:rsid w:val="0041780F"/>
    <w:rsid w:val="00423B8C"/>
    <w:rsid w:val="00425688"/>
    <w:rsid w:val="00425B69"/>
    <w:rsid w:val="00431F45"/>
    <w:rsid w:val="00433CE2"/>
    <w:rsid w:val="00441B6C"/>
    <w:rsid w:val="0044433F"/>
    <w:rsid w:val="0044548D"/>
    <w:rsid w:val="004518A0"/>
    <w:rsid w:val="004540A5"/>
    <w:rsid w:val="00454C10"/>
    <w:rsid w:val="0045564A"/>
    <w:rsid w:val="00456640"/>
    <w:rsid w:val="00456F71"/>
    <w:rsid w:val="00457B70"/>
    <w:rsid w:val="004605CC"/>
    <w:rsid w:val="004638ED"/>
    <w:rsid w:val="00475E39"/>
    <w:rsid w:val="00476303"/>
    <w:rsid w:val="00485A65"/>
    <w:rsid w:val="00486F68"/>
    <w:rsid w:val="004904A6"/>
    <w:rsid w:val="00491ED0"/>
    <w:rsid w:val="00496F67"/>
    <w:rsid w:val="004A2D57"/>
    <w:rsid w:val="004A3443"/>
    <w:rsid w:val="004A346D"/>
    <w:rsid w:val="004A6D8D"/>
    <w:rsid w:val="004B5F80"/>
    <w:rsid w:val="004B664C"/>
    <w:rsid w:val="004C0C1F"/>
    <w:rsid w:val="004C0D7C"/>
    <w:rsid w:val="004C1D38"/>
    <w:rsid w:val="004C273A"/>
    <w:rsid w:val="004C5B00"/>
    <w:rsid w:val="004C5E30"/>
    <w:rsid w:val="004D112F"/>
    <w:rsid w:val="004D529F"/>
    <w:rsid w:val="004D735F"/>
    <w:rsid w:val="004E077D"/>
    <w:rsid w:val="004E19F5"/>
    <w:rsid w:val="004E1ADA"/>
    <w:rsid w:val="004E2CF7"/>
    <w:rsid w:val="004F5540"/>
    <w:rsid w:val="004F5B1A"/>
    <w:rsid w:val="005039C2"/>
    <w:rsid w:val="00504342"/>
    <w:rsid w:val="00507DED"/>
    <w:rsid w:val="00510281"/>
    <w:rsid w:val="0051289D"/>
    <w:rsid w:val="00515D67"/>
    <w:rsid w:val="00516095"/>
    <w:rsid w:val="00516401"/>
    <w:rsid w:val="00517171"/>
    <w:rsid w:val="005200A6"/>
    <w:rsid w:val="00520EDC"/>
    <w:rsid w:val="0052294F"/>
    <w:rsid w:val="00523E31"/>
    <w:rsid w:val="00524C59"/>
    <w:rsid w:val="005302DA"/>
    <w:rsid w:val="00537B79"/>
    <w:rsid w:val="00537FEA"/>
    <w:rsid w:val="00541111"/>
    <w:rsid w:val="005504A8"/>
    <w:rsid w:val="00553689"/>
    <w:rsid w:val="005548B8"/>
    <w:rsid w:val="0056448D"/>
    <w:rsid w:val="00567E07"/>
    <w:rsid w:val="00570C84"/>
    <w:rsid w:val="00572135"/>
    <w:rsid w:val="005733CD"/>
    <w:rsid w:val="00574AC1"/>
    <w:rsid w:val="00576890"/>
    <w:rsid w:val="00581A1A"/>
    <w:rsid w:val="00581F4B"/>
    <w:rsid w:val="00585E19"/>
    <w:rsid w:val="00590402"/>
    <w:rsid w:val="0059415A"/>
    <w:rsid w:val="00597911"/>
    <w:rsid w:val="00597EC4"/>
    <w:rsid w:val="005A2C6E"/>
    <w:rsid w:val="005A412F"/>
    <w:rsid w:val="005A4445"/>
    <w:rsid w:val="005A6292"/>
    <w:rsid w:val="005B072F"/>
    <w:rsid w:val="005B430D"/>
    <w:rsid w:val="005B515A"/>
    <w:rsid w:val="005B58A0"/>
    <w:rsid w:val="005B58D1"/>
    <w:rsid w:val="005B72BA"/>
    <w:rsid w:val="005C4DFA"/>
    <w:rsid w:val="005D5723"/>
    <w:rsid w:val="005E44AD"/>
    <w:rsid w:val="005E5D7C"/>
    <w:rsid w:val="005E6441"/>
    <w:rsid w:val="005E6F14"/>
    <w:rsid w:val="005E751E"/>
    <w:rsid w:val="005F1E45"/>
    <w:rsid w:val="005F3BF3"/>
    <w:rsid w:val="005F744B"/>
    <w:rsid w:val="006002F5"/>
    <w:rsid w:val="0061322B"/>
    <w:rsid w:val="0061723A"/>
    <w:rsid w:val="006213F6"/>
    <w:rsid w:val="0062260B"/>
    <w:rsid w:val="006232AF"/>
    <w:rsid w:val="00623E59"/>
    <w:rsid w:val="006321E8"/>
    <w:rsid w:val="0063490F"/>
    <w:rsid w:val="00635591"/>
    <w:rsid w:val="00636B1C"/>
    <w:rsid w:val="006373C3"/>
    <w:rsid w:val="00641F91"/>
    <w:rsid w:val="00643628"/>
    <w:rsid w:val="006574B4"/>
    <w:rsid w:val="00657D1D"/>
    <w:rsid w:val="00664AEF"/>
    <w:rsid w:val="00665C00"/>
    <w:rsid w:val="00672715"/>
    <w:rsid w:val="0067300C"/>
    <w:rsid w:val="00674DA3"/>
    <w:rsid w:val="00680B0B"/>
    <w:rsid w:val="006810BF"/>
    <w:rsid w:val="006926A7"/>
    <w:rsid w:val="00692E04"/>
    <w:rsid w:val="00694260"/>
    <w:rsid w:val="006953A3"/>
    <w:rsid w:val="006A19EB"/>
    <w:rsid w:val="006A21F0"/>
    <w:rsid w:val="006A2930"/>
    <w:rsid w:val="006A29B9"/>
    <w:rsid w:val="006A47DD"/>
    <w:rsid w:val="006A4963"/>
    <w:rsid w:val="006A4AF8"/>
    <w:rsid w:val="006B0290"/>
    <w:rsid w:val="006B1517"/>
    <w:rsid w:val="006B161B"/>
    <w:rsid w:val="006B1BFA"/>
    <w:rsid w:val="006B3DB3"/>
    <w:rsid w:val="006B4798"/>
    <w:rsid w:val="006B56F4"/>
    <w:rsid w:val="006B641F"/>
    <w:rsid w:val="006B657C"/>
    <w:rsid w:val="006C4B8A"/>
    <w:rsid w:val="006C6E00"/>
    <w:rsid w:val="006D13B8"/>
    <w:rsid w:val="006D21C7"/>
    <w:rsid w:val="006D2547"/>
    <w:rsid w:val="006D3953"/>
    <w:rsid w:val="006D55D3"/>
    <w:rsid w:val="006D7525"/>
    <w:rsid w:val="006E0A5C"/>
    <w:rsid w:val="006E1001"/>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262"/>
    <w:rsid w:val="00714870"/>
    <w:rsid w:val="00714DC7"/>
    <w:rsid w:val="0071702C"/>
    <w:rsid w:val="007215A7"/>
    <w:rsid w:val="0072430E"/>
    <w:rsid w:val="00732147"/>
    <w:rsid w:val="00733931"/>
    <w:rsid w:val="007348BF"/>
    <w:rsid w:val="00737698"/>
    <w:rsid w:val="007523A7"/>
    <w:rsid w:val="00752AD7"/>
    <w:rsid w:val="0075471C"/>
    <w:rsid w:val="0075555C"/>
    <w:rsid w:val="00755D78"/>
    <w:rsid w:val="00760DEB"/>
    <w:rsid w:val="007634FE"/>
    <w:rsid w:val="00763E1D"/>
    <w:rsid w:val="007655DD"/>
    <w:rsid w:val="00765FEE"/>
    <w:rsid w:val="00770117"/>
    <w:rsid w:val="007701C3"/>
    <w:rsid w:val="007720AF"/>
    <w:rsid w:val="00775F3E"/>
    <w:rsid w:val="0078308B"/>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D5441"/>
    <w:rsid w:val="007E264B"/>
    <w:rsid w:val="007E3D07"/>
    <w:rsid w:val="007F014D"/>
    <w:rsid w:val="007F0729"/>
    <w:rsid w:val="007F2146"/>
    <w:rsid w:val="007F23D8"/>
    <w:rsid w:val="007F464C"/>
    <w:rsid w:val="007F4B7D"/>
    <w:rsid w:val="007F56C4"/>
    <w:rsid w:val="007F627E"/>
    <w:rsid w:val="008005D6"/>
    <w:rsid w:val="00801127"/>
    <w:rsid w:val="00803D31"/>
    <w:rsid w:val="00805753"/>
    <w:rsid w:val="00811D96"/>
    <w:rsid w:val="00814D6D"/>
    <w:rsid w:val="00815083"/>
    <w:rsid w:val="00817427"/>
    <w:rsid w:val="008224AC"/>
    <w:rsid w:val="00822AAF"/>
    <w:rsid w:val="00836039"/>
    <w:rsid w:val="00836A1B"/>
    <w:rsid w:val="00840A47"/>
    <w:rsid w:val="0084264A"/>
    <w:rsid w:val="00842FD8"/>
    <w:rsid w:val="00843ED1"/>
    <w:rsid w:val="00847932"/>
    <w:rsid w:val="0085135D"/>
    <w:rsid w:val="00853AD8"/>
    <w:rsid w:val="00853FA5"/>
    <w:rsid w:val="00861E70"/>
    <w:rsid w:val="00864B84"/>
    <w:rsid w:val="00865B14"/>
    <w:rsid w:val="0086702A"/>
    <w:rsid w:val="00871745"/>
    <w:rsid w:val="008734B1"/>
    <w:rsid w:val="00875F79"/>
    <w:rsid w:val="00881174"/>
    <w:rsid w:val="0088216F"/>
    <w:rsid w:val="00885CD2"/>
    <w:rsid w:val="00893C32"/>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7DE"/>
    <w:rsid w:val="00914A66"/>
    <w:rsid w:val="00915A05"/>
    <w:rsid w:val="00917719"/>
    <w:rsid w:val="009243DE"/>
    <w:rsid w:val="0092628F"/>
    <w:rsid w:val="009302B2"/>
    <w:rsid w:val="00931667"/>
    <w:rsid w:val="00931A70"/>
    <w:rsid w:val="00947322"/>
    <w:rsid w:val="0095367F"/>
    <w:rsid w:val="0096180C"/>
    <w:rsid w:val="00964B6E"/>
    <w:rsid w:val="00966CA6"/>
    <w:rsid w:val="00973BF1"/>
    <w:rsid w:val="00974DB6"/>
    <w:rsid w:val="009878B9"/>
    <w:rsid w:val="00990805"/>
    <w:rsid w:val="00994B91"/>
    <w:rsid w:val="009A1554"/>
    <w:rsid w:val="009A39B1"/>
    <w:rsid w:val="009A3DB4"/>
    <w:rsid w:val="009A63CE"/>
    <w:rsid w:val="009B5F3B"/>
    <w:rsid w:val="009B734A"/>
    <w:rsid w:val="009C2A4C"/>
    <w:rsid w:val="009D066F"/>
    <w:rsid w:val="009D38E7"/>
    <w:rsid w:val="009D45B3"/>
    <w:rsid w:val="009D6BE1"/>
    <w:rsid w:val="009E013F"/>
    <w:rsid w:val="009E38B4"/>
    <w:rsid w:val="009E3B6D"/>
    <w:rsid w:val="009E4EC5"/>
    <w:rsid w:val="009E5372"/>
    <w:rsid w:val="009F0F8D"/>
    <w:rsid w:val="009F12E3"/>
    <w:rsid w:val="009F40A2"/>
    <w:rsid w:val="00A00408"/>
    <w:rsid w:val="00A00CC2"/>
    <w:rsid w:val="00A031A3"/>
    <w:rsid w:val="00A0444E"/>
    <w:rsid w:val="00A10433"/>
    <w:rsid w:val="00A1397A"/>
    <w:rsid w:val="00A1528D"/>
    <w:rsid w:val="00A152D9"/>
    <w:rsid w:val="00A166AA"/>
    <w:rsid w:val="00A16E1E"/>
    <w:rsid w:val="00A20920"/>
    <w:rsid w:val="00A22462"/>
    <w:rsid w:val="00A226F6"/>
    <w:rsid w:val="00A2446D"/>
    <w:rsid w:val="00A27A53"/>
    <w:rsid w:val="00A30F40"/>
    <w:rsid w:val="00A33698"/>
    <w:rsid w:val="00A346EC"/>
    <w:rsid w:val="00A34A49"/>
    <w:rsid w:val="00A3690B"/>
    <w:rsid w:val="00A37A8B"/>
    <w:rsid w:val="00A416B7"/>
    <w:rsid w:val="00A42779"/>
    <w:rsid w:val="00A50B3F"/>
    <w:rsid w:val="00A515FB"/>
    <w:rsid w:val="00A542FF"/>
    <w:rsid w:val="00A56428"/>
    <w:rsid w:val="00A62A51"/>
    <w:rsid w:val="00A65F91"/>
    <w:rsid w:val="00A66929"/>
    <w:rsid w:val="00A70599"/>
    <w:rsid w:val="00A713B3"/>
    <w:rsid w:val="00A77CDD"/>
    <w:rsid w:val="00A83E72"/>
    <w:rsid w:val="00A864D4"/>
    <w:rsid w:val="00A919EA"/>
    <w:rsid w:val="00A9407D"/>
    <w:rsid w:val="00A958F4"/>
    <w:rsid w:val="00A959D7"/>
    <w:rsid w:val="00AA37FF"/>
    <w:rsid w:val="00AA38A0"/>
    <w:rsid w:val="00AA4A6A"/>
    <w:rsid w:val="00AA7E38"/>
    <w:rsid w:val="00AB1870"/>
    <w:rsid w:val="00AB22BE"/>
    <w:rsid w:val="00AB42CE"/>
    <w:rsid w:val="00AB5A07"/>
    <w:rsid w:val="00AB6114"/>
    <w:rsid w:val="00AB6AFF"/>
    <w:rsid w:val="00AB73F1"/>
    <w:rsid w:val="00AC1118"/>
    <w:rsid w:val="00AC40FC"/>
    <w:rsid w:val="00AC4151"/>
    <w:rsid w:val="00AC5F8C"/>
    <w:rsid w:val="00AC6412"/>
    <w:rsid w:val="00AC74D7"/>
    <w:rsid w:val="00AD0835"/>
    <w:rsid w:val="00AD21C1"/>
    <w:rsid w:val="00AD2615"/>
    <w:rsid w:val="00AD3359"/>
    <w:rsid w:val="00AD3468"/>
    <w:rsid w:val="00AD5A94"/>
    <w:rsid w:val="00AE13AC"/>
    <w:rsid w:val="00AE2C2D"/>
    <w:rsid w:val="00AE446D"/>
    <w:rsid w:val="00AE4EA1"/>
    <w:rsid w:val="00AE4F83"/>
    <w:rsid w:val="00AE582E"/>
    <w:rsid w:val="00AF6D07"/>
    <w:rsid w:val="00AF7996"/>
    <w:rsid w:val="00B0630C"/>
    <w:rsid w:val="00B064DF"/>
    <w:rsid w:val="00B0699F"/>
    <w:rsid w:val="00B1081D"/>
    <w:rsid w:val="00B115A6"/>
    <w:rsid w:val="00B13266"/>
    <w:rsid w:val="00B13779"/>
    <w:rsid w:val="00B21B35"/>
    <w:rsid w:val="00B2524F"/>
    <w:rsid w:val="00B260AC"/>
    <w:rsid w:val="00B31DB0"/>
    <w:rsid w:val="00B3439B"/>
    <w:rsid w:val="00B350F4"/>
    <w:rsid w:val="00B43177"/>
    <w:rsid w:val="00B440EE"/>
    <w:rsid w:val="00B441F1"/>
    <w:rsid w:val="00B50FDD"/>
    <w:rsid w:val="00B5130B"/>
    <w:rsid w:val="00B54426"/>
    <w:rsid w:val="00B56CCB"/>
    <w:rsid w:val="00B57A5D"/>
    <w:rsid w:val="00B62A59"/>
    <w:rsid w:val="00B630D0"/>
    <w:rsid w:val="00B6515D"/>
    <w:rsid w:val="00B6530B"/>
    <w:rsid w:val="00B654E4"/>
    <w:rsid w:val="00B67B7F"/>
    <w:rsid w:val="00B70C41"/>
    <w:rsid w:val="00B72682"/>
    <w:rsid w:val="00B733DB"/>
    <w:rsid w:val="00B749E6"/>
    <w:rsid w:val="00B74D8D"/>
    <w:rsid w:val="00B7509B"/>
    <w:rsid w:val="00B802EA"/>
    <w:rsid w:val="00B9770B"/>
    <w:rsid w:val="00BA15D4"/>
    <w:rsid w:val="00BA4471"/>
    <w:rsid w:val="00BA77B7"/>
    <w:rsid w:val="00BB035D"/>
    <w:rsid w:val="00BB2E88"/>
    <w:rsid w:val="00BB5BB5"/>
    <w:rsid w:val="00BD04F1"/>
    <w:rsid w:val="00BD0B05"/>
    <w:rsid w:val="00BD2620"/>
    <w:rsid w:val="00BD2F02"/>
    <w:rsid w:val="00BD4B72"/>
    <w:rsid w:val="00BD6106"/>
    <w:rsid w:val="00BE2962"/>
    <w:rsid w:val="00BE55E5"/>
    <w:rsid w:val="00BE6737"/>
    <w:rsid w:val="00BF07A1"/>
    <w:rsid w:val="00BF0960"/>
    <w:rsid w:val="00BF107C"/>
    <w:rsid w:val="00BF4718"/>
    <w:rsid w:val="00BF4938"/>
    <w:rsid w:val="00C01DAC"/>
    <w:rsid w:val="00C106B8"/>
    <w:rsid w:val="00C124B7"/>
    <w:rsid w:val="00C15ABE"/>
    <w:rsid w:val="00C20AC2"/>
    <w:rsid w:val="00C20F05"/>
    <w:rsid w:val="00C25E35"/>
    <w:rsid w:val="00C267B9"/>
    <w:rsid w:val="00C273D6"/>
    <w:rsid w:val="00C323B8"/>
    <w:rsid w:val="00C33CDD"/>
    <w:rsid w:val="00C42459"/>
    <w:rsid w:val="00C433CB"/>
    <w:rsid w:val="00C43F4B"/>
    <w:rsid w:val="00C475A9"/>
    <w:rsid w:val="00C479A0"/>
    <w:rsid w:val="00C500BF"/>
    <w:rsid w:val="00C50F7F"/>
    <w:rsid w:val="00C50F96"/>
    <w:rsid w:val="00C554B1"/>
    <w:rsid w:val="00C6350A"/>
    <w:rsid w:val="00C6676A"/>
    <w:rsid w:val="00C72DE7"/>
    <w:rsid w:val="00C738AA"/>
    <w:rsid w:val="00C83832"/>
    <w:rsid w:val="00C838F3"/>
    <w:rsid w:val="00C86EC8"/>
    <w:rsid w:val="00C93E96"/>
    <w:rsid w:val="00C9429B"/>
    <w:rsid w:val="00C97B38"/>
    <w:rsid w:val="00CA08F7"/>
    <w:rsid w:val="00CA0DB7"/>
    <w:rsid w:val="00CA30F2"/>
    <w:rsid w:val="00CA7C1A"/>
    <w:rsid w:val="00CB5C06"/>
    <w:rsid w:val="00CB6BFE"/>
    <w:rsid w:val="00CC2D42"/>
    <w:rsid w:val="00CC748E"/>
    <w:rsid w:val="00CD1949"/>
    <w:rsid w:val="00CE05FB"/>
    <w:rsid w:val="00CE0D78"/>
    <w:rsid w:val="00CE118C"/>
    <w:rsid w:val="00CE1C96"/>
    <w:rsid w:val="00CE598C"/>
    <w:rsid w:val="00CF351D"/>
    <w:rsid w:val="00CF440D"/>
    <w:rsid w:val="00CF562F"/>
    <w:rsid w:val="00CF590B"/>
    <w:rsid w:val="00CF6859"/>
    <w:rsid w:val="00D071A6"/>
    <w:rsid w:val="00D07C2A"/>
    <w:rsid w:val="00D14522"/>
    <w:rsid w:val="00D150DA"/>
    <w:rsid w:val="00D15ADD"/>
    <w:rsid w:val="00D20315"/>
    <w:rsid w:val="00D21A87"/>
    <w:rsid w:val="00D300AB"/>
    <w:rsid w:val="00D32220"/>
    <w:rsid w:val="00D50A6B"/>
    <w:rsid w:val="00D50C77"/>
    <w:rsid w:val="00D50DD6"/>
    <w:rsid w:val="00D529B5"/>
    <w:rsid w:val="00D55F48"/>
    <w:rsid w:val="00D56FCB"/>
    <w:rsid w:val="00D570E8"/>
    <w:rsid w:val="00D623A0"/>
    <w:rsid w:val="00D642FF"/>
    <w:rsid w:val="00D6735C"/>
    <w:rsid w:val="00D70852"/>
    <w:rsid w:val="00D71312"/>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54EE"/>
    <w:rsid w:val="00DB5A39"/>
    <w:rsid w:val="00DB68F6"/>
    <w:rsid w:val="00DC028A"/>
    <w:rsid w:val="00DC0514"/>
    <w:rsid w:val="00DC0F14"/>
    <w:rsid w:val="00DC21CF"/>
    <w:rsid w:val="00DC37B2"/>
    <w:rsid w:val="00DC41DE"/>
    <w:rsid w:val="00DD0586"/>
    <w:rsid w:val="00DD14DF"/>
    <w:rsid w:val="00DD4663"/>
    <w:rsid w:val="00DE2BDF"/>
    <w:rsid w:val="00DE488C"/>
    <w:rsid w:val="00DE5EF4"/>
    <w:rsid w:val="00DF1383"/>
    <w:rsid w:val="00DF73A7"/>
    <w:rsid w:val="00E00973"/>
    <w:rsid w:val="00E023FF"/>
    <w:rsid w:val="00E03414"/>
    <w:rsid w:val="00E03BA4"/>
    <w:rsid w:val="00E03D55"/>
    <w:rsid w:val="00E068A7"/>
    <w:rsid w:val="00E1189A"/>
    <w:rsid w:val="00E15227"/>
    <w:rsid w:val="00E20613"/>
    <w:rsid w:val="00E22A01"/>
    <w:rsid w:val="00E27F21"/>
    <w:rsid w:val="00E30C81"/>
    <w:rsid w:val="00E3165D"/>
    <w:rsid w:val="00E37C8B"/>
    <w:rsid w:val="00E40029"/>
    <w:rsid w:val="00E406FD"/>
    <w:rsid w:val="00E43100"/>
    <w:rsid w:val="00E437FD"/>
    <w:rsid w:val="00E4613E"/>
    <w:rsid w:val="00E47F02"/>
    <w:rsid w:val="00E50239"/>
    <w:rsid w:val="00E5204F"/>
    <w:rsid w:val="00E57020"/>
    <w:rsid w:val="00E6047C"/>
    <w:rsid w:val="00E60D88"/>
    <w:rsid w:val="00E62074"/>
    <w:rsid w:val="00E661A3"/>
    <w:rsid w:val="00E7503D"/>
    <w:rsid w:val="00E8692C"/>
    <w:rsid w:val="00E8694A"/>
    <w:rsid w:val="00E9076F"/>
    <w:rsid w:val="00E93389"/>
    <w:rsid w:val="00E93646"/>
    <w:rsid w:val="00EA416C"/>
    <w:rsid w:val="00EB0473"/>
    <w:rsid w:val="00EB0A42"/>
    <w:rsid w:val="00EB2264"/>
    <w:rsid w:val="00EC02FE"/>
    <w:rsid w:val="00EC2146"/>
    <w:rsid w:val="00EC525F"/>
    <w:rsid w:val="00EC6B4D"/>
    <w:rsid w:val="00EC73D7"/>
    <w:rsid w:val="00ED2DDC"/>
    <w:rsid w:val="00ED4303"/>
    <w:rsid w:val="00EF0803"/>
    <w:rsid w:val="00EF0F9A"/>
    <w:rsid w:val="00EF1908"/>
    <w:rsid w:val="00EF1BCF"/>
    <w:rsid w:val="00EF2193"/>
    <w:rsid w:val="00EF318C"/>
    <w:rsid w:val="00EF3846"/>
    <w:rsid w:val="00EF4D3C"/>
    <w:rsid w:val="00EF72B8"/>
    <w:rsid w:val="00F00001"/>
    <w:rsid w:val="00F00A19"/>
    <w:rsid w:val="00F05534"/>
    <w:rsid w:val="00F06623"/>
    <w:rsid w:val="00F07196"/>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129"/>
    <w:rsid w:val="00F51972"/>
    <w:rsid w:val="00F6198B"/>
    <w:rsid w:val="00F626C5"/>
    <w:rsid w:val="00F6302D"/>
    <w:rsid w:val="00F65C0A"/>
    <w:rsid w:val="00F67718"/>
    <w:rsid w:val="00F71453"/>
    <w:rsid w:val="00F7657E"/>
    <w:rsid w:val="00F77CCE"/>
    <w:rsid w:val="00F903C0"/>
    <w:rsid w:val="00FA06FE"/>
    <w:rsid w:val="00FA0CC1"/>
    <w:rsid w:val="00FA4D98"/>
    <w:rsid w:val="00FA5F81"/>
    <w:rsid w:val="00FA7AC9"/>
    <w:rsid w:val="00FB0D90"/>
    <w:rsid w:val="00FB1165"/>
    <w:rsid w:val="00FB329B"/>
    <w:rsid w:val="00FB4F74"/>
    <w:rsid w:val="00FB7BCF"/>
    <w:rsid w:val="00FB7D02"/>
    <w:rsid w:val="00FC033B"/>
    <w:rsid w:val="00FC3829"/>
    <w:rsid w:val="00FC54BD"/>
    <w:rsid w:val="00FC640A"/>
    <w:rsid w:val="00FD07D3"/>
    <w:rsid w:val="00FD1B0C"/>
    <w:rsid w:val="00FD323B"/>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D68B70"/>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2E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A5EB-000C-439D-BC8B-7627E696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2291</Words>
  <Characters>16978</Characters>
  <Application>Microsoft Office Word</Application>
  <DocSecurity>0</DocSecurity>
  <Lines>738</Lines>
  <Paragraphs>141</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6</cp:revision>
  <cp:lastPrinted>2015-12-08T08:25:00Z</cp:lastPrinted>
  <dcterms:created xsi:type="dcterms:W3CDTF">2019-09-30T09:37:00Z</dcterms:created>
  <dcterms:modified xsi:type="dcterms:W3CDTF">2019-10-01T08:16:00Z</dcterms:modified>
</cp:coreProperties>
</file>