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64A3C" w14:textId="77777777" w:rsidR="00F56B17" w:rsidRPr="00884F51" w:rsidRDefault="00F74912" w:rsidP="00F56B17">
      <w:pPr>
        <w:pStyle w:val="ListParagraph"/>
        <w:tabs>
          <w:tab w:val="left" w:pos="9072"/>
        </w:tabs>
        <w:ind w:left="0"/>
        <w:jc w:val="center"/>
        <w:rPr>
          <w:b/>
          <w:sz w:val="28"/>
          <w:szCs w:val="28"/>
        </w:rPr>
      </w:pPr>
      <w:bookmarkStart w:id="0" w:name="_GoBack"/>
      <w:bookmarkEnd w:id="0"/>
      <w:r w:rsidRPr="00884F51">
        <w:rPr>
          <w:b/>
          <w:sz w:val="28"/>
          <w:szCs w:val="28"/>
        </w:rPr>
        <w:t>Mini</w:t>
      </w:r>
      <w:r w:rsidR="00A31820" w:rsidRPr="00884F51">
        <w:rPr>
          <w:b/>
          <w:sz w:val="28"/>
          <w:szCs w:val="28"/>
        </w:rPr>
        <w:t>stru kabineta noteikumu projekta</w:t>
      </w:r>
      <w:r w:rsidR="007756FB" w:rsidRPr="00884F51">
        <w:rPr>
          <w:b/>
          <w:sz w:val="28"/>
          <w:szCs w:val="28"/>
        </w:rPr>
        <w:t xml:space="preserve"> </w:t>
      </w:r>
      <w:r w:rsidR="00035A8E" w:rsidRPr="00884F51">
        <w:rPr>
          <w:b/>
          <w:sz w:val="28"/>
          <w:szCs w:val="28"/>
        </w:rPr>
        <w:t>“</w:t>
      </w:r>
      <w:r w:rsidR="00FB7F54" w:rsidRPr="00884F51">
        <w:rPr>
          <w:b/>
          <w:sz w:val="28"/>
          <w:szCs w:val="28"/>
        </w:rPr>
        <w:t>Grozījumi Ministru kabineta 2017.gada 4.aprīļa noteikumos Nr.199 “</w:t>
      </w:r>
      <w:r w:rsidR="008E7DC2" w:rsidRPr="00884F51">
        <w:rPr>
          <w:b/>
          <w:color w:val="000000"/>
          <w:sz w:val="28"/>
          <w:szCs w:val="28"/>
        </w:rPr>
        <w:t>Noteikumi par dabasgāzes apriti un akcīzes nodokļa piemērošanas kārtību</w:t>
      </w:r>
      <w:r w:rsidR="00072B05" w:rsidRPr="00884F51">
        <w:rPr>
          <w:b/>
          <w:sz w:val="28"/>
          <w:szCs w:val="28"/>
        </w:rPr>
        <w:t>”</w:t>
      </w:r>
      <w:r w:rsidR="00FB7F54" w:rsidRPr="00884F51">
        <w:rPr>
          <w:b/>
          <w:sz w:val="28"/>
          <w:szCs w:val="28"/>
        </w:rPr>
        <w:t>”</w:t>
      </w:r>
    </w:p>
    <w:p w14:paraId="775AD7FB" w14:textId="77777777" w:rsidR="007756FB" w:rsidRPr="00884F51" w:rsidRDefault="007756FB" w:rsidP="00F42203">
      <w:pPr>
        <w:pStyle w:val="ListParagraph"/>
        <w:tabs>
          <w:tab w:val="left" w:pos="9072"/>
        </w:tabs>
        <w:ind w:left="0"/>
        <w:jc w:val="center"/>
        <w:rPr>
          <w:b/>
          <w:sz w:val="28"/>
          <w:szCs w:val="28"/>
        </w:rPr>
      </w:pPr>
      <w:r w:rsidRPr="00884F51">
        <w:rPr>
          <w:b/>
          <w:sz w:val="28"/>
          <w:szCs w:val="28"/>
        </w:rPr>
        <w:t>sākotnējās ietekmes novērtējuma ziņojums (anotācija)</w:t>
      </w:r>
    </w:p>
    <w:p w14:paraId="731C9F82" w14:textId="77777777" w:rsidR="008961E6" w:rsidRPr="00884F51" w:rsidRDefault="008961E6" w:rsidP="00032C63">
      <w:pPr>
        <w:spacing w:line="270" w:lineRule="atLeast"/>
        <w:jc w:val="both"/>
        <w:rPr>
          <w:rStyle w:val="apple-style-span"/>
          <w:color w:val="000000"/>
          <w:sz w:val="28"/>
          <w:szCs w:val="28"/>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7"/>
        <w:gridCol w:w="6661"/>
      </w:tblGrid>
      <w:tr w:rsidR="00FB7F54" w:rsidRPr="00884F51" w14:paraId="6910F5D9" w14:textId="77777777" w:rsidTr="00D76EB4">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2C202AA6" w14:textId="77777777" w:rsidR="00FB7F54" w:rsidRPr="00884F51" w:rsidRDefault="00FB7F54" w:rsidP="00D76EB4">
            <w:pPr>
              <w:spacing w:before="100" w:beforeAutospacing="1" w:after="100" w:afterAutospacing="1" w:line="360" w:lineRule="auto"/>
              <w:ind w:firstLine="300"/>
              <w:jc w:val="center"/>
              <w:rPr>
                <w:b/>
                <w:bCs/>
              </w:rPr>
            </w:pPr>
            <w:r w:rsidRPr="00884F51">
              <w:rPr>
                <w:b/>
                <w:bCs/>
              </w:rPr>
              <w:t>Tiesību akta projekta anotācijas kopsavilkums</w:t>
            </w:r>
          </w:p>
        </w:tc>
      </w:tr>
      <w:tr w:rsidR="00FB7F54" w:rsidRPr="00884F51" w14:paraId="1FD89B1F" w14:textId="77777777" w:rsidTr="00D76EB4">
        <w:tc>
          <w:tcPr>
            <w:tcW w:w="1437" w:type="pct"/>
            <w:tcBorders>
              <w:top w:val="outset" w:sz="6" w:space="0" w:color="414142"/>
              <w:left w:val="outset" w:sz="6" w:space="0" w:color="414142"/>
              <w:bottom w:val="outset" w:sz="6" w:space="0" w:color="414142"/>
              <w:right w:val="outset" w:sz="6" w:space="0" w:color="414142"/>
            </w:tcBorders>
            <w:hideMark/>
          </w:tcPr>
          <w:p w14:paraId="4AB473FA" w14:textId="77777777" w:rsidR="00FB7F54" w:rsidRPr="00884F51" w:rsidRDefault="00FB7F54" w:rsidP="00D76EB4">
            <w:pPr>
              <w:jc w:val="both"/>
            </w:pPr>
            <w:r w:rsidRPr="00884F51">
              <w:t>Mērķis, risinājums un projekta spēkā stāšanās laiks (500 zīmes bez atstarpēm)</w:t>
            </w:r>
          </w:p>
        </w:tc>
        <w:tc>
          <w:tcPr>
            <w:tcW w:w="3563" w:type="pct"/>
            <w:tcBorders>
              <w:top w:val="outset" w:sz="6" w:space="0" w:color="414142"/>
              <w:left w:val="outset" w:sz="6" w:space="0" w:color="414142"/>
              <w:bottom w:val="outset" w:sz="6" w:space="0" w:color="414142"/>
              <w:right w:val="outset" w:sz="6" w:space="0" w:color="414142"/>
            </w:tcBorders>
            <w:hideMark/>
          </w:tcPr>
          <w:p w14:paraId="07D2181D" w14:textId="3EFCA85E" w:rsidR="00EA3B8F" w:rsidRPr="00884F51" w:rsidRDefault="00FB7F54" w:rsidP="00FB7F54">
            <w:pPr>
              <w:ind w:firstLine="248"/>
              <w:jc w:val="both"/>
              <w:rPr>
                <w:rFonts w:eastAsia="Calibri"/>
                <w:bCs/>
              </w:rPr>
            </w:pPr>
            <w:r w:rsidRPr="00884F51">
              <w:t>Ministru kabineta noteikumu projekts “</w:t>
            </w:r>
            <w:r w:rsidRPr="00884F51">
              <w:rPr>
                <w:rFonts w:eastAsia="Calibri"/>
                <w:lang w:eastAsia="en-US"/>
              </w:rPr>
              <w:t xml:space="preserve">Grozījumi Ministru kabineta 2017.gada 4.aprīļa noteikumos Nr.199 “Noteikumi par dabasgāzes apriti un akcīzes nodokļa piemērošanas kārtību”” (turpmāk – noteikumu projekts) </w:t>
            </w:r>
            <w:r w:rsidRPr="00884F51">
              <w:t xml:space="preserve"> izstrādāts atbilstoši likum</w:t>
            </w:r>
            <w:r w:rsidR="00EA3B8F" w:rsidRPr="00884F51">
              <w:t>a</w:t>
            </w:r>
            <w:r w:rsidRPr="00884F51">
              <w:t xml:space="preserve"> “Par akcīzes nodokli” (turpmāk – likums) </w:t>
            </w:r>
            <w:r w:rsidR="00EA3B8F" w:rsidRPr="00884F51">
              <w:t>6.</w:t>
            </w:r>
            <w:r w:rsidR="00EA3B8F" w:rsidRPr="00884F51">
              <w:rPr>
                <w:vertAlign w:val="superscript"/>
              </w:rPr>
              <w:t>1</w:t>
            </w:r>
            <w:r w:rsidR="00EA3B8F" w:rsidRPr="00884F51">
              <w:t xml:space="preserve"> </w:t>
            </w:r>
            <w:r w:rsidR="009B3F10">
              <w:t>un</w:t>
            </w:r>
            <w:r w:rsidR="00EA3B8F" w:rsidRPr="00884F51">
              <w:t xml:space="preserve"> 15.</w:t>
            </w:r>
            <w:r w:rsidR="00EA3B8F" w:rsidRPr="00884F51">
              <w:rPr>
                <w:vertAlign w:val="superscript"/>
              </w:rPr>
              <w:t>1</w:t>
            </w:r>
            <w:r w:rsidR="00EA3B8F" w:rsidRPr="00884F51">
              <w:t xml:space="preserve"> pantā </w:t>
            </w:r>
            <w:r w:rsidR="00EA3B8F" w:rsidRPr="00884F51">
              <w:rPr>
                <w:rFonts w:eastAsia="Calibri"/>
                <w:bCs/>
              </w:rPr>
              <w:t>pieņemtajiem grozījumiem par akcīzes nodokļa piemērošanu dabasgāzei. Noteikumu projekts paredz atcelt kārtību, kādā piemēro akcīzes nodokļa atbrīvojumu dabasgāzei, kuru izmanto segto zemes platību (siltumnīcu) siltumapgādei un mājputnu novietņu un inkubatoru silt</w:t>
            </w:r>
            <w:r w:rsidR="00E3002F" w:rsidRPr="00884F51">
              <w:rPr>
                <w:rFonts w:eastAsia="Calibri"/>
                <w:bCs/>
              </w:rPr>
              <w:t>umapgādei, nosaka</w:t>
            </w:r>
            <w:r w:rsidR="00EA3B8F" w:rsidRPr="00884F51">
              <w:rPr>
                <w:rFonts w:eastAsia="Calibri"/>
                <w:bCs/>
              </w:rPr>
              <w:t xml:space="preserve"> kārtību, kādā šādiem mērķiem izmantotajai dabasgāzei piemēro minimālo nodokļa līmeni - 0,55 </w:t>
            </w:r>
            <w:proofErr w:type="spellStart"/>
            <w:r w:rsidR="00EA3B8F" w:rsidRPr="00884F51">
              <w:rPr>
                <w:rFonts w:eastAsia="Calibri"/>
                <w:bCs/>
                <w:i/>
              </w:rPr>
              <w:t>euro</w:t>
            </w:r>
            <w:proofErr w:type="spellEnd"/>
            <w:r w:rsidR="00EA3B8F" w:rsidRPr="00884F51">
              <w:rPr>
                <w:rFonts w:eastAsia="Calibri"/>
                <w:bCs/>
              </w:rPr>
              <w:t xml:space="preserve"> par 1 </w:t>
            </w:r>
            <w:proofErr w:type="spellStart"/>
            <w:r w:rsidR="00EA3B8F" w:rsidRPr="00884F51">
              <w:rPr>
                <w:rFonts w:eastAsia="Calibri"/>
                <w:bCs/>
              </w:rPr>
              <w:t>MWh</w:t>
            </w:r>
            <w:proofErr w:type="spellEnd"/>
            <w:r w:rsidR="00EA3B8F" w:rsidRPr="00884F51">
              <w:rPr>
                <w:rFonts w:eastAsia="Calibri"/>
                <w:bCs/>
              </w:rPr>
              <w:t xml:space="preserve">. </w:t>
            </w:r>
          </w:p>
          <w:p w14:paraId="21F3BF4B" w14:textId="77777777" w:rsidR="00FB7F54" w:rsidRPr="00884F51" w:rsidRDefault="00EA3B8F" w:rsidP="00FB7F54">
            <w:pPr>
              <w:ind w:firstLine="248"/>
              <w:jc w:val="both"/>
            </w:pPr>
            <w:r w:rsidRPr="00884F51">
              <w:rPr>
                <w:rFonts w:eastAsia="Calibri"/>
                <w:bCs/>
              </w:rPr>
              <w:t>Atbilstoši grozījumiem likumā paredzētajam spēkā stāšanās termiņam arī noteikumu projektam ir jāstājas spēkā 2020.gada 1.janvārī</w:t>
            </w:r>
            <w:r w:rsidRPr="00884F51">
              <w:t>.</w:t>
            </w:r>
          </w:p>
          <w:p w14:paraId="1EFE60E9" w14:textId="77777777" w:rsidR="00FB7F54" w:rsidRPr="00884F51" w:rsidRDefault="00FB7F54" w:rsidP="00D76EB4">
            <w:pPr>
              <w:ind w:firstLine="248"/>
              <w:jc w:val="both"/>
            </w:pPr>
          </w:p>
        </w:tc>
      </w:tr>
    </w:tbl>
    <w:p w14:paraId="53C3AAE2" w14:textId="77777777" w:rsidR="00FB7F54" w:rsidRPr="00884F51" w:rsidRDefault="00FB7F54" w:rsidP="00032C63">
      <w:pPr>
        <w:spacing w:line="270" w:lineRule="atLeast"/>
        <w:jc w:val="both"/>
        <w:rPr>
          <w:rStyle w:val="apple-style-span"/>
          <w:color w:val="000000"/>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93"/>
        <w:gridCol w:w="6633"/>
      </w:tblGrid>
      <w:tr w:rsidR="00032C63" w:rsidRPr="00884F51" w14:paraId="7BDA28AC" w14:textId="77777777" w:rsidTr="00743410">
        <w:trPr>
          <w:trHeight w:val="427"/>
        </w:trPr>
        <w:tc>
          <w:tcPr>
            <w:tcW w:w="9322" w:type="dxa"/>
            <w:gridSpan w:val="3"/>
            <w:hideMark/>
          </w:tcPr>
          <w:p w14:paraId="147F89E7" w14:textId="77777777" w:rsidR="00032C63" w:rsidRPr="00884F51" w:rsidRDefault="00032C63" w:rsidP="00032C63">
            <w:pPr>
              <w:numPr>
                <w:ilvl w:val="0"/>
                <w:numId w:val="1"/>
              </w:numPr>
              <w:jc w:val="center"/>
              <w:rPr>
                <w:b/>
                <w:bCs/>
              </w:rPr>
            </w:pPr>
            <w:r w:rsidRPr="00884F51">
              <w:rPr>
                <w:b/>
                <w:bCs/>
              </w:rPr>
              <w:t>Tiesību akta projekta izstrādes nepieciešamība</w:t>
            </w:r>
          </w:p>
        </w:tc>
      </w:tr>
      <w:tr w:rsidR="009F107E" w:rsidRPr="00884F51" w14:paraId="02B1AC21" w14:textId="77777777" w:rsidTr="00EA3B8F">
        <w:tc>
          <w:tcPr>
            <w:tcW w:w="496" w:type="dxa"/>
            <w:hideMark/>
          </w:tcPr>
          <w:p w14:paraId="7B5752CE" w14:textId="77777777" w:rsidR="00032C63" w:rsidRPr="00884F51" w:rsidRDefault="00032C63" w:rsidP="00032C63">
            <w:r w:rsidRPr="00884F51">
              <w:t>1.</w:t>
            </w:r>
          </w:p>
        </w:tc>
        <w:tc>
          <w:tcPr>
            <w:tcW w:w="2193" w:type="dxa"/>
            <w:hideMark/>
          </w:tcPr>
          <w:p w14:paraId="6010A0A5" w14:textId="77777777" w:rsidR="00032C63" w:rsidRPr="00884F51" w:rsidRDefault="00032C63" w:rsidP="00032C63">
            <w:r w:rsidRPr="00884F51">
              <w:t>Pamatojums</w:t>
            </w:r>
          </w:p>
        </w:tc>
        <w:tc>
          <w:tcPr>
            <w:tcW w:w="6633" w:type="dxa"/>
            <w:hideMark/>
          </w:tcPr>
          <w:p w14:paraId="78EFC4DC" w14:textId="7DD3E5A0" w:rsidR="00AD10DA" w:rsidRPr="00884F51" w:rsidRDefault="00EA3B8F" w:rsidP="00AD10DA">
            <w:pPr>
              <w:ind w:left="-108" w:firstLine="567"/>
              <w:jc w:val="both"/>
              <w:rPr>
                <w:rFonts w:eastAsia="Calibri"/>
                <w:lang w:eastAsia="en-US"/>
              </w:rPr>
            </w:pPr>
            <w:r w:rsidRPr="00884F51">
              <w:rPr>
                <w:rFonts w:eastAsia="Calibri"/>
                <w:lang w:eastAsia="en-US"/>
              </w:rPr>
              <w:t>N</w:t>
            </w:r>
            <w:r w:rsidR="00FA6E40" w:rsidRPr="00884F51">
              <w:rPr>
                <w:rFonts w:eastAsia="Calibri"/>
                <w:lang w:eastAsia="en-US"/>
              </w:rPr>
              <w:t xml:space="preserve">oteikumu projekts </w:t>
            </w:r>
            <w:r w:rsidR="008E7DC2" w:rsidRPr="00884F51">
              <w:rPr>
                <w:rFonts w:eastAsia="Calibri"/>
                <w:lang w:eastAsia="en-US"/>
              </w:rPr>
              <w:t xml:space="preserve">ir </w:t>
            </w:r>
            <w:r w:rsidR="00191BAD" w:rsidRPr="00884F51">
              <w:rPr>
                <w:rFonts w:eastAsia="Calibri"/>
                <w:lang w:eastAsia="en-US"/>
              </w:rPr>
              <w:t>izstrādāts</w:t>
            </w:r>
            <w:r w:rsidR="00AD10DA" w:rsidRPr="00884F51">
              <w:rPr>
                <w:rFonts w:eastAsia="Calibri"/>
                <w:lang w:eastAsia="en-US"/>
              </w:rPr>
              <w:t xml:space="preserve"> saskaņā ar </w:t>
            </w:r>
            <w:r w:rsidR="00FB7F54" w:rsidRPr="00884F51">
              <w:rPr>
                <w:rFonts w:eastAsia="Calibri"/>
                <w:lang w:eastAsia="en-US"/>
              </w:rPr>
              <w:t xml:space="preserve">grozījumiem </w:t>
            </w:r>
            <w:r w:rsidR="00AD10DA" w:rsidRPr="00884F51">
              <w:rPr>
                <w:rFonts w:eastAsia="Calibri"/>
                <w:lang w:eastAsia="en-US"/>
              </w:rPr>
              <w:t>likum</w:t>
            </w:r>
            <w:r w:rsidRPr="00884F51">
              <w:rPr>
                <w:rFonts w:eastAsia="Calibri"/>
                <w:lang w:eastAsia="en-US"/>
              </w:rPr>
              <w:t>a</w:t>
            </w:r>
            <w:r w:rsidR="00AD10DA" w:rsidRPr="00884F51">
              <w:rPr>
                <w:rFonts w:eastAsia="Calibri"/>
                <w:lang w:eastAsia="en-US"/>
              </w:rPr>
              <w:t xml:space="preserve"> </w:t>
            </w:r>
            <w:r w:rsidRPr="00884F51">
              <w:t xml:space="preserve"> 6.</w:t>
            </w:r>
            <w:r w:rsidRPr="00884F51">
              <w:rPr>
                <w:vertAlign w:val="superscript"/>
              </w:rPr>
              <w:t>1</w:t>
            </w:r>
            <w:r w:rsidRPr="00884F51">
              <w:t xml:space="preserve"> </w:t>
            </w:r>
            <w:r w:rsidR="009B3F10">
              <w:t>u</w:t>
            </w:r>
            <w:r w:rsidRPr="00884F51">
              <w:t>n 15.</w:t>
            </w:r>
            <w:r w:rsidRPr="00884F51">
              <w:rPr>
                <w:vertAlign w:val="superscript"/>
              </w:rPr>
              <w:t>1</w:t>
            </w:r>
            <w:r w:rsidRPr="00884F51">
              <w:t xml:space="preserve"> pantā</w:t>
            </w:r>
            <w:r w:rsidR="00FB7F54" w:rsidRPr="00884F51">
              <w:rPr>
                <w:rFonts w:eastAsia="Calibri"/>
                <w:lang w:eastAsia="en-US"/>
              </w:rPr>
              <w:t>, kas paredz atcelt akcīzes nodokļa atbrīvojumu</w:t>
            </w:r>
            <w:r w:rsidR="00AD10DA" w:rsidRPr="00884F51">
              <w:rPr>
                <w:rFonts w:eastAsia="Calibri"/>
                <w:lang w:eastAsia="en-US"/>
              </w:rPr>
              <w:t xml:space="preserve"> </w:t>
            </w:r>
            <w:r w:rsidRPr="00884F51">
              <w:rPr>
                <w:rFonts w:eastAsia="Calibri"/>
                <w:lang w:eastAsia="en-US"/>
              </w:rPr>
              <w:t xml:space="preserve">dabasgāzei, kuru izmanto segto zemes platību (siltumnīcu) siltumapgādei un mājputnu novietņu un inkubatoru siltumapgādei, un </w:t>
            </w:r>
            <w:r w:rsidRPr="00884F51">
              <w:rPr>
                <w:rFonts w:eastAsia="Calibri"/>
                <w:bCs/>
              </w:rPr>
              <w:t xml:space="preserve">šādiem mērķiem izmantotajai dabasgāzei noteikt minimālo akcīzes nodokļa līmeni - 0,55 </w:t>
            </w:r>
            <w:proofErr w:type="spellStart"/>
            <w:r w:rsidRPr="00884F51">
              <w:rPr>
                <w:rFonts w:eastAsia="Calibri"/>
                <w:bCs/>
                <w:i/>
              </w:rPr>
              <w:t>euro</w:t>
            </w:r>
            <w:proofErr w:type="spellEnd"/>
            <w:r w:rsidRPr="00884F51">
              <w:rPr>
                <w:rFonts w:eastAsia="Calibri"/>
                <w:bCs/>
              </w:rPr>
              <w:t xml:space="preserve"> par 1 </w:t>
            </w:r>
            <w:proofErr w:type="spellStart"/>
            <w:r w:rsidRPr="00884F51">
              <w:rPr>
                <w:rFonts w:eastAsia="Calibri"/>
                <w:bCs/>
              </w:rPr>
              <w:t>MWh</w:t>
            </w:r>
            <w:proofErr w:type="spellEnd"/>
            <w:r w:rsidR="00AD10DA" w:rsidRPr="00884F51">
              <w:rPr>
                <w:rFonts w:eastAsia="Calibri"/>
                <w:lang w:eastAsia="en-US"/>
              </w:rPr>
              <w:t>.</w:t>
            </w:r>
          </w:p>
          <w:p w14:paraId="216033D8" w14:textId="1F503B4F" w:rsidR="00032C63" w:rsidRPr="00884F51" w:rsidRDefault="00E3002F">
            <w:pPr>
              <w:ind w:left="-108" w:firstLine="567"/>
              <w:jc w:val="both"/>
            </w:pPr>
            <w:r w:rsidRPr="00884F51">
              <w:rPr>
                <w:rFonts w:eastAsia="Calibri"/>
                <w:lang w:eastAsia="en-US"/>
              </w:rPr>
              <w:t xml:space="preserve">Attiecīgie grozījumi  likumā </w:t>
            </w:r>
            <w:r w:rsidR="00191BAD" w:rsidRPr="00884F51">
              <w:rPr>
                <w:rFonts w:eastAsia="Calibri"/>
                <w:lang w:eastAsia="en-US"/>
              </w:rPr>
              <w:t xml:space="preserve">Saeimā </w:t>
            </w:r>
            <w:r w:rsidRPr="00884F51">
              <w:rPr>
                <w:rFonts w:eastAsia="Calibri"/>
                <w:lang w:eastAsia="en-US"/>
              </w:rPr>
              <w:t xml:space="preserve">tika pieņemti </w:t>
            </w:r>
            <w:r w:rsidR="00EA3B8F" w:rsidRPr="00884F51">
              <w:rPr>
                <w:rFonts w:eastAsia="Calibri"/>
                <w:lang w:eastAsia="en-US"/>
              </w:rPr>
              <w:t xml:space="preserve">2.lasījumā </w:t>
            </w:r>
            <w:r w:rsidRPr="00884F51">
              <w:rPr>
                <w:rFonts w:eastAsia="Calibri"/>
                <w:lang w:eastAsia="en-US"/>
              </w:rPr>
              <w:t>2019.gada 23.maijā</w:t>
            </w:r>
            <w:r w:rsidR="009B3F10">
              <w:rPr>
                <w:rFonts w:eastAsia="Calibri"/>
                <w:lang w:eastAsia="en-US"/>
              </w:rPr>
              <w:t xml:space="preserve"> (Saeimā </w:t>
            </w:r>
            <w:proofErr w:type="spellStart"/>
            <w:r w:rsidR="009B3F10">
              <w:rPr>
                <w:rFonts w:eastAsia="Calibri"/>
                <w:lang w:eastAsia="en-US"/>
              </w:rPr>
              <w:t>reģ</w:t>
            </w:r>
            <w:proofErr w:type="spellEnd"/>
            <w:r w:rsidR="009B3F10">
              <w:rPr>
                <w:rFonts w:eastAsia="Calibri"/>
                <w:lang w:eastAsia="en-US"/>
              </w:rPr>
              <w:t>. Nr. 266/Lp13)</w:t>
            </w:r>
            <w:r w:rsidRPr="00884F51">
              <w:rPr>
                <w:rFonts w:eastAsia="Calibri"/>
                <w:lang w:eastAsia="en-US"/>
              </w:rPr>
              <w:t>.</w:t>
            </w:r>
          </w:p>
        </w:tc>
      </w:tr>
      <w:tr w:rsidR="009F107E" w:rsidRPr="00884F51" w14:paraId="5FCBB623" w14:textId="77777777" w:rsidTr="00EA3B8F">
        <w:tc>
          <w:tcPr>
            <w:tcW w:w="496" w:type="dxa"/>
            <w:hideMark/>
          </w:tcPr>
          <w:p w14:paraId="75252C7A" w14:textId="77777777" w:rsidR="00032C63" w:rsidRPr="00884F51" w:rsidRDefault="00032C63" w:rsidP="00032C63">
            <w:r w:rsidRPr="00884F51">
              <w:t>2.</w:t>
            </w:r>
          </w:p>
        </w:tc>
        <w:tc>
          <w:tcPr>
            <w:tcW w:w="2193" w:type="dxa"/>
            <w:hideMark/>
          </w:tcPr>
          <w:p w14:paraId="2E2830E5" w14:textId="1C34742D" w:rsidR="00A15191" w:rsidRDefault="003169F1" w:rsidP="003169F1">
            <w:pPr>
              <w:jc w:val="both"/>
            </w:pPr>
            <w:r w:rsidRPr="00884F51">
              <w:rPr>
                <w:color w:val="000000"/>
              </w:rPr>
              <w:t>Pašreizējā situācija un problēmas, kuru risināšanai tiesību akta projekts izstrādāts, tiesiskā regulējuma mērķis un būtība</w:t>
            </w:r>
          </w:p>
          <w:p w14:paraId="19BF9A8A" w14:textId="77777777" w:rsidR="00A15191" w:rsidRPr="00A15191" w:rsidRDefault="00A15191" w:rsidP="00A15191"/>
          <w:p w14:paraId="010528B9" w14:textId="77777777" w:rsidR="00A15191" w:rsidRPr="00A15191" w:rsidRDefault="00A15191" w:rsidP="00A15191"/>
          <w:p w14:paraId="6A2289E3" w14:textId="77777777" w:rsidR="00A15191" w:rsidRPr="00A15191" w:rsidRDefault="00A15191" w:rsidP="00A15191"/>
          <w:p w14:paraId="7DB9FD75" w14:textId="77777777" w:rsidR="00A15191" w:rsidRPr="00A15191" w:rsidRDefault="00A15191" w:rsidP="00A15191"/>
          <w:p w14:paraId="47DE1776" w14:textId="77777777" w:rsidR="00A15191" w:rsidRPr="00A15191" w:rsidRDefault="00A15191" w:rsidP="00A15191"/>
          <w:p w14:paraId="0D56EB12" w14:textId="77777777" w:rsidR="00A15191" w:rsidRPr="00A15191" w:rsidRDefault="00A15191" w:rsidP="00A15191"/>
          <w:p w14:paraId="35FF342A" w14:textId="77777777" w:rsidR="00A15191" w:rsidRPr="00A15191" w:rsidRDefault="00A15191" w:rsidP="00A15191"/>
          <w:p w14:paraId="62190355" w14:textId="77777777" w:rsidR="00A15191" w:rsidRPr="00A15191" w:rsidRDefault="00A15191" w:rsidP="00A15191"/>
          <w:p w14:paraId="7B1C0BCB" w14:textId="77777777" w:rsidR="00A15191" w:rsidRPr="00A15191" w:rsidRDefault="00A15191" w:rsidP="00A15191"/>
          <w:p w14:paraId="2359AD21" w14:textId="7DFD756F" w:rsidR="00A15191" w:rsidRDefault="00A15191" w:rsidP="00A15191"/>
          <w:p w14:paraId="7F8F2BEA" w14:textId="77777777" w:rsidR="00032C63" w:rsidRPr="00A15191" w:rsidRDefault="00032C63" w:rsidP="00A15191">
            <w:pPr>
              <w:ind w:firstLine="720"/>
            </w:pPr>
          </w:p>
        </w:tc>
        <w:tc>
          <w:tcPr>
            <w:tcW w:w="6633" w:type="dxa"/>
          </w:tcPr>
          <w:p w14:paraId="56E8933D" w14:textId="77777777" w:rsidR="00116AA2" w:rsidRPr="00884F51" w:rsidRDefault="008715FA" w:rsidP="00EF30CC">
            <w:pPr>
              <w:pStyle w:val="NormalWeb"/>
              <w:spacing w:before="0" w:beforeAutospacing="0" w:after="0" w:afterAutospacing="0"/>
              <w:ind w:left="-108" w:firstLine="567"/>
              <w:jc w:val="both"/>
            </w:pPr>
            <w:r w:rsidRPr="00884F51">
              <w:t>1.</w:t>
            </w:r>
            <w:r w:rsidR="000E1EDB" w:rsidRPr="00884F51">
              <w:t>Šobrīd atbilstoši likuma 6.</w:t>
            </w:r>
            <w:r w:rsidR="000E1EDB" w:rsidRPr="00884F51">
              <w:rPr>
                <w:vertAlign w:val="superscript"/>
              </w:rPr>
              <w:t>1</w:t>
            </w:r>
            <w:r w:rsidR="000E1EDB" w:rsidRPr="00884F51">
              <w:t xml:space="preserve"> panta trešās daļas redakcijai no akcīzes nodokļa ir atbrīvota dabasgāze, kuru izmanto:</w:t>
            </w:r>
          </w:p>
          <w:p w14:paraId="33656107" w14:textId="77777777" w:rsidR="000E1EDB" w:rsidRPr="00884F51" w:rsidRDefault="000E1EDB" w:rsidP="000E1EDB">
            <w:pPr>
              <w:ind w:firstLine="390"/>
              <w:jc w:val="both"/>
            </w:pPr>
            <w:r w:rsidRPr="00884F51">
              <w:t>1) lauksaimniecībā izmantojamās zemes segto platību (siltumnīcu) siltumapgādei;</w:t>
            </w:r>
          </w:p>
          <w:p w14:paraId="53482986" w14:textId="77777777" w:rsidR="000E1EDB" w:rsidRPr="00884F51" w:rsidRDefault="000E1EDB" w:rsidP="000E1EDB">
            <w:pPr>
              <w:pStyle w:val="NormalWeb"/>
              <w:spacing w:before="0" w:beforeAutospacing="0" w:after="0" w:afterAutospacing="0"/>
              <w:ind w:left="-108" w:firstLine="567"/>
              <w:jc w:val="both"/>
            </w:pPr>
            <w:r w:rsidRPr="00884F51">
              <w:t>2) rūpniecisko mājputnu novietņu (kūts) un inkubatoru siltumapgādei.</w:t>
            </w:r>
          </w:p>
          <w:p w14:paraId="126DEDAC" w14:textId="77777777" w:rsidR="000E1EDB" w:rsidRPr="00884F51" w:rsidRDefault="000E1EDB" w:rsidP="000E1EDB">
            <w:pPr>
              <w:pStyle w:val="NormalWeb"/>
              <w:spacing w:before="0" w:beforeAutospacing="0" w:after="0" w:afterAutospacing="0"/>
              <w:ind w:left="-108" w:firstLine="567"/>
              <w:jc w:val="both"/>
            </w:pPr>
            <w:r w:rsidRPr="00884F51">
              <w:t>Ievērojot Komisijas 2014.gada 17.jūnija Regulas (ES) Nr. 651/2014, ar ko noteiktas atbalsta kategorijas atzīst par saderīgām ar iekšējo tirgu, piemērojot Līguma 107. un 108. pantu, tiešu piemērošanu, ir nepieciešams dabasgāzei, kuru šobrīd ar akcīzes nodokļa atbrīvojumu izmanto  gan lauksaimniecībā izmantojamās zemes segto platību (siltumnīcu) siltumapgādei, gan rūpniecisko mājputnu novietņu (kūts) un inkubatoru siltumapgādei, noteikt</w:t>
            </w:r>
            <w:r w:rsidR="004D4D67" w:rsidRPr="00884F51">
              <w:t xml:space="preserve"> kārtību, kādā piemēro</w:t>
            </w:r>
            <w:r w:rsidRPr="00884F51">
              <w:t xml:space="preserve"> minimālo nodokļa likmi saskaņā ar Padomes 2003.gada 27.oktobra Direktīvu 2003/96/EK, kas pārkārto Kopienas noteikumus par nodokļu uzlikšanu </w:t>
            </w:r>
            <w:proofErr w:type="spellStart"/>
            <w:r w:rsidRPr="00884F51">
              <w:t>energoproduktiem</w:t>
            </w:r>
            <w:proofErr w:type="spellEnd"/>
            <w:r w:rsidRPr="00884F51">
              <w:t xml:space="preserve"> un elektroenerģijai</w:t>
            </w:r>
            <w:r w:rsidR="007E425C" w:rsidRPr="00884F51">
              <w:t xml:space="preserve"> (turpmāk – direktīva 2003/96/EK)</w:t>
            </w:r>
            <w:r w:rsidRPr="00884F51">
              <w:t xml:space="preserve">. </w:t>
            </w:r>
          </w:p>
          <w:p w14:paraId="1E4399DB" w14:textId="77777777" w:rsidR="000E1EDB" w:rsidRPr="00884F51" w:rsidRDefault="000E1EDB" w:rsidP="004D4D67">
            <w:pPr>
              <w:pStyle w:val="NormalWeb"/>
              <w:spacing w:before="0" w:beforeAutospacing="0" w:after="0" w:afterAutospacing="0"/>
              <w:ind w:left="-108" w:firstLine="567"/>
              <w:jc w:val="both"/>
            </w:pPr>
            <w:r w:rsidRPr="00884F51">
              <w:lastRenderedPageBreak/>
              <w:t xml:space="preserve">Līdz ar to </w:t>
            </w:r>
            <w:r w:rsidR="004D4D67" w:rsidRPr="00884F51">
              <w:t xml:space="preserve">noteikumu </w:t>
            </w:r>
            <w:r w:rsidRPr="00884F51">
              <w:t xml:space="preserve">projekts paredz </w:t>
            </w:r>
            <w:r w:rsidR="004D4D67" w:rsidRPr="00884F51">
              <w:t>noteikt kārtību, kādā</w:t>
            </w:r>
            <w:r w:rsidRPr="00884F51">
              <w:t xml:space="preserve"> </w:t>
            </w:r>
            <w:r w:rsidR="004D4D67" w:rsidRPr="00884F51">
              <w:t xml:space="preserve">dabasgāzei, ja to izmanto iepriekš </w:t>
            </w:r>
            <w:r w:rsidRPr="00884F51">
              <w:t>minētajiem izmantošanas mērķiem</w:t>
            </w:r>
            <w:r w:rsidR="004D4D67" w:rsidRPr="00884F51">
              <w:t>,</w:t>
            </w:r>
            <w:r w:rsidRPr="00884F51">
              <w:t xml:space="preserve"> </w:t>
            </w:r>
            <w:r w:rsidR="004D4D67" w:rsidRPr="00884F51">
              <w:t xml:space="preserve">piemēro </w:t>
            </w:r>
            <w:r w:rsidRPr="00884F51">
              <w:t>saskaņā ar likuma 15.</w:t>
            </w:r>
            <w:r w:rsidRPr="00884F51">
              <w:rPr>
                <w:vertAlign w:val="superscript"/>
              </w:rPr>
              <w:t>1</w:t>
            </w:r>
            <w:r w:rsidRPr="00884F51">
              <w:t xml:space="preserve"> panta pirmās daļas 3.punktu noteikt</w:t>
            </w:r>
            <w:r w:rsidR="004D4D67" w:rsidRPr="00884F51">
              <w:t>o</w:t>
            </w:r>
            <w:r w:rsidRPr="00884F51">
              <w:t xml:space="preserve"> minimālo akcīzes nodokļa likmi – 0,55 </w:t>
            </w:r>
            <w:proofErr w:type="spellStart"/>
            <w:r w:rsidRPr="00884F51">
              <w:rPr>
                <w:i/>
              </w:rPr>
              <w:t>euro</w:t>
            </w:r>
            <w:proofErr w:type="spellEnd"/>
            <w:r w:rsidRPr="00884F51">
              <w:t xml:space="preserve"> par 1 </w:t>
            </w:r>
            <w:proofErr w:type="spellStart"/>
            <w:r w:rsidRPr="00884F51">
              <w:t>MWh</w:t>
            </w:r>
            <w:proofErr w:type="spellEnd"/>
            <w:r w:rsidRPr="00884F51">
              <w:t>.</w:t>
            </w:r>
          </w:p>
          <w:p w14:paraId="09D3EF85" w14:textId="10DA7AA8" w:rsidR="00884F51" w:rsidRPr="00884F51" w:rsidRDefault="00B319B9" w:rsidP="008715FA">
            <w:pPr>
              <w:pStyle w:val="NormalWeb"/>
              <w:spacing w:before="0" w:beforeAutospacing="0" w:after="0" w:afterAutospacing="0"/>
              <w:ind w:left="-110" w:firstLine="677"/>
              <w:jc w:val="both"/>
            </w:pPr>
            <w:r>
              <w:t>2</w:t>
            </w:r>
            <w:r w:rsidR="008715FA" w:rsidRPr="00884F51">
              <w:t xml:space="preserve">. </w:t>
            </w:r>
            <w:r w:rsidR="00884F51" w:rsidRPr="00884F51">
              <w:t xml:space="preserve">Noteikumu projekts paredz, ka uz dabasgāzes starpnieku neattiecas nosacījumi par komercdarbības atbalstu, jo dabasgāzes starpnieks nav </w:t>
            </w:r>
            <w:r w:rsidR="00CA5D24">
              <w:t>komercdarbības</w:t>
            </w:r>
            <w:r w:rsidR="00884F51" w:rsidRPr="00884F51">
              <w:t xml:space="preserve"> atbalsta saņēmējs</w:t>
            </w:r>
            <w:r w:rsidR="00CA5D24">
              <w:t xml:space="preserve">, jo </w:t>
            </w:r>
            <w:r w:rsidR="00202C2F">
              <w:t xml:space="preserve">viss </w:t>
            </w:r>
            <w:r w:rsidR="00CA5D24">
              <w:t>labums no iegādātās dabasgāzes, piemērojot samazināto akcīzes nodokļa likmi tiek novirzīts galalietotājam</w:t>
            </w:r>
            <w:r w:rsidR="00884F51" w:rsidRPr="00884F51">
              <w:t>, veic</w:t>
            </w:r>
            <w:r w:rsidR="00CA5D24">
              <w:t>ot</w:t>
            </w:r>
            <w:r w:rsidR="00884F51" w:rsidRPr="00884F51">
              <w:t xml:space="preserve"> dabasgāzes pārveidi citā enerģijas </w:t>
            </w:r>
            <w:proofErr w:type="spellStart"/>
            <w:r w:rsidR="00884F51" w:rsidRPr="00884F51">
              <w:t>veidāizmantošanai</w:t>
            </w:r>
            <w:proofErr w:type="spellEnd"/>
            <w:r w:rsidR="00884F51" w:rsidRPr="00884F51">
              <w:t xml:space="preserve"> likuma 15.</w:t>
            </w:r>
            <w:r w:rsidR="00884F51" w:rsidRPr="00884F51">
              <w:rPr>
                <w:vertAlign w:val="superscript"/>
              </w:rPr>
              <w:t>1</w:t>
            </w:r>
            <w:r w:rsidR="00884F51" w:rsidRPr="00884F51">
              <w:t xml:space="preserve"> panta pirmās daļas 3.punkta “a”, “b” un “c” apakšpunktos minētajiem mērķiem</w:t>
            </w:r>
            <w:r w:rsidR="00CA5D24">
              <w:t>, tādā veidā starpnieks negūst ekonomiskās priekšrocības no samazinātās akcīzes nodokļa likmes</w:t>
            </w:r>
            <w:r w:rsidR="00884F51" w:rsidRPr="00884F51">
              <w:t>.</w:t>
            </w:r>
          </w:p>
          <w:p w14:paraId="113A9BF7" w14:textId="19122F5F" w:rsidR="008715FA" w:rsidRPr="00884F51" w:rsidRDefault="00B319B9" w:rsidP="008715FA">
            <w:pPr>
              <w:pStyle w:val="NormalWeb"/>
              <w:spacing w:before="0" w:beforeAutospacing="0" w:after="0" w:afterAutospacing="0"/>
              <w:ind w:left="-110" w:firstLine="677"/>
              <w:jc w:val="both"/>
            </w:pPr>
            <w:r>
              <w:t>3</w:t>
            </w:r>
            <w:r w:rsidR="00884F51" w:rsidRPr="00884F51">
              <w:t xml:space="preserve">. </w:t>
            </w:r>
            <w:r w:rsidR="008715FA" w:rsidRPr="00884F51">
              <w:t xml:space="preserve">Valsts ieņēmumu dienesta (turpmāk – VID) izsniegtajā licencē norādīto ziņu aktualizēšanas gadījumā netiek grozītas tiesiskās attiecības, kas nodibinātas ar lēmuma pieņemšanu par licences izsniegšanu. Līdz ar to tā attiecas tikai uz tādām ziņām, kas neietekmē licences izsniegšanu pēc būtības. Tādējādi, ar ziņu aktualizēšanu saprot licencē norādītā komersanta nosaukuma maiņu, licencē norādītās darbības vietas adreses maiņu (ja darbības vietai piešķirta jauna adrese), atzīmes izdarīšanu par darbību ar licencē norādīto akcīzes preču veidu vai darbības veidu pārtraukšanu, vai komercdarbības pārtraukšanu licencē norādītajā darbības vietā. </w:t>
            </w:r>
          </w:p>
          <w:p w14:paraId="107E1D10" w14:textId="77777777" w:rsidR="008715FA" w:rsidRPr="00884F51" w:rsidRDefault="008715FA" w:rsidP="008715FA">
            <w:pPr>
              <w:pStyle w:val="NormalWeb"/>
              <w:spacing w:before="0" w:beforeAutospacing="0" w:after="0" w:afterAutospacing="0"/>
              <w:ind w:left="-110" w:firstLine="677"/>
              <w:jc w:val="both"/>
            </w:pPr>
            <w:r w:rsidRPr="00884F51">
              <w:t>Lai aktualizētu licencē norādītās ziņas, komersantam būs jāiesniedz VID iesniegums brīvā formā (ja mainīsies komersanta nosaukums, iesniegums par ziņu aktualizēšanu nebūs jāiesniedz. Ziņas par komersanta nosaukuma maiņu aktualizēs VID). Par ziņu aktualizēšanu nebūs jāmaksā valsts nodeva.</w:t>
            </w:r>
          </w:p>
          <w:p w14:paraId="512DA97B" w14:textId="77777777" w:rsidR="008715FA" w:rsidRPr="00884F51" w:rsidRDefault="008715FA" w:rsidP="005F54C7">
            <w:pPr>
              <w:pStyle w:val="NormalWeb"/>
              <w:spacing w:before="0" w:beforeAutospacing="0" w:after="0" w:afterAutospacing="0"/>
              <w:ind w:left="-110" w:firstLine="677"/>
              <w:jc w:val="both"/>
            </w:pPr>
            <w:r w:rsidRPr="00884F51">
              <w:t xml:space="preserve">Līdz ar to noteikumu projekts paredz MK noteikumus Nr.199 papildināt ar 27. </w:t>
            </w:r>
            <w:r w:rsidRPr="00884F51">
              <w:rPr>
                <w:vertAlign w:val="superscript"/>
              </w:rPr>
              <w:t>1</w:t>
            </w:r>
            <w:r w:rsidRPr="00884F51">
              <w:t xml:space="preserve"> un 27. </w:t>
            </w:r>
            <w:r w:rsidRPr="00884F51">
              <w:rPr>
                <w:vertAlign w:val="superscript"/>
              </w:rPr>
              <w:t>2</w:t>
            </w:r>
            <w:r w:rsidRPr="00884F51">
              <w:t xml:space="preserve"> punktu (sk. noteikumu projektu), tādējādi paredzot nodalīt licences </w:t>
            </w:r>
            <w:proofErr w:type="spellStart"/>
            <w:r w:rsidRPr="00884F51">
              <w:t>pārreģistrāciju</w:t>
            </w:r>
            <w:proofErr w:type="spellEnd"/>
            <w:r w:rsidRPr="00884F51">
              <w:t xml:space="preserve"> no licencē norādīto ziņu aktualizēšanas.</w:t>
            </w:r>
          </w:p>
        </w:tc>
      </w:tr>
      <w:tr w:rsidR="009F107E" w:rsidRPr="00884F51" w14:paraId="466EA288" w14:textId="77777777" w:rsidTr="00EA3B8F">
        <w:tc>
          <w:tcPr>
            <w:tcW w:w="496" w:type="dxa"/>
            <w:hideMark/>
          </w:tcPr>
          <w:p w14:paraId="2517507B" w14:textId="77777777" w:rsidR="00032C63" w:rsidRPr="00884F51" w:rsidRDefault="00431C1A" w:rsidP="00032C63">
            <w:r w:rsidRPr="00884F51">
              <w:lastRenderedPageBreak/>
              <w:t>3.</w:t>
            </w:r>
          </w:p>
        </w:tc>
        <w:tc>
          <w:tcPr>
            <w:tcW w:w="2193" w:type="dxa"/>
            <w:hideMark/>
          </w:tcPr>
          <w:p w14:paraId="0A774A84" w14:textId="77777777" w:rsidR="00032C63" w:rsidRPr="00884F51" w:rsidRDefault="00431C1A" w:rsidP="00032C63">
            <w:r w:rsidRPr="00884F51">
              <w:rPr>
                <w:color w:val="000000"/>
              </w:rPr>
              <w:t>Projekta izstrādē iesaistītās institūcijas</w:t>
            </w:r>
          </w:p>
        </w:tc>
        <w:tc>
          <w:tcPr>
            <w:tcW w:w="6633" w:type="dxa"/>
          </w:tcPr>
          <w:p w14:paraId="1D72568A" w14:textId="451D3644" w:rsidR="00032C63" w:rsidRPr="00884F51" w:rsidRDefault="00F74912">
            <w:pPr>
              <w:ind w:left="-108"/>
              <w:jc w:val="both"/>
            </w:pPr>
            <w:r w:rsidRPr="00884F51">
              <w:t>Finanšu ministrij</w:t>
            </w:r>
            <w:r w:rsidR="00461717" w:rsidRPr="00884F51">
              <w:t>a</w:t>
            </w:r>
            <w:r w:rsidR="003B520E" w:rsidRPr="00884F51">
              <w:t xml:space="preserve">, </w:t>
            </w:r>
            <w:r w:rsidR="009B3F10">
              <w:t>VID</w:t>
            </w:r>
            <w:r w:rsidR="003B520E" w:rsidRPr="00884F51">
              <w:t xml:space="preserve"> un </w:t>
            </w:r>
            <w:r w:rsidR="004D4D67" w:rsidRPr="00884F51">
              <w:t>Zemkopības</w:t>
            </w:r>
            <w:r w:rsidR="003B520E" w:rsidRPr="00884F51">
              <w:t xml:space="preserve"> ministrija</w:t>
            </w:r>
            <w:r w:rsidRPr="00884F51">
              <w:t>.</w:t>
            </w:r>
          </w:p>
        </w:tc>
      </w:tr>
      <w:tr w:rsidR="009F107E" w:rsidRPr="00884F51" w14:paraId="06DD3074" w14:textId="77777777" w:rsidTr="00EA3B8F">
        <w:tc>
          <w:tcPr>
            <w:tcW w:w="496" w:type="dxa"/>
            <w:hideMark/>
          </w:tcPr>
          <w:p w14:paraId="1D5E104D" w14:textId="77777777" w:rsidR="00032C63" w:rsidRPr="00884F51" w:rsidRDefault="00431C1A" w:rsidP="00032C63">
            <w:r w:rsidRPr="00884F51">
              <w:t>4.</w:t>
            </w:r>
          </w:p>
        </w:tc>
        <w:tc>
          <w:tcPr>
            <w:tcW w:w="2193" w:type="dxa"/>
            <w:hideMark/>
          </w:tcPr>
          <w:p w14:paraId="3CA42C18" w14:textId="77777777" w:rsidR="00032C63" w:rsidRPr="00884F51" w:rsidRDefault="00032C63" w:rsidP="00032C63">
            <w:r w:rsidRPr="00884F51">
              <w:t>Cita informācija</w:t>
            </w:r>
          </w:p>
        </w:tc>
        <w:tc>
          <w:tcPr>
            <w:tcW w:w="6633" w:type="dxa"/>
          </w:tcPr>
          <w:p w14:paraId="013C718F" w14:textId="77777777" w:rsidR="00032C63" w:rsidRPr="00884F51" w:rsidRDefault="00605094" w:rsidP="003D312A">
            <w:pPr>
              <w:ind w:left="-108"/>
              <w:jc w:val="both"/>
            </w:pPr>
            <w:r w:rsidRPr="00884F51">
              <w:t>Nav.</w:t>
            </w:r>
          </w:p>
        </w:tc>
      </w:tr>
    </w:tbl>
    <w:p w14:paraId="6E9879C7" w14:textId="77777777" w:rsidR="00032C63" w:rsidRPr="00884F51" w:rsidRDefault="00032C63" w:rsidP="00032C63">
      <w:pPr>
        <w:spacing w:line="270" w:lineRule="atLeast"/>
        <w:jc w:val="both"/>
        <w:rPr>
          <w:rStyle w:val="apple-style-span"/>
          <w:color w:val="000000"/>
        </w:rPr>
      </w:pPr>
    </w:p>
    <w:tbl>
      <w:tblPr>
        <w:tblW w:w="5067"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1"/>
        <w:gridCol w:w="3373"/>
        <w:gridCol w:w="5342"/>
      </w:tblGrid>
      <w:tr w:rsidR="00032C63" w:rsidRPr="00884F51" w14:paraId="7F60FD63" w14:textId="77777777" w:rsidTr="00E742B4">
        <w:tc>
          <w:tcPr>
            <w:tcW w:w="5000" w:type="pct"/>
            <w:gridSpan w:val="3"/>
            <w:tcBorders>
              <w:top w:val="single" w:sz="6" w:space="0" w:color="000000"/>
              <w:left w:val="single" w:sz="6" w:space="0" w:color="000000"/>
              <w:bottom w:val="outset" w:sz="6" w:space="0" w:color="000000"/>
              <w:right w:val="single" w:sz="6" w:space="0" w:color="000000"/>
            </w:tcBorders>
            <w:vAlign w:val="center"/>
          </w:tcPr>
          <w:p w14:paraId="6A84B001" w14:textId="77777777" w:rsidR="00032C63" w:rsidRPr="00884F51" w:rsidRDefault="00032C63" w:rsidP="00032C63">
            <w:pPr>
              <w:pStyle w:val="NormalWeb"/>
              <w:jc w:val="center"/>
              <w:rPr>
                <w:b/>
                <w:bCs/>
              </w:rPr>
            </w:pPr>
            <w:r w:rsidRPr="00884F51">
              <w:rPr>
                <w:b/>
                <w:bCs/>
              </w:rPr>
              <w:t>II. Tiesību akta projekta ietekme uz sabiedrību</w:t>
            </w:r>
            <w:r w:rsidR="00431C1A" w:rsidRPr="00884F51">
              <w:rPr>
                <w:b/>
                <w:bCs/>
              </w:rPr>
              <w:t>, tautsaimniecības attīstību un administratīvo slogu</w:t>
            </w:r>
          </w:p>
        </w:tc>
      </w:tr>
      <w:tr w:rsidR="00032C63" w:rsidRPr="00884F51" w14:paraId="228B5B08" w14:textId="77777777" w:rsidTr="00E742B4">
        <w:tc>
          <w:tcPr>
            <w:tcW w:w="251" w:type="pct"/>
            <w:tcBorders>
              <w:top w:val="outset" w:sz="6" w:space="0" w:color="000000"/>
              <w:left w:val="outset" w:sz="6" w:space="0" w:color="000000"/>
              <w:bottom w:val="outset" w:sz="6" w:space="0" w:color="000000"/>
              <w:right w:val="outset" w:sz="6" w:space="0" w:color="000000"/>
            </w:tcBorders>
          </w:tcPr>
          <w:p w14:paraId="46E5B5CD" w14:textId="77777777" w:rsidR="00032C63" w:rsidRPr="00884F51" w:rsidRDefault="00032C63" w:rsidP="00032C63">
            <w:pPr>
              <w:pStyle w:val="NormalWeb"/>
            </w:pPr>
            <w:r w:rsidRPr="00884F51">
              <w:t>1.</w:t>
            </w:r>
          </w:p>
        </w:tc>
        <w:tc>
          <w:tcPr>
            <w:tcW w:w="1838" w:type="pct"/>
            <w:tcBorders>
              <w:top w:val="outset" w:sz="6" w:space="0" w:color="000000"/>
              <w:left w:val="outset" w:sz="6" w:space="0" w:color="000000"/>
              <w:bottom w:val="outset" w:sz="6" w:space="0" w:color="000000"/>
              <w:right w:val="outset" w:sz="6" w:space="0" w:color="000000"/>
            </w:tcBorders>
          </w:tcPr>
          <w:p w14:paraId="757C569B" w14:textId="77777777" w:rsidR="00032C63" w:rsidRPr="00884F51" w:rsidRDefault="00032C63" w:rsidP="00A274A7">
            <w:pPr>
              <w:pStyle w:val="NormalWeb"/>
              <w:ind w:right="113"/>
            </w:pPr>
            <w:r w:rsidRPr="00884F51">
              <w:t xml:space="preserve">Sabiedrības </w:t>
            </w:r>
            <w:proofErr w:type="spellStart"/>
            <w:r w:rsidRPr="00884F51">
              <w:t>mērķgrupa</w:t>
            </w:r>
            <w:r w:rsidR="00431C1A" w:rsidRPr="00884F51">
              <w:t>s</w:t>
            </w:r>
            <w:proofErr w:type="spellEnd"/>
            <w:r w:rsidR="00431C1A" w:rsidRPr="00884F51">
              <w:t>, kuras tiesiskais regulējums ietekmē vai varētu ietekmēt</w:t>
            </w:r>
          </w:p>
        </w:tc>
        <w:tc>
          <w:tcPr>
            <w:tcW w:w="2911" w:type="pct"/>
            <w:tcBorders>
              <w:top w:val="outset" w:sz="6" w:space="0" w:color="000000"/>
              <w:left w:val="outset" w:sz="6" w:space="0" w:color="000000"/>
              <w:bottom w:val="outset" w:sz="6" w:space="0" w:color="000000"/>
              <w:right w:val="outset" w:sz="6" w:space="0" w:color="000000"/>
            </w:tcBorders>
          </w:tcPr>
          <w:p w14:paraId="3E13700B" w14:textId="77777777" w:rsidR="003C5248" w:rsidRPr="00884F51" w:rsidRDefault="003C5248" w:rsidP="003C5248">
            <w:pPr>
              <w:ind w:right="113" w:firstLine="396"/>
              <w:jc w:val="both"/>
            </w:pPr>
            <w:r w:rsidRPr="00884F51">
              <w:t>Noteikumu projekta pieņemšana attiecas uz personām, kas dabasgāzi izmanto lauksaimniecībā izmantojamās zemes segto platību (siltumnīcu) siltumapgādei vai rūpniecisko mājputnu novietņu (kūts) un inkubatoru siltumapgādei.</w:t>
            </w:r>
          </w:p>
          <w:p w14:paraId="0ABE3A07" w14:textId="77777777" w:rsidR="003C5248" w:rsidRPr="00884F51" w:rsidRDefault="003C5248" w:rsidP="003C5248">
            <w:pPr>
              <w:ind w:right="113" w:firstLine="396"/>
              <w:jc w:val="both"/>
            </w:pPr>
            <w:r w:rsidRPr="00884F51">
              <w:t>Noteikumu projekts attiecas uz komersantiem, kas dabasgāzi piegādā galalietotājiem, kuri dabasgāzi izmanto lauksaimniecībā izmantojamās zemes segto platību (siltumnīcu) siltumapgādei kā arī rūpniecisko mājputnu novietņu (kūts) un inkubatoru siltumapgādei.</w:t>
            </w:r>
          </w:p>
          <w:p w14:paraId="3EC4E4D3" w14:textId="77777777" w:rsidR="00116AA2" w:rsidRPr="00884F51" w:rsidRDefault="00116AA2" w:rsidP="00AD10DA">
            <w:pPr>
              <w:suppressAutoHyphens/>
              <w:ind w:left="-31" w:right="112" w:firstLine="425"/>
              <w:jc w:val="both"/>
            </w:pPr>
          </w:p>
        </w:tc>
      </w:tr>
      <w:tr w:rsidR="00032C63" w:rsidRPr="00884F51" w14:paraId="7DA10180" w14:textId="77777777" w:rsidTr="00E742B4">
        <w:tc>
          <w:tcPr>
            <w:tcW w:w="251" w:type="pct"/>
            <w:tcBorders>
              <w:top w:val="outset" w:sz="6" w:space="0" w:color="000000"/>
              <w:left w:val="outset" w:sz="6" w:space="0" w:color="000000"/>
              <w:bottom w:val="outset" w:sz="6" w:space="0" w:color="000000"/>
              <w:right w:val="outset" w:sz="6" w:space="0" w:color="000000"/>
            </w:tcBorders>
          </w:tcPr>
          <w:p w14:paraId="572FF65B" w14:textId="77777777" w:rsidR="00032C63" w:rsidRPr="00884F51" w:rsidRDefault="00032C63" w:rsidP="00032C63">
            <w:pPr>
              <w:pStyle w:val="NormalWeb"/>
            </w:pPr>
            <w:r w:rsidRPr="00884F51">
              <w:lastRenderedPageBreak/>
              <w:t>2.</w:t>
            </w:r>
          </w:p>
        </w:tc>
        <w:tc>
          <w:tcPr>
            <w:tcW w:w="1838" w:type="pct"/>
            <w:tcBorders>
              <w:top w:val="outset" w:sz="6" w:space="0" w:color="000000"/>
              <w:left w:val="outset" w:sz="6" w:space="0" w:color="000000"/>
              <w:bottom w:val="outset" w:sz="6" w:space="0" w:color="000000"/>
              <w:right w:val="outset" w:sz="6" w:space="0" w:color="000000"/>
            </w:tcBorders>
          </w:tcPr>
          <w:p w14:paraId="660AE097" w14:textId="77777777" w:rsidR="00032C63" w:rsidRPr="00884F51" w:rsidRDefault="00431C1A" w:rsidP="00A274A7">
            <w:pPr>
              <w:pStyle w:val="NormalWeb"/>
              <w:ind w:right="113"/>
              <w:jc w:val="both"/>
            </w:pPr>
            <w:r w:rsidRPr="00884F51">
              <w:t>Tiesiskā regulējuma ietekme uz tautsaimniecību un administratīvo slogu</w:t>
            </w:r>
          </w:p>
        </w:tc>
        <w:tc>
          <w:tcPr>
            <w:tcW w:w="2911" w:type="pct"/>
            <w:tcBorders>
              <w:top w:val="outset" w:sz="6" w:space="0" w:color="000000"/>
              <w:left w:val="outset" w:sz="6" w:space="0" w:color="000000"/>
              <w:bottom w:val="outset" w:sz="6" w:space="0" w:color="000000"/>
              <w:right w:val="outset" w:sz="6" w:space="0" w:color="000000"/>
            </w:tcBorders>
          </w:tcPr>
          <w:p w14:paraId="4A56F166" w14:textId="77777777" w:rsidR="005A4596" w:rsidRPr="00884F51" w:rsidRDefault="00116AA2" w:rsidP="003C5248">
            <w:pPr>
              <w:pStyle w:val="NormalWeb"/>
              <w:spacing w:before="0" w:beforeAutospacing="0" w:after="0" w:afterAutospacing="0"/>
              <w:jc w:val="both"/>
              <w:rPr>
                <w:kern w:val="1"/>
              </w:rPr>
            </w:pPr>
            <w:r w:rsidRPr="00884F51">
              <w:rPr>
                <w:kern w:val="1"/>
              </w:rPr>
              <w:t xml:space="preserve">Noteikumu </w:t>
            </w:r>
            <w:r w:rsidR="003C5248" w:rsidRPr="00884F51">
              <w:rPr>
                <w:kern w:val="1"/>
              </w:rPr>
              <w:t xml:space="preserve">projekts paredz noteikt </w:t>
            </w:r>
            <w:proofErr w:type="spellStart"/>
            <w:r w:rsidR="003C5248" w:rsidRPr="00884F51">
              <w:rPr>
                <w:kern w:val="1"/>
              </w:rPr>
              <w:t>noteikt</w:t>
            </w:r>
            <w:proofErr w:type="spellEnd"/>
            <w:r w:rsidR="003C5248" w:rsidRPr="00884F51">
              <w:rPr>
                <w:kern w:val="1"/>
              </w:rPr>
              <w:t xml:space="preserve"> kārtību, kādā piemēro minimālo nodokļa likmi dabasgāzei, kuru izmanto lauksaimniecībā izmantojamās zemes segto platību (siltumnīcu) siltumapgādei, kā arī rūpniecisko mājputnu novietņu (kūts) un inkubatoru siltumapgādei, atbilstoši likuma 15.</w:t>
            </w:r>
            <w:r w:rsidR="003C5248" w:rsidRPr="00884F51">
              <w:rPr>
                <w:kern w:val="1"/>
                <w:vertAlign w:val="superscript"/>
              </w:rPr>
              <w:t>1</w:t>
            </w:r>
            <w:r w:rsidR="003C5248" w:rsidRPr="00884F51">
              <w:rPr>
                <w:kern w:val="1"/>
              </w:rPr>
              <w:t xml:space="preserve"> panta pirmās daļas 3.punktam.</w:t>
            </w:r>
          </w:p>
          <w:p w14:paraId="0477A927" w14:textId="77777777" w:rsidR="007B6927" w:rsidRPr="00884F51" w:rsidRDefault="007B6927" w:rsidP="003C5248">
            <w:pPr>
              <w:pStyle w:val="NormalWeb"/>
              <w:spacing w:before="0" w:beforeAutospacing="0" w:after="0" w:afterAutospacing="0"/>
              <w:jc w:val="both"/>
            </w:pPr>
          </w:p>
        </w:tc>
      </w:tr>
      <w:tr w:rsidR="00032C63" w:rsidRPr="00884F51" w14:paraId="124EDC79" w14:textId="77777777" w:rsidTr="00E742B4">
        <w:tc>
          <w:tcPr>
            <w:tcW w:w="251" w:type="pct"/>
            <w:tcBorders>
              <w:top w:val="outset" w:sz="6" w:space="0" w:color="000000"/>
              <w:left w:val="outset" w:sz="6" w:space="0" w:color="000000"/>
              <w:bottom w:val="outset" w:sz="6" w:space="0" w:color="000000"/>
              <w:right w:val="outset" w:sz="6" w:space="0" w:color="000000"/>
            </w:tcBorders>
          </w:tcPr>
          <w:p w14:paraId="24C37E84" w14:textId="77777777" w:rsidR="00032C63" w:rsidRPr="00884F51" w:rsidRDefault="00032C63" w:rsidP="00032C63">
            <w:pPr>
              <w:pStyle w:val="NormalWeb"/>
            </w:pPr>
            <w:r w:rsidRPr="00884F51">
              <w:t>3.</w:t>
            </w:r>
          </w:p>
        </w:tc>
        <w:tc>
          <w:tcPr>
            <w:tcW w:w="1838" w:type="pct"/>
            <w:tcBorders>
              <w:top w:val="outset" w:sz="6" w:space="0" w:color="000000"/>
              <w:left w:val="outset" w:sz="6" w:space="0" w:color="000000"/>
              <w:bottom w:val="outset" w:sz="6" w:space="0" w:color="000000"/>
              <w:right w:val="outset" w:sz="6" w:space="0" w:color="000000"/>
            </w:tcBorders>
          </w:tcPr>
          <w:p w14:paraId="7AD960E5" w14:textId="77777777" w:rsidR="00032C63" w:rsidRPr="00884F51" w:rsidRDefault="00431C1A" w:rsidP="00A274A7">
            <w:pPr>
              <w:pStyle w:val="NormalWeb"/>
              <w:ind w:right="113"/>
            </w:pPr>
            <w:r w:rsidRPr="00884F51">
              <w:t>Administratīvo izmaksu monetārs novērtējums</w:t>
            </w:r>
          </w:p>
        </w:tc>
        <w:tc>
          <w:tcPr>
            <w:tcW w:w="2911" w:type="pct"/>
            <w:tcBorders>
              <w:top w:val="outset" w:sz="6" w:space="0" w:color="000000"/>
              <w:left w:val="outset" w:sz="6" w:space="0" w:color="000000"/>
              <w:bottom w:val="outset" w:sz="6" w:space="0" w:color="000000"/>
              <w:right w:val="outset" w:sz="6" w:space="0" w:color="000000"/>
            </w:tcBorders>
          </w:tcPr>
          <w:p w14:paraId="00673452" w14:textId="77777777" w:rsidR="00032C63" w:rsidRPr="00884F51" w:rsidRDefault="00AE6FC8" w:rsidP="009D57FB">
            <w:pPr>
              <w:pStyle w:val="NormalWeb"/>
              <w:spacing w:before="0" w:beforeAutospacing="0" w:after="0" w:afterAutospacing="0"/>
              <w:jc w:val="both"/>
            </w:pPr>
            <w:r w:rsidRPr="00884F51">
              <w:t>Projekts šo jomu neskar.</w:t>
            </w:r>
          </w:p>
        </w:tc>
      </w:tr>
      <w:tr w:rsidR="00562169" w:rsidRPr="00884F51" w14:paraId="1A028278" w14:textId="77777777" w:rsidTr="00E742B4">
        <w:tc>
          <w:tcPr>
            <w:tcW w:w="251" w:type="pct"/>
            <w:tcBorders>
              <w:top w:val="outset" w:sz="6" w:space="0" w:color="000000"/>
              <w:left w:val="outset" w:sz="6" w:space="0" w:color="000000"/>
              <w:bottom w:val="outset" w:sz="6" w:space="0" w:color="000000"/>
              <w:right w:val="outset" w:sz="6" w:space="0" w:color="000000"/>
            </w:tcBorders>
          </w:tcPr>
          <w:p w14:paraId="4C4D33D6" w14:textId="136E86EA" w:rsidR="00562169" w:rsidRPr="005C7897" w:rsidRDefault="00562169" w:rsidP="00032C63">
            <w:pPr>
              <w:pStyle w:val="NormalWeb"/>
            </w:pPr>
            <w:r w:rsidRPr="005C7897">
              <w:t>4.</w:t>
            </w:r>
          </w:p>
        </w:tc>
        <w:tc>
          <w:tcPr>
            <w:tcW w:w="1838" w:type="pct"/>
            <w:tcBorders>
              <w:top w:val="outset" w:sz="6" w:space="0" w:color="000000"/>
              <w:left w:val="outset" w:sz="6" w:space="0" w:color="000000"/>
              <w:bottom w:val="outset" w:sz="6" w:space="0" w:color="000000"/>
              <w:right w:val="outset" w:sz="6" w:space="0" w:color="000000"/>
            </w:tcBorders>
          </w:tcPr>
          <w:p w14:paraId="48CA8769" w14:textId="39B5D6F4" w:rsidR="00562169" w:rsidRPr="005C7897" w:rsidRDefault="00562169" w:rsidP="00A274A7">
            <w:pPr>
              <w:pStyle w:val="NormalWeb"/>
              <w:ind w:right="113"/>
            </w:pPr>
            <w:r w:rsidRPr="005C7897">
              <w:t xml:space="preserve">Atbilstības izmaksu monetārais novērtējums </w:t>
            </w:r>
          </w:p>
        </w:tc>
        <w:tc>
          <w:tcPr>
            <w:tcW w:w="2911" w:type="pct"/>
            <w:tcBorders>
              <w:top w:val="outset" w:sz="6" w:space="0" w:color="000000"/>
              <w:left w:val="outset" w:sz="6" w:space="0" w:color="000000"/>
              <w:bottom w:val="outset" w:sz="6" w:space="0" w:color="000000"/>
              <w:right w:val="outset" w:sz="6" w:space="0" w:color="000000"/>
            </w:tcBorders>
          </w:tcPr>
          <w:p w14:paraId="1CB9ABDA" w14:textId="240BE5A5" w:rsidR="00562169" w:rsidRPr="005C7897" w:rsidRDefault="00562169" w:rsidP="009D57FB">
            <w:pPr>
              <w:pStyle w:val="NormalWeb"/>
              <w:spacing w:before="0" w:beforeAutospacing="0" w:after="0" w:afterAutospacing="0"/>
              <w:jc w:val="both"/>
            </w:pPr>
            <w:r w:rsidRPr="005C7897">
              <w:t>Projekts šo jomu neskar.</w:t>
            </w:r>
          </w:p>
        </w:tc>
      </w:tr>
      <w:tr w:rsidR="00032C63" w:rsidRPr="00884F51" w14:paraId="6AE54419" w14:textId="77777777" w:rsidTr="00E742B4">
        <w:tc>
          <w:tcPr>
            <w:tcW w:w="251" w:type="pct"/>
            <w:tcBorders>
              <w:top w:val="outset" w:sz="6" w:space="0" w:color="000000"/>
              <w:left w:val="outset" w:sz="6" w:space="0" w:color="000000"/>
              <w:bottom w:val="outset" w:sz="6" w:space="0" w:color="000000"/>
              <w:right w:val="outset" w:sz="6" w:space="0" w:color="000000"/>
            </w:tcBorders>
          </w:tcPr>
          <w:p w14:paraId="766CC7A6" w14:textId="2989118E" w:rsidR="00032C63" w:rsidRPr="00884F51" w:rsidRDefault="00562169" w:rsidP="00032C63">
            <w:pPr>
              <w:pStyle w:val="NormalWeb"/>
            </w:pPr>
            <w:r>
              <w:t>5</w:t>
            </w:r>
            <w:r w:rsidR="00032C63" w:rsidRPr="00884F51">
              <w:t>.</w:t>
            </w:r>
          </w:p>
        </w:tc>
        <w:tc>
          <w:tcPr>
            <w:tcW w:w="1838" w:type="pct"/>
            <w:tcBorders>
              <w:top w:val="outset" w:sz="6" w:space="0" w:color="000000"/>
              <w:left w:val="outset" w:sz="6" w:space="0" w:color="000000"/>
              <w:bottom w:val="outset" w:sz="6" w:space="0" w:color="000000"/>
              <w:right w:val="outset" w:sz="6" w:space="0" w:color="000000"/>
            </w:tcBorders>
          </w:tcPr>
          <w:p w14:paraId="463434A1" w14:textId="77777777" w:rsidR="00032C63" w:rsidRPr="00884F51" w:rsidRDefault="00032C63" w:rsidP="00A274A7">
            <w:pPr>
              <w:pStyle w:val="NormalWeb"/>
              <w:ind w:right="113"/>
            </w:pPr>
            <w:r w:rsidRPr="00884F51">
              <w:t>Cita informācija</w:t>
            </w:r>
          </w:p>
        </w:tc>
        <w:tc>
          <w:tcPr>
            <w:tcW w:w="2911" w:type="pct"/>
            <w:tcBorders>
              <w:top w:val="outset" w:sz="6" w:space="0" w:color="000000"/>
              <w:left w:val="outset" w:sz="6" w:space="0" w:color="000000"/>
              <w:bottom w:val="outset" w:sz="6" w:space="0" w:color="000000"/>
              <w:right w:val="outset" w:sz="6" w:space="0" w:color="000000"/>
            </w:tcBorders>
          </w:tcPr>
          <w:p w14:paraId="5BD3E42C" w14:textId="77777777" w:rsidR="00032C63" w:rsidRPr="00884F51" w:rsidRDefault="00032C63" w:rsidP="00032C63">
            <w:pPr>
              <w:pStyle w:val="NormalWeb"/>
            </w:pPr>
            <w:r w:rsidRPr="00884F51">
              <w:t>Nav</w:t>
            </w:r>
            <w:r w:rsidR="0050593E" w:rsidRPr="00884F51">
              <w:t>.</w:t>
            </w:r>
          </w:p>
        </w:tc>
      </w:tr>
    </w:tbl>
    <w:p w14:paraId="7872644C" w14:textId="77777777" w:rsidR="003C5248" w:rsidRPr="00884F51" w:rsidRDefault="003C5248" w:rsidP="003C5248"/>
    <w:tbl>
      <w:tblPr>
        <w:tblpPr w:leftFromText="180" w:rightFromText="180" w:vertAnchor="text" w:tblpXSpec="outside" w:tblpY="1"/>
        <w:tblOverlap w:val="never"/>
        <w:tblW w:w="5092"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9222"/>
      </w:tblGrid>
      <w:tr w:rsidR="003C5248" w:rsidRPr="00884F51" w14:paraId="30451C01" w14:textId="77777777" w:rsidTr="007B6927">
        <w:tc>
          <w:tcPr>
            <w:tcW w:w="5000" w:type="pct"/>
            <w:tcBorders>
              <w:top w:val="outset" w:sz="6" w:space="0" w:color="000000"/>
              <w:left w:val="outset" w:sz="6" w:space="0" w:color="000000"/>
              <w:bottom w:val="outset" w:sz="6" w:space="0" w:color="000000"/>
              <w:right w:val="outset" w:sz="6" w:space="0" w:color="000000"/>
            </w:tcBorders>
          </w:tcPr>
          <w:p w14:paraId="577EA321" w14:textId="77777777" w:rsidR="003C5248" w:rsidRPr="00884F51" w:rsidRDefault="003C5248" w:rsidP="007B6927">
            <w:pPr>
              <w:spacing w:before="100" w:beforeAutospacing="1" w:after="100" w:afterAutospacing="1"/>
              <w:jc w:val="center"/>
              <w:rPr>
                <w:b/>
                <w:bCs/>
              </w:rPr>
            </w:pPr>
            <w:r w:rsidRPr="00884F51">
              <w:rPr>
                <w:b/>
                <w:bCs/>
              </w:rPr>
              <w:t>III. Tiesību akta projekta ietekme uz valsts budžetu un pašvaldību budžetiem</w:t>
            </w:r>
          </w:p>
        </w:tc>
      </w:tr>
      <w:tr w:rsidR="003C5248" w:rsidRPr="00884F51" w14:paraId="2BB14497" w14:textId="77777777" w:rsidTr="007B6927">
        <w:tc>
          <w:tcPr>
            <w:tcW w:w="5000" w:type="pct"/>
            <w:tcBorders>
              <w:top w:val="outset" w:sz="6" w:space="0" w:color="000000"/>
              <w:left w:val="outset" w:sz="6" w:space="0" w:color="000000"/>
              <w:bottom w:val="outset" w:sz="6" w:space="0" w:color="000000"/>
              <w:right w:val="outset" w:sz="6" w:space="0" w:color="000000"/>
            </w:tcBorders>
          </w:tcPr>
          <w:p w14:paraId="6650253B" w14:textId="77777777" w:rsidR="003C5248" w:rsidRPr="00884F51" w:rsidRDefault="003C5248" w:rsidP="007B6927">
            <w:pPr>
              <w:jc w:val="center"/>
            </w:pPr>
            <w:r w:rsidRPr="00884F51">
              <w:t>Projekts šo jomu neskar</w:t>
            </w:r>
          </w:p>
        </w:tc>
      </w:tr>
    </w:tbl>
    <w:p w14:paraId="4AA12DDF" w14:textId="77777777" w:rsidR="003C5248" w:rsidRPr="00884F51" w:rsidRDefault="003C5248" w:rsidP="003C5248"/>
    <w:tbl>
      <w:tblPr>
        <w:tblW w:w="5088"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214"/>
      </w:tblGrid>
      <w:tr w:rsidR="003C5248" w:rsidRPr="00884F51" w14:paraId="01A313D7" w14:textId="77777777" w:rsidTr="007B6927">
        <w:tc>
          <w:tcPr>
            <w:tcW w:w="5000" w:type="pct"/>
            <w:tcBorders>
              <w:top w:val="single" w:sz="6" w:space="0" w:color="auto"/>
              <w:left w:val="single" w:sz="6" w:space="0" w:color="auto"/>
              <w:bottom w:val="outset" w:sz="6" w:space="0" w:color="000000"/>
              <w:right w:val="single" w:sz="6" w:space="0" w:color="auto"/>
            </w:tcBorders>
            <w:vAlign w:val="center"/>
            <w:hideMark/>
          </w:tcPr>
          <w:p w14:paraId="246995C3" w14:textId="77777777" w:rsidR="003C5248" w:rsidRPr="00884F51" w:rsidRDefault="003C5248" w:rsidP="003C5248">
            <w:pPr>
              <w:spacing w:before="100" w:beforeAutospacing="1" w:after="100" w:afterAutospacing="1"/>
              <w:jc w:val="center"/>
              <w:rPr>
                <w:b/>
                <w:bCs/>
              </w:rPr>
            </w:pPr>
            <w:r w:rsidRPr="00884F51">
              <w:rPr>
                <w:rFonts w:eastAsia="Calibri"/>
                <w:b/>
                <w:bCs/>
                <w:szCs w:val="22"/>
                <w:lang w:eastAsia="en-US"/>
              </w:rPr>
              <w:t>IV. Tiesību akta projekta ietekme uz spēkā esošo tiesību normu sistēmu</w:t>
            </w:r>
          </w:p>
        </w:tc>
      </w:tr>
      <w:tr w:rsidR="003C5248" w:rsidRPr="00884F51" w14:paraId="7E0BCAF5" w14:textId="77777777" w:rsidTr="007B6927">
        <w:tc>
          <w:tcPr>
            <w:tcW w:w="5000" w:type="pct"/>
            <w:tcBorders>
              <w:top w:val="outset" w:sz="6" w:space="0" w:color="000000"/>
              <w:left w:val="outset" w:sz="6" w:space="0" w:color="000000"/>
              <w:bottom w:val="outset" w:sz="6" w:space="0" w:color="000000"/>
              <w:right w:val="outset" w:sz="6" w:space="0" w:color="000000"/>
            </w:tcBorders>
            <w:hideMark/>
          </w:tcPr>
          <w:p w14:paraId="683CC2D8" w14:textId="77777777" w:rsidR="003C5248" w:rsidRPr="00884F51" w:rsidRDefault="003C5248" w:rsidP="003C5248">
            <w:pPr>
              <w:ind w:right="113"/>
              <w:jc w:val="center"/>
            </w:pPr>
            <w:r w:rsidRPr="00884F51">
              <w:t>Projekts šo jomu neskar</w:t>
            </w:r>
          </w:p>
        </w:tc>
      </w:tr>
    </w:tbl>
    <w:p w14:paraId="2576134A" w14:textId="77777777" w:rsidR="003C5248" w:rsidRPr="00884F51" w:rsidRDefault="003C5248" w:rsidP="00032C63"/>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3202"/>
        <w:gridCol w:w="5583"/>
      </w:tblGrid>
      <w:tr w:rsidR="00441730" w:rsidRPr="00884F51" w14:paraId="3FFACB20" w14:textId="77777777" w:rsidTr="007B6927">
        <w:tc>
          <w:tcPr>
            <w:tcW w:w="5000" w:type="pct"/>
            <w:gridSpan w:val="3"/>
            <w:shd w:val="clear" w:color="auto" w:fill="auto"/>
            <w:hideMark/>
          </w:tcPr>
          <w:p w14:paraId="3DCEC225" w14:textId="77777777" w:rsidR="00441730" w:rsidRPr="00884F51" w:rsidRDefault="00441730" w:rsidP="007B6927">
            <w:pPr>
              <w:jc w:val="center"/>
              <w:rPr>
                <w:b/>
                <w:bCs/>
              </w:rPr>
            </w:pPr>
            <w:r w:rsidRPr="00884F51">
              <w:rPr>
                <w:b/>
                <w:bCs/>
              </w:rPr>
              <w:t>V. Tiesību akta projekta atbilstība Latvijas Republikas starptautiskajām saistībām</w:t>
            </w:r>
          </w:p>
        </w:tc>
      </w:tr>
      <w:tr w:rsidR="00441730" w:rsidRPr="00884F51" w14:paraId="21F84239" w14:textId="77777777" w:rsidTr="007B6927">
        <w:tc>
          <w:tcPr>
            <w:tcW w:w="232" w:type="pct"/>
            <w:shd w:val="clear" w:color="auto" w:fill="auto"/>
            <w:hideMark/>
          </w:tcPr>
          <w:p w14:paraId="134F619F" w14:textId="77777777" w:rsidR="00441730" w:rsidRPr="00884F51" w:rsidRDefault="00441730" w:rsidP="00D76EB4">
            <w:r w:rsidRPr="00884F51">
              <w:t>1.</w:t>
            </w:r>
          </w:p>
        </w:tc>
        <w:tc>
          <w:tcPr>
            <w:tcW w:w="1738" w:type="pct"/>
            <w:shd w:val="clear" w:color="auto" w:fill="auto"/>
            <w:hideMark/>
          </w:tcPr>
          <w:p w14:paraId="6760BFD1" w14:textId="77777777" w:rsidR="00441730" w:rsidRPr="00884F51" w:rsidRDefault="00441730" w:rsidP="00D76EB4">
            <w:r w:rsidRPr="00884F51">
              <w:t>Saistības pret Eiropas Savienību</w:t>
            </w:r>
          </w:p>
        </w:tc>
        <w:tc>
          <w:tcPr>
            <w:tcW w:w="3030" w:type="pct"/>
            <w:shd w:val="clear" w:color="auto" w:fill="auto"/>
            <w:hideMark/>
          </w:tcPr>
          <w:p w14:paraId="05AB9177" w14:textId="77777777" w:rsidR="00441730" w:rsidRPr="00884F51" w:rsidRDefault="00441730" w:rsidP="00441730">
            <w:pPr>
              <w:jc w:val="both"/>
            </w:pPr>
            <w:r w:rsidRPr="00884F51">
              <w:t xml:space="preserve">Komisijas 2014.gada 17.jūnija Regula (ES) Nr. </w:t>
            </w:r>
            <w:hyperlink r:id="rId11" w:tgtFrame="_blank" w:history="1">
              <w:r w:rsidRPr="00884F51">
                <w:t>651/2014</w:t>
              </w:r>
            </w:hyperlink>
            <w:r w:rsidRPr="00884F51">
              <w:t>, ar ko noteiktas atbalsta kategorijas atzīst par saderīgām ar iekšējo tirgu, piemērojot Līguma 107. un 108. pantu (Eiropas Savienības Oficiālais Vēstnesis, 2014.gada 26.jūnijs, Nr. L187).</w:t>
            </w:r>
          </w:p>
        </w:tc>
      </w:tr>
      <w:tr w:rsidR="00441730" w:rsidRPr="00884F51" w14:paraId="48523EF2" w14:textId="77777777" w:rsidTr="007B6927">
        <w:tc>
          <w:tcPr>
            <w:tcW w:w="232" w:type="pct"/>
            <w:shd w:val="clear" w:color="auto" w:fill="auto"/>
            <w:hideMark/>
          </w:tcPr>
          <w:p w14:paraId="4C113CD4" w14:textId="77777777" w:rsidR="00441730" w:rsidRPr="00884F51" w:rsidRDefault="00441730" w:rsidP="00D76EB4">
            <w:r w:rsidRPr="00884F51">
              <w:t>2.</w:t>
            </w:r>
          </w:p>
        </w:tc>
        <w:tc>
          <w:tcPr>
            <w:tcW w:w="1738" w:type="pct"/>
            <w:shd w:val="clear" w:color="auto" w:fill="auto"/>
            <w:hideMark/>
          </w:tcPr>
          <w:p w14:paraId="4C576CBA" w14:textId="77777777" w:rsidR="00441730" w:rsidRPr="00884F51" w:rsidRDefault="00441730" w:rsidP="00D76EB4">
            <w:r w:rsidRPr="00884F51">
              <w:t>Citas starptautiskās saistības</w:t>
            </w:r>
          </w:p>
        </w:tc>
        <w:tc>
          <w:tcPr>
            <w:tcW w:w="3030" w:type="pct"/>
            <w:shd w:val="clear" w:color="auto" w:fill="auto"/>
            <w:hideMark/>
          </w:tcPr>
          <w:p w14:paraId="50F301FF" w14:textId="77777777" w:rsidR="00441730" w:rsidRPr="00884F51" w:rsidRDefault="00441730" w:rsidP="00D76EB4">
            <w:r w:rsidRPr="00884F51">
              <w:t>Projekts šo jomu neskar.</w:t>
            </w:r>
          </w:p>
          <w:p w14:paraId="15A07918" w14:textId="77777777" w:rsidR="00441730" w:rsidRPr="00884F51" w:rsidRDefault="00441730" w:rsidP="00D76EB4"/>
        </w:tc>
      </w:tr>
      <w:tr w:rsidR="00441730" w:rsidRPr="00884F51" w14:paraId="6C1D6972" w14:textId="77777777" w:rsidTr="007B6927">
        <w:tc>
          <w:tcPr>
            <w:tcW w:w="232" w:type="pct"/>
            <w:shd w:val="clear" w:color="auto" w:fill="auto"/>
            <w:hideMark/>
          </w:tcPr>
          <w:p w14:paraId="1645B0B8" w14:textId="77777777" w:rsidR="00441730" w:rsidRPr="00884F51" w:rsidRDefault="00441730" w:rsidP="00D76EB4">
            <w:r w:rsidRPr="00884F51">
              <w:t>3.</w:t>
            </w:r>
          </w:p>
        </w:tc>
        <w:tc>
          <w:tcPr>
            <w:tcW w:w="1738" w:type="pct"/>
            <w:shd w:val="clear" w:color="auto" w:fill="auto"/>
            <w:hideMark/>
          </w:tcPr>
          <w:p w14:paraId="0A993E6A" w14:textId="77777777" w:rsidR="00441730" w:rsidRPr="00884F51" w:rsidRDefault="00441730" w:rsidP="00D76EB4">
            <w:r w:rsidRPr="00884F51">
              <w:t>Cita informācija</w:t>
            </w:r>
          </w:p>
        </w:tc>
        <w:tc>
          <w:tcPr>
            <w:tcW w:w="3030" w:type="pct"/>
            <w:shd w:val="clear" w:color="auto" w:fill="auto"/>
            <w:hideMark/>
          </w:tcPr>
          <w:p w14:paraId="33FC2B7F" w14:textId="77777777" w:rsidR="00441730" w:rsidRPr="00884F51" w:rsidRDefault="00441730" w:rsidP="00D76EB4">
            <w:r w:rsidRPr="00884F51">
              <w:t>Nav.</w:t>
            </w:r>
          </w:p>
        </w:tc>
      </w:tr>
    </w:tbl>
    <w:p w14:paraId="3F63311A" w14:textId="77777777" w:rsidR="00441730" w:rsidRPr="00884F51" w:rsidRDefault="00441730" w:rsidP="00441730">
      <w:r w:rsidRPr="00884F51">
        <w:t xml:space="preserve">  </w:t>
      </w: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66"/>
        <w:gridCol w:w="997"/>
        <w:gridCol w:w="1270"/>
        <w:gridCol w:w="2410"/>
      </w:tblGrid>
      <w:tr w:rsidR="00441730" w:rsidRPr="00884F51" w14:paraId="79F7B0D0" w14:textId="77777777" w:rsidTr="007B6927">
        <w:tc>
          <w:tcPr>
            <w:tcW w:w="5000" w:type="pct"/>
            <w:gridSpan w:val="5"/>
            <w:shd w:val="clear" w:color="auto" w:fill="auto"/>
            <w:hideMark/>
          </w:tcPr>
          <w:p w14:paraId="5B5F817E" w14:textId="77777777" w:rsidR="00441730" w:rsidRPr="00884F51" w:rsidRDefault="00441730" w:rsidP="007B6927">
            <w:pPr>
              <w:jc w:val="center"/>
              <w:rPr>
                <w:b/>
                <w:bCs/>
              </w:rPr>
            </w:pPr>
            <w:r w:rsidRPr="00884F51">
              <w:rPr>
                <w:b/>
                <w:bCs/>
              </w:rPr>
              <w:t>1. tabula</w:t>
            </w:r>
            <w:r w:rsidRPr="00884F51">
              <w:rPr>
                <w:b/>
                <w:bCs/>
              </w:rPr>
              <w:br/>
              <w:t>Tiesību akta projekta atbilstība ES tiesību aktiem</w:t>
            </w:r>
          </w:p>
        </w:tc>
      </w:tr>
      <w:tr w:rsidR="00441730" w:rsidRPr="00884F51" w14:paraId="75F0F007" w14:textId="77777777" w:rsidTr="007B6927">
        <w:tc>
          <w:tcPr>
            <w:tcW w:w="1232" w:type="pct"/>
            <w:shd w:val="clear" w:color="auto" w:fill="auto"/>
            <w:hideMark/>
          </w:tcPr>
          <w:p w14:paraId="2E4706F0" w14:textId="77777777" w:rsidR="00441730" w:rsidRPr="00884F51" w:rsidRDefault="00441730" w:rsidP="00D76EB4">
            <w:r w:rsidRPr="00884F51">
              <w:t>Attiecīgā ES tiesību akta datums, numurs un nosaukums</w:t>
            </w:r>
          </w:p>
        </w:tc>
        <w:tc>
          <w:tcPr>
            <w:tcW w:w="3768" w:type="pct"/>
            <w:gridSpan w:val="4"/>
            <w:shd w:val="clear" w:color="auto" w:fill="auto"/>
            <w:hideMark/>
          </w:tcPr>
          <w:p w14:paraId="75E1E3E6" w14:textId="77777777" w:rsidR="00441730" w:rsidRPr="00884F51" w:rsidRDefault="00441730" w:rsidP="00441730">
            <w:pPr>
              <w:jc w:val="both"/>
            </w:pPr>
            <w:r w:rsidRPr="00884F51">
              <w:t xml:space="preserve">Komisijas 2014.gada 17.jūnija Regula (ES) Nr. </w:t>
            </w:r>
            <w:hyperlink r:id="rId12" w:tgtFrame="_blank" w:history="1">
              <w:r w:rsidRPr="00884F51">
                <w:t>651/2014</w:t>
              </w:r>
            </w:hyperlink>
            <w:r w:rsidRPr="00884F51">
              <w:t xml:space="preserve">, ar ko noteiktas atbalsta kategorijas atzīst par saderīgām ar iekšējo tirgu, piemērojot Līguma 107. un 108.pantu (Eiropas Savienības Oficiālais Vēstnesis, 2014.gada 26.jūnijs, Nr. L187) (turpmāk – regula Nr. </w:t>
            </w:r>
            <w:hyperlink r:id="rId13" w:tgtFrame="_blank" w:history="1">
              <w:r w:rsidRPr="00884F51">
                <w:t>651/2014</w:t>
              </w:r>
            </w:hyperlink>
            <w:r w:rsidRPr="00884F51">
              <w:t>).</w:t>
            </w:r>
          </w:p>
        </w:tc>
      </w:tr>
      <w:tr w:rsidR="00441730" w:rsidRPr="00884F51" w14:paraId="58B2384B" w14:textId="77777777" w:rsidTr="0053749E">
        <w:tc>
          <w:tcPr>
            <w:tcW w:w="1232" w:type="pct"/>
            <w:shd w:val="clear" w:color="auto" w:fill="auto"/>
            <w:hideMark/>
          </w:tcPr>
          <w:p w14:paraId="373537F3" w14:textId="77777777" w:rsidR="00441730" w:rsidRPr="00884F51" w:rsidRDefault="00441730" w:rsidP="00D76EB4">
            <w:r w:rsidRPr="00884F51">
              <w:t>A</w:t>
            </w:r>
          </w:p>
        </w:tc>
        <w:tc>
          <w:tcPr>
            <w:tcW w:w="1230" w:type="pct"/>
            <w:shd w:val="clear" w:color="auto" w:fill="auto"/>
            <w:hideMark/>
          </w:tcPr>
          <w:p w14:paraId="0FB0456A" w14:textId="77777777" w:rsidR="00441730" w:rsidRPr="00884F51" w:rsidRDefault="00441730" w:rsidP="00D76EB4">
            <w:r w:rsidRPr="00884F51">
              <w:t>B</w:t>
            </w:r>
          </w:p>
        </w:tc>
        <w:tc>
          <w:tcPr>
            <w:tcW w:w="1230" w:type="pct"/>
            <w:gridSpan w:val="2"/>
            <w:shd w:val="clear" w:color="auto" w:fill="auto"/>
            <w:hideMark/>
          </w:tcPr>
          <w:p w14:paraId="7863A8B4" w14:textId="77777777" w:rsidR="00441730" w:rsidRPr="00884F51" w:rsidRDefault="00441730" w:rsidP="00D76EB4">
            <w:r w:rsidRPr="00884F51">
              <w:t>C</w:t>
            </w:r>
          </w:p>
        </w:tc>
        <w:tc>
          <w:tcPr>
            <w:tcW w:w="1308" w:type="pct"/>
            <w:shd w:val="clear" w:color="auto" w:fill="auto"/>
            <w:hideMark/>
          </w:tcPr>
          <w:p w14:paraId="224C003F" w14:textId="77777777" w:rsidR="00441730" w:rsidRPr="00884F51" w:rsidRDefault="00441730" w:rsidP="00D76EB4">
            <w:r w:rsidRPr="00884F51">
              <w:t>D</w:t>
            </w:r>
          </w:p>
        </w:tc>
      </w:tr>
      <w:tr w:rsidR="00441730" w:rsidRPr="00884F51" w14:paraId="76A4DC3E"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hideMark/>
          </w:tcPr>
          <w:p w14:paraId="4826730E" w14:textId="77777777" w:rsidR="00441730" w:rsidRPr="00884F51" w:rsidRDefault="00441730" w:rsidP="00D76EB4">
            <w:r w:rsidRPr="00884F51">
              <w:t>regulas Nr.</w:t>
            </w:r>
            <w:r w:rsidR="00DC0D59" w:rsidRPr="00884F51">
              <w:t>651</w:t>
            </w:r>
            <w:r w:rsidRPr="00884F51">
              <w:t>/2014 4</w:t>
            </w:r>
            <w:r w:rsidR="00DC0D59" w:rsidRPr="00884F51">
              <w:t>4</w:t>
            </w:r>
            <w:r w:rsidRPr="00884F51">
              <w:t>.pant</w:t>
            </w:r>
            <w:r w:rsidR="00DC0D59" w:rsidRPr="00884F51">
              <w:t>a 1. un 2.punkts</w:t>
            </w:r>
          </w:p>
          <w:p w14:paraId="0618C9D0" w14:textId="77777777" w:rsidR="00441730" w:rsidRPr="00884F51" w:rsidRDefault="00441730" w:rsidP="00D76EB4">
            <w:pPr>
              <w:tabs>
                <w:tab w:val="left" w:pos="405"/>
              </w:tabs>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hideMark/>
          </w:tcPr>
          <w:p w14:paraId="0002EF5B" w14:textId="1CF23DBD" w:rsidR="00441730" w:rsidRPr="00884F51" w:rsidRDefault="00441730" w:rsidP="007E425C">
            <w:r w:rsidRPr="00884F51">
              <w:t xml:space="preserve">Noteikumu projekta </w:t>
            </w:r>
            <w:r w:rsidR="00DC0D59" w:rsidRPr="00884F51">
              <w:t>1.</w:t>
            </w:r>
            <w:r w:rsidR="007E425C" w:rsidRPr="00884F51">
              <w:t>5</w:t>
            </w:r>
            <w:r w:rsidRPr="00884F51">
              <w:t>.</w:t>
            </w:r>
            <w:r w:rsidR="00DC0D59" w:rsidRPr="00884F51">
              <w:t>apakš</w:t>
            </w:r>
            <w:r w:rsidRPr="00884F51">
              <w:t>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0BA531C8" w14:textId="77777777" w:rsidR="00441730" w:rsidRPr="00884F51" w:rsidRDefault="00441730" w:rsidP="00DC0D59">
            <w:r w:rsidRPr="00884F51">
              <w:t>Komisijas regulas</w:t>
            </w:r>
            <w:r w:rsidR="00DC0D59" w:rsidRPr="00884F51">
              <w:t xml:space="preserve"> Nr.651</w:t>
            </w:r>
            <w:r w:rsidRPr="00884F51">
              <w:t>/2014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hideMark/>
          </w:tcPr>
          <w:p w14:paraId="5B737037" w14:textId="77777777" w:rsidR="00441730" w:rsidRPr="00884F51" w:rsidRDefault="00DC0D59" w:rsidP="00DC0D59">
            <w:r w:rsidRPr="00884F51">
              <w:t>Noteikumu projekt</w:t>
            </w:r>
            <w:r w:rsidR="00441730" w:rsidRPr="00884F51">
              <w:t>s neparedz stingrākas prasības kā šīs tabulas A ailē minētās ES tiesību akta vienības.</w:t>
            </w:r>
          </w:p>
        </w:tc>
      </w:tr>
      <w:tr w:rsidR="00441730" w:rsidRPr="00884F51" w14:paraId="764E6571"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2DA23DB2" w14:textId="77777777" w:rsidR="00441730" w:rsidRPr="00884F51" w:rsidRDefault="00441730" w:rsidP="00D76EB4">
            <w:r w:rsidRPr="00884F51">
              <w:t>regulas Nr.</w:t>
            </w:r>
            <w:r w:rsidR="00DC0D59" w:rsidRPr="00884F51">
              <w:t>651</w:t>
            </w:r>
            <w:r w:rsidRPr="00884F51">
              <w:t>/2014 8.pants</w:t>
            </w:r>
          </w:p>
          <w:p w14:paraId="4425A337" w14:textId="77777777" w:rsidR="00441730" w:rsidRPr="00884F51" w:rsidRDefault="00441730" w:rsidP="00D76EB4">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2F34EBE" w14:textId="2BFA28D7" w:rsidR="00441730" w:rsidRPr="00884F51" w:rsidRDefault="00DC0D59" w:rsidP="007E425C">
            <w:r w:rsidRPr="00884F51">
              <w:t>Noteikumu projekta 1.</w:t>
            </w:r>
            <w:r w:rsidR="007E425C" w:rsidRPr="00884F51">
              <w:t>5</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7B20C016" w14:textId="77777777" w:rsidR="00441730" w:rsidRPr="00884F51" w:rsidRDefault="00441730" w:rsidP="00DC0D59">
            <w:r w:rsidRPr="00884F51">
              <w:t>Komisijas regulas</w:t>
            </w:r>
            <w:r w:rsidR="00DC0D59" w:rsidRPr="00884F51">
              <w:t xml:space="preserve"> Nr.651</w:t>
            </w:r>
            <w:r w:rsidRPr="00884F51">
              <w:t>/2014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32760FF1" w14:textId="77777777" w:rsidR="00441730" w:rsidRPr="00884F51" w:rsidRDefault="00DC0D59" w:rsidP="00DC0D59">
            <w:r w:rsidRPr="00884F51">
              <w:t>Noteikumu projekt</w:t>
            </w:r>
            <w:r w:rsidR="00441730" w:rsidRPr="00884F51">
              <w:t>s neparedz stingrākas prasības kā šīs tabulas A ailē minētās ES tiesību akta vienības.</w:t>
            </w:r>
          </w:p>
        </w:tc>
      </w:tr>
      <w:tr w:rsidR="00441730" w:rsidRPr="00884F51" w14:paraId="2A8A01C4"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38969889" w14:textId="77777777" w:rsidR="00441730" w:rsidRPr="00884F51" w:rsidRDefault="00441730" w:rsidP="00D76EB4">
            <w:r w:rsidRPr="00884F51">
              <w:lastRenderedPageBreak/>
              <w:t>regulas Nr.</w:t>
            </w:r>
            <w:r w:rsidR="00DC0D59" w:rsidRPr="00884F51">
              <w:t>651</w:t>
            </w:r>
            <w:r w:rsidRPr="00884F51">
              <w:t xml:space="preserve">/2014 1.panta </w:t>
            </w:r>
            <w:r w:rsidR="00DC0D59" w:rsidRPr="00884F51">
              <w:t xml:space="preserve">2.punkta </w:t>
            </w:r>
            <w:r w:rsidR="0053749E" w:rsidRPr="00884F51">
              <w:t>“</w:t>
            </w:r>
            <w:proofErr w:type="spellStart"/>
            <w:r w:rsidR="0053749E" w:rsidRPr="00884F51">
              <w:t>c”un</w:t>
            </w:r>
            <w:proofErr w:type="spellEnd"/>
            <w:r w:rsidR="0053749E" w:rsidRPr="00884F51">
              <w:t xml:space="preserve"> </w:t>
            </w:r>
            <w:r w:rsidRPr="00884F51">
              <w:t>“d” apakšpunkts</w:t>
            </w:r>
          </w:p>
          <w:p w14:paraId="04669C9C" w14:textId="77777777" w:rsidR="00441730" w:rsidRPr="00884F51" w:rsidRDefault="00441730" w:rsidP="00D76EB4">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F92C22B" w14:textId="5DFB9FC5" w:rsidR="00441730" w:rsidRPr="00884F51" w:rsidRDefault="00DC0D59" w:rsidP="007E425C">
            <w:r w:rsidRPr="00884F51">
              <w:t>Noteikumu projekta 1.</w:t>
            </w:r>
            <w:r w:rsidR="007E425C" w:rsidRPr="00884F51">
              <w:t>5</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6C2FDFFB" w14:textId="77777777" w:rsidR="00441730" w:rsidRPr="00884F51" w:rsidRDefault="00441730" w:rsidP="00DC0D59">
            <w:r w:rsidRPr="00884F51">
              <w:t>Komisijas regulas Nr.</w:t>
            </w:r>
            <w:r w:rsidR="00DC0D59" w:rsidRPr="00884F51">
              <w:t>651</w:t>
            </w:r>
            <w:r w:rsidRPr="00884F51">
              <w:t>/2014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03B0A3D6" w14:textId="77777777" w:rsidR="00441730" w:rsidRPr="00884F51" w:rsidRDefault="00DC0D59" w:rsidP="00DC0D59">
            <w:r w:rsidRPr="00884F51">
              <w:t xml:space="preserve">Noteikumu projekts </w:t>
            </w:r>
            <w:r w:rsidR="00441730" w:rsidRPr="00884F51">
              <w:t>neparedz stingrākas prasības kā šīs tabulas A ailē minētās ES tiesību akta vienības.</w:t>
            </w:r>
          </w:p>
        </w:tc>
      </w:tr>
      <w:tr w:rsidR="0053749E" w:rsidRPr="00884F51" w14:paraId="2D549504"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0B727873" w14:textId="77777777" w:rsidR="0053749E" w:rsidRPr="00884F51" w:rsidRDefault="0053749E" w:rsidP="0053749E">
            <w:r w:rsidRPr="00884F51">
              <w:t>regulas Nr.651/2014 1.panta 3.punkts</w:t>
            </w:r>
          </w:p>
          <w:p w14:paraId="418388C0" w14:textId="77777777" w:rsidR="0053749E" w:rsidRPr="00884F51" w:rsidRDefault="0053749E" w:rsidP="0053749E">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E2217B2" w14:textId="1BAA88CE" w:rsidR="0053749E" w:rsidRPr="00884F51" w:rsidRDefault="0053749E" w:rsidP="007E425C">
            <w:r w:rsidRPr="00884F51">
              <w:t>Noteikumu projekta 1.</w:t>
            </w:r>
            <w:r w:rsidR="007E425C" w:rsidRPr="00884F51">
              <w:t>5</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2CF401B9" w14:textId="77777777" w:rsidR="0053749E" w:rsidRPr="00884F51" w:rsidRDefault="0053749E" w:rsidP="0053749E">
            <w:r w:rsidRPr="00884F51">
              <w:t>Komisijas regulas Nr.651/2014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27F2EC00" w14:textId="77777777" w:rsidR="0053749E" w:rsidRPr="00884F51" w:rsidRDefault="0053749E" w:rsidP="0053749E">
            <w:r w:rsidRPr="00884F51">
              <w:t>Noteikumu projekts neparedz stingrākas prasības kā šīs tabulas A ailē minētās ES tiesību akta vienības.</w:t>
            </w:r>
          </w:p>
        </w:tc>
      </w:tr>
      <w:tr w:rsidR="0053749E" w:rsidRPr="00884F51" w14:paraId="35A3188B"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20E58C34" w14:textId="77777777" w:rsidR="0053749E" w:rsidRPr="00884F51" w:rsidRDefault="0053749E" w:rsidP="0053749E">
            <w:r w:rsidRPr="00884F51">
              <w:t>regulas Nr.651/2014 1.panta 4.punkta “</w:t>
            </w:r>
            <w:proofErr w:type="spellStart"/>
            <w:r w:rsidRPr="00884F51">
              <w:t>a”un</w:t>
            </w:r>
            <w:proofErr w:type="spellEnd"/>
            <w:r w:rsidRPr="00884F51">
              <w:t xml:space="preserve"> “c” apakšpunkts</w:t>
            </w:r>
          </w:p>
          <w:p w14:paraId="214060E3" w14:textId="77777777" w:rsidR="0053749E" w:rsidRPr="00884F51" w:rsidRDefault="0053749E" w:rsidP="0053749E">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DD1AE92" w14:textId="16F21F57" w:rsidR="0053749E" w:rsidRPr="00884F51" w:rsidRDefault="0053749E" w:rsidP="007E425C">
            <w:r w:rsidRPr="00884F51">
              <w:t>Noteikumu projekta 1.</w:t>
            </w:r>
            <w:r w:rsidR="007E425C" w:rsidRPr="00884F51">
              <w:t>5</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3022E32B" w14:textId="77777777" w:rsidR="0053749E" w:rsidRPr="00884F51" w:rsidRDefault="0053749E" w:rsidP="0053749E">
            <w:r w:rsidRPr="00884F51">
              <w:t>Komisijas regulas Nr.651/2014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4571B114" w14:textId="77777777" w:rsidR="0053749E" w:rsidRPr="00884F51" w:rsidRDefault="0053749E" w:rsidP="0053749E">
            <w:r w:rsidRPr="00884F51">
              <w:t>Noteikumu projekts neparedz stingrākas prasības kā šīs tabulas A ailē minētās ES tiesību akta vienības.</w:t>
            </w:r>
          </w:p>
        </w:tc>
      </w:tr>
      <w:tr w:rsidR="0053749E" w:rsidRPr="00884F51" w14:paraId="4212D4ED"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4CF162E3" w14:textId="44D6BF28" w:rsidR="0053749E" w:rsidRPr="00884F51" w:rsidRDefault="0053749E" w:rsidP="0053749E">
            <w:r w:rsidRPr="00884F51">
              <w:t>regulas Nr.651/2014 2.panta 18.punkts</w:t>
            </w:r>
          </w:p>
          <w:p w14:paraId="636B88DC" w14:textId="77777777" w:rsidR="0053749E" w:rsidRPr="00884F51" w:rsidRDefault="0053749E" w:rsidP="0053749E">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F6E5D6E" w14:textId="7590A869" w:rsidR="0053749E" w:rsidRPr="00884F51" w:rsidRDefault="0053749E" w:rsidP="007E425C">
            <w:r w:rsidRPr="00884F51">
              <w:t>Noteikumu projekta 1.</w:t>
            </w:r>
            <w:r w:rsidR="007E425C" w:rsidRPr="00884F51">
              <w:t>5</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380301F4" w14:textId="77777777" w:rsidR="0053749E" w:rsidRPr="00884F51" w:rsidRDefault="0053749E" w:rsidP="0053749E">
            <w:r w:rsidRPr="00884F51">
              <w:t>Komisijas regulas Nr.651/2014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666EC1EF" w14:textId="77777777" w:rsidR="0053749E" w:rsidRPr="00884F51" w:rsidRDefault="0053749E" w:rsidP="0053749E">
            <w:r w:rsidRPr="00884F51">
              <w:t>Noteikumu projekts neparedz stingrākas prasības kā šīs tabulas A ailē minētās ES tiesību akta vienības.</w:t>
            </w:r>
          </w:p>
        </w:tc>
      </w:tr>
      <w:tr w:rsidR="00200F64" w:rsidRPr="00884F51" w14:paraId="2E8D8343"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677F5F89" w14:textId="77777777" w:rsidR="00200F64" w:rsidRPr="00884F51" w:rsidRDefault="00200F64" w:rsidP="00200F64">
            <w:r w:rsidRPr="00884F51">
              <w:t>regulas Nr.651/2014 9.panta 1., 2. un 4.punkts</w:t>
            </w:r>
          </w:p>
          <w:p w14:paraId="1C810A00" w14:textId="77777777" w:rsidR="00200F64" w:rsidRPr="00884F51" w:rsidRDefault="00200F64" w:rsidP="00200F64"/>
        </w:tc>
        <w:tc>
          <w:tcPr>
            <w:tcW w:w="1230" w:type="pct"/>
            <w:tcBorders>
              <w:top w:val="single" w:sz="4" w:space="0" w:color="auto"/>
              <w:left w:val="single" w:sz="4" w:space="0" w:color="auto"/>
              <w:bottom w:val="single" w:sz="4" w:space="0" w:color="auto"/>
              <w:right w:val="single" w:sz="4" w:space="0" w:color="auto"/>
            </w:tcBorders>
            <w:shd w:val="clear" w:color="auto" w:fill="auto"/>
          </w:tcPr>
          <w:p w14:paraId="1D6965D0" w14:textId="77777777" w:rsidR="00200F64" w:rsidRPr="00884F51" w:rsidRDefault="00200F64" w:rsidP="00200F64">
            <w:r w:rsidRPr="00884F51">
              <w:t>Noteikumu projekta 1.5.apakšpunkts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6F739ECC" w14:textId="77777777" w:rsidR="00200F64" w:rsidRPr="00884F51" w:rsidRDefault="00200F64" w:rsidP="00200F64">
            <w:r w:rsidRPr="00884F51">
              <w:t>Komisijas regulas Nr.651/2014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419FE7D4" w14:textId="77777777" w:rsidR="00200F64" w:rsidRPr="00884F51" w:rsidRDefault="00200F64" w:rsidP="00200F64">
            <w:r w:rsidRPr="00884F51">
              <w:t>Noteikumu projekts neparedz stingrākas prasības kā šīs tabulas A ailē minētās ES tiesību akta vienības.</w:t>
            </w:r>
          </w:p>
        </w:tc>
      </w:tr>
      <w:tr w:rsidR="00200F64" w:rsidRPr="00884F51" w14:paraId="0B4C6132"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05F1739D" w14:textId="77777777" w:rsidR="00200F64" w:rsidRPr="00884F51" w:rsidRDefault="00200F64" w:rsidP="00200F64">
            <w:r w:rsidRPr="00884F51">
              <w:t>regulas Nr.651/2014 12.panta 2.punkts</w:t>
            </w:r>
          </w:p>
          <w:p w14:paraId="1AED1273" w14:textId="77777777" w:rsidR="00200F64" w:rsidRPr="00884F51" w:rsidRDefault="00200F64" w:rsidP="00200F64">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3E97309" w14:textId="021E274E" w:rsidR="00200F64" w:rsidRPr="00884F51" w:rsidRDefault="00200F64" w:rsidP="00200F64">
            <w:r w:rsidRPr="00884F51">
              <w:t>Noteikumu projekta 1.5.apakšpunkts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7DEEEF04" w14:textId="77777777" w:rsidR="00200F64" w:rsidRPr="00884F51" w:rsidRDefault="00200F64" w:rsidP="00200F64">
            <w:r w:rsidRPr="00884F51">
              <w:t>Komisijas regulas Nr.651/2014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525468FC" w14:textId="77777777" w:rsidR="00200F64" w:rsidRPr="00884F51" w:rsidRDefault="00200F64" w:rsidP="00200F64">
            <w:r w:rsidRPr="00884F51">
              <w:t>Noteikumu projekts neparedz stingrākas prasības kā šīs tabulas A ailē minētās ES tiesību akta vienības.</w:t>
            </w:r>
          </w:p>
        </w:tc>
      </w:tr>
      <w:tr w:rsidR="00200F64" w:rsidRPr="00884F51" w14:paraId="7C8E5643"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0C395FE2" w14:textId="77777777" w:rsidR="00200F64" w:rsidRPr="00884F51" w:rsidRDefault="00200F64" w:rsidP="00200F64">
            <w:r w:rsidRPr="00884F51">
              <w:t>regulas Nr.651/2014 59.pants</w:t>
            </w:r>
          </w:p>
          <w:p w14:paraId="102014BB" w14:textId="77777777" w:rsidR="00200F64" w:rsidRPr="00884F51" w:rsidRDefault="00200F64" w:rsidP="00200F64">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9C8032E" w14:textId="499F75C1" w:rsidR="00200F64" w:rsidRPr="00884F51" w:rsidRDefault="00200F64" w:rsidP="00200F64">
            <w:r w:rsidRPr="00884F51">
              <w:t>Noteikumu projekta 1.5.apakšpunkts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492ECCDC" w14:textId="77777777" w:rsidR="00200F64" w:rsidRPr="00884F51" w:rsidRDefault="00200F64" w:rsidP="00200F64">
            <w:r w:rsidRPr="00884F51">
              <w:t>Komisijas regulas Nr.651/2014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2375E2E6" w14:textId="77777777" w:rsidR="00200F64" w:rsidRPr="00884F51" w:rsidRDefault="00200F64" w:rsidP="00200F64">
            <w:r w:rsidRPr="00884F51">
              <w:t>Noteikumu projekts neparedz stingrākas prasības kā šīs tabulas A ailē minētās ES tiesību akta vienības.</w:t>
            </w:r>
          </w:p>
        </w:tc>
      </w:tr>
      <w:tr w:rsidR="00200F64" w:rsidRPr="00884F51" w14:paraId="270AE378" w14:textId="77777777" w:rsidTr="007B6927">
        <w:tc>
          <w:tcPr>
            <w:tcW w:w="1232" w:type="pct"/>
            <w:shd w:val="clear" w:color="auto" w:fill="auto"/>
            <w:hideMark/>
          </w:tcPr>
          <w:p w14:paraId="7B9037D4" w14:textId="77777777" w:rsidR="00200F64" w:rsidRPr="00884F51" w:rsidRDefault="00200F64" w:rsidP="00200F64">
            <w:r w:rsidRPr="00884F51">
              <w:t>Kā ir izmantota ES tiesību aktā paredzētā rīcības brīvība dalībvalstij pārņemt vai ieviest noteiktas ES tiesību akta normas? Kādēļ?</w:t>
            </w:r>
          </w:p>
        </w:tc>
        <w:tc>
          <w:tcPr>
            <w:tcW w:w="3768" w:type="pct"/>
            <w:gridSpan w:val="4"/>
            <w:shd w:val="clear" w:color="auto" w:fill="auto"/>
            <w:hideMark/>
          </w:tcPr>
          <w:p w14:paraId="66BACB01" w14:textId="77777777" w:rsidR="00200F64" w:rsidRPr="00884F51" w:rsidRDefault="00200F64" w:rsidP="00200F64">
            <w:r w:rsidRPr="00884F51">
              <w:t>Projekts šo jomu neskar.</w:t>
            </w:r>
          </w:p>
        </w:tc>
      </w:tr>
      <w:tr w:rsidR="00200F64" w:rsidRPr="00884F51" w14:paraId="42E739C1" w14:textId="77777777" w:rsidTr="007B6927">
        <w:tc>
          <w:tcPr>
            <w:tcW w:w="1232" w:type="pct"/>
            <w:shd w:val="clear" w:color="auto" w:fill="auto"/>
            <w:hideMark/>
          </w:tcPr>
          <w:p w14:paraId="67C540F7" w14:textId="77777777" w:rsidR="00200F64" w:rsidRPr="00884F51" w:rsidRDefault="00200F64" w:rsidP="00200F64">
            <w:r w:rsidRPr="00884F51">
              <w:t xml:space="preserve">Saistības sniegt paziņojumu ES institūcijām un ES dalībvalstīm atbilstoši normatīvajiem aktiem, kas regulē informācijas sniegšanu par </w:t>
            </w:r>
            <w:r w:rsidRPr="00884F51">
              <w:lastRenderedPageBreak/>
              <w:t>tehnisko noteikumu, valsts atbalsta piešķiršanas un finanšu noteikumu (attiecībā uz monetāro politiku) projektiem</w:t>
            </w:r>
          </w:p>
        </w:tc>
        <w:tc>
          <w:tcPr>
            <w:tcW w:w="3768" w:type="pct"/>
            <w:gridSpan w:val="4"/>
            <w:shd w:val="clear" w:color="auto" w:fill="auto"/>
            <w:hideMark/>
          </w:tcPr>
          <w:p w14:paraId="155A43C9" w14:textId="77777777" w:rsidR="00200F64" w:rsidRPr="00884F51" w:rsidRDefault="00200F64" w:rsidP="00200F64">
            <w:r w:rsidRPr="00884F51">
              <w:lastRenderedPageBreak/>
              <w:t>Projekts šo jomu neskar.</w:t>
            </w:r>
          </w:p>
        </w:tc>
      </w:tr>
      <w:tr w:rsidR="00200F64" w:rsidRPr="00884F51" w14:paraId="3675D788" w14:textId="77777777" w:rsidTr="007B6927">
        <w:tc>
          <w:tcPr>
            <w:tcW w:w="1232" w:type="pct"/>
            <w:shd w:val="clear" w:color="auto" w:fill="auto"/>
            <w:hideMark/>
          </w:tcPr>
          <w:p w14:paraId="3B9F82BF" w14:textId="77777777" w:rsidR="00200F64" w:rsidRPr="00884F51" w:rsidRDefault="00200F64" w:rsidP="00200F64">
            <w:r w:rsidRPr="00884F51">
              <w:t>Cita informācija</w:t>
            </w:r>
          </w:p>
        </w:tc>
        <w:tc>
          <w:tcPr>
            <w:tcW w:w="3768" w:type="pct"/>
            <w:gridSpan w:val="4"/>
            <w:shd w:val="clear" w:color="auto" w:fill="auto"/>
            <w:hideMark/>
          </w:tcPr>
          <w:p w14:paraId="7167A6DC" w14:textId="77777777" w:rsidR="00200F64" w:rsidRPr="00884F51" w:rsidRDefault="00200F64" w:rsidP="00200F64">
            <w:r w:rsidRPr="00884F51">
              <w:t>Nav.</w:t>
            </w:r>
          </w:p>
          <w:p w14:paraId="30793F15" w14:textId="77777777" w:rsidR="00200F64" w:rsidRPr="00884F51" w:rsidRDefault="00200F64" w:rsidP="00200F64"/>
        </w:tc>
      </w:tr>
      <w:tr w:rsidR="00200F64" w:rsidRPr="00884F51" w14:paraId="0BF5910F" w14:textId="77777777" w:rsidTr="007B6927">
        <w:tc>
          <w:tcPr>
            <w:tcW w:w="5000" w:type="pct"/>
            <w:gridSpan w:val="5"/>
            <w:shd w:val="clear" w:color="auto" w:fill="auto"/>
            <w:hideMark/>
          </w:tcPr>
          <w:p w14:paraId="61DA3A25" w14:textId="77777777" w:rsidR="00200F64" w:rsidRPr="00884F51" w:rsidRDefault="00200F64" w:rsidP="00200F64">
            <w:pPr>
              <w:jc w:val="center"/>
              <w:rPr>
                <w:b/>
                <w:bCs/>
              </w:rPr>
            </w:pPr>
            <w:r w:rsidRPr="00884F51">
              <w:rPr>
                <w:b/>
                <w:bCs/>
              </w:rPr>
              <w:t>2. tabula</w:t>
            </w:r>
            <w:r w:rsidRPr="00884F51">
              <w:rPr>
                <w:b/>
                <w:bCs/>
              </w:rPr>
              <w:br/>
              <w:t>Ar tiesību akta projektu izpildītās vai uzņemtās saistības, kas izriet no starptautiskajiem tiesību aktiem vai starptautiskas institūcijas vai organizācijas dokumentiem.</w:t>
            </w:r>
            <w:r w:rsidRPr="00884F51">
              <w:rPr>
                <w:b/>
                <w:bCs/>
              </w:rPr>
              <w:br/>
              <w:t>Pasākumi šo saistību izpildei</w:t>
            </w:r>
          </w:p>
        </w:tc>
      </w:tr>
      <w:tr w:rsidR="00200F64" w:rsidRPr="00884F51" w14:paraId="760C95C1" w14:textId="77777777" w:rsidTr="007B6927">
        <w:tc>
          <w:tcPr>
            <w:tcW w:w="1232" w:type="pct"/>
            <w:shd w:val="clear" w:color="auto" w:fill="auto"/>
            <w:hideMark/>
          </w:tcPr>
          <w:p w14:paraId="66CAAA57" w14:textId="77777777" w:rsidR="00200F64" w:rsidRPr="00884F51" w:rsidRDefault="00200F64" w:rsidP="00200F64">
            <w:r w:rsidRPr="00884F51">
              <w:t>Attiecīgā starptautiskā tiesību akta vai starptautiskas institūcijas vai organizācijas dokumenta (turpmāk – starptautiskais dokuments) datums, numurs un nosaukums</w:t>
            </w:r>
          </w:p>
        </w:tc>
        <w:tc>
          <w:tcPr>
            <w:tcW w:w="3768" w:type="pct"/>
            <w:gridSpan w:val="4"/>
            <w:shd w:val="clear" w:color="auto" w:fill="auto"/>
            <w:hideMark/>
          </w:tcPr>
          <w:p w14:paraId="07F5A6CC" w14:textId="77777777" w:rsidR="00200F64" w:rsidRPr="00884F51" w:rsidRDefault="00200F64" w:rsidP="00200F64">
            <w:r w:rsidRPr="00884F51">
              <w:t>Projekts šo jomu neskar.</w:t>
            </w:r>
          </w:p>
        </w:tc>
      </w:tr>
      <w:tr w:rsidR="00200F64" w:rsidRPr="00884F51" w14:paraId="0C38F5C1" w14:textId="77777777" w:rsidTr="0053749E">
        <w:tc>
          <w:tcPr>
            <w:tcW w:w="1232" w:type="pct"/>
            <w:shd w:val="clear" w:color="auto" w:fill="auto"/>
            <w:hideMark/>
          </w:tcPr>
          <w:p w14:paraId="5BDA0F6A" w14:textId="77777777" w:rsidR="00200F64" w:rsidRPr="00884F51" w:rsidRDefault="00200F64" w:rsidP="00200F64">
            <w:r w:rsidRPr="00884F51">
              <w:t>A</w:t>
            </w:r>
          </w:p>
        </w:tc>
        <w:tc>
          <w:tcPr>
            <w:tcW w:w="1771" w:type="pct"/>
            <w:gridSpan w:val="2"/>
            <w:shd w:val="clear" w:color="auto" w:fill="auto"/>
            <w:hideMark/>
          </w:tcPr>
          <w:p w14:paraId="578E2A8D" w14:textId="77777777" w:rsidR="00200F64" w:rsidRPr="00884F51" w:rsidRDefault="00200F64" w:rsidP="00200F64">
            <w:r w:rsidRPr="00884F51">
              <w:t>B</w:t>
            </w:r>
          </w:p>
        </w:tc>
        <w:tc>
          <w:tcPr>
            <w:tcW w:w="1997" w:type="pct"/>
            <w:gridSpan w:val="2"/>
            <w:shd w:val="clear" w:color="auto" w:fill="auto"/>
            <w:hideMark/>
          </w:tcPr>
          <w:p w14:paraId="04034349" w14:textId="77777777" w:rsidR="00200F64" w:rsidRPr="00884F51" w:rsidRDefault="00200F64" w:rsidP="00200F64">
            <w:r w:rsidRPr="00884F51">
              <w:t>C</w:t>
            </w:r>
          </w:p>
        </w:tc>
      </w:tr>
      <w:tr w:rsidR="00200F64" w:rsidRPr="00884F51" w14:paraId="7F3AFC6A" w14:textId="77777777" w:rsidTr="0053749E">
        <w:tc>
          <w:tcPr>
            <w:tcW w:w="1232" w:type="pct"/>
            <w:shd w:val="clear" w:color="auto" w:fill="auto"/>
            <w:hideMark/>
          </w:tcPr>
          <w:p w14:paraId="0038A35E" w14:textId="77777777" w:rsidR="00200F64" w:rsidRPr="00884F51" w:rsidRDefault="00200F64" w:rsidP="00200F64">
            <w:r w:rsidRPr="00884F51">
              <w:t>Projekts šo jomu neskar.</w:t>
            </w:r>
          </w:p>
        </w:tc>
        <w:tc>
          <w:tcPr>
            <w:tcW w:w="1771" w:type="pct"/>
            <w:gridSpan w:val="2"/>
            <w:shd w:val="clear" w:color="auto" w:fill="auto"/>
            <w:hideMark/>
          </w:tcPr>
          <w:p w14:paraId="17DFEDBF" w14:textId="77777777" w:rsidR="00200F64" w:rsidRPr="00884F51" w:rsidRDefault="00200F64" w:rsidP="00200F64">
            <w:r w:rsidRPr="00884F51">
              <w:t>Projekts šo jomu neskar.</w:t>
            </w:r>
          </w:p>
        </w:tc>
        <w:tc>
          <w:tcPr>
            <w:tcW w:w="1997" w:type="pct"/>
            <w:gridSpan w:val="2"/>
            <w:shd w:val="clear" w:color="auto" w:fill="auto"/>
            <w:hideMark/>
          </w:tcPr>
          <w:p w14:paraId="04B06C64" w14:textId="77777777" w:rsidR="00200F64" w:rsidRPr="00884F51" w:rsidRDefault="00200F64" w:rsidP="00200F64">
            <w:r w:rsidRPr="00884F51">
              <w:t>Projekts šo jomu neskar.</w:t>
            </w:r>
          </w:p>
        </w:tc>
      </w:tr>
      <w:tr w:rsidR="00200F64" w:rsidRPr="00884F51" w14:paraId="18B1F78F" w14:textId="77777777" w:rsidTr="007B6927">
        <w:tc>
          <w:tcPr>
            <w:tcW w:w="1232" w:type="pct"/>
            <w:shd w:val="clear" w:color="auto" w:fill="auto"/>
            <w:hideMark/>
          </w:tcPr>
          <w:p w14:paraId="14F27AD5" w14:textId="77777777" w:rsidR="00200F64" w:rsidRPr="00884F51" w:rsidRDefault="00200F64" w:rsidP="00200F64">
            <w:r w:rsidRPr="00884F51">
              <w:t>Vai starptautiskajā dokumentā paredzētās saistības nav pretrunā ar jau esošajām Latvijas Republikas starptautiskajām saistībām</w:t>
            </w:r>
          </w:p>
        </w:tc>
        <w:tc>
          <w:tcPr>
            <w:tcW w:w="3768" w:type="pct"/>
            <w:gridSpan w:val="4"/>
            <w:shd w:val="clear" w:color="auto" w:fill="auto"/>
            <w:hideMark/>
          </w:tcPr>
          <w:p w14:paraId="355F00E4" w14:textId="77777777" w:rsidR="00200F64" w:rsidRPr="00884F51" w:rsidRDefault="00200F64" w:rsidP="00200F64">
            <w:r w:rsidRPr="00884F51">
              <w:t>Projekts šo jomu neskar.</w:t>
            </w:r>
          </w:p>
        </w:tc>
      </w:tr>
      <w:tr w:rsidR="00200F64" w:rsidRPr="00884F51" w14:paraId="0113179C" w14:textId="77777777" w:rsidTr="007B6927">
        <w:tc>
          <w:tcPr>
            <w:tcW w:w="1232" w:type="pct"/>
            <w:shd w:val="clear" w:color="auto" w:fill="auto"/>
            <w:hideMark/>
          </w:tcPr>
          <w:p w14:paraId="7E72DC6C" w14:textId="77777777" w:rsidR="00200F64" w:rsidRPr="00884F51" w:rsidRDefault="00200F64" w:rsidP="00200F64">
            <w:r w:rsidRPr="00884F51">
              <w:t>Cita informācija</w:t>
            </w:r>
          </w:p>
        </w:tc>
        <w:tc>
          <w:tcPr>
            <w:tcW w:w="3768" w:type="pct"/>
            <w:gridSpan w:val="4"/>
            <w:shd w:val="clear" w:color="auto" w:fill="auto"/>
            <w:hideMark/>
          </w:tcPr>
          <w:p w14:paraId="177F1346" w14:textId="60212FFA" w:rsidR="00200F64" w:rsidRPr="00884F51" w:rsidRDefault="00856A47" w:rsidP="00856A47">
            <w:pPr>
              <w:ind w:right="113" w:firstLine="386"/>
              <w:jc w:val="both"/>
              <w:rPr>
                <w:rFonts w:eastAsiaTheme="minorHAnsi"/>
                <w:sz w:val="22"/>
              </w:rPr>
            </w:pPr>
            <w:r w:rsidRPr="00884F51">
              <w:rPr>
                <w:color w:val="000000"/>
              </w:rPr>
              <w:t>20 darba dienu laikā pēc Ministru kabineta noteikumu spēkā stāšanās Finanšu ministrija, izmantojot Komisijas elektroniskās paziņošanas sistēmu, sniegs kopsavilkuma informāciju Eiropas Komisijai saskaņā ar Komisijas regulas Nr.651/2014 11.pantu.</w:t>
            </w:r>
          </w:p>
        </w:tc>
      </w:tr>
    </w:tbl>
    <w:p w14:paraId="547D7178" w14:textId="77777777" w:rsidR="00441730" w:rsidRPr="00884F51" w:rsidRDefault="00441730" w:rsidP="00441730"/>
    <w:tbl>
      <w:tblPr>
        <w:tblW w:w="5067" w:type="pct"/>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61"/>
        <w:gridCol w:w="3371"/>
        <w:gridCol w:w="5344"/>
      </w:tblGrid>
      <w:tr w:rsidR="00032C63" w:rsidRPr="00884F51" w14:paraId="4D40BDC9" w14:textId="77777777" w:rsidTr="007B6927">
        <w:tc>
          <w:tcPr>
            <w:tcW w:w="5000" w:type="pct"/>
            <w:gridSpan w:val="3"/>
            <w:tcBorders>
              <w:top w:val="single" w:sz="6" w:space="0" w:color="auto"/>
              <w:left w:val="single" w:sz="6" w:space="0" w:color="auto"/>
              <w:bottom w:val="single" w:sz="6" w:space="0" w:color="auto"/>
              <w:right w:val="single" w:sz="6" w:space="0" w:color="auto"/>
            </w:tcBorders>
            <w:hideMark/>
          </w:tcPr>
          <w:p w14:paraId="6B76F277" w14:textId="77777777" w:rsidR="00032C63" w:rsidRPr="00884F51" w:rsidRDefault="00BB389E" w:rsidP="00913C1A">
            <w:pPr>
              <w:tabs>
                <w:tab w:val="center" w:pos="4648"/>
                <w:tab w:val="left" w:pos="8395"/>
              </w:tabs>
              <w:spacing w:before="100" w:beforeAutospacing="1" w:after="100" w:afterAutospacing="1"/>
              <w:rPr>
                <w:b/>
                <w:bCs/>
              </w:rPr>
            </w:pPr>
            <w:r w:rsidRPr="00884F51">
              <w:rPr>
                <w:b/>
                <w:bCs/>
              </w:rPr>
              <w:tab/>
            </w:r>
            <w:r w:rsidR="00032C63" w:rsidRPr="00884F51">
              <w:rPr>
                <w:b/>
                <w:bCs/>
              </w:rPr>
              <w:t>V</w:t>
            </w:r>
            <w:r w:rsidR="00EF06E7" w:rsidRPr="00884F51">
              <w:rPr>
                <w:b/>
                <w:bCs/>
              </w:rPr>
              <w:t>I</w:t>
            </w:r>
            <w:r w:rsidR="00032C63" w:rsidRPr="00884F51">
              <w:rPr>
                <w:b/>
                <w:bCs/>
              </w:rPr>
              <w:t xml:space="preserve">. </w:t>
            </w:r>
            <w:r w:rsidR="00EF06E7" w:rsidRPr="00884F51">
              <w:rPr>
                <w:b/>
                <w:bCs/>
              </w:rPr>
              <w:t>Sabiedrības līdzdalība un komunikācijas aktivitātes</w:t>
            </w:r>
            <w:r w:rsidRPr="00884F51">
              <w:rPr>
                <w:b/>
                <w:bCs/>
              </w:rPr>
              <w:tab/>
            </w:r>
          </w:p>
        </w:tc>
      </w:tr>
      <w:tr w:rsidR="008D06E4" w:rsidRPr="00884F51" w14:paraId="092BCA33" w14:textId="77777777" w:rsidTr="007B6927">
        <w:tc>
          <w:tcPr>
            <w:tcW w:w="251" w:type="pct"/>
            <w:tcBorders>
              <w:top w:val="single" w:sz="6" w:space="0" w:color="auto"/>
              <w:left w:val="single" w:sz="6" w:space="0" w:color="auto"/>
              <w:bottom w:val="single" w:sz="6" w:space="0" w:color="auto"/>
              <w:right w:val="single" w:sz="4" w:space="0" w:color="auto"/>
            </w:tcBorders>
          </w:tcPr>
          <w:p w14:paraId="47BD99EA" w14:textId="77777777" w:rsidR="008D06E4" w:rsidRPr="00884F51" w:rsidRDefault="008D06E4" w:rsidP="00032C63">
            <w:pPr>
              <w:spacing w:before="100" w:beforeAutospacing="1" w:after="100" w:afterAutospacing="1"/>
              <w:jc w:val="center"/>
              <w:rPr>
                <w:bCs/>
              </w:rPr>
            </w:pPr>
            <w:r w:rsidRPr="00884F51">
              <w:rPr>
                <w:bCs/>
              </w:rPr>
              <w:t>1.</w:t>
            </w:r>
          </w:p>
        </w:tc>
        <w:tc>
          <w:tcPr>
            <w:tcW w:w="1837" w:type="pct"/>
            <w:tcBorders>
              <w:top w:val="single" w:sz="6" w:space="0" w:color="auto"/>
              <w:left w:val="single" w:sz="4" w:space="0" w:color="auto"/>
              <w:bottom w:val="single" w:sz="6" w:space="0" w:color="auto"/>
              <w:right w:val="single" w:sz="4" w:space="0" w:color="auto"/>
            </w:tcBorders>
          </w:tcPr>
          <w:p w14:paraId="4FC6944D" w14:textId="77777777" w:rsidR="008D06E4" w:rsidRPr="00884F51" w:rsidRDefault="00EF06E7" w:rsidP="00A274A7">
            <w:pPr>
              <w:spacing w:before="100" w:beforeAutospacing="1" w:after="100" w:afterAutospacing="1"/>
              <w:ind w:right="-31"/>
              <w:rPr>
                <w:bCs/>
              </w:rPr>
            </w:pPr>
            <w:r w:rsidRPr="00884F51">
              <w:rPr>
                <w:bCs/>
              </w:rPr>
              <w:t>Plānotās sabiedrības līdzdalības un komunikācijas aktivitātes saistībā ar projektu</w:t>
            </w:r>
          </w:p>
        </w:tc>
        <w:tc>
          <w:tcPr>
            <w:tcW w:w="2911" w:type="pct"/>
            <w:tcBorders>
              <w:top w:val="single" w:sz="6" w:space="0" w:color="auto"/>
              <w:left w:val="single" w:sz="4" w:space="0" w:color="auto"/>
              <w:bottom w:val="single" w:sz="6" w:space="0" w:color="auto"/>
              <w:right w:val="single" w:sz="6" w:space="0" w:color="auto"/>
            </w:tcBorders>
          </w:tcPr>
          <w:p w14:paraId="10343633" w14:textId="091A9E6E" w:rsidR="002716A4" w:rsidRPr="005C7897" w:rsidRDefault="00C0264C" w:rsidP="00593DD2">
            <w:pPr>
              <w:pStyle w:val="NormalWeb"/>
              <w:spacing w:before="0" w:beforeAutospacing="0" w:after="0" w:afterAutospacing="0"/>
              <w:jc w:val="both"/>
            </w:pPr>
            <w:r w:rsidRPr="005C7897">
              <w:t>Sabiedrības līdzdalība nav nepieciešama, jo noteikumu projekts ir tehniska rakstura, kas izriet no likum</w:t>
            </w:r>
            <w:r w:rsidR="009B3F10" w:rsidRPr="005C7897">
              <w:t>a</w:t>
            </w:r>
            <w:r w:rsidRPr="005C7897">
              <w:t xml:space="preserve"> "Par akcīzes nodokli</w:t>
            </w:r>
            <w:r w:rsidR="00593DD2" w:rsidRPr="005C7897">
              <w:t>”</w:t>
            </w:r>
            <w:r w:rsidR="00562169" w:rsidRPr="005C7897">
              <w:t xml:space="preserve"> (</w:t>
            </w:r>
            <w:r w:rsidR="009B3F10" w:rsidRPr="005C7897">
              <w:t xml:space="preserve">Saeimā </w:t>
            </w:r>
            <w:proofErr w:type="spellStart"/>
            <w:r w:rsidR="009B3F10" w:rsidRPr="005C7897">
              <w:t>reģ</w:t>
            </w:r>
            <w:proofErr w:type="spellEnd"/>
            <w:r w:rsidR="009B3F10" w:rsidRPr="005C7897">
              <w:t xml:space="preserve">. </w:t>
            </w:r>
            <w:r w:rsidR="00562169" w:rsidRPr="005C7897">
              <w:t>Nr.266/Lp13)</w:t>
            </w:r>
            <w:r w:rsidRPr="005C7897">
              <w:t>, pa</w:t>
            </w:r>
            <w:r w:rsidR="00593DD2" w:rsidRPr="005C7897">
              <w:t>r</w:t>
            </w:r>
            <w:r w:rsidRPr="005C7897">
              <w:t xml:space="preserve"> kuru bija izsludināta sabiedriskā apspriešana</w:t>
            </w:r>
            <w:r w:rsidR="00562169" w:rsidRPr="005C7897">
              <w:t xml:space="preserve"> un komentāri netika saņemti</w:t>
            </w:r>
            <w:r w:rsidRPr="005C7897">
              <w:t xml:space="preserve">. </w:t>
            </w:r>
          </w:p>
          <w:p w14:paraId="3E100F67" w14:textId="77777777" w:rsidR="005F54C7" w:rsidRPr="005C7897" w:rsidRDefault="005F54C7" w:rsidP="00593DD2">
            <w:pPr>
              <w:pStyle w:val="NormalWeb"/>
              <w:spacing w:before="0" w:beforeAutospacing="0" w:after="0" w:afterAutospacing="0"/>
              <w:jc w:val="both"/>
            </w:pPr>
            <w:r w:rsidRPr="005C7897">
              <w:t xml:space="preserve">Sabiedrības pārstāvji varēs sniegt viedokļus par projektu pēc tā </w:t>
            </w:r>
            <w:proofErr w:type="spellStart"/>
            <w:r w:rsidRPr="005C7897">
              <w:t>izsludināšnas</w:t>
            </w:r>
            <w:proofErr w:type="spellEnd"/>
            <w:r w:rsidRPr="005C7897">
              <w:t xml:space="preserve"> Valsts sekretāru sanāksmē.</w:t>
            </w:r>
          </w:p>
        </w:tc>
      </w:tr>
      <w:tr w:rsidR="008D06E4" w:rsidRPr="00884F51" w14:paraId="3888BC98" w14:textId="77777777" w:rsidTr="007B6927">
        <w:tc>
          <w:tcPr>
            <w:tcW w:w="251" w:type="pct"/>
            <w:tcBorders>
              <w:top w:val="single" w:sz="6" w:space="0" w:color="auto"/>
              <w:left w:val="single" w:sz="6" w:space="0" w:color="auto"/>
              <w:bottom w:val="single" w:sz="6" w:space="0" w:color="auto"/>
              <w:right w:val="single" w:sz="4" w:space="0" w:color="auto"/>
            </w:tcBorders>
          </w:tcPr>
          <w:p w14:paraId="6FF8A997" w14:textId="77777777" w:rsidR="008D06E4" w:rsidRPr="00884F51" w:rsidRDefault="0085794A" w:rsidP="00AA1306">
            <w:pPr>
              <w:spacing w:before="100" w:beforeAutospacing="1" w:after="100" w:afterAutospacing="1"/>
              <w:jc w:val="center"/>
              <w:rPr>
                <w:bCs/>
                <w:color w:val="000000"/>
              </w:rPr>
            </w:pPr>
            <w:r w:rsidRPr="00884F51">
              <w:rPr>
                <w:bCs/>
                <w:color w:val="000000"/>
              </w:rPr>
              <w:lastRenderedPageBreak/>
              <w:t>2.</w:t>
            </w:r>
          </w:p>
        </w:tc>
        <w:tc>
          <w:tcPr>
            <w:tcW w:w="1837" w:type="pct"/>
            <w:tcBorders>
              <w:top w:val="single" w:sz="6" w:space="0" w:color="auto"/>
              <w:left w:val="single" w:sz="4" w:space="0" w:color="auto"/>
              <w:bottom w:val="single" w:sz="6" w:space="0" w:color="auto"/>
              <w:right w:val="single" w:sz="4" w:space="0" w:color="auto"/>
            </w:tcBorders>
          </w:tcPr>
          <w:p w14:paraId="318F065C" w14:textId="77777777" w:rsidR="008D06E4" w:rsidRPr="00884F51" w:rsidRDefault="00EF06E7" w:rsidP="00A274A7">
            <w:pPr>
              <w:spacing w:before="100" w:beforeAutospacing="1" w:after="100" w:afterAutospacing="1"/>
              <w:ind w:right="-31"/>
              <w:rPr>
                <w:bCs/>
                <w:color w:val="000000"/>
              </w:rPr>
            </w:pPr>
            <w:r w:rsidRPr="00884F51">
              <w:rPr>
                <w:bCs/>
                <w:color w:val="000000"/>
              </w:rPr>
              <w:t>Sabiedrības līdzdalība projekta izstrādē</w:t>
            </w:r>
          </w:p>
        </w:tc>
        <w:tc>
          <w:tcPr>
            <w:tcW w:w="2911" w:type="pct"/>
            <w:tcBorders>
              <w:top w:val="single" w:sz="6" w:space="0" w:color="auto"/>
              <w:left w:val="single" w:sz="4" w:space="0" w:color="auto"/>
              <w:bottom w:val="single" w:sz="6" w:space="0" w:color="auto"/>
              <w:right w:val="single" w:sz="6" w:space="0" w:color="auto"/>
            </w:tcBorders>
          </w:tcPr>
          <w:p w14:paraId="5FE6E915" w14:textId="2973DA0C" w:rsidR="00593DD2" w:rsidRPr="005C7897" w:rsidRDefault="00562169">
            <w:pPr>
              <w:spacing w:before="100" w:beforeAutospacing="1" w:after="100" w:afterAutospacing="1"/>
              <w:ind w:right="113"/>
              <w:jc w:val="both"/>
            </w:pPr>
            <w:r w:rsidRPr="005C7897">
              <w:t>Sabiedrības līdzdalība tika nodrošināta, apspriežot groz</w:t>
            </w:r>
            <w:r w:rsidR="00593DD2" w:rsidRPr="005C7897">
              <w:t>īj</w:t>
            </w:r>
            <w:r w:rsidRPr="005C7897">
              <w:t>umus likumā “Par akcīzes nodokli”</w:t>
            </w:r>
            <w:r w:rsidR="009B3F10" w:rsidRPr="005C7897">
              <w:t xml:space="preserve"> (Saeimā </w:t>
            </w:r>
            <w:proofErr w:type="spellStart"/>
            <w:r w:rsidR="009B3F10" w:rsidRPr="005C7897">
              <w:t>reģ</w:t>
            </w:r>
            <w:proofErr w:type="spellEnd"/>
            <w:r w:rsidR="009B3F10" w:rsidRPr="005C7897">
              <w:t>. Nr.266/Lp13), par ko u</w:t>
            </w:r>
            <w:r w:rsidRPr="005C7897">
              <w:t xml:space="preserve">zziņa bija publicēta </w:t>
            </w:r>
            <w:proofErr w:type="spellStart"/>
            <w:r w:rsidR="009B3F10" w:rsidRPr="005C7897">
              <w:t>Finašu</w:t>
            </w:r>
            <w:proofErr w:type="spellEnd"/>
            <w:r w:rsidR="009B3F10" w:rsidRPr="005C7897">
              <w:t xml:space="preserve"> ministrijas mājaslapā </w:t>
            </w:r>
            <w:r w:rsidRPr="005C7897">
              <w:t>2018.gada 30.novembrī.</w:t>
            </w:r>
          </w:p>
        </w:tc>
      </w:tr>
      <w:tr w:rsidR="00EF06E7" w:rsidRPr="00884F51" w14:paraId="2360A15B" w14:textId="77777777" w:rsidTr="007B6927">
        <w:tc>
          <w:tcPr>
            <w:tcW w:w="251" w:type="pct"/>
            <w:tcBorders>
              <w:top w:val="single" w:sz="6" w:space="0" w:color="auto"/>
              <w:left w:val="single" w:sz="6" w:space="0" w:color="auto"/>
              <w:bottom w:val="outset" w:sz="6" w:space="0" w:color="000000"/>
              <w:right w:val="single" w:sz="4" w:space="0" w:color="auto"/>
            </w:tcBorders>
          </w:tcPr>
          <w:p w14:paraId="70B7F79F" w14:textId="77777777" w:rsidR="00EF06E7" w:rsidRPr="00884F51" w:rsidRDefault="00EF06E7" w:rsidP="00AA1306">
            <w:pPr>
              <w:spacing w:before="100" w:beforeAutospacing="1" w:after="100" w:afterAutospacing="1"/>
              <w:jc w:val="center"/>
              <w:rPr>
                <w:bCs/>
                <w:color w:val="000000"/>
              </w:rPr>
            </w:pPr>
            <w:r w:rsidRPr="00884F51">
              <w:rPr>
                <w:bCs/>
                <w:color w:val="000000"/>
              </w:rPr>
              <w:t>3.</w:t>
            </w:r>
          </w:p>
        </w:tc>
        <w:tc>
          <w:tcPr>
            <w:tcW w:w="1837" w:type="pct"/>
            <w:tcBorders>
              <w:top w:val="single" w:sz="6" w:space="0" w:color="auto"/>
              <w:left w:val="single" w:sz="4" w:space="0" w:color="auto"/>
              <w:bottom w:val="outset" w:sz="6" w:space="0" w:color="000000"/>
              <w:right w:val="single" w:sz="4" w:space="0" w:color="auto"/>
            </w:tcBorders>
          </w:tcPr>
          <w:p w14:paraId="5CA377E2" w14:textId="77777777" w:rsidR="00EF06E7" w:rsidRPr="00884F51" w:rsidRDefault="00EF06E7" w:rsidP="00A274A7">
            <w:pPr>
              <w:spacing w:before="100" w:beforeAutospacing="1" w:after="100" w:afterAutospacing="1"/>
              <w:ind w:right="-31"/>
              <w:rPr>
                <w:bCs/>
                <w:color w:val="000000"/>
              </w:rPr>
            </w:pPr>
            <w:r w:rsidRPr="00884F51">
              <w:rPr>
                <w:bCs/>
                <w:color w:val="000000"/>
              </w:rPr>
              <w:t>Sabiedrības līdzdalības rezultāti</w:t>
            </w:r>
          </w:p>
        </w:tc>
        <w:tc>
          <w:tcPr>
            <w:tcW w:w="2911" w:type="pct"/>
            <w:tcBorders>
              <w:top w:val="single" w:sz="6" w:space="0" w:color="auto"/>
              <w:left w:val="single" w:sz="4" w:space="0" w:color="auto"/>
              <w:bottom w:val="outset" w:sz="6" w:space="0" w:color="000000"/>
              <w:right w:val="single" w:sz="6" w:space="0" w:color="auto"/>
            </w:tcBorders>
          </w:tcPr>
          <w:p w14:paraId="063B1350" w14:textId="01B25896" w:rsidR="004F0874" w:rsidRPr="005C7897" w:rsidRDefault="009B3F10" w:rsidP="00593DD2">
            <w:pPr>
              <w:spacing w:before="100" w:beforeAutospacing="1" w:after="100" w:afterAutospacing="1"/>
              <w:ind w:right="113"/>
              <w:jc w:val="both"/>
            </w:pPr>
            <w:r w:rsidRPr="005C7897">
              <w:t xml:space="preserve">Par grozījumiem likumā “Par akcīzes nodokli” (Saeimā </w:t>
            </w:r>
            <w:proofErr w:type="spellStart"/>
            <w:r w:rsidRPr="005C7897">
              <w:t>reģ</w:t>
            </w:r>
            <w:proofErr w:type="spellEnd"/>
            <w:r w:rsidRPr="005C7897">
              <w:t>. Nr.266/Lp13) iebildumi un priekšlikumi netika saņemti.</w:t>
            </w:r>
          </w:p>
        </w:tc>
      </w:tr>
      <w:tr w:rsidR="00BC24BC" w:rsidRPr="00884F51" w14:paraId="69B6C1B3" w14:textId="77777777" w:rsidTr="007B6927">
        <w:tc>
          <w:tcPr>
            <w:tcW w:w="251" w:type="pct"/>
            <w:tcBorders>
              <w:top w:val="single" w:sz="6" w:space="0" w:color="auto"/>
              <w:left w:val="single" w:sz="6" w:space="0" w:color="auto"/>
              <w:bottom w:val="outset" w:sz="6" w:space="0" w:color="000000"/>
              <w:right w:val="single" w:sz="4" w:space="0" w:color="auto"/>
            </w:tcBorders>
          </w:tcPr>
          <w:p w14:paraId="4D1AE9DD" w14:textId="77777777" w:rsidR="00BC24BC" w:rsidRPr="00884F51" w:rsidRDefault="00EF06E7" w:rsidP="00AA1306">
            <w:pPr>
              <w:spacing w:before="100" w:beforeAutospacing="1" w:after="100" w:afterAutospacing="1"/>
              <w:jc w:val="center"/>
              <w:rPr>
                <w:bCs/>
                <w:color w:val="000000"/>
              </w:rPr>
            </w:pPr>
            <w:r w:rsidRPr="00884F51">
              <w:rPr>
                <w:bCs/>
                <w:color w:val="000000"/>
              </w:rPr>
              <w:t>4</w:t>
            </w:r>
            <w:r w:rsidR="00BC24BC" w:rsidRPr="00884F51">
              <w:rPr>
                <w:bCs/>
                <w:color w:val="000000"/>
              </w:rPr>
              <w:t>.</w:t>
            </w:r>
          </w:p>
        </w:tc>
        <w:tc>
          <w:tcPr>
            <w:tcW w:w="1837" w:type="pct"/>
            <w:tcBorders>
              <w:top w:val="single" w:sz="6" w:space="0" w:color="auto"/>
              <w:left w:val="single" w:sz="4" w:space="0" w:color="auto"/>
              <w:bottom w:val="outset" w:sz="6" w:space="0" w:color="000000"/>
              <w:right w:val="single" w:sz="4" w:space="0" w:color="auto"/>
            </w:tcBorders>
          </w:tcPr>
          <w:p w14:paraId="1C8A99E8" w14:textId="77777777" w:rsidR="00BC24BC" w:rsidRPr="00884F51" w:rsidRDefault="00BC24BC" w:rsidP="00EF06E7">
            <w:pPr>
              <w:spacing w:before="100" w:beforeAutospacing="1" w:after="100" w:afterAutospacing="1"/>
              <w:rPr>
                <w:bCs/>
                <w:color w:val="000000"/>
              </w:rPr>
            </w:pPr>
            <w:r w:rsidRPr="00884F51">
              <w:rPr>
                <w:bCs/>
                <w:color w:val="000000"/>
              </w:rPr>
              <w:t>Cita informācija</w:t>
            </w:r>
          </w:p>
        </w:tc>
        <w:tc>
          <w:tcPr>
            <w:tcW w:w="2911" w:type="pct"/>
            <w:tcBorders>
              <w:top w:val="single" w:sz="6" w:space="0" w:color="auto"/>
              <w:left w:val="single" w:sz="4" w:space="0" w:color="auto"/>
              <w:bottom w:val="outset" w:sz="6" w:space="0" w:color="000000"/>
              <w:right w:val="single" w:sz="6" w:space="0" w:color="auto"/>
            </w:tcBorders>
          </w:tcPr>
          <w:p w14:paraId="0C3F0BDD" w14:textId="77777777" w:rsidR="00BC24BC" w:rsidRPr="00884F51" w:rsidRDefault="00BC24BC" w:rsidP="00EF06E7">
            <w:pPr>
              <w:spacing w:before="100" w:beforeAutospacing="1" w:after="100" w:afterAutospacing="1"/>
            </w:pPr>
            <w:r w:rsidRPr="00884F51">
              <w:t>Nav</w:t>
            </w:r>
            <w:r w:rsidR="00E15B52" w:rsidRPr="00884F51">
              <w:t>.</w:t>
            </w:r>
          </w:p>
        </w:tc>
      </w:tr>
    </w:tbl>
    <w:p w14:paraId="2331D482" w14:textId="77777777" w:rsidR="00032C63" w:rsidRPr="00884F51" w:rsidRDefault="00032C63" w:rsidP="00032C63">
      <w:r w:rsidRPr="00884F51">
        <w:t> </w:t>
      </w:r>
    </w:p>
    <w:tbl>
      <w:tblPr>
        <w:tblW w:w="5140"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89"/>
        <w:gridCol w:w="3344"/>
        <w:gridCol w:w="5476"/>
      </w:tblGrid>
      <w:tr w:rsidR="00032C63" w:rsidRPr="00884F51" w14:paraId="57A5AEA7" w14:textId="77777777" w:rsidTr="007B6927">
        <w:trPr>
          <w:trHeight w:val="288"/>
        </w:trPr>
        <w:tc>
          <w:tcPr>
            <w:tcW w:w="5000" w:type="pct"/>
            <w:gridSpan w:val="3"/>
            <w:tcBorders>
              <w:top w:val="outset" w:sz="6" w:space="0" w:color="000000"/>
              <w:left w:val="outset" w:sz="6" w:space="0" w:color="000000"/>
              <w:bottom w:val="outset" w:sz="6" w:space="0" w:color="000000"/>
              <w:right w:val="outset" w:sz="6" w:space="0" w:color="000000"/>
            </w:tcBorders>
            <w:hideMark/>
          </w:tcPr>
          <w:p w14:paraId="49B248F5" w14:textId="77777777" w:rsidR="00032C63" w:rsidRPr="00884F51" w:rsidRDefault="00032C63" w:rsidP="00032C63">
            <w:pPr>
              <w:spacing w:before="100" w:beforeAutospacing="1" w:after="100" w:afterAutospacing="1"/>
              <w:jc w:val="center"/>
              <w:rPr>
                <w:b/>
                <w:bCs/>
              </w:rPr>
            </w:pPr>
            <w:r w:rsidRPr="00884F51">
              <w:rPr>
                <w:b/>
                <w:bCs/>
              </w:rPr>
              <w:t>VII. Tiesību akta projekta izpildes nodrošināšana un tās ietekme uz institūcijām</w:t>
            </w:r>
          </w:p>
        </w:tc>
      </w:tr>
      <w:tr w:rsidR="00032C63" w:rsidRPr="00884F51" w14:paraId="1D8CB4DC" w14:textId="77777777" w:rsidTr="007B6927">
        <w:trPr>
          <w:trHeight w:val="577"/>
        </w:trPr>
        <w:tc>
          <w:tcPr>
            <w:tcW w:w="263" w:type="pct"/>
            <w:tcBorders>
              <w:top w:val="outset" w:sz="6" w:space="0" w:color="000000"/>
              <w:left w:val="outset" w:sz="6" w:space="0" w:color="000000"/>
              <w:bottom w:val="outset" w:sz="6" w:space="0" w:color="000000"/>
              <w:right w:val="single" w:sz="4" w:space="0" w:color="auto"/>
            </w:tcBorders>
          </w:tcPr>
          <w:p w14:paraId="0A2A19BC" w14:textId="77777777" w:rsidR="00032C63" w:rsidRPr="00884F51" w:rsidRDefault="00032C63" w:rsidP="00032C63">
            <w:pPr>
              <w:spacing w:before="100" w:beforeAutospacing="1" w:after="100" w:afterAutospacing="1"/>
              <w:jc w:val="center"/>
            </w:pPr>
            <w:r w:rsidRPr="00884F51">
              <w:t>1.</w:t>
            </w:r>
          </w:p>
        </w:tc>
        <w:tc>
          <w:tcPr>
            <w:tcW w:w="1796" w:type="pct"/>
            <w:tcBorders>
              <w:top w:val="outset" w:sz="6" w:space="0" w:color="000000"/>
              <w:left w:val="single" w:sz="4" w:space="0" w:color="auto"/>
              <w:bottom w:val="outset" w:sz="6" w:space="0" w:color="000000"/>
              <w:right w:val="single" w:sz="4" w:space="0" w:color="auto"/>
            </w:tcBorders>
          </w:tcPr>
          <w:p w14:paraId="0C29E557" w14:textId="77777777" w:rsidR="00032C63" w:rsidRPr="00884F51" w:rsidRDefault="00032C63" w:rsidP="00032C63">
            <w:pPr>
              <w:spacing w:before="100" w:beforeAutospacing="1" w:after="100" w:afterAutospacing="1"/>
            </w:pPr>
            <w:r w:rsidRPr="00884F51">
              <w:t>Projekta izpildē iesaistītās institūcijas</w:t>
            </w:r>
          </w:p>
        </w:tc>
        <w:tc>
          <w:tcPr>
            <w:tcW w:w="2942" w:type="pct"/>
            <w:tcBorders>
              <w:top w:val="outset" w:sz="6" w:space="0" w:color="000000"/>
              <w:left w:val="single" w:sz="4" w:space="0" w:color="auto"/>
              <w:bottom w:val="outset" w:sz="6" w:space="0" w:color="000000"/>
              <w:right w:val="outset" w:sz="6" w:space="0" w:color="000000"/>
            </w:tcBorders>
          </w:tcPr>
          <w:p w14:paraId="3E4FFC3E" w14:textId="59B4751A" w:rsidR="00032C63" w:rsidRPr="00884F51" w:rsidRDefault="00FA5F01">
            <w:pPr>
              <w:spacing w:before="100" w:beforeAutospacing="1" w:after="100" w:afterAutospacing="1"/>
              <w:ind w:right="138"/>
              <w:jc w:val="both"/>
            </w:pPr>
            <w:r w:rsidRPr="00884F51">
              <w:t xml:space="preserve">Zemkopības ministrija, Ekonomikas ministrija </w:t>
            </w:r>
            <w:r w:rsidR="00E3002F" w:rsidRPr="00884F51">
              <w:t xml:space="preserve">un </w:t>
            </w:r>
            <w:r w:rsidR="009B3F10">
              <w:t>VID</w:t>
            </w:r>
            <w:r w:rsidR="007D62E2" w:rsidRPr="00884F51">
              <w:t>.</w:t>
            </w:r>
          </w:p>
        </w:tc>
      </w:tr>
      <w:tr w:rsidR="00032C63" w:rsidRPr="00884F51" w14:paraId="7309DA98" w14:textId="77777777" w:rsidTr="007B6927">
        <w:trPr>
          <w:trHeight w:val="2050"/>
        </w:trPr>
        <w:tc>
          <w:tcPr>
            <w:tcW w:w="263" w:type="pct"/>
            <w:tcBorders>
              <w:top w:val="outset" w:sz="6" w:space="0" w:color="000000"/>
              <w:left w:val="outset" w:sz="6" w:space="0" w:color="000000"/>
              <w:bottom w:val="outset" w:sz="6" w:space="0" w:color="000000"/>
              <w:right w:val="single" w:sz="4" w:space="0" w:color="auto"/>
            </w:tcBorders>
          </w:tcPr>
          <w:p w14:paraId="3A0329B3" w14:textId="77777777" w:rsidR="00032C63" w:rsidRPr="00884F51" w:rsidRDefault="00032C63" w:rsidP="00032C63">
            <w:pPr>
              <w:spacing w:before="100" w:beforeAutospacing="1" w:after="100" w:afterAutospacing="1"/>
              <w:jc w:val="center"/>
            </w:pPr>
            <w:r w:rsidRPr="00884F51">
              <w:t>2.</w:t>
            </w:r>
          </w:p>
        </w:tc>
        <w:tc>
          <w:tcPr>
            <w:tcW w:w="1796" w:type="pct"/>
            <w:tcBorders>
              <w:top w:val="outset" w:sz="6" w:space="0" w:color="000000"/>
              <w:left w:val="single" w:sz="4" w:space="0" w:color="auto"/>
              <w:bottom w:val="outset" w:sz="6" w:space="0" w:color="000000"/>
              <w:right w:val="single" w:sz="4" w:space="0" w:color="auto"/>
            </w:tcBorders>
          </w:tcPr>
          <w:p w14:paraId="26638056" w14:textId="77777777" w:rsidR="00032C63" w:rsidRPr="00884F51" w:rsidRDefault="00FF735C" w:rsidP="005425C7">
            <w:pPr>
              <w:ind w:right="109"/>
              <w:jc w:val="both"/>
            </w:pPr>
            <w:r w:rsidRPr="00884F51">
              <w:t>Projekta izpildes ietekme uz pārvaldes funkcijām un institucionālo struktūru.</w:t>
            </w:r>
            <w:r w:rsidR="000C52A7" w:rsidRPr="00884F51">
              <w:t xml:space="preserve"> </w:t>
            </w:r>
            <w:r w:rsidRPr="00884F51">
              <w:t>Jaunu institūciju izveide, esošo institūciju likvidācija vai reorganizācija, to ietekme uz institūcijas cilvēkresursiem</w:t>
            </w:r>
          </w:p>
        </w:tc>
        <w:tc>
          <w:tcPr>
            <w:tcW w:w="2942" w:type="pct"/>
            <w:tcBorders>
              <w:top w:val="outset" w:sz="6" w:space="0" w:color="000000"/>
              <w:left w:val="single" w:sz="4" w:space="0" w:color="auto"/>
              <w:bottom w:val="outset" w:sz="6" w:space="0" w:color="000000"/>
              <w:right w:val="outset" w:sz="6" w:space="0" w:color="000000"/>
            </w:tcBorders>
          </w:tcPr>
          <w:p w14:paraId="523F2195" w14:textId="77777777" w:rsidR="0001200D" w:rsidRPr="00884F51" w:rsidRDefault="0001200D" w:rsidP="0001200D">
            <w:pPr>
              <w:jc w:val="both"/>
            </w:pPr>
            <w:r w:rsidRPr="00884F51">
              <w:t>Projekta izpilde neietekmēs pārvaldes funkcijas.</w:t>
            </w:r>
          </w:p>
          <w:p w14:paraId="5AF82FC3" w14:textId="77777777" w:rsidR="0001200D" w:rsidRPr="00884F51" w:rsidRDefault="0001200D" w:rsidP="0001200D">
            <w:pPr>
              <w:jc w:val="both"/>
            </w:pPr>
            <w:r w:rsidRPr="00884F51">
              <w:t>Projekta izpildei nav nepieciešama jaunu institūciju izveide, esošo institūciju likvidācija vai reorganizācija.</w:t>
            </w:r>
          </w:p>
          <w:p w14:paraId="7E4D357C" w14:textId="77777777" w:rsidR="00032C63" w:rsidRPr="00884F51" w:rsidRDefault="0001200D" w:rsidP="0001200D">
            <w:pPr>
              <w:jc w:val="both"/>
            </w:pPr>
            <w:r w:rsidRPr="00884F51">
              <w:t>Projekta izpilde tiks nodrošināta esošo cilvēkresursu un finanšu līdzekļu ietvaros.</w:t>
            </w:r>
          </w:p>
        </w:tc>
      </w:tr>
      <w:tr w:rsidR="00032C63" w:rsidRPr="00884F51" w14:paraId="5A937E71" w14:textId="77777777" w:rsidTr="007B6927">
        <w:trPr>
          <w:trHeight w:val="288"/>
        </w:trPr>
        <w:tc>
          <w:tcPr>
            <w:tcW w:w="263" w:type="pct"/>
            <w:tcBorders>
              <w:top w:val="outset" w:sz="6" w:space="0" w:color="000000"/>
              <w:left w:val="outset" w:sz="6" w:space="0" w:color="000000"/>
              <w:bottom w:val="single" w:sz="4" w:space="0" w:color="auto"/>
              <w:right w:val="single" w:sz="4" w:space="0" w:color="auto"/>
            </w:tcBorders>
          </w:tcPr>
          <w:p w14:paraId="5C13DF7F" w14:textId="77777777" w:rsidR="00032C63" w:rsidRPr="00884F51" w:rsidRDefault="00032C63" w:rsidP="00032C63">
            <w:pPr>
              <w:spacing w:before="100" w:beforeAutospacing="1" w:after="100" w:afterAutospacing="1"/>
              <w:jc w:val="center"/>
            </w:pPr>
            <w:r w:rsidRPr="00884F51">
              <w:t>3.</w:t>
            </w:r>
          </w:p>
        </w:tc>
        <w:tc>
          <w:tcPr>
            <w:tcW w:w="1796" w:type="pct"/>
            <w:tcBorders>
              <w:top w:val="outset" w:sz="6" w:space="0" w:color="000000"/>
              <w:left w:val="single" w:sz="4" w:space="0" w:color="auto"/>
              <w:bottom w:val="single" w:sz="4" w:space="0" w:color="auto"/>
              <w:right w:val="single" w:sz="4" w:space="0" w:color="auto"/>
            </w:tcBorders>
          </w:tcPr>
          <w:p w14:paraId="0171E2BB" w14:textId="77777777" w:rsidR="00032C63" w:rsidRPr="00884F51" w:rsidRDefault="00FF735C" w:rsidP="00FF735C">
            <w:pPr>
              <w:jc w:val="both"/>
            </w:pPr>
            <w:r w:rsidRPr="00884F51">
              <w:t>Cita informācija</w:t>
            </w:r>
          </w:p>
        </w:tc>
        <w:tc>
          <w:tcPr>
            <w:tcW w:w="2942" w:type="pct"/>
            <w:tcBorders>
              <w:top w:val="outset" w:sz="6" w:space="0" w:color="000000"/>
              <w:left w:val="single" w:sz="4" w:space="0" w:color="auto"/>
              <w:bottom w:val="single" w:sz="4" w:space="0" w:color="auto"/>
              <w:right w:val="outset" w:sz="6" w:space="0" w:color="000000"/>
            </w:tcBorders>
          </w:tcPr>
          <w:p w14:paraId="0913E060" w14:textId="77777777" w:rsidR="00032C63" w:rsidRPr="00884F51" w:rsidRDefault="00FF735C" w:rsidP="00032C63">
            <w:pPr>
              <w:spacing w:before="100" w:beforeAutospacing="1" w:after="100" w:afterAutospacing="1"/>
              <w:jc w:val="both"/>
            </w:pPr>
            <w:r w:rsidRPr="00884F51">
              <w:t>Nav</w:t>
            </w:r>
            <w:r w:rsidR="00DC0F0D" w:rsidRPr="00884F51">
              <w:t>.</w:t>
            </w:r>
          </w:p>
        </w:tc>
      </w:tr>
      <w:tr w:rsidR="0082105B" w:rsidRPr="004D6833" w14:paraId="1E8FE235" w14:textId="77777777" w:rsidTr="007B6927">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715"/>
        </w:trPr>
        <w:tc>
          <w:tcPr>
            <w:tcW w:w="5000" w:type="pct"/>
            <w:gridSpan w:val="3"/>
            <w:tcBorders>
              <w:top w:val="single" w:sz="4" w:space="0" w:color="auto"/>
            </w:tcBorders>
          </w:tcPr>
          <w:p w14:paraId="6766A9E6" w14:textId="77777777" w:rsidR="0082105B" w:rsidRPr="005C7897" w:rsidRDefault="0082105B" w:rsidP="00032C63">
            <w:pPr>
              <w:jc w:val="both"/>
              <w:rPr>
                <w:lang w:eastAsia="en-US"/>
              </w:rPr>
            </w:pPr>
          </w:p>
          <w:p w14:paraId="6890D3D7" w14:textId="77777777" w:rsidR="00444671" w:rsidRPr="005C7897" w:rsidRDefault="00444671" w:rsidP="00032C63">
            <w:pPr>
              <w:rPr>
                <w:lang w:eastAsia="en-US"/>
              </w:rPr>
            </w:pPr>
          </w:p>
          <w:p w14:paraId="171BBF8A" w14:textId="77777777" w:rsidR="0082105B" w:rsidRPr="005C7897" w:rsidRDefault="0082105B" w:rsidP="00032C63">
            <w:pPr>
              <w:rPr>
                <w:i/>
                <w:lang w:eastAsia="en-US"/>
              </w:rPr>
            </w:pPr>
          </w:p>
        </w:tc>
      </w:tr>
    </w:tbl>
    <w:p w14:paraId="30A8C579" w14:textId="17B7E2A3" w:rsidR="00DC0F0D" w:rsidRPr="005C7897" w:rsidRDefault="00662B49" w:rsidP="00662B49">
      <w:pPr>
        <w:jc w:val="both"/>
      </w:pPr>
      <w:r w:rsidRPr="005C7897">
        <w:t>Fi</w:t>
      </w:r>
      <w:r w:rsidR="00925150" w:rsidRPr="005C7897">
        <w:t>n</w:t>
      </w:r>
      <w:r w:rsidRPr="005C7897">
        <w:t>anšu ministr</w:t>
      </w:r>
      <w:r w:rsidR="003C5248" w:rsidRPr="005C7897">
        <w:t>s</w:t>
      </w:r>
      <w:r w:rsidR="005268C8" w:rsidRPr="005C7897">
        <w:t xml:space="preserve"> </w:t>
      </w:r>
      <w:r w:rsidRPr="005C7897">
        <w:tab/>
      </w:r>
      <w:r w:rsidRPr="005C7897">
        <w:tab/>
      </w:r>
      <w:r w:rsidRPr="005C7897">
        <w:tab/>
      </w:r>
      <w:r w:rsidRPr="005C7897">
        <w:tab/>
      </w:r>
      <w:r w:rsidRPr="005C7897">
        <w:tab/>
      </w:r>
      <w:r w:rsidRPr="005C7897">
        <w:tab/>
      </w:r>
      <w:r w:rsidRPr="005C7897">
        <w:tab/>
      </w:r>
      <w:r w:rsidR="004D6833">
        <w:tab/>
      </w:r>
      <w:proofErr w:type="spellStart"/>
      <w:r w:rsidR="003C5248" w:rsidRPr="005C7897">
        <w:t>J</w:t>
      </w:r>
      <w:r w:rsidRPr="005C7897">
        <w:t>.Rei</w:t>
      </w:r>
      <w:r w:rsidR="003C5248" w:rsidRPr="005C7897">
        <w:t>rs</w:t>
      </w:r>
      <w:proofErr w:type="spellEnd"/>
    </w:p>
    <w:p w14:paraId="55AC787D" w14:textId="77777777" w:rsidR="00DC0F0D" w:rsidRPr="00884F51" w:rsidRDefault="00DC0F0D" w:rsidP="007756FB">
      <w:pPr>
        <w:rPr>
          <w:sz w:val="20"/>
          <w:szCs w:val="20"/>
        </w:rPr>
      </w:pPr>
    </w:p>
    <w:p w14:paraId="549742D4" w14:textId="77777777" w:rsidR="00886ECA" w:rsidRPr="00884F51" w:rsidRDefault="00886ECA" w:rsidP="007756FB">
      <w:pPr>
        <w:rPr>
          <w:sz w:val="20"/>
          <w:szCs w:val="20"/>
        </w:rPr>
      </w:pPr>
    </w:p>
    <w:p w14:paraId="49EB9CAD" w14:textId="52E9EF3B" w:rsidR="00886ECA" w:rsidRDefault="00886ECA" w:rsidP="007756FB">
      <w:pPr>
        <w:rPr>
          <w:sz w:val="20"/>
          <w:szCs w:val="20"/>
        </w:rPr>
      </w:pPr>
    </w:p>
    <w:p w14:paraId="738B86F8" w14:textId="5A347831" w:rsidR="004D6833" w:rsidRDefault="004D6833" w:rsidP="007756FB">
      <w:pPr>
        <w:rPr>
          <w:sz w:val="20"/>
          <w:szCs w:val="20"/>
        </w:rPr>
      </w:pPr>
    </w:p>
    <w:p w14:paraId="29F3D57B" w14:textId="76746DDA" w:rsidR="004D6833" w:rsidRDefault="004D6833" w:rsidP="007756FB">
      <w:pPr>
        <w:rPr>
          <w:sz w:val="20"/>
          <w:szCs w:val="20"/>
        </w:rPr>
      </w:pPr>
    </w:p>
    <w:p w14:paraId="6BA74B24" w14:textId="7CC211E9" w:rsidR="004D6833" w:rsidRDefault="004D6833" w:rsidP="007756FB">
      <w:pPr>
        <w:rPr>
          <w:sz w:val="20"/>
          <w:szCs w:val="20"/>
        </w:rPr>
      </w:pPr>
    </w:p>
    <w:p w14:paraId="3C360F75" w14:textId="77777777" w:rsidR="004D6833" w:rsidRPr="00884F51" w:rsidRDefault="004D6833" w:rsidP="007756FB">
      <w:pPr>
        <w:rPr>
          <w:sz w:val="20"/>
          <w:szCs w:val="20"/>
        </w:rPr>
      </w:pPr>
    </w:p>
    <w:p w14:paraId="6EE674A2" w14:textId="77777777" w:rsidR="005268C8" w:rsidRPr="00884F51" w:rsidRDefault="005268C8" w:rsidP="007756FB">
      <w:pPr>
        <w:pStyle w:val="ListParagraph"/>
        <w:ind w:left="0"/>
        <w:jc w:val="both"/>
        <w:rPr>
          <w:sz w:val="20"/>
          <w:szCs w:val="20"/>
        </w:rPr>
      </w:pPr>
    </w:p>
    <w:p w14:paraId="1A155840" w14:textId="77777777" w:rsidR="005268C8" w:rsidRPr="00884F51" w:rsidRDefault="0001200D" w:rsidP="007756FB">
      <w:pPr>
        <w:pStyle w:val="ListParagraph"/>
        <w:ind w:left="0"/>
        <w:jc w:val="both"/>
        <w:rPr>
          <w:sz w:val="20"/>
          <w:szCs w:val="20"/>
        </w:rPr>
      </w:pPr>
      <w:proofErr w:type="spellStart"/>
      <w:r w:rsidRPr="00884F51">
        <w:rPr>
          <w:sz w:val="20"/>
          <w:szCs w:val="20"/>
        </w:rPr>
        <w:t>J.Lukss</w:t>
      </w:r>
      <w:proofErr w:type="spellEnd"/>
      <w:r w:rsidRPr="00884F51">
        <w:rPr>
          <w:sz w:val="20"/>
          <w:szCs w:val="20"/>
        </w:rPr>
        <w:t>, 67083846</w:t>
      </w:r>
    </w:p>
    <w:p w14:paraId="3FE74A38" w14:textId="77777777" w:rsidR="0001200D" w:rsidRPr="00884F51" w:rsidRDefault="00A17FE5" w:rsidP="007756FB">
      <w:pPr>
        <w:pStyle w:val="ListParagraph"/>
        <w:ind w:left="0"/>
        <w:jc w:val="both"/>
        <w:rPr>
          <w:sz w:val="20"/>
          <w:szCs w:val="20"/>
        </w:rPr>
      </w:pPr>
      <w:hyperlink r:id="rId14" w:history="1">
        <w:r w:rsidR="0001200D" w:rsidRPr="00884F51">
          <w:rPr>
            <w:rStyle w:val="Hyperlink"/>
            <w:sz w:val="20"/>
            <w:szCs w:val="20"/>
          </w:rPr>
          <w:t>Juris.Lukss@fm.gov.lv</w:t>
        </w:r>
      </w:hyperlink>
      <w:r w:rsidR="0001200D" w:rsidRPr="00884F51">
        <w:rPr>
          <w:sz w:val="20"/>
          <w:szCs w:val="20"/>
        </w:rPr>
        <w:t xml:space="preserve"> </w:t>
      </w:r>
    </w:p>
    <w:p w14:paraId="27171E50" w14:textId="77777777" w:rsidR="005268C8" w:rsidRPr="00884F51" w:rsidRDefault="005268C8" w:rsidP="007756FB">
      <w:pPr>
        <w:pStyle w:val="ListParagraph"/>
        <w:ind w:left="0"/>
        <w:jc w:val="both"/>
        <w:rPr>
          <w:sz w:val="20"/>
          <w:szCs w:val="20"/>
        </w:rPr>
      </w:pPr>
    </w:p>
    <w:p w14:paraId="3CF29FFB" w14:textId="77777777" w:rsidR="005268C8" w:rsidRPr="00884F51" w:rsidRDefault="005268C8" w:rsidP="007756FB">
      <w:pPr>
        <w:pStyle w:val="ListParagraph"/>
        <w:ind w:left="0"/>
        <w:jc w:val="both"/>
        <w:rPr>
          <w:sz w:val="20"/>
          <w:szCs w:val="20"/>
        </w:rPr>
      </w:pPr>
    </w:p>
    <w:p w14:paraId="42F02D82" w14:textId="77777777" w:rsidR="005268C8" w:rsidRPr="00884F51" w:rsidRDefault="005268C8" w:rsidP="007756FB">
      <w:pPr>
        <w:pStyle w:val="ListParagraph"/>
        <w:ind w:left="0"/>
        <w:jc w:val="both"/>
        <w:rPr>
          <w:sz w:val="20"/>
          <w:szCs w:val="20"/>
        </w:rPr>
      </w:pPr>
    </w:p>
    <w:p w14:paraId="130EBF74" w14:textId="77777777" w:rsidR="005268C8" w:rsidRPr="00884F51" w:rsidRDefault="005268C8" w:rsidP="007756FB">
      <w:pPr>
        <w:pStyle w:val="ListParagraph"/>
        <w:ind w:left="0"/>
        <w:jc w:val="both"/>
        <w:rPr>
          <w:sz w:val="20"/>
          <w:szCs w:val="20"/>
        </w:rPr>
      </w:pPr>
    </w:p>
    <w:sectPr w:rsidR="005268C8" w:rsidRPr="00884F51" w:rsidSect="00C41059">
      <w:headerReference w:type="even" r:id="rId15"/>
      <w:headerReference w:type="default" r:id="rId16"/>
      <w:footerReference w:type="default" r:id="rId17"/>
      <w:footerReference w:type="first" r:id="rId18"/>
      <w:pgSz w:w="11906" w:h="16838" w:code="9"/>
      <w:pgMar w:top="1276"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5DA92" w14:textId="77777777" w:rsidR="00A17FE5" w:rsidRDefault="00A17FE5">
      <w:r>
        <w:separator/>
      </w:r>
    </w:p>
  </w:endnote>
  <w:endnote w:type="continuationSeparator" w:id="0">
    <w:p w14:paraId="5CE2309B" w14:textId="77777777" w:rsidR="00A17FE5" w:rsidRDefault="00A1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6A14" w14:textId="10924741" w:rsidR="0021135F" w:rsidRPr="00F56B17" w:rsidRDefault="00662B49" w:rsidP="0021135F">
    <w:pPr>
      <w:pStyle w:val="naisla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278F3">
      <w:rPr>
        <w:noProof/>
        <w:sz w:val="20"/>
        <w:szCs w:val="20"/>
      </w:rPr>
      <w:t>FMAnot_141119_mk_199.docx</w:t>
    </w:r>
    <w:r>
      <w:rPr>
        <w:sz w:val="20"/>
        <w:szCs w:val="20"/>
      </w:rPr>
      <w:fldChar w:fldCharType="end"/>
    </w:r>
    <w:r w:rsidR="003D3027" w:rsidRPr="00F56B17">
      <w:rPr>
        <w:sz w:val="20"/>
        <w:szCs w:val="20"/>
      </w:rPr>
      <w:t xml:space="preserve"> </w:t>
    </w:r>
  </w:p>
  <w:p w14:paraId="04FC697F" w14:textId="77777777" w:rsidR="009D5827" w:rsidRPr="0021135F" w:rsidRDefault="009D5827" w:rsidP="00211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6F15" w14:textId="41DA692C" w:rsidR="003D312A" w:rsidRPr="00F56B17" w:rsidRDefault="00662B49" w:rsidP="003D312A">
    <w:pPr>
      <w:pStyle w:val="naisla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278F3">
      <w:rPr>
        <w:noProof/>
        <w:sz w:val="20"/>
        <w:szCs w:val="20"/>
      </w:rPr>
      <w:t>FMAnot_141119_mk_199.docx</w:t>
    </w:r>
    <w:r>
      <w:rPr>
        <w:sz w:val="20"/>
        <w:szCs w:val="20"/>
      </w:rPr>
      <w:fldChar w:fldCharType="end"/>
    </w:r>
    <w:r>
      <w:rPr>
        <w:sz w:val="20"/>
        <w:szCs w:val="20"/>
      </w:rPr>
      <w:t xml:space="preserve">; </w:t>
    </w:r>
  </w:p>
  <w:p w14:paraId="6AC5420E" w14:textId="77777777" w:rsidR="009D5827" w:rsidRPr="00F56B17" w:rsidRDefault="009D5827" w:rsidP="00C92FA7">
    <w:pPr>
      <w:pStyle w:val="naislab"/>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EDD8E" w14:textId="77777777" w:rsidR="00A17FE5" w:rsidRDefault="00A17FE5">
      <w:r>
        <w:separator/>
      </w:r>
    </w:p>
  </w:footnote>
  <w:footnote w:type="continuationSeparator" w:id="0">
    <w:p w14:paraId="2015E776" w14:textId="77777777" w:rsidR="00A17FE5" w:rsidRDefault="00A17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7BFA6" w14:textId="77777777"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C00E3B" w14:textId="77777777" w:rsidR="009D5827" w:rsidRDefault="009D5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E6FC2" w14:textId="0A6235BE"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5451">
      <w:rPr>
        <w:rStyle w:val="PageNumber"/>
        <w:noProof/>
      </w:rPr>
      <w:t>6</w:t>
    </w:r>
    <w:r>
      <w:rPr>
        <w:rStyle w:val="PageNumber"/>
      </w:rPr>
      <w:fldChar w:fldCharType="end"/>
    </w:r>
  </w:p>
  <w:p w14:paraId="12E23CD9" w14:textId="77777777" w:rsidR="009D5827" w:rsidRDefault="009D5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000E"/>
    <w:multiLevelType w:val="hybridMultilevel"/>
    <w:tmpl w:val="9558D132"/>
    <w:lvl w:ilvl="0" w:tplc="84FE7D9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41B46AC"/>
    <w:multiLevelType w:val="hybridMultilevel"/>
    <w:tmpl w:val="43EE90FC"/>
    <w:lvl w:ilvl="0" w:tplc="6B563C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23E2313"/>
    <w:multiLevelType w:val="hybridMultilevel"/>
    <w:tmpl w:val="CC42B868"/>
    <w:lvl w:ilvl="0" w:tplc="485EC5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6D55466"/>
    <w:multiLevelType w:val="hybridMultilevel"/>
    <w:tmpl w:val="874E5F7A"/>
    <w:lvl w:ilvl="0" w:tplc="9760C1DC">
      <w:start w:val="1"/>
      <w:numFmt w:val="decimal"/>
      <w:lvlText w:val="%1)"/>
      <w:lvlJc w:val="left"/>
      <w:pPr>
        <w:ind w:left="470" w:hanging="360"/>
      </w:pPr>
      <w:rPr>
        <w:rFonts w:hint="default"/>
        <w:color w:val="auto"/>
      </w:rPr>
    </w:lvl>
    <w:lvl w:ilvl="1" w:tplc="04260019" w:tentative="1">
      <w:start w:val="1"/>
      <w:numFmt w:val="lowerLetter"/>
      <w:lvlText w:val="%2."/>
      <w:lvlJc w:val="left"/>
      <w:pPr>
        <w:ind w:left="1190" w:hanging="360"/>
      </w:pPr>
    </w:lvl>
    <w:lvl w:ilvl="2" w:tplc="0426001B" w:tentative="1">
      <w:start w:val="1"/>
      <w:numFmt w:val="lowerRoman"/>
      <w:lvlText w:val="%3."/>
      <w:lvlJc w:val="right"/>
      <w:pPr>
        <w:ind w:left="1910" w:hanging="180"/>
      </w:pPr>
    </w:lvl>
    <w:lvl w:ilvl="3" w:tplc="0426000F" w:tentative="1">
      <w:start w:val="1"/>
      <w:numFmt w:val="decimal"/>
      <w:lvlText w:val="%4."/>
      <w:lvlJc w:val="left"/>
      <w:pPr>
        <w:ind w:left="2630" w:hanging="360"/>
      </w:pPr>
    </w:lvl>
    <w:lvl w:ilvl="4" w:tplc="04260019" w:tentative="1">
      <w:start w:val="1"/>
      <w:numFmt w:val="lowerLetter"/>
      <w:lvlText w:val="%5."/>
      <w:lvlJc w:val="left"/>
      <w:pPr>
        <w:ind w:left="3350" w:hanging="360"/>
      </w:pPr>
    </w:lvl>
    <w:lvl w:ilvl="5" w:tplc="0426001B" w:tentative="1">
      <w:start w:val="1"/>
      <w:numFmt w:val="lowerRoman"/>
      <w:lvlText w:val="%6."/>
      <w:lvlJc w:val="right"/>
      <w:pPr>
        <w:ind w:left="4070" w:hanging="180"/>
      </w:pPr>
    </w:lvl>
    <w:lvl w:ilvl="6" w:tplc="0426000F" w:tentative="1">
      <w:start w:val="1"/>
      <w:numFmt w:val="decimal"/>
      <w:lvlText w:val="%7."/>
      <w:lvlJc w:val="left"/>
      <w:pPr>
        <w:ind w:left="4790" w:hanging="360"/>
      </w:pPr>
    </w:lvl>
    <w:lvl w:ilvl="7" w:tplc="04260019" w:tentative="1">
      <w:start w:val="1"/>
      <w:numFmt w:val="lowerLetter"/>
      <w:lvlText w:val="%8."/>
      <w:lvlJc w:val="left"/>
      <w:pPr>
        <w:ind w:left="5510" w:hanging="360"/>
      </w:pPr>
    </w:lvl>
    <w:lvl w:ilvl="8" w:tplc="0426001B" w:tentative="1">
      <w:start w:val="1"/>
      <w:numFmt w:val="lowerRoman"/>
      <w:lvlText w:val="%9."/>
      <w:lvlJc w:val="right"/>
      <w:pPr>
        <w:ind w:left="6230" w:hanging="180"/>
      </w:pPr>
    </w:lvl>
  </w:abstractNum>
  <w:abstractNum w:abstractNumId="5" w15:restartNumberingAfterBreak="0">
    <w:nsid w:val="37113DA6"/>
    <w:multiLevelType w:val="hybridMultilevel"/>
    <w:tmpl w:val="4470F150"/>
    <w:lvl w:ilvl="0" w:tplc="AF68B28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0722D9"/>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DC3EC3"/>
    <w:multiLevelType w:val="hybridMultilevel"/>
    <w:tmpl w:val="C4B00F14"/>
    <w:lvl w:ilvl="0" w:tplc="952085D6">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10" w15:restartNumberingAfterBreak="0">
    <w:nsid w:val="66632543"/>
    <w:multiLevelType w:val="hybridMultilevel"/>
    <w:tmpl w:val="B3287E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D48421A"/>
    <w:multiLevelType w:val="hybridMultilevel"/>
    <w:tmpl w:val="987444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DA36F4"/>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795E656A"/>
    <w:multiLevelType w:val="hybridMultilevel"/>
    <w:tmpl w:val="641AAAF4"/>
    <w:lvl w:ilvl="0" w:tplc="51F6A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6"/>
  </w:num>
  <w:num w:numId="2">
    <w:abstractNumId w:val="3"/>
  </w:num>
  <w:num w:numId="3">
    <w:abstractNumId w:val="8"/>
  </w:num>
  <w:num w:numId="4">
    <w:abstractNumId w:val="12"/>
  </w:num>
  <w:num w:numId="5">
    <w:abstractNumId w:val="7"/>
  </w:num>
  <w:num w:numId="6">
    <w:abstractNumId w:val="13"/>
  </w:num>
  <w:num w:numId="7">
    <w:abstractNumId w:val="1"/>
  </w:num>
  <w:num w:numId="8">
    <w:abstractNumId w:val="0"/>
  </w:num>
  <w:num w:numId="9">
    <w:abstractNumId w:val="11"/>
  </w:num>
  <w:num w:numId="10">
    <w:abstractNumId w:val="2"/>
  </w:num>
  <w:num w:numId="11">
    <w:abstractNumId w:val="5"/>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4F"/>
    <w:rsid w:val="00002215"/>
    <w:rsid w:val="000073E1"/>
    <w:rsid w:val="000112BE"/>
    <w:rsid w:val="0001200D"/>
    <w:rsid w:val="000126A8"/>
    <w:rsid w:val="00013FC3"/>
    <w:rsid w:val="000165BC"/>
    <w:rsid w:val="000215DD"/>
    <w:rsid w:val="0002259A"/>
    <w:rsid w:val="00022F36"/>
    <w:rsid w:val="00024D4A"/>
    <w:rsid w:val="00031CE5"/>
    <w:rsid w:val="00032C63"/>
    <w:rsid w:val="00035A8E"/>
    <w:rsid w:val="00037560"/>
    <w:rsid w:val="00044C08"/>
    <w:rsid w:val="00045E7D"/>
    <w:rsid w:val="00046550"/>
    <w:rsid w:val="0004797F"/>
    <w:rsid w:val="00060552"/>
    <w:rsid w:val="00063D36"/>
    <w:rsid w:val="00066329"/>
    <w:rsid w:val="00070294"/>
    <w:rsid w:val="00072B05"/>
    <w:rsid w:val="00075879"/>
    <w:rsid w:val="000804CB"/>
    <w:rsid w:val="00081DAB"/>
    <w:rsid w:val="00082620"/>
    <w:rsid w:val="0008296A"/>
    <w:rsid w:val="00082C5B"/>
    <w:rsid w:val="00083F2A"/>
    <w:rsid w:val="00084990"/>
    <w:rsid w:val="00086667"/>
    <w:rsid w:val="0009087B"/>
    <w:rsid w:val="00093490"/>
    <w:rsid w:val="00096B37"/>
    <w:rsid w:val="00097625"/>
    <w:rsid w:val="00097AD2"/>
    <w:rsid w:val="000A2622"/>
    <w:rsid w:val="000A3646"/>
    <w:rsid w:val="000A3870"/>
    <w:rsid w:val="000A3930"/>
    <w:rsid w:val="000A5B5A"/>
    <w:rsid w:val="000B0183"/>
    <w:rsid w:val="000B3304"/>
    <w:rsid w:val="000B54C5"/>
    <w:rsid w:val="000B576F"/>
    <w:rsid w:val="000B6BEE"/>
    <w:rsid w:val="000C2AFE"/>
    <w:rsid w:val="000C3950"/>
    <w:rsid w:val="000C52A7"/>
    <w:rsid w:val="000D39EB"/>
    <w:rsid w:val="000D3B96"/>
    <w:rsid w:val="000D4077"/>
    <w:rsid w:val="000D4E09"/>
    <w:rsid w:val="000D5468"/>
    <w:rsid w:val="000E06A4"/>
    <w:rsid w:val="000E0F2D"/>
    <w:rsid w:val="000E1EDB"/>
    <w:rsid w:val="000E2EDA"/>
    <w:rsid w:val="000E2FBE"/>
    <w:rsid w:val="000E3625"/>
    <w:rsid w:val="000E3B72"/>
    <w:rsid w:val="000F0B5C"/>
    <w:rsid w:val="000F148C"/>
    <w:rsid w:val="000F66D3"/>
    <w:rsid w:val="000F7CD5"/>
    <w:rsid w:val="001012AA"/>
    <w:rsid w:val="00101E12"/>
    <w:rsid w:val="00104F4C"/>
    <w:rsid w:val="001054AA"/>
    <w:rsid w:val="00107126"/>
    <w:rsid w:val="0011196B"/>
    <w:rsid w:val="001126DB"/>
    <w:rsid w:val="001166D1"/>
    <w:rsid w:val="00116AA2"/>
    <w:rsid w:val="00116D0F"/>
    <w:rsid w:val="00121706"/>
    <w:rsid w:val="00122AB3"/>
    <w:rsid w:val="00126CB6"/>
    <w:rsid w:val="001275D5"/>
    <w:rsid w:val="0013216F"/>
    <w:rsid w:val="001321E4"/>
    <w:rsid w:val="001331D4"/>
    <w:rsid w:val="00134C95"/>
    <w:rsid w:val="00142AB7"/>
    <w:rsid w:val="001433EC"/>
    <w:rsid w:val="00145B6F"/>
    <w:rsid w:val="001478FB"/>
    <w:rsid w:val="001524FA"/>
    <w:rsid w:val="00153F36"/>
    <w:rsid w:val="00154F91"/>
    <w:rsid w:val="001568DB"/>
    <w:rsid w:val="001623C7"/>
    <w:rsid w:val="00164AB4"/>
    <w:rsid w:val="00170AC9"/>
    <w:rsid w:val="00170E3F"/>
    <w:rsid w:val="00173D2A"/>
    <w:rsid w:val="001745CE"/>
    <w:rsid w:val="00174B92"/>
    <w:rsid w:val="00180237"/>
    <w:rsid w:val="00180C78"/>
    <w:rsid w:val="00180D6E"/>
    <w:rsid w:val="00185451"/>
    <w:rsid w:val="0018771A"/>
    <w:rsid w:val="00191BAD"/>
    <w:rsid w:val="00196892"/>
    <w:rsid w:val="001A0D5C"/>
    <w:rsid w:val="001A4001"/>
    <w:rsid w:val="001A5F1A"/>
    <w:rsid w:val="001B1F9A"/>
    <w:rsid w:val="001B4146"/>
    <w:rsid w:val="001B54D2"/>
    <w:rsid w:val="001B6E27"/>
    <w:rsid w:val="001B7188"/>
    <w:rsid w:val="001C6DAE"/>
    <w:rsid w:val="001C7060"/>
    <w:rsid w:val="001C787A"/>
    <w:rsid w:val="001D1059"/>
    <w:rsid w:val="001D5088"/>
    <w:rsid w:val="001D637E"/>
    <w:rsid w:val="001D73D4"/>
    <w:rsid w:val="001E2991"/>
    <w:rsid w:val="001E6F3B"/>
    <w:rsid w:val="001E7B85"/>
    <w:rsid w:val="001F040F"/>
    <w:rsid w:val="001F23CC"/>
    <w:rsid w:val="001F414D"/>
    <w:rsid w:val="001F65BB"/>
    <w:rsid w:val="001F74F1"/>
    <w:rsid w:val="00200F64"/>
    <w:rsid w:val="0020109C"/>
    <w:rsid w:val="00202C2F"/>
    <w:rsid w:val="00207EC0"/>
    <w:rsid w:val="0021058A"/>
    <w:rsid w:val="0021135F"/>
    <w:rsid w:val="00217AAD"/>
    <w:rsid w:val="00224AEE"/>
    <w:rsid w:val="002268EF"/>
    <w:rsid w:val="002278F3"/>
    <w:rsid w:val="00231E45"/>
    <w:rsid w:val="0023256A"/>
    <w:rsid w:val="00232C65"/>
    <w:rsid w:val="00244450"/>
    <w:rsid w:val="0024448B"/>
    <w:rsid w:val="002469CD"/>
    <w:rsid w:val="00246D9C"/>
    <w:rsid w:val="00253E23"/>
    <w:rsid w:val="00254730"/>
    <w:rsid w:val="00254C34"/>
    <w:rsid w:val="00256793"/>
    <w:rsid w:val="00262A3F"/>
    <w:rsid w:val="002645F5"/>
    <w:rsid w:val="00264C8E"/>
    <w:rsid w:val="00267711"/>
    <w:rsid w:val="002716A4"/>
    <w:rsid w:val="00271A80"/>
    <w:rsid w:val="0027384B"/>
    <w:rsid w:val="002766FA"/>
    <w:rsid w:val="0028039B"/>
    <w:rsid w:val="00280C85"/>
    <w:rsid w:val="002829BB"/>
    <w:rsid w:val="002911BC"/>
    <w:rsid w:val="002913D0"/>
    <w:rsid w:val="002937A4"/>
    <w:rsid w:val="00294287"/>
    <w:rsid w:val="00294A3C"/>
    <w:rsid w:val="00296449"/>
    <w:rsid w:val="002A58D6"/>
    <w:rsid w:val="002B01EB"/>
    <w:rsid w:val="002B14BA"/>
    <w:rsid w:val="002B3DC1"/>
    <w:rsid w:val="002B458F"/>
    <w:rsid w:val="002B7CC7"/>
    <w:rsid w:val="002C2088"/>
    <w:rsid w:val="002C2FE3"/>
    <w:rsid w:val="002C4749"/>
    <w:rsid w:val="002C4D8E"/>
    <w:rsid w:val="002D45C0"/>
    <w:rsid w:val="002D7D23"/>
    <w:rsid w:val="002E1C54"/>
    <w:rsid w:val="002E32B4"/>
    <w:rsid w:val="002E77D4"/>
    <w:rsid w:val="002E7FE8"/>
    <w:rsid w:val="002F033B"/>
    <w:rsid w:val="002F16D8"/>
    <w:rsid w:val="002F2545"/>
    <w:rsid w:val="002F4C6B"/>
    <w:rsid w:val="00300176"/>
    <w:rsid w:val="00302DBA"/>
    <w:rsid w:val="00310B26"/>
    <w:rsid w:val="00311E75"/>
    <w:rsid w:val="0031278B"/>
    <w:rsid w:val="00315E5C"/>
    <w:rsid w:val="00316186"/>
    <w:rsid w:val="003169F1"/>
    <w:rsid w:val="00317E69"/>
    <w:rsid w:val="003233AA"/>
    <w:rsid w:val="00324A5D"/>
    <w:rsid w:val="0033273F"/>
    <w:rsid w:val="00341D41"/>
    <w:rsid w:val="0034223F"/>
    <w:rsid w:val="00343F57"/>
    <w:rsid w:val="00344A45"/>
    <w:rsid w:val="00350F82"/>
    <w:rsid w:val="00352217"/>
    <w:rsid w:val="003522A4"/>
    <w:rsid w:val="003522C3"/>
    <w:rsid w:val="0035359B"/>
    <w:rsid w:val="003537C1"/>
    <w:rsid w:val="00353D75"/>
    <w:rsid w:val="00356FAB"/>
    <w:rsid w:val="00357B1C"/>
    <w:rsid w:val="00362A1B"/>
    <w:rsid w:val="003644CA"/>
    <w:rsid w:val="00364A42"/>
    <w:rsid w:val="00365AF2"/>
    <w:rsid w:val="00370F7F"/>
    <w:rsid w:val="0037109E"/>
    <w:rsid w:val="00372B4E"/>
    <w:rsid w:val="00377E32"/>
    <w:rsid w:val="003804CD"/>
    <w:rsid w:val="00381A3F"/>
    <w:rsid w:val="00385421"/>
    <w:rsid w:val="003865B1"/>
    <w:rsid w:val="00387B30"/>
    <w:rsid w:val="00395A8D"/>
    <w:rsid w:val="003A13FC"/>
    <w:rsid w:val="003A6756"/>
    <w:rsid w:val="003B0C03"/>
    <w:rsid w:val="003B1F9B"/>
    <w:rsid w:val="003B520E"/>
    <w:rsid w:val="003C2949"/>
    <w:rsid w:val="003C29DD"/>
    <w:rsid w:val="003C370C"/>
    <w:rsid w:val="003C5248"/>
    <w:rsid w:val="003C642A"/>
    <w:rsid w:val="003D0F05"/>
    <w:rsid w:val="003D3027"/>
    <w:rsid w:val="003D312A"/>
    <w:rsid w:val="003D35D3"/>
    <w:rsid w:val="003D59A1"/>
    <w:rsid w:val="003D6415"/>
    <w:rsid w:val="003D6F11"/>
    <w:rsid w:val="003D7939"/>
    <w:rsid w:val="003E20DD"/>
    <w:rsid w:val="003E4C04"/>
    <w:rsid w:val="003E51BF"/>
    <w:rsid w:val="003E5803"/>
    <w:rsid w:val="003E5902"/>
    <w:rsid w:val="003F352F"/>
    <w:rsid w:val="003F3578"/>
    <w:rsid w:val="003F4165"/>
    <w:rsid w:val="003F689B"/>
    <w:rsid w:val="003F6A7A"/>
    <w:rsid w:val="004005ED"/>
    <w:rsid w:val="00402F38"/>
    <w:rsid w:val="004032BD"/>
    <w:rsid w:val="004039BE"/>
    <w:rsid w:val="0040534A"/>
    <w:rsid w:val="004176A4"/>
    <w:rsid w:val="004204BE"/>
    <w:rsid w:val="0042422B"/>
    <w:rsid w:val="004315A2"/>
    <w:rsid w:val="00431878"/>
    <w:rsid w:val="00431C1A"/>
    <w:rsid w:val="00434021"/>
    <w:rsid w:val="0043493E"/>
    <w:rsid w:val="00436FB2"/>
    <w:rsid w:val="004402AD"/>
    <w:rsid w:val="00441730"/>
    <w:rsid w:val="0044261A"/>
    <w:rsid w:val="004439DE"/>
    <w:rsid w:val="00444671"/>
    <w:rsid w:val="00444E42"/>
    <w:rsid w:val="00445C00"/>
    <w:rsid w:val="004513BB"/>
    <w:rsid w:val="004516F7"/>
    <w:rsid w:val="00460717"/>
    <w:rsid w:val="00461717"/>
    <w:rsid w:val="00463BB0"/>
    <w:rsid w:val="004675D9"/>
    <w:rsid w:val="00473899"/>
    <w:rsid w:val="004768D8"/>
    <w:rsid w:val="004800A1"/>
    <w:rsid w:val="00480D75"/>
    <w:rsid w:val="00483499"/>
    <w:rsid w:val="0048441E"/>
    <w:rsid w:val="00485FA2"/>
    <w:rsid w:val="004933D4"/>
    <w:rsid w:val="00493932"/>
    <w:rsid w:val="00495216"/>
    <w:rsid w:val="004969A9"/>
    <w:rsid w:val="004A4673"/>
    <w:rsid w:val="004B1783"/>
    <w:rsid w:val="004B365D"/>
    <w:rsid w:val="004B4386"/>
    <w:rsid w:val="004C7E64"/>
    <w:rsid w:val="004D0F9A"/>
    <w:rsid w:val="004D2A03"/>
    <w:rsid w:val="004D3E54"/>
    <w:rsid w:val="004D42EC"/>
    <w:rsid w:val="004D47A4"/>
    <w:rsid w:val="004D4D67"/>
    <w:rsid w:val="004D6833"/>
    <w:rsid w:val="004E00F8"/>
    <w:rsid w:val="004E4573"/>
    <w:rsid w:val="004E4E8D"/>
    <w:rsid w:val="004E5930"/>
    <w:rsid w:val="004E683A"/>
    <w:rsid w:val="004E72CB"/>
    <w:rsid w:val="004F0874"/>
    <w:rsid w:val="004F1B4F"/>
    <w:rsid w:val="004F1F73"/>
    <w:rsid w:val="004F38AA"/>
    <w:rsid w:val="004F56AF"/>
    <w:rsid w:val="004F5A89"/>
    <w:rsid w:val="004F7B81"/>
    <w:rsid w:val="0050448A"/>
    <w:rsid w:val="00505044"/>
    <w:rsid w:val="0050593E"/>
    <w:rsid w:val="005103BA"/>
    <w:rsid w:val="00510E4C"/>
    <w:rsid w:val="005212CF"/>
    <w:rsid w:val="00521B58"/>
    <w:rsid w:val="005268C8"/>
    <w:rsid w:val="00532675"/>
    <w:rsid w:val="00535025"/>
    <w:rsid w:val="00537033"/>
    <w:rsid w:val="0053749E"/>
    <w:rsid w:val="00540CB2"/>
    <w:rsid w:val="005425C7"/>
    <w:rsid w:val="0054309A"/>
    <w:rsid w:val="00543451"/>
    <w:rsid w:val="005505DC"/>
    <w:rsid w:val="00550CA5"/>
    <w:rsid w:val="00551342"/>
    <w:rsid w:val="00551F52"/>
    <w:rsid w:val="005524C9"/>
    <w:rsid w:val="005563DA"/>
    <w:rsid w:val="00561333"/>
    <w:rsid w:val="00562169"/>
    <w:rsid w:val="005661DC"/>
    <w:rsid w:val="00572925"/>
    <w:rsid w:val="00574DC8"/>
    <w:rsid w:val="00582A5C"/>
    <w:rsid w:val="00586838"/>
    <w:rsid w:val="00591160"/>
    <w:rsid w:val="00592CAE"/>
    <w:rsid w:val="00593CE9"/>
    <w:rsid w:val="00593DD2"/>
    <w:rsid w:val="005A020D"/>
    <w:rsid w:val="005A4596"/>
    <w:rsid w:val="005A7972"/>
    <w:rsid w:val="005A7A3D"/>
    <w:rsid w:val="005B0766"/>
    <w:rsid w:val="005B0B7E"/>
    <w:rsid w:val="005B3362"/>
    <w:rsid w:val="005B456C"/>
    <w:rsid w:val="005B6855"/>
    <w:rsid w:val="005C1766"/>
    <w:rsid w:val="005C7897"/>
    <w:rsid w:val="005D0D04"/>
    <w:rsid w:val="005D68E2"/>
    <w:rsid w:val="005D6DEB"/>
    <w:rsid w:val="005D7601"/>
    <w:rsid w:val="005E4124"/>
    <w:rsid w:val="005E4B46"/>
    <w:rsid w:val="005E7979"/>
    <w:rsid w:val="005F449F"/>
    <w:rsid w:val="005F54C7"/>
    <w:rsid w:val="005F6915"/>
    <w:rsid w:val="005F734D"/>
    <w:rsid w:val="0060078A"/>
    <w:rsid w:val="00604115"/>
    <w:rsid w:val="00605094"/>
    <w:rsid w:val="00605425"/>
    <w:rsid w:val="00614D4C"/>
    <w:rsid w:val="00616D47"/>
    <w:rsid w:val="00621AD7"/>
    <w:rsid w:val="00621E39"/>
    <w:rsid w:val="00621E8B"/>
    <w:rsid w:val="00622102"/>
    <w:rsid w:val="006272DC"/>
    <w:rsid w:val="00634309"/>
    <w:rsid w:val="006356BF"/>
    <w:rsid w:val="00637EDA"/>
    <w:rsid w:val="006411DC"/>
    <w:rsid w:val="00643EAB"/>
    <w:rsid w:val="0064733A"/>
    <w:rsid w:val="006504C0"/>
    <w:rsid w:val="00650C10"/>
    <w:rsid w:val="00655DCE"/>
    <w:rsid w:val="006578B7"/>
    <w:rsid w:val="00657AE9"/>
    <w:rsid w:val="00657D42"/>
    <w:rsid w:val="006624E8"/>
    <w:rsid w:val="00662B49"/>
    <w:rsid w:val="006642F2"/>
    <w:rsid w:val="00664F7D"/>
    <w:rsid w:val="0066723D"/>
    <w:rsid w:val="0067240C"/>
    <w:rsid w:val="00673945"/>
    <w:rsid w:val="00684766"/>
    <w:rsid w:val="006847D0"/>
    <w:rsid w:val="00690B68"/>
    <w:rsid w:val="006924F7"/>
    <w:rsid w:val="00694740"/>
    <w:rsid w:val="006A0A29"/>
    <w:rsid w:val="006A2408"/>
    <w:rsid w:val="006A5AB7"/>
    <w:rsid w:val="006B0609"/>
    <w:rsid w:val="006B1B31"/>
    <w:rsid w:val="006B2606"/>
    <w:rsid w:val="006B3695"/>
    <w:rsid w:val="006C70E7"/>
    <w:rsid w:val="006C7BE2"/>
    <w:rsid w:val="006C7F25"/>
    <w:rsid w:val="006D0FF2"/>
    <w:rsid w:val="006D6325"/>
    <w:rsid w:val="006E0AA8"/>
    <w:rsid w:val="006E5E7F"/>
    <w:rsid w:val="006E68D1"/>
    <w:rsid w:val="006E7361"/>
    <w:rsid w:val="006F02EA"/>
    <w:rsid w:val="006F3FEE"/>
    <w:rsid w:val="006F4216"/>
    <w:rsid w:val="006F5B85"/>
    <w:rsid w:val="00702067"/>
    <w:rsid w:val="0070418E"/>
    <w:rsid w:val="00705019"/>
    <w:rsid w:val="00705178"/>
    <w:rsid w:val="0070771B"/>
    <w:rsid w:val="00707786"/>
    <w:rsid w:val="00710ACD"/>
    <w:rsid w:val="007118F7"/>
    <w:rsid w:val="00712511"/>
    <w:rsid w:val="00713669"/>
    <w:rsid w:val="00715755"/>
    <w:rsid w:val="007246EC"/>
    <w:rsid w:val="0072701D"/>
    <w:rsid w:val="00730595"/>
    <w:rsid w:val="00733D77"/>
    <w:rsid w:val="0073486C"/>
    <w:rsid w:val="00735EF4"/>
    <w:rsid w:val="00743410"/>
    <w:rsid w:val="007444DF"/>
    <w:rsid w:val="0074457B"/>
    <w:rsid w:val="00754EAE"/>
    <w:rsid w:val="0075561B"/>
    <w:rsid w:val="00760EA6"/>
    <w:rsid w:val="00763648"/>
    <w:rsid w:val="0076494E"/>
    <w:rsid w:val="007738B2"/>
    <w:rsid w:val="00774496"/>
    <w:rsid w:val="00774CA6"/>
    <w:rsid w:val="007756FB"/>
    <w:rsid w:val="0078381A"/>
    <w:rsid w:val="00785F87"/>
    <w:rsid w:val="00792AE4"/>
    <w:rsid w:val="0079351C"/>
    <w:rsid w:val="00795B3B"/>
    <w:rsid w:val="007961CD"/>
    <w:rsid w:val="007A230F"/>
    <w:rsid w:val="007A3750"/>
    <w:rsid w:val="007A5561"/>
    <w:rsid w:val="007A6B20"/>
    <w:rsid w:val="007A6DAC"/>
    <w:rsid w:val="007B17D8"/>
    <w:rsid w:val="007B342F"/>
    <w:rsid w:val="007B41B4"/>
    <w:rsid w:val="007B6927"/>
    <w:rsid w:val="007C08CC"/>
    <w:rsid w:val="007C17D7"/>
    <w:rsid w:val="007C27E0"/>
    <w:rsid w:val="007C5BDE"/>
    <w:rsid w:val="007C7290"/>
    <w:rsid w:val="007D24F4"/>
    <w:rsid w:val="007D6131"/>
    <w:rsid w:val="007D62E2"/>
    <w:rsid w:val="007E425C"/>
    <w:rsid w:val="007E6325"/>
    <w:rsid w:val="007E7AF1"/>
    <w:rsid w:val="007F599B"/>
    <w:rsid w:val="007F6C8B"/>
    <w:rsid w:val="008004E3"/>
    <w:rsid w:val="008017E8"/>
    <w:rsid w:val="0080364A"/>
    <w:rsid w:val="0081367E"/>
    <w:rsid w:val="00814F63"/>
    <w:rsid w:val="0081743A"/>
    <w:rsid w:val="008203B4"/>
    <w:rsid w:val="0082105B"/>
    <w:rsid w:val="008220A2"/>
    <w:rsid w:val="00822CC1"/>
    <w:rsid w:val="0082301E"/>
    <w:rsid w:val="0082478D"/>
    <w:rsid w:val="0082654E"/>
    <w:rsid w:val="00827512"/>
    <w:rsid w:val="00827BAC"/>
    <w:rsid w:val="00831E79"/>
    <w:rsid w:val="0083438F"/>
    <w:rsid w:val="00834B18"/>
    <w:rsid w:val="00837F94"/>
    <w:rsid w:val="008441C4"/>
    <w:rsid w:val="00845953"/>
    <w:rsid w:val="00851622"/>
    <w:rsid w:val="00851C23"/>
    <w:rsid w:val="00854E39"/>
    <w:rsid w:val="00855E24"/>
    <w:rsid w:val="00856A47"/>
    <w:rsid w:val="0085794A"/>
    <w:rsid w:val="0086183C"/>
    <w:rsid w:val="00863DD7"/>
    <w:rsid w:val="00864BA4"/>
    <w:rsid w:val="008715FA"/>
    <w:rsid w:val="00875895"/>
    <w:rsid w:val="008762B3"/>
    <w:rsid w:val="00880387"/>
    <w:rsid w:val="00881FE4"/>
    <w:rsid w:val="0088407F"/>
    <w:rsid w:val="00884F51"/>
    <w:rsid w:val="00886ECA"/>
    <w:rsid w:val="008909C6"/>
    <w:rsid w:val="008923F1"/>
    <w:rsid w:val="00893A1B"/>
    <w:rsid w:val="008961E6"/>
    <w:rsid w:val="008970F4"/>
    <w:rsid w:val="008A0DC5"/>
    <w:rsid w:val="008B234A"/>
    <w:rsid w:val="008B2749"/>
    <w:rsid w:val="008B451C"/>
    <w:rsid w:val="008C28A7"/>
    <w:rsid w:val="008D06E4"/>
    <w:rsid w:val="008D1989"/>
    <w:rsid w:val="008D4CB3"/>
    <w:rsid w:val="008D58FE"/>
    <w:rsid w:val="008E0F2A"/>
    <w:rsid w:val="008E1F12"/>
    <w:rsid w:val="008E2D18"/>
    <w:rsid w:val="008E33EC"/>
    <w:rsid w:val="008E4246"/>
    <w:rsid w:val="008E7DC2"/>
    <w:rsid w:val="008F040F"/>
    <w:rsid w:val="008F0CCE"/>
    <w:rsid w:val="008F5185"/>
    <w:rsid w:val="008F7DF2"/>
    <w:rsid w:val="00901320"/>
    <w:rsid w:val="00901ACB"/>
    <w:rsid w:val="00905F7B"/>
    <w:rsid w:val="00906784"/>
    <w:rsid w:val="00906DD8"/>
    <w:rsid w:val="00910384"/>
    <w:rsid w:val="00911610"/>
    <w:rsid w:val="0091278B"/>
    <w:rsid w:val="00913A8A"/>
    <w:rsid w:val="00913C1A"/>
    <w:rsid w:val="009166A9"/>
    <w:rsid w:val="0091792B"/>
    <w:rsid w:val="0092340B"/>
    <w:rsid w:val="009245FE"/>
    <w:rsid w:val="00925150"/>
    <w:rsid w:val="00925BC2"/>
    <w:rsid w:val="00925F42"/>
    <w:rsid w:val="009327FD"/>
    <w:rsid w:val="009332FA"/>
    <w:rsid w:val="00934026"/>
    <w:rsid w:val="00937E4E"/>
    <w:rsid w:val="0094385F"/>
    <w:rsid w:val="00947FB3"/>
    <w:rsid w:val="00950320"/>
    <w:rsid w:val="009518E6"/>
    <w:rsid w:val="009525A0"/>
    <w:rsid w:val="00952DDD"/>
    <w:rsid w:val="00954AE0"/>
    <w:rsid w:val="00954D03"/>
    <w:rsid w:val="009553B5"/>
    <w:rsid w:val="0095551A"/>
    <w:rsid w:val="00956C90"/>
    <w:rsid w:val="00956F17"/>
    <w:rsid w:val="0095714B"/>
    <w:rsid w:val="00957F74"/>
    <w:rsid w:val="0096081E"/>
    <w:rsid w:val="009628B0"/>
    <w:rsid w:val="00963204"/>
    <w:rsid w:val="00964AE8"/>
    <w:rsid w:val="00966AA9"/>
    <w:rsid w:val="009674B6"/>
    <w:rsid w:val="0097153F"/>
    <w:rsid w:val="00972E0E"/>
    <w:rsid w:val="00976EF6"/>
    <w:rsid w:val="00977898"/>
    <w:rsid w:val="00977C98"/>
    <w:rsid w:val="00977DD4"/>
    <w:rsid w:val="00981B9B"/>
    <w:rsid w:val="00990ED9"/>
    <w:rsid w:val="009920E0"/>
    <w:rsid w:val="00994A1A"/>
    <w:rsid w:val="00996307"/>
    <w:rsid w:val="009967DF"/>
    <w:rsid w:val="009A1F3D"/>
    <w:rsid w:val="009A5034"/>
    <w:rsid w:val="009A549F"/>
    <w:rsid w:val="009B3027"/>
    <w:rsid w:val="009B3F10"/>
    <w:rsid w:val="009C3DFD"/>
    <w:rsid w:val="009D3186"/>
    <w:rsid w:val="009D57FB"/>
    <w:rsid w:val="009D5827"/>
    <w:rsid w:val="009D6330"/>
    <w:rsid w:val="009F107E"/>
    <w:rsid w:val="009F1159"/>
    <w:rsid w:val="009F2EC3"/>
    <w:rsid w:val="009F30F5"/>
    <w:rsid w:val="009F3CE6"/>
    <w:rsid w:val="009F4626"/>
    <w:rsid w:val="00A00266"/>
    <w:rsid w:val="00A03163"/>
    <w:rsid w:val="00A1123B"/>
    <w:rsid w:val="00A112E0"/>
    <w:rsid w:val="00A112ED"/>
    <w:rsid w:val="00A119B1"/>
    <w:rsid w:val="00A15191"/>
    <w:rsid w:val="00A17519"/>
    <w:rsid w:val="00A17FE5"/>
    <w:rsid w:val="00A2668A"/>
    <w:rsid w:val="00A274A7"/>
    <w:rsid w:val="00A31820"/>
    <w:rsid w:val="00A3208E"/>
    <w:rsid w:val="00A33D97"/>
    <w:rsid w:val="00A36353"/>
    <w:rsid w:val="00A421FA"/>
    <w:rsid w:val="00A44C40"/>
    <w:rsid w:val="00A54408"/>
    <w:rsid w:val="00A60324"/>
    <w:rsid w:val="00A643E2"/>
    <w:rsid w:val="00A65E39"/>
    <w:rsid w:val="00A67DCC"/>
    <w:rsid w:val="00A70A89"/>
    <w:rsid w:val="00A7372C"/>
    <w:rsid w:val="00A8168B"/>
    <w:rsid w:val="00A866B7"/>
    <w:rsid w:val="00A871AB"/>
    <w:rsid w:val="00A95C1E"/>
    <w:rsid w:val="00AA0540"/>
    <w:rsid w:val="00AA06B8"/>
    <w:rsid w:val="00AA0BFA"/>
    <w:rsid w:val="00AA1306"/>
    <w:rsid w:val="00AA24CF"/>
    <w:rsid w:val="00AA2FB9"/>
    <w:rsid w:val="00AA6CCC"/>
    <w:rsid w:val="00AB01EB"/>
    <w:rsid w:val="00AB062A"/>
    <w:rsid w:val="00AB25B1"/>
    <w:rsid w:val="00AB4549"/>
    <w:rsid w:val="00AB57C7"/>
    <w:rsid w:val="00AC10EE"/>
    <w:rsid w:val="00AC2D30"/>
    <w:rsid w:val="00AC3A50"/>
    <w:rsid w:val="00AD0074"/>
    <w:rsid w:val="00AD10DA"/>
    <w:rsid w:val="00AD1C9F"/>
    <w:rsid w:val="00AD1EAE"/>
    <w:rsid w:val="00AD457D"/>
    <w:rsid w:val="00AD45E2"/>
    <w:rsid w:val="00AD5974"/>
    <w:rsid w:val="00AD769C"/>
    <w:rsid w:val="00AE27B2"/>
    <w:rsid w:val="00AE3F15"/>
    <w:rsid w:val="00AE4E30"/>
    <w:rsid w:val="00AE6FC8"/>
    <w:rsid w:val="00AF202D"/>
    <w:rsid w:val="00AF4308"/>
    <w:rsid w:val="00B003FF"/>
    <w:rsid w:val="00B00DC0"/>
    <w:rsid w:val="00B01232"/>
    <w:rsid w:val="00B014B5"/>
    <w:rsid w:val="00B06465"/>
    <w:rsid w:val="00B10012"/>
    <w:rsid w:val="00B102E6"/>
    <w:rsid w:val="00B11710"/>
    <w:rsid w:val="00B30032"/>
    <w:rsid w:val="00B31059"/>
    <w:rsid w:val="00B31952"/>
    <w:rsid w:val="00B319B9"/>
    <w:rsid w:val="00B32A50"/>
    <w:rsid w:val="00B32A57"/>
    <w:rsid w:val="00B347FF"/>
    <w:rsid w:val="00B37458"/>
    <w:rsid w:val="00B41BA5"/>
    <w:rsid w:val="00B42F15"/>
    <w:rsid w:val="00B47C90"/>
    <w:rsid w:val="00B50153"/>
    <w:rsid w:val="00B5141F"/>
    <w:rsid w:val="00B51F10"/>
    <w:rsid w:val="00B52EEC"/>
    <w:rsid w:val="00B61681"/>
    <w:rsid w:val="00B61B3E"/>
    <w:rsid w:val="00B66F81"/>
    <w:rsid w:val="00B701BB"/>
    <w:rsid w:val="00B71218"/>
    <w:rsid w:val="00B76453"/>
    <w:rsid w:val="00B77EC5"/>
    <w:rsid w:val="00B80745"/>
    <w:rsid w:val="00B83D96"/>
    <w:rsid w:val="00B86095"/>
    <w:rsid w:val="00B86A28"/>
    <w:rsid w:val="00B86DA6"/>
    <w:rsid w:val="00B93680"/>
    <w:rsid w:val="00B94BFC"/>
    <w:rsid w:val="00BA079A"/>
    <w:rsid w:val="00BA1299"/>
    <w:rsid w:val="00BA7295"/>
    <w:rsid w:val="00BA79D6"/>
    <w:rsid w:val="00BB060F"/>
    <w:rsid w:val="00BB2B35"/>
    <w:rsid w:val="00BB389E"/>
    <w:rsid w:val="00BB4655"/>
    <w:rsid w:val="00BC24BC"/>
    <w:rsid w:val="00BC32A1"/>
    <w:rsid w:val="00BC4218"/>
    <w:rsid w:val="00BC5876"/>
    <w:rsid w:val="00BC5A5C"/>
    <w:rsid w:val="00BC6C72"/>
    <w:rsid w:val="00BD2ABC"/>
    <w:rsid w:val="00BD568B"/>
    <w:rsid w:val="00BE6B32"/>
    <w:rsid w:val="00BF2451"/>
    <w:rsid w:val="00BF2B67"/>
    <w:rsid w:val="00BF7E8F"/>
    <w:rsid w:val="00C01672"/>
    <w:rsid w:val="00C0264C"/>
    <w:rsid w:val="00C03A87"/>
    <w:rsid w:val="00C03C7B"/>
    <w:rsid w:val="00C119BF"/>
    <w:rsid w:val="00C14259"/>
    <w:rsid w:val="00C1653F"/>
    <w:rsid w:val="00C20A48"/>
    <w:rsid w:val="00C21036"/>
    <w:rsid w:val="00C21E38"/>
    <w:rsid w:val="00C2458E"/>
    <w:rsid w:val="00C247C7"/>
    <w:rsid w:val="00C248C3"/>
    <w:rsid w:val="00C24946"/>
    <w:rsid w:val="00C36BFE"/>
    <w:rsid w:val="00C372FF"/>
    <w:rsid w:val="00C41059"/>
    <w:rsid w:val="00C4361B"/>
    <w:rsid w:val="00C453A0"/>
    <w:rsid w:val="00C4577B"/>
    <w:rsid w:val="00C47067"/>
    <w:rsid w:val="00C57691"/>
    <w:rsid w:val="00C60CA1"/>
    <w:rsid w:val="00C70D26"/>
    <w:rsid w:val="00C733FB"/>
    <w:rsid w:val="00C74583"/>
    <w:rsid w:val="00C80266"/>
    <w:rsid w:val="00C837B1"/>
    <w:rsid w:val="00C84851"/>
    <w:rsid w:val="00C8599E"/>
    <w:rsid w:val="00C86AC2"/>
    <w:rsid w:val="00C87E1E"/>
    <w:rsid w:val="00C92FA7"/>
    <w:rsid w:val="00C93D4E"/>
    <w:rsid w:val="00C95215"/>
    <w:rsid w:val="00CA0B60"/>
    <w:rsid w:val="00CA0EFC"/>
    <w:rsid w:val="00CA23A1"/>
    <w:rsid w:val="00CA3FFA"/>
    <w:rsid w:val="00CA5D24"/>
    <w:rsid w:val="00CA6027"/>
    <w:rsid w:val="00CB3C74"/>
    <w:rsid w:val="00CC1F8B"/>
    <w:rsid w:val="00CC2DFB"/>
    <w:rsid w:val="00CC6C3B"/>
    <w:rsid w:val="00CD136A"/>
    <w:rsid w:val="00CD1A98"/>
    <w:rsid w:val="00CD3B2E"/>
    <w:rsid w:val="00CE34C4"/>
    <w:rsid w:val="00CF0646"/>
    <w:rsid w:val="00CF1EE8"/>
    <w:rsid w:val="00CF49E6"/>
    <w:rsid w:val="00CF7A66"/>
    <w:rsid w:val="00D02168"/>
    <w:rsid w:val="00D0228D"/>
    <w:rsid w:val="00D065CD"/>
    <w:rsid w:val="00D06610"/>
    <w:rsid w:val="00D11204"/>
    <w:rsid w:val="00D121CD"/>
    <w:rsid w:val="00D14FA6"/>
    <w:rsid w:val="00D15196"/>
    <w:rsid w:val="00D206CA"/>
    <w:rsid w:val="00D22A95"/>
    <w:rsid w:val="00D24DB6"/>
    <w:rsid w:val="00D2637D"/>
    <w:rsid w:val="00D26D28"/>
    <w:rsid w:val="00D3032B"/>
    <w:rsid w:val="00D322EE"/>
    <w:rsid w:val="00D33103"/>
    <w:rsid w:val="00D33476"/>
    <w:rsid w:val="00D338CE"/>
    <w:rsid w:val="00D36D69"/>
    <w:rsid w:val="00D46934"/>
    <w:rsid w:val="00D47457"/>
    <w:rsid w:val="00D55D45"/>
    <w:rsid w:val="00D617C3"/>
    <w:rsid w:val="00D62E82"/>
    <w:rsid w:val="00D62F75"/>
    <w:rsid w:val="00D71F63"/>
    <w:rsid w:val="00D722A3"/>
    <w:rsid w:val="00D74CB9"/>
    <w:rsid w:val="00D80861"/>
    <w:rsid w:val="00D85252"/>
    <w:rsid w:val="00D874C6"/>
    <w:rsid w:val="00D90902"/>
    <w:rsid w:val="00DA236D"/>
    <w:rsid w:val="00DA3CD8"/>
    <w:rsid w:val="00DA4E30"/>
    <w:rsid w:val="00DB2728"/>
    <w:rsid w:val="00DB2F0D"/>
    <w:rsid w:val="00DB3D37"/>
    <w:rsid w:val="00DC0D59"/>
    <w:rsid w:val="00DC0F0D"/>
    <w:rsid w:val="00DC4987"/>
    <w:rsid w:val="00DC4CB6"/>
    <w:rsid w:val="00DC5524"/>
    <w:rsid w:val="00DD6798"/>
    <w:rsid w:val="00DD6A07"/>
    <w:rsid w:val="00DD7DD5"/>
    <w:rsid w:val="00DE0521"/>
    <w:rsid w:val="00DE0625"/>
    <w:rsid w:val="00DE2E56"/>
    <w:rsid w:val="00DE2ECC"/>
    <w:rsid w:val="00DE3D90"/>
    <w:rsid w:val="00DE43F0"/>
    <w:rsid w:val="00DE773A"/>
    <w:rsid w:val="00DF2D9F"/>
    <w:rsid w:val="00DF626B"/>
    <w:rsid w:val="00E066A7"/>
    <w:rsid w:val="00E11D6B"/>
    <w:rsid w:val="00E158EC"/>
    <w:rsid w:val="00E15A58"/>
    <w:rsid w:val="00E15B52"/>
    <w:rsid w:val="00E20C1A"/>
    <w:rsid w:val="00E23302"/>
    <w:rsid w:val="00E23B93"/>
    <w:rsid w:val="00E3002F"/>
    <w:rsid w:val="00E316DA"/>
    <w:rsid w:val="00E31C53"/>
    <w:rsid w:val="00E33008"/>
    <w:rsid w:val="00E341B5"/>
    <w:rsid w:val="00E41624"/>
    <w:rsid w:val="00E44A3C"/>
    <w:rsid w:val="00E51604"/>
    <w:rsid w:val="00E516D0"/>
    <w:rsid w:val="00E51879"/>
    <w:rsid w:val="00E55A14"/>
    <w:rsid w:val="00E56650"/>
    <w:rsid w:val="00E60D8F"/>
    <w:rsid w:val="00E627AD"/>
    <w:rsid w:val="00E62C49"/>
    <w:rsid w:val="00E63872"/>
    <w:rsid w:val="00E6688C"/>
    <w:rsid w:val="00E67414"/>
    <w:rsid w:val="00E742B4"/>
    <w:rsid w:val="00E74D8B"/>
    <w:rsid w:val="00E76A80"/>
    <w:rsid w:val="00E80500"/>
    <w:rsid w:val="00E814DC"/>
    <w:rsid w:val="00E94902"/>
    <w:rsid w:val="00EA0699"/>
    <w:rsid w:val="00EA1287"/>
    <w:rsid w:val="00EA3B8F"/>
    <w:rsid w:val="00EA545A"/>
    <w:rsid w:val="00EA5FA1"/>
    <w:rsid w:val="00EA7488"/>
    <w:rsid w:val="00EA7F8E"/>
    <w:rsid w:val="00EB1818"/>
    <w:rsid w:val="00EB56E4"/>
    <w:rsid w:val="00EC41FC"/>
    <w:rsid w:val="00EC433B"/>
    <w:rsid w:val="00EC49BB"/>
    <w:rsid w:val="00EC5D32"/>
    <w:rsid w:val="00EC7CDB"/>
    <w:rsid w:val="00EE12D0"/>
    <w:rsid w:val="00EE189E"/>
    <w:rsid w:val="00EF06E7"/>
    <w:rsid w:val="00EF0B31"/>
    <w:rsid w:val="00EF26C4"/>
    <w:rsid w:val="00EF30CC"/>
    <w:rsid w:val="00EF64F1"/>
    <w:rsid w:val="00F02BE8"/>
    <w:rsid w:val="00F0480D"/>
    <w:rsid w:val="00F06673"/>
    <w:rsid w:val="00F0773C"/>
    <w:rsid w:val="00F114FB"/>
    <w:rsid w:val="00F12373"/>
    <w:rsid w:val="00F2425A"/>
    <w:rsid w:val="00F324B9"/>
    <w:rsid w:val="00F42203"/>
    <w:rsid w:val="00F43911"/>
    <w:rsid w:val="00F44E52"/>
    <w:rsid w:val="00F50E37"/>
    <w:rsid w:val="00F56B17"/>
    <w:rsid w:val="00F62C17"/>
    <w:rsid w:val="00F64CE6"/>
    <w:rsid w:val="00F65706"/>
    <w:rsid w:val="00F65A41"/>
    <w:rsid w:val="00F67A98"/>
    <w:rsid w:val="00F74912"/>
    <w:rsid w:val="00F74B9D"/>
    <w:rsid w:val="00F779A3"/>
    <w:rsid w:val="00F803C4"/>
    <w:rsid w:val="00F811A1"/>
    <w:rsid w:val="00F85A03"/>
    <w:rsid w:val="00F86842"/>
    <w:rsid w:val="00F90B5F"/>
    <w:rsid w:val="00F9585D"/>
    <w:rsid w:val="00F95EFC"/>
    <w:rsid w:val="00F97F4A"/>
    <w:rsid w:val="00FA1AAC"/>
    <w:rsid w:val="00FA1ADB"/>
    <w:rsid w:val="00FA4363"/>
    <w:rsid w:val="00FA5F01"/>
    <w:rsid w:val="00FA6191"/>
    <w:rsid w:val="00FA6E40"/>
    <w:rsid w:val="00FA728C"/>
    <w:rsid w:val="00FB003B"/>
    <w:rsid w:val="00FB2E46"/>
    <w:rsid w:val="00FB6438"/>
    <w:rsid w:val="00FB7F54"/>
    <w:rsid w:val="00FC735C"/>
    <w:rsid w:val="00FD0B0A"/>
    <w:rsid w:val="00FD13B6"/>
    <w:rsid w:val="00FD6F89"/>
    <w:rsid w:val="00FE11F0"/>
    <w:rsid w:val="00FE396F"/>
    <w:rsid w:val="00FE6664"/>
    <w:rsid w:val="00FE779F"/>
    <w:rsid w:val="00FF2D35"/>
    <w:rsid w:val="00FF593A"/>
    <w:rsid w:val="00FF67C4"/>
    <w:rsid w:val="00FF6FF2"/>
    <w:rsid w:val="00FF735C"/>
    <w:rsid w:val="00FF746E"/>
    <w:rsid w:val="00FF7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916BF"/>
  <w15:chartTrackingRefBased/>
  <w15:docId w15:val="{E42D5743-ECCB-4707-9708-6A3A9DE8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link w:val="Footer"/>
    <w:uiPriority w:val="99"/>
    <w:rsid w:val="00994A1A"/>
    <w:rPr>
      <w:rFonts w:eastAsia="Times New Roman" w:cs="Times New Roman"/>
      <w:sz w:val="24"/>
      <w:szCs w:val="24"/>
      <w:lang w:eastAsia="lv-LV"/>
    </w:rPr>
  </w:style>
  <w:style w:type="character" w:styleId="Hyperlink">
    <w:name w:val="Hyperlink"/>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uiPriority w:val="20"/>
    <w:qFormat/>
    <w:rsid w:val="007444DF"/>
    <w:rPr>
      <w:i/>
      <w:iCs/>
    </w:rPr>
  </w:style>
  <w:style w:type="character" w:customStyle="1" w:styleId="BodyText1">
    <w:name w:val="Body Text1"/>
    <w:rsid w:val="006F421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paragraph" w:styleId="Revision">
    <w:name w:val="Revision"/>
    <w:hidden/>
    <w:uiPriority w:val="99"/>
    <w:semiHidden/>
    <w:rsid w:val="00E814DC"/>
    <w:rPr>
      <w:rFonts w:eastAsia="Times New Roman"/>
      <w:sz w:val="24"/>
      <w:szCs w:val="24"/>
    </w:rPr>
  </w:style>
  <w:style w:type="character" w:customStyle="1" w:styleId="apple-converted-space">
    <w:name w:val="apple-converted-space"/>
    <w:rsid w:val="00B66F81"/>
  </w:style>
  <w:style w:type="paragraph" w:customStyle="1" w:styleId="considrant">
    <w:name w:val="considrant"/>
    <w:basedOn w:val="Normal"/>
    <w:uiPriority w:val="99"/>
    <w:rsid w:val="00256793"/>
    <w:pPr>
      <w:spacing w:before="120" w:after="120"/>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9698">
      <w:bodyDiv w:val="1"/>
      <w:marLeft w:val="0"/>
      <w:marRight w:val="0"/>
      <w:marTop w:val="0"/>
      <w:marBottom w:val="0"/>
      <w:divBdr>
        <w:top w:val="none" w:sz="0" w:space="0" w:color="auto"/>
        <w:left w:val="none" w:sz="0" w:space="0" w:color="auto"/>
        <w:bottom w:val="none" w:sz="0" w:space="0" w:color="auto"/>
        <w:right w:val="none" w:sz="0" w:space="0" w:color="auto"/>
      </w:divBdr>
    </w:div>
    <w:div w:id="277102717">
      <w:bodyDiv w:val="1"/>
      <w:marLeft w:val="0"/>
      <w:marRight w:val="0"/>
      <w:marTop w:val="0"/>
      <w:marBottom w:val="0"/>
      <w:divBdr>
        <w:top w:val="none" w:sz="0" w:space="0" w:color="auto"/>
        <w:left w:val="none" w:sz="0" w:space="0" w:color="auto"/>
        <w:bottom w:val="none" w:sz="0" w:space="0" w:color="auto"/>
        <w:right w:val="none" w:sz="0" w:space="0" w:color="auto"/>
      </w:divBdr>
    </w:div>
    <w:div w:id="301735299">
      <w:bodyDiv w:val="1"/>
      <w:marLeft w:val="0"/>
      <w:marRight w:val="0"/>
      <w:marTop w:val="0"/>
      <w:marBottom w:val="0"/>
      <w:divBdr>
        <w:top w:val="none" w:sz="0" w:space="0" w:color="auto"/>
        <w:left w:val="none" w:sz="0" w:space="0" w:color="auto"/>
        <w:bottom w:val="none" w:sz="0" w:space="0" w:color="auto"/>
        <w:right w:val="none" w:sz="0" w:space="0" w:color="auto"/>
      </w:divBdr>
      <w:divsChild>
        <w:div w:id="1999531793">
          <w:marLeft w:val="0"/>
          <w:marRight w:val="0"/>
          <w:marTop w:val="0"/>
          <w:marBottom w:val="0"/>
          <w:divBdr>
            <w:top w:val="none" w:sz="0" w:space="0" w:color="auto"/>
            <w:left w:val="none" w:sz="0" w:space="0" w:color="auto"/>
            <w:bottom w:val="none" w:sz="0" w:space="0" w:color="auto"/>
            <w:right w:val="none" w:sz="0" w:space="0" w:color="auto"/>
          </w:divBdr>
          <w:divsChild>
            <w:div w:id="496073459">
              <w:marLeft w:val="3225"/>
              <w:marRight w:val="0"/>
              <w:marTop w:val="0"/>
              <w:marBottom w:val="0"/>
              <w:divBdr>
                <w:top w:val="none" w:sz="0" w:space="0" w:color="auto"/>
                <w:left w:val="none" w:sz="0" w:space="0" w:color="auto"/>
                <w:bottom w:val="none" w:sz="0" w:space="0" w:color="auto"/>
                <w:right w:val="none" w:sz="0" w:space="0" w:color="auto"/>
              </w:divBdr>
              <w:divsChild>
                <w:div w:id="1620994343">
                  <w:marLeft w:val="90"/>
                  <w:marRight w:val="0"/>
                  <w:marTop w:val="0"/>
                  <w:marBottom w:val="0"/>
                  <w:divBdr>
                    <w:top w:val="single" w:sz="6" w:space="0" w:color="EEEEEE"/>
                    <w:left w:val="none" w:sz="0" w:space="0" w:color="auto"/>
                    <w:bottom w:val="none" w:sz="0" w:space="0" w:color="auto"/>
                    <w:right w:val="none" w:sz="0" w:space="0" w:color="auto"/>
                  </w:divBdr>
                  <w:divsChild>
                    <w:div w:id="1620599564">
                      <w:marLeft w:val="0"/>
                      <w:marRight w:val="0"/>
                      <w:marTop w:val="0"/>
                      <w:marBottom w:val="0"/>
                      <w:divBdr>
                        <w:top w:val="none" w:sz="0" w:space="0" w:color="auto"/>
                        <w:left w:val="none" w:sz="0" w:space="0" w:color="auto"/>
                        <w:bottom w:val="none" w:sz="0" w:space="0" w:color="auto"/>
                        <w:right w:val="none" w:sz="0" w:space="0" w:color="auto"/>
                      </w:divBdr>
                      <w:divsChild>
                        <w:div w:id="18280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544369157">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625626401">
      <w:bodyDiv w:val="1"/>
      <w:marLeft w:val="0"/>
      <w:marRight w:val="0"/>
      <w:marTop w:val="0"/>
      <w:marBottom w:val="0"/>
      <w:divBdr>
        <w:top w:val="none" w:sz="0" w:space="0" w:color="auto"/>
        <w:left w:val="none" w:sz="0" w:space="0" w:color="auto"/>
        <w:bottom w:val="none" w:sz="0" w:space="0" w:color="auto"/>
        <w:right w:val="none" w:sz="0" w:space="0" w:color="auto"/>
      </w:divBdr>
      <w:divsChild>
        <w:div w:id="473066624">
          <w:marLeft w:val="0"/>
          <w:marRight w:val="0"/>
          <w:marTop w:val="0"/>
          <w:marBottom w:val="0"/>
          <w:divBdr>
            <w:top w:val="none" w:sz="0" w:space="0" w:color="auto"/>
            <w:left w:val="none" w:sz="0" w:space="0" w:color="auto"/>
            <w:bottom w:val="none" w:sz="0" w:space="0" w:color="auto"/>
            <w:right w:val="none" w:sz="0" w:space="0" w:color="auto"/>
          </w:divBdr>
          <w:divsChild>
            <w:div w:id="576282641">
              <w:marLeft w:val="0"/>
              <w:marRight w:val="0"/>
              <w:marTop w:val="0"/>
              <w:marBottom w:val="0"/>
              <w:divBdr>
                <w:top w:val="none" w:sz="0" w:space="0" w:color="auto"/>
                <w:left w:val="none" w:sz="0" w:space="0" w:color="auto"/>
                <w:bottom w:val="none" w:sz="0" w:space="0" w:color="auto"/>
                <w:right w:val="none" w:sz="0" w:space="0" w:color="auto"/>
              </w:divBdr>
              <w:divsChild>
                <w:div w:id="43022532">
                  <w:marLeft w:val="0"/>
                  <w:marRight w:val="0"/>
                  <w:marTop w:val="0"/>
                  <w:marBottom w:val="0"/>
                  <w:divBdr>
                    <w:top w:val="none" w:sz="0" w:space="0" w:color="auto"/>
                    <w:left w:val="none" w:sz="0" w:space="0" w:color="auto"/>
                    <w:bottom w:val="none" w:sz="0" w:space="0" w:color="auto"/>
                    <w:right w:val="none" w:sz="0" w:space="0" w:color="auto"/>
                  </w:divBdr>
                  <w:divsChild>
                    <w:div w:id="813451005">
                      <w:marLeft w:val="0"/>
                      <w:marRight w:val="0"/>
                      <w:marTop w:val="0"/>
                      <w:marBottom w:val="0"/>
                      <w:divBdr>
                        <w:top w:val="none" w:sz="0" w:space="0" w:color="auto"/>
                        <w:left w:val="none" w:sz="0" w:space="0" w:color="auto"/>
                        <w:bottom w:val="none" w:sz="0" w:space="0" w:color="auto"/>
                        <w:right w:val="none" w:sz="0" w:space="0" w:color="auto"/>
                      </w:divBdr>
                      <w:divsChild>
                        <w:div w:id="1356882407">
                          <w:marLeft w:val="0"/>
                          <w:marRight w:val="0"/>
                          <w:marTop w:val="0"/>
                          <w:marBottom w:val="0"/>
                          <w:divBdr>
                            <w:top w:val="none" w:sz="0" w:space="0" w:color="auto"/>
                            <w:left w:val="none" w:sz="0" w:space="0" w:color="auto"/>
                            <w:bottom w:val="none" w:sz="0" w:space="0" w:color="auto"/>
                            <w:right w:val="none" w:sz="0" w:space="0" w:color="auto"/>
                          </w:divBdr>
                          <w:divsChild>
                            <w:div w:id="204054176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325686">
      <w:bodyDiv w:val="1"/>
      <w:marLeft w:val="0"/>
      <w:marRight w:val="0"/>
      <w:marTop w:val="0"/>
      <w:marBottom w:val="0"/>
      <w:divBdr>
        <w:top w:val="none" w:sz="0" w:space="0" w:color="auto"/>
        <w:left w:val="none" w:sz="0" w:space="0" w:color="auto"/>
        <w:bottom w:val="none" w:sz="0" w:space="0" w:color="auto"/>
        <w:right w:val="none" w:sz="0" w:space="0" w:color="auto"/>
      </w:divBdr>
    </w:div>
    <w:div w:id="884681965">
      <w:bodyDiv w:val="1"/>
      <w:marLeft w:val="0"/>
      <w:marRight w:val="0"/>
      <w:marTop w:val="0"/>
      <w:marBottom w:val="0"/>
      <w:divBdr>
        <w:top w:val="none" w:sz="0" w:space="0" w:color="auto"/>
        <w:left w:val="none" w:sz="0" w:space="0" w:color="auto"/>
        <w:bottom w:val="none" w:sz="0" w:space="0" w:color="auto"/>
        <w:right w:val="none" w:sz="0" w:space="0" w:color="auto"/>
      </w:divBdr>
      <w:divsChild>
        <w:div w:id="1647393771">
          <w:marLeft w:val="0"/>
          <w:marRight w:val="0"/>
          <w:marTop w:val="0"/>
          <w:marBottom w:val="0"/>
          <w:divBdr>
            <w:top w:val="none" w:sz="0" w:space="0" w:color="auto"/>
            <w:left w:val="none" w:sz="0" w:space="0" w:color="auto"/>
            <w:bottom w:val="none" w:sz="0" w:space="0" w:color="auto"/>
            <w:right w:val="none" w:sz="0" w:space="0" w:color="auto"/>
          </w:divBdr>
          <w:divsChild>
            <w:div w:id="1754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9388">
      <w:bodyDiv w:val="1"/>
      <w:marLeft w:val="0"/>
      <w:marRight w:val="0"/>
      <w:marTop w:val="0"/>
      <w:marBottom w:val="0"/>
      <w:divBdr>
        <w:top w:val="none" w:sz="0" w:space="0" w:color="auto"/>
        <w:left w:val="none" w:sz="0" w:space="0" w:color="auto"/>
        <w:bottom w:val="none" w:sz="0" w:space="0" w:color="auto"/>
        <w:right w:val="none" w:sz="0" w:space="0" w:color="auto"/>
      </w:divBdr>
      <w:divsChild>
        <w:div w:id="1582789078">
          <w:marLeft w:val="0"/>
          <w:marRight w:val="0"/>
          <w:marTop w:val="0"/>
          <w:marBottom w:val="0"/>
          <w:divBdr>
            <w:top w:val="none" w:sz="0" w:space="0" w:color="auto"/>
            <w:left w:val="none" w:sz="0" w:space="0" w:color="auto"/>
            <w:bottom w:val="none" w:sz="0" w:space="0" w:color="auto"/>
            <w:right w:val="none" w:sz="0" w:space="0" w:color="auto"/>
          </w:divBdr>
          <w:divsChild>
            <w:div w:id="1664621479">
              <w:marLeft w:val="0"/>
              <w:marRight w:val="0"/>
              <w:marTop w:val="0"/>
              <w:marBottom w:val="0"/>
              <w:divBdr>
                <w:top w:val="none" w:sz="0" w:space="0" w:color="auto"/>
                <w:left w:val="none" w:sz="0" w:space="0" w:color="auto"/>
                <w:bottom w:val="none" w:sz="0" w:space="0" w:color="auto"/>
                <w:right w:val="none" w:sz="0" w:space="0" w:color="auto"/>
              </w:divBdr>
              <w:divsChild>
                <w:div w:id="1899122696">
                  <w:marLeft w:val="0"/>
                  <w:marRight w:val="0"/>
                  <w:marTop w:val="0"/>
                  <w:marBottom w:val="0"/>
                  <w:divBdr>
                    <w:top w:val="none" w:sz="0" w:space="0" w:color="auto"/>
                    <w:left w:val="none" w:sz="0" w:space="0" w:color="auto"/>
                    <w:bottom w:val="none" w:sz="0" w:space="0" w:color="auto"/>
                    <w:right w:val="none" w:sz="0" w:space="0" w:color="auto"/>
                  </w:divBdr>
                  <w:divsChild>
                    <w:div w:id="1073160727">
                      <w:marLeft w:val="0"/>
                      <w:marRight w:val="0"/>
                      <w:marTop w:val="0"/>
                      <w:marBottom w:val="0"/>
                      <w:divBdr>
                        <w:top w:val="none" w:sz="0" w:space="0" w:color="auto"/>
                        <w:left w:val="none" w:sz="0" w:space="0" w:color="auto"/>
                        <w:bottom w:val="none" w:sz="0" w:space="0" w:color="auto"/>
                        <w:right w:val="none" w:sz="0" w:space="0" w:color="auto"/>
                      </w:divBdr>
                      <w:divsChild>
                        <w:div w:id="1948348204">
                          <w:marLeft w:val="0"/>
                          <w:marRight w:val="0"/>
                          <w:marTop w:val="0"/>
                          <w:marBottom w:val="0"/>
                          <w:divBdr>
                            <w:top w:val="none" w:sz="0" w:space="0" w:color="auto"/>
                            <w:left w:val="none" w:sz="0" w:space="0" w:color="auto"/>
                            <w:bottom w:val="none" w:sz="0" w:space="0" w:color="auto"/>
                            <w:right w:val="none" w:sz="0" w:space="0" w:color="auto"/>
                          </w:divBdr>
                          <w:divsChild>
                            <w:div w:id="15204371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937610">
      <w:bodyDiv w:val="1"/>
      <w:marLeft w:val="0"/>
      <w:marRight w:val="0"/>
      <w:marTop w:val="0"/>
      <w:marBottom w:val="0"/>
      <w:divBdr>
        <w:top w:val="none" w:sz="0" w:space="0" w:color="auto"/>
        <w:left w:val="none" w:sz="0" w:space="0" w:color="auto"/>
        <w:bottom w:val="none" w:sz="0" w:space="0" w:color="auto"/>
        <w:right w:val="none" w:sz="0" w:space="0" w:color="auto"/>
      </w:divBdr>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1667170408">
      <w:bodyDiv w:val="1"/>
      <w:marLeft w:val="0"/>
      <w:marRight w:val="0"/>
      <w:marTop w:val="0"/>
      <w:marBottom w:val="0"/>
      <w:divBdr>
        <w:top w:val="none" w:sz="0" w:space="0" w:color="auto"/>
        <w:left w:val="none" w:sz="0" w:space="0" w:color="auto"/>
        <w:bottom w:val="none" w:sz="0" w:space="0" w:color="auto"/>
        <w:right w:val="none" w:sz="0" w:space="0" w:color="auto"/>
      </w:divBdr>
    </w:div>
    <w:div w:id="1696810860">
      <w:bodyDiv w:val="1"/>
      <w:marLeft w:val="0"/>
      <w:marRight w:val="0"/>
      <w:marTop w:val="0"/>
      <w:marBottom w:val="0"/>
      <w:divBdr>
        <w:top w:val="none" w:sz="0" w:space="0" w:color="auto"/>
        <w:left w:val="none" w:sz="0" w:space="0" w:color="auto"/>
        <w:bottom w:val="none" w:sz="0" w:space="0" w:color="auto"/>
        <w:right w:val="none" w:sz="0" w:space="0" w:color="auto"/>
      </w:divBdr>
    </w:div>
    <w:div w:id="1910571795">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4/1388/oj/?locale=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4/1388/oj/?locale=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1388/oj/?locale=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ris.Lukss@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 Āmare-Pilka (NND)</Vad_x012b_t_x0101_js>
    <TAP xmlns="49b0bb89-35b3-4114-9b1c-a376ef2ba045">135</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AE19-530E-4AD0-B0D6-9D4C921CC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D0619C-4237-4DF1-974D-9CFAACA107B3}">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B2D269F3-3CA4-4FC3-B9E5-D879B89C9980}">
  <ds:schemaRefs>
    <ds:schemaRef ds:uri="http://schemas.microsoft.com/sharepoint/v3/contenttype/forms"/>
  </ds:schemaRefs>
</ds:datastoreItem>
</file>

<file path=customXml/itemProps4.xml><?xml version="1.0" encoding="utf-8"?>
<ds:datastoreItem xmlns:ds="http://schemas.openxmlformats.org/officeDocument/2006/customXml" ds:itemID="{7F6D4C78-59EA-4C2B-881D-D468131C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8050</Words>
  <Characters>4590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MK noteikumu projekta “Grozījumi Ministru kabineta 2017.gada 4.aprīļa noteikumos Nr.199 “Noteikumi par dabasgāzes apriti un akcīzes nodokļa piemērošanas kārtību”” sākotnējās ietekmes novērtējuma ziņojums (anotācija)</vt:lpstr>
    </vt:vector>
  </TitlesOfParts>
  <Manager>G.Pužule</Manager>
  <Company>Finanšu ministrija</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2017.gada 4.aprīļa noteikumos Nr.199 “Noteikumi par dabasgāzes apriti un akcīzes nodokļa piemērošanas kārtību”” sākotnējās ietekmes novērtējuma ziņojums (anotācija)</dc:title>
  <dc:subject>anotācija</dc:subject>
  <dc:creator>J. Lukss (NND)</dc:creator>
  <cp:keywords/>
  <dc:description>Juris Luksss, e-pasts:
Juris.Lukss@fm.gov.lv
T:67083846, fakss: 67095421</dc:description>
  <cp:lastModifiedBy>Inguna Dancīte</cp:lastModifiedBy>
  <cp:revision>2</cp:revision>
  <cp:lastPrinted>2019-11-08T09:32:00Z</cp:lastPrinted>
  <dcterms:created xsi:type="dcterms:W3CDTF">2019-11-11T13:16:00Z</dcterms:created>
  <dcterms:modified xsi:type="dcterms:W3CDTF">2019-11-11T13:16:00Z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