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55" w:rsidRDefault="0069162D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n</w:t>
      </w:r>
      <w:r w:rsidRPr="00430A8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oteikumu </w:t>
      </w:r>
      <w:r w:rsidR="00FC222D" w:rsidRPr="002A793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projekta “</w:t>
      </w:r>
      <w:r w:rsidR="002A793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</w:t>
      </w:r>
      <w:r w:rsidR="002A793F" w:rsidRPr="002A793F">
        <w:rPr>
          <w:rFonts w:ascii="Times New Roman" w:hAnsi="Times New Roman" w:cs="Times New Roman"/>
          <w:b/>
          <w:sz w:val="28"/>
          <w:szCs w:val="28"/>
        </w:rPr>
        <w:t>Ministru kabineta 2017</w:t>
      </w:r>
      <w:r w:rsidR="00430A82" w:rsidRPr="002A793F">
        <w:rPr>
          <w:rFonts w:ascii="Times New Roman" w:hAnsi="Times New Roman" w:cs="Times New Roman"/>
          <w:b/>
          <w:sz w:val="28"/>
          <w:szCs w:val="28"/>
        </w:rPr>
        <w:t>.</w:t>
      </w:r>
      <w:r w:rsidR="00B4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A82" w:rsidRPr="002A793F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2A793F" w:rsidRPr="002A793F">
        <w:rPr>
          <w:rFonts w:ascii="Times New Roman" w:hAnsi="Times New Roman" w:cs="Times New Roman"/>
          <w:b/>
          <w:sz w:val="28"/>
          <w:szCs w:val="28"/>
        </w:rPr>
        <w:t>4.</w:t>
      </w:r>
      <w:r w:rsidR="00C11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93F" w:rsidRPr="002A793F">
        <w:rPr>
          <w:rFonts w:ascii="Times New Roman" w:hAnsi="Times New Roman" w:cs="Times New Roman"/>
          <w:b/>
          <w:sz w:val="28"/>
          <w:szCs w:val="28"/>
        </w:rPr>
        <w:t>jūlija noteikumos</w:t>
      </w:r>
      <w:r w:rsidR="00430A82" w:rsidRPr="002A793F">
        <w:rPr>
          <w:rFonts w:ascii="Times New Roman" w:hAnsi="Times New Roman" w:cs="Times New Roman"/>
          <w:b/>
          <w:sz w:val="28"/>
          <w:szCs w:val="28"/>
        </w:rPr>
        <w:t xml:space="preserve"> Nr.</w:t>
      </w:r>
      <w:r w:rsidR="00B4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93F" w:rsidRPr="002A793F">
        <w:rPr>
          <w:rFonts w:ascii="Times New Roman" w:hAnsi="Times New Roman" w:cs="Times New Roman"/>
          <w:b/>
          <w:sz w:val="28"/>
          <w:szCs w:val="28"/>
        </w:rPr>
        <w:t>397</w:t>
      </w:r>
      <w:r w:rsidR="00430A82" w:rsidRPr="002A793F">
        <w:rPr>
          <w:rFonts w:ascii="Times New Roman" w:hAnsi="Times New Roman" w:cs="Times New Roman"/>
          <w:b/>
          <w:sz w:val="28"/>
          <w:szCs w:val="28"/>
        </w:rPr>
        <w:t xml:space="preserve"> “Noteikumi </w:t>
      </w:r>
      <w:r w:rsidR="002A793F" w:rsidRPr="002A793F">
        <w:rPr>
          <w:rFonts w:ascii="Times New Roman" w:hAnsi="Times New Roman" w:cs="Times New Roman"/>
          <w:b/>
          <w:sz w:val="28"/>
          <w:szCs w:val="28"/>
        </w:rPr>
        <w:t>p</w:t>
      </w:r>
      <w:r w:rsidR="002A793F">
        <w:rPr>
          <w:rFonts w:ascii="Times New Roman" w:hAnsi="Times New Roman" w:cs="Times New Roman"/>
          <w:b/>
          <w:sz w:val="28"/>
          <w:szCs w:val="28"/>
        </w:rPr>
        <w:t>ar starptautiskas uzņēmumu grupas pārskatu par katru valsti</w:t>
      </w:r>
      <w:r w:rsidR="00430A82" w:rsidRPr="002A793F">
        <w:rPr>
          <w:rFonts w:ascii="Times New Roman" w:hAnsi="Times New Roman" w:cs="Times New Roman"/>
          <w:b/>
          <w:sz w:val="28"/>
          <w:szCs w:val="28"/>
        </w:rPr>
        <w:t>”</w:t>
      </w:r>
      <w:r w:rsidR="00FC222D" w:rsidRPr="002A793F">
        <w:rPr>
          <w:rFonts w:ascii="Times New Roman" w:hAnsi="Times New Roman" w:cs="Times New Roman"/>
          <w:b/>
          <w:sz w:val="28"/>
          <w:szCs w:val="28"/>
        </w:rPr>
        <w:t>”</w:t>
      </w:r>
      <w:r w:rsidR="003B0BF9" w:rsidRPr="002A793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</w:r>
      <w:r w:rsidR="00894C55" w:rsidRPr="00342B2F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:rsidR="0010496D" w:rsidRDefault="0010496D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6"/>
        <w:gridCol w:w="5519"/>
      </w:tblGrid>
      <w:tr w:rsidR="00B863ED" w:rsidRPr="00C517BC" w:rsidTr="00F353E5">
        <w:trPr>
          <w:trHeight w:val="379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3ED" w:rsidRPr="00C517BC" w:rsidRDefault="00B863ED" w:rsidP="00F353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517B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B863ED" w:rsidRPr="00C517BC" w:rsidTr="00F353E5">
        <w:trPr>
          <w:tblCellSpacing w:w="15" w:type="dxa"/>
        </w:trPr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3ED" w:rsidRPr="00C517BC" w:rsidRDefault="00B863ED" w:rsidP="00F353E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17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32E" w:rsidRDefault="009F232E" w:rsidP="009F232E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“</w:t>
            </w:r>
            <w:r w:rsidRPr="004E4B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Grozījumi Ministru kabineta 2017. gada 4. jūlija noteikumos Nr. 397 “Noteikumi par starptautiskas uzņēmumu grupas pārskatu par katru valsti”” (turpmāk – noteikumu projekts)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mērķis ir p</w:t>
            </w:r>
            <w:r w:rsidRPr="000861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recizēt </w:t>
            </w:r>
            <w:r w:rsidR="00A211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2017. gada 4. jūlija noteikumos Nr. 397 “Noteiku</w:t>
            </w:r>
            <w:r w:rsidR="00A21191" w:rsidRPr="00B448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 par starptautiskas uzņēmumu grupas pārskatu par katru valsti” </w:t>
            </w:r>
            <w:r w:rsidR="00A21191" w:rsidRPr="00546C08">
              <w:rPr>
                <w:rFonts w:ascii="Times New Roman" w:eastAsia="Times New Roman" w:hAnsi="Times New Roman" w:cs="Times New Roman"/>
                <w:sz w:val="24"/>
                <w:szCs w:val="24"/>
              </w:rPr>
              <w:t>(turpmāk – MK noteikumi Nr. 397)</w:t>
            </w:r>
            <w:r w:rsidR="00A21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8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iekļautās normas saistībā ar starptautiskas uzņēmumu grupas pārskatu par katru valsti</w:t>
            </w:r>
            <w:r w:rsidR="0030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06F67" w:rsidRPr="00546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(jeb </w:t>
            </w:r>
            <w:proofErr w:type="spellStart"/>
            <w:r w:rsidR="00306F67" w:rsidRPr="00546C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Country</w:t>
            </w:r>
            <w:proofErr w:type="spellEnd"/>
            <w:r w:rsidR="00306F67" w:rsidRPr="00546C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06F67" w:rsidRPr="00546C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="00306F67" w:rsidRPr="00546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6F67" w:rsidRPr="00546C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Country</w:t>
            </w:r>
            <w:proofErr w:type="spellEnd"/>
            <w:r w:rsidR="00306F67" w:rsidRPr="00546C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06F67" w:rsidRPr="00546C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report</w:t>
            </w:r>
            <w:proofErr w:type="spellEnd"/>
            <w:r w:rsidR="00306F67" w:rsidRPr="00546C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06F67" w:rsidRPr="00546C08">
              <w:rPr>
                <w:rFonts w:ascii="Times New Roman" w:eastAsia="Times New Roman" w:hAnsi="Times New Roman" w:cs="Times New Roman"/>
                <w:sz w:val="24"/>
                <w:szCs w:val="24"/>
              </w:rPr>
              <w:t>(turpmāk - CbCr))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B448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ņemot vērā </w:t>
            </w:r>
            <w:r w:rsidR="00ED4218" w:rsidRPr="00B448A8">
              <w:rPr>
                <w:rFonts w:ascii="Times New Roman" w:hAnsi="Times New Roman" w:cs="Times New Roman"/>
                <w:sz w:val="24"/>
              </w:rPr>
              <w:t>Ekonomiskās sadarbības un attīstības organizācijas</w:t>
            </w:r>
            <w:r w:rsidR="00ED4218" w:rsidRPr="00B448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</w:t>
            </w:r>
            <w:r w:rsidR="00ED42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OECD) </w:t>
            </w:r>
            <w:r w:rsidRPr="00B448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sniegtās rekomendācijas.</w:t>
            </w:r>
          </w:p>
          <w:p w:rsidR="009F232E" w:rsidRPr="00C517BC" w:rsidRDefault="009F232E" w:rsidP="00F353E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Noteikumi stāsies spēkā vispārējā kārtībā.</w:t>
            </w:r>
          </w:p>
        </w:tc>
      </w:tr>
    </w:tbl>
    <w:p w:rsidR="00E5323B" w:rsidRPr="00342B2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342B2F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6303D5" w:rsidRDefault="00E5323B" w:rsidP="002E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303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342B2F" w:rsidTr="00212071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CD6C4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C4E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D6C4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D6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C4E" w:rsidRPr="00EE72AC" w:rsidRDefault="00212071" w:rsidP="00DE3F8B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Finanšu ministrijas iniciatīva, ņemot vērā </w:t>
            </w:r>
            <w:r w:rsidR="004679EA" w:rsidRPr="00EE72AC">
              <w:rPr>
                <w:rFonts w:ascii="Times New Roman" w:eastAsia="Times New Roman" w:hAnsi="Times New Roman" w:cs="Times New Roman"/>
                <w:sz w:val="24"/>
                <w:szCs w:val="24"/>
              </w:rPr>
              <w:t>OECD</w:t>
            </w:r>
            <w:r w:rsidRPr="00EE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sniegtās rekomendācijas</w:t>
            </w:r>
            <w:r w:rsidR="00FB79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23B" w:rsidRPr="00342B2F" w:rsidTr="00342B2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CD6C4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46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D6C4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B4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55B" w:rsidRPr="00546C08" w:rsidRDefault="00ED4218" w:rsidP="005E255B">
            <w:pPr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MK noteikum</w:t>
            </w:r>
            <w:r w:rsidR="001D7AB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A21191" w:rsidRPr="00546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 397</w:t>
            </w:r>
            <w:r w:rsidR="0084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ar kuriem pārņemtas </w:t>
            </w:r>
            <w:r w:rsidR="0084233D" w:rsidRPr="00981970">
              <w:rPr>
                <w:rFonts w:ascii="Times New Roman" w:eastAsia="Times New Roman" w:hAnsi="Times New Roman" w:cs="Times New Roman"/>
                <w:sz w:val="24"/>
                <w:szCs w:val="24"/>
              </w:rPr>
              <w:t>Padomes 2016. gada 25. maija direktīva</w:t>
            </w:r>
            <w:r w:rsidR="001D7AB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84233D" w:rsidRPr="00981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(ES) 2016/881, ar ko direktīvu 2011/16/ES groza attiecībā uz obligātu automātisku informācijas </w:t>
            </w:r>
            <w:r w:rsidR="0084233D">
              <w:rPr>
                <w:rFonts w:ascii="Times New Roman" w:eastAsia="Times New Roman" w:hAnsi="Times New Roman" w:cs="Times New Roman"/>
                <w:sz w:val="24"/>
                <w:szCs w:val="24"/>
              </w:rPr>
              <w:t>apmaiņu nodokļu jomā (turpmāk -</w:t>
            </w:r>
            <w:r w:rsidR="0084233D" w:rsidRPr="00981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DAC4)</w:t>
            </w:r>
            <w:r w:rsidR="0084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prasības,</w:t>
            </w:r>
            <w:r w:rsidR="0022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paredz </w:t>
            </w:r>
            <w:r w:rsidR="0030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CbCr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struktūru un saturu,</w:t>
            </w:r>
            <w:r w:rsidR="009F2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lietoto terminu skaidrojumus, kā arī </w:t>
            </w:r>
            <w:r w:rsidR="001D7ABA">
              <w:rPr>
                <w:rFonts w:ascii="Times New Roman" w:eastAsia="Times New Roman" w:hAnsi="Times New Roman" w:cs="Times New Roman"/>
                <w:sz w:val="24"/>
                <w:szCs w:val="24"/>
              </w:rPr>
              <w:t>konkrētā pārskata</w:t>
            </w:r>
            <w:r w:rsidR="009F2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sagatavošanas un iesniegšanas kārtību</w:t>
            </w:r>
            <w:r w:rsidR="005E25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OECD</w:t>
            </w:r>
            <w:r w:rsidR="00BF01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22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izvērtējot </w:t>
            </w:r>
            <w:r w:rsidR="003229DB">
              <w:rPr>
                <w:rFonts w:ascii="Times New Roman" w:eastAsia="Times New Roman" w:hAnsi="Times New Roman" w:cs="Times New Roman"/>
                <w:sz w:val="24"/>
                <w:szCs w:val="24"/>
              </w:rPr>
              <w:t>MK noteikumus</w:t>
            </w:r>
            <w:r w:rsidR="003229DB" w:rsidRPr="00546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 397</w:t>
            </w:r>
            <w:r w:rsidR="00BF01E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22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sniegusi vairākas rekomendācijas.</w:t>
            </w:r>
            <w:r w:rsidR="005E2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4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Tādējādi, </w:t>
            </w:r>
            <w:r w:rsidR="00134CB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E255B">
              <w:rPr>
                <w:rFonts w:ascii="Times New Roman" w:hAnsi="Times New Roman" w:cs="Times New Roman"/>
                <w:sz w:val="24"/>
                <w:szCs w:val="24"/>
              </w:rPr>
              <w:t xml:space="preserve">amatojoties uz </w:t>
            </w:r>
            <w:r w:rsidR="00322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OECD</w:t>
            </w:r>
            <w:r w:rsidR="005E255B">
              <w:rPr>
                <w:rFonts w:ascii="Times New Roman" w:hAnsi="Times New Roman" w:cs="Times New Roman"/>
                <w:sz w:val="24"/>
                <w:szCs w:val="24"/>
              </w:rPr>
              <w:t xml:space="preserve"> sniegtajām rekomendācijām, </w:t>
            </w:r>
            <w:r w:rsidR="005E255B">
              <w:rPr>
                <w:rFonts w:ascii="Times New Roman" w:eastAsia="Times New Roman" w:hAnsi="Times New Roman" w:cs="Times New Roman"/>
                <w:sz w:val="24"/>
                <w:szCs w:val="24"/>
              </w:rPr>
              <w:t>MK noteikumos</w:t>
            </w:r>
            <w:r w:rsidR="005E255B" w:rsidRPr="00546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 397</w:t>
            </w:r>
            <w:r w:rsidR="005E2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255B">
              <w:rPr>
                <w:rFonts w:ascii="Times New Roman" w:hAnsi="Times New Roman" w:cs="Times New Roman"/>
                <w:sz w:val="24"/>
                <w:szCs w:val="24"/>
              </w:rPr>
              <w:t>precizējami atsevišķi minētie terminu skaidrojumi, kā arī papildināmi CbCr iekļautās informācijas lietošanas nosacījumi.</w:t>
            </w:r>
          </w:p>
          <w:p w:rsidR="00664F40" w:rsidRPr="00546C08" w:rsidRDefault="00664F40" w:rsidP="006F3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52" w:rsidRPr="00546C08" w:rsidRDefault="00C8625B" w:rsidP="00823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teikumu</w:t>
            </w:r>
            <w:r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6C59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projekta </w:t>
            </w:r>
            <w:r w:rsidR="006A371A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45752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p</w:t>
            </w:r>
            <w:r w:rsidR="003A6C59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unkts</w:t>
            </w:r>
          </w:p>
          <w:p w:rsidR="00145752" w:rsidRPr="00E0520E" w:rsidRDefault="00216D9C" w:rsidP="00E0520E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Grozījums veikts, lai nodrošinātu tiesisko skaidrību termina </w:t>
            </w:r>
            <w:r w:rsidR="00C25B93" w:rsidRPr="00546C08">
              <w:rPr>
                <w:rFonts w:ascii="Times New Roman" w:eastAsia="Times New Roman" w:hAnsi="Times New Roman" w:cs="Times New Roman"/>
                <w:sz w:val="24"/>
                <w:szCs w:val="24"/>
              </w:rPr>
              <w:t>“izslēgta starptautiska uzņēmumu grupa”</w:t>
            </w:r>
            <w:r w:rsidR="006A5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lietojumā</w:t>
            </w:r>
            <w:r w:rsidR="00145752" w:rsidRPr="00546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ņemot vērā</w:t>
            </w:r>
            <w:r w:rsidR="00141A2A" w:rsidRPr="00546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68E1" w:rsidRPr="001F6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OECD </w:t>
            </w:r>
            <w:r w:rsidR="00AB6516">
              <w:rPr>
                <w:rFonts w:ascii="Times New Roman" w:eastAsia="Times New Roman" w:hAnsi="Times New Roman" w:cs="Times New Roman"/>
                <w:sz w:val="24"/>
                <w:szCs w:val="24"/>
              </w:rPr>
              <w:t>vadlīnijas par pārskatu sagatavošanu par katru valsti</w:t>
            </w:r>
            <w:r w:rsidR="001F68E1" w:rsidRPr="001F6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BEPS </w:t>
            </w:r>
            <w:r w:rsidR="00AB6516">
              <w:rPr>
                <w:rFonts w:ascii="Times New Roman" w:eastAsia="Times New Roman" w:hAnsi="Times New Roman" w:cs="Times New Roman"/>
                <w:sz w:val="24"/>
                <w:szCs w:val="24"/>
              </w:rPr>
              <w:t>13. a</w:t>
            </w:r>
            <w:r w:rsidR="002808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B6516">
              <w:rPr>
                <w:rFonts w:ascii="Times New Roman" w:eastAsia="Times New Roman" w:hAnsi="Times New Roman" w:cs="Times New Roman"/>
                <w:sz w:val="24"/>
                <w:szCs w:val="24"/>
              </w:rPr>
              <w:t>tivitātes</w:t>
            </w:r>
            <w:r w:rsidR="00DF14B8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  <w:r w:rsidR="00141A2A" w:rsidRPr="00546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norād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="00141A2A" w:rsidRPr="00546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valūtas svārstībām</w:t>
            </w:r>
            <w:r w:rsid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41A2A" w:rsidRPr="00546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1D7D">
              <w:rPr>
                <w:rFonts w:ascii="Times New Roman" w:eastAsia="Times New Roman" w:hAnsi="Times New Roman" w:cs="Times New Roman"/>
                <w:sz w:val="24"/>
                <w:szCs w:val="24"/>
              </w:rPr>
              <w:t>Šobrīd konkrētā termina definīcija nosaka,</w:t>
            </w:r>
            <w:r w:rsidR="00E0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 starptautiska uzņēmumu </w:t>
            </w:r>
            <w:r w:rsidR="00E05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grupa tiktu uzskatīta par izslēgtu, </w:t>
            </w:r>
            <w:r w:rsidR="00BF0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tās </w:t>
            </w:r>
            <w:r w:rsidR="00E0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kopējie konsolidētie ieņēmumi (apgrozījums) attiecīgajā fiskālajā gadā tieši pirms pārskata fiskālā gada (saskaņā ar tās konsolidēto gada pārskatu par šādu iepriekšējo fiskālo gadu) nedrīkst pārsniegt 750 milj. </w:t>
            </w:r>
            <w:proofErr w:type="spellStart"/>
            <w:r w:rsidR="00E0520E">
              <w:rPr>
                <w:rFonts w:ascii="Times New Roman" w:eastAsia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="00E0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1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Grozījums </w:t>
            </w:r>
            <w:r w:rsidR="00D77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attiecas uz </w:t>
            </w:r>
            <w:r w:rsidR="00A13202">
              <w:rPr>
                <w:rFonts w:ascii="Times New Roman" w:eastAsia="Times New Roman" w:hAnsi="Times New Roman" w:cs="Times New Roman"/>
                <w:sz w:val="24"/>
                <w:szCs w:val="24"/>
              </w:rPr>
              <w:t>gadījumiem, kad saskaņā ar MK noteikumu Nr.397 10.</w:t>
            </w:r>
            <w:r w:rsidR="009B131A">
              <w:rPr>
                <w:rFonts w:ascii="Times New Roman" w:eastAsia="Times New Roman" w:hAnsi="Times New Roman" w:cs="Times New Roman"/>
                <w:sz w:val="24"/>
                <w:szCs w:val="24"/>
              </w:rPr>
              <w:t>1. apakš</w:t>
            </w:r>
            <w:r w:rsidR="00A1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punktu CbCr sniedz starptautiskas uzņēmumu grupas sastāvā esoša vienība, kura nodokļu vajadzībām ir rezidents Latvijas Republikā, taču </w:t>
            </w:r>
            <w:r w:rsidR="003A5371">
              <w:rPr>
                <w:rFonts w:ascii="Times New Roman" w:eastAsia="Times New Roman" w:hAnsi="Times New Roman" w:cs="Times New Roman"/>
                <w:sz w:val="24"/>
                <w:szCs w:val="24"/>
              </w:rPr>
              <w:t>starptautiskas uzņēmumu grupas</w:t>
            </w:r>
            <w:r w:rsidR="00A1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3202" w:rsidRPr="00546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mātes uzņēmuma rezidence nodokļu vajadzībām </w:t>
            </w:r>
            <w:r w:rsidR="00A1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atrodas </w:t>
            </w:r>
            <w:r w:rsidR="00A13202" w:rsidRPr="00546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ārpus </w:t>
            </w:r>
            <w:proofErr w:type="spellStart"/>
            <w:r w:rsidR="00A13202">
              <w:rPr>
                <w:rFonts w:ascii="Times New Roman" w:eastAsia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="00A1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zonas</w:t>
            </w:r>
            <w:r w:rsidR="00A13202" w:rsidRPr="00546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1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49C2" w:rsidRPr="00546C0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Kā izriet no </w:t>
            </w:r>
            <w:r w:rsidR="005049C2" w:rsidRPr="005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MK noteikumiem Nr. 397, </w:t>
            </w:r>
            <w:r w:rsidR="005049C2" w:rsidRPr="00546C0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CbCr ir jāiesniedz tādu starptautisku uzņēmumu grupām, kuru apgrozījums (konsolidētais) iepriekšējā pārskata gadā ir bijis vismaz 750 milj. </w:t>
            </w:r>
            <w:proofErr w:type="spellStart"/>
            <w:r w:rsidR="005049C2" w:rsidRPr="008B6C8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euro</w:t>
            </w:r>
            <w:proofErr w:type="spellEnd"/>
            <w:r w:rsidR="005049C2" w:rsidRPr="00546C0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, t</w:t>
            </w:r>
            <w:r w:rsidR="004E4BB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ādējādi</w:t>
            </w:r>
            <w:r w:rsidR="005049C2" w:rsidRPr="00546C0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noteikumu projekt</w:t>
            </w:r>
            <w:r w:rsidR="0036120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ā</w:t>
            </w:r>
            <w:r w:rsidR="006A5CD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7D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 noteikumu</w:t>
            </w:r>
            <w:r w:rsidR="007D04E5" w:rsidRPr="005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Nr. 397</w:t>
            </w:r>
            <w:r w:rsidR="007D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4E8D" w:rsidRPr="00546C0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2.3. </w:t>
            </w:r>
            <w:r w:rsidR="004E4BB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apakš</w:t>
            </w:r>
            <w:r w:rsidR="00BC4E8D" w:rsidRPr="00546C0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punktā minētais termins</w:t>
            </w:r>
            <w:r w:rsidR="0036120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“izslēgta starptautiska uzņēmumu grupa”</w:t>
            </w:r>
            <w:r w:rsidR="00BC4E8D" w:rsidRPr="00546C0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E0520E" w:rsidRPr="00546C0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tiek papildināts</w:t>
            </w:r>
            <w:r w:rsidR="00E0520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tā, lai </w:t>
            </w:r>
            <w:r w:rsidR="00E821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gadījumos</w:t>
            </w:r>
            <w:r w:rsidR="00E0520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, kuros starptautiskas uzņēmumu grupas ieņēmumus (apgrozījumu) ietekmē valūtas svārstības</w:t>
            </w:r>
            <w:r w:rsidR="00E821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, CbCr nebūtu jāsniedz starptautiskas uzņēmumu grupas sastāvā esošām vienībām, kuru apgrozījums (konsolidētais) iepriekšējā gadā bijis līdzvērtīgs 750 milj. </w:t>
            </w:r>
            <w:proofErr w:type="spellStart"/>
            <w:r w:rsidR="00E821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euro</w:t>
            </w:r>
            <w:proofErr w:type="spellEnd"/>
            <w:r w:rsidR="00E05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="00DF14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Šajā kontekstā ar “līdzvērtīgu” saprotot arī </w:t>
            </w:r>
            <w:r w:rsidR="00B62C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lielāku </w:t>
            </w:r>
            <w:r w:rsidR="00DF14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summu, </w:t>
            </w:r>
            <w:r w:rsidR="00F312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ja minētās vērtības palielinājums radies valūtas svārstību rezultātā, </w:t>
            </w:r>
            <w:r w:rsidR="00DF14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ja valūtas svārstības ir </w:t>
            </w:r>
            <w:r w:rsidR="00E035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notikušas kopš brīža, kad attiecīgā starptautiskas uzņēmumu grupas mātes uzņēmuma rezidences valstī tika ieviests pienākums iesniegt CbCr</w:t>
            </w:r>
            <w:r w:rsidR="00F312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un šis palielinājums nav būtisks</w:t>
            </w:r>
            <w:r w:rsidR="00E03550" w:rsidRPr="00546C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AD06F7" w:rsidRPr="00546C08" w:rsidRDefault="00AD06F7" w:rsidP="006A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F5F" w:rsidRPr="00546C08" w:rsidRDefault="00C8625B" w:rsidP="00823F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teikumu</w:t>
            </w:r>
            <w:r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6C59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</w:t>
            </w:r>
            <w:r w:rsidR="00823F5F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5752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23F5F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A6C59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punkts</w:t>
            </w:r>
          </w:p>
          <w:p w:rsidR="009E5C1B" w:rsidRDefault="0037104F" w:rsidP="00E56266">
            <w:pPr>
              <w:spacing w:after="0" w:line="240" w:lineRule="auto"/>
              <w:ind w:firstLine="2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MK noteikumu Nr. 397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punkts paredz </w:t>
            </w:r>
            <w:r w:rsidR="0030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CbCr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iekļauto informāciju izmantot augsta līmeņa transfertcenu risku un citu risku, kas saistīti ar</w:t>
            </w:r>
            <w:r w:rsidR="0084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maksājamo </w:t>
            </w:r>
            <w:r w:rsidR="00627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nodokļu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bāzes samazināšanu un peļņas novirzīšanu,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izvērtējumam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kā arī, ekonomiskās un statistikās analīzes un kontroles pasākumu veikšanai. </w:t>
            </w:r>
            <w:r w:rsid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Lai nodrošinātu, ka CbCr </w:t>
            </w:r>
            <w:r w:rsidR="00B9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iekļautā </w:t>
            </w:r>
            <w:r w:rsid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informācija tiek </w:t>
            </w:r>
            <w:r w:rsidR="00D3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pilnībā </w:t>
            </w:r>
            <w:r w:rsid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izmantota atbilstoši OECD vadlīnijām par CbCr </w:t>
            </w:r>
            <w:r w:rsidR="00B9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iekļautās </w:t>
            </w:r>
            <w:r w:rsid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informācijas pareizu izmantošanu</w:t>
            </w:r>
            <w:r w:rsidR="009E5C1B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3"/>
            </w:r>
            <w:r w:rsid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grozījumi paredz </w:t>
            </w:r>
            <w:r w:rsidR="00B9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precizēt un papildināt </w:t>
            </w:r>
            <w:r w:rsidR="00BC4E8D" w:rsidRPr="005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MK noteikumu Nr. 397 7. punktā </w:t>
            </w:r>
            <w:r w:rsidR="00B93F7A" w:rsidRPr="005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</w:t>
            </w:r>
            <w:r w:rsidR="00B9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kļaut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B93F7A" w:rsidRPr="005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4E8D" w:rsidRPr="005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informācij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BC4E8D" w:rsidRPr="00546C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  <w:r w:rsidR="00DF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Noteikumu projektā iekļautais regulējums paredz</w:t>
            </w:r>
            <w:r w:rsidR="00B9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gadījumus</w:t>
            </w:r>
            <w:r w:rsidR="00B9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kuros</w:t>
            </w:r>
            <w:r w:rsidR="0091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CbCr</w:t>
            </w:r>
            <w:r w:rsidR="0091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iekļautā informācija nevar tikt izmantota </w:t>
            </w:r>
            <w:r w:rsidR="00D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 pamatu</w:t>
            </w:r>
            <w:r w:rsidR="00B9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attiecīgi</w:t>
            </w:r>
            <w:r w:rsid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E5C1B" w:rsidRPr="009E5C1B" w:rsidRDefault="00DE3F8B" w:rsidP="009E5C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lai noteiktu </w:t>
            </w:r>
            <w:r w:rsidR="00910B07"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transfertcen</w:t>
            </w:r>
            <w:r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910B07"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atbilstību tirgus cenai (vērtībai)</w:t>
            </w:r>
            <w:r w:rsid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E5C1B" w:rsidRPr="00D349AC" w:rsidRDefault="00910B07" w:rsidP="009E5C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detalizētas transfertcenu analīzes aizstāšanai </w:t>
            </w:r>
            <w:r w:rsidR="0049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katram konkrētam darījumam</w:t>
            </w:r>
            <w:r w:rsidR="00D3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349AC" w:rsidRPr="00D349AC" w:rsidRDefault="00D349AC" w:rsidP="00D349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nodokļu maksātāja ienākumu koriģēšanai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1976" w:rsidRPr="009E5C1B" w:rsidRDefault="00167E19" w:rsidP="009E5C1B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Grozījums paredzēts, lai noteiktu, ka Valsts ieņēmumu dienests nevar balstīties uz iepriekš minēto informāciju, lai veiktu atbilstošas</w:t>
            </w:r>
            <w:r w:rsidR="007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korekcijas. </w:t>
            </w:r>
            <w:r w:rsidR="00B9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Taču, n</w:t>
            </w:r>
            <w:r w:rsidR="00910B07"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eskatoties uz iepriekš </w:t>
            </w:r>
            <w:r w:rsidR="00DE3F8B"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noteikto liegumu izmantot </w:t>
            </w:r>
            <w:r w:rsidR="0030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CbCr</w:t>
            </w:r>
            <w:r w:rsidR="00306F67"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3F8B"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iekļauto informāciju noteiktiem mērķiem</w:t>
            </w:r>
            <w:r w:rsidR="00910B07"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="004166F9"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grozījum</w:t>
            </w:r>
            <w:r w:rsidR="0037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  <w:r w:rsidR="004166F9"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paredz</w:t>
            </w:r>
            <w:r w:rsidR="0037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ēts</w:t>
            </w:r>
            <w:r w:rsidR="004166F9"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ka </w:t>
            </w:r>
            <w:r w:rsidR="0030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CbCr</w:t>
            </w:r>
            <w:r w:rsidR="00306F67"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66F9"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iekļautā informācija var tikt izmantota detalizētākai informācijas izpētei par </w:t>
            </w:r>
            <w:r w:rsidR="0049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starptautiskas uzņēmumu grupas </w:t>
            </w:r>
            <w:r w:rsidR="004166F9"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transfertcenu noteikšanas kārtību vai cit</w:t>
            </w:r>
            <w:r w:rsidR="0049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iem</w:t>
            </w:r>
            <w:r w:rsidR="00D3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66F9"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nodokļ</w:t>
            </w:r>
            <w:r w:rsidR="0049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jautājumiem</w:t>
            </w:r>
            <w:r w:rsidR="00D3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nodokļu</w:t>
            </w:r>
            <w:r w:rsidR="0049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kontroles pasākumu</w:t>
            </w:r>
            <w:r w:rsidR="004166F9"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laikā, kur</w:t>
            </w:r>
            <w:r w:rsidR="0049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4166F9" w:rsidRPr="009E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rezultātā iespējams veikt arī atbilstošas korekcijas starptautiskas uzņēmumu grupas sastāvā esošās vienības ar </w:t>
            </w:r>
            <w:r w:rsidR="00A53736" w:rsidRPr="00A5373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nodokli apliekamajā bāzē</w:t>
            </w:r>
            <w:r w:rsidR="004166F9" w:rsidRPr="00A5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1976" w:rsidRPr="00546C08" w:rsidRDefault="00861976" w:rsidP="00861976">
            <w:pPr>
              <w:spacing w:after="0" w:line="240" w:lineRule="auto"/>
              <w:ind w:left="-32"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64F40" w:rsidRPr="00546C08" w:rsidRDefault="00C8625B" w:rsidP="00664F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teikumu</w:t>
            </w:r>
            <w:r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6C59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</w:t>
            </w:r>
            <w:r w:rsidR="00823F5F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5752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664F40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A6C59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punkts</w:t>
            </w:r>
          </w:p>
          <w:p w:rsidR="00630FB0" w:rsidRPr="00AB6EAB" w:rsidRDefault="00630FB0" w:rsidP="00630FB0">
            <w:pPr>
              <w:pStyle w:val="ListParagraph"/>
              <w:spacing w:after="0" w:line="240" w:lineRule="auto"/>
              <w:ind w:left="0"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MK noteikumu Nr. 397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punkta regulējums paredz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ka gadījumo</w:t>
            </w:r>
            <w:r w:rsidRPr="0056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ja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viena vai vairākas</w:t>
            </w:r>
            <w:r w:rsidRPr="0056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starptautiskās uzņēmumu grupas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sastāvā esošas vienības, kuras ir rezidenti</w:t>
            </w:r>
            <w:r w:rsidRPr="0056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nodokļu vajadzībām</w:t>
            </w:r>
            <w:r w:rsidR="0032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Eiropas Savienībā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="003229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E3D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CbCr </w:t>
            </w:r>
            <w:r w:rsidRPr="0056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iesniegšanai tiek izraudzīta viena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sastāvā esošajām vienībām</w:t>
            </w:r>
            <w:r w:rsidRPr="0056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kas atbilstu iesniegšanas prasībām visām šādas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starptautiskas uzņēmumu</w:t>
            </w:r>
            <w:r w:rsidRPr="00560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grupas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sastāvā esošām </w:t>
            </w:r>
            <w:r w:rsidRPr="0056026E">
              <w:rPr>
                <w:rFonts w:ascii="Times New Roman" w:eastAsia="Times New Roman" w:hAnsi="Times New Roman" w:cs="Times New Roman"/>
                <w:sz w:val="24"/>
                <w:szCs w:val="24"/>
              </w:rPr>
              <w:t>vienībām, kuras nodokļu vajadzībām ir rezidentes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</w:t>
            </w:r>
            <w:r w:rsidRPr="005602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B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Grozījums veikts, lai nodrošinātu tiesisko skaidrību, ņemot vērā, 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B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skatot šo punktu pēc tā būtības, </w:t>
            </w:r>
            <w:r w:rsidRPr="00AB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rezidence ir attiecināma uz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Latvijas Republiku</w:t>
            </w:r>
            <w:r w:rsidRPr="00AB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nevis ES kopumā.</w:t>
            </w:r>
          </w:p>
          <w:p w:rsidR="0056026E" w:rsidRPr="00630FB0" w:rsidRDefault="0056026E" w:rsidP="0063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F96" w:rsidRPr="00546C08" w:rsidRDefault="00C8625B" w:rsidP="00AB3F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teikumu</w:t>
            </w:r>
            <w:r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6C59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</w:t>
            </w:r>
            <w:r w:rsidR="00AB3F96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6C59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21E65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A6C59" w:rsidRPr="00546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punkts</w:t>
            </w:r>
          </w:p>
          <w:p w:rsidR="00B46DD4" w:rsidRPr="00546C08" w:rsidRDefault="00635EB2" w:rsidP="00630FB0">
            <w:pPr>
              <w:pStyle w:val="ListParagraph"/>
              <w:spacing w:after="0" w:line="240" w:lineRule="auto"/>
              <w:ind w:left="0" w:firstLine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Grozījumi </w:t>
            </w:r>
            <w:r w:rsidRPr="0054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MK noteikumu Nr. 397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 punktā paredzēti</w:t>
            </w:r>
            <w:r w:rsidR="00E56266" w:rsidRPr="00AB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lai nodrošinātu tiesisko skaidrību</w:t>
            </w:r>
            <w:r w:rsidR="0082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r w:rsidR="005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izvairītos no dažādām </w:t>
            </w:r>
            <w:r w:rsidR="0082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regulējum</w:t>
            </w:r>
            <w:r w:rsidR="005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82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interpret</w:t>
            </w:r>
            <w:r w:rsidR="005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ācijas iespējām</w:t>
            </w:r>
            <w:r w:rsidR="00B9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2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Ņ</w:t>
            </w:r>
            <w:r w:rsidR="00E56266" w:rsidRPr="00AB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emot vērā </w:t>
            </w:r>
            <w:r w:rsidR="00B9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OECD rekomendācijas</w:t>
            </w:r>
            <w:r w:rsidR="0082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Latvijas regulējuma uzlabošanai</w:t>
            </w:r>
            <w:r w:rsidR="005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2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veiktais grozījums precizē, </w:t>
            </w:r>
            <w:r w:rsidR="0063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r w:rsidR="00630FB0" w:rsidRPr="00AB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0FB0">
              <w:rPr>
                <w:rFonts w:ascii="Times New Roman" w:hAnsi="Times New Roman" w:cs="Times New Roman"/>
                <w:sz w:val="24"/>
              </w:rPr>
              <w:t>CbCr</w:t>
            </w:r>
            <w:r w:rsidR="00630FB0" w:rsidRPr="00AB6EAB">
              <w:rPr>
                <w:rFonts w:ascii="Times New Roman" w:hAnsi="Times New Roman" w:cs="Times New Roman"/>
                <w:sz w:val="24"/>
              </w:rPr>
              <w:t xml:space="preserve"> minētais termins “saistītās puses” attiecināms uz starptautiskas uzņēmumu grupas sastāvā esošām vienībām.</w:t>
            </w:r>
          </w:p>
        </w:tc>
      </w:tr>
      <w:tr w:rsidR="00E5323B" w:rsidRPr="00342B2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CD6C4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C4E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97C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97C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97C1C" w:rsidRDefault="00063AAA" w:rsidP="00441588">
            <w:pPr>
              <w:spacing w:after="0" w:line="240" w:lineRule="auto"/>
              <w:ind w:firstLine="26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61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Finanšu ministrija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415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ieņēmumu dienests</w:t>
            </w:r>
            <w:r w:rsidR="000233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342B2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CD6C4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C4E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97C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97C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97C1C" w:rsidRDefault="00097C1C" w:rsidP="00EF7431">
            <w:pPr>
              <w:spacing w:after="0" w:line="240" w:lineRule="auto"/>
              <w:ind w:firstLine="26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97C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0233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342B2F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p w:rsidR="00617BF8" w:rsidRPr="00342B2F" w:rsidRDefault="00617BF8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97C1C" w:rsidRPr="00097C1C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97C1C" w:rsidRDefault="00E5323B" w:rsidP="002E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97C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97C1C" w:rsidRPr="00097C1C" w:rsidTr="00DB554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97C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97C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97C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97C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097C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097C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C1C" w:rsidRPr="008046F3" w:rsidRDefault="006E34BC" w:rsidP="00B93F7A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</w:t>
            </w:r>
            <w:r w:rsidRPr="0080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projektā </w:t>
            </w:r>
            <w:r w:rsidR="00B93F7A" w:rsidRPr="008046F3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="00B93F7A">
              <w:rPr>
                <w:rFonts w:ascii="Times New Roman" w:eastAsia="Times New Roman" w:hAnsi="Times New Roman" w:cs="Times New Roman"/>
                <w:sz w:val="24"/>
                <w:szCs w:val="24"/>
              </w:rPr>
              <w:t>kļautie</w:t>
            </w:r>
            <w:r w:rsidR="00B93F7A" w:rsidRPr="0080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7C1C" w:rsidRPr="008046F3">
              <w:rPr>
                <w:rFonts w:ascii="Times New Roman" w:eastAsia="Times New Roman" w:hAnsi="Times New Roman" w:cs="Times New Roman"/>
                <w:sz w:val="24"/>
                <w:szCs w:val="24"/>
              </w:rPr>
              <w:t>grozījumi attieksies galvenokārt uz</w:t>
            </w:r>
            <w:r w:rsidR="008046F3" w:rsidRPr="0080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3ECB" w:rsidRPr="008046F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097C1C" w:rsidRPr="008046F3">
              <w:rPr>
                <w:rFonts w:ascii="Times New Roman" w:eastAsia="Times New Roman" w:hAnsi="Times New Roman" w:cs="Times New Roman"/>
                <w:sz w:val="24"/>
                <w:szCs w:val="24"/>
              </w:rPr>
              <w:t>odokļu maksātājiem, kas ir starptautiskas uzņēmumu grupas sastāvā un kur</w:t>
            </w:r>
            <w:r w:rsidR="00E73ECB" w:rsidRPr="008046F3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="00097C1C" w:rsidRPr="0080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ir jāiesniedz </w:t>
            </w:r>
            <w:r w:rsidR="009545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ieņēmumu dienestam</w:t>
            </w:r>
            <w:r w:rsidR="00097C1C" w:rsidRPr="0080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CbCr.</w:t>
            </w:r>
          </w:p>
        </w:tc>
      </w:tr>
      <w:tr w:rsidR="00097C1C" w:rsidRPr="00097C1C" w:rsidTr="00DB554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97C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97C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525CB" w:rsidRDefault="00E5323B" w:rsidP="00BF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7C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F02" w:rsidRPr="00097C1C" w:rsidRDefault="00441588" w:rsidP="005431FC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991224">
              <w:rPr>
                <w:rFonts w:ascii="Times New Roman" w:eastAsia="Times New Roman" w:hAnsi="Times New Roman" w:cs="Times New Roman"/>
                <w:sz w:val="24"/>
                <w:szCs w:val="24"/>
              </w:rPr>
              <w:t>oteikumos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veiktie grozījumi</w:t>
            </w:r>
            <w:r w:rsidR="0099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attiecībā uz </w:t>
            </w:r>
            <w:r w:rsidR="005431FC">
              <w:rPr>
                <w:rFonts w:ascii="Times New Roman" w:eastAsia="Times New Roman" w:hAnsi="Times New Roman" w:cs="Times New Roman"/>
                <w:sz w:val="24"/>
                <w:szCs w:val="24"/>
              </w:rPr>
              <w:t>CbCr</w:t>
            </w:r>
            <w:r w:rsidR="0099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ņemot vērā OECD rekomendācijas,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neuzliek papildus </w:t>
            </w:r>
            <w:r w:rsidR="00991224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99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E30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</w:t>
            </w:r>
            <w:r w:rsidR="009545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ieņēmumu dienestam</w:t>
            </w:r>
            <w:r w:rsidR="00991224">
              <w:rPr>
                <w:rFonts w:ascii="Times New Roman" w:eastAsia="Times New Roman" w:hAnsi="Times New Roman" w:cs="Times New Roman"/>
                <w:sz w:val="24"/>
                <w:szCs w:val="24"/>
              </w:rPr>
              <w:t>, ne nodokļu maksātājiem.</w:t>
            </w:r>
          </w:p>
        </w:tc>
      </w:tr>
      <w:tr w:rsidR="00097C1C" w:rsidRPr="00097C1C" w:rsidTr="00DB554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543" w:rsidRPr="00097C1C" w:rsidRDefault="00DB5543" w:rsidP="00DB55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97C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543" w:rsidRPr="00097C1C" w:rsidRDefault="00DB5543" w:rsidP="00DB55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97C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543" w:rsidRPr="00097C1C" w:rsidRDefault="00981970" w:rsidP="00C40A2D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  <w:tr w:rsidR="00097C1C" w:rsidRPr="00097C1C" w:rsidTr="00DB554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543" w:rsidRPr="00097C1C" w:rsidRDefault="00DB5543" w:rsidP="00DB55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97C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543" w:rsidRPr="00097C1C" w:rsidRDefault="00DB5543" w:rsidP="00DB55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97C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543" w:rsidRPr="00097C1C" w:rsidRDefault="00981970" w:rsidP="00C40A2D">
            <w:pPr>
              <w:spacing w:after="0" w:line="240" w:lineRule="auto"/>
              <w:ind w:firstLine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  <w:tr w:rsidR="00097C1C" w:rsidRPr="00097C1C" w:rsidTr="00DB554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543" w:rsidRPr="00097C1C" w:rsidRDefault="00DB5543" w:rsidP="00DB55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97C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543" w:rsidRPr="00097C1C" w:rsidRDefault="00DB5543" w:rsidP="00DB55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97C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543" w:rsidRPr="00097C1C" w:rsidRDefault="00DB5543" w:rsidP="00C40A2D">
            <w:pPr>
              <w:spacing w:after="0" w:line="240" w:lineRule="auto"/>
              <w:ind w:firstLine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1C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342B2F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p w:rsidR="00617BF8" w:rsidRPr="00342B2F" w:rsidRDefault="00617BF8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303D5" w:rsidRPr="006303D5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6303D5" w:rsidRDefault="00E5323B" w:rsidP="002E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303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303D5" w:rsidRPr="006303D5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56D" w:rsidRPr="00981970" w:rsidRDefault="00981970" w:rsidP="001A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81970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</w:tbl>
    <w:p w:rsidR="00617BF8" w:rsidRPr="0012066F" w:rsidRDefault="00617BF8" w:rsidP="0051212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de-DE"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303D5" w:rsidRPr="006303D5" w:rsidTr="006A7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123" w:rsidRPr="006303D5" w:rsidRDefault="00512123" w:rsidP="002E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303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C1BE5" w:rsidRPr="006303D5" w:rsidTr="006A7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1BE5" w:rsidRPr="006303D5" w:rsidRDefault="005C1BE5" w:rsidP="002E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81970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projekts šo jomu neskar.</w:t>
            </w:r>
          </w:p>
        </w:tc>
      </w:tr>
    </w:tbl>
    <w:p w:rsidR="00E5323B" w:rsidRPr="0012066F" w:rsidRDefault="00512123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de-DE" w:eastAsia="lv-LV"/>
        </w:rPr>
      </w:pPr>
      <w:r w:rsidRPr="0012066F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de-DE"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4"/>
        <w:gridCol w:w="2969"/>
        <w:gridCol w:w="5542"/>
      </w:tblGrid>
      <w:tr w:rsidR="00D13366" w:rsidRPr="00D13366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D13366" w:rsidRDefault="00E5323B" w:rsidP="002E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133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D13366" w:rsidRPr="00D13366" w:rsidTr="009E0DCE">
        <w:trPr>
          <w:tblCellSpacing w:w="15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543" w:rsidRPr="00D13366" w:rsidRDefault="00DB5543" w:rsidP="00DB55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133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543" w:rsidRPr="00D13366" w:rsidRDefault="00DB5543" w:rsidP="00DB55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133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010" w:rsidRPr="00981970" w:rsidRDefault="00BF1794" w:rsidP="00C40A2D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70">
              <w:rPr>
                <w:rFonts w:ascii="Times New Roman" w:eastAsia="Times New Roman" w:hAnsi="Times New Roman" w:cs="Times New Roman"/>
                <w:sz w:val="24"/>
                <w:szCs w:val="24"/>
              </w:rPr>
              <w:t>Padomes 2016. gada 25. maija direktīva (ES) 2016/881, ar ko direktīvu 2011/16/ES groza attiecībā uz obligātu automātisku informācijas apmaiņu nodokļu jomā (jeb DAC4)</w:t>
            </w:r>
            <w:r w:rsidR="006A73C2" w:rsidRPr="009819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3366" w:rsidRPr="00D13366" w:rsidTr="009E0DCE">
        <w:trPr>
          <w:tblCellSpacing w:w="15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543" w:rsidRPr="00D13366" w:rsidRDefault="00DB5543" w:rsidP="00DB55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133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543" w:rsidRPr="00D13366" w:rsidRDefault="00DB5543" w:rsidP="00DB55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133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543" w:rsidRPr="00D13366" w:rsidRDefault="004E118B" w:rsidP="00C40A2D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8B">
              <w:rPr>
                <w:rFonts w:ascii="Times New Roman" w:eastAsia="Times New Roman" w:hAnsi="Times New Roman" w:cs="Times New Roman"/>
                <w:sz w:val="24"/>
                <w:szCs w:val="24"/>
              </w:rPr>
              <w:t>Konvencija par savstarpējo administratīvo palīdzību nodokļu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118B">
              <w:rPr>
                <w:rFonts w:ascii="Times New Roman" w:eastAsia="Times New Roman" w:hAnsi="Times New Roman" w:cs="Times New Roman"/>
                <w:sz w:val="24"/>
                <w:szCs w:val="24"/>
              </w:rPr>
              <w:t>jomā.</w:t>
            </w:r>
          </w:p>
        </w:tc>
      </w:tr>
      <w:tr w:rsidR="00D13366" w:rsidRPr="00D13366" w:rsidTr="00F65295">
        <w:trPr>
          <w:tblCellSpacing w:w="15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543" w:rsidRPr="00D13366" w:rsidRDefault="00DB5543" w:rsidP="00DB55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133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543" w:rsidRPr="00D13366" w:rsidRDefault="00DB5543" w:rsidP="00DB55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133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EA3" w:rsidRPr="00D13366" w:rsidRDefault="00D93DC0" w:rsidP="005431FC">
            <w:pPr>
              <w:spacing w:before="100" w:beforeAutospacing="1" w:after="100" w:afterAutospacing="1" w:line="293" w:lineRule="atLeast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</w:t>
            </w:r>
            <w:r w:rsidR="006E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projektu paredzēts </w:t>
            </w:r>
            <w:r w:rsidR="0071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precizēt regulējumu, kas jau pastāv, ņemot vērā </w:t>
            </w:r>
            <w:r w:rsidR="0011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OECD rekomendācijas </w:t>
            </w:r>
            <w:r w:rsidR="005431F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B07B1">
              <w:rPr>
                <w:rFonts w:ascii="Times New Roman" w:eastAsia="Times New Roman" w:hAnsi="Times New Roman" w:cs="Times New Roman"/>
                <w:sz w:val="24"/>
                <w:szCs w:val="24"/>
              </w:rPr>
              <w:t>saistībā ar</w:t>
            </w:r>
            <w:r w:rsidR="005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DAC4 </w:t>
            </w:r>
            <w:r w:rsidR="005431FC">
              <w:rPr>
                <w:rFonts w:ascii="Times New Roman" w:eastAsia="Times New Roman" w:hAnsi="Times New Roman" w:cs="Times New Roman"/>
                <w:sz w:val="24"/>
                <w:szCs w:val="24"/>
              </w:rPr>
              <w:t>ieviešanu)</w:t>
            </w:r>
            <w:r w:rsidR="0071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Ņemot vērā, ka </w:t>
            </w:r>
            <w:r w:rsidR="00AB0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projektā iekļauto </w:t>
            </w:r>
            <w:r w:rsidR="00714158">
              <w:rPr>
                <w:rFonts w:ascii="Times New Roman" w:eastAsia="Times New Roman" w:hAnsi="Times New Roman" w:cs="Times New Roman"/>
                <w:sz w:val="24"/>
                <w:szCs w:val="24"/>
              </w:rPr>
              <w:t>grozījumu teksts skar regulējumu, kas paredzēts ieviešot direktīv</w:t>
            </w:r>
            <w:r w:rsidR="00EA0A2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714158">
              <w:rPr>
                <w:rFonts w:ascii="Times New Roman" w:eastAsia="Times New Roman" w:hAnsi="Times New Roman" w:cs="Times New Roman"/>
                <w:sz w:val="24"/>
                <w:szCs w:val="24"/>
              </w:rPr>
              <w:t>, tika aizpildīta 1.tabula arī attiecībā uz direktīv</w:t>
            </w:r>
            <w:r w:rsidR="0057432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71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kas jau iepriekš </w:t>
            </w:r>
            <w:r w:rsidR="00AB0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bija </w:t>
            </w:r>
            <w:r w:rsidR="0071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pilnībā ieviesta ar </w:t>
            </w:r>
            <w:r w:rsidR="00AB0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grozījumiem </w:t>
            </w:r>
            <w:r w:rsidR="00714158">
              <w:rPr>
                <w:rFonts w:ascii="Times New Roman" w:eastAsia="Times New Roman" w:hAnsi="Times New Roman" w:cs="Times New Roman"/>
                <w:sz w:val="24"/>
                <w:szCs w:val="24"/>
              </w:rPr>
              <w:t>likum</w:t>
            </w:r>
            <w:r w:rsidR="00AB07B1">
              <w:rPr>
                <w:rFonts w:ascii="Times New Roman" w:eastAsia="Times New Roman" w:hAnsi="Times New Roman" w:cs="Times New Roman"/>
                <w:sz w:val="24"/>
                <w:szCs w:val="24"/>
              </w:rPr>
              <w:t>ā “Par nodokļiem un nodevām” un pieņemot MK noteikumus Nr.</w:t>
            </w:r>
            <w:r w:rsidR="00AB07B1" w:rsidRPr="00AB07B1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  <w:r w:rsidR="007141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25010" w:rsidRPr="00943199" w:rsidRDefault="00D25010" w:rsidP="00D250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1"/>
        <w:gridCol w:w="4112"/>
        <w:gridCol w:w="1664"/>
        <w:gridCol w:w="1644"/>
      </w:tblGrid>
      <w:tr w:rsidR="00D25010" w:rsidRPr="00943199" w:rsidTr="009F6677">
        <w:tc>
          <w:tcPr>
            <w:tcW w:w="0" w:type="auto"/>
            <w:gridSpan w:val="4"/>
            <w:shd w:val="clear" w:color="auto" w:fill="auto"/>
            <w:hideMark/>
          </w:tcPr>
          <w:p w:rsidR="00D25010" w:rsidRPr="00943199" w:rsidRDefault="00D25010" w:rsidP="006A7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</w:pPr>
            <w:r w:rsidRPr="0094319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  <w:t>1.tabula</w:t>
            </w:r>
          </w:p>
          <w:p w:rsidR="00D25010" w:rsidRPr="00943199" w:rsidRDefault="00D25010" w:rsidP="006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lv-LV"/>
              </w:rPr>
            </w:pPr>
            <w:r w:rsidRPr="0094319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lv-LV"/>
              </w:rPr>
              <w:t>Tiesību akta projekta atbilstība ES tiesību aktiem</w:t>
            </w:r>
          </w:p>
        </w:tc>
      </w:tr>
      <w:tr w:rsidR="00D25010" w:rsidRPr="009F6677" w:rsidTr="006A371A">
        <w:tc>
          <w:tcPr>
            <w:tcW w:w="906" w:type="pct"/>
            <w:shd w:val="clear" w:color="auto" w:fill="auto"/>
            <w:hideMark/>
          </w:tcPr>
          <w:p w:rsidR="00D25010" w:rsidRPr="006A371A" w:rsidRDefault="00D25010" w:rsidP="006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Attiecīgā ES tiesību akta datums, numurs un nosaukums</w:t>
            </w:r>
          </w:p>
        </w:tc>
        <w:tc>
          <w:tcPr>
            <w:tcW w:w="4094" w:type="pct"/>
            <w:gridSpan w:val="3"/>
            <w:shd w:val="clear" w:color="auto" w:fill="auto"/>
            <w:hideMark/>
          </w:tcPr>
          <w:p w:rsidR="00033D4A" w:rsidRPr="006A371A" w:rsidRDefault="00033D4A" w:rsidP="0098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DAC4 – </w:t>
            </w:r>
            <w:r w:rsidR="00D93DCF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direktīva jau ir ieviesta, taču </w:t>
            </w:r>
            <w:r w:rsidR="00981970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atsevišķas normas šobrīd tiek grozītas</w:t>
            </w:r>
            <w:r w:rsidR="00D93DCF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.</w:t>
            </w:r>
          </w:p>
        </w:tc>
      </w:tr>
      <w:tr w:rsidR="00BC58EC" w:rsidRPr="009F6677" w:rsidTr="006A371A">
        <w:tc>
          <w:tcPr>
            <w:tcW w:w="906" w:type="pct"/>
            <w:shd w:val="clear" w:color="auto" w:fill="auto"/>
            <w:hideMark/>
          </w:tcPr>
          <w:p w:rsidR="00D25010" w:rsidRPr="006A371A" w:rsidRDefault="00D25010" w:rsidP="006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A</w:t>
            </w:r>
          </w:p>
        </w:tc>
        <w:tc>
          <w:tcPr>
            <w:tcW w:w="2269" w:type="pct"/>
            <w:shd w:val="clear" w:color="auto" w:fill="auto"/>
            <w:hideMark/>
          </w:tcPr>
          <w:p w:rsidR="00D25010" w:rsidRPr="006A371A" w:rsidRDefault="00D25010" w:rsidP="006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B</w:t>
            </w:r>
          </w:p>
        </w:tc>
        <w:tc>
          <w:tcPr>
            <w:tcW w:w="918" w:type="pct"/>
            <w:shd w:val="clear" w:color="auto" w:fill="auto"/>
            <w:hideMark/>
          </w:tcPr>
          <w:p w:rsidR="00D25010" w:rsidRPr="006A371A" w:rsidRDefault="00D25010" w:rsidP="006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C</w:t>
            </w:r>
          </w:p>
        </w:tc>
        <w:tc>
          <w:tcPr>
            <w:tcW w:w="907" w:type="pct"/>
            <w:shd w:val="clear" w:color="auto" w:fill="auto"/>
            <w:hideMark/>
          </w:tcPr>
          <w:p w:rsidR="00D25010" w:rsidRPr="006A371A" w:rsidRDefault="00D25010" w:rsidP="006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D</w:t>
            </w:r>
          </w:p>
        </w:tc>
      </w:tr>
      <w:tr w:rsidR="00BC58EC" w:rsidRPr="009F6677" w:rsidTr="009F6677">
        <w:tc>
          <w:tcPr>
            <w:tcW w:w="0" w:type="auto"/>
            <w:shd w:val="clear" w:color="auto" w:fill="auto"/>
          </w:tcPr>
          <w:p w:rsidR="009F6677" w:rsidRPr="006A371A" w:rsidRDefault="009F6677" w:rsidP="003B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Attiecīgā ES tiesību akta panta </w:t>
            </w: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lastRenderedPageBreak/>
              <w:t>numurs (uzskaitot katru tiesību akta vienību – pantu, daļu, punktu, apakšpunktu)</w:t>
            </w:r>
          </w:p>
        </w:tc>
        <w:tc>
          <w:tcPr>
            <w:tcW w:w="0" w:type="auto"/>
            <w:shd w:val="clear" w:color="auto" w:fill="auto"/>
          </w:tcPr>
          <w:p w:rsidR="009F6677" w:rsidRPr="006A371A" w:rsidRDefault="009F6677" w:rsidP="003B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lastRenderedPageBreak/>
              <w:t xml:space="preserve">Projekta vienība, kas pārņem vai ievieš katru šīs tabulas A ailē minēto ES tiesību akta vienību, </w:t>
            </w: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lastRenderedPageBreak/>
              <w:t>vai tiesību akts, kur attiecīgā ES tiesību akta vienība pārņemta vai ieviesta</w:t>
            </w:r>
          </w:p>
        </w:tc>
        <w:tc>
          <w:tcPr>
            <w:tcW w:w="0" w:type="auto"/>
            <w:shd w:val="clear" w:color="auto" w:fill="auto"/>
          </w:tcPr>
          <w:p w:rsidR="009F6677" w:rsidRPr="006A371A" w:rsidRDefault="009F6677" w:rsidP="003B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lastRenderedPageBreak/>
              <w:t xml:space="preserve">Informācija par to, vai šīs tabulas </w:t>
            </w: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lastRenderedPageBreak/>
              <w:t>A ailē minētās ES tiesību akta vienības tiek pārņemtas vai ieviestas pilnībā vai daļēji.</w:t>
            </w:r>
          </w:p>
          <w:p w:rsidR="009F6677" w:rsidRPr="006A371A" w:rsidRDefault="009F6677" w:rsidP="003B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9F6677" w:rsidRPr="006A371A" w:rsidRDefault="009F6677" w:rsidP="003B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Norāda institūciju, kas ir atbildīga par šo saistību izpildi pilnībā</w:t>
            </w:r>
          </w:p>
        </w:tc>
        <w:tc>
          <w:tcPr>
            <w:tcW w:w="0" w:type="auto"/>
            <w:shd w:val="clear" w:color="auto" w:fill="auto"/>
          </w:tcPr>
          <w:p w:rsidR="009F6677" w:rsidRPr="006A371A" w:rsidRDefault="009F6677" w:rsidP="003B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lastRenderedPageBreak/>
              <w:t xml:space="preserve">Informācija par to, vai šīs tabulas </w:t>
            </w: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lastRenderedPageBreak/>
              <w:t>B ailē minētās projekta vienības paredz stingrākas prasības nekā šīs tabulas A ailē minētās ES tiesību akta vienības.</w:t>
            </w:r>
          </w:p>
          <w:p w:rsidR="009F6677" w:rsidRPr="006A371A" w:rsidRDefault="009F6677" w:rsidP="003B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Ja projekts satur stingrākas prasības nekā attiecīgais ES tiesību akts, norāda pamatojumu un samērīgumu.</w:t>
            </w:r>
          </w:p>
          <w:p w:rsidR="009F6677" w:rsidRPr="006A371A" w:rsidRDefault="009F6677" w:rsidP="003B7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BC58EC" w:rsidRPr="009F6677" w:rsidTr="006A371A">
        <w:tc>
          <w:tcPr>
            <w:tcW w:w="906" w:type="pct"/>
            <w:shd w:val="clear" w:color="auto" w:fill="auto"/>
          </w:tcPr>
          <w:p w:rsidR="00252B92" w:rsidRPr="00FC3680" w:rsidRDefault="009D2538" w:rsidP="00CE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FC3680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lastRenderedPageBreak/>
              <w:t xml:space="preserve">DAC4 – </w:t>
            </w:r>
            <w:r w:rsidR="00747264"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3.pielikuma 1.iedaļ</w:t>
            </w:r>
            <w:r w:rsidR="00CE6104"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as</w:t>
            </w:r>
            <w:r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</w:t>
            </w:r>
            <w:r w:rsidR="00747264"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4</w:t>
            </w:r>
            <w:r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.</w:t>
            </w:r>
            <w:r w:rsidR="00747264"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punkts</w:t>
            </w:r>
            <w:r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.</w:t>
            </w:r>
          </w:p>
        </w:tc>
        <w:tc>
          <w:tcPr>
            <w:tcW w:w="2269" w:type="pct"/>
            <w:shd w:val="clear" w:color="auto" w:fill="auto"/>
          </w:tcPr>
          <w:p w:rsidR="00252B92" w:rsidRPr="006A371A" w:rsidRDefault="00FF61C2" w:rsidP="0094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Noteikumu </w:t>
            </w: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projekta </w:t>
            </w:r>
            <w:r w:rsidR="00B53BDD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1.</w:t>
            </w:r>
            <w:r w:rsidR="0053034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punkts</w:t>
            </w:r>
            <w:r w:rsidR="00B53BDD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(attiecībā uz </w:t>
            </w:r>
            <w:r w:rsidR="00940340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noteikumu</w:t>
            </w:r>
            <w:r w:rsidR="00940340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</w:t>
            </w:r>
            <w:r w:rsidR="00B53BDD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2</w:t>
            </w:r>
            <w:r w:rsidR="00940340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.</w:t>
            </w:r>
            <w:r w:rsidR="00B53BDD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3.</w:t>
            </w:r>
            <w:r w:rsidR="007B6F62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apakš</w:t>
            </w:r>
            <w:r w:rsidR="00B53BDD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punkta </w:t>
            </w:r>
            <w:r w:rsidR="00940340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papildināšanu</w:t>
            </w:r>
            <w:r w:rsidR="00B53BDD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)</w:t>
            </w:r>
          </w:p>
        </w:tc>
        <w:tc>
          <w:tcPr>
            <w:tcW w:w="918" w:type="pct"/>
            <w:shd w:val="clear" w:color="auto" w:fill="auto"/>
          </w:tcPr>
          <w:p w:rsidR="004E786F" w:rsidRPr="006A371A" w:rsidRDefault="00F36F6C" w:rsidP="00F3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Direktīvas prasības pārņemtas pilnībā.</w:t>
            </w:r>
          </w:p>
        </w:tc>
        <w:tc>
          <w:tcPr>
            <w:tcW w:w="907" w:type="pct"/>
            <w:shd w:val="clear" w:color="auto" w:fill="auto"/>
          </w:tcPr>
          <w:p w:rsidR="00252B92" w:rsidRPr="006A371A" w:rsidRDefault="00BC58EC" w:rsidP="006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Noteikumu 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projekta vienība neparedz stingrākas prasības nekā direk</w:t>
            </w:r>
            <w:r w:rsidR="00B51C1F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t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īvā.</w:t>
            </w:r>
          </w:p>
        </w:tc>
      </w:tr>
      <w:tr w:rsidR="00BC58EC" w:rsidRPr="009F6677" w:rsidTr="006A371A">
        <w:tc>
          <w:tcPr>
            <w:tcW w:w="906" w:type="pct"/>
            <w:shd w:val="clear" w:color="auto" w:fill="auto"/>
          </w:tcPr>
          <w:p w:rsidR="00F36F6C" w:rsidRPr="00FC3680" w:rsidRDefault="00366F5F" w:rsidP="0036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FC3680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DAC4 – </w:t>
            </w:r>
            <w:r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1.pant</w:t>
            </w:r>
            <w:r w:rsidR="00FC211D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a 3</w:t>
            </w:r>
            <w:r w:rsidR="007B6F62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.</w:t>
            </w:r>
            <w:r w:rsidR="00FC211D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punktā</w:t>
            </w:r>
            <w:r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iekļautais grozāmās direktīvas 16.panta 6.punkts.</w:t>
            </w:r>
          </w:p>
        </w:tc>
        <w:tc>
          <w:tcPr>
            <w:tcW w:w="2269" w:type="pct"/>
            <w:shd w:val="clear" w:color="auto" w:fill="auto"/>
          </w:tcPr>
          <w:p w:rsidR="00F36F6C" w:rsidRPr="006A371A" w:rsidRDefault="00FF61C2" w:rsidP="0053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Noteikumu </w:t>
            </w: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projekta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2.</w:t>
            </w:r>
            <w:r w:rsidR="0053034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punkts</w:t>
            </w:r>
            <w:r w:rsidR="0053034A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(attiecībā uz </w:t>
            </w:r>
            <w:r w:rsidR="00940340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noteikumu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</w:t>
            </w:r>
            <w:r w:rsidR="00940340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7.punkta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</w:t>
            </w:r>
            <w:r w:rsidR="00940340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grozījumu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)</w:t>
            </w:r>
          </w:p>
        </w:tc>
        <w:tc>
          <w:tcPr>
            <w:tcW w:w="918" w:type="pct"/>
            <w:shd w:val="clear" w:color="auto" w:fill="auto"/>
          </w:tcPr>
          <w:p w:rsidR="00F36F6C" w:rsidRPr="00BC58EC" w:rsidRDefault="00F36F6C" w:rsidP="0074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BC58EC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Direktīvas prasības pārņemtas </w:t>
            </w:r>
            <w:r w:rsidR="00747264" w:rsidRPr="00BC58EC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pilnībā</w:t>
            </w:r>
            <w:r w:rsidRPr="00BC58EC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.</w:t>
            </w:r>
          </w:p>
        </w:tc>
        <w:tc>
          <w:tcPr>
            <w:tcW w:w="907" w:type="pct"/>
            <w:shd w:val="clear" w:color="auto" w:fill="auto"/>
          </w:tcPr>
          <w:p w:rsidR="00F36F6C" w:rsidRPr="00BC58EC" w:rsidRDefault="00BC58EC" w:rsidP="00F3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BC58EC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Noteikumu </w:t>
            </w:r>
            <w:r w:rsidR="00F36F6C" w:rsidRPr="00BC58EC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projekta vienība neparedz stingrākas prasības nekā direk</w:t>
            </w:r>
            <w:r w:rsidR="00B51C1F" w:rsidRPr="00BC58EC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t</w:t>
            </w:r>
            <w:r w:rsidR="00F36F6C" w:rsidRPr="00BC58EC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īvā.</w:t>
            </w:r>
          </w:p>
        </w:tc>
      </w:tr>
      <w:tr w:rsidR="00BC58EC" w:rsidRPr="009F6677" w:rsidTr="006A371A">
        <w:tc>
          <w:tcPr>
            <w:tcW w:w="906" w:type="pct"/>
            <w:shd w:val="clear" w:color="auto" w:fill="auto"/>
          </w:tcPr>
          <w:p w:rsidR="00F36F6C" w:rsidRPr="00FC3680" w:rsidRDefault="00F36F6C" w:rsidP="00CE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FC3680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DAC4 – </w:t>
            </w:r>
            <w:r w:rsidR="008D562E"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3.pielikuma 2.iedaļ</w:t>
            </w:r>
            <w:r w:rsidR="00CE6104"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as</w:t>
            </w:r>
            <w:r w:rsidR="008D562E"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1.punkts.</w:t>
            </w:r>
          </w:p>
        </w:tc>
        <w:tc>
          <w:tcPr>
            <w:tcW w:w="2269" w:type="pct"/>
            <w:shd w:val="clear" w:color="auto" w:fill="auto"/>
          </w:tcPr>
          <w:p w:rsidR="00F36F6C" w:rsidRPr="006A371A" w:rsidRDefault="00FF61C2" w:rsidP="0053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Noteikumu </w:t>
            </w: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projekta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3.</w:t>
            </w:r>
            <w:r w:rsidR="0053034A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</w:t>
            </w:r>
            <w:r w:rsidR="0053034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unkts</w:t>
            </w:r>
            <w:r w:rsidR="0053034A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(attiecībā uz </w:t>
            </w:r>
            <w:r w:rsidR="00940340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noteikumu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</w:t>
            </w:r>
            <w:r w:rsidR="00940340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13.punkta grozījumu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)</w:t>
            </w:r>
          </w:p>
        </w:tc>
        <w:tc>
          <w:tcPr>
            <w:tcW w:w="918" w:type="pct"/>
            <w:shd w:val="clear" w:color="auto" w:fill="auto"/>
          </w:tcPr>
          <w:p w:rsidR="00F36F6C" w:rsidRPr="00BC58EC" w:rsidRDefault="00F36F6C" w:rsidP="00F3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BC58EC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Direktīvas prasības pārņemtas pilnībā.</w:t>
            </w:r>
          </w:p>
        </w:tc>
        <w:tc>
          <w:tcPr>
            <w:tcW w:w="907" w:type="pct"/>
            <w:shd w:val="clear" w:color="auto" w:fill="auto"/>
          </w:tcPr>
          <w:p w:rsidR="00F36F6C" w:rsidRPr="00BC58EC" w:rsidRDefault="00BC58EC" w:rsidP="00F3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BC58EC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Noteikumu </w:t>
            </w:r>
            <w:r w:rsidR="00F36F6C" w:rsidRPr="00BC58EC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projekta vienība neparedz stingrākas prasības nekā direk</w:t>
            </w:r>
            <w:r w:rsidR="00B51C1F" w:rsidRPr="00BC58EC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t</w:t>
            </w:r>
            <w:r w:rsidR="00F36F6C" w:rsidRPr="00BC58EC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īvā.</w:t>
            </w:r>
          </w:p>
        </w:tc>
      </w:tr>
      <w:tr w:rsidR="00BC58EC" w:rsidRPr="009F6677" w:rsidTr="006A371A">
        <w:tc>
          <w:tcPr>
            <w:tcW w:w="906" w:type="pct"/>
            <w:shd w:val="clear" w:color="auto" w:fill="auto"/>
          </w:tcPr>
          <w:p w:rsidR="00F36F6C" w:rsidRPr="00FC3680" w:rsidRDefault="00E83EF4" w:rsidP="00CE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FC3680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DAC4 – </w:t>
            </w:r>
            <w:r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3.pielikuma 3.iedaļ</w:t>
            </w:r>
            <w:r w:rsidR="00CE6104"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as</w:t>
            </w:r>
            <w:r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C daļ</w:t>
            </w:r>
            <w:r w:rsidR="00CE6104"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as</w:t>
            </w:r>
            <w:r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1.2.</w:t>
            </w:r>
            <w:r w:rsidR="007B6F62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apakš</w:t>
            </w:r>
            <w:r w:rsidRPr="00CE610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punkts.</w:t>
            </w:r>
          </w:p>
        </w:tc>
        <w:tc>
          <w:tcPr>
            <w:tcW w:w="2269" w:type="pct"/>
            <w:shd w:val="clear" w:color="auto" w:fill="auto"/>
          </w:tcPr>
          <w:p w:rsidR="00F36F6C" w:rsidRPr="006A371A" w:rsidRDefault="00FF61C2" w:rsidP="0053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Noteikumu </w:t>
            </w: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projekta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4.</w:t>
            </w:r>
            <w:r w:rsidR="0053034A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</w:t>
            </w:r>
            <w:r w:rsidR="0053034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unkts</w:t>
            </w:r>
            <w:r w:rsidR="0053034A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(attiecībā uz </w:t>
            </w:r>
            <w:r w:rsidR="00940340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noteikumu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</w:t>
            </w:r>
            <w:r w:rsidR="00940340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21.2.1.apakšpunkta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grozījumu)</w:t>
            </w:r>
          </w:p>
        </w:tc>
        <w:tc>
          <w:tcPr>
            <w:tcW w:w="918" w:type="pct"/>
            <w:shd w:val="clear" w:color="auto" w:fill="auto"/>
          </w:tcPr>
          <w:p w:rsidR="00F36F6C" w:rsidRPr="006A371A" w:rsidRDefault="00F36F6C" w:rsidP="00F3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Direktīvas prasības pārņemtas pilnībā.</w:t>
            </w:r>
          </w:p>
        </w:tc>
        <w:tc>
          <w:tcPr>
            <w:tcW w:w="907" w:type="pct"/>
            <w:shd w:val="clear" w:color="auto" w:fill="auto"/>
          </w:tcPr>
          <w:p w:rsidR="00F36F6C" w:rsidRPr="006A371A" w:rsidRDefault="00BC58EC" w:rsidP="00F3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BC58EC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Noteikumu </w:t>
            </w:r>
            <w:r w:rsidR="00F36F6C" w:rsidRPr="00BC58EC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projekta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vienība neparedz stingrākas prasības nekā direk</w:t>
            </w:r>
            <w:r w:rsidR="00B51C1F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t</w:t>
            </w:r>
            <w:r w:rsidR="00F36F6C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īvā.</w:t>
            </w:r>
          </w:p>
        </w:tc>
      </w:tr>
      <w:tr w:rsidR="00D25010" w:rsidRPr="009F6677" w:rsidTr="006A371A">
        <w:tc>
          <w:tcPr>
            <w:tcW w:w="906" w:type="pct"/>
            <w:shd w:val="clear" w:color="auto" w:fill="auto"/>
          </w:tcPr>
          <w:p w:rsidR="00D25010" w:rsidRPr="006A371A" w:rsidRDefault="00D25010" w:rsidP="006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Kā ir izmantota ES tiesību aktā paredzētā rīcības brīvība dalībvalstij pārņemt vai ieviest noteiktas </w:t>
            </w: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lastRenderedPageBreak/>
              <w:t>ES tiesību akta normas?</w:t>
            </w: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br/>
              <w:t>Kādēļ?</w:t>
            </w:r>
          </w:p>
        </w:tc>
        <w:tc>
          <w:tcPr>
            <w:tcW w:w="4094" w:type="pct"/>
            <w:gridSpan w:val="3"/>
            <w:shd w:val="clear" w:color="auto" w:fill="auto"/>
          </w:tcPr>
          <w:p w:rsidR="00D25010" w:rsidRPr="006A371A" w:rsidRDefault="00FF61C2" w:rsidP="001A3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lastRenderedPageBreak/>
              <w:t>Noteikumu projekt</w:t>
            </w:r>
            <w:r w:rsidR="006A73C2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s šo jomu neskar</w:t>
            </w:r>
            <w:r w:rsidR="0011686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.</w:t>
            </w:r>
          </w:p>
        </w:tc>
      </w:tr>
      <w:tr w:rsidR="00D25010" w:rsidRPr="009F6677" w:rsidTr="006A371A">
        <w:tc>
          <w:tcPr>
            <w:tcW w:w="906" w:type="pct"/>
            <w:shd w:val="clear" w:color="auto" w:fill="auto"/>
            <w:hideMark/>
          </w:tcPr>
          <w:p w:rsidR="00D25010" w:rsidRPr="006A371A" w:rsidRDefault="00D25010" w:rsidP="006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4094" w:type="pct"/>
            <w:gridSpan w:val="3"/>
            <w:shd w:val="clear" w:color="auto" w:fill="auto"/>
            <w:hideMark/>
          </w:tcPr>
          <w:p w:rsidR="00D25010" w:rsidRPr="006A371A" w:rsidRDefault="00FF61C2" w:rsidP="001A3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Noteikumu projekt</w:t>
            </w: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s </w:t>
            </w:r>
            <w:r w:rsidR="00D25010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šo jomu neskar</w:t>
            </w:r>
            <w:r w:rsidR="0011686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.</w:t>
            </w:r>
          </w:p>
        </w:tc>
      </w:tr>
      <w:tr w:rsidR="00D25010" w:rsidRPr="009F6677" w:rsidTr="006A371A">
        <w:tc>
          <w:tcPr>
            <w:tcW w:w="906" w:type="pct"/>
            <w:shd w:val="clear" w:color="auto" w:fill="auto"/>
            <w:hideMark/>
          </w:tcPr>
          <w:p w:rsidR="00D25010" w:rsidRPr="006A371A" w:rsidRDefault="00D25010" w:rsidP="006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Cita informācija</w:t>
            </w:r>
          </w:p>
        </w:tc>
        <w:tc>
          <w:tcPr>
            <w:tcW w:w="4094" w:type="pct"/>
            <w:gridSpan w:val="3"/>
            <w:shd w:val="clear" w:color="auto" w:fill="auto"/>
            <w:hideMark/>
          </w:tcPr>
          <w:p w:rsidR="00D25010" w:rsidRPr="006A371A" w:rsidRDefault="00116864" w:rsidP="00B1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Nav.</w:t>
            </w:r>
          </w:p>
        </w:tc>
      </w:tr>
      <w:tr w:rsidR="00D25010" w:rsidRPr="009F6677" w:rsidTr="009F6677">
        <w:tc>
          <w:tcPr>
            <w:tcW w:w="0" w:type="auto"/>
            <w:gridSpan w:val="4"/>
            <w:shd w:val="clear" w:color="auto" w:fill="auto"/>
            <w:hideMark/>
          </w:tcPr>
          <w:p w:rsidR="00D25010" w:rsidRPr="006A371A" w:rsidRDefault="00D25010" w:rsidP="006A7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lv-LV"/>
              </w:rPr>
              <w:t>2.tabula</w:t>
            </w:r>
          </w:p>
          <w:p w:rsidR="00D25010" w:rsidRPr="006A371A" w:rsidRDefault="00D25010" w:rsidP="006A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 w:rsidRPr="006A371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lv-LV"/>
              </w:rPr>
              <w:t>Ar tiesību akta projektu izpildītās vai uzņemtās saistības, kas izriet no starptautiskajiem tiesību aktiem vai starptautiskas institūcijas vai organizācijas dokumentiem.</w:t>
            </w:r>
            <w:r w:rsidRPr="006A371A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lv-LV"/>
              </w:rPr>
              <w:br/>
              <w:t>Pasākumi šo saistību izpildei</w:t>
            </w:r>
          </w:p>
        </w:tc>
      </w:tr>
      <w:tr w:rsidR="00D25010" w:rsidRPr="009F6677" w:rsidTr="009F6677">
        <w:tc>
          <w:tcPr>
            <w:tcW w:w="5000" w:type="pct"/>
            <w:gridSpan w:val="4"/>
            <w:shd w:val="clear" w:color="auto" w:fill="auto"/>
            <w:hideMark/>
          </w:tcPr>
          <w:p w:rsidR="00D25010" w:rsidRPr="006A371A" w:rsidRDefault="00FF61C2" w:rsidP="001A3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Noteikumu projekt</w:t>
            </w:r>
            <w:r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s</w:t>
            </w:r>
            <w:r w:rsidR="00D25010" w:rsidRPr="006A371A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 xml:space="preserve"> šo jomu neskar</w:t>
            </w:r>
            <w:r w:rsidR="00116864">
              <w:rPr>
                <w:rFonts w:ascii="Times New Roman" w:eastAsia="Times New Roman" w:hAnsi="Times New Roman" w:cs="Times New Roman"/>
                <w:sz w:val="20"/>
                <w:szCs w:val="26"/>
                <w:lang w:eastAsia="lv-LV"/>
              </w:rPr>
              <w:t>.</w:t>
            </w:r>
          </w:p>
        </w:tc>
      </w:tr>
    </w:tbl>
    <w:p w:rsidR="00D25010" w:rsidRDefault="00D25010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p w:rsidR="00E5323B" w:rsidRPr="00342B2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342B2F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"/>
        <w:gridCol w:w="3185"/>
        <w:gridCol w:w="5555"/>
      </w:tblGrid>
      <w:tr w:rsidR="009E0DCE" w:rsidRPr="009E0DCE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E0DCE" w:rsidRDefault="00E5323B" w:rsidP="002E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E0D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9E0DCE" w:rsidRPr="009E0DCE" w:rsidTr="00931E25">
        <w:trPr>
          <w:tblCellSpacing w:w="15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177C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17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E0D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E0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447" w:rsidRDefault="0053034A" w:rsidP="001C6447">
            <w:pPr>
              <w:spacing w:after="0" w:line="240" w:lineRule="auto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47">
              <w:rPr>
                <w:rFonts w:ascii="Times New Roman" w:hAnsi="Times New Roman" w:cs="Times New Roman"/>
                <w:sz w:val="24"/>
                <w:szCs w:val="24"/>
              </w:rPr>
              <w:t>Pirms noteikumu projekta izsludināšanas i</w:t>
            </w:r>
            <w:r w:rsidR="00193E80" w:rsidRPr="001C6447">
              <w:rPr>
                <w:rFonts w:ascii="Times New Roman" w:hAnsi="Times New Roman" w:cs="Times New Roman"/>
                <w:sz w:val="24"/>
                <w:szCs w:val="24"/>
              </w:rPr>
              <w:t xml:space="preserve">nformācija par </w:t>
            </w:r>
            <w:r w:rsidR="001C6447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="00193E80" w:rsidRPr="001C6447">
              <w:rPr>
                <w:rFonts w:ascii="Times New Roman" w:hAnsi="Times New Roman" w:cs="Times New Roman"/>
                <w:sz w:val="24"/>
                <w:szCs w:val="24"/>
              </w:rPr>
              <w:t>projekta izstrādi tik</w:t>
            </w:r>
            <w:r w:rsidRPr="001C644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93E80" w:rsidRPr="001C6447">
              <w:rPr>
                <w:rFonts w:ascii="Times New Roman" w:hAnsi="Times New Roman" w:cs="Times New Roman"/>
                <w:sz w:val="24"/>
                <w:szCs w:val="24"/>
              </w:rPr>
              <w:t xml:space="preserve"> publicēta Finanšu ministrijas </w:t>
            </w:r>
            <w:r w:rsidRPr="001C6447">
              <w:rPr>
                <w:rFonts w:ascii="Times New Roman" w:hAnsi="Times New Roman" w:cs="Times New Roman"/>
                <w:sz w:val="24"/>
                <w:szCs w:val="24"/>
              </w:rPr>
              <w:t xml:space="preserve">tīmekļvietnē </w:t>
            </w:r>
            <w:r w:rsidR="00193E80" w:rsidRPr="001C6447">
              <w:rPr>
                <w:rFonts w:ascii="Times New Roman" w:hAnsi="Times New Roman" w:cs="Times New Roman"/>
                <w:sz w:val="24"/>
                <w:szCs w:val="24"/>
              </w:rPr>
              <w:t>sadaļā “Sabiedrības līdzdalība” – “Tiesību aktu projekti” – “Nodokļu politika”.</w:t>
            </w:r>
          </w:p>
          <w:p w:rsidR="00E5323B" w:rsidRPr="00193E80" w:rsidRDefault="00193E80" w:rsidP="001C6447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7">
              <w:rPr>
                <w:rFonts w:ascii="Times New Roman" w:hAnsi="Times New Roman" w:cs="Times New Roman"/>
                <w:sz w:val="24"/>
                <w:szCs w:val="24"/>
              </w:rPr>
              <w:t xml:space="preserve">Līdz ar to sabiedrības pārstāvji var līdzdarboties noteikumu projekta izstrādē, </w:t>
            </w:r>
            <w:proofErr w:type="spellStart"/>
            <w:r w:rsidRPr="001C6447">
              <w:rPr>
                <w:rFonts w:ascii="Times New Roman" w:hAnsi="Times New Roman" w:cs="Times New Roman"/>
                <w:sz w:val="24"/>
                <w:szCs w:val="24"/>
              </w:rPr>
              <w:t>rakstveidā</w:t>
            </w:r>
            <w:proofErr w:type="spellEnd"/>
            <w:r w:rsidRPr="001C6447">
              <w:rPr>
                <w:rFonts w:ascii="Times New Roman" w:hAnsi="Times New Roman" w:cs="Times New Roman"/>
                <w:sz w:val="24"/>
                <w:szCs w:val="24"/>
              </w:rPr>
              <w:t xml:space="preserve"> sniedzot viedokļus </w:t>
            </w:r>
            <w:r w:rsidR="001C6447" w:rsidRPr="001C6447">
              <w:rPr>
                <w:rFonts w:ascii="Times New Roman" w:hAnsi="Times New Roman" w:cs="Times New Roman"/>
                <w:sz w:val="24"/>
                <w:szCs w:val="24"/>
              </w:rPr>
              <w:t>gan pirms, gan</w:t>
            </w:r>
            <w:r w:rsidRPr="001C6447">
              <w:rPr>
                <w:rFonts w:ascii="Times New Roman" w:hAnsi="Times New Roman" w:cs="Times New Roman"/>
                <w:sz w:val="24"/>
                <w:szCs w:val="24"/>
              </w:rPr>
              <w:t xml:space="preserve"> pēc tā izsludināšanas Valsts sekretāru sanāksmē.</w:t>
            </w:r>
          </w:p>
        </w:tc>
      </w:tr>
      <w:tr w:rsidR="009E0DCE" w:rsidRPr="009E0DCE" w:rsidTr="00931E25">
        <w:trPr>
          <w:tblCellSpacing w:w="15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177C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17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E0D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E0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23B" w:rsidRPr="00931E25" w:rsidRDefault="00931E25" w:rsidP="00E309C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31E25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abiedrības pārstāvji varēja līdzdarboties regulējuma</w:t>
            </w: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izstrādē, līdz 2019. gada 10</w:t>
            </w:r>
            <w:r w:rsidRPr="00931E25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oktobrim</w:t>
            </w:r>
            <w:r w:rsidRPr="00931E25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31E25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rakstve</w:t>
            </w: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idā</w:t>
            </w:r>
            <w:proofErr w:type="spellEnd"/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sniedzot viedokļus par noteikumu </w:t>
            </w:r>
            <w:r w:rsidRPr="00931E25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projektu</w:t>
            </w:r>
            <w:r w:rsidRPr="00931E25">
              <w:rPr>
                <w:rFonts w:ascii="Times New Roman" w:hAnsi="Times New Roman" w:cs="Times New Roman"/>
                <w:iCs/>
                <w:sz w:val="24"/>
                <w:szCs w:val="24"/>
              </w:rPr>
              <w:t>, par kura izstrādi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informācija tika publicēta 2019. gada 16</w:t>
            </w:r>
            <w:r w:rsidRPr="00931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 septembrī Finanšu ministrijas tīmekļvietnē sadaļā “Sabiedrības līdzdalība” </w:t>
            </w:r>
            <w:r w:rsidRPr="00931E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– “Tiesību aktu projekti” – “Nodokļu politika”, adrese: </w:t>
            </w:r>
            <w:r w:rsidR="00BB3557" w:rsidRPr="00BB35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http://www.fm.gov.lv/lv/Sabiedribas_lidzdaliba/tiesibu_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31E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aktu_proj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ekti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/nodoklu_politika#project601</w:t>
            </w:r>
            <w:r w:rsidRPr="00931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un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2019. gada 17</w:t>
            </w:r>
            <w:r w:rsidRPr="00931E25">
              <w:rPr>
                <w:rFonts w:ascii="Times New Roman" w:hAnsi="Times New Roman" w:cs="Times New Roman"/>
                <w:iCs/>
                <w:sz w:val="24"/>
                <w:szCs w:val="24"/>
              </w:rPr>
              <w:t>. septembrī Ministru kabineta tīmekļvietnē sadaļā “Valsts kanceleja” – “Sabiedrības līdzdalība</w:t>
            </w:r>
            <w:r w:rsidRPr="00931E25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 w:rsidRPr="00931E25">
              <w:rPr>
                <w:rFonts w:ascii="Times New Roman" w:hAnsi="Times New Roman" w:cs="Times New Roman"/>
                <w:iCs/>
                <w:sz w:val="24"/>
                <w:szCs w:val="24"/>
              </w:rPr>
              <w:t>adrese:</w:t>
            </w:r>
            <w:r w:rsidRPr="009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E25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https://mk.gov.lv/content/ministru-kabineta-diskusiju-dokumenti</w:t>
            </w:r>
            <w:r w:rsidRPr="009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0DCE" w:rsidRPr="009E0DCE" w:rsidTr="00931E25">
        <w:trPr>
          <w:tblCellSpacing w:w="15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177C4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177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E0D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E0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23B" w:rsidRPr="0008371F" w:rsidRDefault="00441588" w:rsidP="00716500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415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pārstāvju iebildumi un priekšlikumi nav saņemti.</w:t>
            </w:r>
          </w:p>
        </w:tc>
      </w:tr>
      <w:tr w:rsidR="009E0DCE" w:rsidRPr="009E0DCE" w:rsidTr="00931E25">
        <w:trPr>
          <w:tblCellSpacing w:w="15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E0D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E0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E0DC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E0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23B" w:rsidRPr="002845EE" w:rsidRDefault="002845EE" w:rsidP="002845EE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845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 pēc normatīvā akta pieņemšanas tiks informēta ar publikāciju oficiālajā izdevumā “Latvijas Vēstnesis”, kā arī ievietojot to bezmaksas normatīvo aktu datu bāzē </w:t>
            </w:r>
            <w:hyperlink r:id="rId11" w:history="1">
              <w:r w:rsidR="00745E63" w:rsidRPr="00913F5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www.likumi.lv</w:t>
              </w:r>
            </w:hyperlink>
            <w:r w:rsidRPr="002845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342B2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342B2F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C4CE2" w:rsidRPr="003C4CE2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3C4CE2" w:rsidRDefault="00E5323B" w:rsidP="002E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C4C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3C4CE2" w:rsidRPr="003C4CE2" w:rsidTr="00E06B3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3C4C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C4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C4C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C4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C4CE2" w:rsidRDefault="00745E63" w:rsidP="00C40A2D">
            <w:pPr>
              <w:spacing w:after="0" w:line="240" w:lineRule="auto"/>
              <w:ind w:firstLine="26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ieņēmumu dienests</w:t>
            </w:r>
            <w:r w:rsidR="00F249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3C4CE2" w:rsidRPr="003C4CE2" w:rsidTr="00E06B3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B33" w:rsidRPr="003C4CE2" w:rsidRDefault="00E06B33" w:rsidP="00E06B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C4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B33" w:rsidRPr="003C4CE2" w:rsidRDefault="00E06B33" w:rsidP="00E06B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C4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3C4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F13" w:rsidRDefault="00430A82" w:rsidP="00481F13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</w:t>
            </w:r>
            <w:r w:rsidR="00E06B33" w:rsidRPr="003C4CE2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nemaina iesaistīto institūciju kompetenci un funkcijas.</w:t>
            </w:r>
          </w:p>
          <w:p w:rsidR="00E06B33" w:rsidRDefault="00E06B33" w:rsidP="00472728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E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472728">
              <w:rPr>
                <w:rFonts w:ascii="Times New Roman" w:eastAsia="Times New Roman" w:hAnsi="Times New Roman" w:cs="Times New Roman"/>
                <w:sz w:val="24"/>
                <w:szCs w:val="24"/>
              </w:rPr>
              <w:t>oteikumu projekts neparedz veidot</w:t>
            </w:r>
            <w:r w:rsidRPr="003C4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jaunas institūcijas, reorganizēt vai likvidēt esošās institūcijas.</w:t>
            </w:r>
          </w:p>
          <w:p w:rsidR="00472728" w:rsidRPr="003C4CE2" w:rsidRDefault="00472728" w:rsidP="00472728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projekta </w:t>
            </w:r>
            <w:r w:rsidRPr="00750114">
              <w:rPr>
                <w:rFonts w:ascii="Times New Roman" w:hAnsi="Times New Roman" w:cs="Times New Roman"/>
                <w:sz w:val="24"/>
                <w:szCs w:val="24"/>
              </w:rPr>
              <w:t>izpilde tiks nodrošināta esošo cilvēkresursu un finanšu resursu ietvaros.</w:t>
            </w:r>
          </w:p>
        </w:tc>
      </w:tr>
      <w:tr w:rsidR="003C4CE2" w:rsidRPr="003C4CE2" w:rsidTr="00E06B3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B33" w:rsidRPr="003C4CE2" w:rsidRDefault="00E06B33" w:rsidP="00E06B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C4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B33" w:rsidRPr="003C4CE2" w:rsidRDefault="00E06B33" w:rsidP="00E06B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C4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B33" w:rsidRPr="003C4CE2" w:rsidRDefault="00E06B33" w:rsidP="00C40A2D">
            <w:pPr>
              <w:spacing w:after="0" w:line="240" w:lineRule="auto"/>
              <w:ind w:firstLine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CE2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C25B49" w:rsidRPr="00342B2F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3B" w:rsidRPr="00342B2F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C55" w:rsidRPr="00342B2F" w:rsidRDefault="00E06B33" w:rsidP="00940340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B5F">
        <w:rPr>
          <w:rFonts w:ascii="Times New Roman" w:eastAsia="Times New Roman" w:hAnsi="Times New Roman" w:cs="Times New Roman"/>
          <w:sz w:val="28"/>
          <w:szCs w:val="28"/>
        </w:rPr>
        <w:t>Finanšu</w:t>
      </w:r>
      <w:r w:rsidR="00894C55" w:rsidRPr="00342B2F">
        <w:rPr>
          <w:rFonts w:ascii="Times New Roman" w:hAnsi="Times New Roman" w:cs="Times New Roman"/>
          <w:sz w:val="28"/>
          <w:szCs w:val="28"/>
        </w:rPr>
        <w:t xml:space="preserve"> ministrs</w:t>
      </w:r>
      <w:r w:rsidR="00894C55" w:rsidRPr="00342B2F">
        <w:rPr>
          <w:rFonts w:ascii="Times New Roman" w:hAnsi="Times New Roman" w:cs="Times New Roman"/>
          <w:sz w:val="28"/>
          <w:szCs w:val="28"/>
        </w:rPr>
        <w:tab/>
      </w:r>
      <w:r w:rsidR="003C4CE2">
        <w:rPr>
          <w:rFonts w:ascii="Times New Roman" w:hAnsi="Times New Roman" w:cs="Times New Roman"/>
          <w:sz w:val="28"/>
          <w:szCs w:val="28"/>
        </w:rPr>
        <w:t>Jānis Reirs</w:t>
      </w:r>
    </w:p>
    <w:p w:rsidR="00894C55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E07E0" w:rsidRDefault="00DE07E0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E07E0" w:rsidRDefault="00DE07E0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E07E0" w:rsidRPr="00342B2F" w:rsidRDefault="00DE07E0" w:rsidP="00484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C55" w:rsidRPr="006A7F4E" w:rsidRDefault="00FF61C2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Ivane,</w:t>
      </w:r>
      <w:r w:rsidRPr="006A7F4E">
        <w:rPr>
          <w:rFonts w:ascii="Times New Roman" w:hAnsi="Times New Roman" w:cs="Times New Roman"/>
          <w:sz w:val="20"/>
          <w:szCs w:val="20"/>
        </w:rPr>
        <w:t xml:space="preserve"> </w:t>
      </w:r>
      <w:r w:rsidR="00D133F8" w:rsidRPr="006A7F4E">
        <w:rPr>
          <w:rFonts w:ascii="Times New Roman" w:hAnsi="Times New Roman" w:cs="Times New Roman"/>
          <w:sz w:val="20"/>
          <w:szCs w:val="20"/>
        </w:rPr>
        <w:t>670</w:t>
      </w:r>
      <w:r w:rsidR="003C4CE2" w:rsidRPr="006A7F4E">
        <w:rPr>
          <w:rFonts w:ascii="Times New Roman" w:hAnsi="Times New Roman" w:cs="Times New Roman"/>
          <w:sz w:val="20"/>
          <w:szCs w:val="20"/>
        </w:rPr>
        <w:t>95651</w:t>
      </w:r>
    </w:p>
    <w:p w:rsidR="00894C55" w:rsidRPr="006A7F4E" w:rsidRDefault="0055507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agnese.ivane</w:t>
      </w:r>
      <w:r w:rsidR="00894C55" w:rsidRPr="006A7F4E">
        <w:rPr>
          <w:rFonts w:ascii="Times New Roman" w:hAnsi="Times New Roman" w:cs="Times New Roman"/>
          <w:sz w:val="20"/>
          <w:szCs w:val="20"/>
        </w:rPr>
        <w:t>@</w:t>
      </w:r>
      <w:r w:rsidR="003C4CE2" w:rsidRPr="006A7F4E">
        <w:rPr>
          <w:rFonts w:ascii="Times New Roman" w:hAnsi="Times New Roman" w:cs="Times New Roman"/>
          <w:sz w:val="20"/>
          <w:szCs w:val="20"/>
        </w:rPr>
        <w:t>fm</w:t>
      </w:r>
      <w:r w:rsidR="00894C55" w:rsidRPr="006A7F4E">
        <w:rPr>
          <w:rFonts w:ascii="Times New Roman" w:hAnsi="Times New Roman" w:cs="Times New Roman"/>
          <w:sz w:val="20"/>
          <w:szCs w:val="20"/>
        </w:rPr>
        <w:t>.gov.lv</w:t>
      </w:r>
    </w:p>
    <w:sectPr w:rsidR="00894C55" w:rsidRPr="006A7F4E" w:rsidSect="006E7004"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E6E03A" w16cid:durableId="20E206AA"/>
  <w16cid:commentId w16cid:paraId="4E693CD0" w16cid:durableId="20E210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417" w:rsidRDefault="00402417" w:rsidP="00894C55">
      <w:pPr>
        <w:spacing w:after="0" w:line="240" w:lineRule="auto"/>
      </w:pPr>
      <w:r>
        <w:separator/>
      </w:r>
    </w:p>
  </w:endnote>
  <w:endnote w:type="continuationSeparator" w:id="0">
    <w:p w:rsidR="00402417" w:rsidRDefault="00402417" w:rsidP="00894C55">
      <w:pPr>
        <w:spacing w:after="0" w:line="240" w:lineRule="auto"/>
      </w:pPr>
      <w:r>
        <w:continuationSeparator/>
      </w:r>
    </w:p>
  </w:endnote>
  <w:endnote w:type="continuationNotice" w:id="1">
    <w:p w:rsidR="00402417" w:rsidRDefault="004024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77C" w:rsidRPr="0027477C" w:rsidRDefault="0027477C">
    <w:pPr>
      <w:pStyle w:val="Footer"/>
      <w:rPr>
        <w:rFonts w:ascii="Times New Roman" w:hAnsi="Times New Roman" w:cs="Times New Roman"/>
        <w:sz w:val="20"/>
        <w:szCs w:val="20"/>
      </w:rPr>
    </w:pPr>
    <w:r w:rsidRPr="0027477C">
      <w:rPr>
        <w:rFonts w:ascii="Times New Roman" w:hAnsi="Times New Roman" w:cs="Times New Roman"/>
        <w:sz w:val="20"/>
        <w:szCs w:val="20"/>
      </w:rPr>
      <w:fldChar w:fldCharType="begin"/>
    </w:r>
    <w:r w:rsidRPr="0027477C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27477C">
      <w:rPr>
        <w:rFonts w:ascii="Times New Roman" w:hAnsi="Times New Roman" w:cs="Times New Roman"/>
        <w:sz w:val="20"/>
        <w:szCs w:val="20"/>
      </w:rPr>
      <w:fldChar w:fldCharType="separate"/>
    </w:r>
    <w:r w:rsidR="00641155">
      <w:rPr>
        <w:rFonts w:ascii="Times New Roman" w:hAnsi="Times New Roman" w:cs="Times New Roman"/>
        <w:noProof/>
        <w:sz w:val="20"/>
        <w:szCs w:val="20"/>
      </w:rPr>
      <w:t>FMAnot_251019_MK397.docx</w:t>
    </w:r>
    <w:r w:rsidRPr="0027477C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77C" w:rsidRPr="0027477C" w:rsidRDefault="0027477C">
    <w:pPr>
      <w:pStyle w:val="Footer"/>
      <w:rPr>
        <w:rFonts w:ascii="Times New Roman" w:hAnsi="Times New Roman" w:cs="Times New Roman"/>
        <w:sz w:val="20"/>
        <w:szCs w:val="20"/>
      </w:rPr>
    </w:pPr>
    <w:r w:rsidRPr="0027477C">
      <w:rPr>
        <w:rFonts w:ascii="Times New Roman" w:hAnsi="Times New Roman" w:cs="Times New Roman"/>
        <w:sz w:val="20"/>
        <w:szCs w:val="20"/>
      </w:rPr>
      <w:fldChar w:fldCharType="begin"/>
    </w:r>
    <w:r w:rsidRPr="0027477C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27477C">
      <w:rPr>
        <w:rFonts w:ascii="Times New Roman" w:hAnsi="Times New Roman" w:cs="Times New Roman"/>
        <w:sz w:val="20"/>
        <w:szCs w:val="20"/>
      </w:rPr>
      <w:fldChar w:fldCharType="separate"/>
    </w:r>
    <w:r w:rsidR="00641155">
      <w:rPr>
        <w:rFonts w:ascii="Times New Roman" w:hAnsi="Times New Roman" w:cs="Times New Roman"/>
        <w:noProof/>
        <w:sz w:val="20"/>
        <w:szCs w:val="20"/>
      </w:rPr>
      <w:t>FMAnot_251019_MK397.docx</w:t>
    </w:r>
    <w:r w:rsidRPr="0027477C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417" w:rsidRDefault="00402417" w:rsidP="00894C55">
      <w:pPr>
        <w:spacing w:after="0" w:line="240" w:lineRule="auto"/>
      </w:pPr>
      <w:r>
        <w:separator/>
      </w:r>
    </w:p>
  </w:footnote>
  <w:footnote w:type="continuationSeparator" w:id="0">
    <w:p w:rsidR="00402417" w:rsidRDefault="00402417" w:rsidP="00894C55">
      <w:pPr>
        <w:spacing w:after="0" w:line="240" w:lineRule="auto"/>
      </w:pPr>
      <w:r>
        <w:continuationSeparator/>
      </w:r>
    </w:p>
  </w:footnote>
  <w:footnote w:type="continuationNotice" w:id="1">
    <w:p w:rsidR="00402417" w:rsidRDefault="00402417">
      <w:pPr>
        <w:spacing w:after="0" w:line="240" w:lineRule="auto"/>
      </w:pPr>
    </w:p>
  </w:footnote>
  <w:footnote w:id="2">
    <w:p w:rsidR="00DF14B8" w:rsidRPr="00DF14B8" w:rsidRDefault="00DF14B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DF14B8">
        <w:rPr>
          <w:rFonts w:ascii="Times New Roman" w:hAnsi="Times New Roman" w:cs="Times New Roman"/>
          <w:lang w:val="lv-LV"/>
        </w:rPr>
        <w:t xml:space="preserve">OECD </w:t>
      </w:r>
      <w:r w:rsidRPr="00DF14B8">
        <w:rPr>
          <w:rFonts w:ascii="Times New Roman" w:hAnsi="Times New Roman" w:cs="Times New Roman"/>
          <w:shd w:val="clear" w:color="auto" w:fill="FFFFFF"/>
        </w:rPr>
        <w:t xml:space="preserve">Guidance on </w:t>
      </w:r>
      <w:r w:rsidR="007D04E5">
        <w:rPr>
          <w:rFonts w:ascii="Times New Roman" w:hAnsi="Times New Roman" w:cs="Times New Roman"/>
          <w:shd w:val="clear" w:color="auto" w:fill="FFFFFF"/>
        </w:rPr>
        <w:t xml:space="preserve">the Implementation of </w:t>
      </w:r>
      <w:r w:rsidRPr="00DF14B8">
        <w:rPr>
          <w:rFonts w:ascii="Times New Roman" w:hAnsi="Times New Roman" w:cs="Times New Roman"/>
          <w:shd w:val="clear" w:color="auto" w:fill="FFFFFF"/>
        </w:rPr>
        <w:t xml:space="preserve">Country-by-Country Reporting: BEPS Action 13 </w:t>
      </w:r>
      <w:hyperlink r:id="rId1" w:history="1">
        <w:r w:rsidRPr="00DF14B8">
          <w:rPr>
            <w:rStyle w:val="Hyperlink"/>
            <w:rFonts w:ascii="Times New Roman" w:hAnsi="Times New Roman" w:cs="Times New Roman"/>
          </w:rPr>
          <w:t>https://www.oecd.org/ctp/guidance-on-the-implementation-of-country-by-country-reporting-beps-action-13.pdf</w:t>
        </w:r>
      </w:hyperlink>
    </w:p>
  </w:footnote>
  <w:footnote w:id="3">
    <w:p w:rsidR="009E5C1B" w:rsidRPr="009E5C1B" w:rsidRDefault="009E5C1B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OECD</w:t>
      </w:r>
      <w:r>
        <w:t xml:space="preserve"> </w:t>
      </w:r>
      <w:r w:rsidRPr="008C71A8">
        <w:rPr>
          <w:i/>
        </w:rPr>
        <w:t xml:space="preserve">Guidance on the Appropriate Use of Information contained in </w:t>
      </w:r>
      <w:proofErr w:type="spellStart"/>
      <w:r w:rsidRPr="008C71A8">
        <w:rPr>
          <w:i/>
        </w:rPr>
        <w:t>CbC</w:t>
      </w:r>
      <w:proofErr w:type="spellEnd"/>
      <w:r w:rsidRPr="008C71A8">
        <w:rPr>
          <w:i/>
        </w:rPr>
        <w:t xml:space="preserve"> Reports</w:t>
      </w:r>
      <w:r>
        <w:rPr>
          <w:lang w:val="lv-LV"/>
        </w:rPr>
        <w:t xml:space="preserve"> </w:t>
      </w:r>
      <w:hyperlink r:id="rId2" w:history="1">
        <w:r w:rsidRPr="00CA26D7">
          <w:rPr>
            <w:rStyle w:val="Hyperlink"/>
          </w:rPr>
          <w:t>www.oecd.org/ctp/beps/beps-action-13-on-country-by-country-reporting-appropriate-use-of-information-in-CbC-reports.pdf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4E786F" w:rsidRPr="00C25B49" w:rsidRDefault="004E786F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A22C7F">
          <w:rPr>
            <w:rFonts w:ascii="Times New Roman" w:hAnsi="Times New Roman" w:cs="Times New Roman"/>
            <w:noProof/>
            <w:sz w:val="24"/>
            <w:szCs w:val="20"/>
          </w:rPr>
          <w:t>7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87E9E"/>
    <w:multiLevelType w:val="hybridMultilevel"/>
    <w:tmpl w:val="F4AADC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101FF"/>
    <w:multiLevelType w:val="hybridMultilevel"/>
    <w:tmpl w:val="D7EAD5F2"/>
    <w:lvl w:ilvl="0" w:tplc="CD94408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847EB"/>
    <w:multiLevelType w:val="hybridMultilevel"/>
    <w:tmpl w:val="76784F04"/>
    <w:lvl w:ilvl="0" w:tplc="0426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" w15:restartNumberingAfterBreak="0">
    <w:nsid w:val="4DCF39A9"/>
    <w:multiLevelType w:val="hybridMultilevel"/>
    <w:tmpl w:val="7B000A1E"/>
    <w:lvl w:ilvl="0" w:tplc="BE74ED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5747E"/>
    <w:multiLevelType w:val="hybridMultilevel"/>
    <w:tmpl w:val="248C6E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B76B1"/>
    <w:multiLevelType w:val="multilevel"/>
    <w:tmpl w:val="591E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0A29"/>
    <w:rsid w:val="000046BC"/>
    <w:rsid w:val="00007C76"/>
    <w:rsid w:val="00012722"/>
    <w:rsid w:val="0001788F"/>
    <w:rsid w:val="00023209"/>
    <w:rsid w:val="000233D5"/>
    <w:rsid w:val="00024805"/>
    <w:rsid w:val="000307A9"/>
    <w:rsid w:val="00031D94"/>
    <w:rsid w:val="0003291B"/>
    <w:rsid w:val="00033D4A"/>
    <w:rsid w:val="000413DB"/>
    <w:rsid w:val="00041493"/>
    <w:rsid w:val="00043D68"/>
    <w:rsid w:val="00044B74"/>
    <w:rsid w:val="00047C50"/>
    <w:rsid w:val="000532B7"/>
    <w:rsid w:val="00053896"/>
    <w:rsid w:val="00063AAA"/>
    <w:rsid w:val="00064B7F"/>
    <w:rsid w:val="00065A2A"/>
    <w:rsid w:val="00066AA6"/>
    <w:rsid w:val="000740A0"/>
    <w:rsid w:val="00083258"/>
    <w:rsid w:val="0008371F"/>
    <w:rsid w:val="0008617E"/>
    <w:rsid w:val="00086393"/>
    <w:rsid w:val="000863BC"/>
    <w:rsid w:val="00093B67"/>
    <w:rsid w:val="00095C00"/>
    <w:rsid w:val="0009747D"/>
    <w:rsid w:val="00097C1C"/>
    <w:rsid w:val="000A2FEB"/>
    <w:rsid w:val="000B0824"/>
    <w:rsid w:val="000B1E9D"/>
    <w:rsid w:val="000B39DA"/>
    <w:rsid w:val="000B4B56"/>
    <w:rsid w:val="000B6BB4"/>
    <w:rsid w:val="000C2136"/>
    <w:rsid w:val="000C3786"/>
    <w:rsid w:val="000C79E7"/>
    <w:rsid w:val="000C7F19"/>
    <w:rsid w:val="000D7B7F"/>
    <w:rsid w:val="000E1BC5"/>
    <w:rsid w:val="000E2CBC"/>
    <w:rsid w:val="000E3D3F"/>
    <w:rsid w:val="000F05BE"/>
    <w:rsid w:val="000F1343"/>
    <w:rsid w:val="000F7481"/>
    <w:rsid w:val="00100266"/>
    <w:rsid w:val="00103242"/>
    <w:rsid w:val="00103B35"/>
    <w:rsid w:val="0010496D"/>
    <w:rsid w:val="001133AD"/>
    <w:rsid w:val="00115709"/>
    <w:rsid w:val="00116864"/>
    <w:rsid w:val="0012066F"/>
    <w:rsid w:val="00122290"/>
    <w:rsid w:val="00126557"/>
    <w:rsid w:val="00127425"/>
    <w:rsid w:val="00134CB1"/>
    <w:rsid w:val="001372F8"/>
    <w:rsid w:val="00141A2A"/>
    <w:rsid w:val="001445E1"/>
    <w:rsid w:val="00145752"/>
    <w:rsid w:val="001462B4"/>
    <w:rsid w:val="00146A8A"/>
    <w:rsid w:val="00147C20"/>
    <w:rsid w:val="00152881"/>
    <w:rsid w:val="00156BA2"/>
    <w:rsid w:val="001575BB"/>
    <w:rsid w:val="00167E19"/>
    <w:rsid w:val="001746D6"/>
    <w:rsid w:val="00183F88"/>
    <w:rsid w:val="00184CDC"/>
    <w:rsid w:val="0018536C"/>
    <w:rsid w:val="0019031A"/>
    <w:rsid w:val="00193E80"/>
    <w:rsid w:val="001A395A"/>
    <w:rsid w:val="001A3FD7"/>
    <w:rsid w:val="001B36EE"/>
    <w:rsid w:val="001C2FBC"/>
    <w:rsid w:val="001C5038"/>
    <w:rsid w:val="001C6447"/>
    <w:rsid w:val="001C7F8E"/>
    <w:rsid w:val="001D76CA"/>
    <w:rsid w:val="001D7ABA"/>
    <w:rsid w:val="001E087E"/>
    <w:rsid w:val="001F1D7D"/>
    <w:rsid w:val="001F5F10"/>
    <w:rsid w:val="001F68E1"/>
    <w:rsid w:val="002067DF"/>
    <w:rsid w:val="00211088"/>
    <w:rsid w:val="00211AC2"/>
    <w:rsid w:val="00211C41"/>
    <w:rsid w:val="00212071"/>
    <w:rsid w:val="002136E4"/>
    <w:rsid w:val="0021529C"/>
    <w:rsid w:val="00216D9C"/>
    <w:rsid w:val="002177C4"/>
    <w:rsid w:val="00220D98"/>
    <w:rsid w:val="00220E03"/>
    <w:rsid w:val="0022763F"/>
    <w:rsid w:val="00241CB1"/>
    <w:rsid w:val="00243426"/>
    <w:rsid w:val="00252B92"/>
    <w:rsid w:val="00264CE3"/>
    <w:rsid w:val="00265143"/>
    <w:rsid w:val="00271D46"/>
    <w:rsid w:val="0027477C"/>
    <w:rsid w:val="00274F61"/>
    <w:rsid w:val="00275B42"/>
    <w:rsid w:val="002808B3"/>
    <w:rsid w:val="00280D47"/>
    <w:rsid w:val="0028158D"/>
    <w:rsid w:val="002821C8"/>
    <w:rsid w:val="002829F0"/>
    <w:rsid w:val="002845EE"/>
    <w:rsid w:val="00284FAB"/>
    <w:rsid w:val="002864BB"/>
    <w:rsid w:val="00290671"/>
    <w:rsid w:val="002945C6"/>
    <w:rsid w:val="0029612D"/>
    <w:rsid w:val="002A062A"/>
    <w:rsid w:val="002A0BFD"/>
    <w:rsid w:val="002A793F"/>
    <w:rsid w:val="002A7B9A"/>
    <w:rsid w:val="002A7BFA"/>
    <w:rsid w:val="002B3FD4"/>
    <w:rsid w:val="002B5612"/>
    <w:rsid w:val="002B59FC"/>
    <w:rsid w:val="002C0912"/>
    <w:rsid w:val="002C1097"/>
    <w:rsid w:val="002C401D"/>
    <w:rsid w:val="002C6612"/>
    <w:rsid w:val="002D4E09"/>
    <w:rsid w:val="002E1C05"/>
    <w:rsid w:val="002E6F5B"/>
    <w:rsid w:val="002E7047"/>
    <w:rsid w:val="002F13D2"/>
    <w:rsid w:val="002F3D81"/>
    <w:rsid w:val="002F4B69"/>
    <w:rsid w:val="00303885"/>
    <w:rsid w:val="00306F67"/>
    <w:rsid w:val="00311111"/>
    <w:rsid w:val="00315AF4"/>
    <w:rsid w:val="00320390"/>
    <w:rsid w:val="003229DB"/>
    <w:rsid w:val="003229DC"/>
    <w:rsid w:val="00322B07"/>
    <w:rsid w:val="00323659"/>
    <w:rsid w:val="00327830"/>
    <w:rsid w:val="00331278"/>
    <w:rsid w:val="0033684B"/>
    <w:rsid w:val="00342B2F"/>
    <w:rsid w:val="0034428F"/>
    <w:rsid w:val="00347179"/>
    <w:rsid w:val="00350509"/>
    <w:rsid w:val="00351C2C"/>
    <w:rsid w:val="003549F3"/>
    <w:rsid w:val="00354B8E"/>
    <w:rsid w:val="00356163"/>
    <w:rsid w:val="0036120D"/>
    <w:rsid w:val="003614DC"/>
    <w:rsid w:val="00363C5A"/>
    <w:rsid w:val="00365EA3"/>
    <w:rsid w:val="00366F5F"/>
    <w:rsid w:val="00367882"/>
    <w:rsid w:val="0037104F"/>
    <w:rsid w:val="00372303"/>
    <w:rsid w:val="00374034"/>
    <w:rsid w:val="00374A2C"/>
    <w:rsid w:val="00391DB4"/>
    <w:rsid w:val="00397DDF"/>
    <w:rsid w:val="003A0DE1"/>
    <w:rsid w:val="003A2D8F"/>
    <w:rsid w:val="003A3B0A"/>
    <w:rsid w:val="003A5371"/>
    <w:rsid w:val="003A5E5A"/>
    <w:rsid w:val="003A6C59"/>
    <w:rsid w:val="003B0BF9"/>
    <w:rsid w:val="003B237C"/>
    <w:rsid w:val="003C15ED"/>
    <w:rsid w:val="003C4CE2"/>
    <w:rsid w:val="003C621D"/>
    <w:rsid w:val="003C798D"/>
    <w:rsid w:val="003D2B97"/>
    <w:rsid w:val="003D3B9D"/>
    <w:rsid w:val="003E0791"/>
    <w:rsid w:val="003E763A"/>
    <w:rsid w:val="003F08F1"/>
    <w:rsid w:val="003F28AC"/>
    <w:rsid w:val="003F2C6C"/>
    <w:rsid w:val="003F4C41"/>
    <w:rsid w:val="003F6956"/>
    <w:rsid w:val="00401266"/>
    <w:rsid w:val="00401766"/>
    <w:rsid w:val="00402417"/>
    <w:rsid w:val="004024CC"/>
    <w:rsid w:val="0040318B"/>
    <w:rsid w:val="00407EC9"/>
    <w:rsid w:val="00413FFA"/>
    <w:rsid w:val="004166F9"/>
    <w:rsid w:val="00416BA6"/>
    <w:rsid w:val="00421DA3"/>
    <w:rsid w:val="0042329C"/>
    <w:rsid w:val="00423E23"/>
    <w:rsid w:val="00424285"/>
    <w:rsid w:val="004308C0"/>
    <w:rsid w:val="00430A82"/>
    <w:rsid w:val="00430F38"/>
    <w:rsid w:val="0043714C"/>
    <w:rsid w:val="00441588"/>
    <w:rsid w:val="00444322"/>
    <w:rsid w:val="004454FE"/>
    <w:rsid w:val="00452355"/>
    <w:rsid w:val="00452EF5"/>
    <w:rsid w:val="00456E40"/>
    <w:rsid w:val="00465049"/>
    <w:rsid w:val="004664DE"/>
    <w:rsid w:val="0046667D"/>
    <w:rsid w:val="004679EA"/>
    <w:rsid w:val="00471F27"/>
    <w:rsid w:val="00472728"/>
    <w:rsid w:val="00480B89"/>
    <w:rsid w:val="00481F13"/>
    <w:rsid w:val="0048437A"/>
    <w:rsid w:val="00491502"/>
    <w:rsid w:val="00493434"/>
    <w:rsid w:val="0049684A"/>
    <w:rsid w:val="004A4E58"/>
    <w:rsid w:val="004A5A69"/>
    <w:rsid w:val="004A6809"/>
    <w:rsid w:val="004A6FA4"/>
    <w:rsid w:val="004A7DD9"/>
    <w:rsid w:val="004B3483"/>
    <w:rsid w:val="004B54AB"/>
    <w:rsid w:val="004C0FAE"/>
    <w:rsid w:val="004C16EB"/>
    <w:rsid w:val="004C1CE4"/>
    <w:rsid w:val="004C4CA4"/>
    <w:rsid w:val="004D7CC6"/>
    <w:rsid w:val="004D7E39"/>
    <w:rsid w:val="004E118B"/>
    <w:rsid w:val="004E3287"/>
    <w:rsid w:val="004E4BB5"/>
    <w:rsid w:val="004E786F"/>
    <w:rsid w:val="00500542"/>
    <w:rsid w:val="0050178F"/>
    <w:rsid w:val="005049C2"/>
    <w:rsid w:val="0051156D"/>
    <w:rsid w:val="00512123"/>
    <w:rsid w:val="00517BF7"/>
    <w:rsid w:val="005204C2"/>
    <w:rsid w:val="00520C82"/>
    <w:rsid w:val="0053034A"/>
    <w:rsid w:val="00534FB4"/>
    <w:rsid w:val="005362CE"/>
    <w:rsid w:val="005431FC"/>
    <w:rsid w:val="005454EE"/>
    <w:rsid w:val="00546C08"/>
    <w:rsid w:val="00553103"/>
    <w:rsid w:val="00555077"/>
    <w:rsid w:val="00556F9D"/>
    <w:rsid w:val="0056026E"/>
    <w:rsid w:val="00565B96"/>
    <w:rsid w:val="005704CE"/>
    <w:rsid w:val="00572B4C"/>
    <w:rsid w:val="00574321"/>
    <w:rsid w:val="00582AEA"/>
    <w:rsid w:val="00583D30"/>
    <w:rsid w:val="00583D8D"/>
    <w:rsid w:val="005909B6"/>
    <w:rsid w:val="00595625"/>
    <w:rsid w:val="005963E7"/>
    <w:rsid w:val="005A24B8"/>
    <w:rsid w:val="005A4B8E"/>
    <w:rsid w:val="005B7059"/>
    <w:rsid w:val="005C1553"/>
    <w:rsid w:val="005C1BE5"/>
    <w:rsid w:val="005C262A"/>
    <w:rsid w:val="005C30A3"/>
    <w:rsid w:val="005C6157"/>
    <w:rsid w:val="005D0BD4"/>
    <w:rsid w:val="005D2745"/>
    <w:rsid w:val="005D6B9B"/>
    <w:rsid w:val="005E1AC1"/>
    <w:rsid w:val="005E1C28"/>
    <w:rsid w:val="005E255B"/>
    <w:rsid w:val="005F1A5E"/>
    <w:rsid w:val="006032DD"/>
    <w:rsid w:val="00603B0F"/>
    <w:rsid w:val="006114BF"/>
    <w:rsid w:val="00615AC2"/>
    <w:rsid w:val="00617BF8"/>
    <w:rsid w:val="00624E61"/>
    <w:rsid w:val="00627841"/>
    <w:rsid w:val="006303D5"/>
    <w:rsid w:val="00630FB0"/>
    <w:rsid w:val="00633943"/>
    <w:rsid w:val="00635C40"/>
    <w:rsid w:val="00635EB2"/>
    <w:rsid w:val="0064037D"/>
    <w:rsid w:val="00641155"/>
    <w:rsid w:val="00643F22"/>
    <w:rsid w:val="00645BA3"/>
    <w:rsid w:val="006525CB"/>
    <w:rsid w:val="006537A8"/>
    <w:rsid w:val="00655A24"/>
    <w:rsid w:val="00655F2C"/>
    <w:rsid w:val="00656779"/>
    <w:rsid w:val="00657FF1"/>
    <w:rsid w:val="00662563"/>
    <w:rsid w:val="00664037"/>
    <w:rsid w:val="00664F40"/>
    <w:rsid w:val="006661F4"/>
    <w:rsid w:val="00672029"/>
    <w:rsid w:val="00674E97"/>
    <w:rsid w:val="006769E2"/>
    <w:rsid w:val="00680FD6"/>
    <w:rsid w:val="00682781"/>
    <w:rsid w:val="00684AE7"/>
    <w:rsid w:val="0069162D"/>
    <w:rsid w:val="006917F6"/>
    <w:rsid w:val="00691FC2"/>
    <w:rsid w:val="00694659"/>
    <w:rsid w:val="0069562B"/>
    <w:rsid w:val="006A371A"/>
    <w:rsid w:val="006A4111"/>
    <w:rsid w:val="006A4CC2"/>
    <w:rsid w:val="006A5CDA"/>
    <w:rsid w:val="006A6AAC"/>
    <w:rsid w:val="006A727A"/>
    <w:rsid w:val="006A73C2"/>
    <w:rsid w:val="006A7F4E"/>
    <w:rsid w:val="006B3E93"/>
    <w:rsid w:val="006B4C68"/>
    <w:rsid w:val="006D54A5"/>
    <w:rsid w:val="006E1081"/>
    <w:rsid w:val="006E34BC"/>
    <w:rsid w:val="006E609E"/>
    <w:rsid w:val="006E7004"/>
    <w:rsid w:val="006E7983"/>
    <w:rsid w:val="006F2BAD"/>
    <w:rsid w:val="006F2E74"/>
    <w:rsid w:val="006F3511"/>
    <w:rsid w:val="006F3820"/>
    <w:rsid w:val="006F639A"/>
    <w:rsid w:val="0070012B"/>
    <w:rsid w:val="00703015"/>
    <w:rsid w:val="0070316F"/>
    <w:rsid w:val="007101FF"/>
    <w:rsid w:val="007117AC"/>
    <w:rsid w:val="00714158"/>
    <w:rsid w:val="00715143"/>
    <w:rsid w:val="00716500"/>
    <w:rsid w:val="00720585"/>
    <w:rsid w:val="00727C66"/>
    <w:rsid w:val="00731614"/>
    <w:rsid w:val="0073757B"/>
    <w:rsid w:val="00745E63"/>
    <w:rsid w:val="00747264"/>
    <w:rsid w:val="00747B6B"/>
    <w:rsid w:val="00755CB2"/>
    <w:rsid w:val="00757329"/>
    <w:rsid w:val="00766F5E"/>
    <w:rsid w:val="00773359"/>
    <w:rsid w:val="00773AF6"/>
    <w:rsid w:val="00776538"/>
    <w:rsid w:val="007778AB"/>
    <w:rsid w:val="00781E65"/>
    <w:rsid w:val="0078384B"/>
    <w:rsid w:val="00786189"/>
    <w:rsid w:val="00790CE6"/>
    <w:rsid w:val="00793527"/>
    <w:rsid w:val="00795F71"/>
    <w:rsid w:val="007A4EDC"/>
    <w:rsid w:val="007B6F62"/>
    <w:rsid w:val="007D04E5"/>
    <w:rsid w:val="007D3083"/>
    <w:rsid w:val="007D79CB"/>
    <w:rsid w:val="007D7A5A"/>
    <w:rsid w:val="007E0102"/>
    <w:rsid w:val="007E12F0"/>
    <w:rsid w:val="007E42F0"/>
    <w:rsid w:val="007E50F6"/>
    <w:rsid w:val="007E5F7A"/>
    <w:rsid w:val="007E73AB"/>
    <w:rsid w:val="007F1A37"/>
    <w:rsid w:val="008046F3"/>
    <w:rsid w:val="00811705"/>
    <w:rsid w:val="008118DA"/>
    <w:rsid w:val="00811E21"/>
    <w:rsid w:val="008139C1"/>
    <w:rsid w:val="008158BB"/>
    <w:rsid w:val="00816C11"/>
    <w:rsid w:val="00823C5E"/>
    <w:rsid w:val="00823F5F"/>
    <w:rsid w:val="00824F16"/>
    <w:rsid w:val="00827BB6"/>
    <w:rsid w:val="00832530"/>
    <w:rsid w:val="00835673"/>
    <w:rsid w:val="008404E3"/>
    <w:rsid w:val="00842087"/>
    <w:rsid w:val="0084233D"/>
    <w:rsid w:val="00843F02"/>
    <w:rsid w:val="00846584"/>
    <w:rsid w:val="00861976"/>
    <w:rsid w:val="00864A7C"/>
    <w:rsid w:val="00864BBA"/>
    <w:rsid w:val="00865BA3"/>
    <w:rsid w:val="00866FC2"/>
    <w:rsid w:val="00874ADF"/>
    <w:rsid w:val="00875985"/>
    <w:rsid w:val="008761F5"/>
    <w:rsid w:val="00881C23"/>
    <w:rsid w:val="008868E9"/>
    <w:rsid w:val="00894C55"/>
    <w:rsid w:val="008977AC"/>
    <w:rsid w:val="0089796D"/>
    <w:rsid w:val="008A093E"/>
    <w:rsid w:val="008A410C"/>
    <w:rsid w:val="008A7001"/>
    <w:rsid w:val="008B0137"/>
    <w:rsid w:val="008B2396"/>
    <w:rsid w:val="008B263C"/>
    <w:rsid w:val="008B51B0"/>
    <w:rsid w:val="008B581E"/>
    <w:rsid w:val="008B6C87"/>
    <w:rsid w:val="008D562E"/>
    <w:rsid w:val="008E5B77"/>
    <w:rsid w:val="008F7E09"/>
    <w:rsid w:val="00910B07"/>
    <w:rsid w:val="009129E1"/>
    <w:rsid w:val="009149D5"/>
    <w:rsid w:val="0091602A"/>
    <w:rsid w:val="00922FCB"/>
    <w:rsid w:val="00930302"/>
    <w:rsid w:val="00930492"/>
    <w:rsid w:val="00930582"/>
    <w:rsid w:val="00931E25"/>
    <w:rsid w:val="00935607"/>
    <w:rsid w:val="00940340"/>
    <w:rsid w:val="00941CCB"/>
    <w:rsid w:val="00945C35"/>
    <w:rsid w:val="00946BE5"/>
    <w:rsid w:val="009545F4"/>
    <w:rsid w:val="009556EC"/>
    <w:rsid w:val="00956A8D"/>
    <w:rsid w:val="00962230"/>
    <w:rsid w:val="00962DA3"/>
    <w:rsid w:val="00980875"/>
    <w:rsid w:val="009817FA"/>
    <w:rsid w:val="00981970"/>
    <w:rsid w:val="00982BCD"/>
    <w:rsid w:val="00983701"/>
    <w:rsid w:val="00984140"/>
    <w:rsid w:val="00986DF7"/>
    <w:rsid w:val="00991224"/>
    <w:rsid w:val="0099204D"/>
    <w:rsid w:val="009A2654"/>
    <w:rsid w:val="009A4C4D"/>
    <w:rsid w:val="009A6F37"/>
    <w:rsid w:val="009B131A"/>
    <w:rsid w:val="009B1440"/>
    <w:rsid w:val="009B50AD"/>
    <w:rsid w:val="009B54EB"/>
    <w:rsid w:val="009C4061"/>
    <w:rsid w:val="009C61F0"/>
    <w:rsid w:val="009C69B6"/>
    <w:rsid w:val="009C7953"/>
    <w:rsid w:val="009D2538"/>
    <w:rsid w:val="009D63CC"/>
    <w:rsid w:val="009E0DCE"/>
    <w:rsid w:val="009E5750"/>
    <w:rsid w:val="009E5C1B"/>
    <w:rsid w:val="009F232E"/>
    <w:rsid w:val="009F580C"/>
    <w:rsid w:val="009F6677"/>
    <w:rsid w:val="009F7342"/>
    <w:rsid w:val="009F73AC"/>
    <w:rsid w:val="00A0076F"/>
    <w:rsid w:val="00A0176B"/>
    <w:rsid w:val="00A10604"/>
    <w:rsid w:val="00A10FC3"/>
    <w:rsid w:val="00A13202"/>
    <w:rsid w:val="00A136DB"/>
    <w:rsid w:val="00A14B86"/>
    <w:rsid w:val="00A14CDA"/>
    <w:rsid w:val="00A21191"/>
    <w:rsid w:val="00A215B5"/>
    <w:rsid w:val="00A22C7F"/>
    <w:rsid w:val="00A238C7"/>
    <w:rsid w:val="00A24750"/>
    <w:rsid w:val="00A2776E"/>
    <w:rsid w:val="00A30486"/>
    <w:rsid w:val="00A30763"/>
    <w:rsid w:val="00A45F7A"/>
    <w:rsid w:val="00A47360"/>
    <w:rsid w:val="00A53736"/>
    <w:rsid w:val="00A557F0"/>
    <w:rsid w:val="00A60520"/>
    <w:rsid w:val="00A6073E"/>
    <w:rsid w:val="00A6784E"/>
    <w:rsid w:val="00A71788"/>
    <w:rsid w:val="00A77C40"/>
    <w:rsid w:val="00A85B65"/>
    <w:rsid w:val="00A87048"/>
    <w:rsid w:val="00A923BE"/>
    <w:rsid w:val="00AA0FB7"/>
    <w:rsid w:val="00AA153C"/>
    <w:rsid w:val="00AA2082"/>
    <w:rsid w:val="00AA4AC7"/>
    <w:rsid w:val="00AA6A01"/>
    <w:rsid w:val="00AB07B1"/>
    <w:rsid w:val="00AB2C98"/>
    <w:rsid w:val="00AB345D"/>
    <w:rsid w:val="00AB3F96"/>
    <w:rsid w:val="00AB4973"/>
    <w:rsid w:val="00AB6516"/>
    <w:rsid w:val="00AB6EAB"/>
    <w:rsid w:val="00AB724A"/>
    <w:rsid w:val="00AC2B44"/>
    <w:rsid w:val="00AC7309"/>
    <w:rsid w:val="00AD06A9"/>
    <w:rsid w:val="00AD06F7"/>
    <w:rsid w:val="00AD1CA7"/>
    <w:rsid w:val="00AE0301"/>
    <w:rsid w:val="00AE17F6"/>
    <w:rsid w:val="00AE4BB5"/>
    <w:rsid w:val="00AE5567"/>
    <w:rsid w:val="00AE61EB"/>
    <w:rsid w:val="00AF1239"/>
    <w:rsid w:val="00AF274A"/>
    <w:rsid w:val="00AF3D2B"/>
    <w:rsid w:val="00B15BF0"/>
    <w:rsid w:val="00B16480"/>
    <w:rsid w:val="00B16B7B"/>
    <w:rsid w:val="00B17648"/>
    <w:rsid w:val="00B2165C"/>
    <w:rsid w:val="00B23D0E"/>
    <w:rsid w:val="00B2542E"/>
    <w:rsid w:val="00B3046E"/>
    <w:rsid w:val="00B3085B"/>
    <w:rsid w:val="00B35680"/>
    <w:rsid w:val="00B448A8"/>
    <w:rsid w:val="00B46DD4"/>
    <w:rsid w:val="00B472BA"/>
    <w:rsid w:val="00B51C1F"/>
    <w:rsid w:val="00B53BDD"/>
    <w:rsid w:val="00B5771A"/>
    <w:rsid w:val="00B62CCE"/>
    <w:rsid w:val="00B66F26"/>
    <w:rsid w:val="00B67A38"/>
    <w:rsid w:val="00B74C6F"/>
    <w:rsid w:val="00B75CB4"/>
    <w:rsid w:val="00B774E0"/>
    <w:rsid w:val="00B801B7"/>
    <w:rsid w:val="00B82707"/>
    <w:rsid w:val="00B83938"/>
    <w:rsid w:val="00B863ED"/>
    <w:rsid w:val="00B8738B"/>
    <w:rsid w:val="00B93F7A"/>
    <w:rsid w:val="00B94144"/>
    <w:rsid w:val="00BA0ADC"/>
    <w:rsid w:val="00BA1D4D"/>
    <w:rsid w:val="00BA20AA"/>
    <w:rsid w:val="00BA25FD"/>
    <w:rsid w:val="00BA4EB1"/>
    <w:rsid w:val="00BB0CD1"/>
    <w:rsid w:val="00BB17AA"/>
    <w:rsid w:val="00BB2C93"/>
    <w:rsid w:val="00BB3557"/>
    <w:rsid w:val="00BB55C1"/>
    <w:rsid w:val="00BB61AF"/>
    <w:rsid w:val="00BC0006"/>
    <w:rsid w:val="00BC4E8D"/>
    <w:rsid w:val="00BC5533"/>
    <w:rsid w:val="00BC58EC"/>
    <w:rsid w:val="00BD02E8"/>
    <w:rsid w:val="00BD24D0"/>
    <w:rsid w:val="00BD4425"/>
    <w:rsid w:val="00BD4F5F"/>
    <w:rsid w:val="00BD54ED"/>
    <w:rsid w:val="00BE1862"/>
    <w:rsid w:val="00BE773C"/>
    <w:rsid w:val="00BF01E6"/>
    <w:rsid w:val="00BF1794"/>
    <w:rsid w:val="00BF3FFE"/>
    <w:rsid w:val="00BF4809"/>
    <w:rsid w:val="00C03BA9"/>
    <w:rsid w:val="00C106A7"/>
    <w:rsid w:val="00C11790"/>
    <w:rsid w:val="00C21E65"/>
    <w:rsid w:val="00C21F4E"/>
    <w:rsid w:val="00C225EA"/>
    <w:rsid w:val="00C25B49"/>
    <w:rsid w:val="00C25B93"/>
    <w:rsid w:val="00C31AAB"/>
    <w:rsid w:val="00C36602"/>
    <w:rsid w:val="00C40A2D"/>
    <w:rsid w:val="00C50208"/>
    <w:rsid w:val="00C833C9"/>
    <w:rsid w:val="00C8625B"/>
    <w:rsid w:val="00C92078"/>
    <w:rsid w:val="00C921A9"/>
    <w:rsid w:val="00C92334"/>
    <w:rsid w:val="00C97B74"/>
    <w:rsid w:val="00CA3CE9"/>
    <w:rsid w:val="00CB3284"/>
    <w:rsid w:val="00CB488D"/>
    <w:rsid w:val="00CB7F25"/>
    <w:rsid w:val="00CC0D2D"/>
    <w:rsid w:val="00CD0227"/>
    <w:rsid w:val="00CD186F"/>
    <w:rsid w:val="00CD3498"/>
    <w:rsid w:val="00CD4FB9"/>
    <w:rsid w:val="00CD5624"/>
    <w:rsid w:val="00CD6C4E"/>
    <w:rsid w:val="00CE00B8"/>
    <w:rsid w:val="00CE1B59"/>
    <w:rsid w:val="00CE24CD"/>
    <w:rsid w:val="00CE5657"/>
    <w:rsid w:val="00CE5B1F"/>
    <w:rsid w:val="00CE6104"/>
    <w:rsid w:val="00CF0E56"/>
    <w:rsid w:val="00CF120B"/>
    <w:rsid w:val="00CF4CA3"/>
    <w:rsid w:val="00D007E6"/>
    <w:rsid w:val="00D05D3F"/>
    <w:rsid w:val="00D13366"/>
    <w:rsid w:val="00D133F8"/>
    <w:rsid w:val="00D14A3E"/>
    <w:rsid w:val="00D23BE1"/>
    <w:rsid w:val="00D25010"/>
    <w:rsid w:val="00D3151C"/>
    <w:rsid w:val="00D32458"/>
    <w:rsid w:val="00D349AC"/>
    <w:rsid w:val="00D36898"/>
    <w:rsid w:val="00D36C4F"/>
    <w:rsid w:val="00D51EC4"/>
    <w:rsid w:val="00D51FCC"/>
    <w:rsid w:val="00D52536"/>
    <w:rsid w:val="00D67521"/>
    <w:rsid w:val="00D703CC"/>
    <w:rsid w:val="00D7230E"/>
    <w:rsid w:val="00D74E42"/>
    <w:rsid w:val="00D77055"/>
    <w:rsid w:val="00D77B52"/>
    <w:rsid w:val="00D80B59"/>
    <w:rsid w:val="00D86F20"/>
    <w:rsid w:val="00D93DC0"/>
    <w:rsid w:val="00D93DCF"/>
    <w:rsid w:val="00D94A9A"/>
    <w:rsid w:val="00D950AD"/>
    <w:rsid w:val="00DA01A7"/>
    <w:rsid w:val="00DA1849"/>
    <w:rsid w:val="00DA6953"/>
    <w:rsid w:val="00DB40B8"/>
    <w:rsid w:val="00DB4134"/>
    <w:rsid w:val="00DB5543"/>
    <w:rsid w:val="00DB6BB1"/>
    <w:rsid w:val="00DD387B"/>
    <w:rsid w:val="00DD5E4A"/>
    <w:rsid w:val="00DD6B2E"/>
    <w:rsid w:val="00DE07E0"/>
    <w:rsid w:val="00DE3F8B"/>
    <w:rsid w:val="00DF08A3"/>
    <w:rsid w:val="00DF0CFD"/>
    <w:rsid w:val="00DF14B8"/>
    <w:rsid w:val="00DF6B33"/>
    <w:rsid w:val="00DF7397"/>
    <w:rsid w:val="00E03550"/>
    <w:rsid w:val="00E049CF"/>
    <w:rsid w:val="00E0520E"/>
    <w:rsid w:val="00E06B33"/>
    <w:rsid w:val="00E1106A"/>
    <w:rsid w:val="00E11E0F"/>
    <w:rsid w:val="00E13983"/>
    <w:rsid w:val="00E2031A"/>
    <w:rsid w:val="00E228B9"/>
    <w:rsid w:val="00E22CC6"/>
    <w:rsid w:val="00E26D19"/>
    <w:rsid w:val="00E309CA"/>
    <w:rsid w:val="00E34099"/>
    <w:rsid w:val="00E3716B"/>
    <w:rsid w:val="00E47A89"/>
    <w:rsid w:val="00E5323B"/>
    <w:rsid w:val="00E53AE9"/>
    <w:rsid w:val="00E56266"/>
    <w:rsid w:val="00E718DB"/>
    <w:rsid w:val="00E73ECB"/>
    <w:rsid w:val="00E76E4B"/>
    <w:rsid w:val="00E82102"/>
    <w:rsid w:val="00E83EF4"/>
    <w:rsid w:val="00E8749E"/>
    <w:rsid w:val="00E90C01"/>
    <w:rsid w:val="00E90CB0"/>
    <w:rsid w:val="00E90F75"/>
    <w:rsid w:val="00E91892"/>
    <w:rsid w:val="00E9470F"/>
    <w:rsid w:val="00E95427"/>
    <w:rsid w:val="00EA0A29"/>
    <w:rsid w:val="00EA1664"/>
    <w:rsid w:val="00EA3511"/>
    <w:rsid w:val="00EA486E"/>
    <w:rsid w:val="00EC5491"/>
    <w:rsid w:val="00ED02A5"/>
    <w:rsid w:val="00ED4218"/>
    <w:rsid w:val="00ED7EFE"/>
    <w:rsid w:val="00EE23DA"/>
    <w:rsid w:val="00EE72AC"/>
    <w:rsid w:val="00EF7431"/>
    <w:rsid w:val="00F04373"/>
    <w:rsid w:val="00F06F27"/>
    <w:rsid w:val="00F14891"/>
    <w:rsid w:val="00F23193"/>
    <w:rsid w:val="00F249B4"/>
    <w:rsid w:val="00F3125D"/>
    <w:rsid w:val="00F32450"/>
    <w:rsid w:val="00F32DC8"/>
    <w:rsid w:val="00F33130"/>
    <w:rsid w:val="00F36B8D"/>
    <w:rsid w:val="00F36F6C"/>
    <w:rsid w:val="00F41EA5"/>
    <w:rsid w:val="00F451CE"/>
    <w:rsid w:val="00F455A8"/>
    <w:rsid w:val="00F461CD"/>
    <w:rsid w:val="00F466CC"/>
    <w:rsid w:val="00F466D9"/>
    <w:rsid w:val="00F46C2B"/>
    <w:rsid w:val="00F57B0C"/>
    <w:rsid w:val="00F64533"/>
    <w:rsid w:val="00F65295"/>
    <w:rsid w:val="00F66179"/>
    <w:rsid w:val="00F745F1"/>
    <w:rsid w:val="00F75FBA"/>
    <w:rsid w:val="00F80740"/>
    <w:rsid w:val="00F8125A"/>
    <w:rsid w:val="00F81574"/>
    <w:rsid w:val="00F82280"/>
    <w:rsid w:val="00F964C9"/>
    <w:rsid w:val="00F9695B"/>
    <w:rsid w:val="00F96AFF"/>
    <w:rsid w:val="00FA48F6"/>
    <w:rsid w:val="00FA4E16"/>
    <w:rsid w:val="00FB03AC"/>
    <w:rsid w:val="00FB075F"/>
    <w:rsid w:val="00FB3681"/>
    <w:rsid w:val="00FB3DCD"/>
    <w:rsid w:val="00FB79D9"/>
    <w:rsid w:val="00FC0B9E"/>
    <w:rsid w:val="00FC211D"/>
    <w:rsid w:val="00FC222D"/>
    <w:rsid w:val="00FC3680"/>
    <w:rsid w:val="00FC526B"/>
    <w:rsid w:val="00FD3022"/>
    <w:rsid w:val="00FD389C"/>
    <w:rsid w:val="00FD6017"/>
    <w:rsid w:val="00FD68CE"/>
    <w:rsid w:val="00FE014C"/>
    <w:rsid w:val="00FF305C"/>
    <w:rsid w:val="00FF57F3"/>
    <w:rsid w:val="00FF61C2"/>
    <w:rsid w:val="00FF697D"/>
    <w:rsid w:val="00FF70F9"/>
    <w:rsid w:val="024DE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EE825F-1FEF-4B4F-8A56-D90DFAB1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2071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071"/>
    <w:rPr>
      <w:rFonts w:ascii="Calibri" w:eastAsia="Calibri" w:hAnsi="Calibri" w:cs="Calibri"/>
      <w:sz w:val="20"/>
      <w:szCs w:val="20"/>
      <w:lang w:val="en-US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212071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6C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2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0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0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0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kumi.lv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ecd.org/ctp/beps/beps-action-13-on-country-by-country-reporting-appropriate-use-of-information-in-CbC-reports.pdf" TargetMode="External"/><Relationship Id="rId1" Type="http://schemas.openxmlformats.org/officeDocument/2006/relationships/hyperlink" Target="https://www.oecd.org/ctp/guidance-on-the-implementation-of-country-by-country-reporting-beps-action-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O. Bogdanova (NASIPD)</Vad_x012b_t_x0101_js>
    <TAP xmlns="49b0bb89-35b3-4114-9b1c-a376ef2ba045">131</TAP>
    <Kategorija xmlns="2e5bb04e-596e-45bd-9003-43ca78b1ba16">Anotācija</Kategorij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3E1E-B4F3-4952-A126-2B69B12866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9B0A3-68A8-4283-9B3B-D9544E8BA140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3.xml><?xml version="1.0" encoding="utf-8"?>
<ds:datastoreItem xmlns:ds="http://schemas.openxmlformats.org/officeDocument/2006/customXml" ds:itemID="{E47D53E0-23D1-4C51-9ACE-09854B433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BB93F0-4C60-4150-B238-2C976CE9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8673</Words>
  <Characters>4945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“Grozījumi Ministru kabineta 2017. gada 4. jūlija noteikumos Nr. 397 “Noteikumi par starptautiskas uzņēmumu grupas pārskatu par katru valsti”” anotācija</vt:lpstr>
    </vt:vector>
  </TitlesOfParts>
  <Company>Finanšu ministrija</Company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“Grozījumi Ministru kabineta 2017. gada 4. jūlija noteikumos Nr. 397 “Noteikumi par starptautiskas uzņēmumu grupas pārskatu par katru valsti”” anotācija</dc:title>
  <dc:subject>Anotācija</dc:subject>
  <dc:creator>A. Ivane (NASIPD)</dc:creator>
  <dc:description>67095651, agnese.ivane@fm.gov.lv</dc:description>
  <cp:lastModifiedBy>Inguna Dancīte</cp:lastModifiedBy>
  <cp:revision>2</cp:revision>
  <cp:lastPrinted>2019-10-25T06:35:00Z</cp:lastPrinted>
  <dcterms:created xsi:type="dcterms:W3CDTF">2019-11-01T09:57:00Z</dcterms:created>
  <dcterms:modified xsi:type="dcterms:W3CDTF">2019-11-01T09:57:00Z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