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E7" w:rsidRDefault="00AF4302" w:rsidP="001A7FF9">
      <w:pPr>
        <w:jc w:val="center"/>
        <w:rPr>
          <w:b/>
          <w:bCs/>
        </w:rPr>
      </w:pPr>
      <w:r>
        <w:rPr>
          <w:b/>
          <w:bCs/>
        </w:rPr>
        <w:t xml:space="preserve"> </w:t>
      </w:r>
      <w:smartTag w:uri="schemas-tilde-lv/tildestengine" w:element="veidnes">
        <w:smartTagPr>
          <w:attr w:name="text" w:val="Izziņa"/>
          <w:attr w:name="baseform" w:val="Izziņa"/>
          <w:attr w:name="id" w:val="-1"/>
        </w:smartTagPr>
        <w:r w:rsidR="00FB68BD" w:rsidRPr="005F5C7A">
          <w:rPr>
            <w:b/>
            <w:bCs/>
          </w:rPr>
          <w:t>Izziņa</w:t>
        </w:r>
      </w:smartTag>
      <w:r w:rsidR="00FB68BD" w:rsidRPr="005F5C7A">
        <w:rPr>
          <w:b/>
          <w:bCs/>
        </w:rPr>
        <w:t xml:space="preserve"> par atzinumos sniegtajiem</w:t>
      </w:r>
      <w:r w:rsidR="000E6A5D" w:rsidRPr="005F5C7A">
        <w:rPr>
          <w:b/>
          <w:bCs/>
        </w:rPr>
        <w:t xml:space="preserve"> iebildumiem </w:t>
      </w:r>
    </w:p>
    <w:p w:rsidR="00F00A89" w:rsidRPr="005F5C7A" w:rsidRDefault="000E6A5D" w:rsidP="001A7FF9">
      <w:pPr>
        <w:jc w:val="center"/>
        <w:rPr>
          <w:b/>
          <w:bCs/>
        </w:rPr>
      </w:pPr>
      <w:r w:rsidRPr="005F5C7A">
        <w:rPr>
          <w:b/>
          <w:bCs/>
        </w:rPr>
        <w:t xml:space="preserve">par </w:t>
      </w:r>
      <w:r w:rsidR="00B11ED5">
        <w:rPr>
          <w:b/>
          <w:bCs/>
        </w:rPr>
        <w:t>Ministru kabineta rīkojuma</w:t>
      </w:r>
      <w:r w:rsidR="005F5C7A">
        <w:rPr>
          <w:b/>
          <w:bCs/>
        </w:rPr>
        <w:t xml:space="preserve"> projektu</w:t>
      </w:r>
      <w:r w:rsidR="001A7FF9">
        <w:rPr>
          <w:b/>
          <w:bCs/>
        </w:rPr>
        <w:t xml:space="preserve"> </w:t>
      </w:r>
      <w:r w:rsidR="001A7FF9" w:rsidRPr="001A7FF9">
        <w:rPr>
          <w:b/>
          <w:bCs/>
        </w:rPr>
        <w:t>„</w:t>
      </w:r>
      <w:r w:rsidR="00B11ED5">
        <w:rPr>
          <w:b/>
          <w:bCs/>
        </w:rPr>
        <w:t>Par kopējām valsts pārvaldē auditējamām prioritātēm 2020.gadam</w:t>
      </w:r>
      <w:r w:rsidR="001A7FF9" w:rsidRPr="001A7FF9">
        <w:rPr>
          <w:b/>
          <w:bCs/>
        </w:rPr>
        <w:t>”</w:t>
      </w:r>
    </w:p>
    <w:p w:rsidR="00FB68BD" w:rsidRPr="00FB036F" w:rsidRDefault="00FB68BD" w:rsidP="0045657B">
      <w:pPr>
        <w:jc w:val="center"/>
        <w:rPr>
          <w:b/>
        </w:rPr>
      </w:pPr>
    </w:p>
    <w:p w:rsidR="00FB68BD" w:rsidRDefault="00FB68BD" w:rsidP="0027231B">
      <w:pPr>
        <w:pStyle w:val="naisf"/>
        <w:spacing w:before="0" w:after="0"/>
        <w:ind w:firstLine="0"/>
        <w:jc w:val="center"/>
        <w:rPr>
          <w:b/>
        </w:rPr>
      </w:pPr>
      <w:r w:rsidRPr="00FB036F">
        <w:rPr>
          <w:b/>
        </w:rPr>
        <w:t>I.</w:t>
      </w:r>
      <w:r w:rsidR="00B46348" w:rsidRPr="00FB036F">
        <w:rPr>
          <w:b/>
        </w:rPr>
        <w:t xml:space="preserve"> </w:t>
      </w:r>
      <w:r w:rsidRPr="00FB036F">
        <w:rPr>
          <w:b/>
        </w:rPr>
        <w:t> Jautājumi, par kuriem saskaņošanā vienošanās nav panākta</w:t>
      </w:r>
    </w:p>
    <w:p w:rsidR="0027231B" w:rsidRPr="00A9425C" w:rsidRDefault="0027231B" w:rsidP="0027231B">
      <w:pPr>
        <w:tabs>
          <w:tab w:val="center" w:pos="4153"/>
          <w:tab w:val="right" w:pos="8306"/>
        </w:tabs>
        <w:jc w:val="center"/>
        <w:rPr>
          <w:bCs/>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2503"/>
        <w:gridCol w:w="4961"/>
        <w:gridCol w:w="2551"/>
        <w:gridCol w:w="1985"/>
        <w:gridCol w:w="1701"/>
      </w:tblGrid>
      <w:tr w:rsidR="0027231B" w:rsidRPr="00A9425C" w:rsidTr="00A36CF7">
        <w:tc>
          <w:tcPr>
            <w:tcW w:w="758" w:type="dxa"/>
            <w:shd w:val="clear" w:color="auto" w:fill="FFFFFF"/>
            <w:vAlign w:val="center"/>
          </w:tcPr>
          <w:p w:rsidR="0027231B" w:rsidRPr="00A9425C" w:rsidRDefault="0027231B" w:rsidP="00B9725B">
            <w:pPr>
              <w:jc w:val="center"/>
            </w:pPr>
            <w:r w:rsidRPr="00A9425C">
              <w:t>Nr.</w:t>
            </w:r>
          </w:p>
          <w:p w:rsidR="0027231B" w:rsidRPr="00A9425C" w:rsidRDefault="0027231B" w:rsidP="00B9725B">
            <w:pPr>
              <w:jc w:val="center"/>
            </w:pPr>
            <w:r w:rsidRPr="00A9425C">
              <w:t>p.k.</w:t>
            </w:r>
          </w:p>
        </w:tc>
        <w:tc>
          <w:tcPr>
            <w:tcW w:w="2503" w:type="dxa"/>
            <w:shd w:val="clear" w:color="auto" w:fill="FFFFFF"/>
            <w:vAlign w:val="center"/>
          </w:tcPr>
          <w:p w:rsidR="0027231B" w:rsidRPr="00A9425C" w:rsidRDefault="0027231B" w:rsidP="00B9725B">
            <w:pPr>
              <w:jc w:val="center"/>
            </w:pPr>
            <w:r w:rsidRPr="00A9425C">
              <w:t>Saskaņošanai nosūtītā projekta redakcija</w:t>
            </w:r>
          </w:p>
          <w:p w:rsidR="0027231B" w:rsidRPr="00A9425C" w:rsidRDefault="0027231B" w:rsidP="00B9725B">
            <w:pPr>
              <w:jc w:val="center"/>
            </w:pPr>
            <w:r w:rsidRPr="00A9425C">
              <w:t>(konkrēta punkta (panta) redakcija)</w:t>
            </w:r>
          </w:p>
        </w:tc>
        <w:tc>
          <w:tcPr>
            <w:tcW w:w="4961" w:type="dxa"/>
            <w:shd w:val="clear" w:color="auto" w:fill="FFFFFF"/>
            <w:vAlign w:val="center"/>
          </w:tcPr>
          <w:p w:rsidR="0027231B" w:rsidRPr="00A9425C" w:rsidRDefault="0027231B" w:rsidP="00B9725B">
            <w:pPr>
              <w:jc w:val="center"/>
            </w:pPr>
            <w:r w:rsidRPr="00A9425C">
              <w:t>Atzinumā norādītais</w:t>
            </w:r>
          </w:p>
          <w:p w:rsidR="0027231B" w:rsidRPr="00A9425C" w:rsidRDefault="0027231B" w:rsidP="00B9725B">
            <w:pPr>
              <w:jc w:val="center"/>
            </w:pPr>
            <w:r w:rsidRPr="00A9425C">
              <w:t>ministrijas (citas institūcijas) iebildums, kā arī saskaņošanā papildus izteiktais iebildums par projekta konkrēto punktu (pantu)</w:t>
            </w:r>
          </w:p>
        </w:tc>
        <w:tc>
          <w:tcPr>
            <w:tcW w:w="2551" w:type="dxa"/>
            <w:shd w:val="clear" w:color="auto" w:fill="FFFFFF"/>
            <w:vAlign w:val="center"/>
          </w:tcPr>
          <w:p w:rsidR="0027231B" w:rsidRPr="00A9425C" w:rsidRDefault="0027231B" w:rsidP="00B9725B">
            <w:pPr>
              <w:jc w:val="center"/>
            </w:pPr>
            <w:r w:rsidRPr="00A9425C">
              <w:t>Atbildīgās ministrijas pamatojums iebilduma noraidījumam</w:t>
            </w:r>
          </w:p>
        </w:tc>
        <w:tc>
          <w:tcPr>
            <w:tcW w:w="1985" w:type="dxa"/>
            <w:shd w:val="clear" w:color="auto" w:fill="FFFFFF"/>
            <w:vAlign w:val="center"/>
          </w:tcPr>
          <w:p w:rsidR="0027231B" w:rsidRPr="00A9425C" w:rsidRDefault="0027231B" w:rsidP="00B9725B">
            <w:pPr>
              <w:jc w:val="center"/>
            </w:pPr>
          </w:p>
          <w:p w:rsidR="0027231B" w:rsidRPr="00A9425C" w:rsidRDefault="0027231B" w:rsidP="00B9725B">
            <w:pPr>
              <w:jc w:val="center"/>
            </w:pPr>
            <w:r w:rsidRPr="00A9425C">
              <w:t>Atzinuma sniedzēja uzturētais iebildums, ja tas atšķiras no atzinumā norādītā iebilduma pamatojuma</w:t>
            </w:r>
          </w:p>
        </w:tc>
        <w:tc>
          <w:tcPr>
            <w:tcW w:w="1701" w:type="dxa"/>
            <w:shd w:val="clear" w:color="auto" w:fill="FFFFFF"/>
            <w:vAlign w:val="center"/>
          </w:tcPr>
          <w:p w:rsidR="0027231B" w:rsidRPr="00A9425C" w:rsidRDefault="0027231B" w:rsidP="00B9725B">
            <w:pPr>
              <w:jc w:val="center"/>
            </w:pPr>
            <w:r w:rsidRPr="00A9425C">
              <w:t>Projekta attiecīgā punkta (panta) galīgā redakcija</w:t>
            </w:r>
          </w:p>
        </w:tc>
      </w:tr>
      <w:tr w:rsidR="0027231B" w:rsidRPr="00A9425C" w:rsidTr="00A36CF7">
        <w:tc>
          <w:tcPr>
            <w:tcW w:w="758" w:type="dxa"/>
            <w:shd w:val="clear" w:color="auto" w:fill="FFFFFF"/>
            <w:vAlign w:val="center"/>
          </w:tcPr>
          <w:p w:rsidR="0027231B" w:rsidRPr="00A9425C" w:rsidRDefault="0027231B" w:rsidP="00B9725B">
            <w:pPr>
              <w:jc w:val="center"/>
            </w:pPr>
            <w:r w:rsidRPr="00A9425C">
              <w:t>1</w:t>
            </w:r>
          </w:p>
        </w:tc>
        <w:tc>
          <w:tcPr>
            <w:tcW w:w="2503" w:type="dxa"/>
            <w:shd w:val="clear" w:color="auto" w:fill="FFFFFF"/>
            <w:vAlign w:val="center"/>
          </w:tcPr>
          <w:p w:rsidR="0027231B" w:rsidRPr="00A9425C" w:rsidRDefault="0027231B" w:rsidP="00B9725B">
            <w:pPr>
              <w:jc w:val="center"/>
            </w:pPr>
            <w:r w:rsidRPr="00A9425C">
              <w:t>2</w:t>
            </w:r>
          </w:p>
        </w:tc>
        <w:tc>
          <w:tcPr>
            <w:tcW w:w="4961" w:type="dxa"/>
            <w:shd w:val="clear" w:color="auto" w:fill="FFFFFF"/>
            <w:vAlign w:val="center"/>
          </w:tcPr>
          <w:p w:rsidR="0027231B" w:rsidRPr="00A9425C" w:rsidRDefault="0027231B" w:rsidP="00B9725B">
            <w:pPr>
              <w:jc w:val="center"/>
            </w:pPr>
            <w:r w:rsidRPr="00A9425C">
              <w:t>3</w:t>
            </w:r>
          </w:p>
        </w:tc>
        <w:tc>
          <w:tcPr>
            <w:tcW w:w="2551" w:type="dxa"/>
            <w:shd w:val="clear" w:color="auto" w:fill="FFFFFF"/>
            <w:vAlign w:val="center"/>
          </w:tcPr>
          <w:p w:rsidR="0027231B" w:rsidRPr="00A9425C" w:rsidRDefault="0027231B" w:rsidP="00B9725B">
            <w:pPr>
              <w:jc w:val="center"/>
            </w:pPr>
            <w:r w:rsidRPr="00A9425C">
              <w:t>4</w:t>
            </w:r>
          </w:p>
        </w:tc>
        <w:tc>
          <w:tcPr>
            <w:tcW w:w="1985" w:type="dxa"/>
            <w:shd w:val="clear" w:color="auto" w:fill="FFFFFF"/>
            <w:vAlign w:val="center"/>
          </w:tcPr>
          <w:p w:rsidR="0027231B" w:rsidRPr="00A9425C" w:rsidRDefault="0027231B" w:rsidP="00B9725B">
            <w:pPr>
              <w:jc w:val="center"/>
            </w:pPr>
            <w:r w:rsidRPr="00A9425C">
              <w:t>5</w:t>
            </w:r>
          </w:p>
        </w:tc>
        <w:tc>
          <w:tcPr>
            <w:tcW w:w="1701" w:type="dxa"/>
            <w:shd w:val="clear" w:color="auto" w:fill="FFFFFF"/>
            <w:vAlign w:val="center"/>
          </w:tcPr>
          <w:p w:rsidR="0027231B" w:rsidRPr="00A9425C" w:rsidRDefault="0027231B" w:rsidP="00B9725B">
            <w:pPr>
              <w:jc w:val="center"/>
            </w:pPr>
            <w:r w:rsidRPr="00A9425C">
              <w:t>6</w:t>
            </w:r>
          </w:p>
        </w:tc>
      </w:tr>
      <w:tr w:rsidR="00365F8E" w:rsidRPr="00A9425C" w:rsidTr="00E019E7">
        <w:trPr>
          <w:trHeight w:val="238"/>
        </w:trPr>
        <w:tc>
          <w:tcPr>
            <w:tcW w:w="758" w:type="dxa"/>
            <w:shd w:val="clear" w:color="auto" w:fill="FFFFFF"/>
            <w:vAlign w:val="center"/>
          </w:tcPr>
          <w:p w:rsidR="00365F8E" w:rsidRPr="00A9425C" w:rsidRDefault="00365F8E" w:rsidP="00365F8E">
            <w:pPr>
              <w:jc w:val="center"/>
            </w:pPr>
          </w:p>
        </w:tc>
        <w:tc>
          <w:tcPr>
            <w:tcW w:w="2503" w:type="dxa"/>
            <w:tcBorders>
              <w:top w:val="single" w:sz="4" w:space="0" w:color="auto"/>
              <w:left w:val="single" w:sz="6" w:space="0" w:color="000000"/>
              <w:bottom w:val="single" w:sz="6" w:space="0" w:color="000000"/>
              <w:right w:val="single" w:sz="6" w:space="0" w:color="000000"/>
            </w:tcBorders>
          </w:tcPr>
          <w:p w:rsidR="00365F8E" w:rsidRPr="00F17BE0" w:rsidRDefault="00365F8E" w:rsidP="00365F8E">
            <w:pPr>
              <w:jc w:val="both"/>
              <w:rPr>
                <w:sz w:val="20"/>
                <w:szCs w:val="22"/>
              </w:rPr>
            </w:pPr>
          </w:p>
        </w:tc>
        <w:tc>
          <w:tcPr>
            <w:tcW w:w="4961" w:type="dxa"/>
            <w:tcBorders>
              <w:top w:val="single" w:sz="4" w:space="0" w:color="auto"/>
              <w:left w:val="single" w:sz="6" w:space="0" w:color="000000"/>
              <w:bottom w:val="single" w:sz="6" w:space="0" w:color="000000"/>
              <w:right w:val="single" w:sz="6" w:space="0" w:color="000000"/>
            </w:tcBorders>
          </w:tcPr>
          <w:p w:rsidR="00365F8E" w:rsidRPr="00F17BE0" w:rsidRDefault="00365F8E" w:rsidP="00365F8E">
            <w:pPr>
              <w:jc w:val="both"/>
              <w:rPr>
                <w:sz w:val="22"/>
                <w:szCs w:val="22"/>
              </w:rPr>
            </w:pPr>
          </w:p>
        </w:tc>
        <w:tc>
          <w:tcPr>
            <w:tcW w:w="2551" w:type="dxa"/>
            <w:shd w:val="clear" w:color="auto" w:fill="FFFFFF"/>
          </w:tcPr>
          <w:p w:rsidR="0040018E" w:rsidRPr="0040018E" w:rsidRDefault="008030A8" w:rsidP="008030A8">
            <w:pPr>
              <w:rPr>
                <w:sz w:val="22"/>
                <w:szCs w:val="22"/>
                <w:u w:val="single"/>
              </w:rPr>
            </w:pPr>
            <w:r>
              <w:rPr>
                <w:sz w:val="22"/>
                <w:szCs w:val="22"/>
              </w:rPr>
              <w:t xml:space="preserve"> </w:t>
            </w:r>
          </w:p>
        </w:tc>
        <w:tc>
          <w:tcPr>
            <w:tcW w:w="1985" w:type="dxa"/>
            <w:shd w:val="clear" w:color="auto" w:fill="FFFFFF"/>
          </w:tcPr>
          <w:p w:rsidR="00365F8E" w:rsidRPr="00365F8E" w:rsidRDefault="00365F8E" w:rsidP="00365F8E">
            <w:pPr>
              <w:rPr>
                <w:sz w:val="22"/>
                <w:szCs w:val="22"/>
                <w:u w:val="single"/>
              </w:rPr>
            </w:pPr>
          </w:p>
        </w:tc>
        <w:tc>
          <w:tcPr>
            <w:tcW w:w="1701" w:type="dxa"/>
            <w:shd w:val="clear" w:color="auto" w:fill="FFFFFF"/>
          </w:tcPr>
          <w:p w:rsidR="00365F8E" w:rsidRPr="00B62122" w:rsidRDefault="00365F8E" w:rsidP="00DE7919">
            <w:pPr>
              <w:jc w:val="both"/>
              <w:rPr>
                <w:sz w:val="22"/>
                <w:szCs w:val="22"/>
              </w:rPr>
            </w:pPr>
          </w:p>
        </w:tc>
      </w:tr>
    </w:tbl>
    <w:p w:rsidR="00E8562C" w:rsidRDefault="00E8562C" w:rsidP="00E8562C">
      <w:pPr>
        <w:tabs>
          <w:tab w:val="center" w:pos="4153"/>
          <w:tab w:val="right" w:pos="8306"/>
        </w:tabs>
        <w:rPr>
          <w:b/>
          <w:bCs/>
        </w:rPr>
      </w:pPr>
    </w:p>
    <w:p w:rsidR="0027231B" w:rsidRPr="002D19D8" w:rsidRDefault="0027231B" w:rsidP="00E8562C">
      <w:pPr>
        <w:tabs>
          <w:tab w:val="center" w:pos="4153"/>
          <w:tab w:val="right" w:pos="8306"/>
        </w:tabs>
        <w:rPr>
          <w:b/>
          <w:bCs/>
        </w:rPr>
      </w:pPr>
      <w:r w:rsidRPr="00A9425C">
        <w:rPr>
          <w:b/>
          <w:bCs/>
        </w:rPr>
        <w:t xml:space="preserve">Informācija par </w:t>
      </w:r>
      <w:r w:rsidRPr="0092670D">
        <w:rPr>
          <w:b/>
          <w:bCs/>
          <w:u w:val="single"/>
        </w:rPr>
        <w:t>starpministriju (starpinstitūciju) sanāksmi</w:t>
      </w:r>
      <w:r w:rsidRPr="00A9425C">
        <w:rPr>
          <w:b/>
          <w:bCs/>
        </w:rPr>
        <w:t xml:space="preserve"> vai </w:t>
      </w:r>
      <w:r w:rsidRPr="0092670D">
        <w:rPr>
          <w:b/>
          <w:bCs/>
        </w:rPr>
        <w:t>elektronisko saskaņošanu</w:t>
      </w:r>
    </w:p>
    <w:p w:rsidR="0027231B" w:rsidRDefault="0027231B" w:rsidP="0027231B">
      <w:pPr>
        <w:tabs>
          <w:tab w:val="center" w:pos="4153"/>
          <w:tab w:val="right" w:pos="8306"/>
        </w:tabs>
        <w:rPr>
          <w:b/>
          <w:bCs/>
        </w:rPr>
      </w:pPr>
    </w:p>
    <w:tbl>
      <w:tblPr>
        <w:tblW w:w="26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
        <w:gridCol w:w="5416"/>
        <w:gridCol w:w="8728"/>
        <w:gridCol w:w="11938"/>
      </w:tblGrid>
      <w:tr w:rsidR="00E8562C" w:rsidRPr="003D697F" w:rsidTr="00E019E7">
        <w:trPr>
          <w:gridAfter w:val="1"/>
          <w:wAfter w:w="11938" w:type="dxa"/>
        </w:trPr>
        <w:tc>
          <w:tcPr>
            <w:tcW w:w="5558" w:type="dxa"/>
            <w:gridSpan w:val="2"/>
            <w:tcBorders>
              <w:top w:val="nil"/>
              <w:left w:val="nil"/>
              <w:bottom w:val="nil"/>
              <w:right w:val="nil"/>
            </w:tcBorders>
            <w:shd w:val="clear" w:color="auto" w:fill="auto"/>
          </w:tcPr>
          <w:p w:rsidR="00E8562C" w:rsidRPr="003D697F" w:rsidRDefault="00E8562C" w:rsidP="00B9725B">
            <w:pPr>
              <w:spacing w:before="100" w:beforeAutospacing="1" w:after="100" w:afterAutospacing="1"/>
              <w:jc w:val="both"/>
              <w:rPr>
                <w:b/>
                <w:bCs/>
              </w:rPr>
            </w:pPr>
            <w:r w:rsidRPr="003D697F">
              <w:t>Datums</w:t>
            </w:r>
          </w:p>
        </w:tc>
        <w:tc>
          <w:tcPr>
            <w:tcW w:w="8728" w:type="dxa"/>
            <w:tcBorders>
              <w:top w:val="nil"/>
              <w:left w:val="nil"/>
              <w:right w:val="nil"/>
            </w:tcBorders>
            <w:shd w:val="clear" w:color="auto" w:fill="auto"/>
          </w:tcPr>
          <w:p w:rsidR="00E8562C" w:rsidRPr="003D697F" w:rsidRDefault="00E25864" w:rsidP="00573708">
            <w:pPr>
              <w:spacing w:before="100" w:beforeAutospacing="1" w:after="100" w:afterAutospacing="1"/>
              <w:jc w:val="both"/>
              <w:rPr>
                <w:b/>
                <w:bCs/>
              </w:rPr>
            </w:pPr>
            <w:r w:rsidRPr="00573708">
              <w:rPr>
                <w:b/>
                <w:bCs/>
                <w:u w:val="single"/>
              </w:rPr>
              <w:t xml:space="preserve">29.08.2019. </w:t>
            </w:r>
            <w:r w:rsidRPr="00573708">
              <w:rPr>
                <w:bCs/>
                <w:u w:val="single"/>
              </w:rPr>
              <w:t>(</w:t>
            </w:r>
            <w:r w:rsidRPr="0020489E">
              <w:rPr>
                <w:bCs/>
                <w:u w:val="single"/>
              </w:rPr>
              <w:t>VSS),</w:t>
            </w:r>
            <w:r w:rsidRPr="0020489E">
              <w:rPr>
                <w:b/>
                <w:bCs/>
                <w:u w:val="single"/>
              </w:rPr>
              <w:t xml:space="preserve"> </w:t>
            </w:r>
            <w:r w:rsidR="0092670D" w:rsidRPr="0020489E">
              <w:rPr>
                <w:b/>
                <w:bCs/>
                <w:u w:val="single"/>
              </w:rPr>
              <w:t>10</w:t>
            </w:r>
            <w:r w:rsidR="00E8562C" w:rsidRPr="0020489E">
              <w:rPr>
                <w:b/>
                <w:bCs/>
                <w:u w:val="single"/>
              </w:rPr>
              <w:t>.</w:t>
            </w:r>
            <w:r w:rsidR="0092670D" w:rsidRPr="0020489E">
              <w:rPr>
                <w:b/>
                <w:bCs/>
                <w:u w:val="single"/>
              </w:rPr>
              <w:t>1</w:t>
            </w:r>
            <w:r w:rsidR="00E8562C" w:rsidRPr="0020489E">
              <w:rPr>
                <w:b/>
                <w:bCs/>
                <w:u w:val="single"/>
              </w:rPr>
              <w:t xml:space="preserve">0.2019. </w:t>
            </w:r>
            <w:r w:rsidR="00E8562C" w:rsidRPr="0020489E">
              <w:rPr>
                <w:bCs/>
                <w:u w:val="single"/>
              </w:rPr>
              <w:t>(</w:t>
            </w:r>
            <w:r w:rsidR="009D58A1" w:rsidRPr="0020489E">
              <w:rPr>
                <w:bCs/>
                <w:u w:val="single"/>
              </w:rPr>
              <w:t>starpministriju (starpinstitūciju) sanāksme</w:t>
            </w:r>
            <w:r w:rsidR="00E8562C" w:rsidRPr="0020489E">
              <w:rPr>
                <w:bCs/>
                <w:u w:val="single"/>
              </w:rPr>
              <w:t>)</w:t>
            </w:r>
            <w:r w:rsidR="00573708">
              <w:rPr>
                <w:bCs/>
                <w:u w:val="single"/>
              </w:rPr>
              <w:t xml:space="preserve">, </w:t>
            </w:r>
            <w:r w:rsidR="00573708" w:rsidRPr="0020489E">
              <w:rPr>
                <w:b/>
                <w:bCs/>
                <w:u w:val="single"/>
              </w:rPr>
              <w:t>1</w:t>
            </w:r>
            <w:r w:rsidR="00573708">
              <w:rPr>
                <w:b/>
                <w:bCs/>
                <w:u w:val="single"/>
              </w:rPr>
              <w:t>1</w:t>
            </w:r>
            <w:r w:rsidR="00573708" w:rsidRPr="0020489E">
              <w:rPr>
                <w:b/>
                <w:bCs/>
                <w:u w:val="single"/>
              </w:rPr>
              <w:t xml:space="preserve">.10.2019. </w:t>
            </w:r>
            <w:r w:rsidR="00573708" w:rsidRPr="00573708">
              <w:rPr>
                <w:bCs/>
              </w:rPr>
              <w:t>(atkārtota piecu darba dienu elektroniska saskaņošana)</w:t>
            </w:r>
          </w:p>
        </w:tc>
      </w:tr>
      <w:tr w:rsidR="00E8562C" w:rsidRPr="003D697F" w:rsidTr="00E019E7">
        <w:trPr>
          <w:gridAfter w:val="1"/>
          <w:wAfter w:w="11938" w:type="dxa"/>
        </w:trPr>
        <w:tc>
          <w:tcPr>
            <w:tcW w:w="5558" w:type="dxa"/>
            <w:gridSpan w:val="2"/>
            <w:tcBorders>
              <w:top w:val="nil"/>
              <w:left w:val="nil"/>
              <w:bottom w:val="nil"/>
              <w:right w:val="nil"/>
            </w:tcBorders>
            <w:shd w:val="clear" w:color="auto" w:fill="auto"/>
          </w:tcPr>
          <w:p w:rsidR="00E8562C" w:rsidRPr="003D697F" w:rsidRDefault="00E8562C" w:rsidP="00B9725B">
            <w:pPr>
              <w:spacing w:before="100" w:beforeAutospacing="1" w:after="100" w:afterAutospacing="1"/>
              <w:jc w:val="both"/>
              <w:rPr>
                <w:b/>
                <w:bCs/>
              </w:rPr>
            </w:pPr>
            <w:r w:rsidRPr="003D697F">
              <w:t>Saskaņošanas dalībnieki</w:t>
            </w:r>
          </w:p>
        </w:tc>
        <w:tc>
          <w:tcPr>
            <w:tcW w:w="8728" w:type="dxa"/>
            <w:tcBorders>
              <w:left w:val="nil"/>
              <w:right w:val="nil"/>
            </w:tcBorders>
            <w:shd w:val="clear" w:color="auto" w:fill="auto"/>
          </w:tcPr>
          <w:p w:rsidR="00E8562C" w:rsidRPr="003D697F" w:rsidRDefault="00E8562C" w:rsidP="00B9725B">
            <w:pPr>
              <w:jc w:val="both"/>
              <w:rPr>
                <w:bCs/>
              </w:rPr>
            </w:pPr>
            <w:r w:rsidRPr="009B434F">
              <w:t xml:space="preserve">Tieslietu ministrija, Aizsardzības ministrija, Ārlietu ministrija, Ekonomikas ministrija, Iekšlietu ministrija, Izglītības un zinātnes ministrija, Kultūras ministrija, Labklājības ministrija, Satiksmes ministrija, Veselības ministrija, Vides aizsardzības un reģionālās attīstības ministrija, Zemkopības ministrija, Korupcijas novēršanas un apkarošanas birojs, </w:t>
            </w:r>
            <w:r w:rsidRPr="00D964B0">
              <w:t>Valsts kanceleja,</w:t>
            </w:r>
            <w:r w:rsidRPr="009B434F">
              <w:t xml:space="preserve"> Latvijas Brīvo arodbiedrību savienība, Sabiedrības integrācijas fonds, Datu valsts inspekcija, Latvijas Tirdzniecības un rūpniecības kamera</w:t>
            </w:r>
          </w:p>
        </w:tc>
      </w:tr>
      <w:tr w:rsidR="00E8562C" w:rsidRPr="003D697F" w:rsidTr="00E019E7">
        <w:trPr>
          <w:gridAfter w:val="1"/>
          <w:wAfter w:w="11938" w:type="dxa"/>
        </w:trPr>
        <w:tc>
          <w:tcPr>
            <w:tcW w:w="5558" w:type="dxa"/>
            <w:gridSpan w:val="2"/>
            <w:tcBorders>
              <w:top w:val="nil"/>
              <w:left w:val="nil"/>
              <w:bottom w:val="nil"/>
              <w:right w:val="nil"/>
            </w:tcBorders>
            <w:shd w:val="clear" w:color="auto" w:fill="auto"/>
          </w:tcPr>
          <w:p w:rsidR="00E8562C" w:rsidRPr="003D697F" w:rsidRDefault="00E8562C" w:rsidP="00B9725B">
            <w:pPr>
              <w:spacing w:before="100" w:beforeAutospacing="1" w:after="100" w:afterAutospacing="1"/>
              <w:jc w:val="both"/>
              <w:rPr>
                <w:b/>
                <w:bCs/>
              </w:rPr>
            </w:pPr>
            <w:r w:rsidRPr="003D697F">
              <w:t>Saskaņošanas sanāksmes dalībnieki izskatīja šādu ministriju (citu institūciju) iebildumus</w:t>
            </w:r>
          </w:p>
        </w:tc>
        <w:tc>
          <w:tcPr>
            <w:tcW w:w="8728" w:type="dxa"/>
            <w:tcBorders>
              <w:left w:val="nil"/>
              <w:right w:val="nil"/>
            </w:tcBorders>
            <w:shd w:val="clear" w:color="auto" w:fill="auto"/>
            <w:vAlign w:val="bottom"/>
          </w:tcPr>
          <w:p w:rsidR="00E8562C" w:rsidRPr="003D697F" w:rsidRDefault="00E8562C" w:rsidP="00E8562C">
            <w:pPr>
              <w:spacing w:before="100" w:beforeAutospacing="1" w:after="100" w:afterAutospacing="1"/>
              <w:rPr>
                <w:b/>
                <w:bCs/>
              </w:rPr>
            </w:pPr>
            <w:r w:rsidRPr="00D67884">
              <w:t>Tieslietu ministrija</w:t>
            </w:r>
            <w:r>
              <w:t>s</w:t>
            </w:r>
            <w:r w:rsidRPr="00D67884">
              <w:t>,</w:t>
            </w:r>
            <w:r>
              <w:t xml:space="preserve"> Veselības ministrijas, Datu valsts inspekcijas</w:t>
            </w:r>
            <w:r w:rsidRPr="001A7FF9">
              <w:t xml:space="preserve">  </w:t>
            </w:r>
          </w:p>
        </w:tc>
      </w:tr>
      <w:tr w:rsidR="00E8562C" w:rsidRPr="003D697F" w:rsidTr="00E019E7">
        <w:trPr>
          <w:gridAfter w:val="1"/>
          <w:wAfter w:w="11938" w:type="dxa"/>
        </w:trPr>
        <w:tc>
          <w:tcPr>
            <w:tcW w:w="5558" w:type="dxa"/>
            <w:gridSpan w:val="2"/>
            <w:tcBorders>
              <w:top w:val="nil"/>
              <w:left w:val="nil"/>
              <w:bottom w:val="nil"/>
              <w:right w:val="nil"/>
            </w:tcBorders>
            <w:shd w:val="clear" w:color="auto" w:fill="auto"/>
          </w:tcPr>
          <w:p w:rsidR="00E8562C" w:rsidRPr="003D697F" w:rsidRDefault="00E8562C" w:rsidP="00B9725B">
            <w:pPr>
              <w:spacing w:before="100" w:beforeAutospacing="1" w:after="100" w:afterAutospacing="1"/>
              <w:jc w:val="both"/>
              <w:rPr>
                <w:b/>
                <w:bCs/>
              </w:rPr>
            </w:pPr>
            <w:r w:rsidRPr="003D697F">
              <w:t>Ministrijas (citas institūcijas), kuras nav ieradušās uz sanāksmi vai kuras nav atbildējušas uz uzaicinājumu piedalīties elektroniskajā saskaņošanā</w:t>
            </w:r>
          </w:p>
        </w:tc>
        <w:tc>
          <w:tcPr>
            <w:tcW w:w="8728" w:type="dxa"/>
            <w:tcBorders>
              <w:left w:val="nil"/>
              <w:right w:val="nil"/>
            </w:tcBorders>
            <w:shd w:val="clear" w:color="auto" w:fill="auto"/>
            <w:vAlign w:val="bottom"/>
          </w:tcPr>
          <w:p w:rsidR="00E8562C" w:rsidRPr="003D697F" w:rsidRDefault="00E8562C" w:rsidP="0020489E">
            <w:pPr>
              <w:spacing w:before="100" w:beforeAutospacing="1" w:after="100" w:afterAutospacing="1"/>
              <w:rPr>
                <w:b/>
                <w:bCs/>
              </w:rPr>
            </w:pPr>
          </w:p>
        </w:tc>
      </w:tr>
      <w:tr w:rsidR="0027231B" w:rsidRPr="00A9425C" w:rsidTr="00E019E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blCellSpacing w:w="0" w:type="dxa"/>
        </w:trPr>
        <w:tc>
          <w:tcPr>
            <w:tcW w:w="26082" w:type="dxa"/>
            <w:gridSpan w:val="3"/>
          </w:tcPr>
          <w:p w:rsidR="0027231B" w:rsidRPr="00A9425C" w:rsidRDefault="0027231B" w:rsidP="0027231B">
            <w:pPr>
              <w:spacing w:before="100" w:beforeAutospacing="1" w:after="100" w:afterAutospacing="1"/>
            </w:pPr>
          </w:p>
        </w:tc>
      </w:tr>
    </w:tbl>
    <w:p w:rsidR="00C23753" w:rsidRDefault="00C23753" w:rsidP="00905789">
      <w:pPr>
        <w:tabs>
          <w:tab w:val="left" w:pos="960"/>
        </w:tabs>
        <w:ind w:firstLine="720"/>
        <w:rPr>
          <w:b/>
        </w:rPr>
      </w:pPr>
    </w:p>
    <w:p w:rsidR="001801C2" w:rsidRPr="001801C2" w:rsidRDefault="001801C2" w:rsidP="001801C2">
      <w:pPr>
        <w:jc w:val="center"/>
        <w:rPr>
          <w:b/>
        </w:rPr>
      </w:pPr>
      <w:r w:rsidRPr="001801C2">
        <w:rPr>
          <w:b/>
        </w:rPr>
        <w:t>II. Jautājumi, par kuriem saskaņošanā vienošanās ir panākta</w:t>
      </w:r>
    </w:p>
    <w:p w:rsidR="001801C2" w:rsidRPr="001801C2" w:rsidRDefault="001801C2" w:rsidP="001801C2">
      <w:pPr>
        <w:jc w:val="both"/>
      </w:pPr>
    </w:p>
    <w:tbl>
      <w:tblPr>
        <w:tblW w:w="14413" w:type="dxa"/>
        <w:tblInd w:w="-1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6"/>
        <w:gridCol w:w="567"/>
        <w:gridCol w:w="2977"/>
        <w:gridCol w:w="3260"/>
        <w:gridCol w:w="3828"/>
        <w:gridCol w:w="1984"/>
        <w:gridCol w:w="1571"/>
        <w:gridCol w:w="130"/>
      </w:tblGrid>
      <w:tr w:rsidR="001801C2" w:rsidRPr="005C7AB2" w:rsidTr="00E019E7">
        <w:trPr>
          <w:gridBefore w:val="1"/>
          <w:wBefore w:w="96" w:type="dxa"/>
        </w:trPr>
        <w:tc>
          <w:tcPr>
            <w:tcW w:w="567" w:type="dxa"/>
            <w:tcBorders>
              <w:top w:val="single" w:sz="4" w:space="0" w:color="auto"/>
              <w:left w:val="single" w:sz="4" w:space="0" w:color="auto"/>
              <w:bottom w:val="single" w:sz="4" w:space="0" w:color="auto"/>
              <w:right w:val="single" w:sz="6" w:space="0" w:color="000000"/>
            </w:tcBorders>
            <w:vAlign w:val="center"/>
          </w:tcPr>
          <w:p w:rsidR="001801C2" w:rsidRPr="005C7AB2" w:rsidRDefault="001801C2" w:rsidP="00600CB3">
            <w:pPr>
              <w:jc w:val="center"/>
              <w:rPr>
                <w:sz w:val="22"/>
                <w:szCs w:val="22"/>
              </w:rPr>
            </w:pPr>
            <w:r w:rsidRPr="005C7AB2">
              <w:rPr>
                <w:sz w:val="22"/>
                <w:szCs w:val="22"/>
              </w:rPr>
              <w:t>Nr. p.k.</w:t>
            </w:r>
          </w:p>
        </w:tc>
        <w:tc>
          <w:tcPr>
            <w:tcW w:w="2977" w:type="dxa"/>
            <w:tcBorders>
              <w:top w:val="single" w:sz="4" w:space="0" w:color="auto"/>
              <w:left w:val="single" w:sz="6" w:space="0" w:color="000000"/>
              <w:bottom w:val="single" w:sz="4" w:space="0" w:color="auto"/>
              <w:right w:val="single" w:sz="6" w:space="0" w:color="000000"/>
            </w:tcBorders>
            <w:vAlign w:val="center"/>
          </w:tcPr>
          <w:p w:rsidR="001801C2" w:rsidRPr="005C7AB2" w:rsidRDefault="001801C2" w:rsidP="001801C2">
            <w:pPr>
              <w:jc w:val="center"/>
              <w:rPr>
                <w:sz w:val="22"/>
                <w:szCs w:val="22"/>
              </w:rPr>
            </w:pPr>
            <w:r w:rsidRPr="005C7AB2">
              <w:rPr>
                <w:sz w:val="22"/>
                <w:szCs w:val="22"/>
              </w:rPr>
              <w:t>Saskaņošanai nosūtītā projekta redakcija (konkrēta punkta (panta) redakcija)</w:t>
            </w:r>
          </w:p>
        </w:tc>
        <w:tc>
          <w:tcPr>
            <w:tcW w:w="3260" w:type="dxa"/>
            <w:tcBorders>
              <w:top w:val="single" w:sz="4" w:space="0" w:color="auto"/>
              <w:left w:val="single" w:sz="6" w:space="0" w:color="000000"/>
              <w:bottom w:val="single" w:sz="4" w:space="0" w:color="auto"/>
              <w:right w:val="single" w:sz="6" w:space="0" w:color="000000"/>
            </w:tcBorders>
            <w:vAlign w:val="center"/>
          </w:tcPr>
          <w:p w:rsidR="001801C2" w:rsidRPr="005C7AB2" w:rsidRDefault="001801C2" w:rsidP="001801C2">
            <w:pPr>
              <w:ind w:right="3"/>
              <w:jc w:val="center"/>
              <w:rPr>
                <w:sz w:val="22"/>
                <w:szCs w:val="22"/>
              </w:rPr>
            </w:pPr>
            <w:r w:rsidRPr="005C7AB2">
              <w:rPr>
                <w:sz w:val="22"/>
                <w:szCs w:val="22"/>
              </w:rPr>
              <w:t>Atzinumā norādītais ministrijas (citas institūcijas) iebildums, kā arī saskaņošanā papildus izteiktais iebildums par projekta konkrēto punktu (pantu)</w:t>
            </w:r>
          </w:p>
        </w:tc>
        <w:tc>
          <w:tcPr>
            <w:tcW w:w="3828" w:type="dxa"/>
            <w:tcBorders>
              <w:top w:val="single" w:sz="4" w:space="0" w:color="auto"/>
              <w:left w:val="single" w:sz="6" w:space="0" w:color="000000"/>
              <w:bottom w:val="single" w:sz="4" w:space="0" w:color="auto"/>
              <w:right w:val="single" w:sz="6" w:space="0" w:color="000000"/>
            </w:tcBorders>
            <w:vAlign w:val="center"/>
          </w:tcPr>
          <w:p w:rsidR="001801C2" w:rsidRPr="005C7AB2" w:rsidRDefault="001801C2" w:rsidP="001801C2">
            <w:pPr>
              <w:jc w:val="center"/>
              <w:rPr>
                <w:sz w:val="22"/>
                <w:szCs w:val="22"/>
              </w:rPr>
            </w:pPr>
            <w:r w:rsidRPr="005C7AB2">
              <w:rPr>
                <w:sz w:val="22"/>
                <w:szCs w:val="22"/>
              </w:rPr>
              <w:t>Atbildīgās ministrijas norāde par to, ka iebildums ir ņemts vērā, vai informācija par saskaņošanā panākto alternatīvo risinājumu</w:t>
            </w:r>
          </w:p>
        </w:tc>
        <w:tc>
          <w:tcPr>
            <w:tcW w:w="3685" w:type="dxa"/>
            <w:gridSpan w:val="3"/>
            <w:tcBorders>
              <w:top w:val="single" w:sz="4" w:space="0" w:color="auto"/>
              <w:left w:val="single" w:sz="4" w:space="0" w:color="auto"/>
              <w:bottom w:val="single" w:sz="4" w:space="0" w:color="auto"/>
            </w:tcBorders>
            <w:vAlign w:val="center"/>
          </w:tcPr>
          <w:p w:rsidR="001801C2" w:rsidRPr="005C7AB2" w:rsidRDefault="001801C2" w:rsidP="001801C2">
            <w:pPr>
              <w:jc w:val="center"/>
              <w:rPr>
                <w:sz w:val="22"/>
                <w:szCs w:val="22"/>
              </w:rPr>
            </w:pPr>
            <w:r w:rsidRPr="005C7AB2">
              <w:rPr>
                <w:sz w:val="22"/>
                <w:szCs w:val="22"/>
              </w:rPr>
              <w:t>Projekta attiecīgā punkta (panta) galīgā redakcija</w:t>
            </w:r>
          </w:p>
        </w:tc>
      </w:tr>
      <w:tr w:rsidR="001801C2" w:rsidRPr="005C7AB2" w:rsidTr="00E019E7">
        <w:trPr>
          <w:gridBefore w:val="1"/>
          <w:wBefore w:w="96" w:type="dxa"/>
        </w:trPr>
        <w:tc>
          <w:tcPr>
            <w:tcW w:w="567" w:type="dxa"/>
            <w:tcBorders>
              <w:top w:val="single" w:sz="4" w:space="0" w:color="auto"/>
              <w:left w:val="single" w:sz="6" w:space="0" w:color="000000"/>
              <w:bottom w:val="single" w:sz="6" w:space="0" w:color="000000"/>
              <w:right w:val="single" w:sz="6" w:space="0" w:color="000000"/>
            </w:tcBorders>
            <w:vAlign w:val="center"/>
          </w:tcPr>
          <w:p w:rsidR="001801C2" w:rsidRPr="00576907" w:rsidRDefault="001801C2" w:rsidP="00576907">
            <w:pPr>
              <w:jc w:val="center"/>
              <w:rPr>
                <w:sz w:val="22"/>
                <w:szCs w:val="22"/>
              </w:rPr>
            </w:pPr>
            <w:r w:rsidRPr="00576907">
              <w:rPr>
                <w:sz w:val="22"/>
                <w:szCs w:val="22"/>
              </w:rPr>
              <w:t>1</w:t>
            </w:r>
          </w:p>
        </w:tc>
        <w:tc>
          <w:tcPr>
            <w:tcW w:w="2977" w:type="dxa"/>
            <w:tcBorders>
              <w:top w:val="single" w:sz="4" w:space="0" w:color="auto"/>
              <w:left w:val="single" w:sz="6" w:space="0" w:color="000000"/>
              <w:bottom w:val="single" w:sz="6" w:space="0" w:color="000000"/>
              <w:right w:val="single" w:sz="6" w:space="0" w:color="000000"/>
            </w:tcBorders>
          </w:tcPr>
          <w:p w:rsidR="001801C2" w:rsidRPr="005C7AB2" w:rsidRDefault="001801C2" w:rsidP="001801C2">
            <w:pPr>
              <w:jc w:val="center"/>
              <w:rPr>
                <w:sz w:val="20"/>
                <w:szCs w:val="22"/>
              </w:rPr>
            </w:pPr>
            <w:r w:rsidRPr="005C7AB2">
              <w:rPr>
                <w:sz w:val="20"/>
                <w:szCs w:val="22"/>
              </w:rPr>
              <w:t>2</w:t>
            </w:r>
          </w:p>
        </w:tc>
        <w:tc>
          <w:tcPr>
            <w:tcW w:w="3260" w:type="dxa"/>
            <w:tcBorders>
              <w:top w:val="single" w:sz="4" w:space="0" w:color="auto"/>
              <w:left w:val="single" w:sz="6" w:space="0" w:color="000000"/>
              <w:bottom w:val="single" w:sz="6" w:space="0" w:color="000000"/>
              <w:right w:val="single" w:sz="6" w:space="0" w:color="000000"/>
            </w:tcBorders>
          </w:tcPr>
          <w:p w:rsidR="001801C2" w:rsidRPr="005C7AB2" w:rsidRDefault="001801C2" w:rsidP="001801C2">
            <w:pPr>
              <w:jc w:val="center"/>
              <w:rPr>
                <w:sz w:val="20"/>
                <w:szCs w:val="22"/>
              </w:rPr>
            </w:pPr>
            <w:r w:rsidRPr="005C7AB2">
              <w:rPr>
                <w:sz w:val="20"/>
                <w:szCs w:val="22"/>
              </w:rPr>
              <w:t>3</w:t>
            </w:r>
          </w:p>
        </w:tc>
        <w:tc>
          <w:tcPr>
            <w:tcW w:w="3828" w:type="dxa"/>
            <w:tcBorders>
              <w:top w:val="single" w:sz="4" w:space="0" w:color="auto"/>
              <w:left w:val="single" w:sz="6" w:space="0" w:color="000000"/>
              <w:bottom w:val="single" w:sz="6" w:space="0" w:color="000000"/>
              <w:right w:val="single" w:sz="6" w:space="0" w:color="000000"/>
            </w:tcBorders>
          </w:tcPr>
          <w:p w:rsidR="001801C2" w:rsidRPr="005C7AB2" w:rsidRDefault="001801C2" w:rsidP="001801C2">
            <w:pPr>
              <w:jc w:val="center"/>
              <w:rPr>
                <w:sz w:val="20"/>
                <w:szCs w:val="22"/>
              </w:rPr>
            </w:pPr>
            <w:r w:rsidRPr="005C7AB2">
              <w:rPr>
                <w:sz w:val="20"/>
                <w:szCs w:val="22"/>
              </w:rPr>
              <w:t>4</w:t>
            </w:r>
          </w:p>
        </w:tc>
        <w:tc>
          <w:tcPr>
            <w:tcW w:w="3685" w:type="dxa"/>
            <w:gridSpan w:val="3"/>
            <w:tcBorders>
              <w:top w:val="single" w:sz="4" w:space="0" w:color="auto"/>
              <w:left w:val="single" w:sz="4" w:space="0" w:color="auto"/>
              <w:bottom w:val="single" w:sz="4" w:space="0" w:color="auto"/>
            </w:tcBorders>
          </w:tcPr>
          <w:p w:rsidR="001801C2" w:rsidRPr="005C7AB2" w:rsidRDefault="001801C2" w:rsidP="001801C2">
            <w:pPr>
              <w:jc w:val="center"/>
              <w:rPr>
                <w:sz w:val="20"/>
                <w:szCs w:val="22"/>
              </w:rPr>
            </w:pPr>
            <w:r w:rsidRPr="005C7AB2">
              <w:rPr>
                <w:sz w:val="20"/>
                <w:szCs w:val="22"/>
              </w:rPr>
              <w:t>5</w:t>
            </w:r>
          </w:p>
        </w:tc>
      </w:tr>
      <w:tr w:rsidR="00F17BE0" w:rsidRPr="005C7AB2" w:rsidTr="00E019E7">
        <w:trPr>
          <w:gridBefore w:val="1"/>
          <w:wBefore w:w="96" w:type="dxa"/>
          <w:trHeight w:val="1545"/>
        </w:trPr>
        <w:tc>
          <w:tcPr>
            <w:tcW w:w="567" w:type="dxa"/>
            <w:tcBorders>
              <w:top w:val="single" w:sz="4" w:space="0" w:color="auto"/>
              <w:left w:val="single" w:sz="6" w:space="0" w:color="000000"/>
              <w:bottom w:val="single" w:sz="6" w:space="0" w:color="000000"/>
              <w:right w:val="single" w:sz="6" w:space="0" w:color="000000"/>
            </w:tcBorders>
            <w:vAlign w:val="center"/>
          </w:tcPr>
          <w:p w:rsidR="00F17BE0" w:rsidRPr="00576907" w:rsidRDefault="00047520" w:rsidP="00576907">
            <w:pPr>
              <w:jc w:val="center"/>
              <w:rPr>
                <w:sz w:val="22"/>
                <w:szCs w:val="22"/>
              </w:rPr>
            </w:pPr>
            <w:r>
              <w:rPr>
                <w:sz w:val="22"/>
                <w:szCs w:val="22"/>
              </w:rPr>
              <w:t>1.</w:t>
            </w:r>
          </w:p>
        </w:tc>
        <w:tc>
          <w:tcPr>
            <w:tcW w:w="2977" w:type="dxa"/>
            <w:tcBorders>
              <w:top w:val="single" w:sz="4" w:space="0" w:color="auto"/>
              <w:left w:val="single" w:sz="6" w:space="0" w:color="000000"/>
              <w:bottom w:val="single" w:sz="6" w:space="0" w:color="000000"/>
              <w:right w:val="single" w:sz="6" w:space="0" w:color="000000"/>
            </w:tcBorders>
          </w:tcPr>
          <w:p w:rsidR="00DF220B" w:rsidRPr="000977B0" w:rsidRDefault="00DF220B" w:rsidP="00211664">
            <w:pPr>
              <w:jc w:val="both"/>
              <w:rPr>
                <w:sz w:val="22"/>
                <w:szCs w:val="22"/>
                <w:u w:val="single"/>
              </w:rPr>
            </w:pPr>
          </w:p>
          <w:p w:rsidR="00211664" w:rsidRPr="000977B0" w:rsidRDefault="00211664" w:rsidP="00211664">
            <w:pPr>
              <w:jc w:val="both"/>
              <w:rPr>
                <w:sz w:val="22"/>
                <w:szCs w:val="22"/>
                <w:u w:val="single"/>
              </w:rPr>
            </w:pPr>
            <w:r w:rsidRPr="000977B0">
              <w:rPr>
                <w:sz w:val="22"/>
                <w:szCs w:val="22"/>
                <w:u w:val="single"/>
              </w:rPr>
              <w:t>Anotācijas I sadaļas 2. punkta 2020.gada auditējamās prioritātes pamatojums un iekšējā audita uzdevums (fizisko personu datu aizsardzība) 11. rindkopa.</w:t>
            </w:r>
          </w:p>
          <w:p w:rsidR="00211664" w:rsidRPr="000977B0" w:rsidRDefault="00211664" w:rsidP="00211664">
            <w:pPr>
              <w:jc w:val="both"/>
              <w:rPr>
                <w:sz w:val="22"/>
                <w:szCs w:val="22"/>
                <w:u w:val="single"/>
              </w:rPr>
            </w:pPr>
            <w:r w:rsidRPr="000977B0">
              <w:rPr>
                <w:sz w:val="22"/>
                <w:szCs w:val="22"/>
                <w:u w:val="single"/>
              </w:rPr>
              <w:t>Iekšējiem auditoriem būtu jānovērtē resorā izveidotā iekšējās kontroles sistēmas darbība un efektivitāte fizisko personu datu apstrādes un aizsardzības jomā:</w:t>
            </w:r>
          </w:p>
          <w:p w:rsidR="00211664" w:rsidRPr="000977B0" w:rsidRDefault="00211664" w:rsidP="00211664">
            <w:pPr>
              <w:jc w:val="both"/>
              <w:rPr>
                <w:sz w:val="22"/>
                <w:szCs w:val="22"/>
              </w:rPr>
            </w:pPr>
            <w:r w:rsidRPr="000977B0">
              <w:rPr>
                <w:sz w:val="22"/>
                <w:szCs w:val="22"/>
              </w:rPr>
              <w:t>-</w:t>
            </w:r>
            <w:r w:rsidRPr="000977B0">
              <w:rPr>
                <w:sz w:val="22"/>
                <w:szCs w:val="22"/>
              </w:rPr>
              <w:tab/>
              <w:t xml:space="preserve">vai /kāda ir noteikta un tiek īstenota atbildība par informācijas sistēmām un to saturošo personas datu aizsardzību, t.sk., par informācijas nesējiem (zibatmiņas, CD, DVD, dokumenti, izdrukas, zīmogi, spiedogi u.tml.) un informāciju saturošām ierīcēm (stacionārie, portatīvie datori, viedierīces </w:t>
            </w:r>
            <w:r w:rsidRPr="000977B0">
              <w:rPr>
                <w:sz w:val="22"/>
                <w:szCs w:val="22"/>
              </w:rPr>
              <w:lastRenderedPageBreak/>
              <w:t>u.tml.), kas satur personas datus;</w:t>
            </w:r>
          </w:p>
          <w:p w:rsidR="00211664" w:rsidRPr="000977B0" w:rsidRDefault="00211664" w:rsidP="00211664">
            <w:pPr>
              <w:jc w:val="both"/>
              <w:rPr>
                <w:sz w:val="22"/>
                <w:szCs w:val="22"/>
              </w:rPr>
            </w:pPr>
            <w:r w:rsidRPr="000977B0">
              <w:rPr>
                <w:sz w:val="22"/>
                <w:szCs w:val="22"/>
              </w:rPr>
              <w:t>-</w:t>
            </w:r>
            <w:r w:rsidRPr="000977B0">
              <w:rPr>
                <w:sz w:val="22"/>
                <w:szCs w:val="22"/>
              </w:rPr>
              <w:tab/>
              <w:t>vai personas dati tiek apstrādāti likumīgi (pastāv tiesiskais pamats), godprātīgi (godīga attieksme pret datu subjektu, respektējot datu subjekta intereses aizsargāt savu privātumu) un datu subjektam pārredzamā veidā (datu subjekts ir informēts par viņa personas datu apstrādi) (likumīgums, godprātība un pārredzamība);</w:t>
            </w:r>
          </w:p>
          <w:p w:rsidR="00211664" w:rsidRPr="000977B0" w:rsidRDefault="00211664" w:rsidP="00211664">
            <w:pPr>
              <w:jc w:val="both"/>
              <w:rPr>
                <w:sz w:val="22"/>
                <w:szCs w:val="22"/>
              </w:rPr>
            </w:pPr>
            <w:r w:rsidRPr="000977B0">
              <w:rPr>
                <w:sz w:val="22"/>
                <w:szCs w:val="22"/>
              </w:rPr>
              <w:t>-</w:t>
            </w:r>
            <w:r w:rsidRPr="000977B0">
              <w:rPr>
                <w:sz w:val="22"/>
                <w:szCs w:val="22"/>
              </w:rPr>
              <w:tab/>
              <w:t>vai personas dati tiek vākti konkrētos, skaidros un tiesiskos nolūkos, un netiek apstrādāti ar minētajiem nolūkiem nesaderīgā veidā (nolūka ierobežojums);</w:t>
            </w:r>
          </w:p>
          <w:p w:rsidR="00211664" w:rsidRPr="000977B0" w:rsidRDefault="00211664" w:rsidP="00211664">
            <w:pPr>
              <w:jc w:val="both"/>
              <w:rPr>
                <w:sz w:val="22"/>
                <w:szCs w:val="22"/>
              </w:rPr>
            </w:pPr>
            <w:r w:rsidRPr="000977B0">
              <w:rPr>
                <w:sz w:val="22"/>
                <w:szCs w:val="22"/>
              </w:rPr>
              <w:t>-</w:t>
            </w:r>
            <w:r w:rsidRPr="000977B0">
              <w:rPr>
                <w:sz w:val="22"/>
                <w:szCs w:val="22"/>
              </w:rPr>
              <w:tab/>
              <w:t xml:space="preserve">personas dati ir adekvāti, atbilstīgi un nav pārmērīgi (apstrādā minimāli nepieciešamo personas datu apjomu), ņemot vērā nolūkus, kādos personas datus apstrādā (datu minimizēšana); </w:t>
            </w:r>
          </w:p>
          <w:p w:rsidR="00211664" w:rsidRPr="000977B0" w:rsidRDefault="00211664" w:rsidP="00211664">
            <w:pPr>
              <w:jc w:val="both"/>
              <w:rPr>
                <w:sz w:val="22"/>
                <w:szCs w:val="22"/>
              </w:rPr>
            </w:pPr>
            <w:r w:rsidRPr="000977B0">
              <w:rPr>
                <w:sz w:val="22"/>
                <w:szCs w:val="22"/>
              </w:rPr>
              <w:t>-</w:t>
            </w:r>
            <w:r w:rsidRPr="000977B0">
              <w:rPr>
                <w:sz w:val="22"/>
                <w:szCs w:val="22"/>
              </w:rPr>
              <w:tab/>
              <w:t>personas dati ir precīzi un aktuāli, kā arī savlaicīgi tiek laboti vai dzēsti, ja tie ir nepilnīgi vai neprecīzi saskaņā ar personas datu apstrādes nolūku (precizitāte);</w:t>
            </w:r>
          </w:p>
          <w:p w:rsidR="00211664" w:rsidRPr="000977B0" w:rsidRDefault="00211664" w:rsidP="00211664">
            <w:pPr>
              <w:jc w:val="both"/>
              <w:rPr>
                <w:sz w:val="22"/>
                <w:szCs w:val="22"/>
              </w:rPr>
            </w:pPr>
            <w:r w:rsidRPr="000977B0">
              <w:rPr>
                <w:sz w:val="22"/>
                <w:szCs w:val="22"/>
              </w:rPr>
              <w:t>-</w:t>
            </w:r>
            <w:r w:rsidRPr="000977B0">
              <w:rPr>
                <w:sz w:val="22"/>
                <w:szCs w:val="22"/>
              </w:rPr>
              <w:tab/>
              <w:t xml:space="preserve">personas dati tiek glabāti veidā, kas pieļauj datu </w:t>
            </w:r>
            <w:r w:rsidRPr="000977B0">
              <w:rPr>
                <w:sz w:val="22"/>
                <w:szCs w:val="22"/>
              </w:rPr>
              <w:lastRenderedPageBreak/>
              <w:t>subjekta identifikāciju ne ilgāk, kā tas ir nepieciešams nolūkiem, kādos attiecīgos personas datus apstrādā (glabāšanas ierobežojums);</w:t>
            </w:r>
          </w:p>
          <w:p w:rsidR="00211664" w:rsidRPr="000977B0" w:rsidRDefault="00211664" w:rsidP="00211664">
            <w:pPr>
              <w:jc w:val="both"/>
              <w:rPr>
                <w:sz w:val="22"/>
                <w:szCs w:val="22"/>
              </w:rPr>
            </w:pPr>
            <w:r w:rsidRPr="000977B0">
              <w:rPr>
                <w:sz w:val="22"/>
                <w:szCs w:val="22"/>
              </w:rPr>
              <w:t>-</w:t>
            </w:r>
            <w:r w:rsidRPr="000977B0">
              <w:rPr>
                <w:sz w:val="22"/>
                <w:szCs w:val="22"/>
              </w:rPr>
              <w:tab/>
              <w:t>personas dati tiek apstrādāti tā, lai tiktu nodrošināta atbilstoša personas datu drošība, tostarp aizsardzība pret neatļautu vai nelikumīgu apstrādi un pret nejaušu nozaudēšanu, iznīcināšanu vai sabojāšanu, izmantojot atbilstošus tehniskos vai organizatoriskos pasākumus (integritāte un konfidencialitāte);</w:t>
            </w:r>
          </w:p>
          <w:p w:rsidR="00211664" w:rsidRPr="000977B0" w:rsidRDefault="00211664" w:rsidP="00211664">
            <w:pPr>
              <w:jc w:val="both"/>
              <w:rPr>
                <w:sz w:val="22"/>
                <w:szCs w:val="22"/>
              </w:rPr>
            </w:pPr>
            <w:r w:rsidRPr="000977B0">
              <w:rPr>
                <w:sz w:val="22"/>
                <w:szCs w:val="22"/>
              </w:rPr>
              <w:t>-</w:t>
            </w:r>
            <w:r w:rsidRPr="000977B0">
              <w:rPr>
                <w:sz w:val="22"/>
                <w:szCs w:val="22"/>
              </w:rPr>
              <w:tab/>
              <w:t>var izsekot pārziņa rīcību ar personas datiem Regulas reglamentējošo principu  ietvaros (piemēram, personas datu apstrādes reģistrēšana personas datu apstrādes reģistrā, datu subjekta informēšana un citu tiesību realizācijas nodrošināšana, personas datu aizsardzības nodrošināšana) (pārskatatbildība);</w:t>
            </w:r>
          </w:p>
          <w:p w:rsidR="00F17BE0" w:rsidRPr="000977B0" w:rsidRDefault="00211664" w:rsidP="00211664">
            <w:pPr>
              <w:jc w:val="both"/>
              <w:rPr>
                <w:sz w:val="22"/>
                <w:szCs w:val="22"/>
              </w:rPr>
            </w:pPr>
            <w:r w:rsidRPr="000977B0">
              <w:rPr>
                <w:sz w:val="22"/>
                <w:szCs w:val="22"/>
              </w:rPr>
              <w:t>-</w:t>
            </w:r>
            <w:r w:rsidRPr="000977B0">
              <w:rPr>
                <w:sz w:val="22"/>
                <w:szCs w:val="22"/>
              </w:rPr>
              <w:tab/>
              <w:t>tiek ievērota Regula un normatīvie akti par personas datu apstrādi un aizsardzību.</w:t>
            </w:r>
          </w:p>
          <w:p w:rsidR="00C7579F" w:rsidRPr="000977B0" w:rsidRDefault="00C7579F" w:rsidP="00211664">
            <w:pPr>
              <w:jc w:val="both"/>
              <w:rPr>
                <w:sz w:val="22"/>
                <w:szCs w:val="22"/>
              </w:rPr>
            </w:pPr>
          </w:p>
          <w:p w:rsidR="00C7579F" w:rsidRPr="0069012F" w:rsidRDefault="00C7579F" w:rsidP="00C7579F">
            <w:pPr>
              <w:jc w:val="both"/>
              <w:rPr>
                <w:sz w:val="22"/>
                <w:szCs w:val="22"/>
                <w:u w:val="single"/>
              </w:rPr>
            </w:pPr>
            <w:r w:rsidRPr="0069012F">
              <w:rPr>
                <w:sz w:val="22"/>
                <w:szCs w:val="22"/>
                <w:u w:val="single"/>
              </w:rPr>
              <w:t xml:space="preserve">Anotācijas 1.sadaļas 2.punkta “Prioritārā audita vadlīniju </w:t>
            </w:r>
            <w:r w:rsidRPr="0069012F">
              <w:rPr>
                <w:sz w:val="22"/>
                <w:szCs w:val="22"/>
                <w:u w:val="single"/>
              </w:rPr>
              <w:lastRenderedPageBreak/>
              <w:t>izstrāde (atbildīgie un termiņi)” 1.rindkopa</w:t>
            </w:r>
          </w:p>
          <w:p w:rsidR="00C7579F" w:rsidRPr="000977B0" w:rsidRDefault="00C7579F" w:rsidP="00C7579F">
            <w:pPr>
              <w:jc w:val="both"/>
              <w:rPr>
                <w:sz w:val="22"/>
                <w:szCs w:val="22"/>
              </w:rPr>
            </w:pPr>
            <w:r w:rsidRPr="000977B0">
              <w:rPr>
                <w:sz w:val="22"/>
                <w:szCs w:val="22"/>
              </w:rPr>
              <w:t>Lai nodrošinātu iekšējā audita struktūrvienību vienotu izpratni par prioritārā audita veikšanu, rīkojuma projekts paredz uzdevumu Finanšu ministrijai sadarbībā ar Tieslietu ministriju un Datu valsts inspekciju izstrādāt un līdz 2019.gada 29.novembrim elektroniski nosūtīt ministriju un iestāžu iekšējā audita struktūrvienībām audita apjomu un ieteicamos principus fizisko personu datu aizsardzības iekšējā audita iekļaušanai iekšējā audita stratēģiskajā un gada plānā, kā arī līdz 2020. gada 15. janvārim elektroniski nosūtīt fizisko personu datu aizsardzības  iekšējā audita vadlīnijas (turpmāk – vadlīnijas).</w:t>
            </w:r>
          </w:p>
          <w:p w:rsidR="00CF6BCD" w:rsidRPr="000977B0" w:rsidRDefault="00CF6BCD" w:rsidP="00C7579F">
            <w:pPr>
              <w:jc w:val="both"/>
              <w:rPr>
                <w:sz w:val="22"/>
                <w:szCs w:val="22"/>
              </w:rPr>
            </w:pPr>
          </w:p>
          <w:p w:rsidR="00244D39" w:rsidRPr="000977B0" w:rsidRDefault="00244D39" w:rsidP="00244D39">
            <w:pPr>
              <w:pStyle w:val="naisc"/>
              <w:jc w:val="both"/>
              <w:rPr>
                <w:sz w:val="22"/>
                <w:szCs w:val="22"/>
                <w:u w:val="single"/>
              </w:rPr>
            </w:pPr>
            <w:r w:rsidRPr="000977B0">
              <w:rPr>
                <w:sz w:val="22"/>
                <w:szCs w:val="22"/>
                <w:u w:val="single"/>
              </w:rPr>
              <w:t>Anotācijas 1.sadaļas 2.punkta “Prioritārā audita vadlīniju izstrāde (atbildīgie un termiņi)” 3.rindkopa</w:t>
            </w:r>
          </w:p>
          <w:p w:rsidR="00CF6BCD" w:rsidRPr="000977B0" w:rsidRDefault="00244D39" w:rsidP="00244D39">
            <w:pPr>
              <w:jc w:val="both"/>
              <w:rPr>
                <w:sz w:val="22"/>
                <w:szCs w:val="22"/>
              </w:rPr>
            </w:pPr>
            <w:r w:rsidRPr="000977B0">
              <w:rPr>
                <w:sz w:val="22"/>
                <w:szCs w:val="22"/>
              </w:rPr>
              <w:t xml:space="preserve">Saskaņā ar Iekšējā audita likuma 10.panta otrās daļas 6.punktā noteikto, Finanšu ministrija ir atbildīga par vadlīniju izstrādi. Vadlīniju izstrādē tiks iesaistīti Tieslietu </w:t>
            </w:r>
            <w:r w:rsidRPr="000977B0">
              <w:rPr>
                <w:sz w:val="22"/>
                <w:szCs w:val="22"/>
              </w:rPr>
              <w:lastRenderedPageBreak/>
              <w:t>ministrijas un Datu valsts inspekcijas pārstāvji viņiem pieejamo resursu ietvaros. Lai vadlīnijas piemērotu praktiskai audita veikšanai, Finanšu ministrija piešķirtā valsts budžeta ietvaros organizēs arī citu ekspertu (piem., no Iekšējā audita padomes) piesaisti vadlīniju izstrādē un novērtēšanā. Vadlīniju izstrādē ir aicināti piedalīties arī valsts pārvaldes iekšējie auditori.</w:t>
            </w:r>
          </w:p>
          <w:p w:rsidR="001A050D" w:rsidRPr="000977B0" w:rsidRDefault="001A050D" w:rsidP="00244D39">
            <w:pPr>
              <w:jc w:val="both"/>
              <w:rPr>
                <w:sz w:val="22"/>
                <w:szCs w:val="22"/>
              </w:rPr>
            </w:pPr>
          </w:p>
          <w:p w:rsidR="000C6FB4" w:rsidRPr="000977B0" w:rsidRDefault="000C6FB4" w:rsidP="00875902">
            <w:pPr>
              <w:pStyle w:val="naisc"/>
              <w:spacing w:before="0" w:after="0"/>
              <w:jc w:val="both"/>
              <w:rPr>
                <w:sz w:val="22"/>
                <w:szCs w:val="22"/>
                <w:u w:val="single"/>
              </w:rPr>
            </w:pPr>
          </w:p>
          <w:p w:rsidR="000C6FB4" w:rsidRPr="000977B0" w:rsidRDefault="000C6FB4" w:rsidP="00875902">
            <w:pPr>
              <w:pStyle w:val="naisc"/>
              <w:spacing w:before="0" w:after="0"/>
              <w:jc w:val="both"/>
              <w:rPr>
                <w:sz w:val="22"/>
                <w:szCs w:val="22"/>
                <w:u w:val="single"/>
              </w:rPr>
            </w:pPr>
          </w:p>
          <w:p w:rsidR="000C6FB4" w:rsidRPr="000977B0" w:rsidRDefault="000C6FB4" w:rsidP="00875902">
            <w:pPr>
              <w:pStyle w:val="naisc"/>
              <w:spacing w:before="0" w:after="0"/>
              <w:jc w:val="both"/>
              <w:rPr>
                <w:sz w:val="22"/>
                <w:szCs w:val="22"/>
                <w:u w:val="single"/>
              </w:rPr>
            </w:pPr>
          </w:p>
          <w:p w:rsidR="000C6FB4" w:rsidRDefault="000C6FB4" w:rsidP="00875902">
            <w:pPr>
              <w:pStyle w:val="naisc"/>
              <w:spacing w:before="0" w:after="0"/>
              <w:jc w:val="both"/>
              <w:rPr>
                <w:sz w:val="22"/>
                <w:szCs w:val="22"/>
                <w:u w:val="single"/>
              </w:rPr>
            </w:pPr>
          </w:p>
          <w:p w:rsidR="001E1EF0" w:rsidRPr="000977B0" w:rsidRDefault="001E1EF0" w:rsidP="00875902">
            <w:pPr>
              <w:pStyle w:val="naisc"/>
              <w:spacing w:before="0" w:after="0"/>
              <w:jc w:val="both"/>
              <w:rPr>
                <w:sz w:val="22"/>
                <w:szCs w:val="22"/>
                <w:u w:val="single"/>
              </w:rPr>
            </w:pPr>
          </w:p>
          <w:p w:rsidR="00875902" w:rsidRPr="000977B0" w:rsidRDefault="00875902" w:rsidP="00875902">
            <w:pPr>
              <w:pStyle w:val="naisc"/>
              <w:spacing w:before="0" w:after="0"/>
              <w:jc w:val="both"/>
              <w:rPr>
                <w:sz w:val="22"/>
                <w:szCs w:val="22"/>
                <w:u w:val="single"/>
              </w:rPr>
            </w:pPr>
            <w:r w:rsidRPr="000977B0">
              <w:rPr>
                <w:sz w:val="22"/>
                <w:szCs w:val="22"/>
                <w:u w:val="single"/>
              </w:rPr>
              <w:t>Rīkojuma projekta 3.punkts:</w:t>
            </w:r>
          </w:p>
          <w:p w:rsidR="001A050D" w:rsidRPr="000977B0" w:rsidRDefault="00875902" w:rsidP="00875902">
            <w:pPr>
              <w:jc w:val="both"/>
              <w:rPr>
                <w:sz w:val="22"/>
                <w:szCs w:val="22"/>
              </w:rPr>
            </w:pPr>
            <w:r w:rsidRPr="000977B0">
              <w:rPr>
                <w:sz w:val="22"/>
                <w:szCs w:val="22"/>
              </w:rPr>
              <w:t xml:space="preserve">Finanšu ministrijai sadarbībā ar Tieslietu ministriju un Datu valsts inspekciju izstrādāt un līdz 2019.gada 29.novembrim elektroniski nosūtīt ministriju un iestāžu iekšējā audita struktūrvienībām audita apjomu un ieteicamos principus fizisko personu datu aizsardzības iekšējā audita iekļaušanai iekšējā audita stratēģiskajā un gada plānā, kā arī līdz 2020. gada 15. janvārim elektroniski nosūtīt fizisko personu datu aizsardzības </w:t>
            </w:r>
            <w:r w:rsidRPr="000977B0">
              <w:rPr>
                <w:sz w:val="22"/>
                <w:szCs w:val="22"/>
              </w:rPr>
              <w:lastRenderedPageBreak/>
              <w:t>iekšējā audita vadlīnijas (turpmāk - vadlīnijas). Vadlīnijās iekļaut pārskata struktūru, kādā sniedzama informācija par šā rīkojuma 1. un 2. punktā minēto uzdevumu izpildi.</w:t>
            </w:r>
          </w:p>
          <w:p w:rsidR="00047520" w:rsidRPr="000977B0" w:rsidRDefault="00047520" w:rsidP="00875902">
            <w:pPr>
              <w:jc w:val="both"/>
              <w:rPr>
                <w:sz w:val="22"/>
                <w:szCs w:val="22"/>
              </w:rPr>
            </w:pPr>
          </w:p>
          <w:p w:rsidR="00047520" w:rsidRPr="000977B0" w:rsidRDefault="00047520" w:rsidP="00875902">
            <w:pPr>
              <w:jc w:val="both"/>
              <w:rPr>
                <w:sz w:val="22"/>
                <w:szCs w:val="22"/>
              </w:rPr>
            </w:pPr>
          </w:p>
          <w:p w:rsidR="00047520" w:rsidRPr="000977B0" w:rsidRDefault="00047520" w:rsidP="00875902">
            <w:pPr>
              <w:jc w:val="both"/>
              <w:rPr>
                <w:sz w:val="22"/>
                <w:szCs w:val="22"/>
              </w:rPr>
            </w:pPr>
          </w:p>
          <w:p w:rsidR="00047520" w:rsidRPr="000977B0" w:rsidRDefault="00047520" w:rsidP="00875902">
            <w:pPr>
              <w:jc w:val="both"/>
              <w:rPr>
                <w:sz w:val="22"/>
                <w:szCs w:val="22"/>
              </w:rPr>
            </w:pPr>
          </w:p>
          <w:p w:rsidR="00047520" w:rsidRPr="000977B0" w:rsidRDefault="00047520" w:rsidP="00047520">
            <w:pPr>
              <w:pStyle w:val="naisc"/>
              <w:spacing w:before="0" w:after="0"/>
              <w:jc w:val="both"/>
              <w:rPr>
                <w:sz w:val="22"/>
                <w:szCs w:val="22"/>
                <w:u w:val="single"/>
              </w:rPr>
            </w:pPr>
          </w:p>
          <w:p w:rsidR="00047520" w:rsidRPr="000977B0" w:rsidRDefault="00047520" w:rsidP="00047520">
            <w:pPr>
              <w:pStyle w:val="naisc"/>
              <w:spacing w:before="0" w:after="0"/>
              <w:jc w:val="both"/>
              <w:rPr>
                <w:sz w:val="22"/>
                <w:szCs w:val="22"/>
                <w:u w:val="single"/>
              </w:rPr>
            </w:pPr>
          </w:p>
          <w:p w:rsidR="00047520" w:rsidRPr="000977B0" w:rsidRDefault="00047520" w:rsidP="00047520">
            <w:pPr>
              <w:pStyle w:val="naisc"/>
              <w:spacing w:before="0" w:after="0"/>
              <w:jc w:val="both"/>
              <w:rPr>
                <w:sz w:val="22"/>
                <w:szCs w:val="22"/>
                <w:u w:val="single"/>
              </w:rPr>
            </w:pPr>
          </w:p>
          <w:p w:rsidR="00047520" w:rsidRPr="000977B0" w:rsidRDefault="00047520" w:rsidP="00047520">
            <w:pPr>
              <w:pStyle w:val="naisc"/>
              <w:spacing w:before="0" w:after="0"/>
              <w:jc w:val="both"/>
              <w:rPr>
                <w:sz w:val="22"/>
                <w:szCs w:val="22"/>
                <w:u w:val="single"/>
              </w:rPr>
            </w:pPr>
          </w:p>
          <w:p w:rsidR="00047520" w:rsidRPr="000977B0" w:rsidRDefault="00047520" w:rsidP="00047520">
            <w:pPr>
              <w:pStyle w:val="naisc"/>
              <w:spacing w:before="0" w:after="0"/>
              <w:jc w:val="both"/>
              <w:rPr>
                <w:sz w:val="22"/>
                <w:szCs w:val="22"/>
                <w:u w:val="single"/>
              </w:rPr>
            </w:pPr>
          </w:p>
          <w:p w:rsidR="00047520" w:rsidRPr="000977B0" w:rsidRDefault="00047520" w:rsidP="00047520">
            <w:pPr>
              <w:pStyle w:val="naisc"/>
              <w:spacing w:before="0" w:after="0"/>
              <w:jc w:val="both"/>
              <w:rPr>
                <w:sz w:val="22"/>
                <w:szCs w:val="22"/>
                <w:u w:val="single"/>
              </w:rPr>
            </w:pPr>
            <w:r w:rsidRPr="000977B0">
              <w:rPr>
                <w:sz w:val="22"/>
                <w:szCs w:val="22"/>
                <w:u w:val="single"/>
              </w:rPr>
              <w:t>Rīkojuma projekta 4.</w:t>
            </w:r>
            <w:r w:rsidRPr="000977B0">
              <w:rPr>
                <w:sz w:val="22"/>
                <w:szCs w:val="22"/>
              </w:rPr>
              <w:t xml:space="preserve"> </w:t>
            </w:r>
            <w:r w:rsidRPr="000977B0">
              <w:rPr>
                <w:sz w:val="22"/>
                <w:szCs w:val="22"/>
                <w:u w:val="single"/>
              </w:rPr>
              <w:t>punkts:</w:t>
            </w:r>
          </w:p>
          <w:p w:rsidR="00047520" w:rsidRPr="000977B0" w:rsidRDefault="00047520" w:rsidP="00047520">
            <w:pPr>
              <w:pStyle w:val="naisc"/>
              <w:spacing w:before="0" w:after="0"/>
              <w:jc w:val="both"/>
              <w:rPr>
                <w:sz w:val="22"/>
                <w:szCs w:val="22"/>
              </w:rPr>
            </w:pPr>
            <w:r w:rsidRPr="000977B0">
              <w:rPr>
                <w:sz w:val="22"/>
                <w:szCs w:val="22"/>
              </w:rPr>
              <w:t>Ministriju un iestāžu iekšējā audita struktūrvienībām līdz 2021. gada 30. janvārim iesniegt Finanšu ministrijā fizisko personu datu aizsardzības iekšējā audita ziņojumu, ieteikumu ieviešanas grafiku un pārskatu, kas sagatavots atbilstoši vadlīnijās noteiktajai struktūrai. Pārskatā par iekšējā audita struktūrvienības darbību 2020. gadā iekļaut informāciju (atbilstoši vadlīnijās noteiktajai struktūrai) par šā rīkojuma 2. punktā minēto uzdevumu izpildi.</w:t>
            </w:r>
          </w:p>
          <w:p w:rsidR="00934192" w:rsidRPr="000977B0" w:rsidRDefault="00934192" w:rsidP="00047520">
            <w:pPr>
              <w:pStyle w:val="naisc"/>
              <w:spacing w:before="0" w:after="0"/>
              <w:jc w:val="both"/>
              <w:rPr>
                <w:sz w:val="22"/>
                <w:szCs w:val="22"/>
              </w:rPr>
            </w:pPr>
          </w:p>
          <w:p w:rsidR="00934192" w:rsidRPr="000977B0" w:rsidRDefault="00934192" w:rsidP="00047520">
            <w:pPr>
              <w:pStyle w:val="naisc"/>
              <w:spacing w:before="0" w:after="0"/>
              <w:jc w:val="both"/>
              <w:rPr>
                <w:sz w:val="22"/>
                <w:szCs w:val="22"/>
              </w:rPr>
            </w:pPr>
          </w:p>
          <w:p w:rsidR="00934192" w:rsidRPr="000977B0" w:rsidRDefault="00934192" w:rsidP="00047520">
            <w:pPr>
              <w:pStyle w:val="naisc"/>
              <w:spacing w:before="0" w:after="0"/>
              <w:jc w:val="both"/>
              <w:rPr>
                <w:sz w:val="22"/>
                <w:szCs w:val="22"/>
              </w:rPr>
            </w:pPr>
          </w:p>
          <w:p w:rsidR="0069012F" w:rsidRDefault="0069012F" w:rsidP="00934192">
            <w:pPr>
              <w:pStyle w:val="naisc"/>
              <w:spacing w:before="0" w:after="0"/>
              <w:jc w:val="both"/>
              <w:rPr>
                <w:sz w:val="22"/>
                <w:szCs w:val="22"/>
                <w:u w:val="single"/>
              </w:rPr>
            </w:pPr>
          </w:p>
          <w:p w:rsidR="00585135" w:rsidRDefault="00585135" w:rsidP="00934192">
            <w:pPr>
              <w:pStyle w:val="naisc"/>
              <w:spacing w:before="0" w:after="0"/>
              <w:jc w:val="both"/>
              <w:rPr>
                <w:sz w:val="22"/>
                <w:szCs w:val="22"/>
                <w:u w:val="single"/>
              </w:rPr>
            </w:pPr>
          </w:p>
          <w:p w:rsidR="00585135" w:rsidRDefault="00585135" w:rsidP="00934192">
            <w:pPr>
              <w:pStyle w:val="naisc"/>
              <w:spacing w:before="0" w:after="0"/>
              <w:jc w:val="both"/>
              <w:rPr>
                <w:sz w:val="22"/>
                <w:szCs w:val="22"/>
                <w:u w:val="single"/>
              </w:rPr>
            </w:pPr>
          </w:p>
          <w:p w:rsidR="00585135" w:rsidRDefault="00585135" w:rsidP="00934192">
            <w:pPr>
              <w:pStyle w:val="naisc"/>
              <w:spacing w:before="0" w:after="0"/>
              <w:jc w:val="both"/>
              <w:rPr>
                <w:sz w:val="22"/>
                <w:szCs w:val="22"/>
                <w:u w:val="single"/>
              </w:rPr>
            </w:pPr>
          </w:p>
          <w:p w:rsidR="00585135" w:rsidRDefault="00585135" w:rsidP="00934192">
            <w:pPr>
              <w:pStyle w:val="naisc"/>
              <w:spacing w:before="0" w:after="0"/>
              <w:jc w:val="both"/>
              <w:rPr>
                <w:sz w:val="22"/>
                <w:szCs w:val="22"/>
                <w:u w:val="single"/>
              </w:rPr>
            </w:pPr>
          </w:p>
          <w:p w:rsidR="00934192" w:rsidRPr="000977B0" w:rsidRDefault="00934192" w:rsidP="00934192">
            <w:pPr>
              <w:pStyle w:val="naisc"/>
              <w:spacing w:before="0" w:after="0"/>
              <w:jc w:val="both"/>
              <w:rPr>
                <w:sz w:val="22"/>
                <w:szCs w:val="22"/>
                <w:u w:val="single"/>
              </w:rPr>
            </w:pPr>
            <w:r w:rsidRPr="000977B0">
              <w:rPr>
                <w:sz w:val="22"/>
                <w:szCs w:val="22"/>
                <w:u w:val="single"/>
              </w:rPr>
              <w:t>Rīkojuma projekta 6.</w:t>
            </w:r>
            <w:r w:rsidRPr="000977B0">
              <w:rPr>
                <w:sz w:val="22"/>
                <w:szCs w:val="22"/>
              </w:rPr>
              <w:t xml:space="preserve"> </w:t>
            </w:r>
            <w:r w:rsidRPr="000977B0">
              <w:rPr>
                <w:sz w:val="22"/>
                <w:szCs w:val="22"/>
                <w:u w:val="single"/>
              </w:rPr>
              <w:t>punkts:</w:t>
            </w:r>
          </w:p>
          <w:p w:rsidR="00934192" w:rsidRPr="000977B0" w:rsidRDefault="00934192" w:rsidP="00047520">
            <w:pPr>
              <w:pStyle w:val="naisc"/>
              <w:spacing w:before="0" w:after="0"/>
              <w:jc w:val="both"/>
              <w:rPr>
                <w:sz w:val="22"/>
                <w:szCs w:val="22"/>
              </w:rPr>
            </w:pPr>
            <w:r w:rsidRPr="000977B0">
              <w:rPr>
                <w:sz w:val="22"/>
                <w:szCs w:val="22"/>
              </w:rPr>
              <w:t>Finanšu ministrijai informatīvajā ziņojumā par ministriju un iestāžu iekšējā audita struktūrvienību darbību 2020. gadā iekļaut informāciju par šā rīkojuma 1. un 2. punktā minēto uzdevumu izpildi.</w:t>
            </w:r>
          </w:p>
          <w:p w:rsidR="00047520" w:rsidRPr="000977B0" w:rsidRDefault="00047520" w:rsidP="00875902">
            <w:pPr>
              <w:jc w:val="both"/>
              <w:rPr>
                <w:sz w:val="22"/>
                <w:szCs w:val="22"/>
              </w:rPr>
            </w:pPr>
          </w:p>
          <w:p w:rsidR="00CF6BCD" w:rsidRPr="000977B0" w:rsidRDefault="00CF6BCD" w:rsidP="00C7579F">
            <w:pPr>
              <w:jc w:val="both"/>
              <w:rPr>
                <w:sz w:val="22"/>
                <w:szCs w:val="22"/>
              </w:rPr>
            </w:pPr>
          </w:p>
        </w:tc>
        <w:tc>
          <w:tcPr>
            <w:tcW w:w="3260" w:type="dxa"/>
            <w:tcBorders>
              <w:top w:val="single" w:sz="4" w:space="0" w:color="auto"/>
              <w:left w:val="single" w:sz="6" w:space="0" w:color="000000"/>
              <w:bottom w:val="single" w:sz="6" w:space="0" w:color="000000"/>
              <w:right w:val="single" w:sz="6" w:space="0" w:color="000000"/>
            </w:tcBorders>
          </w:tcPr>
          <w:p w:rsidR="00D25429" w:rsidRPr="000977B0" w:rsidRDefault="00D25429" w:rsidP="00D25429">
            <w:pPr>
              <w:jc w:val="both"/>
              <w:rPr>
                <w:b/>
                <w:sz w:val="22"/>
                <w:szCs w:val="22"/>
              </w:rPr>
            </w:pPr>
            <w:r w:rsidRPr="000977B0">
              <w:rPr>
                <w:b/>
                <w:sz w:val="22"/>
                <w:szCs w:val="22"/>
              </w:rPr>
              <w:lastRenderedPageBreak/>
              <w:t>Tieslietu ministrija:</w:t>
            </w:r>
          </w:p>
          <w:p w:rsidR="00D25429" w:rsidRPr="000977B0" w:rsidRDefault="00D25429" w:rsidP="00D25429">
            <w:pPr>
              <w:ind w:firstLine="720"/>
              <w:jc w:val="both"/>
              <w:rPr>
                <w:sz w:val="22"/>
                <w:szCs w:val="22"/>
              </w:rPr>
            </w:pPr>
            <w:r w:rsidRPr="000977B0">
              <w:rPr>
                <w:sz w:val="22"/>
                <w:szCs w:val="22"/>
              </w:rPr>
              <w:t xml:space="preserve">Anotācijas I sadaļas 2. punktā norādīts, ka prioritārā audita ietvaros iekšējiem auditoriem jānovērtē resorā izveidotā iekšējās kontroles sistēmas darbība un efektivitāte fizisko personu datu apstrādes un aizsardzības jomā atbilstoši anotācijā izvirzītajiem audita jautājumiem un apjomam: </w:t>
            </w:r>
          </w:p>
          <w:p w:rsidR="00D25429" w:rsidRPr="000977B0" w:rsidRDefault="00D25429" w:rsidP="00D25429">
            <w:pPr>
              <w:numPr>
                <w:ilvl w:val="0"/>
                <w:numId w:val="44"/>
              </w:numPr>
              <w:ind w:left="128" w:right="172" w:firstLine="194"/>
              <w:jc w:val="both"/>
              <w:rPr>
                <w:sz w:val="22"/>
                <w:szCs w:val="22"/>
              </w:rPr>
            </w:pPr>
            <w:r w:rsidRPr="000977B0">
              <w:rPr>
                <w:sz w:val="22"/>
                <w:szCs w:val="22"/>
              </w:rPr>
              <w:t>vai /kāda ir noteikta un tiek īstenota atbildība par informācijas sistēmām un to saturošo personas datu aizsardzību, t.sk., par informācijas nesējiem (zibatmiņas, CD, DVD, dokumenti, izdrukas, zīmogi, spiedogi u.tml.) un informāciju saturošām ierīcēm (stacionārie, portatīvie datori, viedierīces u.tml.), kas satur personas datus;</w:t>
            </w:r>
          </w:p>
          <w:p w:rsidR="00D25429" w:rsidRPr="000977B0" w:rsidRDefault="00D25429" w:rsidP="00D25429">
            <w:pPr>
              <w:numPr>
                <w:ilvl w:val="0"/>
                <w:numId w:val="44"/>
              </w:numPr>
              <w:ind w:left="128" w:right="172" w:firstLine="194"/>
              <w:jc w:val="both"/>
              <w:rPr>
                <w:sz w:val="22"/>
                <w:szCs w:val="22"/>
              </w:rPr>
            </w:pPr>
            <w:r w:rsidRPr="000977B0">
              <w:rPr>
                <w:sz w:val="22"/>
                <w:szCs w:val="22"/>
              </w:rPr>
              <w:lastRenderedPageBreak/>
              <w:t>vai personas dati tiek apstrādāti likumīgi (pastāv tiesiskais pamats), godprātīgi (godīga attieksme pret datu subjektu, respektējot datu subjekta intereses aizsargāt savu privātumu) un datu subjektam pārredzamā veidā (datu subjekts ir informēts par viņa personas datu apstrādi) (likumīgums, godprātība un pārredzamība);</w:t>
            </w:r>
          </w:p>
          <w:p w:rsidR="00D25429" w:rsidRPr="000977B0" w:rsidRDefault="00D25429" w:rsidP="00D25429">
            <w:pPr>
              <w:numPr>
                <w:ilvl w:val="0"/>
                <w:numId w:val="44"/>
              </w:numPr>
              <w:ind w:left="128" w:right="172" w:firstLine="194"/>
              <w:jc w:val="both"/>
              <w:rPr>
                <w:sz w:val="22"/>
                <w:szCs w:val="22"/>
              </w:rPr>
            </w:pPr>
            <w:r w:rsidRPr="000977B0">
              <w:rPr>
                <w:sz w:val="22"/>
                <w:szCs w:val="22"/>
              </w:rPr>
              <w:t>vai personas dati tiek vākti konkrētos, skaidros un tiesiskos nolūkos, un netiek apstrādāti ar minētajiem nolūkiem nesaderīgā veidā (nolūka ierobežojums);</w:t>
            </w:r>
          </w:p>
          <w:p w:rsidR="00D25429" w:rsidRPr="000977B0" w:rsidRDefault="00D25429" w:rsidP="00D25429">
            <w:pPr>
              <w:numPr>
                <w:ilvl w:val="0"/>
                <w:numId w:val="44"/>
              </w:numPr>
              <w:ind w:left="128" w:right="172" w:firstLine="194"/>
              <w:jc w:val="both"/>
              <w:rPr>
                <w:sz w:val="22"/>
                <w:szCs w:val="22"/>
              </w:rPr>
            </w:pPr>
            <w:r w:rsidRPr="000977B0">
              <w:rPr>
                <w:sz w:val="22"/>
                <w:szCs w:val="22"/>
              </w:rPr>
              <w:t xml:space="preserve">personas dati ir adekvāti, atbilstīgi un nav pārmērīgi (apstrādā minimāli nepieciešamo personas datu apjomu), ņemot vērā nolūkus, kādos personas datus apstrādā (datu minimizēšana); </w:t>
            </w:r>
          </w:p>
          <w:p w:rsidR="00D25429" w:rsidRPr="000977B0" w:rsidRDefault="00D25429" w:rsidP="00D25429">
            <w:pPr>
              <w:numPr>
                <w:ilvl w:val="0"/>
                <w:numId w:val="44"/>
              </w:numPr>
              <w:ind w:left="128" w:right="172" w:firstLine="194"/>
              <w:jc w:val="both"/>
              <w:rPr>
                <w:sz w:val="22"/>
                <w:szCs w:val="22"/>
              </w:rPr>
            </w:pPr>
            <w:r w:rsidRPr="000977B0">
              <w:rPr>
                <w:sz w:val="22"/>
                <w:szCs w:val="22"/>
              </w:rPr>
              <w:t>personas dati ir precīzi un aktuāli, kā arī savlaicīgi tiek laboti vai dzēsti, ja tie ir nepilnīgi vai neprecīzi saskaņā ar personas datu apstrādes nolūku (precizitāte);</w:t>
            </w:r>
          </w:p>
          <w:p w:rsidR="00D25429" w:rsidRPr="000977B0" w:rsidRDefault="00D25429" w:rsidP="00D25429">
            <w:pPr>
              <w:numPr>
                <w:ilvl w:val="0"/>
                <w:numId w:val="44"/>
              </w:numPr>
              <w:ind w:left="128" w:right="172" w:firstLine="194"/>
              <w:jc w:val="both"/>
              <w:rPr>
                <w:sz w:val="22"/>
                <w:szCs w:val="22"/>
              </w:rPr>
            </w:pPr>
            <w:r w:rsidRPr="000977B0">
              <w:rPr>
                <w:sz w:val="22"/>
                <w:szCs w:val="22"/>
              </w:rPr>
              <w:t xml:space="preserve">personas dati tiek glabāti veidā, kas pieļauj datu subjekta identifikāciju ne ilgāk, kā tas ir nepieciešams nolūkiem, kādos </w:t>
            </w:r>
            <w:r w:rsidRPr="000977B0">
              <w:rPr>
                <w:sz w:val="22"/>
                <w:szCs w:val="22"/>
              </w:rPr>
              <w:lastRenderedPageBreak/>
              <w:t>attiecīgos personas datus apstrādā (glabāšanas ierobežojums);</w:t>
            </w:r>
          </w:p>
          <w:p w:rsidR="00D25429" w:rsidRPr="000977B0" w:rsidRDefault="00D25429" w:rsidP="00D25429">
            <w:pPr>
              <w:numPr>
                <w:ilvl w:val="0"/>
                <w:numId w:val="44"/>
              </w:numPr>
              <w:ind w:left="128" w:right="172" w:firstLine="194"/>
              <w:jc w:val="both"/>
              <w:rPr>
                <w:sz w:val="22"/>
                <w:szCs w:val="22"/>
              </w:rPr>
            </w:pPr>
            <w:r w:rsidRPr="000977B0">
              <w:rPr>
                <w:sz w:val="22"/>
                <w:szCs w:val="22"/>
              </w:rPr>
              <w:t>personas dati tiek apstrādāti tā, lai tiktu nodrošināta atbilstoša personas datu drošība, tostarp aizsardzība pret neatļautu vai nelikumīgu apstrādi un pret nejaušu nozaudēšanu, iznīcināšanu vai sabojāšanu, izmantojot atbilstošus tehniskos vai organizatoriskos pasākumus (integritāte un konfidencialitāte);</w:t>
            </w:r>
          </w:p>
          <w:p w:rsidR="00D25429" w:rsidRPr="000977B0" w:rsidRDefault="00D25429" w:rsidP="00D25429">
            <w:pPr>
              <w:numPr>
                <w:ilvl w:val="0"/>
                <w:numId w:val="44"/>
              </w:numPr>
              <w:ind w:left="128" w:right="167" w:firstLine="194"/>
              <w:jc w:val="both"/>
              <w:rPr>
                <w:sz w:val="22"/>
                <w:szCs w:val="22"/>
              </w:rPr>
            </w:pPr>
            <w:r w:rsidRPr="000977B0">
              <w:rPr>
                <w:sz w:val="22"/>
                <w:szCs w:val="22"/>
              </w:rPr>
              <w:t>var izsekot pārziņa rīcību ar personas datiem Regulas reglamentējošo principu  ietvaros (piemēram, personas datu apstrādes reģistrēšana personas datu apstrādes reģistrā, datu subjekta informēšana un citu tiesību realizācijas nodrošināšana, personas datu aizsardzības nodrošināšana) (pārskatatbildība);</w:t>
            </w:r>
          </w:p>
          <w:p w:rsidR="00D25429" w:rsidRPr="000977B0" w:rsidRDefault="00D25429" w:rsidP="00D25429">
            <w:pPr>
              <w:numPr>
                <w:ilvl w:val="0"/>
                <w:numId w:val="44"/>
              </w:numPr>
              <w:ind w:left="128" w:right="167" w:firstLine="194"/>
              <w:jc w:val="both"/>
              <w:rPr>
                <w:sz w:val="22"/>
                <w:szCs w:val="22"/>
              </w:rPr>
            </w:pPr>
            <w:r w:rsidRPr="000977B0">
              <w:rPr>
                <w:sz w:val="22"/>
                <w:szCs w:val="22"/>
              </w:rPr>
              <w:t xml:space="preserve">tiek ievērota Eiropas Parlamenta un Padomes 2016. gada 27. aprīļa Regula (ES) 2016/679 Par fizisku personu datu aizsardzību attiecībā uz personas datu apstrādi un šādu datu brīvu apriti un ar ko atceļ Direktīvu </w:t>
            </w:r>
            <w:r w:rsidRPr="000977B0">
              <w:rPr>
                <w:sz w:val="22"/>
                <w:szCs w:val="22"/>
              </w:rPr>
              <w:lastRenderedPageBreak/>
              <w:t>95/46/EK (Vispārīgā datu aizsardzības regula) (turpmāk – Datu regula) un normatīvie akti par personas datu apstrādi un aizsardzību.</w:t>
            </w:r>
          </w:p>
          <w:p w:rsidR="00D25429" w:rsidRPr="000977B0" w:rsidRDefault="00D25429" w:rsidP="00D25429">
            <w:pPr>
              <w:ind w:right="167" w:firstLine="720"/>
              <w:jc w:val="both"/>
              <w:rPr>
                <w:sz w:val="22"/>
                <w:szCs w:val="22"/>
              </w:rPr>
            </w:pPr>
            <w:r w:rsidRPr="000977B0">
              <w:rPr>
                <w:sz w:val="22"/>
                <w:szCs w:val="22"/>
              </w:rPr>
              <w:t>Vēršam uzmanību, ka iepriekš norādīto punktu izpilde kopumā liecina par Datu regulas prasību ievērošanu. Turklāt, lai konstatētu veiktās personas datu apstrādes atbilstību Datu regulas prasībām, jāvērtē personas datu apstrādes saturs pēc būtības, proti, jāpārliecinās par katras veiktās personas datu apstrādes darbības atbilstību normatīvo aktu prasībām.</w:t>
            </w:r>
          </w:p>
          <w:p w:rsidR="00D25429" w:rsidRPr="000977B0" w:rsidRDefault="00D25429" w:rsidP="00D25429">
            <w:pPr>
              <w:ind w:right="167" w:firstLine="720"/>
              <w:jc w:val="both"/>
              <w:rPr>
                <w:sz w:val="22"/>
                <w:szCs w:val="22"/>
              </w:rPr>
            </w:pPr>
            <w:r w:rsidRPr="000977B0">
              <w:rPr>
                <w:sz w:val="22"/>
                <w:szCs w:val="22"/>
              </w:rPr>
              <w:t>Atbilstoši Valsts pārvaldes iekārtas likuma 17. panta pirmajai daļai tiešās pārvaldes iestādes vadītājs organizē iestādes funkcijas pildīšanu un atbild par to, vada iestādes administratīvo darbu, nodrošinot tā nepārtrauktību, lietderību un tiesiskumu. Līdz ar to katrā valsts pārvaldes iestādē tās vadītājs ir atbildīgs par tādas sistēmas izveidi, kas nodrošinātu personas datu apstrādi atbilstoši Datu regulas prasībām.</w:t>
            </w:r>
          </w:p>
          <w:p w:rsidR="00D25429" w:rsidRPr="000977B0" w:rsidRDefault="00D25429" w:rsidP="00D25429">
            <w:pPr>
              <w:ind w:firstLine="720"/>
              <w:jc w:val="both"/>
              <w:rPr>
                <w:sz w:val="22"/>
                <w:szCs w:val="22"/>
              </w:rPr>
            </w:pPr>
            <w:r w:rsidRPr="000977B0">
              <w:rPr>
                <w:sz w:val="22"/>
                <w:szCs w:val="22"/>
              </w:rPr>
              <w:t xml:space="preserve">Atbilstoši Fizisko personu datu apstrādes likuma V nodaļai tiek paredzētas noteiktas prasības personai, kura drīkst veikt datu </w:t>
            </w:r>
            <w:r w:rsidRPr="000977B0">
              <w:rPr>
                <w:sz w:val="22"/>
                <w:szCs w:val="22"/>
              </w:rPr>
              <w:lastRenderedPageBreak/>
              <w:t>aizsardzības speciālista (turpmāk – DAS) pienākumus. DAS veicamie uzdevumi daļēji, ja ne pilnīgi atbilst anotācijas I sadaļas 2. punktā uzskaitītajiem punktiem, ko paredzēts veikt prioritārā audita ietvaros iekšējiem auditoriem.</w:t>
            </w:r>
          </w:p>
          <w:p w:rsidR="00D25429" w:rsidRPr="000977B0" w:rsidRDefault="00D25429" w:rsidP="00D25429">
            <w:pPr>
              <w:ind w:firstLine="720"/>
              <w:jc w:val="both"/>
              <w:rPr>
                <w:sz w:val="22"/>
                <w:szCs w:val="22"/>
              </w:rPr>
            </w:pPr>
            <w:r w:rsidRPr="000977B0">
              <w:rPr>
                <w:sz w:val="22"/>
                <w:szCs w:val="22"/>
              </w:rPr>
              <w:t>Papildus vēršam uzmanību, ka saskaņā ar Fizisko personu datu apstrādes likuma 3. panta pirmo daļu datu uzraudzības iestāde Datu regulas izpratnē ir Datu valsts inspekcija, kura pilda Datu regulā un Fizisko personu datu apstrādes likumā noteiktos uzdevumus datu apstrādes jomā, tajā skaitā uzrauga un īsteno Datu regulas piemērošanu, veicina tās saskanīgu piemērošanu visā Eiropas Savienībā, lai aizsargātu fiziskas personas attiecībā uz viņu personas datu apstrādi un atvieglotu personas datu brīvu apriti iekšējā tirgū.</w:t>
            </w:r>
          </w:p>
          <w:p w:rsidR="00D25429" w:rsidRPr="000977B0" w:rsidRDefault="00D25429" w:rsidP="00D25429">
            <w:pPr>
              <w:ind w:firstLine="720"/>
              <w:jc w:val="both"/>
              <w:rPr>
                <w:sz w:val="22"/>
                <w:szCs w:val="22"/>
              </w:rPr>
            </w:pPr>
            <w:r w:rsidRPr="000977B0">
              <w:rPr>
                <w:sz w:val="22"/>
                <w:szCs w:val="22"/>
              </w:rPr>
              <w:t xml:space="preserve">Datu valsts inspekcijas kā uzraudzības iestādes Datu regulas izpratnē neatkarību nosaka Datu regulas 52. pants un Fizisko personu datu apstrādes likuma 3. pants. No Datu regulas 52. panta 1. un 2. punkta un Fizisko personu datu apstrādes likuma 3. panta trešās un ceturtās daļas regulējuma secināms, ka attiecībā uz savu </w:t>
            </w:r>
            <w:r w:rsidRPr="000977B0">
              <w:rPr>
                <w:sz w:val="22"/>
                <w:szCs w:val="22"/>
              </w:rPr>
              <w:lastRenderedPageBreak/>
              <w:t>funkciju un uzdevumu izpildi Datu valsts inspekcija ir pilnīgi neatkarīga.</w:t>
            </w:r>
          </w:p>
          <w:p w:rsidR="00D25429" w:rsidRPr="000977B0" w:rsidRDefault="00D25429" w:rsidP="00D25429">
            <w:pPr>
              <w:ind w:firstLine="720"/>
              <w:jc w:val="both"/>
              <w:rPr>
                <w:sz w:val="22"/>
                <w:szCs w:val="22"/>
              </w:rPr>
            </w:pPr>
            <w:r w:rsidRPr="000977B0">
              <w:rPr>
                <w:sz w:val="22"/>
                <w:szCs w:val="22"/>
              </w:rPr>
              <w:t>Ar Datu regulu valstij ir uzlikts pienākums nodrošināt to, ka uzraudzības iestāde savus uzdevumus pilda pilnīgi neatkarīgi, jo tās ir būtiskas garantijas fizisku personu tiesību un tiesisko interešu aizsardzībai attiecībā uz viņu personas datu apstrādi.</w:t>
            </w:r>
          </w:p>
          <w:p w:rsidR="00D25429" w:rsidRPr="000977B0" w:rsidRDefault="00D25429" w:rsidP="00D25429">
            <w:pPr>
              <w:ind w:firstLine="720"/>
              <w:jc w:val="both"/>
              <w:rPr>
                <w:sz w:val="22"/>
                <w:szCs w:val="22"/>
              </w:rPr>
            </w:pPr>
            <w:r w:rsidRPr="000977B0">
              <w:rPr>
                <w:sz w:val="22"/>
                <w:szCs w:val="22"/>
              </w:rPr>
              <w:t>Līdz ar to, nodrošinot iekšējiem auditoriem veikt auditu anotācijā norādītajā apjomā, varētu tikt apšaubīta Datu valsts inspekcijas kā uzraudzības iestādes neatkarība, jo iekšējie auditori veiktu daļu no Datu valsts inspekcijas uzdevumiem, kas atrodas Datu valsts inspekcijas kompetencē.</w:t>
            </w:r>
          </w:p>
          <w:p w:rsidR="00D25429" w:rsidRPr="000977B0" w:rsidRDefault="00D25429" w:rsidP="00D25429">
            <w:pPr>
              <w:ind w:firstLine="720"/>
              <w:jc w:val="both"/>
              <w:rPr>
                <w:sz w:val="22"/>
                <w:szCs w:val="22"/>
              </w:rPr>
            </w:pPr>
            <w:r w:rsidRPr="000977B0">
              <w:rPr>
                <w:sz w:val="22"/>
                <w:szCs w:val="22"/>
              </w:rPr>
              <w:t xml:space="preserve">Apkopojot iepriekš minēto, secināms, ka projektā paredzētā audita jēga ir pārskatīt DAS veikto uzdevumu izpildi, lai gan tas pēc audita jēgas nevarētu būt sasniedzamais mērķis. DAS veikto uzdevumu izpildes un kvalitātes novērtēšana ir valsts pārvaldes iestādes vadītāja un Datu valsts inspekcijas kompetencē. </w:t>
            </w:r>
          </w:p>
          <w:p w:rsidR="00D25429" w:rsidRPr="000977B0" w:rsidRDefault="00D25429" w:rsidP="00D25429">
            <w:pPr>
              <w:ind w:firstLine="720"/>
              <w:jc w:val="both"/>
              <w:rPr>
                <w:sz w:val="22"/>
                <w:szCs w:val="22"/>
              </w:rPr>
            </w:pPr>
            <w:r w:rsidRPr="000977B0">
              <w:rPr>
                <w:sz w:val="22"/>
                <w:szCs w:val="22"/>
              </w:rPr>
              <w:t xml:space="preserve">Lai nodrošinātu Datu regulā un Fizisko personu datu </w:t>
            </w:r>
            <w:r w:rsidRPr="000977B0">
              <w:rPr>
                <w:sz w:val="22"/>
                <w:szCs w:val="22"/>
              </w:rPr>
              <w:lastRenderedPageBreak/>
              <w:t>apstrādes likumā noteikto uzdevumu izpildi Datu valsts inspekcijai 2019. gadā un turpmākajos gados tika paredzēts piešķirt papildu 15 amata vietas, tās pakāpeniski ieviešot. Paredzētais papildu finansējums 2019. gadā 761 145 euro apmērā un 2020. gadā un turpmākajos gados – 715 104 euro apmērā. Līdz ar to ir aktualizējams jautājums par papildus budžeta līdzekļu piešķiršanu Datu valsts inspekcijai, lai kvalitatīvi nodrošinātu, ka valsts sektorā tiek īstenota tāda fizisko personu datu apstrāde, kas atbilst Datu regulas prasībām.</w:t>
            </w:r>
          </w:p>
          <w:p w:rsidR="00D25429" w:rsidRPr="000977B0" w:rsidRDefault="00D25429" w:rsidP="00D25429">
            <w:pPr>
              <w:ind w:firstLine="720"/>
              <w:jc w:val="both"/>
              <w:rPr>
                <w:sz w:val="22"/>
                <w:szCs w:val="22"/>
              </w:rPr>
            </w:pPr>
            <w:r w:rsidRPr="000977B0">
              <w:rPr>
                <w:sz w:val="22"/>
                <w:szCs w:val="22"/>
              </w:rPr>
              <w:t>Tādejādi projekta 1. punktā paredzētā fizisko personu datu aizsardzības iekšējā audita veikšana nav iespējama, jo fizisko personu datu aizsardzība ir fizisko personu datu apstrādes procesa darbības rezultātā sasniedzamais mērķis, nevis pats process, ko ir iespējams auditēt, turklāt, kā jau iepriekš minēts, pārliecību par procesa darbību un tā efektivitāti var sniegt tikai atbilstoši kvalificēta un kompetenta persona.</w:t>
            </w:r>
          </w:p>
          <w:p w:rsidR="00D25429" w:rsidRPr="000977B0" w:rsidRDefault="00D25429" w:rsidP="00D25429">
            <w:pPr>
              <w:ind w:firstLine="720"/>
              <w:jc w:val="both"/>
              <w:rPr>
                <w:sz w:val="22"/>
                <w:szCs w:val="22"/>
              </w:rPr>
            </w:pPr>
            <w:r w:rsidRPr="000977B0">
              <w:rPr>
                <w:sz w:val="22"/>
                <w:szCs w:val="22"/>
              </w:rPr>
              <w:t xml:space="preserve">Auditoru kompetencē būtu izvērtēt, vai iestādē ir izveidota iekšējās kontroles </w:t>
            </w:r>
            <w:r w:rsidRPr="000977B0">
              <w:rPr>
                <w:sz w:val="22"/>
                <w:szCs w:val="22"/>
              </w:rPr>
              <w:lastRenderedPageBreak/>
              <w:t>sistēma, kas nodrošina Datu regulas prasību ievērošanu un vai izveidotā iekšējās kontroles sistēma darbojas efektīvi, līdz ar to, iekšējo auditoru kompetencē nav veikt auditu anotācijas I sadaļas 2. punktā norādītajā apjomā.</w:t>
            </w:r>
          </w:p>
          <w:p w:rsidR="00D25429" w:rsidRPr="000977B0" w:rsidRDefault="00D25429" w:rsidP="00D25429">
            <w:pPr>
              <w:ind w:firstLine="720"/>
              <w:jc w:val="both"/>
              <w:rPr>
                <w:sz w:val="22"/>
                <w:szCs w:val="22"/>
              </w:rPr>
            </w:pPr>
            <w:r w:rsidRPr="000977B0">
              <w:rPr>
                <w:sz w:val="22"/>
                <w:szCs w:val="22"/>
              </w:rPr>
              <w:t>Ņemot vērā minēto, audita ietvaros vajadzētu koncentrēties uz pasākumiem, kas ir veikti kopš Datu regulas piemērošanas un tās prasību nodrošināšanas. Piemēram, vai ir ieviesta sistēma personas datu apstrādes nodrošināšanai atbilstoši Datu regulas prasībām pēc būtības, vai ir izpildīts Ministru kabineta 2018. gada 6. marta sēdes protokollēmuma (prot. Nr.14 40.§) „Likumprojekts „personu datu apstrādes likums”” 4. punktā noteiktais uzdevums ministrijām līdz 2018. gada 1.decembrim izvērtēt, vai attiecīgās nozares normatīvie akti, kas paredz fizisko personu datu apstrādi, atbilst Datu regulas prasībām, un, ja nepieciešams, izstrādāt normatīvo aktu projektus un iesniegt tos noteiktā kārtībā Valsts kancelejā, vai par minētā uzdevuma izpildi ir gūstami kādi pierādījumi.</w:t>
            </w:r>
          </w:p>
          <w:p w:rsidR="00646F7D" w:rsidRPr="000977B0" w:rsidRDefault="00D25429" w:rsidP="00D25429">
            <w:pPr>
              <w:jc w:val="both"/>
              <w:rPr>
                <w:sz w:val="22"/>
                <w:szCs w:val="22"/>
              </w:rPr>
            </w:pPr>
            <w:r w:rsidRPr="000977B0">
              <w:rPr>
                <w:sz w:val="22"/>
                <w:szCs w:val="22"/>
              </w:rPr>
              <w:lastRenderedPageBreak/>
              <w:t>Ņemot vērā minēto, projekts būtu precizējams atbilstoši iebildumā norādītajiem apsvērumiem.</w:t>
            </w:r>
          </w:p>
        </w:tc>
        <w:tc>
          <w:tcPr>
            <w:tcW w:w="3828" w:type="dxa"/>
            <w:tcBorders>
              <w:top w:val="single" w:sz="4" w:space="0" w:color="auto"/>
              <w:left w:val="single" w:sz="6" w:space="0" w:color="000000"/>
              <w:bottom w:val="single" w:sz="6" w:space="0" w:color="000000"/>
              <w:right w:val="single" w:sz="6" w:space="0" w:color="000000"/>
            </w:tcBorders>
          </w:tcPr>
          <w:p w:rsidR="00646F7D" w:rsidRPr="000977B0" w:rsidRDefault="00646F7D" w:rsidP="00646F7D">
            <w:pPr>
              <w:jc w:val="center"/>
              <w:rPr>
                <w:b/>
                <w:sz w:val="22"/>
                <w:szCs w:val="22"/>
              </w:rPr>
            </w:pPr>
            <w:r w:rsidRPr="000977B0">
              <w:rPr>
                <w:b/>
                <w:sz w:val="22"/>
                <w:szCs w:val="22"/>
              </w:rPr>
              <w:lastRenderedPageBreak/>
              <w:t>Panākta vienošanās saskaņošanas sanāksmē</w:t>
            </w:r>
          </w:p>
          <w:p w:rsidR="0069012F" w:rsidRDefault="0069012F" w:rsidP="000977B0">
            <w:pPr>
              <w:jc w:val="both"/>
              <w:rPr>
                <w:sz w:val="22"/>
                <w:szCs w:val="22"/>
              </w:rPr>
            </w:pPr>
          </w:p>
          <w:p w:rsidR="00A616B6" w:rsidRPr="000977B0" w:rsidRDefault="00C7579F" w:rsidP="000977B0">
            <w:pPr>
              <w:jc w:val="both"/>
              <w:rPr>
                <w:sz w:val="22"/>
                <w:szCs w:val="22"/>
              </w:rPr>
            </w:pPr>
            <w:r w:rsidRPr="000977B0">
              <w:rPr>
                <w:sz w:val="22"/>
                <w:szCs w:val="22"/>
              </w:rPr>
              <w:t>Projekta a</w:t>
            </w:r>
            <w:r w:rsidR="00A40AE3" w:rsidRPr="000977B0">
              <w:rPr>
                <w:sz w:val="22"/>
                <w:szCs w:val="22"/>
              </w:rPr>
              <w:t xml:space="preserve">notācijā precizēta informācija par plānoto </w:t>
            </w:r>
            <w:r w:rsidR="00A616B6" w:rsidRPr="000977B0">
              <w:rPr>
                <w:sz w:val="22"/>
                <w:szCs w:val="22"/>
              </w:rPr>
              <w:t>prioritārā audita darba</w:t>
            </w:r>
            <w:r w:rsidR="00AA047B" w:rsidRPr="000977B0">
              <w:rPr>
                <w:sz w:val="22"/>
                <w:szCs w:val="22"/>
              </w:rPr>
              <w:t xml:space="preserve"> uzdevumu</w:t>
            </w:r>
            <w:r w:rsidR="00A616B6" w:rsidRPr="000977B0">
              <w:rPr>
                <w:sz w:val="22"/>
                <w:szCs w:val="22"/>
              </w:rPr>
              <w:t>.</w:t>
            </w: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69012F" w:rsidRDefault="0069012F" w:rsidP="00C7579F">
            <w:pPr>
              <w:rPr>
                <w:sz w:val="22"/>
                <w:szCs w:val="22"/>
                <w:u w:val="single"/>
              </w:rPr>
            </w:pPr>
          </w:p>
          <w:p w:rsidR="00A616B6" w:rsidRPr="0069012F" w:rsidRDefault="00A616B6" w:rsidP="00C7579F">
            <w:pPr>
              <w:rPr>
                <w:sz w:val="22"/>
                <w:szCs w:val="22"/>
              </w:rPr>
            </w:pPr>
            <w:r w:rsidRPr="0069012F">
              <w:rPr>
                <w:sz w:val="22"/>
                <w:szCs w:val="22"/>
              </w:rPr>
              <w:t xml:space="preserve">Precizēts vadlīniju </w:t>
            </w:r>
            <w:r w:rsidR="000977B0" w:rsidRPr="0069012F">
              <w:rPr>
                <w:sz w:val="22"/>
                <w:szCs w:val="22"/>
              </w:rPr>
              <w:t>nosūtīšanas termiņš.</w:t>
            </w: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0C6FB4" w:rsidRPr="000977B0" w:rsidRDefault="000C6FB4" w:rsidP="00C7579F">
            <w:pPr>
              <w:rPr>
                <w:sz w:val="22"/>
                <w:szCs w:val="22"/>
              </w:rPr>
            </w:pPr>
          </w:p>
          <w:p w:rsidR="00CF6BCD" w:rsidRPr="0069012F" w:rsidRDefault="00CF6BCD" w:rsidP="000977B0">
            <w:pPr>
              <w:jc w:val="both"/>
              <w:rPr>
                <w:sz w:val="22"/>
                <w:szCs w:val="22"/>
              </w:rPr>
            </w:pPr>
            <w:r w:rsidRPr="0069012F">
              <w:rPr>
                <w:sz w:val="22"/>
                <w:szCs w:val="22"/>
              </w:rPr>
              <w:t>Anotācijā vadlīniju izstrādes process papildināts ar iespējamo brieduma modeļa pieejas izmantošanu</w:t>
            </w:r>
            <w:r w:rsidR="000977B0" w:rsidRPr="0069012F">
              <w:rPr>
                <w:sz w:val="22"/>
                <w:szCs w:val="22"/>
              </w:rPr>
              <w:t>.</w:t>
            </w:r>
          </w:p>
          <w:p w:rsidR="00CF6BCD" w:rsidRPr="000977B0" w:rsidRDefault="00CF6BCD" w:rsidP="00C7579F">
            <w:pPr>
              <w:rPr>
                <w:sz w:val="22"/>
                <w:szCs w:val="22"/>
              </w:rPr>
            </w:pPr>
          </w:p>
          <w:p w:rsidR="00CF6BCD" w:rsidRPr="000977B0" w:rsidRDefault="00CF6BCD" w:rsidP="00C7579F">
            <w:pPr>
              <w:rPr>
                <w:sz w:val="22"/>
                <w:szCs w:val="22"/>
              </w:rPr>
            </w:pPr>
          </w:p>
          <w:p w:rsidR="00CF6BCD" w:rsidRPr="000977B0" w:rsidRDefault="00CF6BC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DE1E49" w:rsidRPr="0069012F" w:rsidRDefault="001A050D" w:rsidP="0020489E">
            <w:pPr>
              <w:jc w:val="both"/>
              <w:rPr>
                <w:sz w:val="22"/>
                <w:szCs w:val="22"/>
              </w:rPr>
            </w:pPr>
            <w:r w:rsidRPr="0069012F">
              <w:rPr>
                <w:sz w:val="22"/>
                <w:szCs w:val="22"/>
              </w:rPr>
              <w:t>Rīkojuma projektā</w:t>
            </w:r>
            <w:r w:rsidR="00DE1E49" w:rsidRPr="0069012F">
              <w:rPr>
                <w:sz w:val="22"/>
                <w:szCs w:val="22"/>
              </w:rPr>
              <w:t xml:space="preserve"> saskaņošanas sanāksmē panāktās vienošanās rezultātā</w:t>
            </w:r>
          </w:p>
          <w:p w:rsidR="001A050D" w:rsidRPr="0069012F" w:rsidRDefault="001A050D" w:rsidP="0020489E">
            <w:pPr>
              <w:jc w:val="both"/>
              <w:rPr>
                <w:sz w:val="22"/>
                <w:szCs w:val="22"/>
              </w:rPr>
            </w:pPr>
            <w:r w:rsidRPr="0069012F">
              <w:rPr>
                <w:sz w:val="22"/>
                <w:szCs w:val="22"/>
              </w:rPr>
              <w:t xml:space="preserve">mainīta punktu secība un </w:t>
            </w:r>
            <w:r w:rsidR="0069012F">
              <w:rPr>
                <w:sz w:val="22"/>
                <w:szCs w:val="22"/>
              </w:rPr>
              <w:t xml:space="preserve">to </w:t>
            </w:r>
            <w:r w:rsidRPr="0069012F">
              <w:rPr>
                <w:sz w:val="22"/>
                <w:szCs w:val="22"/>
              </w:rPr>
              <w:t xml:space="preserve">skaits, lai uzlabotu informācijas </w:t>
            </w:r>
            <w:r w:rsidR="00BB157C" w:rsidRPr="0069012F">
              <w:rPr>
                <w:sz w:val="22"/>
                <w:szCs w:val="22"/>
              </w:rPr>
              <w:t xml:space="preserve">izsekojamību un </w:t>
            </w:r>
            <w:r w:rsidRPr="0069012F">
              <w:rPr>
                <w:sz w:val="22"/>
                <w:szCs w:val="22"/>
              </w:rPr>
              <w:t>uztveramību, kā arī  precizēta projekta redakcija un vadlīniju nosūtīšanas termiņš.</w:t>
            </w: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1A050D" w:rsidRPr="000977B0" w:rsidRDefault="001A050D"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A616B6" w:rsidRPr="000977B0" w:rsidRDefault="00A616B6" w:rsidP="00C7579F">
            <w:pPr>
              <w:rPr>
                <w:sz w:val="22"/>
                <w:szCs w:val="22"/>
              </w:rPr>
            </w:pPr>
          </w:p>
          <w:p w:rsidR="00C7579F" w:rsidRPr="000977B0" w:rsidRDefault="00C7579F" w:rsidP="00C7579F">
            <w:pPr>
              <w:rPr>
                <w:sz w:val="22"/>
                <w:szCs w:val="22"/>
              </w:rPr>
            </w:pPr>
          </w:p>
        </w:tc>
        <w:tc>
          <w:tcPr>
            <w:tcW w:w="3685" w:type="dxa"/>
            <w:gridSpan w:val="3"/>
            <w:tcBorders>
              <w:top w:val="single" w:sz="4" w:space="0" w:color="auto"/>
              <w:left w:val="single" w:sz="4" w:space="0" w:color="auto"/>
              <w:bottom w:val="single" w:sz="4" w:space="0" w:color="auto"/>
            </w:tcBorders>
          </w:tcPr>
          <w:p w:rsidR="00211A17" w:rsidRPr="000977B0" w:rsidRDefault="00211A17" w:rsidP="00211A17">
            <w:pPr>
              <w:pStyle w:val="naisc"/>
              <w:jc w:val="both"/>
              <w:rPr>
                <w:rFonts w:eastAsia="Calibri"/>
                <w:sz w:val="22"/>
                <w:szCs w:val="22"/>
                <w:lang w:eastAsia="en-US"/>
              </w:rPr>
            </w:pPr>
          </w:p>
          <w:p w:rsidR="00211A17" w:rsidRPr="000977B0" w:rsidRDefault="00211A17" w:rsidP="00211A17">
            <w:pPr>
              <w:pStyle w:val="naisc"/>
              <w:jc w:val="both"/>
              <w:rPr>
                <w:rFonts w:eastAsia="Calibri"/>
                <w:sz w:val="22"/>
                <w:szCs w:val="22"/>
                <w:lang w:eastAsia="en-US"/>
              </w:rPr>
            </w:pPr>
            <w:r w:rsidRPr="000977B0">
              <w:rPr>
                <w:rFonts w:eastAsia="Calibri"/>
                <w:sz w:val="22"/>
                <w:szCs w:val="22"/>
                <w:lang w:eastAsia="en-US"/>
              </w:rPr>
              <w:t>Anotācijas 1.sadaļas 2.punkta 2020.gada auditējamās prioritātes pamatojums un iekšējā audita uzdevums (fizisko personu datu aizsardzība) 11. rindkop</w:t>
            </w:r>
            <w:r w:rsidR="001A050D" w:rsidRPr="000977B0">
              <w:rPr>
                <w:rFonts w:eastAsia="Calibri"/>
                <w:sz w:val="22"/>
                <w:szCs w:val="22"/>
                <w:lang w:eastAsia="en-US"/>
              </w:rPr>
              <w:t>a</w:t>
            </w:r>
            <w:r w:rsidRPr="000977B0">
              <w:rPr>
                <w:rFonts w:eastAsia="Calibri"/>
                <w:sz w:val="22"/>
                <w:szCs w:val="22"/>
                <w:lang w:eastAsia="en-US"/>
              </w:rPr>
              <w:t xml:space="preserve"> izteikt</w:t>
            </w:r>
            <w:r w:rsidR="001A050D" w:rsidRPr="000977B0">
              <w:rPr>
                <w:rFonts w:eastAsia="Calibri"/>
                <w:sz w:val="22"/>
                <w:szCs w:val="22"/>
                <w:lang w:eastAsia="en-US"/>
              </w:rPr>
              <w:t>a</w:t>
            </w:r>
            <w:r w:rsidRPr="000977B0">
              <w:rPr>
                <w:rFonts w:eastAsia="Calibri"/>
                <w:sz w:val="22"/>
                <w:szCs w:val="22"/>
                <w:lang w:eastAsia="en-US"/>
              </w:rPr>
              <w:t xml:space="preserve"> šādā redakcijā:</w:t>
            </w:r>
          </w:p>
          <w:p w:rsidR="00211A17" w:rsidRPr="000977B0" w:rsidRDefault="00211A17" w:rsidP="000977B0">
            <w:pPr>
              <w:ind w:left="30" w:right="172" w:firstLine="567"/>
              <w:jc w:val="both"/>
              <w:rPr>
                <w:sz w:val="22"/>
                <w:szCs w:val="22"/>
                <w:lang w:eastAsia="ar-SA"/>
              </w:rPr>
            </w:pPr>
            <w:r w:rsidRPr="000977B0">
              <w:rPr>
                <w:sz w:val="22"/>
                <w:szCs w:val="22"/>
                <w:lang w:eastAsia="ar-SA"/>
              </w:rPr>
              <w:t>Iekšējiem auditoriem būtu jānovērtē resorā izveidotā iekšējās kontroles sistēmas darbība un efektivitāte fizisko personu datu apstrādes un aizsardzības jomā, lai gūtu pārliecību:</w:t>
            </w:r>
          </w:p>
          <w:p w:rsidR="00211A17" w:rsidRPr="000977B0" w:rsidRDefault="00211A17" w:rsidP="000977B0">
            <w:pPr>
              <w:numPr>
                <w:ilvl w:val="0"/>
                <w:numId w:val="44"/>
              </w:numPr>
              <w:ind w:left="30" w:right="172" w:firstLine="44"/>
              <w:jc w:val="both"/>
              <w:rPr>
                <w:sz w:val="22"/>
                <w:szCs w:val="22"/>
                <w:lang w:eastAsia="ar-SA"/>
              </w:rPr>
            </w:pPr>
            <w:r w:rsidRPr="000977B0">
              <w:rPr>
                <w:sz w:val="22"/>
                <w:szCs w:val="22"/>
                <w:lang w:eastAsia="ar-SA"/>
              </w:rPr>
              <w:t xml:space="preserve">vai /kāda ir noteikta un tiek īstenota atbildība par informācijas sistēmām un to saturošo personas datu aizsardzību, t.sk., par </w:t>
            </w:r>
            <w:r w:rsidRPr="000977B0">
              <w:rPr>
                <w:sz w:val="22"/>
                <w:szCs w:val="22"/>
              </w:rPr>
              <w:t xml:space="preserve">informācijas nesējiem </w:t>
            </w:r>
            <w:r w:rsidRPr="000977B0">
              <w:rPr>
                <w:sz w:val="22"/>
                <w:szCs w:val="22"/>
                <w:lang w:eastAsia="ar-SA"/>
              </w:rPr>
              <w:t>(zibatmiņas, CD, DVD, dokumenti, izdrukas, zīmogi, spiedogi u.tml.) un informāciju saturošām ierīcēm (stacionārie, portatīvie datori, viedierīces u.tml.), kas satur personas datus;</w:t>
            </w:r>
          </w:p>
          <w:p w:rsidR="00211A17" w:rsidRPr="000977B0" w:rsidRDefault="00211A17" w:rsidP="000977B0">
            <w:pPr>
              <w:numPr>
                <w:ilvl w:val="0"/>
                <w:numId w:val="44"/>
              </w:numPr>
              <w:ind w:left="30" w:right="172" w:firstLine="44"/>
              <w:jc w:val="both"/>
              <w:rPr>
                <w:sz w:val="22"/>
                <w:szCs w:val="22"/>
                <w:lang w:eastAsia="ar-SA"/>
              </w:rPr>
            </w:pPr>
            <w:r w:rsidRPr="000977B0">
              <w:rPr>
                <w:sz w:val="22"/>
                <w:szCs w:val="22"/>
                <w:lang w:eastAsia="ar-SA"/>
              </w:rPr>
              <w:lastRenderedPageBreak/>
              <w:t xml:space="preserve"> vai tiek ievēroti Regulas 5.pantā noteiktie personas datu apstrādes principi;</w:t>
            </w:r>
          </w:p>
          <w:p w:rsidR="00211A17" w:rsidRPr="000977B0" w:rsidRDefault="00211A17" w:rsidP="000977B0">
            <w:pPr>
              <w:numPr>
                <w:ilvl w:val="0"/>
                <w:numId w:val="44"/>
              </w:numPr>
              <w:ind w:left="30" w:right="167" w:firstLine="44"/>
              <w:jc w:val="both"/>
              <w:rPr>
                <w:sz w:val="22"/>
                <w:szCs w:val="22"/>
                <w:lang w:eastAsia="ar-SA"/>
              </w:rPr>
            </w:pPr>
            <w:r w:rsidRPr="000977B0">
              <w:rPr>
                <w:sz w:val="22"/>
                <w:szCs w:val="22"/>
                <w:lang w:eastAsia="ar-SA"/>
              </w:rPr>
              <w:t>vai var izsekot pārziņa rīcību ar personas datiem Regulas reglamentējošo principu  ietvaros (piemēram, personas datu apstrādes reģistrēšana personas datu apstrādes reģistrā, datu subjekta informēšana un citu tiesību realizācijas nodrošināšana, personas datu aizsardzības nodrošināšana) (pārskatatbildība);</w:t>
            </w:r>
          </w:p>
          <w:p w:rsidR="00211A17" w:rsidRPr="000977B0" w:rsidRDefault="00211A17" w:rsidP="000977B0">
            <w:pPr>
              <w:numPr>
                <w:ilvl w:val="0"/>
                <w:numId w:val="44"/>
              </w:numPr>
              <w:ind w:left="30" w:right="167" w:firstLine="44"/>
              <w:jc w:val="both"/>
              <w:rPr>
                <w:sz w:val="22"/>
                <w:szCs w:val="22"/>
                <w:lang w:eastAsia="ar-SA"/>
              </w:rPr>
            </w:pPr>
            <w:r w:rsidRPr="000977B0">
              <w:rPr>
                <w:sz w:val="22"/>
                <w:szCs w:val="22"/>
                <w:lang w:eastAsia="ar-SA"/>
              </w:rPr>
              <w:t>vai tiek ievērota Regula un normatīvie akti par personas datu apstrādi un aizsardzību</w:t>
            </w:r>
            <w:r w:rsidRPr="000977B0">
              <w:rPr>
                <w:sz w:val="22"/>
                <w:szCs w:val="22"/>
              </w:rPr>
              <w:t>.</w:t>
            </w:r>
          </w:p>
          <w:p w:rsidR="00F17BE0" w:rsidRPr="000977B0" w:rsidRDefault="00F17BE0" w:rsidP="000977B0">
            <w:pPr>
              <w:ind w:firstLine="469"/>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C7579F" w:rsidRPr="000977B0" w:rsidRDefault="00C7579F" w:rsidP="000361CD">
            <w:pPr>
              <w:jc w:val="both"/>
              <w:rPr>
                <w:sz w:val="22"/>
                <w:szCs w:val="22"/>
              </w:rPr>
            </w:pPr>
          </w:p>
          <w:p w:rsidR="0069012F" w:rsidRDefault="0069012F" w:rsidP="00C7579F">
            <w:pPr>
              <w:pStyle w:val="naisc"/>
              <w:jc w:val="both"/>
              <w:rPr>
                <w:rFonts w:eastAsia="Calibri"/>
                <w:sz w:val="22"/>
                <w:szCs w:val="22"/>
                <w:lang w:eastAsia="en-US"/>
              </w:rPr>
            </w:pPr>
          </w:p>
          <w:p w:rsidR="00C7579F" w:rsidRPr="000977B0" w:rsidRDefault="00C7579F" w:rsidP="00C7579F">
            <w:pPr>
              <w:pStyle w:val="naisc"/>
              <w:jc w:val="both"/>
              <w:rPr>
                <w:rFonts w:eastAsia="Calibri"/>
                <w:sz w:val="22"/>
                <w:szCs w:val="22"/>
                <w:lang w:eastAsia="en-US"/>
              </w:rPr>
            </w:pPr>
            <w:r w:rsidRPr="000977B0">
              <w:rPr>
                <w:rFonts w:eastAsia="Calibri"/>
                <w:sz w:val="22"/>
                <w:szCs w:val="22"/>
                <w:lang w:eastAsia="en-US"/>
              </w:rPr>
              <w:t xml:space="preserve">Anotācijas 1.sadaļas 2.punkta “Prioritārā audita vadlīniju izstrāde </w:t>
            </w:r>
            <w:r w:rsidRPr="000977B0">
              <w:rPr>
                <w:rFonts w:eastAsia="Calibri"/>
                <w:sz w:val="22"/>
                <w:szCs w:val="22"/>
                <w:lang w:eastAsia="en-US"/>
              </w:rPr>
              <w:lastRenderedPageBreak/>
              <w:t>(at</w:t>
            </w:r>
            <w:r w:rsidR="001A050D" w:rsidRPr="000977B0">
              <w:rPr>
                <w:rFonts w:eastAsia="Calibri"/>
                <w:sz w:val="22"/>
                <w:szCs w:val="22"/>
                <w:lang w:eastAsia="en-US"/>
              </w:rPr>
              <w:t>bildīgie un termiņi)” 1.rindkopa</w:t>
            </w:r>
            <w:r w:rsidRPr="000977B0">
              <w:rPr>
                <w:rFonts w:eastAsia="Calibri"/>
                <w:sz w:val="22"/>
                <w:szCs w:val="22"/>
                <w:lang w:eastAsia="en-US"/>
              </w:rPr>
              <w:t xml:space="preserve"> izteikt</w:t>
            </w:r>
            <w:r w:rsidR="001A050D" w:rsidRPr="000977B0">
              <w:rPr>
                <w:rFonts w:eastAsia="Calibri"/>
                <w:sz w:val="22"/>
                <w:szCs w:val="22"/>
                <w:lang w:eastAsia="en-US"/>
              </w:rPr>
              <w:t>a</w:t>
            </w:r>
            <w:r w:rsidRPr="000977B0">
              <w:rPr>
                <w:rFonts w:eastAsia="Calibri"/>
                <w:sz w:val="22"/>
                <w:szCs w:val="22"/>
                <w:lang w:eastAsia="en-US"/>
              </w:rPr>
              <w:t xml:space="preserve"> šādā redakcijā:</w:t>
            </w:r>
          </w:p>
          <w:p w:rsidR="00C7579F" w:rsidRPr="000977B0" w:rsidRDefault="00C7579F" w:rsidP="00C7579F">
            <w:pPr>
              <w:pStyle w:val="naisc"/>
              <w:ind w:firstLine="12"/>
              <w:jc w:val="both"/>
              <w:rPr>
                <w:rFonts w:eastAsia="Calibri"/>
                <w:sz w:val="22"/>
                <w:szCs w:val="22"/>
                <w:lang w:eastAsia="en-US"/>
              </w:rPr>
            </w:pPr>
            <w:r w:rsidRPr="000977B0">
              <w:rPr>
                <w:rFonts w:eastAsia="Calibri"/>
                <w:sz w:val="22"/>
                <w:szCs w:val="22"/>
                <w:lang w:eastAsia="en-US"/>
              </w:rPr>
              <w:t>Lai nodrošinātu iekšējā audita struktūrvienību vienotu izpratni par prioritārā audita veikšanu, rīkojuma projekts paredz uzdevumu Finanšu ministrijai izstrādāt un līdz 2019.gada 29.novembrim elektroniski nosūtīt ministriju un iestāžu iekšējā audita struktūrvienībām audita apjomu un ieteicamos principus fizisko personu datu aizsardzības iekšējā audita iekļaušanai iekšējā audita stratēģiskajā un gada plānā, kā arī līdz 2020. gada 15. februārim elektroniski nosūtīt fizisko personu datu aizsardzības  iekšējā audita vadlīnijas (turpmāk – vadlīnijas).</w:t>
            </w:r>
          </w:p>
          <w:p w:rsidR="008870C4" w:rsidRPr="000977B0" w:rsidRDefault="008870C4" w:rsidP="00C7579F">
            <w:pPr>
              <w:pStyle w:val="naisc"/>
              <w:ind w:firstLine="12"/>
              <w:jc w:val="both"/>
              <w:rPr>
                <w:rFonts w:eastAsia="Calibri"/>
                <w:sz w:val="22"/>
                <w:szCs w:val="22"/>
                <w:lang w:eastAsia="en-US"/>
              </w:rPr>
            </w:pPr>
          </w:p>
          <w:p w:rsidR="008870C4" w:rsidRPr="000977B0" w:rsidRDefault="008870C4" w:rsidP="00C7579F">
            <w:pPr>
              <w:pStyle w:val="naisc"/>
              <w:ind w:firstLine="12"/>
              <w:jc w:val="both"/>
              <w:rPr>
                <w:rFonts w:eastAsia="Calibri"/>
                <w:sz w:val="22"/>
                <w:szCs w:val="22"/>
                <w:lang w:eastAsia="en-US"/>
              </w:rPr>
            </w:pPr>
          </w:p>
          <w:p w:rsidR="008870C4" w:rsidRPr="000977B0" w:rsidRDefault="008870C4" w:rsidP="00C7579F">
            <w:pPr>
              <w:pStyle w:val="naisc"/>
              <w:ind w:firstLine="12"/>
              <w:jc w:val="both"/>
              <w:rPr>
                <w:rFonts w:eastAsia="Calibri"/>
                <w:sz w:val="22"/>
                <w:szCs w:val="22"/>
                <w:lang w:eastAsia="en-US"/>
              </w:rPr>
            </w:pPr>
          </w:p>
          <w:p w:rsidR="000C6FB4" w:rsidRPr="000977B0" w:rsidRDefault="000C6FB4" w:rsidP="008870C4">
            <w:pPr>
              <w:pStyle w:val="naisc"/>
              <w:ind w:firstLine="12"/>
              <w:jc w:val="both"/>
              <w:rPr>
                <w:rFonts w:eastAsia="Calibri"/>
                <w:sz w:val="22"/>
                <w:szCs w:val="22"/>
                <w:lang w:eastAsia="en-US"/>
              </w:rPr>
            </w:pPr>
          </w:p>
          <w:p w:rsidR="000C6FB4" w:rsidRPr="000977B0" w:rsidRDefault="000C6FB4" w:rsidP="008870C4">
            <w:pPr>
              <w:pStyle w:val="naisc"/>
              <w:ind w:firstLine="12"/>
              <w:jc w:val="both"/>
              <w:rPr>
                <w:rFonts w:eastAsia="Calibri"/>
                <w:sz w:val="22"/>
                <w:szCs w:val="22"/>
                <w:lang w:eastAsia="en-US"/>
              </w:rPr>
            </w:pPr>
          </w:p>
          <w:p w:rsidR="000C6FB4" w:rsidRPr="000977B0" w:rsidRDefault="000C6FB4" w:rsidP="008870C4">
            <w:pPr>
              <w:pStyle w:val="naisc"/>
              <w:ind w:firstLine="12"/>
              <w:jc w:val="both"/>
              <w:rPr>
                <w:rFonts w:eastAsia="Calibri"/>
                <w:sz w:val="22"/>
                <w:szCs w:val="22"/>
                <w:lang w:eastAsia="en-US"/>
              </w:rPr>
            </w:pPr>
          </w:p>
          <w:p w:rsidR="008870C4" w:rsidRPr="000977B0" w:rsidRDefault="008870C4" w:rsidP="008870C4">
            <w:pPr>
              <w:pStyle w:val="naisc"/>
              <w:ind w:firstLine="12"/>
              <w:jc w:val="both"/>
              <w:rPr>
                <w:rFonts w:eastAsia="Calibri"/>
                <w:sz w:val="22"/>
                <w:szCs w:val="22"/>
                <w:lang w:eastAsia="en-US"/>
              </w:rPr>
            </w:pPr>
            <w:r w:rsidRPr="000977B0">
              <w:rPr>
                <w:rFonts w:eastAsia="Calibri"/>
                <w:sz w:val="22"/>
                <w:szCs w:val="22"/>
                <w:lang w:eastAsia="en-US"/>
              </w:rPr>
              <w:t>Anotācijas 1.sadaļas 2.punkta “Prioritārā audita vadlīniju izstrāde (at</w:t>
            </w:r>
            <w:r w:rsidR="001A050D" w:rsidRPr="000977B0">
              <w:rPr>
                <w:rFonts w:eastAsia="Calibri"/>
                <w:sz w:val="22"/>
                <w:szCs w:val="22"/>
                <w:lang w:eastAsia="en-US"/>
              </w:rPr>
              <w:t>bildīgie un termiņi)” 3.rindkopa</w:t>
            </w:r>
            <w:r w:rsidRPr="000977B0">
              <w:rPr>
                <w:rFonts w:eastAsia="Calibri"/>
                <w:sz w:val="22"/>
                <w:szCs w:val="22"/>
                <w:lang w:eastAsia="en-US"/>
              </w:rPr>
              <w:t xml:space="preserve"> izteikt</w:t>
            </w:r>
            <w:r w:rsidR="001A050D" w:rsidRPr="000977B0">
              <w:rPr>
                <w:rFonts w:eastAsia="Calibri"/>
                <w:sz w:val="22"/>
                <w:szCs w:val="22"/>
                <w:lang w:eastAsia="en-US"/>
              </w:rPr>
              <w:t>a</w:t>
            </w:r>
            <w:r w:rsidRPr="000977B0">
              <w:rPr>
                <w:rFonts w:eastAsia="Calibri"/>
                <w:sz w:val="22"/>
                <w:szCs w:val="22"/>
                <w:lang w:eastAsia="en-US"/>
              </w:rPr>
              <w:t xml:space="preserve"> šādā redakcijā:</w:t>
            </w:r>
          </w:p>
          <w:p w:rsidR="008870C4" w:rsidRPr="000977B0" w:rsidRDefault="008870C4" w:rsidP="008870C4">
            <w:pPr>
              <w:pStyle w:val="naisc"/>
              <w:ind w:firstLine="12"/>
              <w:jc w:val="both"/>
              <w:rPr>
                <w:rFonts w:eastAsia="Calibri"/>
                <w:sz w:val="22"/>
                <w:szCs w:val="22"/>
                <w:lang w:eastAsia="en-US"/>
              </w:rPr>
            </w:pPr>
            <w:r w:rsidRPr="000977B0">
              <w:rPr>
                <w:rFonts w:eastAsia="Calibri"/>
                <w:sz w:val="22"/>
                <w:szCs w:val="22"/>
                <w:lang w:eastAsia="en-US"/>
              </w:rPr>
              <w:t xml:space="preserve">Saskaņā ar Iekšējā audita likuma 10.panta otrās daļas 6.punktā noteikto, Finanšu ministrija ir atbildīga par vadlīniju izstrādi. Vadlīniju izstrādē tiks izskatīta iespēja izmantot brieduma modeļa pieeju. Vadlīniju izstrādē tiks </w:t>
            </w:r>
            <w:r w:rsidRPr="000977B0">
              <w:rPr>
                <w:rFonts w:eastAsia="Calibri"/>
                <w:sz w:val="22"/>
                <w:szCs w:val="22"/>
                <w:lang w:eastAsia="en-US"/>
              </w:rPr>
              <w:lastRenderedPageBreak/>
              <w:t>pieaicināti  Tieslietu ministrijas pārstāvji viņiem pieejamo resursu ietvaros. Lai vadlīnijas piemērotu praktiskai audita veikšanai, Finanšu ministrija piešķirtā valsts budžeta ietvaros organizēs arī citu ekspertu (piem., no Iekšējā audita padomes) piesaisti vadlīniju izstrādē un novērtēšanā. Vadlīniju izstrādē ir aicināti piedalīties arī valsts pārvaldes iekšējie auditori.</w:t>
            </w:r>
          </w:p>
          <w:p w:rsidR="001A050D" w:rsidRPr="000977B0" w:rsidRDefault="001A050D" w:rsidP="008870C4">
            <w:pPr>
              <w:pStyle w:val="naisc"/>
              <w:ind w:firstLine="12"/>
              <w:jc w:val="both"/>
              <w:rPr>
                <w:rFonts w:eastAsia="Calibri"/>
                <w:sz w:val="22"/>
                <w:szCs w:val="22"/>
                <w:lang w:eastAsia="en-US"/>
              </w:rPr>
            </w:pPr>
          </w:p>
          <w:p w:rsidR="00637A8B" w:rsidRPr="000977B0" w:rsidRDefault="00637A8B" w:rsidP="0020489E">
            <w:pPr>
              <w:jc w:val="both"/>
              <w:rPr>
                <w:sz w:val="22"/>
                <w:szCs w:val="22"/>
              </w:rPr>
            </w:pPr>
            <w:r w:rsidRPr="000977B0">
              <w:rPr>
                <w:sz w:val="22"/>
                <w:szCs w:val="22"/>
              </w:rPr>
              <w:t>Rīkojuma projekta 2. punktam nomainīta numerācija un tas ir 3.punkts.</w:t>
            </w:r>
          </w:p>
          <w:p w:rsidR="00637A8B" w:rsidRPr="000977B0" w:rsidRDefault="00637A8B" w:rsidP="008870C4">
            <w:pPr>
              <w:pStyle w:val="naisc"/>
              <w:ind w:firstLine="12"/>
              <w:jc w:val="both"/>
              <w:rPr>
                <w:rFonts w:eastAsia="Calibri"/>
                <w:sz w:val="22"/>
                <w:szCs w:val="22"/>
                <w:lang w:eastAsia="en-US"/>
              </w:rPr>
            </w:pPr>
          </w:p>
          <w:p w:rsidR="001A050D" w:rsidRPr="000977B0" w:rsidRDefault="001A050D" w:rsidP="001A050D">
            <w:pPr>
              <w:pStyle w:val="naisc"/>
              <w:ind w:firstLine="12"/>
              <w:jc w:val="both"/>
              <w:rPr>
                <w:rFonts w:eastAsia="Calibri"/>
                <w:sz w:val="22"/>
                <w:szCs w:val="22"/>
                <w:lang w:eastAsia="en-US"/>
              </w:rPr>
            </w:pPr>
            <w:r w:rsidRPr="000977B0">
              <w:rPr>
                <w:rFonts w:eastAsia="Calibri"/>
                <w:sz w:val="22"/>
                <w:szCs w:val="22"/>
                <w:lang w:eastAsia="en-US"/>
              </w:rPr>
              <w:t>Rīkojuma projekt</w:t>
            </w:r>
            <w:r w:rsidR="00637A8B" w:rsidRPr="000977B0">
              <w:rPr>
                <w:rFonts w:eastAsia="Calibri"/>
                <w:sz w:val="22"/>
                <w:szCs w:val="22"/>
                <w:lang w:eastAsia="en-US"/>
              </w:rPr>
              <w:t>a</w:t>
            </w:r>
            <w:r w:rsidRPr="000977B0">
              <w:rPr>
                <w:rFonts w:eastAsia="Calibri"/>
                <w:sz w:val="22"/>
                <w:szCs w:val="22"/>
                <w:lang w:eastAsia="en-US"/>
              </w:rPr>
              <w:t xml:space="preserve"> </w:t>
            </w:r>
            <w:r w:rsidR="00637A8B" w:rsidRPr="000977B0">
              <w:rPr>
                <w:rFonts w:eastAsia="Calibri"/>
                <w:sz w:val="22"/>
                <w:szCs w:val="22"/>
                <w:lang w:eastAsia="en-US"/>
              </w:rPr>
              <w:t>3.punktam no</w:t>
            </w:r>
            <w:r w:rsidRPr="000977B0">
              <w:rPr>
                <w:rFonts w:eastAsia="Calibri"/>
                <w:sz w:val="22"/>
                <w:szCs w:val="22"/>
                <w:lang w:eastAsia="en-US"/>
              </w:rPr>
              <w:t>mainīta numerācija</w:t>
            </w:r>
            <w:r w:rsidR="00637A8B" w:rsidRPr="000977B0">
              <w:rPr>
                <w:rFonts w:eastAsia="Calibri"/>
                <w:sz w:val="22"/>
                <w:szCs w:val="22"/>
                <w:lang w:eastAsia="en-US"/>
              </w:rPr>
              <w:t>, tas ir 2</w:t>
            </w:r>
            <w:r w:rsidRPr="000977B0">
              <w:rPr>
                <w:rFonts w:eastAsia="Calibri"/>
                <w:sz w:val="22"/>
                <w:szCs w:val="22"/>
                <w:lang w:eastAsia="en-US"/>
              </w:rPr>
              <w:t>.punkts</w:t>
            </w:r>
            <w:r w:rsidR="00637A8B" w:rsidRPr="000977B0">
              <w:rPr>
                <w:rFonts w:eastAsia="Calibri"/>
                <w:sz w:val="22"/>
                <w:szCs w:val="22"/>
                <w:lang w:eastAsia="en-US"/>
              </w:rPr>
              <w:t>, kas</w:t>
            </w:r>
            <w:r w:rsidRPr="000977B0">
              <w:rPr>
                <w:rFonts w:eastAsia="Calibri"/>
                <w:sz w:val="22"/>
                <w:szCs w:val="22"/>
                <w:lang w:eastAsia="en-US"/>
              </w:rPr>
              <w:t xml:space="preserve"> izteikts šādā redakcijā:</w:t>
            </w:r>
          </w:p>
          <w:p w:rsidR="001A050D" w:rsidRPr="000977B0" w:rsidRDefault="001A050D" w:rsidP="001A050D">
            <w:pPr>
              <w:pStyle w:val="naisc"/>
              <w:ind w:firstLine="12"/>
              <w:jc w:val="both"/>
              <w:rPr>
                <w:rFonts w:eastAsia="Calibri"/>
                <w:sz w:val="22"/>
                <w:szCs w:val="22"/>
                <w:lang w:eastAsia="en-US"/>
              </w:rPr>
            </w:pPr>
            <w:r w:rsidRPr="000977B0">
              <w:rPr>
                <w:rFonts w:eastAsia="Calibri"/>
                <w:sz w:val="22"/>
                <w:szCs w:val="22"/>
                <w:lang w:eastAsia="en-US"/>
              </w:rPr>
              <w:t>2.</w:t>
            </w:r>
            <w:r w:rsidR="00BB157C" w:rsidRPr="000977B0">
              <w:rPr>
                <w:rFonts w:eastAsia="Calibri"/>
                <w:sz w:val="22"/>
                <w:szCs w:val="22"/>
                <w:lang w:eastAsia="en-US"/>
              </w:rPr>
              <w:t> Finanšu ministrijai sadarbībā ar Tieslietu ministriju izstrādāt un līdz 2019. gada 29. novembrim elektroniski nosūtīt ministriju un iestāžu iekšējā audita struktūrvienībām audita apjomu un ieteicamos principus fizisko personu datu aizsardzības iekšējā audita iekļaušanai iekšējā audita stratēģiskajā un gada plānā, kā arī līdz 2020. gada 15.</w:t>
            </w:r>
            <w:r w:rsidR="004D4786" w:rsidRPr="000977B0">
              <w:rPr>
                <w:rFonts w:eastAsia="Calibri"/>
                <w:sz w:val="22"/>
                <w:szCs w:val="22"/>
                <w:lang w:eastAsia="en-US"/>
              </w:rPr>
              <w:t> </w:t>
            </w:r>
            <w:r w:rsidR="00BB157C" w:rsidRPr="000977B0">
              <w:rPr>
                <w:rFonts w:eastAsia="Calibri"/>
                <w:sz w:val="22"/>
                <w:szCs w:val="22"/>
                <w:lang w:eastAsia="en-US"/>
              </w:rPr>
              <w:t xml:space="preserve">februārim elektroniski nosūtīt fizisko personu datu aizsardzības iekšējā audita vadlīnijas (turpmāk - vadlīnijas). Vadlīnijās iekļaut pārskata struktūru, kādā sniedzama informācija </w:t>
            </w:r>
            <w:r w:rsidR="00BB157C" w:rsidRPr="000977B0">
              <w:rPr>
                <w:rFonts w:eastAsia="Calibri"/>
                <w:sz w:val="22"/>
                <w:szCs w:val="22"/>
                <w:lang w:eastAsia="en-US"/>
              </w:rPr>
              <w:lastRenderedPageBreak/>
              <w:t>par šā rīkojuma 1. punktā minētā uzdevuma izpildi.</w:t>
            </w:r>
            <w:r w:rsidRPr="000977B0">
              <w:rPr>
                <w:rFonts w:eastAsia="Calibri"/>
                <w:sz w:val="22"/>
                <w:szCs w:val="22"/>
                <w:lang w:eastAsia="en-US"/>
              </w:rPr>
              <w:t xml:space="preserve"> </w:t>
            </w:r>
          </w:p>
          <w:p w:rsidR="0069012F" w:rsidRDefault="0069012F" w:rsidP="001A050D">
            <w:pPr>
              <w:pStyle w:val="naisc"/>
              <w:ind w:firstLine="12"/>
              <w:jc w:val="both"/>
              <w:rPr>
                <w:rFonts w:eastAsia="Calibri"/>
                <w:sz w:val="22"/>
                <w:szCs w:val="22"/>
                <w:lang w:eastAsia="en-US"/>
              </w:rPr>
            </w:pPr>
          </w:p>
          <w:p w:rsidR="00D20603" w:rsidRPr="000977B0" w:rsidRDefault="00D20603" w:rsidP="001A050D">
            <w:pPr>
              <w:pStyle w:val="naisc"/>
              <w:ind w:firstLine="12"/>
              <w:jc w:val="both"/>
              <w:rPr>
                <w:rFonts w:eastAsia="Calibri"/>
                <w:sz w:val="22"/>
                <w:szCs w:val="22"/>
                <w:lang w:eastAsia="en-US"/>
              </w:rPr>
            </w:pPr>
            <w:r w:rsidRPr="000977B0">
              <w:rPr>
                <w:rFonts w:eastAsia="Calibri"/>
                <w:sz w:val="22"/>
                <w:szCs w:val="22"/>
                <w:lang w:eastAsia="en-US"/>
              </w:rPr>
              <w:t>No rīkojuma projekta 3.punkta izdalīts atsevišķs punkts, tas ir 4.punkts, kas izteikts šādā redakcijā:</w:t>
            </w:r>
          </w:p>
          <w:p w:rsidR="003D6D84" w:rsidRPr="000977B0" w:rsidRDefault="003D6D84" w:rsidP="0020489E">
            <w:pPr>
              <w:jc w:val="both"/>
              <w:rPr>
                <w:rFonts w:eastAsia="Calibri"/>
                <w:sz w:val="22"/>
                <w:szCs w:val="22"/>
                <w:lang w:eastAsia="en-US"/>
              </w:rPr>
            </w:pPr>
            <w:r w:rsidRPr="000977B0">
              <w:rPr>
                <w:rFonts w:eastAsia="Calibri"/>
                <w:sz w:val="22"/>
                <w:szCs w:val="22"/>
                <w:lang w:eastAsia="en-US"/>
              </w:rPr>
              <w:t xml:space="preserve">4. Finanšu ministrijai izstrādāt un līdz 2020.gada 15.janvārim elektroniski nosūtīt ministriju un iestāžu iekšējā audita struktūrvienībām pārskata struktūru, kādā sniedzama informācija par šā rīkojuma 3. punktā minēto uzdevumu izpildi. </w:t>
            </w:r>
          </w:p>
          <w:p w:rsidR="00AA12AE" w:rsidRPr="000977B0" w:rsidRDefault="00AA12AE" w:rsidP="0020489E">
            <w:pPr>
              <w:jc w:val="both"/>
              <w:rPr>
                <w:rFonts w:eastAsia="Calibri"/>
                <w:sz w:val="22"/>
                <w:szCs w:val="22"/>
                <w:lang w:eastAsia="en-US"/>
              </w:rPr>
            </w:pPr>
          </w:p>
          <w:p w:rsidR="00AA12AE" w:rsidRPr="000977B0" w:rsidRDefault="00AA12AE" w:rsidP="00AA12AE">
            <w:pPr>
              <w:pStyle w:val="naisc"/>
              <w:ind w:firstLine="12"/>
              <w:jc w:val="both"/>
              <w:rPr>
                <w:rFonts w:eastAsia="Calibri"/>
                <w:sz w:val="22"/>
                <w:szCs w:val="22"/>
                <w:lang w:eastAsia="en-US"/>
              </w:rPr>
            </w:pPr>
            <w:r w:rsidRPr="000977B0">
              <w:rPr>
                <w:rFonts w:eastAsia="Calibri"/>
                <w:sz w:val="22"/>
                <w:szCs w:val="22"/>
                <w:lang w:eastAsia="en-US"/>
              </w:rPr>
              <w:t>Rīkojuma projekta 4.punktam nomainīta numerācija, tas ir 5.punkts, kas izteikts šādā redakcijā:</w:t>
            </w:r>
          </w:p>
          <w:p w:rsidR="00AA12AE" w:rsidRPr="000977B0" w:rsidRDefault="00AA12AE" w:rsidP="00AA12AE">
            <w:pPr>
              <w:pStyle w:val="naisc"/>
              <w:ind w:firstLine="12"/>
              <w:jc w:val="both"/>
              <w:rPr>
                <w:rFonts w:eastAsia="Calibri"/>
                <w:sz w:val="22"/>
                <w:szCs w:val="22"/>
                <w:lang w:eastAsia="en-US"/>
              </w:rPr>
            </w:pPr>
            <w:r w:rsidRPr="000977B0">
              <w:rPr>
                <w:rFonts w:eastAsia="Calibri"/>
                <w:sz w:val="22"/>
                <w:szCs w:val="22"/>
                <w:lang w:eastAsia="en-US"/>
              </w:rPr>
              <w:t xml:space="preserve">5. Ministriju un iestāžu iekšējā audita struktūrvienībām līdz 2021. gada 1.martam iesniegt Finanšu ministrijā pārskatu par šā rīkojuma 1. punkta izpildi, kas sagatavots atbilstoši vadlīnijās noteiktajai struktūrai. Nepieciešamības gadījumā Finanšu ministrijai ir tiesības pieprasīt no iekšējā audita struktūrvienības fizisko personu datu aizsardzības iekšējā audita ziņojumu un ieteikumu ieviešanas grafiku pilnvērtīgai informācijas apkopošanai. Pārskatā par iekšējā audita struktūrvienības darbību 2020. gadā iekļaut pārskatu par šā rīkojuma 3. </w:t>
            </w:r>
            <w:r w:rsidRPr="000977B0">
              <w:rPr>
                <w:rFonts w:eastAsia="Calibri"/>
                <w:sz w:val="22"/>
                <w:szCs w:val="22"/>
                <w:lang w:eastAsia="en-US"/>
              </w:rPr>
              <w:lastRenderedPageBreak/>
              <w:t>punkta izpildi (atbilstoši 4.punktā noteiktajai pārskata struktūrai).</w:t>
            </w:r>
          </w:p>
          <w:p w:rsidR="003D556B" w:rsidRPr="000977B0" w:rsidRDefault="003D556B" w:rsidP="00AA12AE">
            <w:pPr>
              <w:pStyle w:val="naisc"/>
              <w:ind w:firstLine="12"/>
              <w:jc w:val="both"/>
              <w:rPr>
                <w:rFonts w:eastAsia="Calibri"/>
                <w:sz w:val="22"/>
                <w:szCs w:val="22"/>
                <w:lang w:eastAsia="en-US"/>
              </w:rPr>
            </w:pPr>
          </w:p>
          <w:p w:rsidR="003D556B" w:rsidRPr="000977B0" w:rsidRDefault="003D556B" w:rsidP="003D556B">
            <w:pPr>
              <w:rPr>
                <w:sz w:val="22"/>
                <w:szCs w:val="22"/>
              </w:rPr>
            </w:pPr>
            <w:r w:rsidRPr="000977B0">
              <w:rPr>
                <w:sz w:val="22"/>
                <w:szCs w:val="22"/>
              </w:rPr>
              <w:t>Rīkojuma projekta 5. punktam nomainīta numerācija un tas ir 6.punkts.</w:t>
            </w:r>
          </w:p>
          <w:p w:rsidR="00DF5CDB" w:rsidRPr="000977B0" w:rsidRDefault="00DF5CDB" w:rsidP="003D556B">
            <w:pPr>
              <w:pStyle w:val="naisc"/>
              <w:ind w:firstLine="12"/>
              <w:jc w:val="both"/>
              <w:rPr>
                <w:rFonts w:eastAsia="Calibri"/>
                <w:sz w:val="22"/>
                <w:szCs w:val="22"/>
                <w:lang w:eastAsia="en-US"/>
              </w:rPr>
            </w:pPr>
          </w:p>
          <w:p w:rsidR="003D556B" w:rsidRPr="000977B0" w:rsidRDefault="003D556B" w:rsidP="003D556B">
            <w:pPr>
              <w:pStyle w:val="naisc"/>
              <w:ind w:firstLine="12"/>
              <w:jc w:val="both"/>
              <w:rPr>
                <w:rFonts w:eastAsia="Calibri"/>
                <w:sz w:val="22"/>
                <w:szCs w:val="22"/>
                <w:lang w:eastAsia="en-US"/>
              </w:rPr>
            </w:pPr>
            <w:r w:rsidRPr="000977B0">
              <w:rPr>
                <w:rFonts w:eastAsia="Calibri"/>
                <w:sz w:val="22"/>
                <w:szCs w:val="22"/>
                <w:lang w:eastAsia="en-US"/>
              </w:rPr>
              <w:t>Rīkojuma projekta 6.punktam nomainīta numerācija, tas ir 7.punkts, kas izteikts šādā redakcijā:</w:t>
            </w:r>
          </w:p>
          <w:p w:rsidR="003D556B" w:rsidRPr="000977B0" w:rsidRDefault="003D556B" w:rsidP="003D556B">
            <w:pPr>
              <w:pStyle w:val="naisc"/>
              <w:ind w:firstLine="12"/>
              <w:jc w:val="both"/>
              <w:rPr>
                <w:rFonts w:eastAsia="Calibri"/>
                <w:sz w:val="22"/>
                <w:szCs w:val="22"/>
                <w:lang w:eastAsia="en-US"/>
              </w:rPr>
            </w:pPr>
            <w:r w:rsidRPr="000977B0">
              <w:rPr>
                <w:rFonts w:eastAsia="Calibri"/>
                <w:sz w:val="22"/>
                <w:szCs w:val="22"/>
                <w:lang w:eastAsia="en-US"/>
              </w:rPr>
              <w:t>Finanšu ministrijai informatīvajā ziņojumā par ministriju un iestāžu iekšējā audita struktūrvienību darbību 2020. gadā iekļaut informāciju par šā rīkojuma 1. un 3. punktā minēto uzdevumu izpildi.</w:t>
            </w:r>
          </w:p>
          <w:p w:rsidR="003D556B" w:rsidRPr="000977B0" w:rsidRDefault="003D556B" w:rsidP="00AA12AE">
            <w:pPr>
              <w:pStyle w:val="naisc"/>
              <w:ind w:firstLine="12"/>
              <w:jc w:val="both"/>
              <w:rPr>
                <w:rFonts w:eastAsia="Calibri"/>
                <w:sz w:val="22"/>
                <w:szCs w:val="22"/>
                <w:lang w:eastAsia="en-US"/>
              </w:rPr>
            </w:pPr>
          </w:p>
          <w:p w:rsidR="00AA12AE" w:rsidRPr="000977B0" w:rsidRDefault="00AA12AE" w:rsidP="0020489E">
            <w:pPr>
              <w:jc w:val="both"/>
              <w:rPr>
                <w:rFonts w:eastAsia="Calibri"/>
                <w:sz w:val="22"/>
                <w:szCs w:val="22"/>
                <w:lang w:eastAsia="en-US"/>
              </w:rPr>
            </w:pPr>
          </w:p>
          <w:p w:rsidR="003D6D84" w:rsidRPr="000977B0" w:rsidRDefault="003D6D84" w:rsidP="001A050D">
            <w:pPr>
              <w:pStyle w:val="naisc"/>
              <w:ind w:firstLine="12"/>
              <w:jc w:val="both"/>
              <w:rPr>
                <w:rFonts w:eastAsia="Calibri"/>
                <w:sz w:val="22"/>
                <w:szCs w:val="22"/>
                <w:lang w:eastAsia="en-US"/>
              </w:rPr>
            </w:pPr>
          </w:p>
          <w:p w:rsidR="00D20603" w:rsidRPr="000977B0" w:rsidRDefault="00D20603" w:rsidP="001A050D">
            <w:pPr>
              <w:pStyle w:val="naisc"/>
              <w:ind w:firstLine="12"/>
              <w:jc w:val="both"/>
              <w:rPr>
                <w:rFonts w:eastAsia="Calibri"/>
                <w:sz w:val="22"/>
                <w:szCs w:val="22"/>
                <w:lang w:eastAsia="en-US"/>
              </w:rPr>
            </w:pPr>
          </w:p>
          <w:p w:rsidR="001A050D" w:rsidRPr="000977B0" w:rsidRDefault="001A050D" w:rsidP="008870C4">
            <w:pPr>
              <w:pStyle w:val="naisc"/>
              <w:ind w:firstLine="12"/>
              <w:jc w:val="both"/>
              <w:rPr>
                <w:rFonts w:eastAsia="Calibri"/>
                <w:sz w:val="22"/>
                <w:szCs w:val="22"/>
                <w:lang w:eastAsia="en-US"/>
              </w:rPr>
            </w:pPr>
          </w:p>
          <w:p w:rsidR="00C7579F" w:rsidRPr="000977B0" w:rsidRDefault="00C7579F" w:rsidP="000361CD">
            <w:pPr>
              <w:jc w:val="both"/>
              <w:rPr>
                <w:sz w:val="22"/>
                <w:szCs w:val="22"/>
              </w:rPr>
            </w:pPr>
          </w:p>
          <w:p w:rsidR="00C7579F" w:rsidRPr="000977B0" w:rsidRDefault="00C7579F" w:rsidP="000361CD">
            <w:pPr>
              <w:jc w:val="both"/>
              <w:rPr>
                <w:sz w:val="22"/>
                <w:szCs w:val="22"/>
              </w:rPr>
            </w:pPr>
          </w:p>
        </w:tc>
      </w:tr>
      <w:tr w:rsidR="00845A70" w:rsidRPr="005C7AB2" w:rsidTr="00E019E7">
        <w:trPr>
          <w:gridBefore w:val="1"/>
          <w:wBefore w:w="96" w:type="dxa"/>
        </w:trPr>
        <w:tc>
          <w:tcPr>
            <w:tcW w:w="567" w:type="dxa"/>
            <w:tcBorders>
              <w:top w:val="single" w:sz="6" w:space="0" w:color="000000"/>
              <w:left w:val="single" w:sz="6" w:space="0" w:color="000000"/>
              <w:bottom w:val="single" w:sz="6" w:space="0" w:color="000000"/>
              <w:right w:val="single" w:sz="6" w:space="0" w:color="000000"/>
            </w:tcBorders>
          </w:tcPr>
          <w:p w:rsidR="00845A70" w:rsidRPr="005C7AB2" w:rsidRDefault="00047520" w:rsidP="00C13E3D">
            <w:pPr>
              <w:pStyle w:val="naisc"/>
              <w:numPr>
                <w:ilvl w:val="0"/>
                <w:numId w:val="37"/>
              </w:numPr>
              <w:spacing w:before="0" w:after="0"/>
              <w:ind w:left="-246"/>
              <w:jc w:val="left"/>
              <w:rPr>
                <w:sz w:val="22"/>
                <w:szCs w:val="22"/>
              </w:rPr>
            </w:pPr>
            <w:r>
              <w:rPr>
                <w:sz w:val="22"/>
                <w:szCs w:val="22"/>
              </w:rPr>
              <w:lastRenderedPageBreak/>
              <w:t>2</w:t>
            </w:r>
            <w:r w:rsidR="00650DA2">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rsidR="00845A70" w:rsidRPr="000977B0" w:rsidRDefault="00845A70" w:rsidP="009461EA">
            <w:pPr>
              <w:pStyle w:val="naisc"/>
              <w:spacing w:before="0" w:after="0"/>
              <w:jc w:val="both"/>
              <w:rPr>
                <w:sz w:val="22"/>
                <w:szCs w:val="22"/>
                <w:u w:val="single"/>
              </w:rPr>
            </w:pPr>
            <w:r w:rsidRPr="000977B0">
              <w:rPr>
                <w:sz w:val="22"/>
                <w:szCs w:val="22"/>
                <w:u w:val="single"/>
              </w:rPr>
              <w:t>Rīkojuma projekta 3.punkts:</w:t>
            </w:r>
          </w:p>
          <w:p w:rsidR="00845A70" w:rsidRPr="000977B0" w:rsidRDefault="00845A70" w:rsidP="009461EA">
            <w:pPr>
              <w:jc w:val="both"/>
              <w:rPr>
                <w:sz w:val="22"/>
                <w:szCs w:val="22"/>
              </w:rPr>
            </w:pPr>
            <w:r w:rsidRPr="000977B0">
              <w:rPr>
                <w:sz w:val="22"/>
                <w:szCs w:val="22"/>
              </w:rPr>
              <w:t>Finanšu ministrijai sadarbībā ar Tieslietu ministriju un Datu valsts inspekciju izstrādāt un līdz 2019.gada 29.novembrim elektroniski nosūtīt ministriju un iestāžu iekšējā audita struktūrvienībām audita apjomu un ieteicamos principus fizisko personu datu aizsardzības iekšējā audita iekļaušanai iekšējā audita stratēģiskajā un gada plānā, kā arī līdz 2020. gada 15. janvārim elektroniski nosūtīt fizisko personu datu aizsardzības iekšējā audita vadlīnijas (turpmāk - vadlīnijas). Vadlīnijās iekļaut pārskata struktūru, kādā sniedzama informācija par šā rīkojuma 1. un 2. punktā minēto uzdevumu izpildi.</w:t>
            </w:r>
          </w:p>
          <w:p w:rsidR="009C5720" w:rsidRPr="000977B0" w:rsidRDefault="009C5720" w:rsidP="009461EA">
            <w:pPr>
              <w:jc w:val="both"/>
              <w:rPr>
                <w:sz w:val="22"/>
                <w:szCs w:val="22"/>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9C5720" w:rsidRPr="000977B0" w:rsidRDefault="009C5720" w:rsidP="009C5720">
            <w:pPr>
              <w:pStyle w:val="naisc"/>
              <w:jc w:val="both"/>
              <w:rPr>
                <w:sz w:val="22"/>
                <w:szCs w:val="22"/>
                <w:u w:val="single"/>
              </w:rPr>
            </w:pPr>
          </w:p>
          <w:p w:rsidR="00BD4B7C" w:rsidRPr="000977B0" w:rsidRDefault="00BD4B7C" w:rsidP="009C5720">
            <w:pPr>
              <w:pStyle w:val="naisc"/>
              <w:jc w:val="both"/>
              <w:rPr>
                <w:sz w:val="22"/>
                <w:szCs w:val="22"/>
                <w:u w:val="single"/>
              </w:rPr>
            </w:pPr>
          </w:p>
          <w:p w:rsidR="000A5210" w:rsidRPr="000977B0" w:rsidRDefault="000A5210" w:rsidP="009C5720">
            <w:pPr>
              <w:pStyle w:val="naisc"/>
              <w:jc w:val="both"/>
              <w:rPr>
                <w:sz w:val="22"/>
                <w:szCs w:val="22"/>
                <w:u w:val="single"/>
              </w:rPr>
            </w:pPr>
          </w:p>
          <w:p w:rsidR="009C5720" w:rsidRPr="000977B0" w:rsidRDefault="009C5720" w:rsidP="009C5720">
            <w:pPr>
              <w:pStyle w:val="naisc"/>
              <w:jc w:val="both"/>
              <w:rPr>
                <w:sz w:val="22"/>
                <w:szCs w:val="22"/>
                <w:u w:val="single"/>
              </w:rPr>
            </w:pPr>
            <w:r w:rsidRPr="000977B0">
              <w:rPr>
                <w:sz w:val="22"/>
                <w:szCs w:val="22"/>
                <w:u w:val="single"/>
              </w:rPr>
              <w:t>Anotācijas 1.sadaļas 2.punkta “Prioritārā audita vadlīniju izstrāde (atbildīgie un termiņi)” 1.rindkopa</w:t>
            </w:r>
          </w:p>
          <w:p w:rsidR="009C5720" w:rsidRPr="000977B0" w:rsidRDefault="009C5720" w:rsidP="009C5720">
            <w:pPr>
              <w:pStyle w:val="naisc"/>
              <w:jc w:val="both"/>
              <w:rPr>
                <w:sz w:val="22"/>
                <w:szCs w:val="22"/>
              </w:rPr>
            </w:pPr>
            <w:r w:rsidRPr="000977B0">
              <w:rPr>
                <w:sz w:val="22"/>
                <w:szCs w:val="22"/>
              </w:rPr>
              <w:t xml:space="preserve">Lai nodrošinātu iekšējā audita struktūrvienību vienotu izpratni par prioritārā audita veikšanu, rīkojuma projekts paredz uzdevumu Finanšu ministrijai sadarbībā ar Tieslietu ministriju un Datu valsts inspekciju izstrādāt un līdz 2019.gada 29.novembrim elektroniski nosūtīt ministriju un iestāžu iekšējā audita </w:t>
            </w:r>
            <w:r w:rsidRPr="000977B0">
              <w:rPr>
                <w:sz w:val="22"/>
                <w:szCs w:val="22"/>
              </w:rPr>
              <w:lastRenderedPageBreak/>
              <w:t>struktūrvienībām audita apjomu un ieteicamos principus fizisko personu datu aizsardzības iekšējā audita iekļaušanai iekšējā audita stratēģiskajā un gada plānā, kā arī līdz 2020. gada 15. janvārim elektroniski nosūtīt fizisko personu datu aizsardzības  iekšējā audita vadlīnijas (turpmāk – vadlīnijas).</w:t>
            </w:r>
          </w:p>
          <w:p w:rsidR="009C5720" w:rsidRPr="000977B0" w:rsidRDefault="009C5720" w:rsidP="009C5720">
            <w:pPr>
              <w:pStyle w:val="naisc"/>
              <w:jc w:val="both"/>
              <w:rPr>
                <w:sz w:val="22"/>
                <w:szCs w:val="22"/>
              </w:rPr>
            </w:pPr>
          </w:p>
          <w:p w:rsidR="009C5720" w:rsidRPr="000977B0" w:rsidRDefault="009C5720" w:rsidP="009C5720">
            <w:pPr>
              <w:pStyle w:val="naisc"/>
              <w:jc w:val="both"/>
              <w:rPr>
                <w:sz w:val="22"/>
                <w:szCs w:val="22"/>
                <w:u w:val="single"/>
              </w:rPr>
            </w:pPr>
            <w:r w:rsidRPr="000977B0">
              <w:rPr>
                <w:sz w:val="22"/>
                <w:szCs w:val="22"/>
                <w:u w:val="single"/>
              </w:rPr>
              <w:t>Anotācijas 1.sadaļas 2.punkta “Prioritārā audita vadlīniju izstrāde (atbildīgie un termiņi)” 2.rindkopa</w:t>
            </w:r>
          </w:p>
          <w:p w:rsidR="009C5720" w:rsidRPr="000977B0" w:rsidRDefault="009C5720" w:rsidP="009C5720">
            <w:pPr>
              <w:pStyle w:val="naisc"/>
              <w:jc w:val="both"/>
              <w:rPr>
                <w:sz w:val="22"/>
                <w:szCs w:val="22"/>
              </w:rPr>
            </w:pPr>
            <w:r w:rsidRPr="000977B0">
              <w:rPr>
                <w:sz w:val="22"/>
                <w:szCs w:val="22"/>
              </w:rPr>
              <w:t xml:space="preserve">Tā kā atbilstoši Ministru kabineta 2013.gada 9.jūlija noteikumu Nr.385 “Iekšējā audita veikšanas un novērtēšanas kārtība” (turpmāk – MK noteikumi Nr.385) 43.punktam iekšējā audita stratēģiskais un gada plāns apstiprināms līdz kārtējā gada 15.decembrim, plānots, ka Finanšu ministrija sadarbībā ar Tieslietu ministriju un Datu valsts inspekciju līdz 2019.gada 29.novembrim definēs audita apjomu un izstrādās ieteicamos principus Ministru kabineta prioritārā audita 2020.gadam iekļaušanai </w:t>
            </w:r>
            <w:r w:rsidRPr="000977B0">
              <w:rPr>
                <w:sz w:val="22"/>
                <w:szCs w:val="22"/>
              </w:rPr>
              <w:lastRenderedPageBreak/>
              <w:t>iekšējā audita stratēģiskajā un gada plānā. Ņemot vērā, ka fizisko personu datu apstrāde ir saistīta ar ministrijas vai iestādes pamatdarbības jomām, ministriju un iestāžu iekšējā audita struktūrvienības prioritāro auditu var integrēt plānotajos pamatdarbības sistēmas auditos vai arī plānot kā atsevišķu prioritāro auditu.</w:t>
            </w:r>
          </w:p>
          <w:p w:rsidR="009C5720" w:rsidRPr="000977B0" w:rsidRDefault="009C5720" w:rsidP="009C5720">
            <w:pPr>
              <w:pStyle w:val="naisc"/>
              <w:jc w:val="both"/>
              <w:rPr>
                <w:sz w:val="22"/>
                <w:szCs w:val="22"/>
              </w:rPr>
            </w:pPr>
          </w:p>
          <w:p w:rsidR="009C5720" w:rsidRPr="000977B0" w:rsidRDefault="009C5720" w:rsidP="009C5720">
            <w:pPr>
              <w:pStyle w:val="naisc"/>
              <w:jc w:val="both"/>
              <w:rPr>
                <w:sz w:val="22"/>
                <w:szCs w:val="22"/>
                <w:u w:val="single"/>
              </w:rPr>
            </w:pPr>
            <w:r w:rsidRPr="000977B0">
              <w:rPr>
                <w:sz w:val="22"/>
                <w:szCs w:val="22"/>
                <w:u w:val="single"/>
              </w:rPr>
              <w:t>Anotācijas 1.sadaļas 2.punkta “Prioritārā audita vadlīniju izstrāde (atbildīgie un termiņi)” 3.rindkopa</w:t>
            </w:r>
          </w:p>
          <w:p w:rsidR="00845A70" w:rsidRPr="000977B0" w:rsidRDefault="009C5720" w:rsidP="009C5720">
            <w:pPr>
              <w:pStyle w:val="naisc"/>
              <w:jc w:val="both"/>
              <w:rPr>
                <w:sz w:val="22"/>
                <w:szCs w:val="22"/>
              </w:rPr>
            </w:pPr>
            <w:r w:rsidRPr="000977B0">
              <w:rPr>
                <w:sz w:val="22"/>
                <w:szCs w:val="22"/>
              </w:rPr>
              <w:t xml:space="preserve">Saskaņā ar Iekšējā audita likuma 10.panta otrās daļas 6.punktā noteikto, Finanšu ministrija ir atbildīga par vadlīniju izstrādi. Vadlīniju izstrādē tiks iesaistīti Tieslietu ministrijas un Datu valsts inspekcijas pārstāvji viņiem pieejamo resursu ietvaros. Lai vadlīnijas piemērotu praktiskai audita veikšanai, Finanšu ministrija piešķirtā valsts budžeta ietvaros organizēs arī citu ekspertu (piem., no Iekšējā audita padomes) piesaisti vadlīniju izstrādē un novērtēšanā. Vadlīniju izstrādē </w:t>
            </w:r>
            <w:r w:rsidRPr="000977B0">
              <w:rPr>
                <w:sz w:val="22"/>
                <w:szCs w:val="22"/>
              </w:rPr>
              <w:lastRenderedPageBreak/>
              <w:t>ir aicināti piedalīties arī valsts pārvaldes iekšējie auditori.</w:t>
            </w:r>
          </w:p>
        </w:tc>
        <w:tc>
          <w:tcPr>
            <w:tcW w:w="3260" w:type="dxa"/>
            <w:tcBorders>
              <w:top w:val="single" w:sz="6" w:space="0" w:color="000000"/>
              <w:left w:val="single" w:sz="6" w:space="0" w:color="000000"/>
              <w:bottom w:val="single" w:sz="6" w:space="0" w:color="000000"/>
              <w:right w:val="single" w:sz="6" w:space="0" w:color="000000"/>
            </w:tcBorders>
          </w:tcPr>
          <w:p w:rsidR="00845A70" w:rsidRPr="000977B0" w:rsidRDefault="00845A70" w:rsidP="008273D6">
            <w:pPr>
              <w:widowControl w:val="0"/>
              <w:jc w:val="both"/>
              <w:rPr>
                <w:rFonts w:eastAsia="Calibri"/>
                <w:b/>
                <w:sz w:val="22"/>
                <w:szCs w:val="22"/>
                <w:lang w:eastAsia="en-US"/>
              </w:rPr>
            </w:pPr>
            <w:r w:rsidRPr="000977B0">
              <w:rPr>
                <w:rFonts w:eastAsia="Calibri"/>
                <w:b/>
                <w:sz w:val="22"/>
                <w:szCs w:val="22"/>
                <w:lang w:eastAsia="en-US"/>
              </w:rPr>
              <w:lastRenderedPageBreak/>
              <w:t>Datu valsts inspekcija:</w:t>
            </w:r>
          </w:p>
          <w:p w:rsidR="00370AF7" w:rsidRPr="000977B0" w:rsidRDefault="00370AF7" w:rsidP="002B45A6">
            <w:pPr>
              <w:jc w:val="both"/>
              <w:rPr>
                <w:sz w:val="22"/>
                <w:szCs w:val="22"/>
              </w:rPr>
            </w:pPr>
            <w:r w:rsidRPr="000977B0">
              <w:rPr>
                <w:sz w:val="22"/>
                <w:szCs w:val="22"/>
              </w:rPr>
              <w:t>Rīkojuma projekta 3.punkts šobrīd paredz Finanšu ministrijai sadarbībā ar Tieslietu ministriju un Datu valsts inspekciju izstrādāt un līdz 2019.gada 29.novembrim elektroniski nosūtīt ministriju un iestāžu iekšējā audita struktūrvienībām audita apjomu un ieteicamos principus fizisko personu datu aizsardzības iekšējā audita iekļaušanai iekšējā audita stratēģiskajā un gada plānā, kā arī līdz 2020.gada 15.janvārim elektroniski nosūtīt fizisko personu datu aizsardzības iekšējā audita vadlīnijas (turpmāk – vadlīnijas). Vadlīnijās iekļaut pārskata struktūru, kādā sniedzama informācija par šā rīkojuma 1. un 2.punktā minēto uzdevumu izpildi.</w:t>
            </w:r>
          </w:p>
          <w:p w:rsidR="00370AF7" w:rsidRPr="000977B0" w:rsidRDefault="00370AF7" w:rsidP="002B45A6">
            <w:pPr>
              <w:jc w:val="both"/>
              <w:rPr>
                <w:sz w:val="22"/>
                <w:szCs w:val="22"/>
              </w:rPr>
            </w:pPr>
            <w:r w:rsidRPr="000977B0">
              <w:rPr>
                <w:sz w:val="22"/>
                <w:szCs w:val="22"/>
              </w:rPr>
              <w:t>Rīkojuma projekta anotācijas 4.lpp. norādīts, ka vadlīniju izstrādē tiks iesaistīti Tieslietu ministrijas un Datu valsts inspekcijas pārstāvji viņiem pieejamo resursu ietvaros.</w:t>
            </w:r>
          </w:p>
          <w:p w:rsidR="00370AF7" w:rsidRPr="000977B0" w:rsidRDefault="00370AF7" w:rsidP="002B45A6">
            <w:pPr>
              <w:jc w:val="both"/>
              <w:rPr>
                <w:sz w:val="22"/>
                <w:szCs w:val="22"/>
              </w:rPr>
            </w:pPr>
            <w:r w:rsidRPr="000977B0">
              <w:rPr>
                <w:sz w:val="22"/>
                <w:szCs w:val="22"/>
              </w:rPr>
              <w:lastRenderedPageBreak/>
              <w:t xml:space="preserve">Inspekcija vērš uzmanību uz Iekšējā audita likuma 10.panta otrās daļas 6.punktā noteikto, proti, ka Finanšu ministrija ir atbildīga par iekšējā audita metodikas vadlīniju izstrādi. </w:t>
            </w:r>
          </w:p>
          <w:p w:rsidR="00370AF7" w:rsidRPr="000977B0" w:rsidRDefault="00370AF7" w:rsidP="002B45A6">
            <w:pPr>
              <w:jc w:val="both"/>
              <w:rPr>
                <w:sz w:val="22"/>
                <w:szCs w:val="22"/>
              </w:rPr>
            </w:pPr>
            <w:r w:rsidRPr="000977B0">
              <w:rPr>
                <w:sz w:val="22"/>
                <w:szCs w:val="22"/>
              </w:rPr>
              <w:t xml:space="preserve">Ievērojot minēto, </w:t>
            </w:r>
            <w:r w:rsidRPr="000977B0">
              <w:rPr>
                <w:sz w:val="22"/>
                <w:szCs w:val="22"/>
                <w:u w:val="single"/>
              </w:rPr>
              <w:t>pienākums izstrādāt vadlīnijas ir saistošs Finanšu ministrijai, nevis Inspekcijai</w:t>
            </w:r>
            <w:r w:rsidRPr="000977B0">
              <w:rPr>
                <w:sz w:val="22"/>
                <w:szCs w:val="22"/>
              </w:rPr>
              <w:t>. Turklāt, ņemot vērā Inspekcijas kapacitātes (resursu) trūkumu, tai šobrīd nav iespēju pilnvērtīgi iesaistīties vadlīniju izstrādē.</w:t>
            </w:r>
          </w:p>
          <w:p w:rsidR="00370AF7" w:rsidRPr="000977B0" w:rsidRDefault="00370AF7" w:rsidP="002B45A6">
            <w:pPr>
              <w:jc w:val="both"/>
              <w:rPr>
                <w:sz w:val="22"/>
                <w:szCs w:val="22"/>
              </w:rPr>
            </w:pPr>
            <w:r w:rsidRPr="000977B0">
              <w:rPr>
                <w:sz w:val="22"/>
                <w:szCs w:val="22"/>
              </w:rPr>
              <w:t xml:space="preserve">Ņemot vērā minēto, Inspekcija lūdz precizēt rīkojuma projekta 3.punktu, kā arī anotācijas (4.lpp.) </w:t>
            </w:r>
            <w:r w:rsidRPr="000977B0">
              <w:rPr>
                <w:sz w:val="22"/>
                <w:szCs w:val="22"/>
                <w:u w:val="single"/>
              </w:rPr>
              <w:t>attiecībā par vadlīniju izstrādi</w:t>
            </w:r>
            <w:r w:rsidRPr="000977B0">
              <w:rPr>
                <w:sz w:val="22"/>
                <w:szCs w:val="22"/>
              </w:rPr>
              <w:t>, nosakot, ka vadlīnijas izstrādās tieši Finanšu ministrija.</w:t>
            </w:r>
          </w:p>
          <w:p w:rsidR="00845A70" w:rsidRPr="000977B0" w:rsidRDefault="00370AF7" w:rsidP="002B45A6">
            <w:pPr>
              <w:pStyle w:val="naisc"/>
              <w:spacing w:before="0" w:after="0"/>
              <w:jc w:val="both"/>
              <w:rPr>
                <w:b/>
                <w:sz w:val="22"/>
                <w:szCs w:val="22"/>
              </w:rPr>
            </w:pPr>
            <w:r w:rsidRPr="000977B0">
              <w:rPr>
                <w:sz w:val="22"/>
                <w:szCs w:val="22"/>
              </w:rPr>
              <w:t xml:space="preserve">Savukārt Inspekcija ir atvērta sadarbībai un gatava iesaistīties </w:t>
            </w:r>
            <w:r w:rsidRPr="000977B0">
              <w:rPr>
                <w:sz w:val="22"/>
                <w:szCs w:val="22"/>
                <w:u w:val="single"/>
              </w:rPr>
              <w:t>vadlīniju saskaņošanas procesā</w:t>
            </w:r>
            <w:r w:rsidRPr="000977B0">
              <w:rPr>
                <w:sz w:val="22"/>
                <w:szCs w:val="22"/>
              </w:rPr>
              <w:t>.</w:t>
            </w:r>
          </w:p>
        </w:tc>
        <w:tc>
          <w:tcPr>
            <w:tcW w:w="3828" w:type="dxa"/>
            <w:tcBorders>
              <w:top w:val="single" w:sz="6" w:space="0" w:color="000000"/>
              <w:left w:val="single" w:sz="6" w:space="0" w:color="000000"/>
              <w:bottom w:val="single" w:sz="6" w:space="0" w:color="000000"/>
              <w:right w:val="single" w:sz="6" w:space="0" w:color="000000"/>
            </w:tcBorders>
          </w:tcPr>
          <w:p w:rsidR="00845A70" w:rsidRPr="000977B0" w:rsidRDefault="00845A70" w:rsidP="00D20A72">
            <w:pPr>
              <w:ind w:firstLine="284"/>
              <w:jc w:val="center"/>
              <w:rPr>
                <w:b/>
                <w:sz w:val="22"/>
                <w:szCs w:val="22"/>
              </w:rPr>
            </w:pPr>
            <w:r w:rsidRPr="000977B0">
              <w:rPr>
                <w:b/>
                <w:sz w:val="22"/>
                <w:szCs w:val="22"/>
              </w:rPr>
              <w:lastRenderedPageBreak/>
              <w:t>Ņemts vērā</w:t>
            </w:r>
          </w:p>
          <w:p w:rsidR="00845A70" w:rsidRPr="000977B0" w:rsidRDefault="00845A70" w:rsidP="00604E7A">
            <w:pPr>
              <w:jc w:val="both"/>
              <w:rPr>
                <w:sz w:val="22"/>
                <w:szCs w:val="22"/>
              </w:rPr>
            </w:pPr>
            <w:r w:rsidRPr="000977B0">
              <w:rPr>
                <w:sz w:val="22"/>
                <w:szCs w:val="22"/>
              </w:rPr>
              <w:t>No rīkojuma projekta redakcijas svītrota Datu valsts inspekcija.</w:t>
            </w:r>
          </w:p>
          <w:p w:rsidR="00845A70" w:rsidRPr="000977B0" w:rsidRDefault="00845A70" w:rsidP="00607BE0">
            <w:pPr>
              <w:pStyle w:val="naisc"/>
              <w:spacing w:before="0" w:after="0"/>
              <w:ind w:left="3"/>
              <w:jc w:val="both"/>
              <w:rPr>
                <w:sz w:val="22"/>
                <w:szCs w:val="22"/>
              </w:rPr>
            </w:pPr>
            <w:r w:rsidRPr="000977B0">
              <w:rPr>
                <w:sz w:val="22"/>
                <w:szCs w:val="22"/>
              </w:rPr>
              <w:t>Pamatojoties uz Finanšu ministrijas iepriekšējo praksi prioritāro audita vadlīniju izstrādē (sākot ar 2010.gadu) tiesību akta projektā noteiktais vadlīniju izstrādes process un termiņi kopumā ir izpildāmi, ievērojot procesā iesaistīto pušu kapacitāti.</w:t>
            </w:r>
          </w:p>
          <w:p w:rsidR="00845A70" w:rsidRPr="000977B0" w:rsidRDefault="00845A70" w:rsidP="00607BE0">
            <w:pPr>
              <w:jc w:val="both"/>
              <w:rPr>
                <w:sz w:val="22"/>
                <w:szCs w:val="22"/>
              </w:rPr>
            </w:pPr>
            <w:r w:rsidRPr="000977B0">
              <w:rPr>
                <w:sz w:val="22"/>
                <w:szCs w:val="22"/>
              </w:rPr>
              <w:t>Kvalitatīvu vadlīniju izstrādei ir nepieciešama kompetentu iestāžu (Tieslietu ministrija un Datu valsts inspekcija) iesaiste vadlīniju plānošanas posmā</w:t>
            </w:r>
            <w:r w:rsidR="00E84116" w:rsidRPr="000977B0">
              <w:rPr>
                <w:sz w:val="22"/>
                <w:szCs w:val="22"/>
              </w:rPr>
              <w:t xml:space="preserve"> (audita mērķa</w:t>
            </w:r>
            <w:r w:rsidRPr="000977B0">
              <w:rPr>
                <w:sz w:val="22"/>
                <w:szCs w:val="22"/>
              </w:rPr>
              <w:t xml:space="preserve"> un apjoma noteikšanai), metodikas, kas tiks izmantota par pamatu vadlīniju izstrādei, atlasē un sākotnējo darba dokumentu definēšanā. </w:t>
            </w:r>
          </w:p>
          <w:p w:rsidR="00845A70" w:rsidRPr="000977B0" w:rsidRDefault="00845A70" w:rsidP="00607BE0">
            <w:pPr>
              <w:jc w:val="both"/>
              <w:rPr>
                <w:sz w:val="22"/>
                <w:szCs w:val="22"/>
              </w:rPr>
            </w:pPr>
            <w:r w:rsidRPr="000977B0">
              <w:rPr>
                <w:sz w:val="22"/>
                <w:szCs w:val="22"/>
              </w:rPr>
              <w:t xml:space="preserve">Ņemot vērā, ka 2019.gada 5.augustā stājās spēkā likums “Par fizisko personu datu apstrādi kriminālprocesā un administratīvā pārkāpuma procesā”, kurā transponētas Eiropas Parlamenta un Padomes direktīva (ES) 2016/680 (2016. gada 27. aprīlis) par fizisku personu aizsardzību attiecībā uz personas datu apstrādi, ko veic kompetentās iestādes, lai novērstu, izmeklētu, atklātu </w:t>
            </w:r>
            <w:r w:rsidRPr="000977B0">
              <w:rPr>
                <w:sz w:val="22"/>
                <w:szCs w:val="22"/>
              </w:rPr>
              <w:lastRenderedPageBreak/>
              <w:t xml:space="preserve">noziedzīgus nodarījumus vai sauktu pie atbildības par tiem vai izpildītu kriminālsodus, un par šādu datu brīvu apriti, ar ko atceļ Padomes Pamatlēmumu 2008/977/TI, īpaši ir nozīmīga (aktuāla) Tieslietu ministrijas un Datu valsts inspekcijas ekspertu piesaiste vadlīniju izstrādes procesā.  </w:t>
            </w:r>
          </w:p>
          <w:p w:rsidR="00845A70" w:rsidRPr="000977B0" w:rsidRDefault="00845A70" w:rsidP="00604E7A">
            <w:pPr>
              <w:jc w:val="both"/>
              <w:rPr>
                <w:sz w:val="22"/>
                <w:szCs w:val="22"/>
              </w:rPr>
            </w:pPr>
            <w:r w:rsidRPr="000977B0">
              <w:rPr>
                <w:sz w:val="22"/>
                <w:szCs w:val="22"/>
              </w:rPr>
              <w:t>Finanšu ministrija ir pateicīga Datu valsts inspekcijai par atsaucību un izrādīto atbalstu vadlīniju saskaņošanas procesā. Datu valsts inspekcija ir aicināta rast iespēju pieš</w:t>
            </w:r>
            <w:r w:rsidR="00E84116" w:rsidRPr="000977B0">
              <w:rPr>
                <w:sz w:val="22"/>
                <w:szCs w:val="22"/>
              </w:rPr>
              <w:t>ķirt resursus vadlīniju izstrāde</w:t>
            </w:r>
            <w:r w:rsidRPr="000977B0">
              <w:rPr>
                <w:sz w:val="22"/>
                <w:szCs w:val="22"/>
              </w:rPr>
              <w:t>s sākotnējā posmā (audita mērķis un apjoma noteikšanai), metodikas, kas tiks izmantota par pamatu vadlīniju izstrādei, atlasē un sākotnējo darba dokumentu definēšanā).</w:t>
            </w:r>
          </w:p>
          <w:p w:rsidR="009C5720" w:rsidRPr="000977B0" w:rsidRDefault="009C5720" w:rsidP="00604E7A">
            <w:pPr>
              <w:jc w:val="both"/>
              <w:rPr>
                <w:sz w:val="22"/>
                <w:szCs w:val="22"/>
              </w:rPr>
            </w:pPr>
          </w:p>
          <w:p w:rsidR="009C5720" w:rsidRPr="000977B0" w:rsidRDefault="009C5720" w:rsidP="009C5720">
            <w:pPr>
              <w:ind w:firstLine="284"/>
              <w:jc w:val="center"/>
              <w:rPr>
                <w:b/>
                <w:sz w:val="22"/>
                <w:szCs w:val="22"/>
              </w:rPr>
            </w:pPr>
            <w:r w:rsidRPr="000977B0">
              <w:rPr>
                <w:b/>
                <w:sz w:val="22"/>
                <w:szCs w:val="22"/>
              </w:rPr>
              <w:t>Ņemts vērā</w:t>
            </w:r>
          </w:p>
          <w:p w:rsidR="009C5720" w:rsidRPr="000977B0" w:rsidRDefault="009A3642" w:rsidP="009C5720">
            <w:pPr>
              <w:jc w:val="both"/>
              <w:rPr>
                <w:sz w:val="22"/>
                <w:szCs w:val="22"/>
              </w:rPr>
            </w:pPr>
            <w:r w:rsidRPr="000977B0">
              <w:rPr>
                <w:sz w:val="22"/>
                <w:szCs w:val="22"/>
              </w:rPr>
              <w:t>A</w:t>
            </w:r>
            <w:r w:rsidR="009C5720" w:rsidRPr="000977B0">
              <w:rPr>
                <w:sz w:val="22"/>
                <w:szCs w:val="22"/>
              </w:rPr>
              <w:t>ktualizēta anotācijas redakcija par Tieslietu ministrijas un Datu valsts inspekcijas iesaisti vadlīniju izstrādes procesā.</w:t>
            </w:r>
          </w:p>
        </w:tc>
        <w:tc>
          <w:tcPr>
            <w:tcW w:w="3685" w:type="dxa"/>
            <w:gridSpan w:val="3"/>
            <w:tcBorders>
              <w:top w:val="single" w:sz="6" w:space="0" w:color="000000"/>
              <w:left w:val="single" w:sz="6" w:space="0" w:color="000000"/>
              <w:bottom w:val="single" w:sz="4" w:space="0" w:color="auto"/>
              <w:right w:val="single" w:sz="6" w:space="0" w:color="000000"/>
            </w:tcBorders>
          </w:tcPr>
          <w:p w:rsidR="00B2043F" w:rsidRPr="000977B0" w:rsidRDefault="00B2043F" w:rsidP="00B2043F">
            <w:pPr>
              <w:pStyle w:val="naisc"/>
              <w:ind w:firstLine="12"/>
              <w:jc w:val="both"/>
              <w:rPr>
                <w:rFonts w:eastAsia="Calibri"/>
                <w:sz w:val="22"/>
                <w:szCs w:val="22"/>
                <w:lang w:eastAsia="en-US"/>
              </w:rPr>
            </w:pPr>
            <w:r w:rsidRPr="000977B0">
              <w:rPr>
                <w:rFonts w:eastAsia="Calibri"/>
                <w:sz w:val="22"/>
                <w:szCs w:val="22"/>
                <w:lang w:eastAsia="en-US"/>
              </w:rPr>
              <w:lastRenderedPageBreak/>
              <w:t>Rīkojuma projekta 3.punktam nomainīta numerācija, tas ir 2.punkts, kas izteikts šādā redakcijā:</w:t>
            </w:r>
          </w:p>
          <w:p w:rsidR="00B2043F" w:rsidRPr="000977B0" w:rsidRDefault="00B2043F" w:rsidP="00B2043F">
            <w:pPr>
              <w:pStyle w:val="naisc"/>
              <w:ind w:firstLine="12"/>
              <w:jc w:val="both"/>
              <w:rPr>
                <w:rFonts w:eastAsia="Calibri"/>
                <w:sz w:val="22"/>
                <w:szCs w:val="22"/>
                <w:lang w:eastAsia="en-US"/>
              </w:rPr>
            </w:pPr>
            <w:r w:rsidRPr="000977B0">
              <w:rPr>
                <w:rFonts w:eastAsia="Calibri"/>
                <w:sz w:val="22"/>
                <w:szCs w:val="22"/>
                <w:lang w:eastAsia="en-US"/>
              </w:rPr>
              <w:t xml:space="preserve">2. Finanšu ministrijai sadarbībā ar Tieslietu ministriju izstrādāt un līdz 2019. gada 29. novembrim elektroniski nosūtīt ministriju un iestāžu iekšējā audita struktūrvienībām audita apjomu un ieteicamos principus fizisko personu datu aizsardzības iekšējā audita iekļaušanai iekšējā audita stratēģiskajā un gada plānā, kā arī līdz 2020. gada 15. februārim elektroniski nosūtīt fizisko personu datu aizsardzības iekšējā audita vadlīnijas (turpmāk - vadlīnijas). Vadlīnijās iekļaut pārskata struktūru, kādā sniedzama informācija par šā rīkojuma 1. punktā minētā uzdevuma izpildi. </w:t>
            </w:r>
          </w:p>
          <w:p w:rsidR="00B2043F" w:rsidRPr="000977B0" w:rsidRDefault="00B2043F" w:rsidP="00B2043F">
            <w:pPr>
              <w:pStyle w:val="naisc"/>
              <w:ind w:firstLine="12"/>
              <w:jc w:val="both"/>
              <w:rPr>
                <w:rFonts w:eastAsia="Calibri"/>
                <w:sz w:val="22"/>
                <w:szCs w:val="22"/>
                <w:lang w:eastAsia="en-US"/>
              </w:rPr>
            </w:pPr>
          </w:p>
          <w:p w:rsidR="00B2043F" w:rsidRPr="000977B0" w:rsidRDefault="00B2043F" w:rsidP="00B2043F">
            <w:pPr>
              <w:pStyle w:val="naisc"/>
              <w:ind w:firstLine="12"/>
              <w:jc w:val="both"/>
              <w:rPr>
                <w:rFonts w:eastAsia="Calibri"/>
                <w:sz w:val="22"/>
                <w:szCs w:val="22"/>
                <w:lang w:eastAsia="en-US"/>
              </w:rPr>
            </w:pPr>
            <w:r w:rsidRPr="000977B0">
              <w:rPr>
                <w:rFonts w:eastAsia="Calibri"/>
                <w:sz w:val="22"/>
                <w:szCs w:val="22"/>
                <w:lang w:eastAsia="en-US"/>
              </w:rPr>
              <w:t>No rīkojuma projekta 3.punkta izdalīts atsevišķs punkts, tas ir 4.punkts, kas izteikts šādā redakcijā:</w:t>
            </w:r>
          </w:p>
          <w:p w:rsidR="00B2043F" w:rsidRPr="000977B0" w:rsidRDefault="00B2043F" w:rsidP="00B2043F">
            <w:pPr>
              <w:jc w:val="both"/>
              <w:rPr>
                <w:rFonts w:eastAsia="Calibri"/>
                <w:sz w:val="22"/>
                <w:szCs w:val="22"/>
                <w:lang w:eastAsia="en-US"/>
              </w:rPr>
            </w:pPr>
            <w:r w:rsidRPr="000977B0">
              <w:rPr>
                <w:rFonts w:eastAsia="Calibri"/>
                <w:sz w:val="22"/>
                <w:szCs w:val="22"/>
                <w:lang w:eastAsia="en-US"/>
              </w:rPr>
              <w:t xml:space="preserve">4. Finanšu ministrijai izstrādāt un līdz 2020.gada 15.janvārim elektroniski nosūtīt ministriju un iestāžu iekšējā audita struktūrvienībām pārskata struktūru, kādā sniedzama informācija </w:t>
            </w:r>
            <w:r w:rsidRPr="000977B0">
              <w:rPr>
                <w:rFonts w:eastAsia="Calibri"/>
                <w:sz w:val="22"/>
                <w:szCs w:val="22"/>
                <w:lang w:eastAsia="en-US"/>
              </w:rPr>
              <w:lastRenderedPageBreak/>
              <w:t xml:space="preserve">par šā rīkojuma 3. punktā minēto uzdevumu izpildi. </w:t>
            </w: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Pr="000977B0" w:rsidRDefault="009C5720" w:rsidP="009461EA">
            <w:pPr>
              <w:pStyle w:val="naisc"/>
              <w:ind w:firstLine="12"/>
              <w:jc w:val="both"/>
              <w:rPr>
                <w:rFonts w:eastAsia="Calibri"/>
                <w:sz w:val="22"/>
                <w:szCs w:val="22"/>
                <w:lang w:eastAsia="en-US"/>
              </w:rPr>
            </w:pPr>
          </w:p>
          <w:p w:rsidR="009C5720" w:rsidRDefault="009C5720" w:rsidP="009461EA">
            <w:pPr>
              <w:pStyle w:val="naisc"/>
              <w:ind w:firstLine="12"/>
              <w:jc w:val="both"/>
              <w:rPr>
                <w:rFonts w:eastAsia="Calibri"/>
                <w:sz w:val="20"/>
                <w:szCs w:val="20"/>
                <w:lang w:eastAsia="en-US"/>
              </w:rPr>
            </w:pPr>
          </w:p>
          <w:p w:rsidR="00C17150" w:rsidRPr="00C17150" w:rsidRDefault="00C17150" w:rsidP="009461EA">
            <w:pPr>
              <w:pStyle w:val="naisc"/>
              <w:ind w:firstLine="12"/>
              <w:jc w:val="both"/>
              <w:rPr>
                <w:rFonts w:eastAsia="Calibri"/>
                <w:sz w:val="20"/>
                <w:szCs w:val="20"/>
                <w:lang w:eastAsia="en-US"/>
              </w:rPr>
            </w:pPr>
          </w:p>
          <w:p w:rsidR="009C5720" w:rsidRPr="000977B0" w:rsidRDefault="009C5720" w:rsidP="00642684">
            <w:pPr>
              <w:pStyle w:val="naisc"/>
              <w:jc w:val="both"/>
              <w:rPr>
                <w:rFonts w:eastAsia="Calibri"/>
                <w:sz w:val="22"/>
                <w:szCs w:val="22"/>
                <w:lang w:eastAsia="en-US"/>
              </w:rPr>
            </w:pPr>
            <w:r w:rsidRPr="000977B0">
              <w:rPr>
                <w:rFonts w:eastAsia="Calibri"/>
                <w:sz w:val="22"/>
                <w:szCs w:val="22"/>
                <w:lang w:eastAsia="en-US"/>
              </w:rPr>
              <w:t>Anotācijas 1.sadaļas 2.punkta “Prioritārā audita vadlīniju izstrāde (atbildīgie un termiņi)” 1.rindkop</w:t>
            </w:r>
            <w:r w:rsidR="001A050D" w:rsidRPr="000977B0">
              <w:rPr>
                <w:rFonts w:eastAsia="Calibri"/>
                <w:sz w:val="22"/>
                <w:szCs w:val="22"/>
                <w:lang w:eastAsia="en-US"/>
              </w:rPr>
              <w:t>a</w:t>
            </w:r>
            <w:r w:rsidRPr="000977B0">
              <w:rPr>
                <w:rFonts w:eastAsia="Calibri"/>
                <w:sz w:val="22"/>
                <w:szCs w:val="22"/>
                <w:lang w:eastAsia="en-US"/>
              </w:rPr>
              <w:t xml:space="preserve"> izteikt</w:t>
            </w:r>
            <w:r w:rsidR="001A050D" w:rsidRPr="000977B0">
              <w:rPr>
                <w:rFonts w:eastAsia="Calibri"/>
                <w:sz w:val="22"/>
                <w:szCs w:val="22"/>
                <w:lang w:eastAsia="en-US"/>
              </w:rPr>
              <w:t>a</w:t>
            </w:r>
            <w:r w:rsidRPr="000977B0">
              <w:rPr>
                <w:rFonts w:eastAsia="Calibri"/>
                <w:sz w:val="22"/>
                <w:szCs w:val="22"/>
                <w:lang w:eastAsia="en-US"/>
              </w:rPr>
              <w:t xml:space="preserve"> šādā redakcijā:</w:t>
            </w:r>
          </w:p>
          <w:p w:rsidR="009C5720" w:rsidRPr="000977B0" w:rsidRDefault="009C5720" w:rsidP="009C5720">
            <w:pPr>
              <w:pStyle w:val="naisc"/>
              <w:ind w:firstLine="12"/>
              <w:jc w:val="both"/>
              <w:rPr>
                <w:rFonts w:eastAsia="Calibri"/>
                <w:sz w:val="22"/>
                <w:szCs w:val="22"/>
                <w:lang w:eastAsia="en-US"/>
              </w:rPr>
            </w:pPr>
            <w:r w:rsidRPr="000977B0">
              <w:rPr>
                <w:rFonts w:eastAsia="Calibri"/>
                <w:sz w:val="22"/>
                <w:szCs w:val="22"/>
                <w:lang w:eastAsia="en-US"/>
              </w:rPr>
              <w:t xml:space="preserve">Lai nodrošinātu iekšējā audita struktūrvienību vienotu izpratni par prioritārā audita veikšanu, rīkojuma projekts paredz uzdevumu Finanšu ministrijai izstrādāt un līdz 2019.gada 29.novembrim elektroniski nosūtīt ministriju un iestāžu iekšējā audita struktūrvienībām audita apjomu un ieteicamos principus fizisko personu datu aizsardzības iekšējā audita iekļaušanai iekšējā audita stratēģiskajā </w:t>
            </w:r>
            <w:r w:rsidRPr="000977B0">
              <w:rPr>
                <w:rFonts w:eastAsia="Calibri"/>
                <w:sz w:val="22"/>
                <w:szCs w:val="22"/>
                <w:lang w:eastAsia="en-US"/>
              </w:rPr>
              <w:lastRenderedPageBreak/>
              <w:t xml:space="preserve">un gada plānā, kā arī līdz 2020. gada 15. </w:t>
            </w:r>
            <w:r w:rsidR="00C7579F" w:rsidRPr="000977B0">
              <w:rPr>
                <w:rFonts w:eastAsia="Calibri"/>
                <w:sz w:val="22"/>
                <w:szCs w:val="22"/>
                <w:lang w:eastAsia="en-US"/>
              </w:rPr>
              <w:t xml:space="preserve">februārim </w:t>
            </w:r>
            <w:r w:rsidRPr="000977B0">
              <w:rPr>
                <w:rFonts w:eastAsia="Calibri"/>
                <w:sz w:val="22"/>
                <w:szCs w:val="22"/>
                <w:lang w:eastAsia="en-US"/>
              </w:rPr>
              <w:t>elektroniski nosūtīt fizisko personu datu aizsardzības  iekšējā audita vadlīnijas (turpmāk – vadlīnijas).</w:t>
            </w:r>
          </w:p>
          <w:p w:rsidR="009C5720" w:rsidRPr="000977B0" w:rsidRDefault="009C5720" w:rsidP="009C5720">
            <w:pPr>
              <w:pStyle w:val="naisc"/>
              <w:ind w:firstLine="12"/>
              <w:jc w:val="both"/>
              <w:rPr>
                <w:rFonts w:eastAsia="Calibri"/>
                <w:sz w:val="22"/>
                <w:szCs w:val="22"/>
                <w:lang w:eastAsia="en-US"/>
              </w:rPr>
            </w:pPr>
          </w:p>
          <w:p w:rsidR="00BD4B7C" w:rsidRPr="000977B0" w:rsidRDefault="00BD4B7C" w:rsidP="009C5720">
            <w:pPr>
              <w:pStyle w:val="naisc"/>
              <w:ind w:firstLine="12"/>
              <w:jc w:val="both"/>
              <w:rPr>
                <w:rFonts w:eastAsia="Calibri"/>
                <w:sz w:val="22"/>
                <w:szCs w:val="22"/>
                <w:lang w:eastAsia="en-US"/>
              </w:rPr>
            </w:pPr>
          </w:p>
          <w:p w:rsidR="00BD4B7C" w:rsidRPr="000977B0" w:rsidRDefault="00BD4B7C" w:rsidP="009C5720">
            <w:pPr>
              <w:pStyle w:val="naisc"/>
              <w:ind w:firstLine="12"/>
              <w:jc w:val="both"/>
              <w:rPr>
                <w:rFonts w:eastAsia="Calibri"/>
                <w:sz w:val="22"/>
                <w:szCs w:val="22"/>
                <w:lang w:eastAsia="en-US"/>
              </w:rPr>
            </w:pPr>
          </w:p>
          <w:p w:rsidR="00BD4B7C" w:rsidRPr="000977B0" w:rsidRDefault="00BD4B7C" w:rsidP="009C5720">
            <w:pPr>
              <w:pStyle w:val="naisc"/>
              <w:ind w:firstLine="12"/>
              <w:jc w:val="both"/>
              <w:rPr>
                <w:rFonts w:eastAsia="Calibri"/>
                <w:sz w:val="22"/>
                <w:szCs w:val="22"/>
                <w:lang w:eastAsia="en-US"/>
              </w:rPr>
            </w:pPr>
          </w:p>
          <w:p w:rsidR="00F67DFA" w:rsidRPr="000977B0" w:rsidRDefault="00F67DFA" w:rsidP="009C5720">
            <w:pPr>
              <w:pStyle w:val="naisc"/>
              <w:ind w:firstLine="12"/>
              <w:jc w:val="both"/>
              <w:rPr>
                <w:rFonts w:eastAsia="Calibri"/>
                <w:sz w:val="22"/>
                <w:szCs w:val="22"/>
                <w:lang w:eastAsia="en-US"/>
              </w:rPr>
            </w:pPr>
          </w:p>
          <w:p w:rsidR="00F67DFA" w:rsidRPr="000977B0" w:rsidRDefault="00F67DFA" w:rsidP="009C5720">
            <w:pPr>
              <w:pStyle w:val="naisc"/>
              <w:ind w:firstLine="12"/>
              <w:jc w:val="both"/>
              <w:rPr>
                <w:rFonts w:eastAsia="Calibri"/>
                <w:sz w:val="22"/>
                <w:szCs w:val="22"/>
                <w:lang w:eastAsia="en-US"/>
              </w:rPr>
            </w:pPr>
          </w:p>
          <w:p w:rsidR="009C5720" w:rsidRPr="000977B0" w:rsidRDefault="009C5720" w:rsidP="009C5720">
            <w:pPr>
              <w:pStyle w:val="naisc"/>
              <w:ind w:firstLine="12"/>
              <w:jc w:val="both"/>
              <w:rPr>
                <w:rFonts w:eastAsia="Calibri"/>
                <w:sz w:val="22"/>
                <w:szCs w:val="22"/>
                <w:lang w:eastAsia="en-US"/>
              </w:rPr>
            </w:pPr>
            <w:r w:rsidRPr="000977B0">
              <w:rPr>
                <w:rFonts w:eastAsia="Calibri"/>
                <w:sz w:val="22"/>
                <w:szCs w:val="22"/>
                <w:lang w:eastAsia="en-US"/>
              </w:rPr>
              <w:t>Anotācijas 1.sadaļas 2.punkta “Prioritārā audita vadlīniju izstrāde (atbildīgie un termiņi)” 2.rindkop</w:t>
            </w:r>
            <w:r w:rsidR="001A050D" w:rsidRPr="000977B0">
              <w:rPr>
                <w:rFonts w:eastAsia="Calibri"/>
                <w:sz w:val="22"/>
                <w:szCs w:val="22"/>
                <w:lang w:eastAsia="en-US"/>
              </w:rPr>
              <w:t>a</w:t>
            </w:r>
            <w:r w:rsidRPr="000977B0">
              <w:rPr>
                <w:rFonts w:eastAsia="Calibri"/>
                <w:sz w:val="22"/>
                <w:szCs w:val="22"/>
                <w:lang w:eastAsia="en-US"/>
              </w:rPr>
              <w:t xml:space="preserve"> izteikt</w:t>
            </w:r>
            <w:r w:rsidR="001A050D" w:rsidRPr="000977B0">
              <w:rPr>
                <w:rFonts w:eastAsia="Calibri"/>
                <w:sz w:val="22"/>
                <w:szCs w:val="22"/>
                <w:lang w:eastAsia="en-US"/>
              </w:rPr>
              <w:t>a</w:t>
            </w:r>
            <w:r w:rsidRPr="000977B0">
              <w:rPr>
                <w:rFonts w:eastAsia="Calibri"/>
                <w:sz w:val="22"/>
                <w:szCs w:val="22"/>
                <w:lang w:eastAsia="en-US"/>
              </w:rPr>
              <w:t xml:space="preserve"> šādā redakcijā:</w:t>
            </w:r>
          </w:p>
          <w:p w:rsidR="009C5720" w:rsidRPr="000977B0" w:rsidRDefault="009C5720" w:rsidP="009C5720">
            <w:pPr>
              <w:pStyle w:val="naisc"/>
              <w:ind w:firstLine="12"/>
              <w:jc w:val="both"/>
              <w:rPr>
                <w:rFonts w:eastAsia="Calibri"/>
                <w:sz w:val="22"/>
                <w:szCs w:val="22"/>
                <w:lang w:eastAsia="en-US"/>
              </w:rPr>
            </w:pPr>
            <w:r w:rsidRPr="000977B0">
              <w:rPr>
                <w:rFonts w:eastAsia="Calibri"/>
                <w:sz w:val="22"/>
                <w:szCs w:val="22"/>
                <w:lang w:eastAsia="en-US"/>
              </w:rPr>
              <w:t xml:space="preserve">Tā kā atbilstoši Ministru kabineta 2013.gada 9.jūlija noteikumu Nr.385 “Iekšējā audita veikšanas un novērtēšanas kārtība” (turpmāk – MK noteikumi Nr.385) 43.punktam iekšējā audita stratēģiskais un gada plāns apstiprināms līdz kārtējā gada 15.decembrim, plānots, ka Finanšu ministrija līdz 2019.gada 29.novembrim definēs audita apjomu un izstrādās ieteicamos principus Ministru kabineta prioritārā audita 2020.gadam iekļaušanai iekšējā audita stratēģiskajā un gada plānā. Ņemot vērā, ka fizisko personu datu apstrāde ir saistīta ar ministrijas vai iestādes pamatdarbības jomām, ministriju un iestāžu iekšējā audita struktūrvienības prioritāro auditu var integrēt plānotajos </w:t>
            </w:r>
            <w:r w:rsidRPr="000977B0">
              <w:rPr>
                <w:rFonts w:eastAsia="Calibri"/>
                <w:sz w:val="22"/>
                <w:szCs w:val="22"/>
                <w:lang w:eastAsia="en-US"/>
              </w:rPr>
              <w:lastRenderedPageBreak/>
              <w:t>pamatdarbības sistēmas auditos vai arī plānot kā atsevišķu prioritāro auditu.</w:t>
            </w:r>
          </w:p>
          <w:p w:rsidR="00642684" w:rsidRPr="000977B0" w:rsidRDefault="00642684" w:rsidP="009C5720">
            <w:pPr>
              <w:pStyle w:val="naisc"/>
              <w:ind w:firstLine="12"/>
              <w:jc w:val="both"/>
              <w:rPr>
                <w:rFonts w:eastAsia="Calibri"/>
                <w:sz w:val="22"/>
                <w:szCs w:val="22"/>
                <w:lang w:eastAsia="en-US"/>
              </w:rPr>
            </w:pPr>
          </w:p>
          <w:p w:rsidR="00BD4B7C" w:rsidRPr="000977B0" w:rsidRDefault="00BD4B7C" w:rsidP="009C5720">
            <w:pPr>
              <w:pStyle w:val="naisc"/>
              <w:ind w:firstLine="12"/>
              <w:jc w:val="both"/>
              <w:rPr>
                <w:rFonts w:eastAsia="Calibri"/>
                <w:sz w:val="22"/>
                <w:szCs w:val="22"/>
                <w:lang w:eastAsia="en-US"/>
              </w:rPr>
            </w:pPr>
          </w:p>
          <w:p w:rsidR="00BD4B7C" w:rsidRPr="000977B0" w:rsidRDefault="00BD4B7C" w:rsidP="009C5720">
            <w:pPr>
              <w:pStyle w:val="naisc"/>
              <w:ind w:firstLine="12"/>
              <w:jc w:val="both"/>
              <w:rPr>
                <w:rFonts w:eastAsia="Calibri"/>
                <w:sz w:val="22"/>
                <w:szCs w:val="22"/>
                <w:lang w:eastAsia="en-US"/>
              </w:rPr>
            </w:pPr>
          </w:p>
          <w:p w:rsidR="00BD4B7C" w:rsidRPr="000977B0" w:rsidRDefault="00BD4B7C" w:rsidP="009C5720">
            <w:pPr>
              <w:pStyle w:val="naisc"/>
              <w:ind w:firstLine="12"/>
              <w:jc w:val="both"/>
              <w:rPr>
                <w:rFonts w:eastAsia="Calibri"/>
                <w:sz w:val="22"/>
                <w:szCs w:val="22"/>
                <w:lang w:eastAsia="en-US"/>
              </w:rPr>
            </w:pPr>
          </w:p>
          <w:p w:rsidR="00F67DFA" w:rsidRPr="000977B0" w:rsidRDefault="00F67DFA" w:rsidP="009C5720">
            <w:pPr>
              <w:pStyle w:val="naisc"/>
              <w:ind w:firstLine="12"/>
              <w:jc w:val="both"/>
              <w:rPr>
                <w:rFonts w:eastAsia="Calibri"/>
                <w:sz w:val="22"/>
                <w:szCs w:val="22"/>
                <w:lang w:eastAsia="en-US"/>
              </w:rPr>
            </w:pPr>
          </w:p>
          <w:p w:rsidR="00F67DFA" w:rsidRPr="000977B0" w:rsidRDefault="00F67DFA" w:rsidP="009C5720">
            <w:pPr>
              <w:pStyle w:val="naisc"/>
              <w:ind w:firstLine="12"/>
              <w:jc w:val="both"/>
              <w:rPr>
                <w:rFonts w:eastAsia="Calibri"/>
                <w:sz w:val="22"/>
                <w:szCs w:val="22"/>
                <w:lang w:eastAsia="en-US"/>
              </w:rPr>
            </w:pPr>
          </w:p>
          <w:p w:rsidR="00F67DFA" w:rsidRPr="000977B0" w:rsidRDefault="00F67DFA" w:rsidP="009C5720">
            <w:pPr>
              <w:pStyle w:val="naisc"/>
              <w:ind w:firstLine="12"/>
              <w:jc w:val="both"/>
              <w:rPr>
                <w:rFonts w:eastAsia="Calibri"/>
                <w:sz w:val="22"/>
                <w:szCs w:val="22"/>
                <w:lang w:eastAsia="en-US"/>
              </w:rPr>
            </w:pPr>
          </w:p>
          <w:p w:rsidR="0078349F" w:rsidRDefault="0078349F" w:rsidP="009C5720">
            <w:pPr>
              <w:pStyle w:val="naisc"/>
              <w:ind w:firstLine="12"/>
              <w:jc w:val="both"/>
              <w:rPr>
                <w:rFonts w:eastAsia="Calibri"/>
                <w:sz w:val="22"/>
                <w:szCs w:val="22"/>
                <w:lang w:eastAsia="en-US"/>
              </w:rPr>
            </w:pPr>
          </w:p>
          <w:p w:rsidR="009C5720" w:rsidRPr="000977B0" w:rsidRDefault="009C5720" w:rsidP="009C5720">
            <w:pPr>
              <w:pStyle w:val="naisc"/>
              <w:ind w:firstLine="12"/>
              <w:jc w:val="both"/>
              <w:rPr>
                <w:rFonts w:eastAsia="Calibri"/>
                <w:sz w:val="22"/>
                <w:szCs w:val="22"/>
                <w:lang w:eastAsia="en-US"/>
              </w:rPr>
            </w:pPr>
            <w:r w:rsidRPr="000977B0">
              <w:rPr>
                <w:rFonts w:eastAsia="Calibri"/>
                <w:sz w:val="22"/>
                <w:szCs w:val="22"/>
                <w:lang w:eastAsia="en-US"/>
              </w:rPr>
              <w:t>Anotācijas 1.sadaļas 2.punkta “Prioritārā audita vadlīniju izstrāde (atbildīgie un termiņi)” 3.rindkop</w:t>
            </w:r>
            <w:r w:rsidR="001A050D" w:rsidRPr="000977B0">
              <w:rPr>
                <w:rFonts w:eastAsia="Calibri"/>
                <w:sz w:val="22"/>
                <w:szCs w:val="22"/>
                <w:lang w:eastAsia="en-US"/>
              </w:rPr>
              <w:t>a</w:t>
            </w:r>
            <w:r w:rsidRPr="000977B0">
              <w:rPr>
                <w:rFonts w:eastAsia="Calibri"/>
                <w:sz w:val="22"/>
                <w:szCs w:val="22"/>
                <w:lang w:eastAsia="en-US"/>
              </w:rPr>
              <w:t xml:space="preserve"> izteikt</w:t>
            </w:r>
            <w:r w:rsidR="001A050D" w:rsidRPr="000977B0">
              <w:rPr>
                <w:rFonts w:eastAsia="Calibri"/>
                <w:sz w:val="22"/>
                <w:szCs w:val="22"/>
                <w:lang w:eastAsia="en-US"/>
              </w:rPr>
              <w:t xml:space="preserve">a </w:t>
            </w:r>
            <w:r w:rsidRPr="000977B0">
              <w:rPr>
                <w:rFonts w:eastAsia="Calibri"/>
                <w:sz w:val="22"/>
                <w:szCs w:val="22"/>
                <w:lang w:eastAsia="en-US"/>
              </w:rPr>
              <w:t>šādā redakcijā:</w:t>
            </w:r>
          </w:p>
          <w:p w:rsidR="00845A70" w:rsidRPr="000977B0" w:rsidRDefault="009C5720" w:rsidP="009C5720">
            <w:pPr>
              <w:pStyle w:val="naisc"/>
              <w:ind w:firstLine="12"/>
              <w:jc w:val="both"/>
              <w:rPr>
                <w:i/>
                <w:sz w:val="22"/>
                <w:szCs w:val="22"/>
              </w:rPr>
            </w:pPr>
            <w:r w:rsidRPr="000977B0">
              <w:rPr>
                <w:rFonts w:eastAsia="Calibri"/>
                <w:sz w:val="22"/>
                <w:szCs w:val="22"/>
                <w:lang w:eastAsia="en-US"/>
              </w:rPr>
              <w:t xml:space="preserve">Saskaņā ar Iekšējā audita likuma 10.panta otrās daļas 6.punktā noteikto, Finanšu ministrija ir atbildīga par vadlīniju izstrādi. </w:t>
            </w:r>
            <w:r w:rsidR="00244D39" w:rsidRPr="000977B0">
              <w:rPr>
                <w:rFonts w:eastAsia="Calibri"/>
                <w:sz w:val="22"/>
                <w:szCs w:val="22"/>
                <w:lang w:eastAsia="en-US"/>
              </w:rPr>
              <w:t xml:space="preserve">Vadlīniju izstrādē tiks izskatīta iespēja izmantot brieduma modeļa pieeju. </w:t>
            </w:r>
            <w:r w:rsidRPr="000977B0">
              <w:rPr>
                <w:rFonts w:eastAsia="Calibri"/>
                <w:sz w:val="22"/>
                <w:szCs w:val="22"/>
                <w:lang w:eastAsia="en-US"/>
              </w:rPr>
              <w:t>Vadlīniju izstrādē tiks pieaicināti  Tieslietu ministrijas pārstāvji viņiem pieejamo resursu ietvaros. Lai vadlīnijas piemērotu praktiskai audita veikšanai, Finanšu ministrija piešķirtā valsts budžeta ietvaros organizēs arī citu ekspertu (piem., no Iekšējā audita padomes) piesaisti vadlīniju izstrādē un novērtēšanā. Vadlīniju izstrādē ir aicināti piedalīties arī valsts pārvaldes iekšējie auditori.</w:t>
            </w:r>
          </w:p>
        </w:tc>
      </w:tr>
      <w:tr w:rsidR="00C30D80" w:rsidRPr="005C7AB2" w:rsidTr="00E019E7">
        <w:trPr>
          <w:gridBefore w:val="1"/>
          <w:wBefore w:w="96" w:type="dxa"/>
        </w:trPr>
        <w:tc>
          <w:tcPr>
            <w:tcW w:w="567" w:type="dxa"/>
            <w:tcBorders>
              <w:top w:val="single" w:sz="6" w:space="0" w:color="000000"/>
              <w:left w:val="single" w:sz="6" w:space="0" w:color="000000"/>
              <w:bottom w:val="single" w:sz="6" w:space="0" w:color="000000"/>
              <w:right w:val="single" w:sz="6" w:space="0" w:color="000000"/>
            </w:tcBorders>
          </w:tcPr>
          <w:p w:rsidR="00C30D80" w:rsidRPr="005C7AB2" w:rsidRDefault="00047520" w:rsidP="00C13E3D">
            <w:pPr>
              <w:pStyle w:val="naisc"/>
              <w:numPr>
                <w:ilvl w:val="0"/>
                <w:numId w:val="37"/>
              </w:numPr>
              <w:spacing w:before="0" w:after="0"/>
              <w:ind w:left="-246"/>
              <w:jc w:val="left"/>
              <w:rPr>
                <w:sz w:val="22"/>
                <w:szCs w:val="22"/>
              </w:rPr>
            </w:pPr>
            <w:r>
              <w:rPr>
                <w:sz w:val="22"/>
                <w:szCs w:val="22"/>
              </w:rPr>
              <w:lastRenderedPageBreak/>
              <w:t>3</w:t>
            </w:r>
            <w:r w:rsidR="00650DA2">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rsidR="00C30D80" w:rsidRPr="000977B0" w:rsidRDefault="00C30D80" w:rsidP="00C30D80">
            <w:pPr>
              <w:pStyle w:val="naisc"/>
              <w:spacing w:before="0" w:after="0"/>
              <w:jc w:val="both"/>
              <w:rPr>
                <w:sz w:val="22"/>
                <w:szCs w:val="22"/>
                <w:u w:val="single"/>
              </w:rPr>
            </w:pPr>
            <w:r w:rsidRPr="000977B0">
              <w:rPr>
                <w:sz w:val="22"/>
                <w:szCs w:val="22"/>
                <w:u w:val="single"/>
              </w:rPr>
              <w:t xml:space="preserve">Anotācijas sadaļa “Tiesību akta projekta anotācijas kopsavilkums” </w:t>
            </w:r>
          </w:p>
          <w:p w:rsidR="00C30D80" w:rsidRPr="000977B0" w:rsidRDefault="00C30D80" w:rsidP="00C30D80">
            <w:pPr>
              <w:pStyle w:val="naisc"/>
              <w:spacing w:before="0" w:after="0"/>
              <w:jc w:val="both"/>
              <w:rPr>
                <w:sz w:val="22"/>
                <w:szCs w:val="22"/>
              </w:rPr>
            </w:pPr>
            <w:r w:rsidRPr="000977B0">
              <w:rPr>
                <w:sz w:val="22"/>
                <w:szCs w:val="22"/>
              </w:rPr>
              <w:t>Auditējamās prioritātes izvirzītas, ņemot vērā Valsts pārvaldes reformu plāna 2020 mērķi (efektīva, atbildīga un elastīga valsts pārvalde) un pasākumus, kā arī nepieciešamību novērtēt fizisko personu datu apstrādi un aizsardzību valsts pārvaldē atbilstoši Vispārīgai personas datu aizsardzības regulai (ES) 2016/679 (stājās spēkā 2018.gada 25.maijā).</w:t>
            </w:r>
          </w:p>
          <w:p w:rsidR="00C30D80" w:rsidRPr="000977B0" w:rsidRDefault="00C30D80" w:rsidP="00C30D80">
            <w:pPr>
              <w:pStyle w:val="naisc"/>
              <w:spacing w:before="0" w:after="0"/>
              <w:jc w:val="both"/>
              <w:rPr>
                <w:sz w:val="22"/>
                <w:szCs w:val="22"/>
              </w:rPr>
            </w:pPr>
          </w:p>
          <w:p w:rsidR="00C30D80" w:rsidRPr="000977B0" w:rsidRDefault="00C30D80" w:rsidP="00C30D80">
            <w:pPr>
              <w:pStyle w:val="naisc"/>
              <w:spacing w:before="0" w:after="0"/>
              <w:jc w:val="both"/>
              <w:rPr>
                <w:sz w:val="22"/>
                <w:szCs w:val="22"/>
              </w:rPr>
            </w:pPr>
          </w:p>
          <w:p w:rsidR="00910B67" w:rsidRPr="000977B0" w:rsidRDefault="00910B67" w:rsidP="00C30D80">
            <w:pPr>
              <w:pStyle w:val="naisc"/>
              <w:spacing w:before="0" w:after="0"/>
              <w:jc w:val="both"/>
              <w:rPr>
                <w:sz w:val="22"/>
                <w:szCs w:val="22"/>
                <w:u w:val="single"/>
              </w:rPr>
            </w:pPr>
          </w:p>
          <w:p w:rsidR="00910B67" w:rsidRPr="000977B0" w:rsidRDefault="00910B67" w:rsidP="00C30D80">
            <w:pPr>
              <w:pStyle w:val="naisc"/>
              <w:spacing w:before="0" w:after="0"/>
              <w:jc w:val="both"/>
              <w:rPr>
                <w:sz w:val="22"/>
                <w:szCs w:val="22"/>
                <w:u w:val="single"/>
              </w:rPr>
            </w:pPr>
          </w:p>
          <w:p w:rsidR="00910B67" w:rsidRPr="000977B0" w:rsidRDefault="00910B67" w:rsidP="00C30D80">
            <w:pPr>
              <w:pStyle w:val="naisc"/>
              <w:spacing w:before="0" w:after="0"/>
              <w:jc w:val="both"/>
              <w:rPr>
                <w:sz w:val="22"/>
                <w:szCs w:val="22"/>
                <w:u w:val="single"/>
              </w:rPr>
            </w:pPr>
          </w:p>
          <w:p w:rsidR="00910B67" w:rsidRPr="000977B0" w:rsidRDefault="00910B67" w:rsidP="00C30D80">
            <w:pPr>
              <w:pStyle w:val="naisc"/>
              <w:spacing w:before="0" w:after="0"/>
              <w:jc w:val="both"/>
              <w:rPr>
                <w:sz w:val="22"/>
                <w:szCs w:val="22"/>
                <w:u w:val="single"/>
              </w:rPr>
            </w:pPr>
          </w:p>
          <w:p w:rsidR="00910B67" w:rsidRPr="000977B0" w:rsidRDefault="00910B67" w:rsidP="00C30D80">
            <w:pPr>
              <w:pStyle w:val="naisc"/>
              <w:spacing w:before="0" w:after="0"/>
              <w:jc w:val="both"/>
              <w:rPr>
                <w:sz w:val="22"/>
                <w:szCs w:val="22"/>
                <w:u w:val="single"/>
              </w:rPr>
            </w:pPr>
          </w:p>
          <w:p w:rsidR="00910B67" w:rsidRPr="000977B0" w:rsidRDefault="00910B67" w:rsidP="00C30D80">
            <w:pPr>
              <w:pStyle w:val="naisc"/>
              <w:spacing w:before="0" w:after="0"/>
              <w:jc w:val="both"/>
              <w:rPr>
                <w:sz w:val="22"/>
                <w:szCs w:val="22"/>
                <w:u w:val="single"/>
              </w:rPr>
            </w:pPr>
          </w:p>
          <w:p w:rsidR="00910B67" w:rsidRPr="000977B0" w:rsidRDefault="00910B67" w:rsidP="00C30D80">
            <w:pPr>
              <w:pStyle w:val="naisc"/>
              <w:spacing w:before="0" w:after="0"/>
              <w:jc w:val="both"/>
              <w:rPr>
                <w:sz w:val="22"/>
                <w:szCs w:val="22"/>
                <w:u w:val="single"/>
              </w:rPr>
            </w:pPr>
          </w:p>
          <w:p w:rsidR="00910B67" w:rsidRPr="000977B0" w:rsidRDefault="00910B67" w:rsidP="00C30D80">
            <w:pPr>
              <w:pStyle w:val="naisc"/>
              <w:spacing w:before="0" w:after="0"/>
              <w:jc w:val="both"/>
              <w:rPr>
                <w:sz w:val="22"/>
                <w:szCs w:val="22"/>
                <w:u w:val="single"/>
              </w:rPr>
            </w:pPr>
          </w:p>
          <w:p w:rsidR="00910B67" w:rsidRPr="000977B0" w:rsidRDefault="00910B67" w:rsidP="00C30D80">
            <w:pPr>
              <w:pStyle w:val="naisc"/>
              <w:spacing w:before="0" w:after="0"/>
              <w:jc w:val="both"/>
              <w:rPr>
                <w:sz w:val="22"/>
                <w:szCs w:val="22"/>
                <w:u w:val="single"/>
              </w:rPr>
            </w:pPr>
          </w:p>
          <w:p w:rsidR="007206A9" w:rsidRPr="000977B0" w:rsidRDefault="007206A9" w:rsidP="00C30D80">
            <w:pPr>
              <w:pStyle w:val="naisc"/>
              <w:spacing w:before="0" w:after="0"/>
              <w:jc w:val="both"/>
              <w:rPr>
                <w:sz w:val="22"/>
                <w:szCs w:val="22"/>
                <w:u w:val="single"/>
              </w:rPr>
            </w:pPr>
          </w:p>
          <w:p w:rsidR="00C30D80" w:rsidRPr="000977B0" w:rsidRDefault="00C30D80" w:rsidP="00C30D80">
            <w:pPr>
              <w:pStyle w:val="naisc"/>
              <w:spacing w:before="0" w:after="0"/>
              <w:jc w:val="both"/>
              <w:rPr>
                <w:sz w:val="22"/>
                <w:szCs w:val="22"/>
                <w:u w:val="single"/>
              </w:rPr>
            </w:pPr>
            <w:r w:rsidRPr="000977B0">
              <w:rPr>
                <w:sz w:val="22"/>
                <w:szCs w:val="22"/>
                <w:u w:val="single"/>
              </w:rPr>
              <w:t>Anotācijas 1.sadala “Tiesību akta projekta izstrādes nepieciešamība”</w:t>
            </w:r>
          </w:p>
          <w:p w:rsidR="00C30D80" w:rsidRPr="000977B0" w:rsidRDefault="00C30D80" w:rsidP="00C30D80">
            <w:pPr>
              <w:pStyle w:val="naisc"/>
              <w:spacing w:before="0" w:after="0"/>
              <w:jc w:val="both"/>
              <w:rPr>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B921B8" w:rsidRPr="000977B0" w:rsidRDefault="00B921B8" w:rsidP="00B921B8">
            <w:pPr>
              <w:widowControl w:val="0"/>
              <w:jc w:val="both"/>
              <w:rPr>
                <w:rFonts w:eastAsia="Calibri"/>
                <w:b/>
                <w:sz w:val="22"/>
                <w:szCs w:val="22"/>
                <w:lang w:eastAsia="en-US"/>
              </w:rPr>
            </w:pPr>
            <w:r w:rsidRPr="000977B0">
              <w:rPr>
                <w:rFonts w:eastAsia="Calibri"/>
                <w:b/>
                <w:sz w:val="22"/>
                <w:szCs w:val="22"/>
                <w:lang w:eastAsia="en-US"/>
              </w:rPr>
              <w:t>Datu valsts inspekcija:</w:t>
            </w:r>
          </w:p>
          <w:p w:rsidR="00C30D80" w:rsidRPr="000977B0" w:rsidRDefault="00C30D80" w:rsidP="00C30D80">
            <w:pPr>
              <w:pStyle w:val="naisc"/>
              <w:spacing w:before="0" w:after="0"/>
              <w:jc w:val="both"/>
              <w:rPr>
                <w:sz w:val="22"/>
                <w:szCs w:val="22"/>
              </w:rPr>
            </w:pPr>
            <w:r w:rsidRPr="000977B0">
              <w:rPr>
                <w:sz w:val="22"/>
                <w:szCs w:val="22"/>
              </w:rPr>
              <w:t>Inspekcija lūdz precizēt anotācijas sadaļas “Tiesību akta projekta anotācijas kopsavilkums” un “Tiesību akta projekta izstrādes nepieciešamība”, papildinot arī ar atsauci uz tiesisko regulējumu saistībā par personas datu apstrādi un to aizsardzību tiesībsargājošās iestādēs – Eiropas Parlamenta un Padomes direktīvu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kā arī 2019.gada 5.augustā spēkā stājušos likumu “Par fizisko personu datu apstrādi kriminālprocesā un administratīvā pārkāpuma procesā”, kurā attiecīgi transponētas minētās direktīvas normas.</w:t>
            </w:r>
          </w:p>
        </w:tc>
        <w:tc>
          <w:tcPr>
            <w:tcW w:w="3828" w:type="dxa"/>
            <w:tcBorders>
              <w:top w:val="single" w:sz="6" w:space="0" w:color="000000"/>
              <w:left w:val="single" w:sz="6" w:space="0" w:color="000000"/>
              <w:bottom w:val="single" w:sz="6" w:space="0" w:color="000000"/>
              <w:right w:val="single" w:sz="6" w:space="0" w:color="000000"/>
            </w:tcBorders>
          </w:tcPr>
          <w:p w:rsidR="0039215C" w:rsidRPr="000977B0" w:rsidRDefault="0039215C" w:rsidP="0039215C">
            <w:pPr>
              <w:ind w:firstLine="284"/>
              <w:jc w:val="center"/>
              <w:rPr>
                <w:b/>
                <w:sz w:val="22"/>
                <w:szCs w:val="22"/>
              </w:rPr>
            </w:pPr>
            <w:r w:rsidRPr="000977B0">
              <w:rPr>
                <w:b/>
                <w:sz w:val="22"/>
                <w:szCs w:val="22"/>
              </w:rPr>
              <w:t>Ņemts vērā</w:t>
            </w:r>
          </w:p>
          <w:p w:rsidR="00C30D80" w:rsidRPr="000977B0" w:rsidRDefault="00C30D80" w:rsidP="009A3642">
            <w:pPr>
              <w:pStyle w:val="naisc"/>
              <w:spacing w:before="0" w:after="0"/>
              <w:jc w:val="both"/>
              <w:rPr>
                <w:sz w:val="22"/>
                <w:szCs w:val="22"/>
              </w:rPr>
            </w:pPr>
            <w:r w:rsidRPr="000977B0">
              <w:rPr>
                <w:sz w:val="22"/>
                <w:szCs w:val="22"/>
              </w:rPr>
              <w:t>Rīkojuma projekta un anotācijas redakcijas papildinātas ar atsauci uz tiesisko regulējumu saistībā par personas datu apstrādi un to aizsardzību tiesībsargājošās iestādēs.</w:t>
            </w:r>
          </w:p>
        </w:tc>
        <w:tc>
          <w:tcPr>
            <w:tcW w:w="3685" w:type="dxa"/>
            <w:gridSpan w:val="3"/>
            <w:tcBorders>
              <w:top w:val="single" w:sz="4" w:space="0" w:color="auto"/>
              <w:left w:val="single" w:sz="4" w:space="0" w:color="auto"/>
              <w:bottom w:val="single" w:sz="4" w:space="0" w:color="auto"/>
            </w:tcBorders>
          </w:tcPr>
          <w:p w:rsidR="0039215C" w:rsidRPr="000977B0" w:rsidRDefault="00C30D80" w:rsidP="0039215C">
            <w:pPr>
              <w:pStyle w:val="naisc"/>
              <w:spacing w:before="0" w:after="0"/>
              <w:ind w:firstLine="12"/>
              <w:jc w:val="both"/>
              <w:rPr>
                <w:rFonts w:eastAsia="Calibri"/>
                <w:sz w:val="22"/>
                <w:szCs w:val="22"/>
                <w:lang w:eastAsia="en-US"/>
              </w:rPr>
            </w:pPr>
            <w:r w:rsidRPr="000977B0">
              <w:rPr>
                <w:rFonts w:eastAsia="Calibri"/>
                <w:sz w:val="22"/>
                <w:szCs w:val="22"/>
                <w:lang w:eastAsia="en-US"/>
              </w:rPr>
              <w:t>Anotācijas sada</w:t>
            </w:r>
            <w:r w:rsidR="0039215C" w:rsidRPr="000977B0">
              <w:rPr>
                <w:rFonts w:eastAsia="Calibri"/>
                <w:sz w:val="22"/>
                <w:szCs w:val="22"/>
                <w:lang w:eastAsia="en-US"/>
              </w:rPr>
              <w:t>ļ</w:t>
            </w:r>
            <w:r w:rsidR="001A050D" w:rsidRPr="000977B0">
              <w:rPr>
                <w:rFonts w:eastAsia="Calibri"/>
                <w:sz w:val="22"/>
                <w:szCs w:val="22"/>
                <w:lang w:eastAsia="en-US"/>
              </w:rPr>
              <w:t>a</w:t>
            </w:r>
            <w:r w:rsidRPr="000977B0">
              <w:rPr>
                <w:rFonts w:eastAsia="Calibri"/>
                <w:sz w:val="22"/>
                <w:szCs w:val="22"/>
                <w:lang w:eastAsia="en-US"/>
              </w:rPr>
              <w:t xml:space="preserve"> “Tiesību akta projekta anotācijas kopsavilkums” </w:t>
            </w:r>
            <w:r w:rsidR="0039215C" w:rsidRPr="000977B0">
              <w:rPr>
                <w:rFonts w:eastAsia="Calibri"/>
                <w:sz w:val="22"/>
                <w:szCs w:val="22"/>
                <w:lang w:eastAsia="en-US"/>
              </w:rPr>
              <w:t xml:space="preserve"> izteikt</w:t>
            </w:r>
            <w:r w:rsidR="001A050D" w:rsidRPr="000977B0">
              <w:rPr>
                <w:rFonts w:eastAsia="Calibri"/>
                <w:sz w:val="22"/>
                <w:szCs w:val="22"/>
                <w:lang w:eastAsia="en-US"/>
              </w:rPr>
              <w:t>a</w:t>
            </w:r>
            <w:r w:rsidR="0039215C" w:rsidRPr="000977B0">
              <w:rPr>
                <w:rFonts w:eastAsia="Calibri"/>
                <w:sz w:val="22"/>
                <w:szCs w:val="22"/>
                <w:lang w:eastAsia="en-US"/>
              </w:rPr>
              <w:t xml:space="preserve"> šādā redakcijā:</w:t>
            </w:r>
          </w:p>
          <w:p w:rsidR="00B921B8" w:rsidRPr="000977B0" w:rsidRDefault="00C30D80" w:rsidP="00C30D80">
            <w:pPr>
              <w:pStyle w:val="naisc"/>
              <w:spacing w:before="0" w:after="0"/>
              <w:jc w:val="both"/>
              <w:rPr>
                <w:rFonts w:eastAsia="Calibri"/>
                <w:sz w:val="22"/>
                <w:szCs w:val="22"/>
                <w:lang w:eastAsia="en-US"/>
              </w:rPr>
            </w:pPr>
            <w:r w:rsidRPr="000977B0">
              <w:rPr>
                <w:rFonts w:eastAsia="Calibri"/>
                <w:sz w:val="22"/>
                <w:szCs w:val="22"/>
                <w:lang w:eastAsia="en-US"/>
              </w:rPr>
              <w:t>Auditējamās prioritātes izvirzītas, ņemot vērā Valsts pārvaldes reformu plāna 2020 mērķi (efektīva, atbildīga un elastīga valsts pārvalde) un pasākumus, kā arī nepieciešamību novērtēt fizisko personu datu apstrādi un aizsardzību valsts pārvaldē atbilstoši Vispārīgai personas datu aizsardzības regulai (ES) 2016/679 (stājās spēkā 2018.gada 25.maijā) un Eiropas Parlamenta un Padomes direktīvas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kā arī atbilstoši 2019.gada 5.augustā spēkā stājušam likumam “Par fizisko personu datu apstrādi kriminālprocesā un administratīvā pārkāpuma procesā”.</w:t>
            </w:r>
          </w:p>
          <w:p w:rsidR="006E518A" w:rsidRPr="000977B0" w:rsidRDefault="006E518A" w:rsidP="00C30D80">
            <w:pPr>
              <w:pStyle w:val="naisc"/>
              <w:spacing w:before="0" w:after="0"/>
              <w:jc w:val="both"/>
              <w:rPr>
                <w:rFonts w:eastAsia="Calibri"/>
                <w:sz w:val="22"/>
                <w:szCs w:val="22"/>
                <w:lang w:eastAsia="en-US"/>
              </w:rPr>
            </w:pPr>
          </w:p>
          <w:p w:rsidR="00C30D80" w:rsidRPr="000977B0" w:rsidRDefault="00C30D80" w:rsidP="00C30D80">
            <w:pPr>
              <w:pStyle w:val="naisc"/>
              <w:spacing w:before="0" w:after="0"/>
              <w:jc w:val="both"/>
              <w:rPr>
                <w:rFonts w:eastAsia="Calibri"/>
                <w:sz w:val="22"/>
                <w:szCs w:val="22"/>
                <w:lang w:eastAsia="en-US"/>
              </w:rPr>
            </w:pPr>
            <w:r w:rsidRPr="000977B0">
              <w:rPr>
                <w:rFonts w:eastAsia="Calibri"/>
                <w:sz w:val="22"/>
                <w:szCs w:val="22"/>
                <w:lang w:eastAsia="en-US"/>
              </w:rPr>
              <w:t xml:space="preserve">Anotācijas </w:t>
            </w:r>
            <w:r w:rsidR="00B921B8" w:rsidRPr="000977B0">
              <w:rPr>
                <w:rFonts w:eastAsia="Calibri"/>
                <w:sz w:val="22"/>
                <w:szCs w:val="22"/>
                <w:lang w:eastAsia="en-US"/>
              </w:rPr>
              <w:t>1.sadaļa</w:t>
            </w:r>
            <w:r w:rsidRPr="000977B0">
              <w:rPr>
                <w:rFonts w:eastAsia="Calibri"/>
                <w:sz w:val="22"/>
                <w:szCs w:val="22"/>
                <w:lang w:eastAsia="en-US"/>
              </w:rPr>
              <w:t xml:space="preserve"> “Tiesību akta projekta izstrādes nepieciešamība” papildināta ar redakciju:</w:t>
            </w:r>
          </w:p>
          <w:p w:rsidR="00C30D80" w:rsidRPr="000977B0" w:rsidRDefault="00C30D80" w:rsidP="00C30D80">
            <w:pPr>
              <w:pStyle w:val="naisc"/>
              <w:spacing w:before="0" w:after="0"/>
              <w:jc w:val="both"/>
              <w:rPr>
                <w:rFonts w:eastAsia="Calibri"/>
                <w:sz w:val="22"/>
                <w:szCs w:val="22"/>
                <w:lang w:eastAsia="en-US"/>
              </w:rPr>
            </w:pPr>
            <w:r w:rsidRPr="000977B0">
              <w:rPr>
                <w:rFonts w:eastAsia="Calibri"/>
                <w:sz w:val="22"/>
                <w:szCs w:val="22"/>
                <w:lang w:eastAsia="en-US"/>
              </w:rPr>
              <w:t xml:space="preserve">2019.gada 5.augustā spēkā stājās likums “Par fizisko personu datu </w:t>
            </w:r>
            <w:r w:rsidRPr="000977B0">
              <w:rPr>
                <w:rFonts w:eastAsia="Calibri"/>
                <w:sz w:val="22"/>
                <w:szCs w:val="22"/>
                <w:lang w:eastAsia="en-US"/>
              </w:rPr>
              <w:lastRenderedPageBreak/>
              <w:t>apstrādi kriminālprocesā un administratīvā pārkāpuma procesā”, kurā transponētas Eiropas Parlamenta un Padomes direktīvas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normas.</w:t>
            </w:r>
          </w:p>
        </w:tc>
      </w:tr>
      <w:tr w:rsidR="00C30D80" w:rsidRPr="005C7AB2" w:rsidTr="00E019E7">
        <w:trPr>
          <w:gridBefore w:val="1"/>
          <w:wBefore w:w="96" w:type="dxa"/>
        </w:trPr>
        <w:tc>
          <w:tcPr>
            <w:tcW w:w="567" w:type="dxa"/>
            <w:tcBorders>
              <w:top w:val="single" w:sz="6" w:space="0" w:color="000000"/>
              <w:left w:val="single" w:sz="6" w:space="0" w:color="000000"/>
              <w:bottom w:val="single" w:sz="6" w:space="0" w:color="000000"/>
              <w:right w:val="single" w:sz="6" w:space="0" w:color="000000"/>
            </w:tcBorders>
          </w:tcPr>
          <w:p w:rsidR="00C30D80" w:rsidRPr="005C7AB2" w:rsidRDefault="00047520" w:rsidP="00C13E3D">
            <w:pPr>
              <w:pStyle w:val="naisc"/>
              <w:numPr>
                <w:ilvl w:val="0"/>
                <w:numId w:val="37"/>
              </w:numPr>
              <w:spacing w:before="0" w:after="0"/>
              <w:ind w:left="-246"/>
              <w:jc w:val="left"/>
              <w:rPr>
                <w:sz w:val="22"/>
                <w:szCs w:val="22"/>
              </w:rPr>
            </w:pPr>
            <w:r>
              <w:rPr>
                <w:sz w:val="22"/>
                <w:szCs w:val="22"/>
              </w:rPr>
              <w:lastRenderedPageBreak/>
              <w:t>4</w:t>
            </w:r>
            <w:r w:rsidR="00650DA2">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rsidR="00C30D80" w:rsidRPr="000977B0" w:rsidRDefault="00C30D80" w:rsidP="00C30D80">
            <w:pPr>
              <w:pStyle w:val="naisc"/>
              <w:spacing w:before="0" w:after="0"/>
              <w:jc w:val="both"/>
              <w:rPr>
                <w:sz w:val="22"/>
                <w:szCs w:val="22"/>
                <w:u w:val="single"/>
              </w:rPr>
            </w:pPr>
            <w:r w:rsidRPr="000977B0">
              <w:rPr>
                <w:sz w:val="22"/>
                <w:szCs w:val="22"/>
                <w:u w:val="single"/>
              </w:rPr>
              <w:t>Anotācijas 1.sadala “Tiesību akta projekta izstrādes nepieciešamība”</w:t>
            </w:r>
          </w:p>
          <w:p w:rsidR="00C30D80" w:rsidRPr="000977B0" w:rsidRDefault="00C30D80" w:rsidP="00C30D80">
            <w:pPr>
              <w:pStyle w:val="naisc"/>
              <w:spacing w:before="0" w:after="0"/>
              <w:jc w:val="both"/>
              <w:rPr>
                <w:sz w:val="22"/>
                <w:szCs w:val="22"/>
              </w:rPr>
            </w:pPr>
            <w:r w:rsidRPr="000977B0">
              <w:rPr>
                <w:sz w:val="22"/>
                <w:szCs w:val="22"/>
              </w:rPr>
              <w:t>Nozares politikas veidotāji - Tieslietu ministrija un Datu valsts inspekcija  atzina, ka vadošajām valsts pārvaldes iestādēm nepieciešams ne tikai ieviest Regulas prasības, bet arī tām uzticēto nozaru ietvaros izšķirties par optimālāko un pieļaujamo Regulā skarto jautājumu interpretēšanu. Turklāt, arī ES līmenī vēl joprojām ir vairāki jautājumi, kas prasa vienota/harmonizēta redzējuma izstrādi, kas, prasa arī zināmu laiku.</w:t>
            </w:r>
          </w:p>
        </w:tc>
        <w:tc>
          <w:tcPr>
            <w:tcW w:w="3260" w:type="dxa"/>
            <w:tcBorders>
              <w:top w:val="single" w:sz="6" w:space="0" w:color="000000"/>
              <w:left w:val="single" w:sz="6" w:space="0" w:color="000000"/>
              <w:bottom w:val="single" w:sz="6" w:space="0" w:color="000000"/>
              <w:right w:val="single" w:sz="6" w:space="0" w:color="000000"/>
            </w:tcBorders>
          </w:tcPr>
          <w:p w:rsidR="00B921B8" w:rsidRPr="000977B0" w:rsidRDefault="00B921B8" w:rsidP="00B921B8">
            <w:pPr>
              <w:widowControl w:val="0"/>
              <w:jc w:val="both"/>
              <w:rPr>
                <w:rFonts w:eastAsia="Calibri"/>
                <w:b/>
                <w:sz w:val="22"/>
                <w:szCs w:val="22"/>
                <w:lang w:eastAsia="en-US"/>
              </w:rPr>
            </w:pPr>
            <w:r w:rsidRPr="000977B0">
              <w:rPr>
                <w:rFonts w:eastAsia="Calibri"/>
                <w:b/>
                <w:sz w:val="22"/>
                <w:szCs w:val="22"/>
                <w:lang w:eastAsia="en-US"/>
              </w:rPr>
              <w:t>Datu valsts inspekcija:</w:t>
            </w:r>
          </w:p>
          <w:p w:rsidR="00C30D80" w:rsidRPr="000977B0" w:rsidRDefault="00C30D80" w:rsidP="00C30D80">
            <w:pPr>
              <w:pStyle w:val="naisc"/>
              <w:spacing w:before="0" w:after="0"/>
              <w:ind w:firstLine="7"/>
              <w:jc w:val="both"/>
              <w:rPr>
                <w:sz w:val="22"/>
                <w:szCs w:val="22"/>
              </w:rPr>
            </w:pPr>
            <w:r w:rsidRPr="000977B0">
              <w:rPr>
                <w:sz w:val="22"/>
                <w:szCs w:val="22"/>
              </w:rPr>
              <w:t>Inspekcija lūdz precizēt anotācijas sadaļā “I. Tiesību akta projekta izstrādes nepieciešamība” (2.lpp.) ietverto, proti, konkrētās nozares politikas veidotāja ir Tieslietu ministrija</w:t>
            </w:r>
            <w:r w:rsidRPr="000977B0">
              <w:rPr>
                <w:rStyle w:val="FootnoteReference"/>
                <w:sz w:val="22"/>
                <w:szCs w:val="22"/>
              </w:rPr>
              <w:footnoteReference w:id="1"/>
            </w:r>
            <w:r w:rsidRPr="000977B0">
              <w:rPr>
                <w:sz w:val="22"/>
                <w:szCs w:val="22"/>
              </w:rPr>
              <w:t>, nevis arī Inspekcija, kā tas kļūdaini norādīts anotācijā.</w:t>
            </w:r>
          </w:p>
        </w:tc>
        <w:tc>
          <w:tcPr>
            <w:tcW w:w="3828" w:type="dxa"/>
            <w:tcBorders>
              <w:top w:val="single" w:sz="6" w:space="0" w:color="000000"/>
              <w:left w:val="single" w:sz="6" w:space="0" w:color="000000"/>
              <w:bottom w:val="single" w:sz="6" w:space="0" w:color="000000"/>
              <w:right w:val="single" w:sz="6" w:space="0" w:color="000000"/>
            </w:tcBorders>
          </w:tcPr>
          <w:p w:rsidR="0039215C" w:rsidRPr="000977B0" w:rsidRDefault="0039215C" w:rsidP="0039215C">
            <w:pPr>
              <w:ind w:firstLine="284"/>
              <w:jc w:val="center"/>
              <w:rPr>
                <w:b/>
                <w:sz w:val="22"/>
                <w:szCs w:val="22"/>
              </w:rPr>
            </w:pPr>
            <w:r w:rsidRPr="000977B0">
              <w:rPr>
                <w:b/>
                <w:sz w:val="22"/>
                <w:szCs w:val="22"/>
              </w:rPr>
              <w:t>Ņemts vērā</w:t>
            </w:r>
          </w:p>
          <w:p w:rsidR="00C30D80" w:rsidRPr="000977B0" w:rsidRDefault="007206A9" w:rsidP="00C30D80">
            <w:pPr>
              <w:pStyle w:val="naisc"/>
              <w:spacing w:before="0" w:after="0"/>
              <w:ind w:firstLine="33"/>
              <w:jc w:val="both"/>
              <w:rPr>
                <w:sz w:val="22"/>
                <w:szCs w:val="22"/>
              </w:rPr>
            </w:pPr>
            <w:r w:rsidRPr="000977B0">
              <w:rPr>
                <w:sz w:val="22"/>
                <w:szCs w:val="22"/>
              </w:rPr>
              <w:t>Precizēta anotācijas redakcija.</w:t>
            </w:r>
          </w:p>
        </w:tc>
        <w:tc>
          <w:tcPr>
            <w:tcW w:w="3685" w:type="dxa"/>
            <w:gridSpan w:val="3"/>
            <w:tcBorders>
              <w:top w:val="single" w:sz="4" w:space="0" w:color="auto"/>
              <w:left w:val="single" w:sz="4" w:space="0" w:color="auto"/>
              <w:bottom w:val="single" w:sz="4" w:space="0" w:color="auto"/>
            </w:tcBorders>
          </w:tcPr>
          <w:p w:rsidR="00B921B8" w:rsidRPr="000977B0" w:rsidRDefault="00B921B8" w:rsidP="00B921B8">
            <w:pPr>
              <w:pStyle w:val="naisc"/>
              <w:spacing w:before="0" w:after="0"/>
              <w:jc w:val="both"/>
              <w:rPr>
                <w:sz w:val="22"/>
                <w:szCs w:val="22"/>
              </w:rPr>
            </w:pPr>
            <w:r w:rsidRPr="000977B0">
              <w:rPr>
                <w:sz w:val="22"/>
                <w:szCs w:val="22"/>
              </w:rPr>
              <w:t>Anotācijas 1.sadaļ</w:t>
            </w:r>
            <w:r w:rsidR="001A050D" w:rsidRPr="000977B0">
              <w:rPr>
                <w:sz w:val="22"/>
                <w:szCs w:val="22"/>
              </w:rPr>
              <w:t>a</w:t>
            </w:r>
            <w:r w:rsidRPr="000977B0">
              <w:rPr>
                <w:sz w:val="22"/>
                <w:szCs w:val="22"/>
              </w:rPr>
              <w:t xml:space="preserve"> “Tiesību akta projekta izstrādes nepieciešamība”</w:t>
            </w:r>
          </w:p>
          <w:p w:rsidR="00B921B8" w:rsidRPr="000977B0" w:rsidRDefault="00344F5D" w:rsidP="00C30D80">
            <w:pPr>
              <w:jc w:val="both"/>
              <w:rPr>
                <w:sz w:val="22"/>
                <w:szCs w:val="22"/>
              </w:rPr>
            </w:pPr>
            <w:r w:rsidRPr="000977B0">
              <w:rPr>
                <w:sz w:val="22"/>
                <w:szCs w:val="22"/>
              </w:rPr>
              <w:t>i</w:t>
            </w:r>
            <w:r w:rsidR="00B921B8" w:rsidRPr="000977B0">
              <w:rPr>
                <w:sz w:val="22"/>
                <w:szCs w:val="22"/>
              </w:rPr>
              <w:t>zteikt</w:t>
            </w:r>
            <w:r w:rsidR="001A050D" w:rsidRPr="000977B0">
              <w:rPr>
                <w:sz w:val="22"/>
                <w:szCs w:val="22"/>
              </w:rPr>
              <w:t>a</w:t>
            </w:r>
            <w:r w:rsidR="00B921B8" w:rsidRPr="000977B0">
              <w:rPr>
                <w:sz w:val="22"/>
                <w:szCs w:val="22"/>
              </w:rPr>
              <w:t xml:space="preserve"> šādā redakcijā:</w:t>
            </w:r>
          </w:p>
          <w:p w:rsidR="00C30D80" w:rsidRPr="000977B0" w:rsidRDefault="00C30D80" w:rsidP="00C30D80">
            <w:pPr>
              <w:jc w:val="both"/>
              <w:rPr>
                <w:sz w:val="22"/>
                <w:szCs w:val="22"/>
              </w:rPr>
            </w:pPr>
            <w:r w:rsidRPr="000977B0">
              <w:rPr>
                <w:sz w:val="22"/>
                <w:szCs w:val="22"/>
              </w:rPr>
              <w:t>Nozares politikas veidotājs - Tieslietu ministrija  atzina, ka vadošajām valsts pārvaldes iestādēm nepieciešams ne tikai ieviest Regulas prasības, bet arī tām uzticēto nozaru ietvaros izšķirties par optimālāko un pieļaujamo Regulā skarto jautājumu interpretēšanu. Turklāt, arī ES līmenī vēl joprojām ir vairāki jautājumi, kas prasa vienota/harmonizēta redzējuma izstrādi, kas, prasa arī zināmu laiku.</w:t>
            </w:r>
          </w:p>
        </w:tc>
      </w:tr>
      <w:tr w:rsidR="002B45A6" w:rsidRPr="005C7AB2" w:rsidTr="00E019E7">
        <w:trPr>
          <w:gridBefore w:val="1"/>
          <w:wBefore w:w="96" w:type="dxa"/>
        </w:trPr>
        <w:tc>
          <w:tcPr>
            <w:tcW w:w="567" w:type="dxa"/>
            <w:tcBorders>
              <w:top w:val="single" w:sz="6" w:space="0" w:color="000000"/>
              <w:left w:val="single" w:sz="6" w:space="0" w:color="000000"/>
              <w:bottom w:val="single" w:sz="6" w:space="0" w:color="000000"/>
              <w:right w:val="single" w:sz="6" w:space="0" w:color="000000"/>
            </w:tcBorders>
          </w:tcPr>
          <w:p w:rsidR="002B45A6" w:rsidRPr="005C7AB2" w:rsidRDefault="00047520" w:rsidP="00C13E3D">
            <w:pPr>
              <w:pStyle w:val="naisc"/>
              <w:numPr>
                <w:ilvl w:val="0"/>
                <w:numId w:val="37"/>
              </w:numPr>
              <w:spacing w:before="0" w:after="0"/>
              <w:ind w:left="-246"/>
              <w:jc w:val="left"/>
              <w:rPr>
                <w:sz w:val="22"/>
                <w:szCs w:val="22"/>
              </w:rPr>
            </w:pPr>
            <w:r>
              <w:rPr>
                <w:sz w:val="22"/>
                <w:szCs w:val="22"/>
              </w:rPr>
              <w:lastRenderedPageBreak/>
              <w:t>5</w:t>
            </w:r>
            <w:r w:rsidR="00650DA2">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rsidR="002B45A6" w:rsidRPr="000977B0" w:rsidRDefault="002B45A6" w:rsidP="00C30D80">
            <w:pPr>
              <w:pStyle w:val="naisc"/>
              <w:spacing w:before="0" w:after="0"/>
              <w:jc w:val="both"/>
              <w:rPr>
                <w:sz w:val="22"/>
                <w:szCs w:val="22"/>
                <w:u w:val="single"/>
              </w:rPr>
            </w:pPr>
            <w:r w:rsidRPr="000977B0">
              <w:rPr>
                <w:sz w:val="22"/>
                <w:szCs w:val="22"/>
                <w:u w:val="single"/>
              </w:rPr>
              <w:t>Anotācijas sadaļa “Tiesību akta projekta anotācijas kopsavilkums”</w:t>
            </w:r>
          </w:p>
          <w:p w:rsidR="002B45A6" w:rsidRPr="000977B0" w:rsidRDefault="002B45A6" w:rsidP="00C30D80">
            <w:pPr>
              <w:pStyle w:val="naisc"/>
              <w:spacing w:before="0" w:after="0"/>
              <w:jc w:val="both"/>
              <w:rPr>
                <w:sz w:val="22"/>
                <w:szCs w:val="22"/>
              </w:rPr>
            </w:pPr>
            <w:r w:rsidRPr="000977B0">
              <w:rPr>
                <w:sz w:val="22"/>
                <w:szCs w:val="22"/>
              </w:rPr>
              <w:t>Auditējamās prioritātes izvirzītas, ņemot vērā Valsts pārvaldes reformu plāna 2020 mērķi (efektīva, atbildīga un elastīga valsts pārvalde) un pasākumus, kā arī nepieciešamību novērtēt fizisko personu datu apstrādi un aizsardzību valsts pārvaldē atbilstoši Vispārīgai personas datu aizsardzības regulai (ES) 2016/679 (stājās spēkā 2018.gada 25.maijā).</w:t>
            </w:r>
          </w:p>
          <w:p w:rsidR="002B45A6" w:rsidRPr="000977B0" w:rsidRDefault="002B45A6" w:rsidP="00C30D80">
            <w:pPr>
              <w:pStyle w:val="naisc"/>
              <w:spacing w:before="0" w:after="0"/>
              <w:jc w:val="both"/>
              <w:rPr>
                <w:sz w:val="22"/>
                <w:szCs w:val="22"/>
              </w:rPr>
            </w:pPr>
          </w:p>
          <w:p w:rsidR="002B45A6" w:rsidRPr="000977B0" w:rsidRDefault="002B45A6" w:rsidP="002B45A6">
            <w:pPr>
              <w:pStyle w:val="naisc"/>
              <w:jc w:val="both"/>
              <w:rPr>
                <w:sz w:val="22"/>
                <w:szCs w:val="22"/>
                <w:u w:val="single"/>
              </w:rPr>
            </w:pPr>
            <w:r w:rsidRPr="000977B0">
              <w:rPr>
                <w:sz w:val="22"/>
                <w:szCs w:val="22"/>
                <w:u w:val="single"/>
              </w:rPr>
              <w:t>Anotācijas 1.sadala “Tiesību akta projekta izstrādes nepieciešamība”</w:t>
            </w:r>
          </w:p>
          <w:p w:rsidR="002B45A6" w:rsidRPr="000977B0" w:rsidRDefault="002B45A6" w:rsidP="002B45A6">
            <w:pPr>
              <w:pStyle w:val="naisc"/>
              <w:spacing w:before="0" w:after="0"/>
              <w:jc w:val="both"/>
              <w:rPr>
                <w:sz w:val="22"/>
                <w:szCs w:val="22"/>
              </w:rPr>
            </w:pPr>
            <w:r w:rsidRPr="000977B0">
              <w:rPr>
                <w:sz w:val="22"/>
                <w:szCs w:val="22"/>
              </w:rPr>
              <w:t>2018.gada 25.maijā stājās spēkā un tiek piemērota Eiropas parlamenta un Padomes 2016.gada 27.aprīļa regula (ES) 2016/679 par fizisku personu aizsardzību attiecībā uz personas datu apstrādi un šādu datu brīvu apriti (turpmāk - Vispārīgā personas datu aizsardzības regula).</w:t>
            </w:r>
          </w:p>
        </w:tc>
        <w:tc>
          <w:tcPr>
            <w:tcW w:w="3260" w:type="dxa"/>
            <w:tcBorders>
              <w:top w:val="single" w:sz="6" w:space="0" w:color="000000"/>
              <w:left w:val="single" w:sz="6" w:space="0" w:color="000000"/>
              <w:bottom w:val="single" w:sz="6" w:space="0" w:color="000000"/>
              <w:right w:val="single" w:sz="6" w:space="0" w:color="000000"/>
            </w:tcBorders>
          </w:tcPr>
          <w:p w:rsidR="002B45A6" w:rsidRPr="000977B0" w:rsidRDefault="002B45A6" w:rsidP="00133A70">
            <w:pPr>
              <w:widowControl w:val="0"/>
              <w:jc w:val="both"/>
              <w:rPr>
                <w:rFonts w:eastAsia="Calibri"/>
                <w:b/>
                <w:sz w:val="22"/>
                <w:szCs w:val="22"/>
                <w:lang w:eastAsia="en-US"/>
              </w:rPr>
            </w:pPr>
            <w:r w:rsidRPr="000977B0">
              <w:rPr>
                <w:rFonts w:eastAsia="Calibri"/>
                <w:b/>
                <w:sz w:val="22"/>
                <w:szCs w:val="22"/>
                <w:lang w:eastAsia="en-US"/>
              </w:rPr>
              <w:t>Datu valsts inspekcija:</w:t>
            </w:r>
          </w:p>
          <w:p w:rsidR="002B45A6" w:rsidRPr="000977B0" w:rsidRDefault="002B45A6" w:rsidP="00C30D80">
            <w:pPr>
              <w:pStyle w:val="naisc"/>
              <w:spacing w:before="0" w:after="0"/>
              <w:jc w:val="both"/>
              <w:rPr>
                <w:sz w:val="22"/>
                <w:szCs w:val="22"/>
              </w:rPr>
            </w:pPr>
            <w:r w:rsidRPr="000977B0">
              <w:rPr>
                <w:sz w:val="22"/>
                <w:szCs w:val="22"/>
              </w:rPr>
              <w:t xml:space="preserve">Inspekcija lūdz precizēt anotāciju, norādot korektu Eiropas Parlamenta un Padomes regulas (ES) 2016/679 (2016.gada 27.aprīlis) par fizisku personu aizsardzību attiecībā uz personas datu apstrādi un šādu datu brīvu apriti un ar ko atceļ Direktīvu 95/46/EK (Vispārīgā datu aizsardzības regula) </w:t>
            </w:r>
            <w:r w:rsidRPr="000977B0">
              <w:rPr>
                <w:sz w:val="22"/>
                <w:szCs w:val="22"/>
                <w:u w:val="single"/>
              </w:rPr>
              <w:t>spēkā stāšanās un piemērošanas datumus</w:t>
            </w:r>
            <w:r w:rsidRPr="000977B0">
              <w:rPr>
                <w:sz w:val="22"/>
                <w:szCs w:val="22"/>
              </w:rPr>
              <w:t xml:space="preserve"> anotācijas sadaļā: “Tiesību akta projekta anotācijas kopsavilkums” (vārdus (1.lpp.) “stājās spēkā 2018.gada 25.maijā” izteikt redakcijā: “(</w:t>
            </w:r>
            <w:r w:rsidRPr="000977B0">
              <w:rPr>
                <w:sz w:val="22"/>
                <w:szCs w:val="22"/>
                <w:u w:val="single"/>
              </w:rPr>
              <w:t>stājās spēkā 2016.gada 24.maijā, tieši piemērojama no 2018.gada 25.maija”</w:t>
            </w:r>
            <w:r w:rsidRPr="000977B0">
              <w:rPr>
                <w:sz w:val="22"/>
                <w:szCs w:val="22"/>
              </w:rPr>
              <w:t>) un sadaļā: “I. Tiesību akta projekta izstrādes nepieciešamība” (vārdus (2.lpp.): “2018.gada 25.maijā stājās spēkā un tiek piemērota Eiropas parlamenta” izteikt redakcijā: “</w:t>
            </w:r>
            <w:r w:rsidRPr="000977B0">
              <w:rPr>
                <w:sz w:val="22"/>
                <w:szCs w:val="22"/>
                <w:u w:val="single"/>
              </w:rPr>
              <w:t>No 2018.gada 25.maija tiek piemērota Eiropas Parlamenta</w:t>
            </w:r>
            <w:r w:rsidRPr="000977B0">
              <w:rPr>
                <w:sz w:val="22"/>
                <w:szCs w:val="22"/>
              </w:rPr>
              <w:t>”).</w:t>
            </w:r>
          </w:p>
        </w:tc>
        <w:tc>
          <w:tcPr>
            <w:tcW w:w="3828" w:type="dxa"/>
            <w:tcBorders>
              <w:top w:val="single" w:sz="6" w:space="0" w:color="000000"/>
              <w:left w:val="single" w:sz="6" w:space="0" w:color="000000"/>
              <w:bottom w:val="single" w:sz="6" w:space="0" w:color="000000"/>
              <w:right w:val="single" w:sz="6" w:space="0" w:color="000000"/>
            </w:tcBorders>
          </w:tcPr>
          <w:p w:rsidR="002B45A6" w:rsidRPr="000977B0" w:rsidRDefault="002B45A6" w:rsidP="00133A70">
            <w:pPr>
              <w:ind w:firstLine="284"/>
              <w:jc w:val="center"/>
              <w:rPr>
                <w:b/>
                <w:sz w:val="22"/>
                <w:szCs w:val="22"/>
              </w:rPr>
            </w:pPr>
            <w:r w:rsidRPr="000977B0">
              <w:rPr>
                <w:b/>
                <w:sz w:val="22"/>
                <w:szCs w:val="22"/>
              </w:rPr>
              <w:t>Ņemts vērā</w:t>
            </w:r>
          </w:p>
          <w:p w:rsidR="002B45A6" w:rsidRPr="000977B0" w:rsidRDefault="009A3642" w:rsidP="00C30D80">
            <w:pPr>
              <w:pStyle w:val="naisc"/>
              <w:spacing w:before="0" w:after="0"/>
              <w:ind w:firstLine="33"/>
              <w:jc w:val="left"/>
              <w:rPr>
                <w:sz w:val="22"/>
                <w:szCs w:val="22"/>
              </w:rPr>
            </w:pPr>
            <w:r w:rsidRPr="000977B0">
              <w:rPr>
                <w:sz w:val="22"/>
                <w:szCs w:val="22"/>
              </w:rPr>
              <w:t>P</w:t>
            </w:r>
            <w:r w:rsidR="002B45A6" w:rsidRPr="000977B0">
              <w:rPr>
                <w:sz w:val="22"/>
                <w:szCs w:val="22"/>
              </w:rPr>
              <w:t>recizēta anotācijas redakcija.</w:t>
            </w:r>
          </w:p>
        </w:tc>
        <w:tc>
          <w:tcPr>
            <w:tcW w:w="3685" w:type="dxa"/>
            <w:gridSpan w:val="3"/>
            <w:tcBorders>
              <w:top w:val="single" w:sz="4" w:space="0" w:color="auto"/>
              <w:left w:val="single" w:sz="4" w:space="0" w:color="auto"/>
              <w:bottom w:val="single" w:sz="4" w:space="0" w:color="auto"/>
            </w:tcBorders>
          </w:tcPr>
          <w:p w:rsidR="002B45A6" w:rsidRPr="000977B0" w:rsidRDefault="002B45A6" w:rsidP="00C30D80">
            <w:pPr>
              <w:pStyle w:val="naisc"/>
              <w:spacing w:before="0" w:after="0"/>
              <w:jc w:val="both"/>
              <w:rPr>
                <w:sz w:val="22"/>
                <w:szCs w:val="22"/>
              </w:rPr>
            </w:pPr>
            <w:r w:rsidRPr="000977B0">
              <w:rPr>
                <w:sz w:val="22"/>
                <w:szCs w:val="22"/>
              </w:rPr>
              <w:t>Anotācijas sadaļ</w:t>
            </w:r>
            <w:r w:rsidR="001A050D" w:rsidRPr="000977B0">
              <w:rPr>
                <w:sz w:val="22"/>
                <w:szCs w:val="22"/>
              </w:rPr>
              <w:t>a</w:t>
            </w:r>
            <w:r w:rsidRPr="000977B0">
              <w:rPr>
                <w:sz w:val="22"/>
                <w:szCs w:val="22"/>
              </w:rPr>
              <w:t xml:space="preserve"> “Tiesību akta projekta anotācijas kopsavilkums” izteikt</w:t>
            </w:r>
            <w:r w:rsidR="001A050D" w:rsidRPr="000977B0">
              <w:rPr>
                <w:sz w:val="22"/>
                <w:szCs w:val="22"/>
              </w:rPr>
              <w:t>a</w:t>
            </w:r>
            <w:r w:rsidRPr="000977B0">
              <w:rPr>
                <w:sz w:val="22"/>
                <w:szCs w:val="22"/>
              </w:rPr>
              <w:t xml:space="preserve"> šādā redakcijā:</w:t>
            </w:r>
          </w:p>
          <w:p w:rsidR="002B45A6" w:rsidRPr="000977B0" w:rsidRDefault="002B45A6" w:rsidP="00C30D80">
            <w:pPr>
              <w:pStyle w:val="naisc"/>
              <w:spacing w:before="0" w:after="0"/>
              <w:jc w:val="both"/>
              <w:rPr>
                <w:sz w:val="22"/>
                <w:szCs w:val="22"/>
              </w:rPr>
            </w:pPr>
            <w:r w:rsidRPr="000977B0">
              <w:rPr>
                <w:sz w:val="22"/>
                <w:szCs w:val="22"/>
              </w:rPr>
              <w:t>Auditējamās prioritātes izvirzītas, ņemot vērā Valsts pārvaldes reformu plāna 2020 mērķi (efektīva, atbildīga un elastīga valsts pārvalde) un pasākumus, kā arī nepieciešamību novērtēt fizisko personu datu apstrādi un aizsardzību valsts pārvaldē atbilstoši Vispārīgai personas datu aizsardzības regulai (ES) 2016/679 (stājās spēkā 2016.gada 24.maijā, tieši piemērojama no 2018.gada 25.maija).</w:t>
            </w:r>
          </w:p>
          <w:p w:rsidR="00344F5D" w:rsidRPr="000977B0" w:rsidRDefault="00344F5D" w:rsidP="002B45A6">
            <w:pPr>
              <w:pStyle w:val="naisc"/>
              <w:spacing w:before="0" w:after="0"/>
              <w:jc w:val="both"/>
              <w:rPr>
                <w:sz w:val="22"/>
                <w:szCs w:val="22"/>
              </w:rPr>
            </w:pPr>
          </w:p>
          <w:p w:rsidR="00A8145C" w:rsidRPr="000977B0" w:rsidRDefault="00A8145C" w:rsidP="002B45A6">
            <w:pPr>
              <w:pStyle w:val="naisc"/>
              <w:spacing w:before="0" w:after="0"/>
              <w:jc w:val="both"/>
              <w:rPr>
                <w:sz w:val="22"/>
                <w:szCs w:val="22"/>
              </w:rPr>
            </w:pPr>
          </w:p>
          <w:p w:rsidR="00A8145C" w:rsidRPr="000977B0" w:rsidRDefault="00A8145C" w:rsidP="002B45A6">
            <w:pPr>
              <w:pStyle w:val="naisc"/>
              <w:spacing w:before="0" w:after="0"/>
              <w:jc w:val="both"/>
              <w:rPr>
                <w:sz w:val="22"/>
                <w:szCs w:val="22"/>
              </w:rPr>
            </w:pPr>
          </w:p>
          <w:p w:rsidR="002B45A6" w:rsidRPr="000977B0" w:rsidRDefault="002B45A6" w:rsidP="002B45A6">
            <w:pPr>
              <w:pStyle w:val="naisc"/>
              <w:spacing w:before="0" w:after="0"/>
              <w:jc w:val="both"/>
              <w:rPr>
                <w:sz w:val="22"/>
                <w:szCs w:val="22"/>
              </w:rPr>
            </w:pPr>
            <w:r w:rsidRPr="000977B0">
              <w:rPr>
                <w:sz w:val="22"/>
                <w:szCs w:val="22"/>
              </w:rPr>
              <w:t>Anotācijas 1.sadaļ</w:t>
            </w:r>
            <w:r w:rsidR="001A050D" w:rsidRPr="000977B0">
              <w:rPr>
                <w:sz w:val="22"/>
                <w:szCs w:val="22"/>
              </w:rPr>
              <w:t>a</w:t>
            </w:r>
            <w:r w:rsidRPr="000977B0">
              <w:rPr>
                <w:sz w:val="22"/>
                <w:szCs w:val="22"/>
              </w:rPr>
              <w:t xml:space="preserve"> “Tiesību akta projekta izstrādes nepieciešamība” izteikt</w:t>
            </w:r>
            <w:r w:rsidR="001A050D" w:rsidRPr="000977B0">
              <w:rPr>
                <w:sz w:val="22"/>
                <w:szCs w:val="22"/>
              </w:rPr>
              <w:t>a</w:t>
            </w:r>
            <w:r w:rsidRPr="000977B0">
              <w:rPr>
                <w:sz w:val="22"/>
                <w:szCs w:val="22"/>
              </w:rPr>
              <w:t xml:space="preserve"> šādā redakcijā:</w:t>
            </w:r>
          </w:p>
          <w:p w:rsidR="002B45A6" w:rsidRPr="000977B0" w:rsidRDefault="002B45A6" w:rsidP="00933D30">
            <w:pPr>
              <w:pStyle w:val="naisc"/>
              <w:spacing w:before="0" w:after="0"/>
              <w:jc w:val="both"/>
              <w:rPr>
                <w:sz w:val="22"/>
                <w:szCs w:val="22"/>
              </w:rPr>
            </w:pPr>
            <w:r w:rsidRPr="000977B0">
              <w:rPr>
                <w:sz w:val="22"/>
                <w:szCs w:val="22"/>
              </w:rPr>
              <w:t>No 2018.gada 25.maija tiek piemērota Eiropas parlamenta un Padomes 2016.gada 27.aprīļa regula (ES) 2016/679 par fizisku personu aizsardzību attiecībā uz personas datu apstrādi un šādu datu brīvu apriti.</w:t>
            </w:r>
          </w:p>
        </w:tc>
      </w:tr>
      <w:tr w:rsidR="008A3C47" w:rsidRPr="005C7AB2" w:rsidTr="00E019E7">
        <w:trPr>
          <w:gridBefore w:val="1"/>
          <w:wBefore w:w="96" w:type="dxa"/>
        </w:trPr>
        <w:tc>
          <w:tcPr>
            <w:tcW w:w="567" w:type="dxa"/>
            <w:tcBorders>
              <w:top w:val="single" w:sz="6" w:space="0" w:color="000000"/>
              <w:left w:val="single" w:sz="6" w:space="0" w:color="000000"/>
              <w:bottom w:val="single" w:sz="6" w:space="0" w:color="000000"/>
              <w:right w:val="single" w:sz="6" w:space="0" w:color="000000"/>
            </w:tcBorders>
          </w:tcPr>
          <w:p w:rsidR="008A3C47" w:rsidRDefault="00047520" w:rsidP="00C13E3D">
            <w:pPr>
              <w:pStyle w:val="naisc"/>
              <w:numPr>
                <w:ilvl w:val="0"/>
                <w:numId w:val="37"/>
              </w:numPr>
              <w:spacing w:before="0" w:after="0"/>
              <w:ind w:left="-246"/>
              <w:jc w:val="left"/>
              <w:rPr>
                <w:sz w:val="22"/>
                <w:szCs w:val="22"/>
              </w:rPr>
            </w:pPr>
            <w:r>
              <w:rPr>
                <w:sz w:val="22"/>
                <w:szCs w:val="22"/>
              </w:rPr>
              <w:t>6</w:t>
            </w:r>
            <w:r w:rsidR="007206A9">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rsidR="008A3C47" w:rsidRPr="000977B0" w:rsidRDefault="008A3C47" w:rsidP="008A3C47">
            <w:pPr>
              <w:pStyle w:val="naisc"/>
              <w:spacing w:before="0" w:after="0"/>
              <w:jc w:val="both"/>
              <w:rPr>
                <w:sz w:val="22"/>
                <w:szCs w:val="22"/>
                <w:u w:val="single"/>
              </w:rPr>
            </w:pPr>
            <w:r w:rsidRPr="000977B0">
              <w:rPr>
                <w:sz w:val="22"/>
                <w:szCs w:val="22"/>
                <w:u w:val="single"/>
              </w:rPr>
              <w:t>Rīkojuma projekta 3.punkts:</w:t>
            </w:r>
          </w:p>
          <w:p w:rsidR="008A3C47" w:rsidRPr="000977B0" w:rsidRDefault="008A3C47" w:rsidP="008A3C47">
            <w:pPr>
              <w:jc w:val="both"/>
              <w:rPr>
                <w:sz w:val="22"/>
                <w:szCs w:val="22"/>
              </w:rPr>
            </w:pPr>
            <w:r w:rsidRPr="000977B0">
              <w:rPr>
                <w:sz w:val="22"/>
                <w:szCs w:val="22"/>
              </w:rPr>
              <w:t xml:space="preserve">Finanšu ministrijai sadarbībā ar Tieslietu ministriju un Datu valsts inspekciju izstrādāt un </w:t>
            </w:r>
            <w:r w:rsidRPr="000977B0">
              <w:rPr>
                <w:sz w:val="22"/>
                <w:szCs w:val="22"/>
              </w:rPr>
              <w:lastRenderedPageBreak/>
              <w:t>līdz 2019.gada 29.novembrim elektroniski nosūtīt ministriju un iestāžu iekšējā audita struktūrvienībām audita apjomu un ieteicamos principus fizisko personu datu aizsardzības iekšējā audita iekļaušanai iekšējā audita stratēģiskajā un gada plānā, kā arī līdz 2020. gada 15. janvārim elektroniski nosūtīt fizisko personu datu aizsardzības iekšējā audita vadlīnijas (turpmāk - vadlīnijas). Vadlīnijās iekļaut pārskata struktūru, kādā sniedzama informācija par šā rīkojuma 1. un 2. punktā minēto uzdevumu izpildi.</w:t>
            </w:r>
          </w:p>
          <w:p w:rsidR="00A674B9" w:rsidRPr="000977B0" w:rsidRDefault="00A674B9" w:rsidP="008A3C47">
            <w:pPr>
              <w:jc w:val="both"/>
              <w:rPr>
                <w:sz w:val="22"/>
                <w:szCs w:val="22"/>
              </w:rPr>
            </w:pPr>
          </w:p>
          <w:p w:rsidR="00261AEB" w:rsidRPr="000977B0" w:rsidRDefault="00261AEB" w:rsidP="001747CE">
            <w:pPr>
              <w:pStyle w:val="naisc"/>
              <w:spacing w:before="0" w:after="0"/>
              <w:jc w:val="both"/>
              <w:rPr>
                <w:sz w:val="22"/>
                <w:szCs w:val="22"/>
                <w:u w:val="single"/>
              </w:rPr>
            </w:pPr>
          </w:p>
          <w:p w:rsidR="00261AEB" w:rsidRPr="000977B0" w:rsidRDefault="00261AEB" w:rsidP="001747CE">
            <w:pPr>
              <w:pStyle w:val="naisc"/>
              <w:spacing w:before="0" w:after="0"/>
              <w:jc w:val="both"/>
              <w:rPr>
                <w:sz w:val="22"/>
                <w:szCs w:val="22"/>
                <w:u w:val="single"/>
              </w:rPr>
            </w:pPr>
          </w:p>
          <w:p w:rsidR="00261AEB" w:rsidRPr="000977B0" w:rsidRDefault="00261AEB" w:rsidP="001747CE">
            <w:pPr>
              <w:pStyle w:val="naisc"/>
              <w:spacing w:before="0" w:after="0"/>
              <w:jc w:val="both"/>
              <w:rPr>
                <w:sz w:val="22"/>
                <w:szCs w:val="22"/>
                <w:u w:val="single"/>
              </w:rPr>
            </w:pPr>
          </w:p>
          <w:p w:rsidR="00261AEB" w:rsidRPr="000977B0" w:rsidRDefault="00261AEB" w:rsidP="001747CE">
            <w:pPr>
              <w:pStyle w:val="naisc"/>
              <w:spacing w:before="0" w:after="0"/>
              <w:jc w:val="both"/>
              <w:rPr>
                <w:sz w:val="22"/>
                <w:szCs w:val="22"/>
                <w:u w:val="single"/>
              </w:rPr>
            </w:pPr>
          </w:p>
          <w:p w:rsidR="00261AEB" w:rsidRPr="000977B0" w:rsidRDefault="00261AEB" w:rsidP="001747CE">
            <w:pPr>
              <w:pStyle w:val="naisc"/>
              <w:spacing w:before="0" w:after="0"/>
              <w:jc w:val="both"/>
              <w:rPr>
                <w:sz w:val="22"/>
                <w:szCs w:val="22"/>
                <w:u w:val="single"/>
              </w:rPr>
            </w:pPr>
          </w:p>
          <w:p w:rsidR="00261AEB" w:rsidRPr="000977B0" w:rsidRDefault="00261AEB" w:rsidP="001747CE">
            <w:pPr>
              <w:pStyle w:val="naisc"/>
              <w:spacing w:before="0" w:after="0"/>
              <w:jc w:val="both"/>
              <w:rPr>
                <w:sz w:val="22"/>
                <w:szCs w:val="22"/>
                <w:u w:val="single"/>
              </w:rPr>
            </w:pPr>
          </w:p>
          <w:p w:rsidR="00261AEB" w:rsidRPr="000977B0" w:rsidRDefault="00261AEB" w:rsidP="001747CE">
            <w:pPr>
              <w:pStyle w:val="naisc"/>
              <w:spacing w:before="0" w:after="0"/>
              <w:jc w:val="both"/>
              <w:rPr>
                <w:sz w:val="22"/>
                <w:szCs w:val="22"/>
                <w:u w:val="single"/>
              </w:rPr>
            </w:pPr>
          </w:p>
          <w:p w:rsidR="00261AEB" w:rsidRPr="000977B0" w:rsidRDefault="00261AEB" w:rsidP="001747CE">
            <w:pPr>
              <w:pStyle w:val="naisc"/>
              <w:spacing w:before="0" w:after="0"/>
              <w:jc w:val="both"/>
              <w:rPr>
                <w:sz w:val="22"/>
                <w:szCs w:val="22"/>
                <w:u w:val="single"/>
              </w:rPr>
            </w:pPr>
          </w:p>
          <w:p w:rsidR="005F6A70" w:rsidRPr="000977B0" w:rsidRDefault="005F6A70" w:rsidP="001747CE">
            <w:pPr>
              <w:pStyle w:val="naisc"/>
              <w:spacing w:before="0" w:after="0"/>
              <w:jc w:val="both"/>
              <w:rPr>
                <w:sz w:val="22"/>
                <w:szCs w:val="22"/>
                <w:u w:val="single"/>
              </w:rPr>
            </w:pPr>
          </w:p>
          <w:p w:rsidR="001747CE" w:rsidRPr="000977B0" w:rsidRDefault="001747CE" w:rsidP="001747CE">
            <w:pPr>
              <w:pStyle w:val="naisc"/>
              <w:spacing w:before="0" w:after="0"/>
              <w:jc w:val="both"/>
              <w:rPr>
                <w:sz w:val="22"/>
                <w:szCs w:val="22"/>
                <w:u w:val="single"/>
              </w:rPr>
            </w:pPr>
            <w:r w:rsidRPr="000977B0">
              <w:rPr>
                <w:sz w:val="22"/>
                <w:szCs w:val="22"/>
                <w:u w:val="single"/>
              </w:rPr>
              <w:t>Rīkojuma projekta 4.</w:t>
            </w:r>
            <w:r w:rsidR="00F77404" w:rsidRPr="000977B0">
              <w:rPr>
                <w:sz w:val="22"/>
                <w:szCs w:val="22"/>
              </w:rPr>
              <w:t xml:space="preserve"> </w:t>
            </w:r>
            <w:r w:rsidRPr="000977B0">
              <w:rPr>
                <w:sz w:val="22"/>
                <w:szCs w:val="22"/>
                <w:u w:val="single"/>
              </w:rPr>
              <w:t>punkts:</w:t>
            </w:r>
          </w:p>
          <w:p w:rsidR="001747CE" w:rsidRPr="000977B0" w:rsidRDefault="001747CE" w:rsidP="001747CE">
            <w:pPr>
              <w:pStyle w:val="naisc"/>
              <w:spacing w:before="0" w:after="0"/>
              <w:jc w:val="both"/>
              <w:rPr>
                <w:sz w:val="22"/>
                <w:szCs w:val="22"/>
              </w:rPr>
            </w:pPr>
            <w:r w:rsidRPr="000977B0">
              <w:rPr>
                <w:sz w:val="22"/>
                <w:szCs w:val="22"/>
              </w:rPr>
              <w:t xml:space="preserve">Ministriju un iestāžu iekšējā audita struktūrvienībām līdz 2021. gada 30. janvārim iesniegt Finanšu ministrijā fizisko personu datu </w:t>
            </w:r>
            <w:r w:rsidRPr="000977B0">
              <w:rPr>
                <w:sz w:val="22"/>
                <w:szCs w:val="22"/>
              </w:rPr>
              <w:lastRenderedPageBreak/>
              <w:t>aizsardzības iekšējā audita ziņojumu, ieteikumu ieviešanas grafiku un pārskatu, kas sagatavots atbilstoši vadlīnijās noteiktajai struktūrai. Pārskatā par iekšējā audita struktūrvienības darbību 2020. gadā iekļaut informāciju (atbilstoši vadlīnijās noteiktajai struktūrai) par šā rīkojuma 2.</w:t>
            </w:r>
            <w:r w:rsidR="00E5395A" w:rsidRPr="000977B0">
              <w:rPr>
                <w:sz w:val="22"/>
                <w:szCs w:val="22"/>
              </w:rPr>
              <w:t> </w:t>
            </w:r>
            <w:r w:rsidRPr="000977B0">
              <w:rPr>
                <w:sz w:val="22"/>
                <w:szCs w:val="22"/>
              </w:rPr>
              <w:t>punktā minēto uzdevumu izpildi.</w:t>
            </w:r>
          </w:p>
          <w:p w:rsidR="002139D0" w:rsidRPr="000977B0" w:rsidRDefault="002139D0" w:rsidP="008A3C47">
            <w:pPr>
              <w:jc w:val="both"/>
              <w:rPr>
                <w:sz w:val="22"/>
                <w:szCs w:val="22"/>
              </w:rPr>
            </w:pPr>
          </w:p>
          <w:p w:rsidR="009B1205" w:rsidRPr="000977B0" w:rsidRDefault="009B1205" w:rsidP="008A3C47">
            <w:pPr>
              <w:jc w:val="both"/>
              <w:rPr>
                <w:sz w:val="22"/>
                <w:szCs w:val="22"/>
              </w:rPr>
            </w:pPr>
          </w:p>
          <w:p w:rsidR="00A674B9" w:rsidRPr="000977B0" w:rsidRDefault="00A674B9" w:rsidP="00A674B9">
            <w:pPr>
              <w:pStyle w:val="naisc"/>
              <w:spacing w:before="0" w:after="0"/>
              <w:jc w:val="both"/>
              <w:rPr>
                <w:sz w:val="22"/>
                <w:szCs w:val="22"/>
                <w:u w:val="single"/>
              </w:rPr>
            </w:pPr>
            <w:r w:rsidRPr="000977B0">
              <w:rPr>
                <w:sz w:val="22"/>
                <w:szCs w:val="22"/>
                <w:u w:val="single"/>
              </w:rPr>
              <w:t>Anotācijas 1.sadala</w:t>
            </w:r>
            <w:r w:rsidR="002D20D2" w:rsidRPr="000977B0">
              <w:rPr>
                <w:sz w:val="22"/>
                <w:szCs w:val="22"/>
                <w:u w:val="single"/>
              </w:rPr>
              <w:t>s</w:t>
            </w:r>
            <w:r w:rsidRPr="000977B0">
              <w:rPr>
                <w:sz w:val="22"/>
                <w:szCs w:val="22"/>
                <w:u w:val="single"/>
              </w:rPr>
              <w:t xml:space="preserve"> “Tiesību akta projekta izstrādes nepieciešamība”</w:t>
            </w:r>
            <w:r w:rsidR="002D20D2" w:rsidRPr="000977B0">
              <w:rPr>
                <w:sz w:val="22"/>
                <w:szCs w:val="22"/>
                <w:u w:val="single"/>
              </w:rPr>
              <w:t xml:space="preserve"> 2.punkta “Prioritārā audita vadlīniju izstrāde (atbildīgie un termiņi)”  pēdējā rindkopa</w:t>
            </w:r>
          </w:p>
          <w:p w:rsidR="002D20D2" w:rsidRPr="000977B0" w:rsidRDefault="002D20D2" w:rsidP="00A674B9">
            <w:pPr>
              <w:pStyle w:val="naisc"/>
              <w:spacing w:before="0" w:after="0"/>
              <w:jc w:val="both"/>
              <w:rPr>
                <w:sz w:val="22"/>
                <w:szCs w:val="22"/>
              </w:rPr>
            </w:pPr>
            <w:r w:rsidRPr="000977B0">
              <w:rPr>
                <w:sz w:val="22"/>
                <w:szCs w:val="22"/>
              </w:rPr>
              <w:t>Vadlīnijās tiks iekļauta pārskata struktūra, kādā Finanšu ministrijai iesniedzama informācija par prioritārā audita rezultātiem (rīkojuma projekta 1. un 2.punkts).</w:t>
            </w:r>
          </w:p>
          <w:p w:rsidR="002D20D2" w:rsidRPr="000977B0" w:rsidRDefault="002D20D2" w:rsidP="00A674B9">
            <w:pPr>
              <w:pStyle w:val="naisc"/>
              <w:spacing w:before="0" w:after="0"/>
              <w:jc w:val="both"/>
              <w:rPr>
                <w:sz w:val="22"/>
                <w:szCs w:val="22"/>
              </w:rPr>
            </w:pPr>
          </w:p>
          <w:p w:rsidR="002D20D2" w:rsidRPr="000977B0" w:rsidRDefault="002D20D2" w:rsidP="002D20D2">
            <w:pPr>
              <w:pStyle w:val="naisc"/>
              <w:spacing w:before="0" w:after="0"/>
              <w:jc w:val="both"/>
              <w:rPr>
                <w:sz w:val="22"/>
                <w:szCs w:val="22"/>
                <w:u w:val="single"/>
              </w:rPr>
            </w:pPr>
            <w:r w:rsidRPr="000977B0">
              <w:rPr>
                <w:sz w:val="22"/>
                <w:szCs w:val="22"/>
                <w:u w:val="single"/>
              </w:rPr>
              <w:t>Anotācijas 1.sadalas “Tiesību akta projekta izstrādes nepieciešamība” 2.punkta “Pārskata struktūras izstrāde” 1. rindkopa</w:t>
            </w:r>
          </w:p>
          <w:p w:rsidR="00B34AAA" w:rsidRPr="000977B0" w:rsidRDefault="00B34AAA" w:rsidP="00F77404">
            <w:pPr>
              <w:pStyle w:val="naisvisr"/>
              <w:tabs>
                <w:tab w:val="left" w:pos="364"/>
              </w:tabs>
              <w:spacing w:before="0" w:beforeAutospacing="0" w:after="0" w:afterAutospacing="0"/>
              <w:ind w:right="135"/>
              <w:jc w:val="both"/>
              <w:rPr>
                <w:b w:val="0"/>
                <w:sz w:val="22"/>
                <w:szCs w:val="22"/>
              </w:rPr>
            </w:pPr>
            <w:r w:rsidRPr="000977B0">
              <w:rPr>
                <w:b w:val="0"/>
                <w:bCs w:val="0"/>
                <w:sz w:val="22"/>
                <w:szCs w:val="22"/>
                <w:lang w:eastAsia="lv-LV"/>
              </w:rPr>
              <w:t xml:space="preserve">Lai nodrošinātu iekšējā audita struktūrvienību vienotu </w:t>
            </w:r>
            <w:r w:rsidRPr="000977B0">
              <w:rPr>
                <w:b w:val="0"/>
                <w:bCs w:val="0"/>
                <w:sz w:val="22"/>
                <w:szCs w:val="22"/>
                <w:lang w:eastAsia="lv-LV"/>
              </w:rPr>
              <w:lastRenderedPageBreak/>
              <w:t xml:space="preserve">izpratni par prioritārā audita veikšanu un ņemot vērā, ka iekšējā audita stratēģiskais un gada plāns apstiprināms līdz kārtējā gada 15.decembrim (Ministru kabineta 2013.gada 9.jūlija noteikumu Nr.385 “Iekšējā audita veikšanas un novērtēšanas kārtība” 43.punkts), rīkojuma projekts paredz uzdevumu Finanšu ministrijai līdz 2020.gada 15.janvārim izstrādāt un elektroniski nosūtīt ministriju un iestāžu iekšējā audita struktūrvienībām pārskata struktūru, kādā sniedzama informācija par rīkojuma projektā minēto uzdevumu izpildi. Nolūkā optimizēt izstrādājamo dokumentu skaitu </w:t>
            </w:r>
            <w:r w:rsidRPr="00171543">
              <w:rPr>
                <w:b w:val="0"/>
                <w:bCs w:val="0"/>
                <w:sz w:val="22"/>
                <w:szCs w:val="22"/>
                <w:lang w:eastAsia="lv-LV"/>
              </w:rPr>
              <w:t>iepriekš</w:t>
            </w:r>
            <w:r w:rsidRPr="00171543">
              <w:rPr>
                <w:b w:val="0"/>
                <w:sz w:val="22"/>
                <w:szCs w:val="22"/>
              </w:rPr>
              <w:t xml:space="preserve"> minētā pārskata struktūra tiks iekļauta iekšējā audita struktūrvienības gada pārskata formā</w:t>
            </w:r>
            <w:r w:rsidRPr="000977B0">
              <w:rPr>
                <w:rStyle w:val="FootnoteReference"/>
                <w:b w:val="0"/>
                <w:sz w:val="22"/>
                <w:szCs w:val="22"/>
              </w:rPr>
              <w:footnoteReference w:id="2"/>
            </w:r>
            <w:r w:rsidRPr="000977B0">
              <w:rPr>
                <w:b w:val="0"/>
                <w:sz w:val="22"/>
                <w:szCs w:val="22"/>
              </w:rPr>
              <w:t xml:space="preserve">. </w:t>
            </w:r>
          </w:p>
          <w:p w:rsidR="00C23F09" w:rsidRPr="000977B0" w:rsidRDefault="00C23F09" w:rsidP="00F77404">
            <w:pPr>
              <w:pStyle w:val="naisvisr"/>
              <w:tabs>
                <w:tab w:val="left" w:pos="364"/>
              </w:tabs>
              <w:spacing w:before="0" w:beforeAutospacing="0" w:after="0" w:afterAutospacing="0"/>
              <w:ind w:right="135"/>
              <w:jc w:val="both"/>
              <w:rPr>
                <w:b w:val="0"/>
                <w:sz w:val="22"/>
                <w:szCs w:val="22"/>
              </w:rPr>
            </w:pPr>
          </w:p>
          <w:p w:rsidR="00040B79" w:rsidRPr="000977B0" w:rsidRDefault="00040B79" w:rsidP="00040B79">
            <w:pPr>
              <w:pStyle w:val="naisc"/>
              <w:spacing w:before="0" w:after="0"/>
              <w:jc w:val="both"/>
              <w:rPr>
                <w:sz w:val="22"/>
                <w:szCs w:val="22"/>
                <w:u w:val="single"/>
              </w:rPr>
            </w:pPr>
            <w:r w:rsidRPr="000977B0">
              <w:rPr>
                <w:sz w:val="22"/>
                <w:szCs w:val="22"/>
                <w:u w:val="single"/>
              </w:rPr>
              <w:t>Anotācijas 1.sadalas “Tiesību akta projekta izstrādes nepieciešamība” 2.</w:t>
            </w:r>
            <w:r w:rsidR="00CA0FA6" w:rsidRPr="000977B0">
              <w:rPr>
                <w:sz w:val="22"/>
                <w:szCs w:val="22"/>
                <w:u w:val="single"/>
              </w:rPr>
              <w:t xml:space="preserve"> </w:t>
            </w:r>
            <w:r w:rsidRPr="000977B0">
              <w:rPr>
                <w:sz w:val="22"/>
                <w:szCs w:val="22"/>
                <w:u w:val="single"/>
              </w:rPr>
              <w:t>punkta “Pārskata struktūras izstrāde” 2. rindkopa</w:t>
            </w:r>
          </w:p>
          <w:p w:rsidR="008A3C47" w:rsidRPr="000977B0" w:rsidRDefault="00C23F09" w:rsidP="00115187">
            <w:pPr>
              <w:pStyle w:val="naisvisr"/>
              <w:tabs>
                <w:tab w:val="left" w:pos="364"/>
              </w:tabs>
              <w:spacing w:before="0" w:beforeAutospacing="0" w:after="0" w:afterAutospacing="0"/>
              <w:ind w:right="135"/>
              <w:jc w:val="both"/>
              <w:rPr>
                <w:b w:val="0"/>
                <w:sz w:val="22"/>
                <w:szCs w:val="22"/>
              </w:rPr>
            </w:pPr>
            <w:r w:rsidRPr="000977B0">
              <w:rPr>
                <w:b w:val="0"/>
                <w:sz w:val="22"/>
                <w:szCs w:val="22"/>
              </w:rPr>
              <w:lastRenderedPageBreak/>
              <w:t xml:space="preserve">Pārskata struktūrā tiks iekļauta gan struktūra statistiskās informācijas iesniegšanai par veiktajiem auditiem saistībā ar rīkojuma projekta 2.punkta izpildi, gan kritēriji/ efektivitātes aspekti (piemēram, pārskatu, atskaišu nepieciešamība, laika patēriņa, noslodze, administratīvā sloga mazināšana,  procesu vienkāršošana, elektronisko dokumentu izmantošana u.tml.), kam auditos pievērst uzmanību un par kuriem, atskaitīties </w:t>
            </w:r>
            <w:r w:rsidR="009D0BE3" w:rsidRPr="000977B0">
              <w:rPr>
                <w:b w:val="0"/>
                <w:sz w:val="22"/>
                <w:szCs w:val="22"/>
              </w:rPr>
              <w:t>līdz 2021.gada 30.janvārim</w:t>
            </w:r>
            <w:r w:rsidRPr="000977B0">
              <w:rPr>
                <w:b w:val="0"/>
                <w:sz w:val="22"/>
                <w:szCs w:val="22"/>
              </w:rPr>
              <w:t>, lai Finanšu ministrija pēc vienotiem kritērijiem varētu apkopot veikto auditu rezultātus.</w:t>
            </w:r>
          </w:p>
        </w:tc>
        <w:tc>
          <w:tcPr>
            <w:tcW w:w="3260" w:type="dxa"/>
            <w:tcBorders>
              <w:top w:val="single" w:sz="6" w:space="0" w:color="000000"/>
              <w:left w:val="single" w:sz="6" w:space="0" w:color="000000"/>
              <w:bottom w:val="single" w:sz="6" w:space="0" w:color="000000"/>
              <w:right w:val="single" w:sz="6" w:space="0" w:color="000000"/>
            </w:tcBorders>
          </w:tcPr>
          <w:p w:rsidR="008A3C47" w:rsidRPr="000977B0" w:rsidRDefault="008A3C47" w:rsidP="00133A70">
            <w:pPr>
              <w:widowControl w:val="0"/>
              <w:jc w:val="both"/>
              <w:rPr>
                <w:b/>
                <w:sz w:val="22"/>
                <w:szCs w:val="22"/>
              </w:rPr>
            </w:pPr>
            <w:r w:rsidRPr="000977B0">
              <w:rPr>
                <w:b/>
                <w:sz w:val="22"/>
                <w:szCs w:val="22"/>
              </w:rPr>
              <w:lastRenderedPageBreak/>
              <w:t>Veselības ministrija:</w:t>
            </w:r>
          </w:p>
          <w:p w:rsidR="008A3C47" w:rsidRPr="000977B0" w:rsidRDefault="008A3C47" w:rsidP="008A3C47">
            <w:pPr>
              <w:widowControl w:val="0"/>
              <w:jc w:val="both"/>
              <w:rPr>
                <w:sz w:val="22"/>
                <w:szCs w:val="22"/>
              </w:rPr>
            </w:pPr>
            <w:r w:rsidRPr="000977B0">
              <w:rPr>
                <w:sz w:val="22"/>
                <w:szCs w:val="22"/>
              </w:rPr>
              <w:t xml:space="preserve">Projekta 3.punktā paredzēts fizisko personu datu aizsardzības iekšējā audita vadlīnijās iekļaut </w:t>
            </w:r>
            <w:r w:rsidRPr="000977B0">
              <w:rPr>
                <w:sz w:val="22"/>
                <w:szCs w:val="22"/>
              </w:rPr>
              <w:lastRenderedPageBreak/>
              <w:t xml:space="preserve">pārskata struktūru, kādā sniedzama informācija par rīkojuma 1. un 2.punktā minēto uzdevumu izpildi. Ņemot vērā to, ka vadlīniju mērķis ir nodrošināt iekšējā audita struktūrvienību vienotu izpratni par šī prioritārā audita veikšanu, nav likumsakarīgi tajā iekļaut pārskata struktūru, kas attiecināma uz citiem 2020. gadā plānotajiem auditiem. Savukārt anotācijas sadaļā “Pārskata struktūras izstrāde” norādīts, ka pārskata struktūra, kas  paredzēta statistiskās informācijas iesniegšanai par veiktajiem auditiem saistībā ar projekta 2. punkta izpildi, tiks iekļauta iekšējā audita struktūrvienības gada pārskata formā (Ministru kabineta 2013.gada 9.jūlija noteikumu Nr.385 “Iekšējā audita veikšanas un novērtēšanas kārtība” 93.punkts, 6.pielikums). </w:t>
            </w:r>
          </w:p>
          <w:p w:rsidR="008A3C47" w:rsidRPr="000977B0" w:rsidRDefault="008A3C47" w:rsidP="008A3C47">
            <w:pPr>
              <w:widowControl w:val="0"/>
              <w:jc w:val="both"/>
              <w:rPr>
                <w:sz w:val="22"/>
                <w:szCs w:val="22"/>
              </w:rPr>
            </w:pPr>
            <w:r w:rsidRPr="000977B0">
              <w:rPr>
                <w:sz w:val="22"/>
                <w:szCs w:val="22"/>
              </w:rPr>
              <w:t>Līdz ar to lūdzam precizēt projektā un anotācijā minēto pārskatu attiecināmību uz projekta 1. un 2. punktu, kā arī dokumentu,  kurā tiks iekļauta attiecīgā pārskata struktūra.</w:t>
            </w:r>
          </w:p>
        </w:tc>
        <w:tc>
          <w:tcPr>
            <w:tcW w:w="3828" w:type="dxa"/>
            <w:tcBorders>
              <w:top w:val="single" w:sz="6" w:space="0" w:color="000000"/>
              <w:left w:val="single" w:sz="6" w:space="0" w:color="000000"/>
              <w:bottom w:val="single" w:sz="6" w:space="0" w:color="000000"/>
              <w:right w:val="single" w:sz="6" w:space="0" w:color="000000"/>
            </w:tcBorders>
          </w:tcPr>
          <w:p w:rsidR="007913D5" w:rsidRPr="000977B0" w:rsidRDefault="007913D5" w:rsidP="007913D5">
            <w:pPr>
              <w:ind w:firstLine="284"/>
              <w:jc w:val="center"/>
              <w:rPr>
                <w:b/>
                <w:sz w:val="22"/>
                <w:szCs w:val="22"/>
              </w:rPr>
            </w:pPr>
            <w:r w:rsidRPr="000977B0">
              <w:rPr>
                <w:b/>
                <w:sz w:val="22"/>
                <w:szCs w:val="22"/>
              </w:rPr>
              <w:lastRenderedPageBreak/>
              <w:t>Ņemts vērā</w:t>
            </w:r>
          </w:p>
          <w:p w:rsidR="00027859" w:rsidRPr="000977B0" w:rsidRDefault="009A3642" w:rsidP="00027859">
            <w:pPr>
              <w:ind w:firstLine="284"/>
              <w:jc w:val="both"/>
              <w:rPr>
                <w:sz w:val="22"/>
                <w:szCs w:val="22"/>
              </w:rPr>
            </w:pPr>
            <w:r w:rsidRPr="000977B0">
              <w:rPr>
                <w:sz w:val="22"/>
                <w:szCs w:val="22"/>
              </w:rPr>
              <w:t>Precizēts</w:t>
            </w:r>
            <w:r w:rsidR="00027859" w:rsidRPr="000977B0">
              <w:rPr>
                <w:sz w:val="22"/>
                <w:szCs w:val="22"/>
              </w:rPr>
              <w:t xml:space="preserve"> rīkojuma projekt</w:t>
            </w:r>
            <w:r w:rsidRPr="000977B0">
              <w:rPr>
                <w:sz w:val="22"/>
                <w:szCs w:val="22"/>
              </w:rPr>
              <w:t>s un anotācija</w:t>
            </w:r>
            <w:r w:rsidR="00027859" w:rsidRPr="000977B0">
              <w:rPr>
                <w:sz w:val="22"/>
                <w:szCs w:val="22"/>
              </w:rPr>
              <w:t>.</w:t>
            </w:r>
          </w:p>
          <w:p w:rsidR="007913D5" w:rsidRPr="000977B0" w:rsidRDefault="007913D5" w:rsidP="007913D5">
            <w:pPr>
              <w:ind w:firstLine="284"/>
              <w:jc w:val="both"/>
              <w:rPr>
                <w:sz w:val="22"/>
                <w:szCs w:val="22"/>
              </w:rPr>
            </w:pPr>
            <w:r w:rsidRPr="000977B0">
              <w:rPr>
                <w:sz w:val="22"/>
                <w:szCs w:val="22"/>
              </w:rPr>
              <w:lastRenderedPageBreak/>
              <w:t xml:space="preserve">Anotācijas 1.sadaļas 2.punkta “Prioritārā audita vadlīniju izstrāde (atbildīgie un termiņi)” 2.rindkopā norādīts, ka fizisko personu datu apstrāde ir saistīta ar ministrijas vai iestādes pamatdarbības jomām, ministriju un iestāžu iekšējā audita struktūrvienības prioritāro auditu var integrēt plānotajos pamatdarbības sistēmas auditos vai arī plānot kā atsevišķu prioritāro auditu. </w:t>
            </w:r>
          </w:p>
          <w:p w:rsidR="007913D5" w:rsidRPr="000977B0" w:rsidRDefault="007913D5" w:rsidP="007913D5">
            <w:pPr>
              <w:ind w:firstLine="284"/>
              <w:jc w:val="both"/>
              <w:rPr>
                <w:sz w:val="22"/>
                <w:szCs w:val="22"/>
              </w:rPr>
            </w:pPr>
            <w:r w:rsidRPr="000977B0">
              <w:rPr>
                <w:sz w:val="22"/>
                <w:szCs w:val="22"/>
              </w:rPr>
              <w:t xml:space="preserve">Integrējot prioritāro auditu plānotajos pamatdarbības sistēmas auditos, </w:t>
            </w:r>
            <w:r w:rsidR="00D646AE" w:rsidRPr="000977B0">
              <w:rPr>
                <w:sz w:val="22"/>
                <w:szCs w:val="22"/>
              </w:rPr>
              <w:t xml:space="preserve">gan </w:t>
            </w:r>
            <w:r w:rsidRPr="000977B0">
              <w:rPr>
                <w:sz w:val="22"/>
                <w:szCs w:val="22"/>
              </w:rPr>
              <w:t>informācij</w:t>
            </w:r>
            <w:r w:rsidR="00D646AE" w:rsidRPr="000977B0">
              <w:rPr>
                <w:sz w:val="22"/>
                <w:szCs w:val="22"/>
              </w:rPr>
              <w:t>a</w:t>
            </w:r>
            <w:r w:rsidRPr="000977B0">
              <w:rPr>
                <w:sz w:val="22"/>
                <w:szCs w:val="22"/>
              </w:rPr>
              <w:t xml:space="preserve"> par</w:t>
            </w:r>
            <w:r w:rsidR="00D646AE" w:rsidRPr="000977B0">
              <w:rPr>
                <w:sz w:val="22"/>
                <w:szCs w:val="22"/>
              </w:rPr>
              <w:t xml:space="preserve"> prioritāro auditu, gan statistiskā informācija par veiktajiem auditiem saistībā ar projekta 2. punkta izpildi</w:t>
            </w:r>
            <w:r w:rsidRPr="000977B0">
              <w:rPr>
                <w:sz w:val="22"/>
                <w:szCs w:val="22"/>
              </w:rPr>
              <w:t xml:space="preserve"> </w:t>
            </w:r>
            <w:r w:rsidR="00D646AE" w:rsidRPr="000977B0">
              <w:rPr>
                <w:sz w:val="22"/>
                <w:szCs w:val="22"/>
              </w:rPr>
              <w:t xml:space="preserve">ir iekļaujama pārskatā. </w:t>
            </w:r>
          </w:p>
          <w:p w:rsidR="007913D5" w:rsidRPr="000977B0" w:rsidRDefault="007913D5" w:rsidP="001747CE">
            <w:pPr>
              <w:jc w:val="both"/>
              <w:rPr>
                <w:sz w:val="22"/>
                <w:szCs w:val="22"/>
              </w:rPr>
            </w:pPr>
          </w:p>
          <w:p w:rsidR="001747CE" w:rsidRPr="000977B0" w:rsidRDefault="001747CE" w:rsidP="001747CE">
            <w:pPr>
              <w:jc w:val="both"/>
              <w:rPr>
                <w:sz w:val="22"/>
                <w:szCs w:val="22"/>
              </w:rPr>
            </w:pPr>
          </w:p>
          <w:p w:rsidR="001747CE" w:rsidRPr="000977B0" w:rsidRDefault="001747CE" w:rsidP="001747CE">
            <w:pPr>
              <w:jc w:val="both"/>
              <w:rPr>
                <w:sz w:val="22"/>
                <w:szCs w:val="22"/>
              </w:rPr>
            </w:pPr>
          </w:p>
          <w:p w:rsidR="001747CE" w:rsidRPr="000977B0" w:rsidRDefault="001747CE" w:rsidP="001747CE">
            <w:pPr>
              <w:jc w:val="both"/>
              <w:rPr>
                <w:sz w:val="22"/>
                <w:szCs w:val="22"/>
              </w:rPr>
            </w:pPr>
          </w:p>
          <w:p w:rsidR="001747CE" w:rsidRPr="000977B0" w:rsidRDefault="001747CE" w:rsidP="001747CE">
            <w:pPr>
              <w:jc w:val="both"/>
              <w:rPr>
                <w:sz w:val="22"/>
                <w:szCs w:val="22"/>
              </w:rPr>
            </w:pPr>
          </w:p>
          <w:p w:rsidR="001747CE" w:rsidRPr="000977B0" w:rsidRDefault="001747CE" w:rsidP="001747CE">
            <w:pPr>
              <w:jc w:val="both"/>
              <w:rPr>
                <w:sz w:val="22"/>
                <w:szCs w:val="22"/>
              </w:rPr>
            </w:pPr>
          </w:p>
          <w:p w:rsidR="008A3C47" w:rsidRPr="000977B0" w:rsidRDefault="008A3C47" w:rsidP="007913D5">
            <w:pPr>
              <w:ind w:firstLine="284"/>
              <w:jc w:val="both"/>
              <w:rPr>
                <w:sz w:val="22"/>
                <w:szCs w:val="22"/>
              </w:rPr>
            </w:pPr>
          </w:p>
          <w:p w:rsidR="001747CE" w:rsidRPr="000977B0" w:rsidRDefault="001747CE" w:rsidP="007913D5">
            <w:pPr>
              <w:ind w:firstLine="284"/>
              <w:jc w:val="both"/>
              <w:rPr>
                <w:sz w:val="22"/>
                <w:szCs w:val="22"/>
              </w:rPr>
            </w:pPr>
          </w:p>
          <w:p w:rsidR="001747CE" w:rsidRPr="000977B0" w:rsidRDefault="001747CE" w:rsidP="007913D5">
            <w:pPr>
              <w:ind w:firstLine="284"/>
              <w:jc w:val="both"/>
              <w:rPr>
                <w:sz w:val="22"/>
                <w:szCs w:val="22"/>
              </w:rPr>
            </w:pPr>
          </w:p>
        </w:tc>
        <w:tc>
          <w:tcPr>
            <w:tcW w:w="3685" w:type="dxa"/>
            <w:gridSpan w:val="3"/>
            <w:tcBorders>
              <w:top w:val="single" w:sz="4" w:space="0" w:color="auto"/>
              <w:left w:val="single" w:sz="4" w:space="0" w:color="auto"/>
              <w:bottom w:val="single" w:sz="4" w:space="0" w:color="auto"/>
            </w:tcBorders>
          </w:tcPr>
          <w:p w:rsidR="00261AEB" w:rsidRPr="000977B0" w:rsidRDefault="00261AEB" w:rsidP="00261AEB">
            <w:pPr>
              <w:pStyle w:val="naisc"/>
              <w:ind w:firstLine="12"/>
              <w:jc w:val="both"/>
              <w:rPr>
                <w:rFonts w:eastAsia="Calibri"/>
                <w:sz w:val="22"/>
                <w:szCs w:val="22"/>
                <w:lang w:eastAsia="en-US"/>
              </w:rPr>
            </w:pPr>
            <w:r w:rsidRPr="000977B0">
              <w:rPr>
                <w:rFonts w:eastAsia="Calibri"/>
                <w:sz w:val="22"/>
                <w:szCs w:val="22"/>
                <w:lang w:eastAsia="en-US"/>
              </w:rPr>
              <w:lastRenderedPageBreak/>
              <w:t>Rīkojuma projekta 3.punktam nomainīta numerācija, tas ir 2.punkts, kas izteikts šādā redakcijā:</w:t>
            </w:r>
          </w:p>
          <w:p w:rsidR="00261AEB" w:rsidRPr="000977B0" w:rsidRDefault="00261AEB" w:rsidP="00261AEB">
            <w:pPr>
              <w:pStyle w:val="naisc"/>
              <w:ind w:firstLine="12"/>
              <w:jc w:val="both"/>
              <w:rPr>
                <w:rFonts w:eastAsia="Calibri"/>
                <w:sz w:val="22"/>
                <w:szCs w:val="22"/>
                <w:lang w:eastAsia="en-US"/>
              </w:rPr>
            </w:pPr>
            <w:r w:rsidRPr="000977B0">
              <w:rPr>
                <w:rFonts w:eastAsia="Calibri"/>
                <w:sz w:val="22"/>
                <w:szCs w:val="22"/>
                <w:lang w:eastAsia="en-US"/>
              </w:rPr>
              <w:lastRenderedPageBreak/>
              <w:t xml:space="preserve">2. Finanšu ministrijai sadarbībā ar Tieslietu ministriju izstrādāt un līdz 2019. gada 29. novembrim elektroniski nosūtīt ministriju un iestāžu iekšējā audita struktūrvienībām audita apjomu un ieteicamos principus fizisko personu datu aizsardzības iekšējā audita iekļaušanai iekšējā audita stratēģiskajā un gada plānā, kā arī līdz 2020. gada 15. februārim elektroniski nosūtīt fizisko personu datu aizsardzības iekšējā audita vadlīnijas (turpmāk - vadlīnijas). Vadlīnijās iekļaut pārskata struktūru, kādā sniedzama informācija par šā rīkojuma 1. punktā minētā uzdevuma izpildi. </w:t>
            </w:r>
          </w:p>
          <w:p w:rsidR="00261AEB" w:rsidRPr="000977B0" w:rsidRDefault="00261AEB" w:rsidP="00261AEB">
            <w:pPr>
              <w:pStyle w:val="naisc"/>
              <w:ind w:firstLine="12"/>
              <w:jc w:val="both"/>
              <w:rPr>
                <w:rFonts w:eastAsia="Calibri"/>
                <w:sz w:val="22"/>
                <w:szCs w:val="22"/>
                <w:lang w:eastAsia="en-US"/>
              </w:rPr>
            </w:pPr>
          </w:p>
          <w:p w:rsidR="00261AEB" w:rsidRPr="000977B0" w:rsidRDefault="00261AEB" w:rsidP="00261AEB">
            <w:pPr>
              <w:pStyle w:val="naisc"/>
              <w:ind w:firstLine="12"/>
              <w:jc w:val="both"/>
              <w:rPr>
                <w:rFonts w:eastAsia="Calibri"/>
                <w:sz w:val="22"/>
                <w:szCs w:val="22"/>
                <w:lang w:eastAsia="en-US"/>
              </w:rPr>
            </w:pPr>
            <w:r w:rsidRPr="000977B0">
              <w:rPr>
                <w:rFonts w:eastAsia="Calibri"/>
                <w:sz w:val="22"/>
                <w:szCs w:val="22"/>
                <w:lang w:eastAsia="en-US"/>
              </w:rPr>
              <w:t>No rīkojuma projekta 3.punkta izdalīts atsevišķs punkts, tas ir 4.punkts, kas izteikts šādā redakcijā:</w:t>
            </w:r>
          </w:p>
          <w:p w:rsidR="00261AEB" w:rsidRPr="000977B0" w:rsidRDefault="00261AEB" w:rsidP="00261AEB">
            <w:pPr>
              <w:jc w:val="both"/>
              <w:rPr>
                <w:rFonts w:eastAsia="Calibri"/>
                <w:sz w:val="22"/>
                <w:szCs w:val="22"/>
                <w:lang w:eastAsia="en-US"/>
              </w:rPr>
            </w:pPr>
            <w:r w:rsidRPr="000977B0">
              <w:rPr>
                <w:rFonts w:eastAsia="Calibri"/>
                <w:sz w:val="22"/>
                <w:szCs w:val="22"/>
                <w:lang w:eastAsia="en-US"/>
              </w:rPr>
              <w:t xml:space="preserve">4. Finanšu ministrijai izstrādāt un līdz 2020.gada 15.janvārim elektroniski nosūtīt ministriju un iestāžu iekšējā audita struktūrvienībām pārskata struktūru, kādā sniedzama informācija par šā rīkojuma 3. punktā minēto uzdevumu izpildi. </w:t>
            </w:r>
          </w:p>
          <w:p w:rsidR="00341930" w:rsidRPr="000977B0" w:rsidRDefault="00341930" w:rsidP="008E132F">
            <w:pPr>
              <w:jc w:val="both"/>
              <w:rPr>
                <w:sz w:val="22"/>
                <w:szCs w:val="22"/>
              </w:rPr>
            </w:pPr>
          </w:p>
          <w:p w:rsidR="00261AEB" w:rsidRPr="000977B0" w:rsidRDefault="00261AEB" w:rsidP="008E132F">
            <w:pPr>
              <w:pStyle w:val="naisc"/>
              <w:spacing w:before="0" w:after="0"/>
              <w:ind w:firstLine="12"/>
              <w:jc w:val="both"/>
              <w:rPr>
                <w:rFonts w:eastAsia="Calibri"/>
                <w:sz w:val="22"/>
                <w:szCs w:val="22"/>
                <w:lang w:eastAsia="en-US"/>
              </w:rPr>
            </w:pPr>
            <w:r w:rsidRPr="000977B0">
              <w:rPr>
                <w:rFonts w:eastAsia="Calibri"/>
                <w:sz w:val="22"/>
                <w:szCs w:val="22"/>
                <w:lang w:eastAsia="en-US"/>
              </w:rPr>
              <w:t>Rīkojuma projekta 4.punktam nomainīta numerācija, tas ir 5.punkts, kas izteikts šādā redakcijā:</w:t>
            </w:r>
          </w:p>
          <w:p w:rsidR="00261AEB" w:rsidRPr="000977B0" w:rsidRDefault="00261AEB" w:rsidP="00261AEB">
            <w:pPr>
              <w:pStyle w:val="naisc"/>
              <w:ind w:firstLine="12"/>
              <w:jc w:val="both"/>
              <w:rPr>
                <w:rFonts w:eastAsia="Calibri"/>
                <w:sz w:val="22"/>
                <w:szCs w:val="22"/>
                <w:lang w:eastAsia="en-US"/>
              </w:rPr>
            </w:pPr>
            <w:r w:rsidRPr="000977B0">
              <w:rPr>
                <w:rFonts w:eastAsia="Calibri"/>
                <w:sz w:val="22"/>
                <w:szCs w:val="22"/>
                <w:lang w:eastAsia="en-US"/>
              </w:rPr>
              <w:t xml:space="preserve">5. Ministriju un iestāžu iekšējā audita struktūrvienībām līdz 2021. gada 1.martam iesniegt Finanšu ministrijā </w:t>
            </w:r>
            <w:r w:rsidRPr="000977B0">
              <w:rPr>
                <w:rFonts w:eastAsia="Calibri"/>
                <w:sz w:val="22"/>
                <w:szCs w:val="22"/>
                <w:lang w:eastAsia="en-US"/>
              </w:rPr>
              <w:lastRenderedPageBreak/>
              <w:t>pārskatu par šā rīkojuma 1. punkta izpildi, kas sagatavots atbilstoši vadlīnijās noteiktajai struktūrai. Nepieciešamības gadījumā Finanšu ministrijai ir tiesības pieprasīt no iekšējā audita struktūrvienības fizisko personu datu aizsardzības iekšējā audita ziņojumu un ieteikumu ieviešanas grafiku pilnvērtīgai informācijas apkopošanai. Pārskatā par iekšējā audita struktūrvienības darbību 2020. gadā iekļaut pārskatu par šā rīkojuma 3. punkta izpildi (atbilstoši 4.punktā noteiktajai pārskata struktūrai).</w:t>
            </w:r>
          </w:p>
          <w:p w:rsidR="008A3C47" w:rsidRPr="000977B0" w:rsidRDefault="008A3C47" w:rsidP="00C30D80">
            <w:pPr>
              <w:pStyle w:val="naisc"/>
              <w:spacing w:before="0" w:after="0"/>
              <w:jc w:val="both"/>
              <w:rPr>
                <w:sz w:val="22"/>
                <w:szCs w:val="22"/>
              </w:rPr>
            </w:pPr>
          </w:p>
          <w:p w:rsidR="00040B79" w:rsidRPr="000977B0" w:rsidRDefault="00040B79" w:rsidP="00040B79">
            <w:pPr>
              <w:pStyle w:val="naisc"/>
              <w:spacing w:before="0" w:after="0"/>
              <w:jc w:val="both"/>
              <w:rPr>
                <w:sz w:val="22"/>
                <w:szCs w:val="22"/>
              </w:rPr>
            </w:pPr>
            <w:r w:rsidRPr="000977B0">
              <w:rPr>
                <w:sz w:val="22"/>
                <w:szCs w:val="22"/>
              </w:rPr>
              <w:t xml:space="preserve">Anotācijas 1.sadalas “Tiesību akta projekta izstrādes nepieciešamība” 2.punkta “Prioritārā audita vadlīniju izstrāde (atbildīgie un termiņi)” </w:t>
            </w:r>
            <w:r w:rsidR="00A25DF4" w:rsidRPr="000977B0">
              <w:rPr>
                <w:sz w:val="22"/>
                <w:szCs w:val="22"/>
              </w:rPr>
              <w:t>pēdējā</w:t>
            </w:r>
            <w:r w:rsidR="00F77404" w:rsidRPr="000977B0">
              <w:rPr>
                <w:sz w:val="22"/>
                <w:szCs w:val="22"/>
              </w:rPr>
              <w:t xml:space="preserve"> </w:t>
            </w:r>
            <w:r w:rsidRPr="000977B0">
              <w:rPr>
                <w:sz w:val="22"/>
                <w:szCs w:val="22"/>
              </w:rPr>
              <w:t>rindkop</w:t>
            </w:r>
            <w:r w:rsidR="001A050D" w:rsidRPr="000977B0">
              <w:rPr>
                <w:sz w:val="22"/>
                <w:szCs w:val="22"/>
              </w:rPr>
              <w:t>a</w:t>
            </w:r>
            <w:r w:rsidRPr="000977B0">
              <w:rPr>
                <w:sz w:val="22"/>
                <w:szCs w:val="22"/>
              </w:rPr>
              <w:t xml:space="preserve"> izteikt</w:t>
            </w:r>
            <w:r w:rsidR="001A050D" w:rsidRPr="000977B0">
              <w:rPr>
                <w:sz w:val="22"/>
                <w:szCs w:val="22"/>
              </w:rPr>
              <w:t>a</w:t>
            </w:r>
            <w:r w:rsidRPr="000977B0">
              <w:rPr>
                <w:sz w:val="22"/>
                <w:szCs w:val="22"/>
              </w:rPr>
              <w:t xml:space="preserve"> šādā redakcijā:</w:t>
            </w:r>
          </w:p>
          <w:p w:rsidR="00040B79" w:rsidRPr="000977B0" w:rsidRDefault="00040B79" w:rsidP="00040B79">
            <w:pPr>
              <w:pStyle w:val="naisc"/>
              <w:spacing w:before="0" w:after="0"/>
              <w:jc w:val="both"/>
              <w:rPr>
                <w:sz w:val="22"/>
                <w:szCs w:val="22"/>
              </w:rPr>
            </w:pPr>
            <w:r w:rsidRPr="000977B0">
              <w:rPr>
                <w:sz w:val="22"/>
                <w:szCs w:val="22"/>
              </w:rPr>
              <w:t>Vadlīnijās tiks iekļauta pārskat</w:t>
            </w:r>
            <w:r w:rsidR="007635C0" w:rsidRPr="000977B0">
              <w:rPr>
                <w:sz w:val="22"/>
                <w:szCs w:val="22"/>
              </w:rPr>
              <w:t>a</w:t>
            </w:r>
            <w:r w:rsidRPr="000977B0">
              <w:rPr>
                <w:sz w:val="22"/>
                <w:szCs w:val="22"/>
              </w:rPr>
              <w:t xml:space="preserve"> struktūra, kādā Finanšu ministrijai iesniedzama informācija par prioritārā audita rezultātiem (rīkojuma projekta </w:t>
            </w:r>
            <w:r w:rsidR="007635C0" w:rsidRPr="000977B0">
              <w:rPr>
                <w:sz w:val="22"/>
                <w:szCs w:val="22"/>
              </w:rPr>
              <w:t>2</w:t>
            </w:r>
            <w:r w:rsidRPr="000977B0">
              <w:rPr>
                <w:sz w:val="22"/>
                <w:szCs w:val="22"/>
              </w:rPr>
              <w:t>.punkts).</w:t>
            </w:r>
          </w:p>
          <w:p w:rsidR="00040B79" w:rsidRPr="000977B0" w:rsidRDefault="00040B79" w:rsidP="00C30D80">
            <w:pPr>
              <w:pStyle w:val="naisc"/>
              <w:spacing w:before="0" w:after="0"/>
              <w:jc w:val="both"/>
              <w:rPr>
                <w:sz w:val="22"/>
                <w:szCs w:val="22"/>
              </w:rPr>
            </w:pPr>
          </w:p>
          <w:p w:rsidR="00F77404" w:rsidRPr="000977B0" w:rsidRDefault="00F77404" w:rsidP="00C30D80">
            <w:pPr>
              <w:pStyle w:val="naisc"/>
              <w:spacing w:before="0" w:after="0"/>
              <w:jc w:val="both"/>
              <w:rPr>
                <w:sz w:val="22"/>
                <w:szCs w:val="22"/>
              </w:rPr>
            </w:pPr>
          </w:p>
          <w:p w:rsidR="00F77404" w:rsidRPr="000977B0" w:rsidRDefault="00F77404" w:rsidP="00C30D80">
            <w:pPr>
              <w:pStyle w:val="naisc"/>
              <w:spacing w:before="0" w:after="0"/>
              <w:jc w:val="both"/>
              <w:rPr>
                <w:sz w:val="22"/>
                <w:szCs w:val="22"/>
              </w:rPr>
            </w:pPr>
          </w:p>
          <w:p w:rsidR="00F77404" w:rsidRPr="000977B0" w:rsidRDefault="00F77404" w:rsidP="00C30D80">
            <w:pPr>
              <w:pStyle w:val="naisc"/>
              <w:spacing w:before="0" w:after="0"/>
              <w:jc w:val="both"/>
              <w:rPr>
                <w:sz w:val="22"/>
                <w:szCs w:val="22"/>
              </w:rPr>
            </w:pPr>
          </w:p>
          <w:p w:rsidR="00350360" w:rsidRPr="000977B0" w:rsidRDefault="00350360" w:rsidP="00F77404">
            <w:pPr>
              <w:pStyle w:val="naisc"/>
              <w:spacing w:before="0" w:after="0"/>
              <w:jc w:val="both"/>
              <w:rPr>
                <w:sz w:val="22"/>
                <w:szCs w:val="22"/>
              </w:rPr>
            </w:pPr>
          </w:p>
          <w:p w:rsidR="00F77404" w:rsidRPr="000977B0" w:rsidRDefault="00F77404" w:rsidP="00F77404">
            <w:pPr>
              <w:pStyle w:val="naisc"/>
              <w:spacing w:before="0" w:after="0"/>
              <w:jc w:val="both"/>
              <w:rPr>
                <w:sz w:val="22"/>
                <w:szCs w:val="22"/>
              </w:rPr>
            </w:pPr>
            <w:r w:rsidRPr="000977B0">
              <w:rPr>
                <w:sz w:val="22"/>
                <w:szCs w:val="22"/>
              </w:rPr>
              <w:t>Anotācijas 1.sadalas “Tiesību akta projekta izstrādes nepieciešamība” 2.punkta “Pārskata struktūras izstrāde” 1. rindkop</w:t>
            </w:r>
            <w:r w:rsidR="001A050D" w:rsidRPr="000977B0">
              <w:rPr>
                <w:sz w:val="22"/>
                <w:szCs w:val="22"/>
              </w:rPr>
              <w:t>a</w:t>
            </w:r>
            <w:r w:rsidRPr="000977B0">
              <w:rPr>
                <w:sz w:val="22"/>
                <w:szCs w:val="22"/>
              </w:rPr>
              <w:t xml:space="preserve"> izteikt</w:t>
            </w:r>
            <w:r w:rsidR="001A050D" w:rsidRPr="000977B0">
              <w:rPr>
                <w:sz w:val="22"/>
                <w:szCs w:val="22"/>
              </w:rPr>
              <w:t>a</w:t>
            </w:r>
            <w:r w:rsidRPr="000977B0">
              <w:rPr>
                <w:sz w:val="22"/>
                <w:szCs w:val="22"/>
              </w:rPr>
              <w:t xml:space="preserve"> šādā redakcijā:</w:t>
            </w:r>
          </w:p>
          <w:p w:rsidR="00151817" w:rsidRPr="000977B0" w:rsidRDefault="000D799C" w:rsidP="00151817">
            <w:pPr>
              <w:pStyle w:val="naisc"/>
              <w:spacing w:before="0" w:after="0"/>
              <w:jc w:val="both"/>
              <w:rPr>
                <w:b/>
                <w:sz w:val="22"/>
                <w:szCs w:val="22"/>
              </w:rPr>
            </w:pPr>
            <w:r w:rsidRPr="000977B0">
              <w:rPr>
                <w:bCs/>
                <w:sz w:val="22"/>
                <w:szCs w:val="22"/>
              </w:rPr>
              <w:lastRenderedPageBreak/>
              <w:t xml:space="preserve">Lai nodrošinātu iekšējā audita struktūrvienību vienotu izpratni par prioritārā audita veikšanu un ņemot vērā, ka iekšējā audita stratēģiskais un gada plāns apstiprināms līdz kārtējā gada 15.decembrim (Ministru kabineta 2013.gada 9.jūlija noteikumu Nr.385 “Iekšējā audita veikšanas un novērtēšanas kārtība” 43.punkts), rīkojuma projekts paredz uzdevumu Finanšu ministrijai līdz 2020.gada 15.janvārim izstrādāt un elektroniski nosūtīt ministriju un iestāžu iekšējā audita struktūrvienībām pārskata struktūru, kādā sniedzama informācija par rīkojuma projekta 3.punkta izpildi. Nolūkā optimizēt izstrādājamo dokumentu skaitu iepriekš minētais pārskats par šā rīkojuma 3. punkta izpildi tiks iekļauts iekšējā audita struktūrvienības 2020. gada darbības pārskatā </w:t>
            </w:r>
            <w:r w:rsidR="00F77404" w:rsidRPr="000977B0">
              <w:rPr>
                <w:rStyle w:val="FootnoteReference"/>
                <w:sz w:val="22"/>
                <w:szCs w:val="22"/>
              </w:rPr>
              <w:footnoteReference w:id="3"/>
            </w:r>
            <w:r w:rsidR="00F77404" w:rsidRPr="000977B0">
              <w:rPr>
                <w:sz w:val="22"/>
                <w:szCs w:val="22"/>
              </w:rPr>
              <w:t>.</w:t>
            </w:r>
          </w:p>
          <w:p w:rsidR="00151817" w:rsidRPr="000977B0" w:rsidRDefault="00151817" w:rsidP="00151817">
            <w:pPr>
              <w:pStyle w:val="naisc"/>
              <w:spacing w:before="0" w:after="0"/>
              <w:jc w:val="both"/>
              <w:rPr>
                <w:b/>
                <w:sz w:val="22"/>
                <w:szCs w:val="22"/>
              </w:rPr>
            </w:pPr>
          </w:p>
          <w:p w:rsidR="00151817" w:rsidRPr="000977B0" w:rsidRDefault="00151817" w:rsidP="00151817">
            <w:pPr>
              <w:pStyle w:val="naisc"/>
              <w:spacing w:before="0" w:after="0"/>
              <w:jc w:val="both"/>
              <w:rPr>
                <w:b/>
                <w:sz w:val="22"/>
                <w:szCs w:val="22"/>
              </w:rPr>
            </w:pPr>
          </w:p>
          <w:p w:rsidR="00151817" w:rsidRPr="000977B0" w:rsidRDefault="00151817" w:rsidP="00151817">
            <w:pPr>
              <w:pStyle w:val="naisc"/>
              <w:spacing w:before="0" w:after="0"/>
              <w:jc w:val="both"/>
              <w:rPr>
                <w:b/>
                <w:sz w:val="22"/>
                <w:szCs w:val="22"/>
              </w:rPr>
            </w:pPr>
          </w:p>
          <w:p w:rsidR="00151817" w:rsidRPr="000977B0" w:rsidRDefault="00151817" w:rsidP="00151817">
            <w:pPr>
              <w:pStyle w:val="naisc"/>
              <w:spacing w:before="0" w:after="0"/>
              <w:jc w:val="both"/>
              <w:rPr>
                <w:b/>
                <w:sz w:val="22"/>
                <w:szCs w:val="22"/>
              </w:rPr>
            </w:pPr>
          </w:p>
          <w:p w:rsidR="00151817" w:rsidRPr="000977B0" w:rsidRDefault="00151817" w:rsidP="00151817">
            <w:pPr>
              <w:pStyle w:val="naisc"/>
              <w:spacing w:before="0" w:after="0"/>
              <w:jc w:val="both"/>
              <w:rPr>
                <w:b/>
                <w:sz w:val="22"/>
                <w:szCs w:val="22"/>
              </w:rPr>
            </w:pPr>
          </w:p>
          <w:p w:rsidR="00151817" w:rsidRPr="000977B0" w:rsidRDefault="00151817" w:rsidP="00151817">
            <w:pPr>
              <w:pStyle w:val="naisc"/>
              <w:spacing w:before="0" w:after="0"/>
              <w:jc w:val="both"/>
              <w:rPr>
                <w:b/>
                <w:sz w:val="22"/>
                <w:szCs w:val="22"/>
              </w:rPr>
            </w:pPr>
          </w:p>
          <w:p w:rsidR="00151817" w:rsidRPr="000977B0" w:rsidRDefault="00151817" w:rsidP="00151817">
            <w:pPr>
              <w:pStyle w:val="naisc"/>
              <w:spacing w:before="0" w:after="0"/>
              <w:jc w:val="both"/>
              <w:rPr>
                <w:b/>
                <w:sz w:val="22"/>
                <w:szCs w:val="22"/>
              </w:rPr>
            </w:pPr>
          </w:p>
          <w:p w:rsidR="00151817" w:rsidRPr="000977B0" w:rsidRDefault="00151817" w:rsidP="00151817">
            <w:pPr>
              <w:pStyle w:val="naisc"/>
              <w:spacing w:before="0" w:after="0"/>
              <w:jc w:val="both"/>
              <w:rPr>
                <w:b/>
                <w:sz w:val="22"/>
                <w:szCs w:val="22"/>
              </w:rPr>
            </w:pPr>
          </w:p>
          <w:p w:rsidR="00151817" w:rsidRPr="000977B0" w:rsidRDefault="00151817" w:rsidP="00151817">
            <w:pPr>
              <w:pStyle w:val="naisc"/>
              <w:spacing w:before="0" w:after="0"/>
              <w:jc w:val="both"/>
              <w:rPr>
                <w:sz w:val="22"/>
                <w:szCs w:val="22"/>
              </w:rPr>
            </w:pPr>
            <w:r w:rsidRPr="000977B0">
              <w:rPr>
                <w:sz w:val="22"/>
                <w:szCs w:val="22"/>
              </w:rPr>
              <w:t xml:space="preserve">Anotācijas 1.sadalas “Tiesību akta projekta izstrādes nepieciešamība” </w:t>
            </w:r>
            <w:r w:rsidRPr="000977B0">
              <w:rPr>
                <w:sz w:val="22"/>
                <w:szCs w:val="22"/>
              </w:rPr>
              <w:lastRenderedPageBreak/>
              <w:t>2.</w:t>
            </w:r>
            <w:r w:rsidR="00CA0FA6" w:rsidRPr="000977B0">
              <w:rPr>
                <w:sz w:val="22"/>
                <w:szCs w:val="22"/>
              </w:rPr>
              <w:t> </w:t>
            </w:r>
            <w:r w:rsidRPr="000977B0">
              <w:rPr>
                <w:sz w:val="22"/>
                <w:szCs w:val="22"/>
              </w:rPr>
              <w:t>punkta “Pārskata struktūras izstrāde” 2. rindkop</w:t>
            </w:r>
            <w:r w:rsidR="001A050D" w:rsidRPr="000977B0">
              <w:rPr>
                <w:sz w:val="22"/>
                <w:szCs w:val="22"/>
              </w:rPr>
              <w:t>a</w:t>
            </w:r>
            <w:r w:rsidRPr="000977B0">
              <w:rPr>
                <w:sz w:val="22"/>
                <w:szCs w:val="22"/>
              </w:rPr>
              <w:t xml:space="preserve"> izteikt</w:t>
            </w:r>
            <w:r w:rsidR="001A050D" w:rsidRPr="000977B0">
              <w:rPr>
                <w:sz w:val="22"/>
                <w:szCs w:val="22"/>
              </w:rPr>
              <w:t>a</w:t>
            </w:r>
            <w:r w:rsidRPr="000977B0">
              <w:rPr>
                <w:sz w:val="22"/>
                <w:szCs w:val="22"/>
              </w:rPr>
              <w:t xml:space="preserve"> šādā redakcij</w:t>
            </w:r>
            <w:r w:rsidR="00DE0958" w:rsidRPr="000977B0">
              <w:rPr>
                <w:sz w:val="22"/>
                <w:szCs w:val="22"/>
              </w:rPr>
              <w:t>ā:</w:t>
            </w:r>
          </w:p>
          <w:p w:rsidR="00151817" w:rsidRPr="000977B0" w:rsidRDefault="00E93180" w:rsidP="00151817">
            <w:pPr>
              <w:pStyle w:val="naisc"/>
              <w:spacing w:before="0" w:after="0"/>
              <w:jc w:val="both"/>
              <w:rPr>
                <w:b/>
                <w:sz w:val="22"/>
                <w:szCs w:val="22"/>
              </w:rPr>
            </w:pPr>
            <w:r w:rsidRPr="000977B0">
              <w:rPr>
                <w:bCs/>
                <w:sz w:val="22"/>
                <w:szCs w:val="22"/>
                <w:lang w:eastAsia="en-US"/>
              </w:rPr>
              <w:t>Pārskata par šā rīkojuma 3. punkta izpildi struktūrā tiks iekļauta gan struktūra statistiskās informācijas iesniegšanai par veiktajiem auditiem saistībā ar rīkojuma projekta 3.punkta izpildi, gan kritēriji/ efektivitātes aspekti (piemēram, pārskatu, atskaišu nepieciešamība, laika patēriņa, noslodze, administratīvā sloga mazināšana,  procesu vienkāršošana, elektronisko dokumentu izmantošana u.tml.), kam auditos pievērst uzmanību un par kuriem atskaitīties līdz 2021.gada 30.janvārim</w:t>
            </w:r>
            <w:r w:rsidRPr="000977B0">
              <w:rPr>
                <w:rStyle w:val="FootnoteReference"/>
                <w:bCs/>
                <w:sz w:val="22"/>
                <w:szCs w:val="22"/>
                <w:lang w:eastAsia="en-US"/>
              </w:rPr>
              <w:footnoteReference w:id="4"/>
            </w:r>
            <w:r w:rsidRPr="000977B0">
              <w:rPr>
                <w:bCs/>
                <w:sz w:val="22"/>
                <w:szCs w:val="22"/>
                <w:lang w:eastAsia="en-US"/>
              </w:rPr>
              <w:t>, lai Finanšu ministrija pēc vienotiem kritērijiem varētu apkopot veikto auditu rezultātus</w:t>
            </w:r>
            <w:r w:rsidRPr="000977B0">
              <w:rPr>
                <w:sz w:val="22"/>
                <w:szCs w:val="22"/>
              </w:rPr>
              <w:t>.</w:t>
            </w:r>
          </w:p>
        </w:tc>
      </w:tr>
      <w:tr w:rsidR="001801C2" w:rsidRPr="00FB036F" w:rsidTr="00E019E7">
        <w:tblPrEx>
          <w:tblBorders>
            <w:top w:val="none" w:sz="0" w:space="0" w:color="auto"/>
            <w:left w:val="none" w:sz="0" w:space="0" w:color="auto"/>
            <w:bottom w:val="none" w:sz="0" w:space="0" w:color="auto"/>
            <w:right w:val="none" w:sz="0" w:space="0" w:color="auto"/>
          </w:tblBorders>
        </w:tblPrEx>
        <w:trPr>
          <w:gridAfter w:val="2"/>
          <w:wAfter w:w="1701" w:type="dxa"/>
        </w:trPr>
        <w:tc>
          <w:tcPr>
            <w:tcW w:w="12712" w:type="dxa"/>
            <w:gridSpan w:val="6"/>
          </w:tcPr>
          <w:p w:rsidR="00291F39" w:rsidRDefault="00291F39" w:rsidP="006226B4">
            <w:pPr>
              <w:pStyle w:val="naiskr"/>
              <w:spacing w:before="0" w:after="0"/>
              <w:jc w:val="center"/>
            </w:pPr>
          </w:p>
          <w:p w:rsidR="00837492" w:rsidRPr="00FB036F" w:rsidRDefault="001801C2" w:rsidP="00F03C2B">
            <w:pPr>
              <w:pStyle w:val="naiskr"/>
              <w:spacing w:before="0" w:after="0"/>
              <w:jc w:val="center"/>
            </w:pPr>
            <w:r w:rsidRPr="00FB036F">
              <w:t>Atbildīgā amatpersona</w:t>
            </w:r>
            <w:r w:rsidR="007D7D41">
              <w:t xml:space="preserve">                           </w:t>
            </w:r>
            <w:r w:rsidR="00357EE5">
              <w:t xml:space="preserve">                                                                                                                    </w:t>
            </w:r>
            <w:r w:rsidR="00F03C2B">
              <w:t>V</w:t>
            </w:r>
            <w:r w:rsidR="006226B4">
              <w:t>i</w:t>
            </w:r>
            <w:r w:rsidR="00F03C2B">
              <w:t>j</w:t>
            </w:r>
            <w:r w:rsidR="006226B4">
              <w:t xml:space="preserve">a </w:t>
            </w:r>
            <w:r w:rsidR="00F03C2B">
              <w:t>Gurkovsk</w:t>
            </w:r>
            <w:r w:rsidR="006226B4">
              <w:t>a</w:t>
            </w:r>
          </w:p>
        </w:tc>
      </w:tr>
      <w:tr w:rsidR="001801C2" w:rsidRPr="00FB036F" w:rsidTr="00E019E7">
        <w:tblPrEx>
          <w:tblBorders>
            <w:top w:val="none" w:sz="0" w:space="0" w:color="auto"/>
            <w:left w:val="none" w:sz="0" w:space="0" w:color="auto"/>
            <w:bottom w:val="none" w:sz="0" w:space="0" w:color="auto"/>
            <w:right w:val="none" w:sz="0" w:space="0" w:color="auto"/>
          </w:tblBorders>
        </w:tblPrEx>
        <w:trPr>
          <w:gridAfter w:val="2"/>
          <w:wAfter w:w="1701" w:type="dxa"/>
        </w:trPr>
        <w:tc>
          <w:tcPr>
            <w:tcW w:w="12712" w:type="dxa"/>
            <w:gridSpan w:val="6"/>
          </w:tcPr>
          <w:p w:rsidR="00837492" w:rsidRPr="00FB036F" w:rsidRDefault="00837492" w:rsidP="00B9725B">
            <w:pPr>
              <w:pStyle w:val="naiskr"/>
              <w:spacing w:before="0" w:after="0"/>
            </w:pPr>
          </w:p>
        </w:tc>
      </w:tr>
      <w:tr w:rsidR="001801C2" w:rsidRPr="00FB036F" w:rsidTr="00E019E7">
        <w:tblPrEx>
          <w:tblBorders>
            <w:top w:val="none" w:sz="0" w:space="0" w:color="auto"/>
            <w:left w:val="none" w:sz="0" w:space="0" w:color="auto"/>
            <w:bottom w:val="none" w:sz="0" w:space="0" w:color="auto"/>
            <w:right w:val="none" w:sz="0" w:space="0" w:color="auto"/>
          </w:tblBorders>
        </w:tblPrEx>
        <w:trPr>
          <w:gridAfter w:val="1"/>
          <w:wAfter w:w="130" w:type="dxa"/>
          <w:trHeight w:val="1220"/>
        </w:trPr>
        <w:tc>
          <w:tcPr>
            <w:tcW w:w="14283" w:type="dxa"/>
            <w:gridSpan w:val="7"/>
          </w:tcPr>
          <w:p w:rsidR="00721253" w:rsidRDefault="0090512F" w:rsidP="00B9725B">
            <w:pPr>
              <w:rPr>
                <w:sz w:val="20"/>
                <w:szCs w:val="20"/>
              </w:rPr>
            </w:pPr>
            <w:r w:rsidRPr="00721253">
              <w:rPr>
                <w:sz w:val="20"/>
                <w:szCs w:val="20"/>
              </w:rPr>
              <w:t xml:space="preserve">Iekšējā audita departamenta </w:t>
            </w:r>
          </w:p>
          <w:p w:rsidR="00721253" w:rsidRDefault="0090512F" w:rsidP="00B9725B">
            <w:pPr>
              <w:rPr>
                <w:sz w:val="20"/>
                <w:szCs w:val="20"/>
              </w:rPr>
            </w:pPr>
            <w:r w:rsidRPr="00721253">
              <w:rPr>
                <w:sz w:val="20"/>
                <w:szCs w:val="20"/>
              </w:rPr>
              <w:t xml:space="preserve">Iekšējā audita politikas plānošanas </w:t>
            </w:r>
          </w:p>
          <w:p w:rsidR="0090512F" w:rsidRPr="00721253" w:rsidRDefault="0090512F" w:rsidP="00B9725B">
            <w:pPr>
              <w:rPr>
                <w:sz w:val="20"/>
                <w:szCs w:val="20"/>
              </w:rPr>
            </w:pPr>
            <w:r w:rsidRPr="00721253">
              <w:rPr>
                <w:sz w:val="20"/>
                <w:szCs w:val="20"/>
              </w:rPr>
              <w:t xml:space="preserve">nodaļas vecākā eksperte </w:t>
            </w:r>
          </w:p>
          <w:p w:rsidR="001801C2" w:rsidRPr="00721253" w:rsidRDefault="0090512F" w:rsidP="00B9725B">
            <w:pPr>
              <w:rPr>
                <w:sz w:val="20"/>
                <w:szCs w:val="20"/>
              </w:rPr>
            </w:pPr>
            <w:r w:rsidRPr="00721253">
              <w:rPr>
                <w:sz w:val="20"/>
                <w:szCs w:val="20"/>
              </w:rPr>
              <w:t>tālr. </w:t>
            </w:r>
            <w:r w:rsidR="001801C2" w:rsidRPr="00721253">
              <w:rPr>
                <w:sz w:val="20"/>
                <w:szCs w:val="20"/>
              </w:rPr>
              <w:t>670</w:t>
            </w:r>
            <w:r w:rsidR="00E252DA">
              <w:rPr>
                <w:sz w:val="20"/>
                <w:szCs w:val="20"/>
              </w:rPr>
              <w:t>95488</w:t>
            </w:r>
          </w:p>
          <w:p w:rsidR="00721253" w:rsidRPr="00721253" w:rsidRDefault="00382156" w:rsidP="00341930">
            <w:pPr>
              <w:rPr>
                <w:sz w:val="20"/>
                <w:szCs w:val="20"/>
                <w:u w:val="single"/>
              </w:rPr>
            </w:pPr>
            <w:hyperlink r:id="rId8" w:history="1">
              <w:r w:rsidR="00721253" w:rsidRPr="00721253">
                <w:rPr>
                  <w:rStyle w:val="Hyperlink"/>
                  <w:sz w:val="20"/>
                  <w:szCs w:val="20"/>
                </w:rPr>
                <w:t>julija.adamovica@fm.gov.lv</w:t>
              </w:r>
            </w:hyperlink>
          </w:p>
        </w:tc>
      </w:tr>
    </w:tbl>
    <w:p w:rsidR="001801C2" w:rsidRPr="00FB036F" w:rsidRDefault="001801C2" w:rsidP="00171543">
      <w:pPr>
        <w:pStyle w:val="naisf"/>
        <w:spacing w:before="0" w:after="0"/>
        <w:ind w:firstLine="0"/>
        <w:rPr>
          <w:rFonts w:eastAsia="SimSun"/>
          <w:lang w:eastAsia="zh-CN" w:bidi="he-IL"/>
        </w:rPr>
      </w:pPr>
      <w:bookmarkStart w:id="0" w:name="_GoBack"/>
      <w:bookmarkEnd w:id="0"/>
    </w:p>
    <w:sectPr w:rsidR="001801C2" w:rsidRPr="00FB036F" w:rsidSect="00F9270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5B" w:rsidRDefault="00B9725B">
      <w:r>
        <w:separator/>
      </w:r>
    </w:p>
  </w:endnote>
  <w:endnote w:type="continuationSeparator" w:id="0">
    <w:p w:rsidR="00B9725B" w:rsidRDefault="00B9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58" w:rsidRDefault="00376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B" w:rsidRPr="008C41C0" w:rsidRDefault="00B9725B" w:rsidP="00A61696">
    <w:pPr>
      <w:jc w:val="both"/>
      <w:rPr>
        <w:sz w:val="20"/>
        <w:szCs w:val="20"/>
      </w:rPr>
    </w:pPr>
    <w:r w:rsidRPr="00376358">
      <w:rPr>
        <w:sz w:val="20"/>
        <w:szCs w:val="20"/>
      </w:rPr>
      <w:t>FMIzz_1</w:t>
    </w:r>
    <w:r w:rsidR="00376358" w:rsidRPr="00376358">
      <w:rPr>
        <w:sz w:val="20"/>
        <w:szCs w:val="20"/>
      </w:rPr>
      <w:t>8</w:t>
    </w:r>
    <w:r w:rsidRPr="00376358">
      <w:rPr>
        <w:sz w:val="20"/>
        <w:szCs w:val="20"/>
      </w:rPr>
      <w:t>1019_MKprior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B" w:rsidRPr="00CA42B5" w:rsidRDefault="00B9725B" w:rsidP="009E241E">
    <w:pPr>
      <w:jc w:val="both"/>
      <w:rPr>
        <w:sz w:val="20"/>
        <w:szCs w:val="20"/>
      </w:rPr>
    </w:pPr>
    <w:r w:rsidRPr="00376358">
      <w:rPr>
        <w:sz w:val="20"/>
        <w:szCs w:val="20"/>
      </w:rPr>
      <w:t>FMIzz_1</w:t>
    </w:r>
    <w:r w:rsidR="00376358" w:rsidRPr="00376358">
      <w:rPr>
        <w:sz w:val="20"/>
        <w:szCs w:val="20"/>
      </w:rPr>
      <w:t>8</w:t>
    </w:r>
    <w:r w:rsidRPr="00376358">
      <w:rPr>
        <w:sz w:val="20"/>
        <w:szCs w:val="20"/>
      </w:rPr>
      <w:t>1019_MKprior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5B" w:rsidRDefault="00B9725B">
      <w:r>
        <w:separator/>
      </w:r>
    </w:p>
  </w:footnote>
  <w:footnote w:type="continuationSeparator" w:id="0">
    <w:p w:rsidR="00B9725B" w:rsidRDefault="00B9725B">
      <w:r>
        <w:continuationSeparator/>
      </w:r>
    </w:p>
  </w:footnote>
  <w:footnote w:id="1">
    <w:p w:rsidR="00B9725B" w:rsidRDefault="00B9725B">
      <w:pPr>
        <w:pStyle w:val="FootnoteText"/>
      </w:pPr>
      <w:r>
        <w:rPr>
          <w:rStyle w:val="FootnoteReference"/>
        </w:rPr>
        <w:footnoteRef/>
      </w:r>
      <w:r>
        <w:t xml:space="preserve"> Skatīt Ministru kabineta 2017.gada 16.augusta noteikumu Nr.474 “Tieslietu ministrijas nolikums” 4.punktu.</w:t>
      </w:r>
    </w:p>
  </w:footnote>
  <w:footnote w:id="2">
    <w:p w:rsidR="00B9725B" w:rsidRPr="00CD7D9B" w:rsidRDefault="00B9725B" w:rsidP="00B34AAA">
      <w:pPr>
        <w:pStyle w:val="FootnoteText"/>
        <w:jc w:val="both"/>
      </w:pPr>
      <w:r w:rsidRPr="00CD7D9B">
        <w:rPr>
          <w:rStyle w:val="FootnoteReference"/>
        </w:rPr>
        <w:footnoteRef/>
      </w:r>
      <w:r w:rsidRPr="00CD7D9B">
        <w:t xml:space="preserve"> Ministru kabineta 2013.gada 9.jūlija noteikumu Nr.385 “Iekšējā audita veikšanas un novērtēšanas kārtība” 93.punkts, 6.pielikums.</w:t>
      </w:r>
    </w:p>
  </w:footnote>
  <w:footnote w:id="3">
    <w:p w:rsidR="00B9725B" w:rsidRPr="00CD7D9B" w:rsidRDefault="00B9725B" w:rsidP="00F77404">
      <w:pPr>
        <w:pStyle w:val="FootnoteText"/>
        <w:jc w:val="both"/>
      </w:pPr>
      <w:r w:rsidRPr="00CD7D9B">
        <w:rPr>
          <w:rStyle w:val="FootnoteReference"/>
        </w:rPr>
        <w:footnoteRef/>
      </w:r>
      <w:r w:rsidRPr="00CD7D9B">
        <w:t xml:space="preserve"> Ministru kabineta 2013.gada 9.jūlija noteikumu Nr.385 “Iekšējā audita veikšanas un novērtēšanas kārtība” 93.punkts, 6.pielikums.</w:t>
      </w:r>
    </w:p>
  </w:footnote>
  <w:footnote w:id="4">
    <w:p w:rsidR="00E93180" w:rsidRPr="00CD7D9B" w:rsidRDefault="00E93180" w:rsidP="00E93180">
      <w:pPr>
        <w:pStyle w:val="FootnoteText"/>
        <w:jc w:val="both"/>
      </w:pPr>
      <w:r w:rsidRPr="00CD7D9B">
        <w:rPr>
          <w:rStyle w:val="FootnoteReference"/>
        </w:rPr>
        <w:footnoteRef/>
      </w:r>
      <w:r w:rsidRPr="00CD7D9B">
        <w:t xml:space="preserve"> Iekšējā audita struktūrvienības gada pārskata iesniegšanas termiņš; Ministru kabineta 2013.gada 9.jūlija noteikumu Nr.385 “Iekšējā audita veikšanas un novērtēšanas kārtība” 102.punkts.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B" w:rsidRDefault="00B9725B"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25B" w:rsidRDefault="00B9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5B" w:rsidRDefault="00B9725B"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156">
      <w:rPr>
        <w:rStyle w:val="PageNumber"/>
        <w:noProof/>
      </w:rPr>
      <w:t>20</w:t>
    </w:r>
    <w:r>
      <w:rPr>
        <w:rStyle w:val="PageNumber"/>
      </w:rPr>
      <w:fldChar w:fldCharType="end"/>
    </w:r>
  </w:p>
  <w:p w:rsidR="00B9725B" w:rsidRDefault="00B97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58" w:rsidRDefault="0037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AF"/>
    <w:multiLevelType w:val="hybridMultilevel"/>
    <w:tmpl w:val="A2E83BF6"/>
    <w:lvl w:ilvl="0" w:tplc="89FCF0D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250D5C"/>
    <w:multiLevelType w:val="hybridMultilevel"/>
    <w:tmpl w:val="8C3E9D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1351B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210B66"/>
    <w:multiLevelType w:val="multilevel"/>
    <w:tmpl w:val="B85AC45A"/>
    <w:lvl w:ilvl="0">
      <w:start w:val="1"/>
      <w:numFmt w:val="decimal"/>
      <w:lvlText w:val="%1."/>
      <w:lvlJc w:val="left"/>
      <w:pPr>
        <w:tabs>
          <w:tab w:val="num" w:pos="502"/>
        </w:tabs>
        <w:ind w:left="502" w:hanging="360"/>
      </w:pPr>
      <w:rPr>
        <w:color w:val="auto"/>
        <w:sz w:val="28"/>
        <w:szCs w:val="28"/>
      </w:rPr>
    </w:lvl>
    <w:lvl w:ilvl="1">
      <w:start w:val="1"/>
      <w:numFmt w:val="decimal"/>
      <w:lvlText w:val="%1.%2."/>
      <w:lvlJc w:val="left"/>
      <w:pPr>
        <w:tabs>
          <w:tab w:val="num" w:pos="716"/>
        </w:tabs>
        <w:ind w:left="716"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1801687"/>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FB1BCB"/>
    <w:multiLevelType w:val="hybridMultilevel"/>
    <w:tmpl w:val="AFC0C74C"/>
    <w:lvl w:ilvl="0" w:tplc="0426000F">
      <w:start w:val="1"/>
      <w:numFmt w:val="decimal"/>
      <w:lvlText w:val="%1."/>
      <w:lvlJc w:val="left"/>
      <w:pPr>
        <w:ind w:left="80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6C1331"/>
    <w:multiLevelType w:val="multilevel"/>
    <w:tmpl w:val="DB28362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F752A5"/>
    <w:multiLevelType w:val="multilevel"/>
    <w:tmpl w:val="6924F182"/>
    <w:lvl w:ilvl="0">
      <w:start w:val="30"/>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BBB78CD"/>
    <w:multiLevelType w:val="hybridMultilevel"/>
    <w:tmpl w:val="361E8512"/>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3" w15:restartNumberingAfterBreak="0">
    <w:nsid w:val="1D7D093F"/>
    <w:multiLevelType w:val="multilevel"/>
    <w:tmpl w:val="CA76AEC0"/>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5" w15:restartNumberingAfterBreak="0">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52A69F9"/>
    <w:multiLevelType w:val="multilevel"/>
    <w:tmpl w:val="8564DE24"/>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53B062A"/>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9" w15:restartNumberingAfterBreak="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3A3358D"/>
    <w:multiLevelType w:val="hybridMultilevel"/>
    <w:tmpl w:val="17522766"/>
    <w:lvl w:ilvl="0" w:tplc="B4580EC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6051A85"/>
    <w:multiLevelType w:val="hybridMultilevel"/>
    <w:tmpl w:val="0DACBE98"/>
    <w:lvl w:ilvl="0" w:tplc="65F62AAA">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A6598"/>
    <w:multiLevelType w:val="multilevel"/>
    <w:tmpl w:val="93E0964E"/>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25A76"/>
    <w:multiLevelType w:val="multilevel"/>
    <w:tmpl w:val="D958AE56"/>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4FD7364"/>
    <w:multiLevelType w:val="hybridMultilevel"/>
    <w:tmpl w:val="3BA6C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060232"/>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B570822"/>
    <w:multiLevelType w:val="hybridMultilevel"/>
    <w:tmpl w:val="F2BEEE6E"/>
    <w:lvl w:ilvl="0" w:tplc="ABD497CC">
      <w:start w:val="2018"/>
      <w:numFmt w:val="bullet"/>
      <w:lvlText w:val="-"/>
      <w:lvlJc w:val="left"/>
      <w:pPr>
        <w:ind w:left="1053" w:hanging="360"/>
      </w:pPr>
      <w:rPr>
        <w:rFonts w:ascii="Times New Roman" w:eastAsia="Calibri" w:hAnsi="Times New Roman" w:cs="Times New Roman" w:hint="default"/>
      </w:rPr>
    </w:lvl>
    <w:lvl w:ilvl="1" w:tplc="04260003" w:tentative="1">
      <w:start w:val="1"/>
      <w:numFmt w:val="bullet"/>
      <w:lvlText w:val="o"/>
      <w:lvlJc w:val="left"/>
      <w:pPr>
        <w:ind w:left="1773" w:hanging="360"/>
      </w:pPr>
      <w:rPr>
        <w:rFonts w:ascii="Courier New" w:hAnsi="Courier New" w:cs="Courier New" w:hint="default"/>
      </w:rPr>
    </w:lvl>
    <w:lvl w:ilvl="2" w:tplc="04260005" w:tentative="1">
      <w:start w:val="1"/>
      <w:numFmt w:val="bullet"/>
      <w:lvlText w:val=""/>
      <w:lvlJc w:val="left"/>
      <w:pPr>
        <w:ind w:left="2493" w:hanging="360"/>
      </w:pPr>
      <w:rPr>
        <w:rFonts w:ascii="Wingdings" w:hAnsi="Wingdings" w:hint="default"/>
      </w:rPr>
    </w:lvl>
    <w:lvl w:ilvl="3" w:tplc="04260001" w:tentative="1">
      <w:start w:val="1"/>
      <w:numFmt w:val="bullet"/>
      <w:lvlText w:val=""/>
      <w:lvlJc w:val="left"/>
      <w:pPr>
        <w:ind w:left="3213" w:hanging="360"/>
      </w:pPr>
      <w:rPr>
        <w:rFonts w:ascii="Symbol" w:hAnsi="Symbol" w:hint="default"/>
      </w:rPr>
    </w:lvl>
    <w:lvl w:ilvl="4" w:tplc="04260003" w:tentative="1">
      <w:start w:val="1"/>
      <w:numFmt w:val="bullet"/>
      <w:lvlText w:val="o"/>
      <w:lvlJc w:val="left"/>
      <w:pPr>
        <w:ind w:left="3933" w:hanging="360"/>
      </w:pPr>
      <w:rPr>
        <w:rFonts w:ascii="Courier New" w:hAnsi="Courier New" w:cs="Courier New" w:hint="default"/>
      </w:rPr>
    </w:lvl>
    <w:lvl w:ilvl="5" w:tplc="04260005" w:tentative="1">
      <w:start w:val="1"/>
      <w:numFmt w:val="bullet"/>
      <w:lvlText w:val=""/>
      <w:lvlJc w:val="left"/>
      <w:pPr>
        <w:ind w:left="4653" w:hanging="360"/>
      </w:pPr>
      <w:rPr>
        <w:rFonts w:ascii="Wingdings" w:hAnsi="Wingdings" w:hint="default"/>
      </w:rPr>
    </w:lvl>
    <w:lvl w:ilvl="6" w:tplc="04260001" w:tentative="1">
      <w:start w:val="1"/>
      <w:numFmt w:val="bullet"/>
      <w:lvlText w:val=""/>
      <w:lvlJc w:val="left"/>
      <w:pPr>
        <w:ind w:left="5373" w:hanging="360"/>
      </w:pPr>
      <w:rPr>
        <w:rFonts w:ascii="Symbol" w:hAnsi="Symbol" w:hint="default"/>
      </w:rPr>
    </w:lvl>
    <w:lvl w:ilvl="7" w:tplc="04260003" w:tentative="1">
      <w:start w:val="1"/>
      <w:numFmt w:val="bullet"/>
      <w:lvlText w:val="o"/>
      <w:lvlJc w:val="left"/>
      <w:pPr>
        <w:ind w:left="6093" w:hanging="360"/>
      </w:pPr>
      <w:rPr>
        <w:rFonts w:ascii="Courier New" w:hAnsi="Courier New" w:cs="Courier New" w:hint="default"/>
      </w:rPr>
    </w:lvl>
    <w:lvl w:ilvl="8" w:tplc="04260005" w:tentative="1">
      <w:start w:val="1"/>
      <w:numFmt w:val="bullet"/>
      <w:lvlText w:val=""/>
      <w:lvlJc w:val="left"/>
      <w:pPr>
        <w:ind w:left="6813" w:hanging="360"/>
      </w:pPr>
      <w:rPr>
        <w:rFonts w:ascii="Wingdings" w:hAnsi="Wingdings" w:hint="default"/>
      </w:rPr>
    </w:lvl>
  </w:abstractNum>
  <w:abstractNum w:abstractNumId="29" w15:restartNumberingAfterBreak="0">
    <w:nsid w:val="4DBD1BCB"/>
    <w:multiLevelType w:val="hybridMultilevel"/>
    <w:tmpl w:val="093CC27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4FCD2EE2"/>
    <w:multiLevelType w:val="hybridMultilevel"/>
    <w:tmpl w:val="3F8C665E"/>
    <w:lvl w:ilvl="0" w:tplc="422ABB10">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1" w15:restartNumberingAfterBreak="0">
    <w:nsid w:val="532D3E9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3510638"/>
    <w:multiLevelType w:val="hybridMultilevel"/>
    <w:tmpl w:val="F648E2D2"/>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4870A22"/>
    <w:multiLevelType w:val="multilevel"/>
    <w:tmpl w:val="BA087620"/>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5" w15:restartNumberingAfterBreak="0">
    <w:nsid w:val="5EE007AA"/>
    <w:multiLevelType w:val="hybridMultilevel"/>
    <w:tmpl w:val="52A27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8F5216"/>
    <w:multiLevelType w:val="multilevel"/>
    <w:tmpl w:val="B41E5226"/>
    <w:lvl w:ilvl="0">
      <w:start w:val="2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829497F"/>
    <w:multiLevelType w:val="hybridMultilevel"/>
    <w:tmpl w:val="425EA3D8"/>
    <w:lvl w:ilvl="0" w:tplc="A8AEA1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C537E87"/>
    <w:multiLevelType w:val="multilevel"/>
    <w:tmpl w:val="AAE45D52"/>
    <w:lvl w:ilvl="0">
      <w:start w:val="2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6DD43547"/>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6FCF3AD1"/>
    <w:multiLevelType w:val="hybridMultilevel"/>
    <w:tmpl w:val="21DA0268"/>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39154C8"/>
    <w:multiLevelType w:val="hybridMultilevel"/>
    <w:tmpl w:val="D6D659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E4E576B"/>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8"/>
  </w:num>
  <w:num w:numId="2">
    <w:abstractNumId w:val="38"/>
  </w:num>
  <w:num w:numId="3">
    <w:abstractNumId w:val="3"/>
  </w:num>
  <w:num w:numId="4">
    <w:abstractNumId w:val="19"/>
  </w:num>
  <w:num w:numId="5">
    <w:abstractNumId w:val="14"/>
  </w:num>
  <w:num w:numId="6">
    <w:abstractNumId w:val="22"/>
  </w:num>
  <w:num w:numId="7">
    <w:abstractNumId w:val="24"/>
  </w:num>
  <w:num w:numId="8">
    <w:abstractNumId w:val="34"/>
  </w:num>
  <w:num w:numId="9">
    <w:abstractNumId w:val="2"/>
  </w:num>
  <w:num w:numId="10">
    <w:abstractNumId w:val="15"/>
  </w:num>
  <w:num w:numId="11">
    <w:abstractNumId w:val="8"/>
  </w:num>
  <w:num w:numId="12">
    <w:abstractNumId w:val="31"/>
  </w:num>
  <w:num w:numId="13">
    <w:abstractNumId w:val="40"/>
  </w:num>
  <w:num w:numId="14">
    <w:abstractNumId w:val="4"/>
  </w:num>
  <w:num w:numId="15">
    <w:abstractNumId w:val="43"/>
  </w:num>
  <w:num w:numId="16">
    <w:abstractNumId w:val="17"/>
  </w:num>
  <w:num w:numId="17">
    <w:abstractNumId w:val="37"/>
  </w:num>
  <w:num w:numId="18">
    <w:abstractNumId w:val="12"/>
  </w:num>
  <w:num w:numId="19">
    <w:abstractNumId w:val="5"/>
  </w:num>
  <w:num w:numId="20">
    <w:abstractNumId w:val="20"/>
  </w:num>
  <w:num w:numId="21">
    <w:abstractNumId w:val="33"/>
  </w:num>
  <w:num w:numId="22">
    <w:abstractNumId w:val="16"/>
  </w:num>
  <w:num w:numId="23">
    <w:abstractNumId w:val="13"/>
  </w:num>
  <w:num w:numId="24">
    <w:abstractNumId w:val="36"/>
  </w:num>
  <w:num w:numId="25">
    <w:abstractNumId w:val="30"/>
  </w:num>
  <w:num w:numId="26">
    <w:abstractNumId w:val="23"/>
  </w:num>
  <w:num w:numId="27">
    <w:abstractNumId w:val="27"/>
  </w:num>
  <w:num w:numId="28">
    <w:abstractNumId w:val="6"/>
  </w:num>
  <w:num w:numId="29">
    <w:abstractNumId w:val="25"/>
  </w:num>
  <w:num w:numId="30">
    <w:abstractNumId w:val="39"/>
  </w:num>
  <w:num w:numId="31">
    <w:abstractNumId w:val="11"/>
  </w:num>
  <w:num w:numId="32">
    <w:abstractNumId w:val="29"/>
  </w:num>
  <w:num w:numId="33">
    <w:abstractNumId w:val="0"/>
  </w:num>
  <w:num w:numId="34">
    <w:abstractNumId w:val="26"/>
  </w:num>
  <w:num w:numId="35">
    <w:abstractNumId w:val="35"/>
  </w:num>
  <w:num w:numId="36">
    <w:abstractNumId w:val="32"/>
  </w:num>
  <w:num w:numId="37">
    <w:abstractNumId w:val="21"/>
  </w:num>
  <w:num w:numId="38">
    <w:abstractNumId w:val="10"/>
  </w:num>
  <w:num w:numId="39">
    <w:abstractNumId w:val="9"/>
  </w:num>
  <w:num w:numId="40">
    <w:abstractNumId w:val="4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7FC"/>
    <w:rsid w:val="00003AAA"/>
    <w:rsid w:val="0000411A"/>
    <w:rsid w:val="00004272"/>
    <w:rsid w:val="00004DDC"/>
    <w:rsid w:val="0000513E"/>
    <w:rsid w:val="00005344"/>
    <w:rsid w:val="00006DD3"/>
    <w:rsid w:val="00007004"/>
    <w:rsid w:val="00013193"/>
    <w:rsid w:val="0001436C"/>
    <w:rsid w:val="000148B4"/>
    <w:rsid w:val="00022E36"/>
    <w:rsid w:val="00024C1E"/>
    <w:rsid w:val="000253C9"/>
    <w:rsid w:val="000263F1"/>
    <w:rsid w:val="00026861"/>
    <w:rsid w:val="00027859"/>
    <w:rsid w:val="00032804"/>
    <w:rsid w:val="000328C0"/>
    <w:rsid w:val="00033045"/>
    <w:rsid w:val="00035898"/>
    <w:rsid w:val="000361CD"/>
    <w:rsid w:val="00037D92"/>
    <w:rsid w:val="00040B79"/>
    <w:rsid w:val="000414A8"/>
    <w:rsid w:val="00043D41"/>
    <w:rsid w:val="00047520"/>
    <w:rsid w:val="00061DD9"/>
    <w:rsid w:val="0006246C"/>
    <w:rsid w:val="00073FD4"/>
    <w:rsid w:val="00075D55"/>
    <w:rsid w:val="00076AF7"/>
    <w:rsid w:val="00080393"/>
    <w:rsid w:val="00081169"/>
    <w:rsid w:val="00082CDC"/>
    <w:rsid w:val="00084C7C"/>
    <w:rsid w:val="000908A8"/>
    <w:rsid w:val="00094533"/>
    <w:rsid w:val="0009535C"/>
    <w:rsid w:val="0009555C"/>
    <w:rsid w:val="00096F70"/>
    <w:rsid w:val="000977B0"/>
    <w:rsid w:val="00097A7D"/>
    <w:rsid w:val="000A107B"/>
    <w:rsid w:val="000A27C2"/>
    <w:rsid w:val="000A3B76"/>
    <w:rsid w:val="000A4E59"/>
    <w:rsid w:val="000A5210"/>
    <w:rsid w:val="000A65CF"/>
    <w:rsid w:val="000A7FC0"/>
    <w:rsid w:val="000B0183"/>
    <w:rsid w:val="000B0731"/>
    <w:rsid w:val="000B1D14"/>
    <w:rsid w:val="000B38CA"/>
    <w:rsid w:val="000B3A61"/>
    <w:rsid w:val="000B46D0"/>
    <w:rsid w:val="000B4D4E"/>
    <w:rsid w:val="000B5521"/>
    <w:rsid w:val="000B5DA2"/>
    <w:rsid w:val="000B6096"/>
    <w:rsid w:val="000C28E4"/>
    <w:rsid w:val="000C3DEE"/>
    <w:rsid w:val="000C54CD"/>
    <w:rsid w:val="000C6C10"/>
    <w:rsid w:val="000C6FB4"/>
    <w:rsid w:val="000C7225"/>
    <w:rsid w:val="000D1956"/>
    <w:rsid w:val="000D33F1"/>
    <w:rsid w:val="000D4086"/>
    <w:rsid w:val="000D708E"/>
    <w:rsid w:val="000D784C"/>
    <w:rsid w:val="000D799C"/>
    <w:rsid w:val="000D79F2"/>
    <w:rsid w:val="000E3E48"/>
    <w:rsid w:val="000E3F69"/>
    <w:rsid w:val="000E555E"/>
    <w:rsid w:val="000E6A5D"/>
    <w:rsid w:val="000F23DA"/>
    <w:rsid w:val="000F2CE5"/>
    <w:rsid w:val="000F34C8"/>
    <w:rsid w:val="000F4DC5"/>
    <w:rsid w:val="000F52EC"/>
    <w:rsid w:val="000F62FD"/>
    <w:rsid w:val="00105302"/>
    <w:rsid w:val="00105573"/>
    <w:rsid w:val="00106CD6"/>
    <w:rsid w:val="001104AF"/>
    <w:rsid w:val="00110520"/>
    <w:rsid w:val="00115187"/>
    <w:rsid w:val="00115CCB"/>
    <w:rsid w:val="00122AD6"/>
    <w:rsid w:val="00123E15"/>
    <w:rsid w:val="0012488B"/>
    <w:rsid w:val="001253B2"/>
    <w:rsid w:val="00127497"/>
    <w:rsid w:val="001321A3"/>
    <w:rsid w:val="001323F7"/>
    <w:rsid w:val="0013314F"/>
    <w:rsid w:val="00133A70"/>
    <w:rsid w:val="0013507E"/>
    <w:rsid w:val="00136B8F"/>
    <w:rsid w:val="00137094"/>
    <w:rsid w:val="00137AC9"/>
    <w:rsid w:val="00142B8D"/>
    <w:rsid w:val="00142DC0"/>
    <w:rsid w:val="001438CF"/>
    <w:rsid w:val="00146A4C"/>
    <w:rsid w:val="00151817"/>
    <w:rsid w:val="00152846"/>
    <w:rsid w:val="00153C51"/>
    <w:rsid w:val="0015406B"/>
    <w:rsid w:val="00156D22"/>
    <w:rsid w:val="0016317A"/>
    <w:rsid w:val="00167477"/>
    <w:rsid w:val="00167BEF"/>
    <w:rsid w:val="00171543"/>
    <w:rsid w:val="00171A3D"/>
    <w:rsid w:val="00172A21"/>
    <w:rsid w:val="00174412"/>
    <w:rsid w:val="001747CE"/>
    <w:rsid w:val="001749CA"/>
    <w:rsid w:val="0017685C"/>
    <w:rsid w:val="001801C2"/>
    <w:rsid w:val="0018257F"/>
    <w:rsid w:val="00185CB8"/>
    <w:rsid w:val="00196047"/>
    <w:rsid w:val="001A050D"/>
    <w:rsid w:val="001A0B19"/>
    <w:rsid w:val="001A2DEC"/>
    <w:rsid w:val="001A4ED2"/>
    <w:rsid w:val="001A58AC"/>
    <w:rsid w:val="001A5E1D"/>
    <w:rsid w:val="001A6313"/>
    <w:rsid w:val="001A7CC0"/>
    <w:rsid w:val="001A7FF9"/>
    <w:rsid w:val="001B24F4"/>
    <w:rsid w:val="001B2883"/>
    <w:rsid w:val="001B65DB"/>
    <w:rsid w:val="001B79ED"/>
    <w:rsid w:val="001D12DC"/>
    <w:rsid w:val="001D2334"/>
    <w:rsid w:val="001D40D6"/>
    <w:rsid w:val="001D557E"/>
    <w:rsid w:val="001E186C"/>
    <w:rsid w:val="001E1EF0"/>
    <w:rsid w:val="001E242E"/>
    <w:rsid w:val="001E2CA4"/>
    <w:rsid w:val="001E3FE1"/>
    <w:rsid w:val="001E51F0"/>
    <w:rsid w:val="001E5648"/>
    <w:rsid w:val="001F02FE"/>
    <w:rsid w:val="001F1EEA"/>
    <w:rsid w:val="001F2541"/>
    <w:rsid w:val="001F3C18"/>
    <w:rsid w:val="001F3E6F"/>
    <w:rsid w:val="001F656B"/>
    <w:rsid w:val="002013A2"/>
    <w:rsid w:val="002028A1"/>
    <w:rsid w:val="00203652"/>
    <w:rsid w:val="0020444C"/>
    <w:rsid w:val="0020489E"/>
    <w:rsid w:val="00205A9B"/>
    <w:rsid w:val="00205E80"/>
    <w:rsid w:val="0020707B"/>
    <w:rsid w:val="00211664"/>
    <w:rsid w:val="002119F5"/>
    <w:rsid w:val="00211A17"/>
    <w:rsid w:val="002139D0"/>
    <w:rsid w:val="00214726"/>
    <w:rsid w:val="00215446"/>
    <w:rsid w:val="00216795"/>
    <w:rsid w:val="00217206"/>
    <w:rsid w:val="00217C48"/>
    <w:rsid w:val="00223C61"/>
    <w:rsid w:val="002257EC"/>
    <w:rsid w:val="00226FC8"/>
    <w:rsid w:val="00227E0A"/>
    <w:rsid w:val="002314D5"/>
    <w:rsid w:val="002359FC"/>
    <w:rsid w:val="002406F8"/>
    <w:rsid w:val="00240B06"/>
    <w:rsid w:val="0024188B"/>
    <w:rsid w:val="00244D39"/>
    <w:rsid w:val="002453E1"/>
    <w:rsid w:val="002455C6"/>
    <w:rsid w:val="002468F0"/>
    <w:rsid w:val="00252B37"/>
    <w:rsid w:val="0025539F"/>
    <w:rsid w:val="00255E1F"/>
    <w:rsid w:val="00261453"/>
    <w:rsid w:val="00261AEB"/>
    <w:rsid w:val="002620B7"/>
    <w:rsid w:val="002636E7"/>
    <w:rsid w:val="00263D99"/>
    <w:rsid w:val="00263FCD"/>
    <w:rsid w:val="002649A9"/>
    <w:rsid w:val="00265C72"/>
    <w:rsid w:val="00270EF5"/>
    <w:rsid w:val="002718FE"/>
    <w:rsid w:val="0027231B"/>
    <w:rsid w:val="00275566"/>
    <w:rsid w:val="00281835"/>
    <w:rsid w:val="00281CEE"/>
    <w:rsid w:val="002836BC"/>
    <w:rsid w:val="00283939"/>
    <w:rsid w:val="002900AB"/>
    <w:rsid w:val="00290D73"/>
    <w:rsid w:val="00291F39"/>
    <w:rsid w:val="00292005"/>
    <w:rsid w:val="002935D5"/>
    <w:rsid w:val="00293AD4"/>
    <w:rsid w:val="0029412C"/>
    <w:rsid w:val="002966CA"/>
    <w:rsid w:val="002968AB"/>
    <w:rsid w:val="0029723D"/>
    <w:rsid w:val="002A0253"/>
    <w:rsid w:val="002A331A"/>
    <w:rsid w:val="002A4F3D"/>
    <w:rsid w:val="002A61A5"/>
    <w:rsid w:val="002A6B79"/>
    <w:rsid w:val="002B031C"/>
    <w:rsid w:val="002B0FDF"/>
    <w:rsid w:val="002B1498"/>
    <w:rsid w:val="002B424E"/>
    <w:rsid w:val="002B45A6"/>
    <w:rsid w:val="002B6540"/>
    <w:rsid w:val="002B7206"/>
    <w:rsid w:val="002C11A1"/>
    <w:rsid w:val="002C1DEA"/>
    <w:rsid w:val="002C20A2"/>
    <w:rsid w:val="002C22AA"/>
    <w:rsid w:val="002C48FD"/>
    <w:rsid w:val="002C6685"/>
    <w:rsid w:val="002C7B68"/>
    <w:rsid w:val="002D1747"/>
    <w:rsid w:val="002D20D2"/>
    <w:rsid w:val="002D4B24"/>
    <w:rsid w:val="002D65A2"/>
    <w:rsid w:val="002D72D0"/>
    <w:rsid w:val="002D742E"/>
    <w:rsid w:val="002E0869"/>
    <w:rsid w:val="002E5E81"/>
    <w:rsid w:val="002F0705"/>
    <w:rsid w:val="002F1601"/>
    <w:rsid w:val="002F435C"/>
    <w:rsid w:val="002F4C7F"/>
    <w:rsid w:val="002F7197"/>
    <w:rsid w:val="0030124E"/>
    <w:rsid w:val="00301DEE"/>
    <w:rsid w:val="00303BC3"/>
    <w:rsid w:val="00304D94"/>
    <w:rsid w:val="00306155"/>
    <w:rsid w:val="00306229"/>
    <w:rsid w:val="003068DE"/>
    <w:rsid w:val="00310B62"/>
    <w:rsid w:val="003118FA"/>
    <w:rsid w:val="0031211A"/>
    <w:rsid w:val="00312409"/>
    <w:rsid w:val="0031351F"/>
    <w:rsid w:val="00313EC3"/>
    <w:rsid w:val="00320B11"/>
    <w:rsid w:val="003220F9"/>
    <w:rsid w:val="00322F7C"/>
    <w:rsid w:val="003269EF"/>
    <w:rsid w:val="003271E0"/>
    <w:rsid w:val="00331460"/>
    <w:rsid w:val="00331E9C"/>
    <w:rsid w:val="003333E1"/>
    <w:rsid w:val="00334E25"/>
    <w:rsid w:val="0034080C"/>
    <w:rsid w:val="00341930"/>
    <w:rsid w:val="0034354F"/>
    <w:rsid w:val="00344F5D"/>
    <w:rsid w:val="00347157"/>
    <w:rsid w:val="003474C2"/>
    <w:rsid w:val="00350360"/>
    <w:rsid w:val="0035556B"/>
    <w:rsid w:val="00355ABF"/>
    <w:rsid w:val="00355BBF"/>
    <w:rsid w:val="00357EE5"/>
    <w:rsid w:val="003655B9"/>
    <w:rsid w:val="00365F8E"/>
    <w:rsid w:val="00366BAD"/>
    <w:rsid w:val="00367774"/>
    <w:rsid w:val="00370AF7"/>
    <w:rsid w:val="00373C81"/>
    <w:rsid w:val="00376358"/>
    <w:rsid w:val="003811BB"/>
    <w:rsid w:val="00382156"/>
    <w:rsid w:val="00383ECB"/>
    <w:rsid w:val="0038642B"/>
    <w:rsid w:val="003908FB"/>
    <w:rsid w:val="003919D6"/>
    <w:rsid w:val="0039215C"/>
    <w:rsid w:val="00395E1B"/>
    <w:rsid w:val="003A30DE"/>
    <w:rsid w:val="003A3F78"/>
    <w:rsid w:val="003A51AF"/>
    <w:rsid w:val="003A7B9F"/>
    <w:rsid w:val="003B1B5D"/>
    <w:rsid w:val="003B1FDC"/>
    <w:rsid w:val="003B36B3"/>
    <w:rsid w:val="003B40C3"/>
    <w:rsid w:val="003C0E4F"/>
    <w:rsid w:val="003C1F95"/>
    <w:rsid w:val="003C1FBE"/>
    <w:rsid w:val="003C2E3F"/>
    <w:rsid w:val="003C32D8"/>
    <w:rsid w:val="003C388D"/>
    <w:rsid w:val="003C3E7E"/>
    <w:rsid w:val="003C4022"/>
    <w:rsid w:val="003C510B"/>
    <w:rsid w:val="003D2572"/>
    <w:rsid w:val="003D2B2E"/>
    <w:rsid w:val="003D556B"/>
    <w:rsid w:val="003D6D84"/>
    <w:rsid w:val="003D7B8F"/>
    <w:rsid w:val="003E0327"/>
    <w:rsid w:val="003E05D1"/>
    <w:rsid w:val="003E1463"/>
    <w:rsid w:val="003E27B3"/>
    <w:rsid w:val="003F15E2"/>
    <w:rsid w:val="003F2313"/>
    <w:rsid w:val="003F25B6"/>
    <w:rsid w:val="003F2B91"/>
    <w:rsid w:val="003F3E7D"/>
    <w:rsid w:val="003F4F74"/>
    <w:rsid w:val="003F5AE3"/>
    <w:rsid w:val="003F6027"/>
    <w:rsid w:val="003F6045"/>
    <w:rsid w:val="003F627F"/>
    <w:rsid w:val="003F67E6"/>
    <w:rsid w:val="0040018E"/>
    <w:rsid w:val="004074B7"/>
    <w:rsid w:val="00407936"/>
    <w:rsid w:val="00412898"/>
    <w:rsid w:val="00412C63"/>
    <w:rsid w:val="00423BFD"/>
    <w:rsid w:val="0042781D"/>
    <w:rsid w:val="00430935"/>
    <w:rsid w:val="00431763"/>
    <w:rsid w:val="00440D83"/>
    <w:rsid w:val="004410F5"/>
    <w:rsid w:val="00441B30"/>
    <w:rsid w:val="0044472B"/>
    <w:rsid w:val="00447C31"/>
    <w:rsid w:val="0045098A"/>
    <w:rsid w:val="0045657B"/>
    <w:rsid w:val="00456C38"/>
    <w:rsid w:val="00457A41"/>
    <w:rsid w:val="00460711"/>
    <w:rsid w:val="004633EB"/>
    <w:rsid w:val="00464460"/>
    <w:rsid w:val="00472C82"/>
    <w:rsid w:val="00474FDF"/>
    <w:rsid w:val="00475F57"/>
    <w:rsid w:val="00483B2B"/>
    <w:rsid w:val="00485189"/>
    <w:rsid w:val="004871D6"/>
    <w:rsid w:val="00487214"/>
    <w:rsid w:val="00490261"/>
    <w:rsid w:val="00493750"/>
    <w:rsid w:val="00495D5F"/>
    <w:rsid w:val="0049634A"/>
    <w:rsid w:val="00496894"/>
    <w:rsid w:val="004A00D6"/>
    <w:rsid w:val="004A030A"/>
    <w:rsid w:val="004A253D"/>
    <w:rsid w:val="004A26E1"/>
    <w:rsid w:val="004A5EAB"/>
    <w:rsid w:val="004B4680"/>
    <w:rsid w:val="004B6002"/>
    <w:rsid w:val="004C325E"/>
    <w:rsid w:val="004C44FD"/>
    <w:rsid w:val="004C5563"/>
    <w:rsid w:val="004D0764"/>
    <w:rsid w:val="004D28A5"/>
    <w:rsid w:val="004D46EF"/>
    <w:rsid w:val="004D4786"/>
    <w:rsid w:val="004D5871"/>
    <w:rsid w:val="004D6A6D"/>
    <w:rsid w:val="004E16FA"/>
    <w:rsid w:val="004E359B"/>
    <w:rsid w:val="004E3A80"/>
    <w:rsid w:val="004E694D"/>
    <w:rsid w:val="004F2173"/>
    <w:rsid w:val="004F2C77"/>
    <w:rsid w:val="004F2E69"/>
    <w:rsid w:val="004F4BC0"/>
    <w:rsid w:val="004F4E4B"/>
    <w:rsid w:val="004F7896"/>
    <w:rsid w:val="00500DEE"/>
    <w:rsid w:val="00504D1C"/>
    <w:rsid w:val="00510332"/>
    <w:rsid w:val="00510AC3"/>
    <w:rsid w:val="00512318"/>
    <w:rsid w:val="00512AC8"/>
    <w:rsid w:val="00513B18"/>
    <w:rsid w:val="00520A47"/>
    <w:rsid w:val="005226EC"/>
    <w:rsid w:val="00523ABA"/>
    <w:rsid w:val="0052467C"/>
    <w:rsid w:val="00526062"/>
    <w:rsid w:val="00526B4C"/>
    <w:rsid w:val="00532025"/>
    <w:rsid w:val="00533A38"/>
    <w:rsid w:val="00533C3A"/>
    <w:rsid w:val="00534424"/>
    <w:rsid w:val="00540116"/>
    <w:rsid w:val="00541214"/>
    <w:rsid w:val="00544604"/>
    <w:rsid w:val="00544CAA"/>
    <w:rsid w:val="00547CD0"/>
    <w:rsid w:val="00550055"/>
    <w:rsid w:val="00550DA7"/>
    <w:rsid w:val="00556E83"/>
    <w:rsid w:val="0056350C"/>
    <w:rsid w:val="00564C4D"/>
    <w:rsid w:val="00566568"/>
    <w:rsid w:val="00567E64"/>
    <w:rsid w:val="00570F2F"/>
    <w:rsid w:val="00571A5F"/>
    <w:rsid w:val="00573708"/>
    <w:rsid w:val="0057552D"/>
    <w:rsid w:val="0057677D"/>
    <w:rsid w:val="00576907"/>
    <w:rsid w:val="00577A47"/>
    <w:rsid w:val="00580576"/>
    <w:rsid w:val="00583E0C"/>
    <w:rsid w:val="00585135"/>
    <w:rsid w:val="00586A78"/>
    <w:rsid w:val="00586EA2"/>
    <w:rsid w:val="005919A5"/>
    <w:rsid w:val="00591ABE"/>
    <w:rsid w:val="005926A0"/>
    <w:rsid w:val="005A05E7"/>
    <w:rsid w:val="005A1CA7"/>
    <w:rsid w:val="005A2246"/>
    <w:rsid w:val="005A2B18"/>
    <w:rsid w:val="005A325E"/>
    <w:rsid w:val="005A3523"/>
    <w:rsid w:val="005A3A5B"/>
    <w:rsid w:val="005A616E"/>
    <w:rsid w:val="005A6CAA"/>
    <w:rsid w:val="005B24DC"/>
    <w:rsid w:val="005B5323"/>
    <w:rsid w:val="005C0031"/>
    <w:rsid w:val="005C05C7"/>
    <w:rsid w:val="005C446D"/>
    <w:rsid w:val="005C5BE4"/>
    <w:rsid w:val="005C64D2"/>
    <w:rsid w:val="005C7AB2"/>
    <w:rsid w:val="005D44F6"/>
    <w:rsid w:val="005D57D7"/>
    <w:rsid w:val="005E1A52"/>
    <w:rsid w:val="005E41A2"/>
    <w:rsid w:val="005E51DF"/>
    <w:rsid w:val="005E724A"/>
    <w:rsid w:val="005E742D"/>
    <w:rsid w:val="005E7FCC"/>
    <w:rsid w:val="005F15E2"/>
    <w:rsid w:val="005F36EA"/>
    <w:rsid w:val="005F5C53"/>
    <w:rsid w:val="005F5C7A"/>
    <w:rsid w:val="005F6A70"/>
    <w:rsid w:val="005F6D3E"/>
    <w:rsid w:val="00600655"/>
    <w:rsid w:val="00600CB3"/>
    <w:rsid w:val="00601E09"/>
    <w:rsid w:val="00603DB4"/>
    <w:rsid w:val="00604E7A"/>
    <w:rsid w:val="0060632D"/>
    <w:rsid w:val="00607BE0"/>
    <w:rsid w:val="0061081B"/>
    <w:rsid w:val="006132A5"/>
    <w:rsid w:val="0061467F"/>
    <w:rsid w:val="00616FF2"/>
    <w:rsid w:val="00617AE3"/>
    <w:rsid w:val="00620A62"/>
    <w:rsid w:val="00620F9A"/>
    <w:rsid w:val="00620FB9"/>
    <w:rsid w:val="00621EDF"/>
    <w:rsid w:val="006226B4"/>
    <w:rsid w:val="0062604A"/>
    <w:rsid w:val="00631816"/>
    <w:rsid w:val="00631F92"/>
    <w:rsid w:val="00632AD3"/>
    <w:rsid w:val="00632F04"/>
    <w:rsid w:val="006338F3"/>
    <w:rsid w:val="0063545A"/>
    <w:rsid w:val="006357E2"/>
    <w:rsid w:val="00637A8B"/>
    <w:rsid w:val="0064079E"/>
    <w:rsid w:val="00640F22"/>
    <w:rsid w:val="00641148"/>
    <w:rsid w:val="00641A02"/>
    <w:rsid w:val="00642684"/>
    <w:rsid w:val="00643609"/>
    <w:rsid w:val="00644527"/>
    <w:rsid w:val="00646082"/>
    <w:rsid w:val="00646F7D"/>
    <w:rsid w:val="00647741"/>
    <w:rsid w:val="00650DA2"/>
    <w:rsid w:val="00655347"/>
    <w:rsid w:val="00660704"/>
    <w:rsid w:val="00660CA4"/>
    <w:rsid w:val="00663B04"/>
    <w:rsid w:val="006649DC"/>
    <w:rsid w:val="00664FA3"/>
    <w:rsid w:val="006656B8"/>
    <w:rsid w:val="006670AF"/>
    <w:rsid w:val="0067318A"/>
    <w:rsid w:val="006759EE"/>
    <w:rsid w:val="00676B6E"/>
    <w:rsid w:val="006833BF"/>
    <w:rsid w:val="006833E2"/>
    <w:rsid w:val="00683ECE"/>
    <w:rsid w:val="0068631A"/>
    <w:rsid w:val="00687FAC"/>
    <w:rsid w:val="0069012F"/>
    <w:rsid w:val="00693CEC"/>
    <w:rsid w:val="00697418"/>
    <w:rsid w:val="00697C5A"/>
    <w:rsid w:val="006A0AC8"/>
    <w:rsid w:val="006A1EB9"/>
    <w:rsid w:val="006A3A8D"/>
    <w:rsid w:val="006A6C19"/>
    <w:rsid w:val="006B00C9"/>
    <w:rsid w:val="006B3E16"/>
    <w:rsid w:val="006B43B5"/>
    <w:rsid w:val="006B5320"/>
    <w:rsid w:val="006B5EB7"/>
    <w:rsid w:val="006B60C8"/>
    <w:rsid w:val="006B7F86"/>
    <w:rsid w:val="006D1973"/>
    <w:rsid w:val="006D2341"/>
    <w:rsid w:val="006D5360"/>
    <w:rsid w:val="006D7D92"/>
    <w:rsid w:val="006E20C9"/>
    <w:rsid w:val="006E2550"/>
    <w:rsid w:val="006E2AE7"/>
    <w:rsid w:val="006E3B61"/>
    <w:rsid w:val="006E518A"/>
    <w:rsid w:val="006E57EE"/>
    <w:rsid w:val="006E633D"/>
    <w:rsid w:val="006E7570"/>
    <w:rsid w:val="006E7FAA"/>
    <w:rsid w:val="006F1394"/>
    <w:rsid w:val="006F57E1"/>
    <w:rsid w:val="0070019A"/>
    <w:rsid w:val="007007BF"/>
    <w:rsid w:val="00700A7D"/>
    <w:rsid w:val="0070679B"/>
    <w:rsid w:val="00707458"/>
    <w:rsid w:val="0070774F"/>
    <w:rsid w:val="007113DF"/>
    <w:rsid w:val="007206A9"/>
    <w:rsid w:val="00720FF2"/>
    <w:rsid w:val="00721253"/>
    <w:rsid w:val="00721E51"/>
    <w:rsid w:val="00722CBD"/>
    <w:rsid w:val="00730308"/>
    <w:rsid w:val="00730EE7"/>
    <w:rsid w:val="007314D3"/>
    <w:rsid w:val="00732788"/>
    <w:rsid w:val="007339AC"/>
    <w:rsid w:val="007357C0"/>
    <w:rsid w:val="007369FB"/>
    <w:rsid w:val="00740703"/>
    <w:rsid w:val="00745849"/>
    <w:rsid w:val="00746455"/>
    <w:rsid w:val="007535A9"/>
    <w:rsid w:val="00754F72"/>
    <w:rsid w:val="00763568"/>
    <w:rsid w:val="007635C0"/>
    <w:rsid w:val="0076588A"/>
    <w:rsid w:val="007676D3"/>
    <w:rsid w:val="007719EE"/>
    <w:rsid w:val="00772D5A"/>
    <w:rsid w:val="007759E1"/>
    <w:rsid w:val="007764B5"/>
    <w:rsid w:val="0078349F"/>
    <w:rsid w:val="007860FF"/>
    <w:rsid w:val="00786DDB"/>
    <w:rsid w:val="007913D5"/>
    <w:rsid w:val="007937C7"/>
    <w:rsid w:val="00795F94"/>
    <w:rsid w:val="00796591"/>
    <w:rsid w:val="00797953"/>
    <w:rsid w:val="007A1814"/>
    <w:rsid w:val="007A1F56"/>
    <w:rsid w:val="007A75E5"/>
    <w:rsid w:val="007B0A8A"/>
    <w:rsid w:val="007B15B6"/>
    <w:rsid w:val="007B2CFC"/>
    <w:rsid w:val="007C574F"/>
    <w:rsid w:val="007C7720"/>
    <w:rsid w:val="007D04CC"/>
    <w:rsid w:val="007D1A3D"/>
    <w:rsid w:val="007D28FD"/>
    <w:rsid w:val="007D3EF8"/>
    <w:rsid w:val="007D4F29"/>
    <w:rsid w:val="007D7D41"/>
    <w:rsid w:val="007E0A62"/>
    <w:rsid w:val="007E2795"/>
    <w:rsid w:val="007E36F9"/>
    <w:rsid w:val="007E389E"/>
    <w:rsid w:val="007E38C6"/>
    <w:rsid w:val="007E396C"/>
    <w:rsid w:val="007E47F1"/>
    <w:rsid w:val="007E59A9"/>
    <w:rsid w:val="007E7433"/>
    <w:rsid w:val="007F0794"/>
    <w:rsid w:val="007F3B86"/>
    <w:rsid w:val="007F5D7D"/>
    <w:rsid w:val="007F6135"/>
    <w:rsid w:val="007F6C73"/>
    <w:rsid w:val="0080170F"/>
    <w:rsid w:val="0080265E"/>
    <w:rsid w:val="008030A8"/>
    <w:rsid w:val="008041BF"/>
    <w:rsid w:val="00804227"/>
    <w:rsid w:val="00805E70"/>
    <w:rsid w:val="00806032"/>
    <w:rsid w:val="00810BA5"/>
    <w:rsid w:val="0081149D"/>
    <w:rsid w:val="00813B09"/>
    <w:rsid w:val="008146FD"/>
    <w:rsid w:val="00815FC3"/>
    <w:rsid w:val="00817503"/>
    <w:rsid w:val="00820674"/>
    <w:rsid w:val="00824224"/>
    <w:rsid w:val="00826F59"/>
    <w:rsid w:val="008273D6"/>
    <w:rsid w:val="008333A5"/>
    <w:rsid w:val="00833E01"/>
    <w:rsid w:val="008366C8"/>
    <w:rsid w:val="00837492"/>
    <w:rsid w:val="00837A4F"/>
    <w:rsid w:val="00842441"/>
    <w:rsid w:val="00844534"/>
    <w:rsid w:val="00845A70"/>
    <w:rsid w:val="00845DDF"/>
    <w:rsid w:val="00846A40"/>
    <w:rsid w:val="00847614"/>
    <w:rsid w:val="008508D4"/>
    <w:rsid w:val="00851E38"/>
    <w:rsid w:val="0085246E"/>
    <w:rsid w:val="00854315"/>
    <w:rsid w:val="008549BE"/>
    <w:rsid w:val="00855012"/>
    <w:rsid w:val="00855404"/>
    <w:rsid w:val="0085566A"/>
    <w:rsid w:val="00855D71"/>
    <w:rsid w:val="0086059D"/>
    <w:rsid w:val="008606C4"/>
    <w:rsid w:val="00865777"/>
    <w:rsid w:val="00865DC7"/>
    <w:rsid w:val="00866F91"/>
    <w:rsid w:val="008679CB"/>
    <w:rsid w:val="00867C5E"/>
    <w:rsid w:val="00867FEB"/>
    <w:rsid w:val="00871D82"/>
    <w:rsid w:val="00873A1E"/>
    <w:rsid w:val="0087516C"/>
    <w:rsid w:val="00875902"/>
    <w:rsid w:val="008763D9"/>
    <w:rsid w:val="0087668D"/>
    <w:rsid w:val="008766FD"/>
    <w:rsid w:val="00876906"/>
    <w:rsid w:val="008817EE"/>
    <w:rsid w:val="008870C4"/>
    <w:rsid w:val="0088758C"/>
    <w:rsid w:val="008904A0"/>
    <w:rsid w:val="0089186A"/>
    <w:rsid w:val="00897199"/>
    <w:rsid w:val="00897502"/>
    <w:rsid w:val="008A011B"/>
    <w:rsid w:val="008A19EC"/>
    <w:rsid w:val="008A3C47"/>
    <w:rsid w:val="008A6F48"/>
    <w:rsid w:val="008A762D"/>
    <w:rsid w:val="008B0DCE"/>
    <w:rsid w:val="008C41C0"/>
    <w:rsid w:val="008C4E5E"/>
    <w:rsid w:val="008C585E"/>
    <w:rsid w:val="008C60BC"/>
    <w:rsid w:val="008C6616"/>
    <w:rsid w:val="008C7C80"/>
    <w:rsid w:val="008D0971"/>
    <w:rsid w:val="008D18C3"/>
    <w:rsid w:val="008D3214"/>
    <w:rsid w:val="008D36EB"/>
    <w:rsid w:val="008D623F"/>
    <w:rsid w:val="008D63B6"/>
    <w:rsid w:val="008E132F"/>
    <w:rsid w:val="008E2040"/>
    <w:rsid w:val="008E240F"/>
    <w:rsid w:val="008E284D"/>
    <w:rsid w:val="008E3807"/>
    <w:rsid w:val="008E774B"/>
    <w:rsid w:val="008F1984"/>
    <w:rsid w:val="008F241B"/>
    <w:rsid w:val="008F4E11"/>
    <w:rsid w:val="008F6979"/>
    <w:rsid w:val="0090189C"/>
    <w:rsid w:val="00902974"/>
    <w:rsid w:val="0090512F"/>
    <w:rsid w:val="009054E6"/>
    <w:rsid w:val="00905789"/>
    <w:rsid w:val="00906C59"/>
    <w:rsid w:val="009071E4"/>
    <w:rsid w:val="0090777A"/>
    <w:rsid w:val="00910722"/>
    <w:rsid w:val="00910B67"/>
    <w:rsid w:val="0091320E"/>
    <w:rsid w:val="00913499"/>
    <w:rsid w:val="00914617"/>
    <w:rsid w:val="00915DE0"/>
    <w:rsid w:val="00916350"/>
    <w:rsid w:val="009163C6"/>
    <w:rsid w:val="00922D46"/>
    <w:rsid w:val="00923723"/>
    <w:rsid w:val="00924D07"/>
    <w:rsid w:val="0092670D"/>
    <w:rsid w:val="00927A40"/>
    <w:rsid w:val="009305F1"/>
    <w:rsid w:val="0093182B"/>
    <w:rsid w:val="0093274A"/>
    <w:rsid w:val="00933D30"/>
    <w:rsid w:val="00933EBE"/>
    <w:rsid w:val="00934192"/>
    <w:rsid w:val="00934D37"/>
    <w:rsid w:val="00935A05"/>
    <w:rsid w:val="0094062A"/>
    <w:rsid w:val="00941585"/>
    <w:rsid w:val="0094341C"/>
    <w:rsid w:val="0094394A"/>
    <w:rsid w:val="00944703"/>
    <w:rsid w:val="00944959"/>
    <w:rsid w:val="00945AC2"/>
    <w:rsid w:val="00945F9F"/>
    <w:rsid w:val="009461EA"/>
    <w:rsid w:val="00946D3C"/>
    <w:rsid w:val="00947C8F"/>
    <w:rsid w:val="00950B1C"/>
    <w:rsid w:val="00952CCD"/>
    <w:rsid w:val="00957F8F"/>
    <w:rsid w:val="009633BE"/>
    <w:rsid w:val="00964BC0"/>
    <w:rsid w:val="00966C7E"/>
    <w:rsid w:val="00970886"/>
    <w:rsid w:val="00970DC9"/>
    <w:rsid w:val="0097134D"/>
    <w:rsid w:val="00972B0F"/>
    <w:rsid w:val="00972FC1"/>
    <w:rsid w:val="00975572"/>
    <w:rsid w:val="009772BD"/>
    <w:rsid w:val="00983FA6"/>
    <w:rsid w:val="00984229"/>
    <w:rsid w:val="009871E8"/>
    <w:rsid w:val="009874F2"/>
    <w:rsid w:val="00992FF5"/>
    <w:rsid w:val="00993534"/>
    <w:rsid w:val="00993AAD"/>
    <w:rsid w:val="00995FF2"/>
    <w:rsid w:val="00997994"/>
    <w:rsid w:val="009A01F2"/>
    <w:rsid w:val="009A225B"/>
    <w:rsid w:val="009A2A11"/>
    <w:rsid w:val="009A3642"/>
    <w:rsid w:val="009B1205"/>
    <w:rsid w:val="009B25C4"/>
    <w:rsid w:val="009B434F"/>
    <w:rsid w:val="009B5049"/>
    <w:rsid w:val="009B60A6"/>
    <w:rsid w:val="009C1271"/>
    <w:rsid w:val="009C39B6"/>
    <w:rsid w:val="009C44D1"/>
    <w:rsid w:val="009C4CFB"/>
    <w:rsid w:val="009C5720"/>
    <w:rsid w:val="009C7169"/>
    <w:rsid w:val="009C7CE1"/>
    <w:rsid w:val="009D0BE3"/>
    <w:rsid w:val="009D3834"/>
    <w:rsid w:val="009D49E0"/>
    <w:rsid w:val="009D5162"/>
    <w:rsid w:val="009D58A1"/>
    <w:rsid w:val="009D59CC"/>
    <w:rsid w:val="009D5EF4"/>
    <w:rsid w:val="009D6A52"/>
    <w:rsid w:val="009D76B1"/>
    <w:rsid w:val="009E1665"/>
    <w:rsid w:val="009E241E"/>
    <w:rsid w:val="009E2E77"/>
    <w:rsid w:val="009E3B70"/>
    <w:rsid w:val="009E4FD9"/>
    <w:rsid w:val="009E59EE"/>
    <w:rsid w:val="009F0CC0"/>
    <w:rsid w:val="009F1379"/>
    <w:rsid w:val="009F2B87"/>
    <w:rsid w:val="009F388A"/>
    <w:rsid w:val="009F5ED0"/>
    <w:rsid w:val="009F6550"/>
    <w:rsid w:val="00A04B2B"/>
    <w:rsid w:val="00A11F57"/>
    <w:rsid w:val="00A124A1"/>
    <w:rsid w:val="00A12AEE"/>
    <w:rsid w:val="00A1301E"/>
    <w:rsid w:val="00A14850"/>
    <w:rsid w:val="00A16FBF"/>
    <w:rsid w:val="00A217BE"/>
    <w:rsid w:val="00A2323F"/>
    <w:rsid w:val="00A23BC6"/>
    <w:rsid w:val="00A23E0F"/>
    <w:rsid w:val="00A256DC"/>
    <w:rsid w:val="00A25DF4"/>
    <w:rsid w:val="00A26A35"/>
    <w:rsid w:val="00A342BB"/>
    <w:rsid w:val="00A35439"/>
    <w:rsid w:val="00A3558D"/>
    <w:rsid w:val="00A36CF7"/>
    <w:rsid w:val="00A37489"/>
    <w:rsid w:val="00A40AE3"/>
    <w:rsid w:val="00A42EA4"/>
    <w:rsid w:val="00A4590A"/>
    <w:rsid w:val="00A4614B"/>
    <w:rsid w:val="00A46826"/>
    <w:rsid w:val="00A54316"/>
    <w:rsid w:val="00A57118"/>
    <w:rsid w:val="00A60B14"/>
    <w:rsid w:val="00A61696"/>
    <w:rsid w:val="00A616B6"/>
    <w:rsid w:val="00A64267"/>
    <w:rsid w:val="00A649BA"/>
    <w:rsid w:val="00A674B9"/>
    <w:rsid w:val="00A676B7"/>
    <w:rsid w:val="00A730D1"/>
    <w:rsid w:val="00A736CC"/>
    <w:rsid w:val="00A74316"/>
    <w:rsid w:val="00A75259"/>
    <w:rsid w:val="00A75AA1"/>
    <w:rsid w:val="00A75C12"/>
    <w:rsid w:val="00A76AC2"/>
    <w:rsid w:val="00A8145C"/>
    <w:rsid w:val="00A86C3D"/>
    <w:rsid w:val="00A8707A"/>
    <w:rsid w:val="00A91B0D"/>
    <w:rsid w:val="00A91FBA"/>
    <w:rsid w:val="00A95A0A"/>
    <w:rsid w:val="00A96B66"/>
    <w:rsid w:val="00AA047B"/>
    <w:rsid w:val="00AA12AE"/>
    <w:rsid w:val="00AA1782"/>
    <w:rsid w:val="00AA5DEB"/>
    <w:rsid w:val="00AA5EA6"/>
    <w:rsid w:val="00AB6D4D"/>
    <w:rsid w:val="00AC2188"/>
    <w:rsid w:val="00AC339B"/>
    <w:rsid w:val="00AC4DC1"/>
    <w:rsid w:val="00AC5820"/>
    <w:rsid w:val="00AC6AF6"/>
    <w:rsid w:val="00AC7C31"/>
    <w:rsid w:val="00AD19CD"/>
    <w:rsid w:val="00AD291C"/>
    <w:rsid w:val="00AD3C49"/>
    <w:rsid w:val="00AD5DAF"/>
    <w:rsid w:val="00AD6993"/>
    <w:rsid w:val="00AD759A"/>
    <w:rsid w:val="00AE465C"/>
    <w:rsid w:val="00AE64C2"/>
    <w:rsid w:val="00AE6735"/>
    <w:rsid w:val="00AF1845"/>
    <w:rsid w:val="00AF332A"/>
    <w:rsid w:val="00AF34FA"/>
    <w:rsid w:val="00AF4302"/>
    <w:rsid w:val="00AF45A8"/>
    <w:rsid w:val="00AF76C1"/>
    <w:rsid w:val="00AF77E2"/>
    <w:rsid w:val="00B01FD5"/>
    <w:rsid w:val="00B04CF2"/>
    <w:rsid w:val="00B04E78"/>
    <w:rsid w:val="00B05242"/>
    <w:rsid w:val="00B11ED5"/>
    <w:rsid w:val="00B1337B"/>
    <w:rsid w:val="00B137C3"/>
    <w:rsid w:val="00B14537"/>
    <w:rsid w:val="00B15238"/>
    <w:rsid w:val="00B15B72"/>
    <w:rsid w:val="00B16AF7"/>
    <w:rsid w:val="00B2043F"/>
    <w:rsid w:val="00B207DD"/>
    <w:rsid w:val="00B21EA9"/>
    <w:rsid w:val="00B26084"/>
    <w:rsid w:val="00B260B7"/>
    <w:rsid w:val="00B26103"/>
    <w:rsid w:val="00B261C7"/>
    <w:rsid w:val="00B26AA7"/>
    <w:rsid w:val="00B3214C"/>
    <w:rsid w:val="00B33EA3"/>
    <w:rsid w:val="00B34AAA"/>
    <w:rsid w:val="00B3519E"/>
    <w:rsid w:val="00B37C79"/>
    <w:rsid w:val="00B44509"/>
    <w:rsid w:val="00B461BE"/>
    <w:rsid w:val="00B46348"/>
    <w:rsid w:val="00B50597"/>
    <w:rsid w:val="00B50CF7"/>
    <w:rsid w:val="00B51501"/>
    <w:rsid w:val="00B53757"/>
    <w:rsid w:val="00B54217"/>
    <w:rsid w:val="00B55BA9"/>
    <w:rsid w:val="00B56F34"/>
    <w:rsid w:val="00B60358"/>
    <w:rsid w:val="00B62122"/>
    <w:rsid w:val="00B62385"/>
    <w:rsid w:val="00B6409B"/>
    <w:rsid w:val="00B65ED6"/>
    <w:rsid w:val="00B71262"/>
    <w:rsid w:val="00B7185A"/>
    <w:rsid w:val="00B72E90"/>
    <w:rsid w:val="00B73C2C"/>
    <w:rsid w:val="00B74340"/>
    <w:rsid w:val="00B77501"/>
    <w:rsid w:val="00B8032D"/>
    <w:rsid w:val="00B84FE4"/>
    <w:rsid w:val="00B850C5"/>
    <w:rsid w:val="00B87599"/>
    <w:rsid w:val="00B8793E"/>
    <w:rsid w:val="00B87E65"/>
    <w:rsid w:val="00B87F1F"/>
    <w:rsid w:val="00B921B8"/>
    <w:rsid w:val="00B9645C"/>
    <w:rsid w:val="00B9725B"/>
    <w:rsid w:val="00B97E21"/>
    <w:rsid w:val="00BA026E"/>
    <w:rsid w:val="00BA0753"/>
    <w:rsid w:val="00BA0F22"/>
    <w:rsid w:val="00BA1B33"/>
    <w:rsid w:val="00BB01D1"/>
    <w:rsid w:val="00BB157C"/>
    <w:rsid w:val="00BB6EB6"/>
    <w:rsid w:val="00BC0E50"/>
    <w:rsid w:val="00BC475D"/>
    <w:rsid w:val="00BC5AD9"/>
    <w:rsid w:val="00BD0841"/>
    <w:rsid w:val="00BD4B3C"/>
    <w:rsid w:val="00BD4B7C"/>
    <w:rsid w:val="00BD57F0"/>
    <w:rsid w:val="00BD5F7C"/>
    <w:rsid w:val="00BE10FA"/>
    <w:rsid w:val="00BE1A23"/>
    <w:rsid w:val="00BE1EAF"/>
    <w:rsid w:val="00BE6C2B"/>
    <w:rsid w:val="00BF2686"/>
    <w:rsid w:val="00BF57A1"/>
    <w:rsid w:val="00BF6AC3"/>
    <w:rsid w:val="00C01ED6"/>
    <w:rsid w:val="00C02D06"/>
    <w:rsid w:val="00C041CF"/>
    <w:rsid w:val="00C043F8"/>
    <w:rsid w:val="00C05144"/>
    <w:rsid w:val="00C0551F"/>
    <w:rsid w:val="00C11154"/>
    <w:rsid w:val="00C139C6"/>
    <w:rsid w:val="00C13E3D"/>
    <w:rsid w:val="00C14A90"/>
    <w:rsid w:val="00C16642"/>
    <w:rsid w:val="00C17150"/>
    <w:rsid w:val="00C23753"/>
    <w:rsid w:val="00C23F09"/>
    <w:rsid w:val="00C25B3D"/>
    <w:rsid w:val="00C30D80"/>
    <w:rsid w:val="00C31BC8"/>
    <w:rsid w:val="00C33087"/>
    <w:rsid w:val="00C34092"/>
    <w:rsid w:val="00C35225"/>
    <w:rsid w:val="00C36490"/>
    <w:rsid w:val="00C3738E"/>
    <w:rsid w:val="00C42D9D"/>
    <w:rsid w:val="00C433AA"/>
    <w:rsid w:val="00C43531"/>
    <w:rsid w:val="00C468A5"/>
    <w:rsid w:val="00C476BF"/>
    <w:rsid w:val="00C51246"/>
    <w:rsid w:val="00C54404"/>
    <w:rsid w:val="00C55903"/>
    <w:rsid w:val="00C60324"/>
    <w:rsid w:val="00C60573"/>
    <w:rsid w:val="00C606F1"/>
    <w:rsid w:val="00C61A9E"/>
    <w:rsid w:val="00C64E73"/>
    <w:rsid w:val="00C65467"/>
    <w:rsid w:val="00C65604"/>
    <w:rsid w:val="00C7579F"/>
    <w:rsid w:val="00C75A08"/>
    <w:rsid w:val="00C75E5A"/>
    <w:rsid w:val="00C775DB"/>
    <w:rsid w:val="00C80BA2"/>
    <w:rsid w:val="00C82B26"/>
    <w:rsid w:val="00C84B69"/>
    <w:rsid w:val="00C84D2E"/>
    <w:rsid w:val="00C85CB5"/>
    <w:rsid w:val="00C86BC0"/>
    <w:rsid w:val="00C90EC8"/>
    <w:rsid w:val="00C94213"/>
    <w:rsid w:val="00C96AE0"/>
    <w:rsid w:val="00CA0FA6"/>
    <w:rsid w:val="00CA341E"/>
    <w:rsid w:val="00CA42B5"/>
    <w:rsid w:val="00CA5250"/>
    <w:rsid w:val="00CA6599"/>
    <w:rsid w:val="00CA713F"/>
    <w:rsid w:val="00CA7177"/>
    <w:rsid w:val="00CB1A46"/>
    <w:rsid w:val="00CB2E68"/>
    <w:rsid w:val="00CB5F23"/>
    <w:rsid w:val="00CB65B5"/>
    <w:rsid w:val="00CB73E9"/>
    <w:rsid w:val="00CC39F7"/>
    <w:rsid w:val="00CC57ED"/>
    <w:rsid w:val="00CC6FA3"/>
    <w:rsid w:val="00CD2113"/>
    <w:rsid w:val="00CD7F6C"/>
    <w:rsid w:val="00CE0D6F"/>
    <w:rsid w:val="00CE4688"/>
    <w:rsid w:val="00CE4914"/>
    <w:rsid w:val="00CE6793"/>
    <w:rsid w:val="00CF0697"/>
    <w:rsid w:val="00CF08D1"/>
    <w:rsid w:val="00CF51D6"/>
    <w:rsid w:val="00CF552D"/>
    <w:rsid w:val="00CF5D7C"/>
    <w:rsid w:val="00CF652A"/>
    <w:rsid w:val="00CF6BCD"/>
    <w:rsid w:val="00CF739D"/>
    <w:rsid w:val="00D00691"/>
    <w:rsid w:val="00D01E02"/>
    <w:rsid w:val="00D02909"/>
    <w:rsid w:val="00D03927"/>
    <w:rsid w:val="00D0759F"/>
    <w:rsid w:val="00D07A4D"/>
    <w:rsid w:val="00D105AD"/>
    <w:rsid w:val="00D172EF"/>
    <w:rsid w:val="00D20603"/>
    <w:rsid w:val="00D20A72"/>
    <w:rsid w:val="00D21B14"/>
    <w:rsid w:val="00D22FAA"/>
    <w:rsid w:val="00D242E1"/>
    <w:rsid w:val="00D2437F"/>
    <w:rsid w:val="00D25429"/>
    <w:rsid w:val="00D2546A"/>
    <w:rsid w:val="00D2554F"/>
    <w:rsid w:val="00D259DD"/>
    <w:rsid w:val="00D30122"/>
    <w:rsid w:val="00D30EEA"/>
    <w:rsid w:val="00D3130E"/>
    <w:rsid w:val="00D32BE1"/>
    <w:rsid w:val="00D3503C"/>
    <w:rsid w:val="00D37D32"/>
    <w:rsid w:val="00D41AAC"/>
    <w:rsid w:val="00D431F4"/>
    <w:rsid w:val="00D4569D"/>
    <w:rsid w:val="00D45DA3"/>
    <w:rsid w:val="00D462F3"/>
    <w:rsid w:val="00D47D96"/>
    <w:rsid w:val="00D529BE"/>
    <w:rsid w:val="00D533C3"/>
    <w:rsid w:val="00D53F85"/>
    <w:rsid w:val="00D55E7E"/>
    <w:rsid w:val="00D61802"/>
    <w:rsid w:val="00D646AE"/>
    <w:rsid w:val="00D6545D"/>
    <w:rsid w:val="00D6613B"/>
    <w:rsid w:val="00D67603"/>
    <w:rsid w:val="00D67884"/>
    <w:rsid w:val="00D73EB8"/>
    <w:rsid w:val="00D80882"/>
    <w:rsid w:val="00D82193"/>
    <w:rsid w:val="00D858CA"/>
    <w:rsid w:val="00D85925"/>
    <w:rsid w:val="00D86E16"/>
    <w:rsid w:val="00D87C5A"/>
    <w:rsid w:val="00D93364"/>
    <w:rsid w:val="00D93593"/>
    <w:rsid w:val="00D94237"/>
    <w:rsid w:val="00D964B0"/>
    <w:rsid w:val="00DA282B"/>
    <w:rsid w:val="00DA335A"/>
    <w:rsid w:val="00DA3EAE"/>
    <w:rsid w:val="00DA6361"/>
    <w:rsid w:val="00DA6EA0"/>
    <w:rsid w:val="00DB0853"/>
    <w:rsid w:val="00DB1678"/>
    <w:rsid w:val="00DB1E67"/>
    <w:rsid w:val="00DB26F8"/>
    <w:rsid w:val="00DB3965"/>
    <w:rsid w:val="00DB60B9"/>
    <w:rsid w:val="00DB7067"/>
    <w:rsid w:val="00DC09D0"/>
    <w:rsid w:val="00DC09DC"/>
    <w:rsid w:val="00DC3671"/>
    <w:rsid w:val="00DC588A"/>
    <w:rsid w:val="00DD0237"/>
    <w:rsid w:val="00DD14A6"/>
    <w:rsid w:val="00DD2559"/>
    <w:rsid w:val="00DD304D"/>
    <w:rsid w:val="00DD4C66"/>
    <w:rsid w:val="00DE040C"/>
    <w:rsid w:val="00DE06BC"/>
    <w:rsid w:val="00DE0958"/>
    <w:rsid w:val="00DE1E49"/>
    <w:rsid w:val="00DE2681"/>
    <w:rsid w:val="00DE5884"/>
    <w:rsid w:val="00DE7919"/>
    <w:rsid w:val="00DF0E26"/>
    <w:rsid w:val="00DF220B"/>
    <w:rsid w:val="00DF2B8C"/>
    <w:rsid w:val="00DF56E8"/>
    <w:rsid w:val="00DF5CDB"/>
    <w:rsid w:val="00DF6857"/>
    <w:rsid w:val="00E01163"/>
    <w:rsid w:val="00E019E7"/>
    <w:rsid w:val="00E04EC2"/>
    <w:rsid w:val="00E068C6"/>
    <w:rsid w:val="00E06E1C"/>
    <w:rsid w:val="00E139B3"/>
    <w:rsid w:val="00E1541E"/>
    <w:rsid w:val="00E15DA9"/>
    <w:rsid w:val="00E1729B"/>
    <w:rsid w:val="00E20797"/>
    <w:rsid w:val="00E21666"/>
    <w:rsid w:val="00E252DA"/>
    <w:rsid w:val="00E2585D"/>
    <w:rsid w:val="00E25864"/>
    <w:rsid w:val="00E25A50"/>
    <w:rsid w:val="00E27988"/>
    <w:rsid w:val="00E33945"/>
    <w:rsid w:val="00E3470F"/>
    <w:rsid w:val="00E35260"/>
    <w:rsid w:val="00E37B3E"/>
    <w:rsid w:val="00E4025D"/>
    <w:rsid w:val="00E40FC3"/>
    <w:rsid w:val="00E41A5A"/>
    <w:rsid w:val="00E42046"/>
    <w:rsid w:val="00E42FB9"/>
    <w:rsid w:val="00E43162"/>
    <w:rsid w:val="00E5022B"/>
    <w:rsid w:val="00E532FA"/>
    <w:rsid w:val="00E5395A"/>
    <w:rsid w:val="00E53987"/>
    <w:rsid w:val="00E547E9"/>
    <w:rsid w:val="00E63251"/>
    <w:rsid w:val="00E63271"/>
    <w:rsid w:val="00E654DF"/>
    <w:rsid w:val="00E668B6"/>
    <w:rsid w:val="00E70842"/>
    <w:rsid w:val="00E70BFB"/>
    <w:rsid w:val="00E7116A"/>
    <w:rsid w:val="00E751A0"/>
    <w:rsid w:val="00E76425"/>
    <w:rsid w:val="00E77579"/>
    <w:rsid w:val="00E83807"/>
    <w:rsid w:val="00E84116"/>
    <w:rsid w:val="00E8562C"/>
    <w:rsid w:val="00E871BB"/>
    <w:rsid w:val="00E87D7E"/>
    <w:rsid w:val="00E87F32"/>
    <w:rsid w:val="00E903BC"/>
    <w:rsid w:val="00E9147F"/>
    <w:rsid w:val="00E93180"/>
    <w:rsid w:val="00E95013"/>
    <w:rsid w:val="00E96ACE"/>
    <w:rsid w:val="00E96B36"/>
    <w:rsid w:val="00E97E7C"/>
    <w:rsid w:val="00EB098E"/>
    <w:rsid w:val="00EB0BF1"/>
    <w:rsid w:val="00EB2B21"/>
    <w:rsid w:val="00EC1045"/>
    <w:rsid w:val="00EC1B71"/>
    <w:rsid w:val="00EC1E6C"/>
    <w:rsid w:val="00EC2DB7"/>
    <w:rsid w:val="00EC2FE1"/>
    <w:rsid w:val="00EC3CA9"/>
    <w:rsid w:val="00EC46E0"/>
    <w:rsid w:val="00EC4985"/>
    <w:rsid w:val="00EC51D1"/>
    <w:rsid w:val="00EC5CF3"/>
    <w:rsid w:val="00EC61BA"/>
    <w:rsid w:val="00ED1376"/>
    <w:rsid w:val="00ED1406"/>
    <w:rsid w:val="00ED1788"/>
    <w:rsid w:val="00ED394F"/>
    <w:rsid w:val="00ED4B72"/>
    <w:rsid w:val="00ED4DBE"/>
    <w:rsid w:val="00EE028F"/>
    <w:rsid w:val="00EE252E"/>
    <w:rsid w:val="00EE27B5"/>
    <w:rsid w:val="00EE32F9"/>
    <w:rsid w:val="00EE4CB7"/>
    <w:rsid w:val="00EE564D"/>
    <w:rsid w:val="00EE730F"/>
    <w:rsid w:val="00EE7C49"/>
    <w:rsid w:val="00EE7EDF"/>
    <w:rsid w:val="00EF0633"/>
    <w:rsid w:val="00EF42FA"/>
    <w:rsid w:val="00EF586A"/>
    <w:rsid w:val="00EF6335"/>
    <w:rsid w:val="00EF67F0"/>
    <w:rsid w:val="00EF6D85"/>
    <w:rsid w:val="00F00A89"/>
    <w:rsid w:val="00F02563"/>
    <w:rsid w:val="00F02A3C"/>
    <w:rsid w:val="00F03C2B"/>
    <w:rsid w:val="00F0441B"/>
    <w:rsid w:val="00F1023C"/>
    <w:rsid w:val="00F11E1A"/>
    <w:rsid w:val="00F1371B"/>
    <w:rsid w:val="00F142C1"/>
    <w:rsid w:val="00F14D36"/>
    <w:rsid w:val="00F15FC2"/>
    <w:rsid w:val="00F1693E"/>
    <w:rsid w:val="00F17BE0"/>
    <w:rsid w:val="00F22765"/>
    <w:rsid w:val="00F242A8"/>
    <w:rsid w:val="00F3385C"/>
    <w:rsid w:val="00F347A9"/>
    <w:rsid w:val="00F34C1C"/>
    <w:rsid w:val="00F370F3"/>
    <w:rsid w:val="00F376B7"/>
    <w:rsid w:val="00F42145"/>
    <w:rsid w:val="00F45AC0"/>
    <w:rsid w:val="00F4673A"/>
    <w:rsid w:val="00F504E8"/>
    <w:rsid w:val="00F5083E"/>
    <w:rsid w:val="00F50C87"/>
    <w:rsid w:val="00F52504"/>
    <w:rsid w:val="00F544EA"/>
    <w:rsid w:val="00F5740C"/>
    <w:rsid w:val="00F60640"/>
    <w:rsid w:val="00F61C6F"/>
    <w:rsid w:val="00F64569"/>
    <w:rsid w:val="00F67D37"/>
    <w:rsid w:val="00F67DFA"/>
    <w:rsid w:val="00F7333B"/>
    <w:rsid w:val="00F743CD"/>
    <w:rsid w:val="00F770EC"/>
    <w:rsid w:val="00F77404"/>
    <w:rsid w:val="00F82B64"/>
    <w:rsid w:val="00F82BD1"/>
    <w:rsid w:val="00F845F3"/>
    <w:rsid w:val="00F848BE"/>
    <w:rsid w:val="00F90D51"/>
    <w:rsid w:val="00F91BBB"/>
    <w:rsid w:val="00F91EBB"/>
    <w:rsid w:val="00F9270E"/>
    <w:rsid w:val="00F93F0D"/>
    <w:rsid w:val="00F94426"/>
    <w:rsid w:val="00F94623"/>
    <w:rsid w:val="00FA0E60"/>
    <w:rsid w:val="00FA1BFD"/>
    <w:rsid w:val="00FA2202"/>
    <w:rsid w:val="00FA44D5"/>
    <w:rsid w:val="00FA4F7C"/>
    <w:rsid w:val="00FA672A"/>
    <w:rsid w:val="00FA6E44"/>
    <w:rsid w:val="00FB01C4"/>
    <w:rsid w:val="00FB036F"/>
    <w:rsid w:val="00FB11AC"/>
    <w:rsid w:val="00FB3005"/>
    <w:rsid w:val="00FB68BD"/>
    <w:rsid w:val="00FB6D79"/>
    <w:rsid w:val="00FB72E5"/>
    <w:rsid w:val="00FC047E"/>
    <w:rsid w:val="00FC17AF"/>
    <w:rsid w:val="00FC1D39"/>
    <w:rsid w:val="00FC4E20"/>
    <w:rsid w:val="00FC78F5"/>
    <w:rsid w:val="00FD1021"/>
    <w:rsid w:val="00FD1E04"/>
    <w:rsid w:val="00FD375F"/>
    <w:rsid w:val="00FD43B9"/>
    <w:rsid w:val="00FD4C6B"/>
    <w:rsid w:val="00FD4D48"/>
    <w:rsid w:val="00FD75A3"/>
    <w:rsid w:val="00FE18D7"/>
    <w:rsid w:val="00FE1ADD"/>
    <w:rsid w:val="00FE28CA"/>
    <w:rsid w:val="00FE3173"/>
    <w:rsid w:val="00FE3700"/>
    <w:rsid w:val="00FE3AC6"/>
    <w:rsid w:val="00FE6898"/>
    <w:rsid w:val="00FF17E8"/>
    <w:rsid w:val="00FF46A8"/>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5537"/>
    <o:shapelayout v:ext="edit">
      <o:idmap v:ext="edit" data="1"/>
    </o:shapelayout>
  </w:shapeDefaults>
  <w:decimalSymbol w:val=","/>
  <w:listSeparator w:val=";"/>
  <w15:docId w15:val="{AC699A3D-2B9C-4A49-822E-91A7782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3F"/>
    <w:rPr>
      <w:rFonts w:ascii="Times New Roman" w:eastAsia="Times New Roman" w:hAnsi="Times New Roman"/>
      <w:sz w:val="24"/>
      <w:szCs w:val="24"/>
    </w:rPr>
  </w:style>
  <w:style w:type="paragraph" w:styleId="Heading3">
    <w:name w:val="heading 3"/>
    <w:basedOn w:val="Normal"/>
    <w:next w:val="Normal"/>
    <w:link w:val="Heading3Char"/>
    <w:qFormat/>
    <w:rsid w:val="00493750"/>
    <w:pPr>
      <w:keepNext/>
      <w:spacing w:before="240" w:after="60"/>
      <w:outlineLvl w:val="2"/>
    </w:pPr>
    <w:rPr>
      <w:rFonts w:ascii="Arial" w:hAnsi="Arial" w:cs="Arial"/>
      <w:b/>
      <w:bCs/>
      <w:snapToGrid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rsid w:val="00FB68BD"/>
    <w:pPr>
      <w:tabs>
        <w:tab w:val="center" w:pos="4153"/>
        <w:tab w:val="right" w:pos="8306"/>
      </w:tabs>
    </w:pPr>
  </w:style>
  <w:style w:type="character" w:customStyle="1" w:styleId="HeaderChar">
    <w:name w:val="Header Char"/>
    <w:link w:val="Header"/>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FB68BD"/>
    <w:pPr>
      <w:spacing w:after="120"/>
    </w:pPr>
  </w:style>
  <w:style w:type="character" w:customStyle="1" w:styleId="BodyTextChar">
    <w:name w:val="Body Text Char"/>
    <w:link w:val="BodyText"/>
    <w:uiPriority w:val="99"/>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
    <w:name w:val="Saraksta rindkopa"/>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0">
    <w:name w:val="Char"/>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uiPriority w:val="99"/>
    <w:rsid w:val="00E53987"/>
    <w:rPr>
      <w:sz w:val="20"/>
      <w:szCs w:val="20"/>
    </w:rPr>
  </w:style>
  <w:style w:type="character" w:customStyle="1" w:styleId="FootnoteTextChar">
    <w:name w:val="Footnote Text Char"/>
    <w:link w:val="FootnoteText"/>
    <w:uiPriority w:val="99"/>
    <w:rsid w:val="00E53987"/>
    <w:rPr>
      <w:rFonts w:ascii="Times New Roman" w:eastAsia="Times New Roman" w:hAnsi="Times New Roman" w:cs="Times New Roman"/>
      <w:sz w:val="20"/>
      <w:szCs w:val="20"/>
      <w:lang w:eastAsia="lv-LV"/>
    </w:rPr>
  </w:style>
  <w:style w:type="character" w:styleId="FootnoteReference">
    <w:name w:val="footnote reference"/>
    <w:uiPriority w:val="99"/>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character" w:customStyle="1" w:styleId="ListParagraphChar">
    <w:name w:val="List Paragraph Char"/>
    <w:link w:val="ListParagraph"/>
    <w:uiPriority w:val="34"/>
    <w:rsid w:val="002D4B24"/>
    <w:rPr>
      <w:sz w:val="22"/>
      <w:szCs w:val="22"/>
      <w:lang w:eastAsia="en-US"/>
    </w:rPr>
  </w:style>
  <w:style w:type="paragraph" w:customStyle="1" w:styleId="naislab">
    <w:name w:val="naislab"/>
    <w:basedOn w:val="Normal"/>
    <w:uiPriority w:val="99"/>
    <w:rsid w:val="002D4B24"/>
    <w:pPr>
      <w:spacing w:before="75" w:after="75"/>
      <w:jc w:val="right"/>
    </w:pPr>
  </w:style>
  <w:style w:type="paragraph" w:customStyle="1" w:styleId="tv213">
    <w:name w:val="tv213"/>
    <w:basedOn w:val="Normal"/>
    <w:rsid w:val="008D63B6"/>
    <w:pPr>
      <w:spacing w:before="100" w:beforeAutospacing="1" w:after="100" w:afterAutospacing="1"/>
    </w:pPr>
  </w:style>
  <w:style w:type="paragraph" w:customStyle="1" w:styleId="Default">
    <w:name w:val="Default"/>
    <w:rsid w:val="0035556B"/>
    <w:pPr>
      <w:autoSpaceDE w:val="0"/>
      <w:autoSpaceDN w:val="0"/>
      <w:adjustRightInd w:val="0"/>
    </w:pPr>
    <w:rPr>
      <w:rFonts w:ascii="Times New Roman" w:eastAsia="Times New Roman" w:hAnsi="Times New Roman"/>
      <w:color w:val="000000"/>
      <w:sz w:val="24"/>
      <w:szCs w:val="24"/>
    </w:rPr>
  </w:style>
  <w:style w:type="paragraph" w:customStyle="1" w:styleId="naisvisr">
    <w:name w:val="naisvisr"/>
    <w:basedOn w:val="Normal"/>
    <w:rsid w:val="0039215C"/>
    <w:pPr>
      <w:spacing w:before="100" w:beforeAutospacing="1" w:after="100" w:afterAutospacing="1"/>
      <w:jc w:val="center"/>
    </w:pPr>
    <w:rPr>
      <w:b/>
      <w:bCs/>
      <w:sz w:val="28"/>
      <w:szCs w:val="28"/>
      <w:lang w:eastAsia="en-US"/>
    </w:rPr>
  </w:style>
  <w:style w:type="character" w:customStyle="1" w:styleId="Heading3Char">
    <w:name w:val="Heading 3 Char"/>
    <w:basedOn w:val="DefaultParagraphFont"/>
    <w:link w:val="Heading3"/>
    <w:rsid w:val="00493750"/>
    <w:rPr>
      <w:rFonts w:ascii="Arial" w:eastAsia="Times New Roman" w:hAnsi="Arial" w:cs="Arial"/>
      <w:b/>
      <w:bCs/>
      <w:snapToGrid w:val="0"/>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561">
      <w:bodyDiv w:val="1"/>
      <w:marLeft w:val="0"/>
      <w:marRight w:val="0"/>
      <w:marTop w:val="0"/>
      <w:marBottom w:val="0"/>
      <w:divBdr>
        <w:top w:val="none" w:sz="0" w:space="0" w:color="auto"/>
        <w:left w:val="none" w:sz="0" w:space="0" w:color="auto"/>
        <w:bottom w:val="none" w:sz="0" w:space="0" w:color="auto"/>
        <w:right w:val="none" w:sz="0" w:space="0" w:color="auto"/>
      </w:divBdr>
      <w:divsChild>
        <w:div w:id="1890529652">
          <w:marLeft w:val="0"/>
          <w:marRight w:val="0"/>
          <w:marTop w:val="0"/>
          <w:marBottom w:val="0"/>
          <w:divBdr>
            <w:top w:val="none" w:sz="0" w:space="0" w:color="auto"/>
            <w:left w:val="none" w:sz="0" w:space="0" w:color="auto"/>
            <w:bottom w:val="none" w:sz="0" w:space="0" w:color="auto"/>
            <w:right w:val="none" w:sz="0" w:space="0" w:color="auto"/>
          </w:divBdr>
        </w:div>
        <w:div w:id="1171025814">
          <w:marLeft w:val="0"/>
          <w:marRight w:val="0"/>
          <w:marTop w:val="0"/>
          <w:marBottom w:val="0"/>
          <w:divBdr>
            <w:top w:val="none" w:sz="0" w:space="0" w:color="auto"/>
            <w:left w:val="none" w:sz="0" w:space="0" w:color="auto"/>
            <w:bottom w:val="none" w:sz="0" w:space="0" w:color="auto"/>
            <w:right w:val="none" w:sz="0" w:space="0" w:color="auto"/>
          </w:divBdr>
        </w:div>
      </w:divsChild>
    </w:div>
    <w:div w:id="56131330">
      <w:bodyDiv w:val="1"/>
      <w:marLeft w:val="0"/>
      <w:marRight w:val="0"/>
      <w:marTop w:val="0"/>
      <w:marBottom w:val="0"/>
      <w:divBdr>
        <w:top w:val="none" w:sz="0" w:space="0" w:color="auto"/>
        <w:left w:val="none" w:sz="0" w:space="0" w:color="auto"/>
        <w:bottom w:val="none" w:sz="0" w:space="0" w:color="auto"/>
        <w:right w:val="none" w:sz="0" w:space="0" w:color="auto"/>
      </w:divBdr>
    </w:div>
    <w:div w:id="102382624">
      <w:bodyDiv w:val="1"/>
      <w:marLeft w:val="0"/>
      <w:marRight w:val="0"/>
      <w:marTop w:val="0"/>
      <w:marBottom w:val="0"/>
      <w:divBdr>
        <w:top w:val="none" w:sz="0" w:space="0" w:color="auto"/>
        <w:left w:val="none" w:sz="0" w:space="0" w:color="auto"/>
        <w:bottom w:val="none" w:sz="0" w:space="0" w:color="auto"/>
        <w:right w:val="none" w:sz="0" w:space="0" w:color="auto"/>
      </w:divBdr>
    </w:div>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0741249">
      <w:bodyDiv w:val="1"/>
      <w:marLeft w:val="0"/>
      <w:marRight w:val="0"/>
      <w:marTop w:val="0"/>
      <w:marBottom w:val="0"/>
      <w:divBdr>
        <w:top w:val="none" w:sz="0" w:space="0" w:color="auto"/>
        <w:left w:val="none" w:sz="0" w:space="0" w:color="auto"/>
        <w:bottom w:val="none" w:sz="0" w:space="0" w:color="auto"/>
        <w:right w:val="none" w:sz="0" w:space="0" w:color="auto"/>
      </w:divBdr>
    </w:div>
    <w:div w:id="290327735">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65408983">
      <w:bodyDiv w:val="1"/>
      <w:marLeft w:val="0"/>
      <w:marRight w:val="0"/>
      <w:marTop w:val="0"/>
      <w:marBottom w:val="0"/>
      <w:divBdr>
        <w:top w:val="none" w:sz="0" w:space="0" w:color="auto"/>
        <w:left w:val="none" w:sz="0" w:space="0" w:color="auto"/>
        <w:bottom w:val="none" w:sz="0" w:space="0" w:color="auto"/>
        <w:right w:val="none" w:sz="0" w:space="0" w:color="auto"/>
      </w:divBdr>
      <w:divsChild>
        <w:div w:id="1941596909">
          <w:marLeft w:val="0"/>
          <w:marRight w:val="0"/>
          <w:marTop w:val="0"/>
          <w:marBottom w:val="0"/>
          <w:divBdr>
            <w:top w:val="none" w:sz="0" w:space="0" w:color="auto"/>
            <w:left w:val="none" w:sz="0" w:space="0" w:color="auto"/>
            <w:bottom w:val="none" w:sz="0" w:space="0" w:color="auto"/>
            <w:right w:val="none" w:sz="0" w:space="0" w:color="auto"/>
          </w:divBdr>
        </w:div>
        <w:div w:id="949774138">
          <w:marLeft w:val="0"/>
          <w:marRight w:val="0"/>
          <w:marTop w:val="0"/>
          <w:marBottom w:val="0"/>
          <w:divBdr>
            <w:top w:val="none" w:sz="0" w:space="0" w:color="auto"/>
            <w:left w:val="none" w:sz="0" w:space="0" w:color="auto"/>
            <w:bottom w:val="none" w:sz="0" w:space="0" w:color="auto"/>
            <w:right w:val="none" w:sz="0" w:space="0" w:color="auto"/>
          </w:divBdr>
        </w:div>
      </w:divsChild>
    </w:div>
    <w:div w:id="1204321908">
      <w:bodyDiv w:val="1"/>
      <w:marLeft w:val="0"/>
      <w:marRight w:val="0"/>
      <w:marTop w:val="0"/>
      <w:marBottom w:val="0"/>
      <w:divBdr>
        <w:top w:val="none" w:sz="0" w:space="0" w:color="auto"/>
        <w:left w:val="none" w:sz="0" w:space="0" w:color="auto"/>
        <w:bottom w:val="none" w:sz="0" w:space="0" w:color="auto"/>
        <w:right w:val="none" w:sz="0" w:space="0" w:color="auto"/>
      </w:divBdr>
      <w:divsChild>
        <w:div w:id="64498530">
          <w:marLeft w:val="0"/>
          <w:marRight w:val="0"/>
          <w:marTop w:val="0"/>
          <w:marBottom w:val="0"/>
          <w:divBdr>
            <w:top w:val="none" w:sz="0" w:space="0" w:color="auto"/>
            <w:left w:val="none" w:sz="0" w:space="0" w:color="auto"/>
            <w:bottom w:val="none" w:sz="0" w:space="0" w:color="auto"/>
            <w:right w:val="none" w:sz="0" w:space="0" w:color="auto"/>
          </w:divBdr>
        </w:div>
        <w:div w:id="1794712213">
          <w:marLeft w:val="0"/>
          <w:marRight w:val="0"/>
          <w:marTop w:val="0"/>
          <w:marBottom w:val="0"/>
          <w:divBdr>
            <w:top w:val="none" w:sz="0" w:space="0" w:color="auto"/>
            <w:left w:val="none" w:sz="0" w:space="0" w:color="auto"/>
            <w:bottom w:val="none" w:sz="0" w:space="0" w:color="auto"/>
            <w:right w:val="none" w:sz="0" w:space="0" w:color="auto"/>
          </w:divBdr>
        </w:div>
      </w:divsChild>
    </w:div>
    <w:div w:id="1209075579">
      <w:bodyDiv w:val="1"/>
      <w:marLeft w:val="0"/>
      <w:marRight w:val="0"/>
      <w:marTop w:val="0"/>
      <w:marBottom w:val="0"/>
      <w:divBdr>
        <w:top w:val="none" w:sz="0" w:space="0" w:color="auto"/>
        <w:left w:val="none" w:sz="0" w:space="0" w:color="auto"/>
        <w:bottom w:val="none" w:sz="0" w:space="0" w:color="auto"/>
        <w:right w:val="none" w:sz="0" w:space="0" w:color="auto"/>
      </w:divBdr>
      <w:divsChild>
        <w:div w:id="1343774729">
          <w:marLeft w:val="0"/>
          <w:marRight w:val="0"/>
          <w:marTop w:val="0"/>
          <w:marBottom w:val="0"/>
          <w:divBdr>
            <w:top w:val="none" w:sz="0" w:space="0" w:color="auto"/>
            <w:left w:val="none" w:sz="0" w:space="0" w:color="auto"/>
            <w:bottom w:val="none" w:sz="0" w:space="0" w:color="auto"/>
            <w:right w:val="none" w:sz="0" w:space="0" w:color="auto"/>
          </w:divBdr>
        </w:div>
        <w:div w:id="173646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adamovic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E4B0-E881-4BC3-8953-61F19983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29168</Words>
  <Characters>16627</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rīkojuma projektu „Par kopējām valsts pārvaldē auditējamām prioritātēm 2020.gadam”</vt:lpstr>
    </vt:vector>
  </TitlesOfParts>
  <Company>FM</Company>
  <LinksUpToDate>false</LinksUpToDate>
  <CharactersWithSpaces>45704</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kopējām valsts pārvaldē auditējamām prioritātēm 2020.gadam”</dc:title>
  <dc:subject>Izziņa</dc:subject>
  <dc:creator>julija.adamovica@fm.gov.lv</dc:creator>
  <cp:keywords/>
  <dc:description>67095488; Jūlija Adamoviča</dc:description>
  <cp:lastModifiedBy>Sniedzīte Sprukta</cp:lastModifiedBy>
  <cp:revision>2</cp:revision>
  <cp:lastPrinted>2019-09-23T06:55:00Z</cp:lastPrinted>
  <dcterms:created xsi:type="dcterms:W3CDTF">2019-10-25T08:14:00Z</dcterms:created>
  <dcterms:modified xsi:type="dcterms:W3CDTF">2019-10-25T08:14:00Z</dcterms:modified>
</cp:coreProperties>
</file>