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E7DE7" w14:textId="77777777" w:rsidR="009D66C8" w:rsidRPr="00404CF4" w:rsidRDefault="00222C95" w:rsidP="00914CB7">
      <w:pPr>
        <w:shd w:val="clear" w:color="auto" w:fill="FFFFFF"/>
        <w:jc w:val="center"/>
        <w:rPr>
          <w:b/>
          <w:bCs/>
        </w:rPr>
      </w:pPr>
      <w:r w:rsidRPr="00404CF4">
        <w:rPr>
          <w:b/>
        </w:rPr>
        <w:t>Ministru kabineta noteikumu projekta “</w:t>
      </w:r>
      <w:r w:rsidR="0086369F" w:rsidRPr="00404CF4">
        <w:rPr>
          <w:b/>
          <w:bCs/>
        </w:rPr>
        <w:t>Grozījumi Ministru kabineta 20</w:t>
      </w:r>
      <w:r w:rsidR="00F33928">
        <w:rPr>
          <w:b/>
          <w:bCs/>
        </w:rPr>
        <w:t>02</w:t>
      </w:r>
      <w:r w:rsidR="0086369F" w:rsidRPr="00404CF4">
        <w:rPr>
          <w:b/>
          <w:bCs/>
        </w:rPr>
        <w:t xml:space="preserve">. gada </w:t>
      </w:r>
      <w:r w:rsidR="005E0981" w:rsidRPr="00404CF4">
        <w:rPr>
          <w:b/>
          <w:bCs/>
        </w:rPr>
        <w:t>2</w:t>
      </w:r>
      <w:r w:rsidR="00F33928">
        <w:rPr>
          <w:b/>
          <w:bCs/>
        </w:rPr>
        <w:t>3. jūlija</w:t>
      </w:r>
      <w:r w:rsidR="0086369F" w:rsidRPr="00404CF4">
        <w:rPr>
          <w:b/>
          <w:bCs/>
        </w:rPr>
        <w:t xml:space="preserve"> noteikumos Nr.</w:t>
      </w:r>
      <w:r w:rsidR="006F18AC" w:rsidRPr="00404CF4">
        <w:rPr>
          <w:b/>
          <w:bCs/>
        </w:rPr>
        <w:t> </w:t>
      </w:r>
      <w:r w:rsidR="00F33928">
        <w:rPr>
          <w:b/>
          <w:bCs/>
        </w:rPr>
        <w:t>315</w:t>
      </w:r>
      <w:r w:rsidR="0086369F" w:rsidRPr="00404CF4">
        <w:rPr>
          <w:b/>
          <w:bCs/>
        </w:rPr>
        <w:t xml:space="preserve"> “</w:t>
      </w:r>
      <w:r w:rsidR="00F33928">
        <w:rPr>
          <w:b/>
          <w:bCs/>
        </w:rPr>
        <w:t>Izglītības programmu minimālās prasības ārsta profesionālās kvalifikācijas iegūšanai</w:t>
      </w:r>
      <w:r w:rsidR="0086369F" w:rsidRPr="00404CF4">
        <w:rPr>
          <w:b/>
          <w:bCs/>
        </w:rPr>
        <w:t>”</w:t>
      </w:r>
      <w:r w:rsidRPr="00404CF4">
        <w:rPr>
          <w:b/>
        </w:rPr>
        <w:t xml:space="preserve">” </w:t>
      </w:r>
      <w:r w:rsidRPr="00404CF4">
        <w:rPr>
          <w:b/>
          <w:bCs/>
        </w:rPr>
        <w:t>sākotnējās ietekmes novērtējuma ziņojums (anotācija)</w:t>
      </w:r>
      <w:r w:rsidRPr="00404CF4">
        <w:rPr>
          <w:b/>
        </w:rPr>
        <w:t xml:space="preserve"> </w:t>
      </w:r>
    </w:p>
    <w:p w14:paraId="2E1E7DE8"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2E1E7DEA" w14:textId="77777777" w:rsidTr="00E92DFB">
        <w:trPr>
          <w:cantSplit/>
        </w:trPr>
        <w:tc>
          <w:tcPr>
            <w:tcW w:w="9067" w:type="dxa"/>
            <w:gridSpan w:val="2"/>
            <w:shd w:val="clear" w:color="auto" w:fill="FFFFFF"/>
            <w:vAlign w:val="center"/>
            <w:hideMark/>
          </w:tcPr>
          <w:p w14:paraId="2E1E7DE9"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2E1E7DEE" w14:textId="77777777" w:rsidTr="00E92DFB">
        <w:trPr>
          <w:cantSplit/>
        </w:trPr>
        <w:tc>
          <w:tcPr>
            <w:tcW w:w="3246" w:type="dxa"/>
            <w:shd w:val="clear" w:color="auto" w:fill="FFFFFF"/>
            <w:hideMark/>
          </w:tcPr>
          <w:p w14:paraId="2E1E7DEB"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2E1E7DEC" w14:textId="1F1C553B" w:rsidR="00190577" w:rsidRPr="00847CF7" w:rsidRDefault="00222C95" w:rsidP="00820521">
            <w:pPr>
              <w:jc w:val="both"/>
              <w:rPr>
                <w:rStyle w:val="Strong"/>
                <w:b w:val="0"/>
                <w:bdr w:val="none" w:sz="0" w:space="0" w:color="auto" w:frame="1"/>
                <w:shd w:val="clear" w:color="auto" w:fill="FFFFFF"/>
              </w:rPr>
            </w:pPr>
            <w:r w:rsidRPr="00847CF7">
              <w:rPr>
                <w:rStyle w:val="Strong"/>
                <w:b w:val="0"/>
                <w:bdr w:val="none" w:sz="0" w:space="0" w:color="auto" w:frame="1"/>
                <w:shd w:val="clear" w:color="auto" w:fill="FFFFFF"/>
              </w:rPr>
              <w:t xml:space="preserve">Projekta </w:t>
            </w:r>
            <w:r w:rsidR="00774E4C" w:rsidRPr="00847CF7">
              <w:rPr>
                <w:rStyle w:val="Strong"/>
                <w:b w:val="0"/>
                <w:bdr w:val="none" w:sz="0" w:space="0" w:color="auto" w:frame="1"/>
                <w:shd w:val="clear" w:color="auto" w:fill="FFFFFF"/>
              </w:rPr>
              <w:t xml:space="preserve">galvenais </w:t>
            </w:r>
            <w:r w:rsidRPr="00847CF7">
              <w:rPr>
                <w:rStyle w:val="Strong"/>
                <w:b w:val="0"/>
                <w:bdr w:val="none" w:sz="0" w:space="0" w:color="auto" w:frame="1"/>
                <w:shd w:val="clear" w:color="auto" w:fill="FFFFFF"/>
              </w:rPr>
              <w:t xml:space="preserve">mērķis ir </w:t>
            </w:r>
            <w:r w:rsidR="00774E4C" w:rsidRPr="00847CF7">
              <w:rPr>
                <w:rStyle w:val="Strong"/>
                <w:b w:val="0"/>
                <w:bdr w:val="none" w:sz="0" w:space="0" w:color="auto" w:frame="1"/>
                <w:shd w:val="clear" w:color="auto" w:fill="FFFFFF"/>
              </w:rPr>
              <w:t>nodrošināt</w:t>
            </w:r>
            <w:r w:rsidRPr="00847CF7">
              <w:rPr>
                <w:rStyle w:val="Strong"/>
                <w:b w:val="0"/>
                <w:bdr w:val="none" w:sz="0" w:space="0" w:color="auto" w:frame="1"/>
                <w:shd w:val="clear" w:color="auto" w:fill="FFFFFF"/>
              </w:rPr>
              <w:t xml:space="preserve"> </w:t>
            </w:r>
            <w:r w:rsidR="00847CF7" w:rsidRPr="00847CF7">
              <w:rPr>
                <w:rStyle w:val="Strong"/>
                <w:b w:val="0"/>
                <w:bdr w:val="none" w:sz="0" w:space="0" w:color="auto" w:frame="1"/>
                <w:shd w:val="clear" w:color="auto" w:fill="FFFFFF"/>
              </w:rPr>
              <w:t xml:space="preserve">Eiropas Savienības tiesību normu pārņemšanu Latvijā, lai </w:t>
            </w:r>
            <w:r w:rsidR="006A4BBA">
              <w:rPr>
                <w:rStyle w:val="Strong"/>
                <w:b w:val="0"/>
                <w:bdr w:val="none" w:sz="0" w:space="0" w:color="auto" w:frame="1"/>
                <w:shd w:val="clear" w:color="auto" w:fill="FFFFFF"/>
              </w:rPr>
              <w:t xml:space="preserve">personas varētu iegūt ārsta </w:t>
            </w:r>
            <w:r w:rsidR="008604AC">
              <w:rPr>
                <w:rStyle w:val="Strong"/>
                <w:b w:val="0"/>
                <w:bdr w:val="none" w:sz="0" w:space="0" w:color="auto" w:frame="1"/>
                <w:shd w:val="clear" w:color="auto" w:fill="FFFFFF"/>
              </w:rPr>
              <w:t xml:space="preserve">specialitātes </w:t>
            </w:r>
            <w:r w:rsidR="006A4BBA">
              <w:rPr>
                <w:rStyle w:val="Strong"/>
                <w:b w:val="0"/>
                <w:bdr w:val="none" w:sz="0" w:space="0" w:color="auto" w:frame="1"/>
                <w:shd w:val="clear" w:color="auto" w:fill="FFFFFF"/>
              </w:rPr>
              <w:t>kvalifikāciju, kuru atzīst Eiropas Savienībā, un</w:t>
            </w:r>
            <w:r w:rsidR="00847CF7">
              <w:rPr>
                <w:rStyle w:val="Strong"/>
                <w:b w:val="0"/>
                <w:bdr w:val="none" w:sz="0" w:space="0" w:color="auto" w:frame="1"/>
                <w:shd w:val="clear" w:color="auto" w:fill="FFFFFF"/>
              </w:rPr>
              <w:t xml:space="preserve"> izmantot ties</w:t>
            </w:r>
            <w:r w:rsidR="00A66D2A">
              <w:rPr>
                <w:rStyle w:val="Strong"/>
                <w:b w:val="0"/>
                <w:bdr w:val="none" w:sz="0" w:space="0" w:color="auto" w:frame="1"/>
                <w:shd w:val="clear" w:color="auto" w:fill="FFFFFF"/>
              </w:rPr>
              <w:t>ības piedalīties brīva darbaspēka kustībā.</w:t>
            </w:r>
            <w:r w:rsidR="00847CF7" w:rsidRPr="00847CF7">
              <w:rPr>
                <w:rStyle w:val="Strong"/>
                <w:b w:val="0"/>
                <w:bdr w:val="none" w:sz="0" w:space="0" w:color="auto" w:frame="1"/>
                <w:shd w:val="clear" w:color="auto" w:fill="FFFFFF"/>
              </w:rPr>
              <w:t xml:space="preserve"> </w:t>
            </w:r>
          </w:p>
          <w:p w14:paraId="2E1E7DED" w14:textId="77777777" w:rsidR="00770594" w:rsidRPr="00404CF4" w:rsidRDefault="00222C95" w:rsidP="00FC72BB">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14:paraId="2E1E7DEF"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2E1E7DF1" w14:textId="77777777" w:rsidTr="00E92DFB">
        <w:tc>
          <w:tcPr>
            <w:tcW w:w="5000" w:type="pct"/>
            <w:gridSpan w:val="3"/>
            <w:vAlign w:val="center"/>
            <w:hideMark/>
          </w:tcPr>
          <w:p w14:paraId="2E1E7DF0"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2E1E7DF8" w14:textId="77777777" w:rsidTr="00E92DFB">
        <w:tc>
          <w:tcPr>
            <w:tcW w:w="311" w:type="pct"/>
            <w:hideMark/>
          </w:tcPr>
          <w:p w14:paraId="2E1E7DF2" w14:textId="77777777" w:rsidR="00BD5588" w:rsidRPr="00404CF4" w:rsidRDefault="00222C95" w:rsidP="00C07EB2">
            <w:pPr>
              <w:widowControl w:val="0"/>
              <w:jc w:val="both"/>
            </w:pPr>
            <w:r w:rsidRPr="00404CF4">
              <w:t>1.</w:t>
            </w:r>
          </w:p>
        </w:tc>
        <w:tc>
          <w:tcPr>
            <w:tcW w:w="1479" w:type="pct"/>
            <w:hideMark/>
          </w:tcPr>
          <w:p w14:paraId="2E1E7DF3" w14:textId="77777777" w:rsidR="00BD5588" w:rsidRPr="00404CF4" w:rsidRDefault="00222C95" w:rsidP="00C07EB2">
            <w:pPr>
              <w:widowControl w:val="0"/>
              <w:jc w:val="both"/>
            </w:pPr>
            <w:r w:rsidRPr="00404CF4">
              <w:t>Pamatojums</w:t>
            </w:r>
          </w:p>
        </w:tc>
        <w:tc>
          <w:tcPr>
            <w:tcW w:w="3210" w:type="pct"/>
            <w:hideMark/>
          </w:tcPr>
          <w:p w14:paraId="2E1E7DF4" w14:textId="77777777" w:rsidR="005D4A1E" w:rsidRDefault="00F77EF3" w:rsidP="00C07EB2">
            <w:pPr>
              <w:shd w:val="clear" w:color="auto" w:fill="FFFFFF"/>
              <w:jc w:val="both"/>
            </w:pPr>
            <w:r w:rsidRPr="00404CF4">
              <w:t xml:space="preserve">     </w:t>
            </w:r>
            <w:r w:rsidR="00190577" w:rsidRPr="00404CF4">
              <w:t>Ministru kabineta noteikumu projekts “</w:t>
            </w:r>
            <w:r w:rsidR="007620DE" w:rsidRPr="007620DE">
              <w:t>Grozījumi Ministru kabineta 2002. gada 23. jūlija noteikumos Nr. 315 “Izglītības programmu minimālās prasības ārsta profesionālās kvalifikācijas iegūšanai</w:t>
            </w:r>
            <w:r w:rsidR="00190577" w:rsidRPr="00404CF4">
              <w:t>””</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w:t>
            </w:r>
            <w:r w:rsidR="00787FAF">
              <w:t>:</w:t>
            </w:r>
            <w:r w:rsidR="00EE640D" w:rsidRPr="00404CF4">
              <w:t xml:space="preserve"> </w:t>
            </w:r>
          </w:p>
          <w:p w14:paraId="2E1E7DF5" w14:textId="77777777" w:rsidR="00AB7360" w:rsidRDefault="00AB7360" w:rsidP="00C07EB2">
            <w:pPr>
              <w:shd w:val="clear" w:color="auto" w:fill="FFFFFF"/>
              <w:jc w:val="both"/>
            </w:pPr>
            <w:r>
              <w:t xml:space="preserve">1)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6. panta </w:t>
            </w:r>
            <w:r w:rsidR="007620DE">
              <w:t>2</w:t>
            </w:r>
            <w:r w:rsidR="00FF4A34" w:rsidRPr="00404CF4">
              <w:t>.</w:t>
            </w:r>
            <w:r w:rsidR="00F77EF3" w:rsidRPr="00404CF4">
              <w:t xml:space="preserve"> punktu</w:t>
            </w:r>
            <w:r w:rsidR="007620DE">
              <w:t xml:space="preserve"> un 9</w:t>
            </w:r>
            <w:r w:rsidR="001110E3" w:rsidRPr="00404CF4">
              <w:t>. panta</w:t>
            </w:r>
            <w:r w:rsidR="00AA693E">
              <w:t xml:space="preserve"> pirm</w:t>
            </w:r>
            <w:r w:rsidR="007620DE">
              <w:t>o daļu</w:t>
            </w:r>
            <w:r>
              <w:t>,</w:t>
            </w:r>
          </w:p>
          <w:p w14:paraId="2E1E7DF6" w14:textId="77777777" w:rsidR="00161647" w:rsidRPr="005E66ED" w:rsidRDefault="00EB28E1" w:rsidP="00EB28E1">
            <w:pPr>
              <w:jc w:val="both"/>
              <w:rPr>
                <w:bCs/>
                <w:color w:val="000000"/>
              </w:rPr>
            </w:pPr>
            <w:r w:rsidRPr="005E66ED">
              <w:rPr>
                <w:bCs/>
                <w:color w:val="000000"/>
              </w:rPr>
              <w:t>2</w:t>
            </w:r>
            <w:r w:rsidR="00AB7360" w:rsidRPr="005E66ED">
              <w:rPr>
                <w:bCs/>
                <w:color w:val="000000"/>
              </w:rPr>
              <w:t>) Eiropas Parlamenta un Padomes 2005.gada 7.septembra Direktīvu 2005/36/EK par profesionālo kvalifikāciju atzīšanu (turpmāk – direktīva 2005/36/EK)</w:t>
            </w:r>
            <w:r w:rsidRPr="005E66ED">
              <w:rPr>
                <w:bCs/>
                <w:color w:val="000000"/>
              </w:rPr>
              <w:t>,</w:t>
            </w:r>
          </w:p>
          <w:p w14:paraId="2E1E7DF7" w14:textId="77777777" w:rsidR="00EB28E1" w:rsidRPr="005E66ED" w:rsidRDefault="00EB28E1" w:rsidP="00EB28E1">
            <w:pPr>
              <w:jc w:val="both"/>
              <w:rPr>
                <w:bCs/>
                <w:color w:val="000000"/>
              </w:rPr>
            </w:pPr>
            <w:r w:rsidRPr="005E66ED">
              <w:rPr>
                <w:bCs/>
                <w:color w:val="000000"/>
              </w:rPr>
              <w:t xml:space="preserve">3) </w:t>
            </w:r>
            <w:r w:rsidRPr="00492D15">
              <w:t>Ministru kabineta 2019.gada 19. marta sēdē doto uzdevumu</w:t>
            </w:r>
            <w:r>
              <w:t xml:space="preserve"> (prot. Nr.14 43.§  4. punkts).</w:t>
            </w:r>
          </w:p>
        </w:tc>
      </w:tr>
      <w:tr w:rsidR="00D04073" w:rsidRPr="00404CF4" w14:paraId="2E1E7E0F" w14:textId="77777777" w:rsidTr="00E92DFB">
        <w:tc>
          <w:tcPr>
            <w:tcW w:w="311" w:type="pct"/>
            <w:hideMark/>
          </w:tcPr>
          <w:p w14:paraId="2E1E7DF9" w14:textId="77777777" w:rsidR="00BD5588" w:rsidRPr="00404CF4" w:rsidRDefault="00222C95" w:rsidP="00793205">
            <w:pPr>
              <w:widowControl w:val="0"/>
            </w:pPr>
            <w:r w:rsidRPr="00404CF4">
              <w:t>2.</w:t>
            </w:r>
          </w:p>
        </w:tc>
        <w:tc>
          <w:tcPr>
            <w:tcW w:w="1479" w:type="pct"/>
            <w:hideMark/>
          </w:tcPr>
          <w:p w14:paraId="2E1E7DFA" w14:textId="77777777" w:rsidR="00EB796A" w:rsidRPr="00404CF4" w:rsidRDefault="00222C95" w:rsidP="00793205">
            <w:pPr>
              <w:widowControl w:val="0"/>
            </w:pPr>
            <w:r w:rsidRPr="00404CF4">
              <w:t>Pašreizējā situācija un problēmas, kuru risināšanai tiesību akta projekts izstrādāts, tiesiskā regulējuma mērķis un būtība</w:t>
            </w:r>
          </w:p>
          <w:p w14:paraId="2E1E7DFB" w14:textId="77777777" w:rsidR="00EB796A" w:rsidRPr="00404CF4" w:rsidRDefault="00EB796A" w:rsidP="00EB796A"/>
          <w:p w14:paraId="2E1E7DFC" w14:textId="77777777" w:rsidR="00BD5588" w:rsidRPr="00404CF4" w:rsidRDefault="00BD5588" w:rsidP="00EB796A">
            <w:pPr>
              <w:jc w:val="right"/>
            </w:pPr>
          </w:p>
        </w:tc>
        <w:tc>
          <w:tcPr>
            <w:tcW w:w="3210" w:type="pct"/>
            <w:hideMark/>
          </w:tcPr>
          <w:p w14:paraId="2E1E7DFD" w14:textId="77777777" w:rsidR="00F416F5" w:rsidRDefault="00222C95" w:rsidP="00EF33F2">
            <w:pPr>
              <w:shd w:val="clear" w:color="auto" w:fill="FFFFFF"/>
              <w:jc w:val="both"/>
            </w:pPr>
            <w:r w:rsidRPr="00404CF4">
              <w:t xml:space="preserve">      </w:t>
            </w:r>
            <w:r w:rsidR="00C54801" w:rsidRPr="00404CF4">
              <w:t xml:space="preserve">Spēkā ir </w:t>
            </w:r>
            <w:r w:rsidR="00F416F5" w:rsidRPr="00F416F5">
              <w:t>Ministru kabineta</w:t>
            </w:r>
            <w:r w:rsidR="00F416F5">
              <w:t xml:space="preserve"> 2002. gada 23. jūlija noteikumi</w:t>
            </w:r>
            <w:r w:rsidR="00F416F5" w:rsidRPr="00F416F5">
              <w:t xml:space="preserve"> Nr. 315 “Izglītības programmu minimālās prasības ārsta profesionālās kvalifikācijas </w:t>
            </w:r>
            <w:r w:rsidR="00F416F5">
              <w:t>iegūšanai”” (turpmāk – noteikumi Nr. 315)</w:t>
            </w:r>
            <w:r w:rsidR="00994BC9">
              <w:t xml:space="preserve">, kuri nosaka </w:t>
            </w:r>
            <w:r w:rsidR="007D772D">
              <w:t xml:space="preserve">izglītības </w:t>
            </w:r>
            <w:r w:rsidR="00F416F5">
              <w:t>minimālās prasības</w:t>
            </w:r>
            <w:r w:rsidR="007D772D">
              <w:t xml:space="preserve"> satura un studiju ilguma ziņā kvalifikācijas iegūšanai</w:t>
            </w:r>
            <w:r w:rsidR="00F416F5">
              <w:t xml:space="preserve"> </w:t>
            </w:r>
            <w:r w:rsidR="007D772D">
              <w:t xml:space="preserve">ārsta profesijā un ārsta </w:t>
            </w:r>
            <w:proofErr w:type="spellStart"/>
            <w:r w:rsidR="007D772D">
              <w:t>pamatspecialitātēs</w:t>
            </w:r>
            <w:proofErr w:type="spellEnd"/>
            <w:r w:rsidR="007D772D">
              <w:t xml:space="preserve">, </w:t>
            </w:r>
            <w:proofErr w:type="spellStart"/>
            <w:r w:rsidR="007D772D">
              <w:t>apakšspecialitātēs</w:t>
            </w:r>
            <w:proofErr w:type="spellEnd"/>
            <w:r w:rsidR="007D772D">
              <w:t xml:space="preserve"> un </w:t>
            </w:r>
            <w:proofErr w:type="spellStart"/>
            <w:r w:rsidR="007D772D">
              <w:t>papildspecialitātēs</w:t>
            </w:r>
            <w:proofErr w:type="spellEnd"/>
            <w:r w:rsidR="007D772D">
              <w:t xml:space="preserve">. Noteikumos Nr.315 noteiktās prasības </w:t>
            </w:r>
            <w:r w:rsidR="00675EA9">
              <w:t xml:space="preserve">daļēji </w:t>
            </w:r>
            <w:r w:rsidR="007D772D">
              <w:t xml:space="preserve">atbilst direktīvā 2005/36/EK prasībām. </w:t>
            </w:r>
          </w:p>
          <w:p w14:paraId="2E1E7DFE" w14:textId="592B4614" w:rsidR="00AB7360" w:rsidRDefault="00F02CE4" w:rsidP="00EF33F2">
            <w:pPr>
              <w:shd w:val="clear" w:color="auto" w:fill="FFFFFF"/>
              <w:jc w:val="both"/>
            </w:pPr>
            <w:r>
              <w:t xml:space="preserve">     </w:t>
            </w:r>
            <w:r w:rsidR="00AB7360" w:rsidRPr="00C07EB2">
              <w:t>Latvija</w:t>
            </w:r>
            <w:r w:rsidR="005D4A1E">
              <w:t xml:space="preserve"> </w:t>
            </w:r>
            <w:r w:rsidR="00AB7360" w:rsidRPr="00C07EB2">
              <w:t xml:space="preserve">ir saņēmusi Eiropas Komisijas </w:t>
            </w:r>
            <w:r w:rsidR="002005D3">
              <w:t>2019. gada 24. janvāra</w:t>
            </w:r>
            <w:r w:rsidR="00947EFB" w:rsidRPr="00C07EB2">
              <w:t xml:space="preserve"> formālo paziņojumu pārkāpu</w:t>
            </w:r>
            <w:r w:rsidR="002005D3">
              <w:t>ma procedūras lietā Nr.2018/2296</w:t>
            </w:r>
            <w:r w:rsidR="00AB7360" w:rsidRPr="00C07EB2">
              <w:t>, kurā norādīts uz to, ka</w:t>
            </w:r>
            <w:r w:rsidR="00AB7360">
              <w:t xml:space="preserve"> Latvija nav korekti pārņēmusi vairākas </w:t>
            </w:r>
            <w:r w:rsidR="005933BD">
              <w:t>direktīvas 2005/36</w:t>
            </w:r>
            <w:r w:rsidR="00AB7360">
              <w:t>/ES tiesību normas</w:t>
            </w:r>
            <w:r w:rsidR="00846D96">
              <w:t xml:space="preserve"> attiecībā uz </w:t>
            </w:r>
            <w:r w:rsidR="002005D3">
              <w:t>minimālajām izglītības prasībām ārsta kvalifikācijas iegūšanai.</w:t>
            </w:r>
          </w:p>
          <w:p w14:paraId="2E1E7DFF" w14:textId="77777777" w:rsidR="0057142B" w:rsidRDefault="00846D96" w:rsidP="00EF33F2">
            <w:pPr>
              <w:shd w:val="clear" w:color="auto" w:fill="FFFFFF"/>
              <w:jc w:val="both"/>
            </w:pPr>
            <w:r>
              <w:t xml:space="preserve">     Noteikumu projekta mērķis ir novērst neatbilstību starp direktīvu 2005/36/EK</w:t>
            </w:r>
            <w:r w:rsidR="00206F43">
              <w:t xml:space="preserve"> un noteikumiem Nr. </w:t>
            </w:r>
            <w:r w:rsidR="008A7B53">
              <w:t>315</w:t>
            </w:r>
            <w:r w:rsidR="00F16399">
              <w:t>, atvieglot tiesību normu piemērošanu, nodrošinot vienkopus direktīvas 2005/36/EK prasības un novērš</w:t>
            </w:r>
            <w:r w:rsidR="00886B1A">
              <w:t>ot</w:t>
            </w:r>
            <w:r w:rsidR="00F16399">
              <w:t xml:space="preserve"> neskaidrību par to, kuras no prasībām kvalifikācijas iegūšanai ārsta specialitātē ir </w:t>
            </w:r>
            <w:r w:rsidR="00F16399">
              <w:lastRenderedPageBreak/>
              <w:t>noteiktas direktīvā 2005/36/EK un kuras nacionālajos normatīvajos aktos.</w:t>
            </w:r>
          </w:p>
          <w:p w14:paraId="2E1E7E00" w14:textId="7C8DA780" w:rsidR="004266A0" w:rsidRPr="00965AEF" w:rsidRDefault="00FB4755" w:rsidP="00EF33F2">
            <w:pPr>
              <w:shd w:val="clear" w:color="auto" w:fill="FFFFFF"/>
              <w:jc w:val="both"/>
            </w:pPr>
            <w:r>
              <w:t xml:space="preserve">    </w:t>
            </w:r>
            <w:r w:rsidR="004266A0">
              <w:t>Noteikumu projekts paredz svītrot noteikumos Nr. 315 noteikto mācību priekšmetu (kursu) sarakstu, kuriem ir jābūt iekļautiem studiju programmā ārsta diploma ieguvei. Pamatojums šāda grozījuma veikšanai ir tāds, ka attiecīgais mācību priekšmetu (kursu) saraksts nav noteikts direktīvā 2005/36/EK</w:t>
            </w:r>
            <w:r w:rsidR="008A7508">
              <w:t xml:space="preserve">. Vispārīgā, aprakstošā līmenī direktīvas 2005/36/EK 24. panta 3. punktā noteiktās ārstam nepieciešamās zināšanas un prasmes nosaka noteikumu </w:t>
            </w:r>
            <w:r w:rsidR="009D3388">
              <w:t>Nr</w:t>
            </w:r>
            <w:r w:rsidR="008A7508">
              <w:t>.315 2.punkts.</w:t>
            </w:r>
            <w:r w:rsidR="00A23A8E">
              <w:t xml:space="preserve"> </w:t>
            </w:r>
            <w:r w:rsidR="008A7508">
              <w:t xml:space="preserve">Studiju programmas saturu, konkrētu studiju kursu nosaukumus nosaka </w:t>
            </w:r>
            <w:r w:rsidR="009D3388">
              <w:t>augstskola</w:t>
            </w:r>
            <w:r w:rsidR="008A7508">
              <w:t xml:space="preserve">, izstrādājot un īstenojot </w:t>
            </w:r>
            <w:r w:rsidR="008A7508" w:rsidRPr="00965AEF">
              <w:t>studiju program</w:t>
            </w:r>
            <w:r w:rsidR="00FE1F1F" w:rsidRPr="00965AEF">
              <w:t xml:space="preserve">mu ārsta kvalifikācijas ieguvei, </w:t>
            </w:r>
            <w:r w:rsidR="001A640D" w:rsidRPr="00965AEF">
              <w:t xml:space="preserve">tādējādi </w:t>
            </w:r>
            <w:r w:rsidR="00FE1F1F" w:rsidRPr="00965AEF">
              <w:t>nav pamata ārējā normatīvajā aktā noteikt studiju kursu nosaukumus, kurus jāiekļauj studiju programmā.</w:t>
            </w:r>
            <w:r w:rsidR="001A640D" w:rsidRPr="00965AEF">
              <w:t xml:space="preserve"> </w:t>
            </w:r>
          </w:p>
          <w:p w14:paraId="2E1E7E01" w14:textId="32DF7AC8" w:rsidR="0057142B" w:rsidRDefault="004266A0" w:rsidP="00EF33F2">
            <w:pPr>
              <w:shd w:val="clear" w:color="auto" w:fill="FFFFFF"/>
              <w:jc w:val="both"/>
            </w:pPr>
            <w:r w:rsidRPr="00965AEF">
              <w:t xml:space="preserve">    </w:t>
            </w:r>
            <w:r w:rsidR="00FB4755" w:rsidRPr="00965AEF">
              <w:t xml:space="preserve"> </w:t>
            </w:r>
            <w:r w:rsidR="0057142B" w:rsidRPr="00965AEF">
              <w:t>Direktīvas 2005/36/EK 25. panta 3. punkts nosaka, ka rezidentūrai ārsta profesijas specialitātes iegūšanai ir jābūt organizētai kā pilna laika studijām</w:t>
            </w:r>
            <w:r w:rsidR="0057142B">
              <w:t>, tai ir jānotiek institūcijās, kuras ir atzītas par atbilstošām</w:t>
            </w:r>
            <w:r w:rsidR="00F16399">
              <w:t xml:space="preserve"> ārsta profesijas specialitātes iegūšanai</w:t>
            </w:r>
            <w:r w:rsidR="0057142B">
              <w:t xml:space="preserve">. Mācību laikā, lai apgūtu studiju praktisko un teorētisko saturu, rezidentam ir jābūt iespējai piedalīties visās ārstniecības darbībās nodaļā, kurā attiecīgā studiju programma tiek īstenota, ieskaitot dežūras. </w:t>
            </w:r>
          </w:p>
          <w:p w14:paraId="2E1E7E02" w14:textId="485DDFCE" w:rsidR="0057142B" w:rsidRDefault="00315C00" w:rsidP="00EF33F2">
            <w:pPr>
              <w:shd w:val="clear" w:color="auto" w:fill="FFFFFF"/>
              <w:jc w:val="both"/>
            </w:pPr>
            <w:r>
              <w:t xml:space="preserve">     </w:t>
            </w:r>
            <w:r w:rsidR="002318A5" w:rsidRPr="00F02CE4">
              <w:t xml:space="preserve">Reglamentēto profesiju likuma </w:t>
            </w:r>
            <w:r w:rsidR="009E791D" w:rsidRPr="00F02CE4">
              <w:t>11. panta</w:t>
            </w:r>
            <w:r w:rsidR="009E791D">
              <w:t xml:space="preserve"> 2</w:t>
            </w:r>
            <w:r w:rsidR="009D3388">
              <w:t>.</w:t>
            </w:r>
            <w:r w:rsidR="009E791D">
              <w:t xml:space="preserve"> punkts nosaka direktīvas 2005/36/EK prasībām atbilstošu iestādi, kurā tiek īstenota rezidentūras izglītības ieguve. Noteikumu Nr. 315 5. punkts nosaka to, ka rezidentūras izglītības programmas apguvei ir nepieciešama pilna mācību darba nedēļa un pilns mācību gads. Atsevišķus rezidentūras izglītības programmas īstenošanas aspektus nosaka </w:t>
            </w:r>
            <w:r w:rsidR="009E791D" w:rsidRPr="009F0001">
              <w:rPr>
                <w:bCs/>
              </w:rPr>
              <w:t xml:space="preserve">Ministru kabineta </w:t>
            </w:r>
            <w:r w:rsidR="009E791D" w:rsidRPr="009F0001">
              <w:t>2011.</w:t>
            </w:r>
            <w:r w:rsidR="00D9671C">
              <w:t> </w:t>
            </w:r>
            <w:r w:rsidR="009E791D" w:rsidRPr="009F0001">
              <w:t>gada 30.</w:t>
            </w:r>
            <w:r w:rsidR="00D9671C">
              <w:t> </w:t>
            </w:r>
            <w:r w:rsidR="009E791D" w:rsidRPr="009F0001">
              <w:t xml:space="preserve">augusta </w:t>
            </w:r>
            <w:r w:rsidR="009E791D" w:rsidRPr="009F0001">
              <w:rPr>
                <w:bCs/>
              </w:rPr>
              <w:t>noteikum</w:t>
            </w:r>
            <w:r w:rsidR="009E791D">
              <w:rPr>
                <w:bCs/>
              </w:rPr>
              <w:t>u</w:t>
            </w:r>
            <w:r w:rsidR="009E791D" w:rsidRPr="009F0001">
              <w:rPr>
                <w:bCs/>
              </w:rPr>
              <w:t xml:space="preserve"> Nr.</w:t>
            </w:r>
            <w:r w:rsidR="00D9671C">
              <w:rPr>
                <w:bCs/>
              </w:rPr>
              <w:t> </w:t>
            </w:r>
            <w:r w:rsidR="009E791D" w:rsidRPr="009F0001">
              <w:rPr>
                <w:bCs/>
              </w:rPr>
              <w:t>685</w:t>
            </w:r>
            <w:r w:rsidR="009E791D" w:rsidRPr="009F0001">
              <w:t> “</w:t>
            </w:r>
            <w:r w:rsidR="009E791D" w:rsidRPr="009F0001">
              <w:rPr>
                <w:bCs/>
              </w:rPr>
              <w:t>Rezidentu uzņemšanas, sadales un rezidentūras finansēšanas kārtība”</w:t>
            </w:r>
            <w:r w:rsidR="002341E4">
              <w:rPr>
                <w:bCs/>
              </w:rPr>
              <w:t xml:space="preserve"> (turpmāk – noteikumi Nr. 685)</w:t>
            </w:r>
            <w:r w:rsidR="009E791D">
              <w:rPr>
                <w:bCs/>
              </w:rPr>
              <w:t xml:space="preserve"> 12., 13., 14., 15. punkts. Tomēr nevienā normatīvajā akt</w:t>
            </w:r>
            <w:r w:rsidR="00BE71E7">
              <w:rPr>
                <w:bCs/>
              </w:rPr>
              <w:t>ā nav noteiktas</w:t>
            </w:r>
            <w:r w:rsidR="009E791D">
              <w:t xml:space="preserve"> </w:t>
            </w:r>
            <w:r w:rsidR="00BE71E7">
              <w:t>d</w:t>
            </w:r>
            <w:r w:rsidR="009E791D">
              <w:t xml:space="preserve">irektīvas 2005/36/EK 25. panta 3. punktā </w:t>
            </w:r>
            <w:r w:rsidR="00BE71E7">
              <w:t xml:space="preserve">noteiktās prasības </w:t>
            </w:r>
            <w:r w:rsidR="00D9671C">
              <w:t>attiecībā uz rezidenta dalību visu attiecīgās nodaļās ārstniecisko darbību veikšanā, ieskaitot dežūras. Lai nodrošinātu Latvijas tiesību aktu atbilstību direktīvas 2005/36/EK</w:t>
            </w:r>
            <w:r w:rsidR="00FE1F1F">
              <w:t xml:space="preserve"> </w:t>
            </w:r>
            <w:r w:rsidR="00FE1F1F" w:rsidRPr="00FE1F1F">
              <w:t>25. panta 3. punktā</w:t>
            </w:r>
            <w:r w:rsidR="00FE1F1F">
              <w:t xml:space="preserve"> noteik</w:t>
            </w:r>
            <w:r w:rsidR="00D26A7F">
              <w:t>t</w:t>
            </w:r>
            <w:r w:rsidR="00FE1F1F">
              <w:t>ajām</w:t>
            </w:r>
            <w:r w:rsidR="00D9671C">
              <w:t xml:space="preserve"> prasībām, noteikumu projekts paredz veikt grozījumus noteikumos Nr. 315.</w:t>
            </w:r>
          </w:p>
          <w:p w14:paraId="2E1E7E03" w14:textId="77777777" w:rsidR="00FB4755" w:rsidRDefault="00FB4755" w:rsidP="00EF33F2">
            <w:pPr>
              <w:shd w:val="clear" w:color="auto" w:fill="FFFFFF"/>
              <w:jc w:val="both"/>
            </w:pPr>
            <w:r>
              <w:t xml:space="preserve">     Direktīvas 2005/36/EK 28. panta 3. punkts nosaka prasības vispārējās prakses ārsta (Latvijā – ģimenes ārsta) specialitātes kvalifikācijas ieg</w:t>
            </w:r>
            <w:r w:rsidR="00C64993">
              <w:t>uvei:</w:t>
            </w:r>
          </w:p>
          <w:p w14:paraId="2E1E7E04" w14:textId="77777777" w:rsidR="00C64993" w:rsidRDefault="00C64993" w:rsidP="00923B4B">
            <w:pPr>
              <w:pStyle w:val="ListParagraph"/>
              <w:numPr>
                <w:ilvl w:val="0"/>
                <w:numId w:val="22"/>
              </w:numPr>
              <w:shd w:val="clear" w:color="auto" w:fill="FFFFFF"/>
              <w:jc w:val="both"/>
            </w:pPr>
            <w:r>
              <w:t xml:space="preserve">mācībām ir jābūt vairāk praktiskām nekā teorētiskām, </w:t>
            </w:r>
          </w:p>
          <w:p w14:paraId="2E1E7E05" w14:textId="57A7B149" w:rsidR="00923B4B" w:rsidRDefault="00C64993" w:rsidP="00923B4B">
            <w:pPr>
              <w:pStyle w:val="ListParagraph"/>
              <w:numPr>
                <w:ilvl w:val="0"/>
                <w:numId w:val="22"/>
              </w:numPr>
              <w:shd w:val="clear" w:color="auto" w:fill="FFFFFF"/>
              <w:jc w:val="both"/>
            </w:pPr>
            <w:r>
              <w:t>praktisko mācību daļu vismaz sešu mēnešu ilgumā ir jānodrošina slimnīcā, kurā ir atbilstošs aprīkojums un kurā tiek sniegti atbilstīgi pakalpojumi, un vismaz sešu mēnešu ilgumā – apstiprinātā vispārējās medicīnas praksē vai ārstniecības iestādē, kurā tiek sniegti primārās veselības aprūpes pakalpojumi</w:t>
            </w:r>
            <w:r w:rsidR="009D3388">
              <w:t>,</w:t>
            </w:r>
            <w:r>
              <w:t xml:space="preserve"> </w:t>
            </w:r>
          </w:p>
          <w:p w14:paraId="2E1E7E06" w14:textId="77777777" w:rsidR="00C64993" w:rsidRDefault="00923B4B" w:rsidP="00923B4B">
            <w:pPr>
              <w:pStyle w:val="ListParagraph"/>
              <w:numPr>
                <w:ilvl w:val="0"/>
                <w:numId w:val="22"/>
              </w:numPr>
              <w:shd w:val="clear" w:color="auto" w:fill="FFFFFF"/>
              <w:jc w:val="both"/>
            </w:pPr>
            <w:r>
              <w:lastRenderedPageBreak/>
              <w:t>ģimenes ārsta kvalifikācijas iegūšanai ir jānotiek sadarbībā ar citām veselības aprūpes iestādēm vai institūcijām, kas saistītas ar vispārējo medicīnu,</w:t>
            </w:r>
          </w:p>
          <w:p w14:paraId="2E1E7E07" w14:textId="77777777" w:rsidR="00923B4B" w:rsidRDefault="00923B4B" w:rsidP="00923B4B">
            <w:pPr>
              <w:pStyle w:val="ListParagraph"/>
              <w:numPr>
                <w:ilvl w:val="0"/>
                <w:numId w:val="22"/>
              </w:numPr>
              <w:shd w:val="clear" w:color="auto" w:fill="FFFFFF"/>
              <w:jc w:val="both"/>
            </w:pPr>
            <w:r>
              <w:t>papildu b) apakšpunktā minētajiem mācību periodiem ne ilgāk kā sešus mēnešus no kopējā izglītības programmas ilguma</w:t>
            </w:r>
            <w:r w:rsidR="00A2398B">
              <w:t xml:space="preserve"> praktisko mācību daļu var nodrošināt citās ārstniecības iestādēs, kas saistītas ar vispārējo medicīnu. </w:t>
            </w:r>
          </w:p>
          <w:p w14:paraId="2E1E7E08" w14:textId="77777777" w:rsidR="002341E4" w:rsidRDefault="002341E4" w:rsidP="002341E4">
            <w:pPr>
              <w:shd w:val="clear" w:color="auto" w:fill="FFFFFF"/>
              <w:jc w:val="both"/>
            </w:pPr>
            <w:r>
              <w:t xml:space="preserve">Noteikumi Nr. 315 un noteikumi Nr. 685 nenosaka a)-d) apakšpunktos noteiktās prasības mācībām ģimenes ārsta kvalifikācijas iegūšanai. </w:t>
            </w:r>
            <w:r w:rsidR="00F81D2F">
              <w:t>Tādējādi Latvijas normatīvo aktu tiesību normas</w:t>
            </w:r>
            <w:r>
              <w:t xml:space="preserve"> neatbilst direktīvā 2005/36/EK noteiktajam un noteikumu projekts paredz novērst šo neatbilstību.</w:t>
            </w:r>
          </w:p>
          <w:p w14:paraId="2E1E7E09" w14:textId="36E55133" w:rsidR="0030173E" w:rsidRPr="005E66ED" w:rsidRDefault="0027544C" w:rsidP="0030173E">
            <w:pPr>
              <w:shd w:val="clear" w:color="auto" w:fill="FFFFFF"/>
              <w:jc w:val="both"/>
              <w:rPr>
                <w:bCs/>
                <w:color w:val="000000"/>
              </w:rPr>
            </w:pPr>
            <w:r>
              <w:t xml:space="preserve">     Noteikumu projekts paredz mainīt minimālo ilgumu kvalifikācijas iegūšanai ārsta profesijas specialitātē “radioloģija” no pieciem gadiem uz četriem gadiem. </w:t>
            </w:r>
            <w:r w:rsidR="0030173E" w:rsidRPr="005E66ED">
              <w:rPr>
                <w:bCs/>
                <w:color w:val="000000"/>
              </w:rPr>
              <w:t xml:space="preserve">Ministru kabineta </w:t>
            </w:r>
            <w:r w:rsidR="0030173E" w:rsidRPr="005E66ED">
              <w:rPr>
                <w:color w:val="000000"/>
              </w:rPr>
              <w:t xml:space="preserve">2018. gada 26. jūnija </w:t>
            </w:r>
            <w:r w:rsidR="0030173E" w:rsidRPr="005E66ED">
              <w:rPr>
                <w:bCs/>
                <w:color w:val="000000"/>
              </w:rPr>
              <w:t>noteikumos Nr. 368</w:t>
            </w:r>
            <w:r w:rsidR="0030173E" w:rsidRPr="005E66ED">
              <w:rPr>
                <w:color w:val="000000"/>
              </w:rPr>
              <w:t xml:space="preserve"> “</w:t>
            </w:r>
            <w:r w:rsidR="0030173E" w:rsidRPr="005E66ED">
              <w:rPr>
                <w:bCs/>
                <w:color w:val="000000"/>
              </w:rPr>
              <w:t>Grozījumi Ministru kabineta 2009. gad</w:t>
            </w:r>
            <w:r w:rsidR="00F16399" w:rsidRPr="005E66ED">
              <w:rPr>
                <w:bCs/>
                <w:color w:val="000000"/>
              </w:rPr>
              <w:t>a 24. marta noteikumos Nr. 268 “</w:t>
            </w:r>
            <w:hyperlink r:id="rId8" w:tgtFrame="_blank" w:history="1">
              <w:r w:rsidR="0030173E" w:rsidRPr="005E66ED">
                <w:rPr>
                  <w:bCs/>
                  <w:color w:val="000000"/>
                </w:rPr>
                <w:t>Noteikumi par ārstniecības personu un studējošo, kuri apgūst pirmā vai otrā līmeņa profesionālās augstākās medicīniskās izglītības programmas, kompetenci ārstniecībā un šo personu teorētisko un praktisko zināšanu apjomu</w:t>
              </w:r>
            </w:hyperlink>
            <w:r w:rsidR="00F16399" w:rsidRPr="005E66ED">
              <w:rPr>
                <w:bCs/>
                <w:color w:val="000000"/>
              </w:rPr>
              <w:t>”</w:t>
            </w:r>
            <w:r w:rsidR="0030173E" w:rsidRPr="005E66ED">
              <w:rPr>
                <w:bCs/>
                <w:color w:val="000000"/>
              </w:rPr>
              <w:t xml:space="preserve">” ārsta specialitātes nosaukums “radiologs </w:t>
            </w:r>
            <w:proofErr w:type="spellStart"/>
            <w:r w:rsidR="0030173E" w:rsidRPr="005E66ED">
              <w:rPr>
                <w:bCs/>
                <w:color w:val="000000"/>
              </w:rPr>
              <w:t>diagnosts</w:t>
            </w:r>
            <w:proofErr w:type="spellEnd"/>
            <w:r w:rsidR="0030173E" w:rsidRPr="005E66ED">
              <w:rPr>
                <w:bCs/>
                <w:color w:val="000000"/>
              </w:rPr>
              <w:t xml:space="preserve">” ir mainīts uz “radiologs”, palielinot rezidentūras studiju ilgumu no četriem uz pieciem gadiem. Tā kā direktīvas 2005/36/EK </w:t>
            </w:r>
            <w:r w:rsidR="009D3388">
              <w:rPr>
                <w:bCs/>
                <w:color w:val="000000"/>
              </w:rPr>
              <w:t xml:space="preserve">V pielikuma </w:t>
            </w:r>
            <w:r w:rsidR="0030173E" w:rsidRPr="005E66ED">
              <w:rPr>
                <w:bCs/>
                <w:color w:val="000000"/>
              </w:rPr>
              <w:t xml:space="preserve">5.1.3. </w:t>
            </w:r>
            <w:r w:rsidR="009D3388">
              <w:rPr>
                <w:bCs/>
                <w:color w:val="000000"/>
              </w:rPr>
              <w:t>punktā</w:t>
            </w:r>
            <w:r w:rsidR="0030173E" w:rsidRPr="005E66ED">
              <w:rPr>
                <w:bCs/>
                <w:color w:val="000000"/>
              </w:rPr>
              <w:t xml:space="preserve"> noteiktās specialitātes “</w:t>
            </w:r>
            <w:r w:rsidR="00F16399" w:rsidRPr="005E66ED">
              <w:rPr>
                <w:bCs/>
                <w:color w:val="000000"/>
              </w:rPr>
              <w:t>d</w:t>
            </w:r>
            <w:r w:rsidR="0030173E" w:rsidRPr="005E66ED">
              <w:rPr>
                <w:bCs/>
                <w:color w:val="000000"/>
              </w:rPr>
              <w:t>iagnostiskā radioloģija” minimālais studiju ilgums ir četri gadi, noteikumu projekts paredz šo ilgumu noteikt noteikumos Nr.</w:t>
            </w:r>
            <w:r w:rsidR="00F16399" w:rsidRPr="005E66ED">
              <w:rPr>
                <w:bCs/>
                <w:color w:val="000000"/>
              </w:rPr>
              <w:t> </w:t>
            </w:r>
            <w:r w:rsidR="0030173E" w:rsidRPr="005E66ED">
              <w:rPr>
                <w:bCs/>
                <w:color w:val="000000"/>
              </w:rPr>
              <w:t>315 arī specialitātei "radioloģija", kas saturiski atbilst direktīvā 2005/36/EK noteiktajai specialitātei “diagnostiskā radioloģija”.</w:t>
            </w:r>
            <w:r w:rsidR="00194377" w:rsidRPr="005E66ED">
              <w:rPr>
                <w:bCs/>
                <w:color w:val="000000"/>
              </w:rPr>
              <w:t xml:space="preserve"> Tā kā direktīvā 2005/36/EK </w:t>
            </w:r>
            <w:r w:rsidR="009D3388">
              <w:rPr>
                <w:bCs/>
                <w:color w:val="000000"/>
              </w:rPr>
              <w:t xml:space="preserve">V pielikuma </w:t>
            </w:r>
            <w:r w:rsidR="00194377" w:rsidRPr="005E66ED">
              <w:rPr>
                <w:bCs/>
                <w:color w:val="000000"/>
              </w:rPr>
              <w:t xml:space="preserve">5.1.3. </w:t>
            </w:r>
            <w:r w:rsidR="009D3388">
              <w:rPr>
                <w:bCs/>
                <w:color w:val="000000"/>
              </w:rPr>
              <w:t>punktā</w:t>
            </w:r>
            <w:r w:rsidR="009D3388" w:rsidRPr="005E66ED">
              <w:rPr>
                <w:bCs/>
                <w:color w:val="000000"/>
              </w:rPr>
              <w:t xml:space="preserve"> </w:t>
            </w:r>
            <w:r w:rsidR="00194377" w:rsidRPr="005E66ED">
              <w:rPr>
                <w:bCs/>
                <w:color w:val="000000"/>
              </w:rPr>
              <w:t xml:space="preserve">ir iekļauta gan specialitāte “diagnostiskā radioloģija”, gan “radioloģija”, lai nosaukumus varētu atšķirt, specialitātes nosaukums direktīvā 2005/36/EK lietotais “radioloģija” noteikumu projektā izteikts kā specialitāte “radioloģijas ārsts”, kas Latvijā </w:t>
            </w:r>
            <w:r w:rsidR="00A77C39" w:rsidRPr="005E66ED">
              <w:rPr>
                <w:bCs/>
                <w:color w:val="000000"/>
              </w:rPr>
              <w:t xml:space="preserve">šobrīd </w:t>
            </w:r>
            <w:r w:rsidR="00194377" w:rsidRPr="005E66ED">
              <w:rPr>
                <w:bCs/>
                <w:color w:val="000000"/>
              </w:rPr>
              <w:t>nav noteikta</w:t>
            </w:r>
            <w:r w:rsidR="00A77C39" w:rsidRPr="005E66ED">
              <w:rPr>
                <w:bCs/>
                <w:color w:val="000000"/>
              </w:rPr>
              <w:t xml:space="preserve"> kā ārsta specialitāte</w:t>
            </w:r>
            <w:r w:rsidR="00194377" w:rsidRPr="005E66ED">
              <w:rPr>
                <w:bCs/>
                <w:color w:val="000000"/>
              </w:rPr>
              <w:t xml:space="preserve">. </w:t>
            </w:r>
          </w:p>
          <w:p w14:paraId="2E1E7E0A" w14:textId="1668DD6F" w:rsidR="0027544C" w:rsidRDefault="00F16399" w:rsidP="005B0C41">
            <w:pPr>
              <w:shd w:val="clear" w:color="auto" w:fill="FFFFFF"/>
              <w:jc w:val="both"/>
            </w:pPr>
            <w:r>
              <w:t xml:space="preserve">     </w:t>
            </w:r>
            <w:r w:rsidR="008B7409" w:rsidRPr="008B7409">
              <w:t>Noteikumu projekts paredz mainīt minimālo ilgumu kvalifikācijas iegūšanai ārsta prof</w:t>
            </w:r>
            <w:r w:rsidR="008B7409">
              <w:t>esijas specialitātē “fizikālā un rehabilitācijas medicīna” no četriem</w:t>
            </w:r>
            <w:r w:rsidR="008B7409" w:rsidRPr="008B7409">
              <w:t xml:space="preserve"> gadiem uz </w:t>
            </w:r>
            <w:r w:rsidR="008B7409">
              <w:t>trijiem gadiem, jo tas atbilst direktīvas 2005/36/EK</w:t>
            </w:r>
            <w:r w:rsidR="009D3388">
              <w:t xml:space="preserve"> </w:t>
            </w:r>
            <w:r w:rsidR="009D3388">
              <w:rPr>
                <w:bCs/>
                <w:color w:val="000000"/>
              </w:rPr>
              <w:t>V pielikuma</w:t>
            </w:r>
            <w:r w:rsidR="008B7409">
              <w:t xml:space="preserve"> 5.1.3. </w:t>
            </w:r>
            <w:r w:rsidR="009D3388">
              <w:t xml:space="preserve">punktā </w:t>
            </w:r>
            <w:r w:rsidR="008B7409">
              <w:t>noteiktajam minimālajam kvalifikācijas iegūšanas ilgumam specialitātē “</w:t>
            </w:r>
            <w:r>
              <w:t>f</w:t>
            </w:r>
            <w:r w:rsidR="008B7409">
              <w:t xml:space="preserve">izioterapija”. </w:t>
            </w:r>
            <w:r w:rsidR="006175C9">
              <w:t xml:space="preserve">Analoģiski noteikumu projekts paredz mainīt </w:t>
            </w:r>
            <w:r w:rsidR="006175C9" w:rsidRPr="006175C9">
              <w:t>minimālo ilgumu kvalifikācijas iegūšanai ārsta profesijas specialitātē “</w:t>
            </w:r>
            <w:r w:rsidR="006175C9">
              <w:t>medicīniskā ģenētika” no pieciem gadiem uz četriem</w:t>
            </w:r>
            <w:r w:rsidR="006175C9" w:rsidRPr="006175C9">
              <w:t xml:space="preserve"> gadiem</w:t>
            </w:r>
            <w:r w:rsidR="006175C9">
              <w:t>.</w:t>
            </w:r>
          </w:p>
          <w:p w14:paraId="2E1E7E0B" w14:textId="3C92CDCF" w:rsidR="00196E95" w:rsidRPr="00F16399" w:rsidRDefault="00F16399" w:rsidP="00F16399">
            <w:pPr>
              <w:jc w:val="both"/>
              <w:rPr>
                <w:shd w:val="clear" w:color="auto" w:fill="FFFFFF"/>
              </w:rPr>
            </w:pPr>
            <w:r>
              <w:t xml:space="preserve">     </w:t>
            </w:r>
            <w:r w:rsidR="00196E95" w:rsidRPr="00196E95">
              <w:t xml:space="preserve">Noteikumu projekts paredz </w:t>
            </w:r>
            <w:r w:rsidR="00353F09">
              <w:t>noteikt</w:t>
            </w:r>
            <w:r w:rsidR="00196E95" w:rsidRPr="00196E95">
              <w:t xml:space="preserve"> minimālo ilgumu </w:t>
            </w:r>
            <w:r w:rsidR="00F41FEB" w:rsidRPr="00196E95">
              <w:t xml:space="preserve"> </w:t>
            </w:r>
            <w:r w:rsidR="00F41FEB">
              <w:t>pieci gadi</w:t>
            </w:r>
            <w:r w:rsidR="00F41FEB" w:rsidRPr="00196E95">
              <w:t xml:space="preserve"> </w:t>
            </w:r>
            <w:r w:rsidR="00196E95" w:rsidRPr="00196E95">
              <w:t>kvalifikācijas iegūšanai ārsta profesijas specialitātē “mutes, sejas un žokļu ķirurģija”</w:t>
            </w:r>
            <w:r w:rsidR="00245289">
              <w:t xml:space="preserve">, ja kvalifikācijas ieguve tiek uzsākta </w:t>
            </w:r>
            <w:r w:rsidR="00E30F9B">
              <w:t>pēc</w:t>
            </w:r>
            <w:r w:rsidR="00245289">
              <w:t xml:space="preserve"> ārsta kvalifikācij</w:t>
            </w:r>
            <w:r w:rsidR="00E30F9B">
              <w:t xml:space="preserve">as </w:t>
            </w:r>
            <w:r w:rsidR="00E30F9B">
              <w:lastRenderedPageBreak/>
              <w:t>ieguves</w:t>
            </w:r>
            <w:r w:rsidR="00196E95" w:rsidRPr="00196E95">
              <w:t xml:space="preserve">, jo tas atbilst direktīvas 2005/36/EK </w:t>
            </w:r>
            <w:r w:rsidR="009D3388">
              <w:rPr>
                <w:bCs/>
                <w:color w:val="000000"/>
              </w:rPr>
              <w:t xml:space="preserve">V pielikuma </w:t>
            </w:r>
            <w:r w:rsidR="00196E95" w:rsidRPr="00196E95">
              <w:t xml:space="preserve">5.1.3. </w:t>
            </w:r>
            <w:r w:rsidR="009D3388">
              <w:t>punktā</w:t>
            </w:r>
            <w:r w:rsidR="009D3388" w:rsidRPr="00196E95">
              <w:t xml:space="preserve"> </w:t>
            </w:r>
            <w:r w:rsidR="00196E95" w:rsidRPr="00196E95">
              <w:t>noteiktajam minimālajam kvalifikācijas iegūšanas ilgumam specialitātē “</w:t>
            </w:r>
            <w:r>
              <w:t>m</w:t>
            </w:r>
            <w:r w:rsidR="00245289">
              <w:t>utes, sejas un žokļu ķirurģija</w:t>
            </w:r>
            <w:r w:rsidR="00196E95" w:rsidRPr="00196E95">
              <w:t>”</w:t>
            </w:r>
            <w:r w:rsidR="00E30F9B">
              <w:t xml:space="preserve"> – pieci gadi</w:t>
            </w:r>
            <w:r w:rsidR="00196E95" w:rsidRPr="00196E95">
              <w:t>.</w:t>
            </w:r>
            <w:r w:rsidR="00245289">
              <w:t xml:space="preserve"> </w:t>
            </w:r>
            <w:r w:rsidR="00353F09">
              <w:t xml:space="preserve">Vienlaicīgi noteikumu projektā ir paredzēts precizēt noteikumu Nr. 315 4.2.25. apakšpunktu nosakot, ka kvalifikācijas ieguves ilgums </w:t>
            </w:r>
            <w:r w:rsidR="00353F09" w:rsidRPr="00353F09">
              <w:t xml:space="preserve">ārsta profesijas specialitātē “mutes, sejas un žokļu ķirurģija” </w:t>
            </w:r>
            <w:r w:rsidR="00353F09">
              <w:t xml:space="preserve">ir četrus gadus ilgs, </w:t>
            </w:r>
            <w:r w:rsidR="00353F09" w:rsidRPr="00353F09">
              <w:t>ja kvalifikācijas ieguve tiek uzsākta ar ārsta kvalifikāciju</w:t>
            </w:r>
            <w:r w:rsidR="00353F09">
              <w:t xml:space="preserve"> un zobārsta kvalifikāciju.</w:t>
            </w:r>
            <w:r w:rsidR="00820A00">
              <w:t xml:space="preserve"> Šāds </w:t>
            </w:r>
            <w:r w:rsidR="00F41FEB">
              <w:t>ārsta profesijas specialitātes</w:t>
            </w:r>
            <w:r w:rsidR="00F41FEB" w:rsidRPr="00F41FEB">
              <w:t xml:space="preserve"> “mutes, sejas un žokļu ķirurģija”</w:t>
            </w:r>
            <w:r w:rsidR="00F41FEB">
              <w:t xml:space="preserve"> ieguves veids ir noteikts Latvij</w:t>
            </w:r>
            <w:r>
              <w:t xml:space="preserve">ā </w:t>
            </w:r>
            <w:r w:rsidR="00F41FEB" w:rsidRPr="008B53DA">
              <w:rPr>
                <w:shd w:val="clear" w:color="auto" w:fill="FFFFFF"/>
              </w:rPr>
              <w:t>Ministru kabinet</w:t>
            </w:r>
            <w:r w:rsidR="00F41FEB">
              <w:rPr>
                <w:shd w:val="clear" w:color="auto" w:fill="FFFFFF"/>
              </w:rPr>
              <w:t>a 2009. gada 24. marta noteikumu</w:t>
            </w:r>
            <w:r w:rsidR="00F41FEB" w:rsidRPr="008B53DA">
              <w:rPr>
                <w:shd w:val="clear" w:color="auto" w:fill="FFFFFF"/>
              </w:rPr>
              <w:t xml:space="preserve"> Nr. 268 </w:t>
            </w:r>
            <w:r w:rsidRPr="005E66ED">
              <w:rPr>
                <w:color w:val="000000"/>
                <w:shd w:val="clear" w:color="auto" w:fill="FFFFFF"/>
              </w:rPr>
              <w:t>“</w:t>
            </w:r>
            <w:hyperlink r:id="rId9" w:tgtFrame="_blank" w:history="1">
              <w:r w:rsidR="00F41FEB" w:rsidRPr="005E66ED">
                <w:rPr>
                  <w:rStyle w:val="Hyperlink"/>
                  <w:color w:val="000000"/>
                  <w:u w:val="none"/>
                  <w:shd w:val="clear" w:color="auto" w:fill="FFFFFF"/>
                </w:rPr>
                <w:t>Noteikumi par ārstniecības personu un studējošo, kuri apgūst pirmā vai otrā līmeņa profesionālās augstākās medicīniskās izglītības programmas, kompetenci ārstniecībā un šo personu teorētisko un praktisko zināšanu apjomu</w:t>
              </w:r>
            </w:hyperlink>
            <w:r w:rsidR="00F41FEB" w:rsidRPr="005E66ED">
              <w:rPr>
                <w:color w:val="000000"/>
                <w:shd w:val="clear" w:color="auto" w:fill="FFFFFF"/>
              </w:rPr>
              <w:t> </w:t>
            </w:r>
            <w:r w:rsidR="00F41FEB" w:rsidRPr="008B53DA">
              <w:rPr>
                <w:shd w:val="clear" w:color="auto" w:fill="FFFFFF"/>
              </w:rPr>
              <w:t>šo personu teorētisko un praktisko zināšanu apjomu</w:t>
            </w:r>
            <w:r>
              <w:rPr>
                <w:shd w:val="clear" w:color="auto" w:fill="FFFFFF"/>
              </w:rPr>
              <w:t>” (turpmāk noteikumi Nr. 268)</w:t>
            </w:r>
            <w:r w:rsidR="00F41FEB" w:rsidRPr="008B53DA">
              <w:rPr>
                <w:shd w:val="clear" w:color="auto" w:fill="FFFFFF"/>
              </w:rPr>
              <w:t> </w:t>
            </w:r>
            <w:r w:rsidR="00F41FEB">
              <w:rPr>
                <w:shd w:val="clear" w:color="auto" w:fill="FFFFFF"/>
              </w:rPr>
              <w:t>237. punktā.</w:t>
            </w:r>
          </w:p>
          <w:p w14:paraId="58955D8A" w14:textId="5E10C7B2" w:rsidR="00330C83" w:rsidRDefault="00F16399" w:rsidP="005B0C41">
            <w:pPr>
              <w:shd w:val="clear" w:color="auto" w:fill="FFFFFF"/>
              <w:jc w:val="both"/>
            </w:pPr>
            <w:r>
              <w:t xml:space="preserve">     </w:t>
            </w:r>
            <w:r w:rsidR="005B0C41">
              <w:t xml:space="preserve">Noteikumu projekts paredz papildināt noteikumos Nr.315 noteikto ārsta specialitāšu sarakstu ar vairākām specialitātēm, kuras ir noteiktas direktīvas 2005/36/EK </w:t>
            </w:r>
            <w:r w:rsidR="007B5F34">
              <w:rPr>
                <w:bCs/>
                <w:color w:val="000000"/>
              </w:rPr>
              <w:t xml:space="preserve">V pielikuma </w:t>
            </w:r>
            <w:r w:rsidR="005B0C41">
              <w:t>5.1.3. </w:t>
            </w:r>
            <w:r w:rsidR="007B5F34">
              <w:t>punktā</w:t>
            </w:r>
            <w:r w:rsidR="005B0C41">
              <w:t xml:space="preserve">, bet kuras Latvijā nav noteiktas kā ārsta profesijas specialitātes veselības aprūpes nozares normatīvajos aktos. Ņemot vērā, ka </w:t>
            </w:r>
            <w:r w:rsidR="005B0C41" w:rsidRPr="00631ED6">
              <w:t>Ministru kabineta 2005. gada 29. marta noteikumos Nr. 207 "Noteikumi par ārsta izglītību un profesionālo kvalifikāciju apliecinošiem dokumentiem, kurus atzīst, piemērojot speciālo profesionālās kvalifikācijas atzīšanas sistēmu"</w:t>
            </w:r>
            <w:r w:rsidR="005B0C41">
              <w:t xml:space="preserve"> (turpmāk – noteikumi Nr. 207) ir noteikts, ka profesionālo kvalifikāciju Latvijā atzīst visās direktīvas 2005/36/EK </w:t>
            </w:r>
            <w:r w:rsidR="007B5F34">
              <w:rPr>
                <w:bCs/>
                <w:color w:val="000000"/>
              </w:rPr>
              <w:t xml:space="preserve">V pielikuma </w:t>
            </w:r>
            <w:r w:rsidR="005B0C41">
              <w:t xml:space="preserve">5.1.3. </w:t>
            </w:r>
            <w:r w:rsidR="007B5F34">
              <w:t xml:space="preserve">punktā </w:t>
            </w:r>
            <w:r w:rsidR="005B0C41">
              <w:t xml:space="preserve">iekļautajās ārsta profesijas specialitātēs, noteikumos Nr. 315 ir būtiski noteikt studiju programmu </w:t>
            </w:r>
            <w:r w:rsidR="00E30F9B">
              <w:t xml:space="preserve">minimālo </w:t>
            </w:r>
            <w:r w:rsidR="005B0C41">
              <w:t xml:space="preserve">ilgumu šo specialitāšu iegūšanai. Atbilstoši minētajam noteikumu projektā ir noteiktas </w:t>
            </w:r>
            <w:r w:rsidR="0013434E">
              <w:t>šādas ārsta specialitātes</w:t>
            </w:r>
            <w:r w:rsidR="00A716FD" w:rsidRPr="00330C83">
              <w:t xml:space="preserve"> ar minimālo ilgu</w:t>
            </w:r>
            <w:r w:rsidR="00A716FD">
              <w:t>mu specialitātes iegūšanai</w:t>
            </w:r>
            <w:r w:rsidR="00C72925">
              <w:t xml:space="preserve">: </w:t>
            </w:r>
          </w:p>
          <w:p w14:paraId="08F9560E" w14:textId="464AC0D0" w:rsidR="00330C83" w:rsidRDefault="00330C83" w:rsidP="005B0C41">
            <w:pPr>
              <w:shd w:val="clear" w:color="auto" w:fill="FFFFFF"/>
              <w:jc w:val="both"/>
            </w:pPr>
            <w:r>
              <w:t>a) pieci</w:t>
            </w:r>
            <w:r w:rsidRPr="00330C83">
              <w:t xml:space="preserve"> gadi: </w:t>
            </w:r>
            <w:r>
              <w:t>“neiropsihiatrija” (noteikumu Nr.207 1.pielikuma 33</w:t>
            </w:r>
            <w:r w:rsidRPr="00F7680D">
              <w:t>.p.</w:t>
            </w:r>
            <w:r>
              <w:t>), “</w:t>
            </w:r>
            <w:proofErr w:type="spellStart"/>
            <w:r>
              <w:t>gastroenteroloģiskā</w:t>
            </w:r>
            <w:proofErr w:type="spellEnd"/>
            <w:r>
              <w:t xml:space="preserve"> ķirurģija” (noteikumu Nr.207 1.pielikuma 47</w:t>
            </w:r>
            <w:r w:rsidRPr="00A21933">
              <w:t>.p.)</w:t>
            </w:r>
            <w:r>
              <w:t xml:space="preserve">, </w:t>
            </w:r>
          </w:p>
          <w:p w14:paraId="15811C67" w14:textId="10479F2C" w:rsidR="00A716FD" w:rsidRDefault="00330C83" w:rsidP="005B0C41">
            <w:pPr>
              <w:shd w:val="clear" w:color="auto" w:fill="FFFFFF"/>
              <w:jc w:val="both"/>
            </w:pPr>
            <w:r>
              <w:t>b)</w:t>
            </w:r>
            <w:r w:rsidR="00A716FD">
              <w:t xml:space="preserve"> </w:t>
            </w:r>
            <w:r>
              <w:t>četri gadi</w:t>
            </w:r>
            <w:r w:rsidR="0013434E">
              <w:t xml:space="preserve">: </w:t>
            </w:r>
            <w:r w:rsidR="00F16399">
              <w:t>“</w:t>
            </w:r>
            <w:r w:rsidR="0013434E">
              <w:t>klīniskā bioloģija</w:t>
            </w:r>
            <w:r w:rsidR="00F16399">
              <w:t>”</w:t>
            </w:r>
            <w:r w:rsidR="00B65E71">
              <w:t xml:space="preserve"> (noteikumu Nr.207 1.pielikuma 17.p.)</w:t>
            </w:r>
            <w:r w:rsidR="0013434E">
              <w:t xml:space="preserve">, </w:t>
            </w:r>
            <w:r w:rsidR="00F16399">
              <w:t>“</w:t>
            </w:r>
            <w:r w:rsidR="0013434E">
              <w:t>klīniskā bioķīmija</w:t>
            </w:r>
            <w:r w:rsidR="00F16399">
              <w:t>”</w:t>
            </w:r>
            <w:r w:rsidR="00B65E71">
              <w:t xml:space="preserve"> (noteikumu Nr.207 1.pielikuma 20</w:t>
            </w:r>
            <w:r w:rsidR="00B65E71" w:rsidRPr="00B65E71">
              <w:t>.p.)</w:t>
            </w:r>
            <w:r w:rsidR="00F7680D">
              <w:t xml:space="preserve">, </w:t>
            </w:r>
            <w:r w:rsidR="00F16399">
              <w:t>“</w:t>
            </w:r>
            <w:proofErr w:type="spellStart"/>
            <w:r w:rsidR="00993C54">
              <w:t>kodolmedicīna</w:t>
            </w:r>
            <w:proofErr w:type="spellEnd"/>
            <w:r w:rsidR="00F16399">
              <w:t>”</w:t>
            </w:r>
            <w:r w:rsidR="00993C54">
              <w:t xml:space="preserve"> (noteikumu Nr.207 1.pielikuma 48</w:t>
            </w:r>
            <w:r w:rsidR="00993C54" w:rsidRPr="00993C54">
              <w:t>.p.</w:t>
            </w:r>
            <w:r w:rsidR="00993C54">
              <w:t xml:space="preserve">), </w:t>
            </w:r>
            <w:r w:rsidR="00F16399">
              <w:t>“</w:t>
            </w:r>
            <w:r w:rsidR="004C0968">
              <w:t>bioloģiskā hematoloģija</w:t>
            </w:r>
            <w:r w:rsidR="00F16399">
              <w:t>”</w:t>
            </w:r>
            <w:r w:rsidR="004C0968">
              <w:t xml:space="preserve"> (noteikumu Nr.207 1.pielikuma 1</w:t>
            </w:r>
            <w:r w:rsidR="004C0968" w:rsidRPr="004C0968">
              <w:t>8.p.)</w:t>
            </w:r>
            <w:r w:rsidR="00CD5AD0">
              <w:t xml:space="preserve">, </w:t>
            </w:r>
            <w:r w:rsidR="00A716FD">
              <w:t xml:space="preserve">“dermatoloģija” </w:t>
            </w:r>
            <w:r w:rsidR="00A716FD" w:rsidRPr="00411C86">
              <w:t>(noteikumu Nr.207 1.pielikuma 3</w:t>
            </w:r>
            <w:r w:rsidR="00A716FD">
              <w:t>5</w:t>
            </w:r>
            <w:r w:rsidR="00A716FD" w:rsidRPr="00411C86">
              <w:t>.p.)</w:t>
            </w:r>
            <w:r w:rsidR="00A716FD">
              <w:t>, “veneroloģija” (noteikumu Nr.207 1.pielikuma 36</w:t>
            </w:r>
            <w:r w:rsidR="00A716FD" w:rsidRPr="004603CC">
              <w:t>.p.)</w:t>
            </w:r>
            <w:r w:rsidR="00A716FD">
              <w:t xml:space="preserve"> “tropiskā medicīna” (noteikumu Nr.207 1.pielikuma 38</w:t>
            </w:r>
            <w:r w:rsidR="00A716FD" w:rsidRPr="0070055B">
              <w:t>.p.)</w:t>
            </w:r>
            <w:r w:rsidR="00A716FD">
              <w:t>,</w:t>
            </w:r>
          </w:p>
          <w:p w14:paraId="7F284F96" w14:textId="3CD3D789" w:rsidR="00606F30" w:rsidRDefault="00A716FD" w:rsidP="005B0C41">
            <w:pPr>
              <w:shd w:val="clear" w:color="auto" w:fill="FFFFFF"/>
              <w:jc w:val="both"/>
            </w:pPr>
            <w:r>
              <w:t>b) trīs</w:t>
            </w:r>
            <w:r w:rsidRPr="00A716FD">
              <w:t xml:space="preserve"> gadi: </w:t>
            </w:r>
            <w:r w:rsidR="00F16399">
              <w:t>“</w:t>
            </w:r>
            <w:r w:rsidR="00CD5AD0">
              <w:t>stomatoloģija</w:t>
            </w:r>
            <w:r w:rsidR="00F16399">
              <w:t>”</w:t>
            </w:r>
            <w:r w:rsidR="00CD5AD0">
              <w:t xml:space="preserve"> (noteikumu Nr.207 1.pielikuma 32</w:t>
            </w:r>
            <w:r w:rsidR="00CD5AD0" w:rsidRPr="00CD5AD0">
              <w:t>.p.)</w:t>
            </w:r>
            <w:r w:rsidR="00982F72">
              <w:t xml:space="preserve">. </w:t>
            </w:r>
          </w:p>
          <w:p w14:paraId="2E1E7E0C" w14:textId="48822CCC" w:rsidR="00DE6279" w:rsidRDefault="005B0C41" w:rsidP="005B0C41">
            <w:pPr>
              <w:shd w:val="clear" w:color="auto" w:fill="FFFFFF"/>
              <w:jc w:val="both"/>
            </w:pPr>
            <w:r>
              <w:t xml:space="preserve">Šāda papildinājuma mērķis ir nodrošināt konsekventu atbilstību starp </w:t>
            </w:r>
            <w:r w:rsidR="0027544C">
              <w:t xml:space="preserve">noteikumiem Nr.315 un noteikumiem Nr.207, tomēr tas neuzliek pienākumu šādas specialitātes ārsta profesijā Latvijā izveidot. </w:t>
            </w:r>
            <w:r w:rsidR="00DD61E7">
              <w:t xml:space="preserve">Praksē šāds papildinājums </w:t>
            </w:r>
            <w:r w:rsidR="00DD61E7">
              <w:lastRenderedPageBreak/>
              <w:t xml:space="preserve">nozīmē, ka, eventuāli paredzot minēto ārsta profesijas </w:t>
            </w:r>
            <w:r w:rsidR="00477D3F">
              <w:t xml:space="preserve">jauno </w:t>
            </w:r>
            <w:r w:rsidR="00DD61E7">
              <w:t xml:space="preserve">specialitāšu izveidi Latvijā, to kvalifikācijas ieguves ilgums nedrīkst būt mazāks nekā noteikumos </w:t>
            </w:r>
            <w:r w:rsidR="007B5F34">
              <w:t>Nr</w:t>
            </w:r>
            <w:r w:rsidR="00DD61E7">
              <w:t xml:space="preserve">. 315 noteiktais. </w:t>
            </w:r>
          </w:p>
          <w:p w14:paraId="2E1E7E0D" w14:textId="77777777" w:rsidR="00982F72" w:rsidRPr="008D1306" w:rsidRDefault="00982F72" w:rsidP="00982F72">
            <w:pPr>
              <w:shd w:val="clear" w:color="auto" w:fill="FFFFFF"/>
              <w:jc w:val="both"/>
            </w:pPr>
            <w:r>
              <w:t xml:space="preserve">      Noteikumu projekts paredz svītrot no noteikumiem Nr.315 ārsta profesijas specialitātes asinsvadu ķirurģija, bērnu ķirurģija, narkoloģija, sporta medicīna, psihoterapija, </w:t>
            </w:r>
            <w:r w:rsidRPr="008D1306">
              <w:t>bērnu infekcijas slim</w:t>
            </w:r>
            <w:r>
              <w:t xml:space="preserve">ības, bērnu kardioloģija, bērnu </w:t>
            </w:r>
            <w:proofErr w:type="spellStart"/>
            <w:r>
              <w:t>pneimonoloģija</w:t>
            </w:r>
            <w:proofErr w:type="spellEnd"/>
            <w:r>
              <w:t xml:space="preserve">, bērnu nefroloģija, bērnu gastroenteroloģija, bērnu </w:t>
            </w:r>
            <w:proofErr w:type="spellStart"/>
            <w:r>
              <w:t>hematoonkoloģija</w:t>
            </w:r>
            <w:proofErr w:type="spellEnd"/>
            <w:r>
              <w:t xml:space="preserve">, bērnu </w:t>
            </w:r>
            <w:proofErr w:type="spellStart"/>
            <w:r>
              <w:t>alergoloģija</w:t>
            </w:r>
            <w:proofErr w:type="spellEnd"/>
            <w:r>
              <w:t xml:space="preserve">, klīniskā fizioloģija, </w:t>
            </w:r>
            <w:proofErr w:type="spellStart"/>
            <w:r>
              <w:t>transplantoloģija</w:t>
            </w:r>
            <w:proofErr w:type="spellEnd"/>
            <w:r>
              <w:t xml:space="preserve">, </w:t>
            </w:r>
            <w:proofErr w:type="spellStart"/>
            <w:r w:rsidRPr="008D1306">
              <w:t>osteopātija</w:t>
            </w:r>
            <w:proofErr w:type="spellEnd"/>
            <w:r>
              <w:t>, kā arī visās pārējās ārsta profesijas specialitāt</w:t>
            </w:r>
            <w:r w:rsidR="00DD61E7">
              <w:t>e</w:t>
            </w:r>
            <w:r>
              <w:t>s, kurās minimālais ilgums kvalifikācijas iegūšanai ir divi vai viens gads. Pamatojums minēto ārsta profesijas specialitāšu svītrošanai no noteikumiem Nr.315 ir tas, ka tajās kvalifikācijas ieguves ilgumu nenosaka direktīva 2005/36/EK</w:t>
            </w:r>
            <w:r w:rsidR="00F16399">
              <w:t xml:space="preserve">, bet gan noteikumi Nr. 268. Tādējādi noteikumu projekts novērš nevajadzīgu tiesību normu dublēšanos un mazina </w:t>
            </w:r>
            <w:proofErr w:type="spellStart"/>
            <w:r w:rsidR="00F16399">
              <w:t>normatīvismu</w:t>
            </w:r>
            <w:proofErr w:type="spellEnd"/>
            <w:r w:rsidR="00F16399">
              <w:t>.</w:t>
            </w:r>
          </w:p>
          <w:p w14:paraId="2E1E7E0E" w14:textId="77777777" w:rsidR="00982F72" w:rsidRPr="00CE7E5A" w:rsidRDefault="00982F72" w:rsidP="00982F72">
            <w:pPr>
              <w:shd w:val="clear" w:color="auto" w:fill="FFFFFF"/>
              <w:jc w:val="both"/>
            </w:pPr>
          </w:p>
        </w:tc>
      </w:tr>
      <w:tr w:rsidR="001B1B15" w:rsidRPr="00404CF4" w14:paraId="2E1E7E13" w14:textId="77777777" w:rsidTr="00E92DFB">
        <w:tc>
          <w:tcPr>
            <w:tcW w:w="311" w:type="pct"/>
            <w:hideMark/>
          </w:tcPr>
          <w:p w14:paraId="2E1E7E10" w14:textId="77777777" w:rsidR="00BD5588" w:rsidRPr="00404CF4" w:rsidRDefault="00222C95" w:rsidP="00793205">
            <w:pPr>
              <w:widowControl w:val="0"/>
              <w:jc w:val="center"/>
            </w:pPr>
            <w:r w:rsidRPr="00404CF4">
              <w:lastRenderedPageBreak/>
              <w:t>3.</w:t>
            </w:r>
          </w:p>
        </w:tc>
        <w:tc>
          <w:tcPr>
            <w:tcW w:w="1479" w:type="pct"/>
            <w:hideMark/>
          </w:tcPr>
          <w:p w14:paraId="2E1E7E11" w14:textId="77777777" w:rsidR="00BD5588" w:rsidRPr="00404CF4" w:rsidRDefault="00222C95" w:rsidP="00793205">
            <w:pPr>
              <w:widowControl w:val="0"/>
            </w:pPr>
            <w:r w:rsidRPr="00404CF4">
              <w:t>Projekta izstrādē iesaistītās institūcijas un publiskas personas kapitālsabiedrības</w:t>
            </w:r>
          </w:p>
        </w:tc>
        <w:tc>
          <w:tcPr>
            <w:tcW w:w="3210" w:type="pct"/>
            <w:hideMark/>
          </w:tcPr>
          <w:p w14:paraId="2E1E7E12" w14:textId="77777777" w:rsidR="00161647" w:rsidRPr="00404CF4" w:rsidRDefault="00222C95" w:rsidP="00C07EB2">
            <w:pPr>
              <w:widowControl w:val="0"/>
            </w:pPr>
            <w:r w:rsidRPr="00404CF4">
              <w:rPr>
                <w:bCs/>
              </w:rPr>
              <w:t>Izg</w:t>
            </w:r>
            <w:r w:rsidR="00A5594D" w:rsidRPr="00404CF4">
              <w:rPr>
                <w:bCs/>
              </w:rPr>
              <w:t>lītības un zinātnes ministrija</w:t>
            </w:r>
            <w:r w:rsidR="002341E4">
              <w:rPr>
                <w:bCs/>
              </w:rPr>
              <w:t xml:space="preserve"> (turpmāk – ministrija). Noteikumu</w:t>
            </w:r>
            <w:r w:rsidR="00DD61E7">
              <w:rPr>
                <w:bCs/>
              </w:rPr>
              <w:t xml:space="preserve"> projekta izstrādes laikā paredzētas</w:t>
            </w:r>
            <w:r w:rsidR="002341E4">
              <w:rPr>
                <w:bCs/>
              </w:rPr>
              <w:t xml:space="preserve"> konsultācijas ar Veselības ministriju, Rīgas Stradiņa universitāti, Latvijas Ārstu biedrību.</w:t>
            </w:r>
          </w:p>
        </w:tc>
      </w:tr>
      <w:tr w:rsidR="001B1B15" w:rsidRPr="00404CF4" w14:paraId="2E1E7E17" w14:textId="77777777" w:rsidTr="00E92DFB">
        <w:tc>
          <w:tcPr>
            <w:tcW w:w="311" w:type="pct"/>
            <w:hideMark/>
          </w:tcPr>
          <w:p w14:paraId="2E1E7E14" w14:textId="77777777" w:rsidR="00BD5588" w:rsidRPr="00404CF4" w:rsidRDefault="00222C95" w:rsidP="00793205">
            <w:pPr>
              <w:widowControl w:val="0"/>
              <w:jc w:val="center"/>
            </w:pPr>
            <w:r w:rsidRPr="00404CF4">
              <w:t>4.</w:t>
            </w:r>
          </w:p>
        </w:tc>
        <w:tc>
          <w:tcPr>
            <w:tcW w:w="1479" w:type="pct"/>
            <w:hideMark/>
          </w:tcPr>
          <w:p w14:paraId="2E1E7E15" w14:textId="77777777" w:rsidR="00BD5588" w:rsidRPr="00404CF4" w:rsidRDefault="00222C95" w:rsidP="00793205">
            <w:pPr>
              <w:widowControl w:val="0"/>
            </w:pPr>
            <w:r w:rsidRPr="00404CF4">
              <w:t>Cita informācija</w:t>
            </w:r>
          </w:p>
        </w:tc>
        <w:tc>
          <w:tcPr>
            <w:tcW w:w="3210" w:type="pct"/>
            <w:hideMark/>
          </w:tcPr>
          <w:p w14:paraId="2E1E7E16" w14:textId="77777777" w:rsidR="00BD5588" w:rsidRPr="00404CF4" w:rsidRDefault="00222C95" w:rsidP="00EA3D31">
            <w:pPr>
              <w:widowControl w:val="0"/>
              <w:ind w:firstLine="108"/>
            </w:pPr>
            <w:r w:rsidRPr="00404CF4">
              <w:t>Nav</w:t>
            </w:r>
            <w:r w:rsidR="00EA3D31" w:rsidRPr="00404CF4">
              <w:t>.</w:t>
            </w:r>
          </w:p>
        </w:tc>
      </w:tr>
    </w:tbl>
    <w:p w14:paraId="2E1E7E18" w14:textId="77777777" w:rsidR="004E4DD9" w:rsidRPr="00404CF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404CF4" w14:paraId="2E1E7E1A" w14:textId="77777777" w:rsidTr="00F54498">
        <w:tc>
          <w:tcPr>
            <w:tcW w:w="9244" w:type="dxa"/>
            <w:gridSpan w:val="3"/>
            <w:vAlign w:val="center"/>
            <w:hideMark/>
          </w:tcPr>
          <w:p w14:paraId="2E1E7E19"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2E1E7E1E" w14:textId="77777777" w:rsidTr="00F54498">
        <w:tc>
          <w:tcPr>
            <w:tcW w:w="516" w:type="dxa"/>
            <w:hideMark/>
          </w:tcPr>
          <w:p w14:paraId="2E1E7E1B" w14:textId="77777777" w:rsidR="00BD5588" w:rsidRPr="00404CF4" w:rsidRDefault="00222C95" w:rsidP="00E273A1">
            <w:pPr>
              <w:jc w:val="center"/>
            </w:pPr>
            <w:r w:rsidRPr="00404CF4">
              <w:t>1.</w:t>
            </w:r>
          </w:p>
        </w:tc>
        <w:tc>
          <w:tcPr>
            <w:tcW w:w="2454" w:type="dxa"/>
            <w:hideMark/>
          </w:tcPr>
          <w:p w14:paraId="2E1E7E1C" w14:textId="77777777" w:rsidR="00BD5588" w:rsidRPr="00404CF4" w:rsidRDefault="00222C95" w:rsidP="00E30236">
            <w:r w:rsidRPr="00404CF4">
              <w:t xml:space="preserve">Sabiedrības </w:t>
            </w:r>
            <w:proofErr w:type="spellStart"/>
            <w:r w:rsidRPr="00404CF4">
              <w:t>mērķgrupas</w:t>
            </w:r>
            <w:proofErr w:type="spellEnd"/>
            <w:r w:rsidRPr="00404CF4">
              <w:t>, kuras tiesiskais regulējums ietekmē vai varētu ietekmēt</w:t>
            </w:r>
          </w:p>
        </w:tc>
        <w:tc>
          <w:tcPr>
            <w:tcW w:w="6274" w:type="dxa"/>
            <w:hideMark/>
          </w:tcPr>
          <w:p w14:paraId="2E1E7E1D" w14:textId="77777777" w:rsidR="00F81D2F" w:rsidRPr="00404CF4" w:rsidRDefault="00222C95" w:rsidP="00F81D2F">
            <w:pPr>
              <w:pStyle w:val="naiskr"/>
              <w:spacing w:before="0" w:after="0"/>
              <w:jc w:val="both"/>
            </w:pPr>
            <w:r w:rsidRPr="00404CF4">
              <w:t>Noteikumu projektā noteiktais attieksies uz</w:t>
            </w:r>
            <w:r w:rsidR="00466A8F">
              <w:t xml:space="preserve"> </w:t>
            </w:r>
            <w:r w:rsidR="00F81D2F">
              <w:t xml:space="preserve">personām, kas iegūst kvalifikāciju ārsta profesijas </w:t>
            </w:r>
            <w:proofErr w:type="spellStart"/>
            <w:r w:rsidR="00F81D2F">
              <w:t>pamatspecialitātēs</w:t>
            </w:r>
            <w:proofErr w:type="spellEnd"/>
            <w:r w:rsidR="00F81D2F">
              <w:t xml:space="preserve">, </w:t>
            </w:r>
            <w:proofErr w:type="spellStart"/>
            <w:r w:rsidR="00F81D2F">
              <w:t>apakšspecialitātēs</w:t>
            </w:r>
            <w:proofErr w:type="spellEnd"/>
            <w:r w:rsidR="00F81D2F">
              <w:t xml:space="preserve">, </w:t>
            </w:r>
            <w:proofErr w:type="spellStart"/>
            <w:r w:rsidR="00F81D2F">
              <w:t>papildspecialitāt</w:t>
            </w:r>
            <w:r w:rsidR="00466A8F">
              <w:t>ēs</w:t>
            </w:r>
            <w:proofErr w:type="spellEnd"/>
            <w:r w:rsidR="00DD61E7">
              <w:t>, kā arī Latvijas Universitāti un Rīgas Stradiņa universitāti, kas īsteno studiju programmas, kurās iegūst kvalifikāciju ārsta profesijas specialitāt</w:t>
            </w:r>
            <w:r w:rsidR="004266A0">
              <w:t>ēs</w:t>
            </w:r>
            <w:r w:rsidR="00466A8F">
              <w:t>.</w:t>
            </w:r>
          </w:p>
        </w:tc>
      </w:tr>
      <w:tr w:rsidR="001B1B15" w:rsidRPr="00404CF4" w14:paraId="2E1E7E23" w14:textId="77777777" w:rsidTr="00F54498">
        <w:tc>
          <w:tcPr>
            <w:tcW w:w="516" w:type="dxa"/>
            <w:hideMark/>
          </w:tcPr>
          <w:p w14:paraId="2E1E7E1F" w14:textId="77777777" w:rsidR="00BD5588" w:rsidRPr="00404CF4" w:rsidRDefault="00222C95" w:rsidP="00E273A1">
            <w:pPr>
              <w:jc w:val="center"/>
            </w:pPr>
            <w:r w:rsidRPr="00404CF4">
              <w:t>2.</w:t>
            </w:r>
          </w:p>
        </w:tc>
        <w:tc>
          <w:tcPr>
            <w:tcW w:w="2454" w:type="dxa"/>
            <w:hideMark/>
          </w:tcPr>
          <w:p w14:paraId="2E1E7E20" w14:textId="77777777" w:rsidR="00BD5588" w:rsidRPr="00404CF4" w:rsidRDefault="00222C95" w:rsidP="00E30236">
            <w:r w:rsidRPr="00404CF4">
              <w:t>Tiesiskā regulējuma ietekme uz tautsaimniecību un administratīvo slogu</w:t>
            </w:r>
          </w:p>
        </w:tc>
        <w:tc>
          <w:tcPr>
            <w:tcW w:w="6274" w:type="dxa"/>
            <w:hideMark/>
          </w:tcPr>
          <w:p w14:paraId="2E1E7E21" w14:textId="77777777" w:rsidR="00161647" w:rsidRDefault="00222C95" w:rsidP="00B16445">
            <w:pPr>
              <w:ind w:firstLine="108"/>
              <w:jc w:val="both"/>
            </w:pPr>
            <w:r w:rsidRPr="00404CF4">
              <w:t xml:space="preserve">Projekts šo jomu neskar. </w:t>
            </w:r>
          </w:p>
          <w:p w14:paraId="2E1E7E22" w14:textId="77777777" w:rsidR="008F3A17" w:rsidRPr="00404CF4" w:rsidRDefault="008F3A17" w:rsidP="00C07EB2">
            <w:pPr>
              <w:ind w:firstLine="108"/>
              <w:jc w:val="both"/>
            </w:pPr>
          </w:p>
        </w:tc>
      </w:tr>
      <w:tr w:rsidR="001B1B15" w:rsidRPr="00404CF4" w14:paraId="2E1E7E27" w14:textId="77777777" w:rsidTr="00F54498">
        <w:tc>
          <w:tcPr>
            <w:tcW w:w="516" w:type="dxa"/>
            <w:hideMark/>
          </w:tcPr>
          <w:p w14:paraId="2E1E7E24" w14:textId="77777777" w:rsidR="00BD5588" w:rsidRPr="00404CF4" w:rsidRDefault="00222C95" w:rsidP="00E273A1">
            <w:pPr>
              <w:jc w:val="center"/>
            </w:pPr>
            <w:r w:rsidRPr="00404CF4">
              <w:t>3.</w:t>
            </w:r>
          </w:p>
        </w:tc>
        <w:tc>
          <w:tcPr>
            <w:tcW w:w="2454" w:type="dxa"/>
            <w:hideMark/>
          </w:tcPr>
          <w:p w14:paraId="2E1E7E25" w14:textId="77777777" w:rsidR="00BD5588" w:rsidRPr="00404CF4" w:rsidRDefault="00222C95" w:rsidP="00E30236">
            <w:r w:rsidRPr="00404CF4">
              <w:t>Administratīvo izmaksu monetārs novērtējums</w:t>
            </w:r>
          </w:p>
        </w:tc>
        <w:tc>
          <w:tcPr>
            <w:tcW w:w="6274" w:type="dxa"/>
            <w:hideMark/>
          </w:tcPr>
          <w:p w14:paraId="2E1E7E26" w14:textId="77777777" w:rsidR="00BD5588" w:rsidRPr="00404CF4" w:rsidRDefault="00222C95" w:rsidP="00EA3D31">
            <w:pPr>
              <w:ind w:firstLine="108"/>
            </w:pPr>
            <w:r w:rsidRPr="00404CF4">
              <w:t>Projekts šo jomu neskar</w:t>
            </w:r>
            <w:r w:rsidR="00EA3D31" w:rsidRPr="00404CF4">
              <w:t>.</w:t>
            </w:r>
          </w:p>
        </w:tc>
      </w:tr>
      <w:tr w:rsidR="001B1B15" w:rsidRPr="00404CF4" w14:paraId="2E1E7E2B" w14:textId="77777777" w:rsidTr="00F54498">
        <w:tc>
          <w:tcPr>
            <w:tcW w:w="516" w:type="dxa"/>
            <w:hideMark/>
          </w:tcPr>
          <w:p w14:paraId="2E1E7E28" w14:textId="77777777" w:rsidR="00BD5588" w:rsidRPr="00404CF4" w:rsidRDefault="00222C95" w:rsidP="00E273A1">
            <w:pPr>
              <w:jc w:val="center"/>
            </w:pPr>
            <w:r w:rsidRPr="00404CF4">
              <w:t>4.</w:t>
            </w:r>
          </w:p>
        </w:tc>
        <w:tc>
          <w:tcPr>
            <w:tcW w:w="2454" w:type="dxa"/>
            <w:hideMark/>
          </w:tcPr>
          <w:p w14:paraId="2E1E7E29" w14:textId="77777777" w:rsidR="00BD5588" w:rsidRPr="00404CF4" w:rsidRDefault="00222C95" w:rsidP="00E273A1">
            <w:r w:rsidRPr="00404CF4">
              <w:t>Atbilstības izmaksu monetārs novērtējums</w:t>
            </w:r>
          </w:p>
        </w:tc>
        <w:tc>
          <w:tcPr>
            <w:tcW w:w="6274" w:type="dxa"/>
            <w:hideMark/>
          </w:tcPr>
          <w:p w14:paraId="2E1E7E2A" w14:textId="77777777" w:rsidR="00BD5588" w:rsidRPr="00404CF4" w:rsidRDefault="00222C95" w:rsidP="00EA3D31">
            <w:pPr>
              <w:ind w:firstLine="108"/>
            </w:pPr>
            <w:r w:rsidRPr="00404CF4">
              <w:t>Projekts šo jomu neskar</w:t>
            </w:r>
            <w:r w:rsidR="00EA3D31" w:rsidRPr="00404CF4">
              <w:t>.</w:t>
            </w:r>
          </w:p>
        </w:tc>
      </w:tr>
      <w:tr w:rsidR="001B1B15" w:rsidRPr="00404CF4" w14:paraId="2E1E7E30" w14:textId="77777777" w:rsidTr="00F54498">
        <w:tc>
          <w:tcPr>
            <w:tcW w:w="516" w:type="dxa"/>
            <w:hideMark/>
          </w:tcPr>
          <w:p w14:paraId="2E1E7E2C" w14:textId="77777777" w:rsidR="00BD5588" w:rsidRPr="00404CF4" w:rsidRDefault="00222C95" w:rsidP="00E273A1">
            <w:pPr>
              <w:jc w:val="center"/>
            </w:pPr>
            <w:r w:rsidRPr="00404CF4">
              <w:t>5.</w:t>
            </w:r>
          </w:p>
        </w:tc>
        <w:tc>
          <w:tcPr>
            <w:tcW w:w="2454" w:type="dxa"/>
            <w:hideMark/>
          </w:tcPr>
          <w:p w14:paraId="2E1E7E2D" w14:textId="77777777" w:rsidR="00BD5588" w:rsidRPr="00404CF4" w:rsidRDefault="00222C95" w:rsidP="00E273A1">
            <w:r w:rsidRPr="00404CF4">
              <w:t>Cita informācija</w:t>
            </w:r>
          </w:p>
        </w:tc>
        <w:tc>
          <w:tcPr>
            <w:tcW w:w="6274" w:type="dxa"/>
            <w:hideMark/>
          </w:tcPr>
          <w:p w14:paraId="2E1E7E2E" w14:textId="77777777" w:rsidR="00BD5588" w:rsidRPr="00404CF4" w:rsidRDefault="00222C95" w:rsidP="00EA3D31">
            <w:pPr>
              <w:ind w:firstLine="108"/>
            </w:pPr>
            <w:r w:rsidRPr="00404CF4">
              <w:t>Nav</w:t>
            </w:r>
            <w:r w:rsidR="00EA3D31" w:rsidRPr="00404CF4">
              <w:t>.</w:t>
            </w:r>
          </w:p>
          <w:p w14:paraId="2E1E7E2F" w14:textId="77777777" w:rsidR="00161647" w:rsidRPr="00404CF4" w:rsidRDefault="00161647" w:rsidP="00EA3D31">
            <w:pPr>
              <w:ind w:firstLine="108"/>
            </w:pPr>
          </w:p>
        </w:tc>
      </w:tr>
    </w:tbl>
    <w:p w14:paraId="2E1E7E31" w14:textId="77777777" w:rsidR="004E4DD9" w:rsidRPr="00404CF4" w:rsidRDefault="004E4DD9" w:rsidP="00E273A1"/>
    <w:tbl>
      <w:tblPr>
        <w:tblW w:w="5084"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9213"/>
      </w:tblGrid>
      <w:tr w:rsidR="001B1B15" w:rsidRPr="00404CF4" w14:paraId="2E1E7E33" w14:textId="77777777" w:rsidTr="005E66ED">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E1E7E32" w14:textId="77777777" w:rsidR="00F54498" w:rsidRPr="005E66ED" w:rsidRDefault="00222C95" w:rsidP="005E66ED">
            <w:pPr>
              <w:ind w:right="-34"/>
              <w:jc w:val="center"/>
              <w:rPr>
                <w:b/>
              </w:rPr>
            </w:pPr>
            <w:r w:rsidRPr="005E66ED">
              <w:rPr>
                <w:b/>
              </w:rPr>
              <w:t>III. Tiesību akta projekta ietekme uz valsts budžetu un pašvaldību budžetiem</w:t>
            </w:r>
          </w:p>
        </w:tc>
      </w:tr>
      <w:tr w:rsidR="001B1B15" w:rsidRPr="00404CF4" w14:paraId="2E1E7E35" w14:textId="77777777" w:rsidTr="005E66ED">
        <w:tc>
          <w:tcPr>
            <w:tcW w:w="5000" w:type="pct"/>
            <w:tcBorders>
              <w:top w:val="single" w:sz="4" w:space="0" w:color="auto"/>
              <w:left w:val="single" w:sz="4" w:space="0" w:color="auto"/>
              <w:bottom w:val="single" w:sz="4" w:space="0" w:color="auto"/>
              <w:right w:val="single" w:sz="4" w:space="0" w:color="auto"/>
            </w:tcBorders>
            <w:shd w:val="clear" w:color="auto" w:fill="FFFFFF"/>
          </w:tcPr>
          <w:p w14:paraId="2E1E7E34" w14:textId="77777777" w:rsidR="00BD7871" w:rsidRPr="00404CF4" w:rsidRDefault="00222C95" w:rsidP="005E66ED">
            <w:pPr>
              <w:ind w:right="-34"/>
              <w:jc w:val="center"/>
            </w:pPr>
            <w:r w:rsidRPr="00404CF4">
              <w:t>Projekts šo jomu neskar</w:t>
            </w:r>
          </w:p>
        </w:tc>
      </w:tr>
    </w:tbl>
    <w:p w14:paraId="2E1E7E36" w14:textId="77777777" w:rsidR="004E4DD9" w:rsidRPr="00404CF4" w:rsidRDefault="004E4DD9" w:rsidP="00113C64">
      <w:pPr>
        <w:pStyle w:val="Title"/>
        <w:spacing w:before="130" w:line="260" w:lineRule="exact"/>
        <w:jc w:val="both"/>
        <w:rPr>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1"/>
      </w:tblGrid>
      <w:tr w:rsidR="001B1B15" w:rsidRPr="00404CF4" w14:paraId="2E1E7E38" w14:textId="77777777" w:rsidTr="00E92DFB">
        <w:trPr>
          <w:cantSplit/>
        </w:trPr>
        <w:tc>
          <w:tcPr>
            <w:tcW w:w="9211" w:type="dxa"/>
            <w:vAlign w:val="center"/>
            <w:hideMark/>
          </w:tcPr>
          <w:p w14:paraId="2E1E7E37" w14:textId="77777777" w:rsidR="009878D6" w:rsidRPr="00404CF4" w:rsidRDefault="00222C95" w:rsidP="00293120">
            <w:pPr>
              <w:jc w:val="center"/>
              <w:rPr>
                <w:b/>
                <w:bCs/>
              </w:rPr>
            </w:pPr>
            <w:r w:rsidRPr="00404CF4">
              <w:rPr>
                <w:b/>
                <w:bCs/>
              </w:rPr>
              <w:t>IV. Tiesību akta projekta ietekme uz spēkā esošo tiesību normu sistēmu</w:t>
            </w:r>
          </w:p>
        </w:tc>
      </w:tr>
      <w:tr w:rsidR="005D4A1E" w:rsidRPr="00404CF4" w14:paraId="2E1E7E3A" w14:textId="77777777" w:rsidTr="008A7508">
        <w:trPr>
          <w:cantSplit/>
        </w:trPr>
        <w:tc>
          <w:tcPr>
            <w:tcW w:w="9211" w:type="dxa"/>
          </w:tcPr>
          <w:p w14:paraId="2E1E7E39" w14:textId="77777777" w:rsidR="005D4A1E" w:rsidRPr="00404CF4" w:rsidRDefault="005D4A1E" w:rsidP="00E92DFB">
            <w:pPr>
              <w:jc w:val="center"/>
              <w:rPr>
                <w:bCs/>
              </w:rPr>
            </w:pPr>
            <w:r>
              <w:rPr>
                <w:bCs/>
              </w:rPr>
              <w:lastRenderedPageBreak/>
              <w:t>Projekts šo jomu neskar</w:t>
            </w:r>
          </w:p>
        </w:tc>
      </w:tr>
    </w:tbl>
    <w:p w14:paraId="2E1E7E3B" w14:textId="77777777" w:rsidR="00161647" w:rsidRPr="00404CF4"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E1E7E3D" w14:textId="77777777" w:rsidTr="00E92DFB">
        <w:tc>
          <w:tcPr>
            <w:tcW w:w="5000" w:type="pct"/>
            <w:gridSpan w:val="3"/>
            <w:vAlign w:val="center"/>
            <w:hideMark/>
          </w:tcPr>
          <w:p w14:paraId="2E1E7E3C"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2E1E7E41" w14:textId="77777777" w:rsidTr="00E92DFB">
        <w:tc>
          <w:tcPr>
            <w:tcW w:w="306" w:type="pct"/>
            <w:hideMark/>
          </w:tcPr>
          <w:p w14:paraId="2E1E7E3E" w14:textId="77777777" w:rsidR="009878D6" w:rsidRPr="00404CF4" w:rsidRDefault="00222C95" w:rsidP="00293120">
            <w:pPr>
              <w:jc w:val="center"/>
            </w:pPr>
            <w:r w:rsidRPr="00404CF4">
              <w:t>1.</w:t>
            </w:r>
          </w:p>
        </w:tc>
        <w:tc>
          <w:tcPr>
            <w:tcW w:w="1456" w:type="pct"/>
            <w:hideMark/>
          </w:tcPr>
          <w:p w14:paraId="2E1E7E3F" w14:textId="77777777" w:rsidR="009878D6" w:rsidRPr="00404CF4" w:rsidRDefault="00222C95" w:rsidP="00293120">
            <w:r w:rsidRPr="00404CF4">
              <w:t>Saistības pret Eiropas Savienību</w:t>
            </w:r>
          </w:p>
        </w:tc>
        <w:tc>
          <w:tcPr>
            <w:tcW w:w="3239" w:type="pct"/>
            <w:hideMark/>
          </w:tcPr>
          <w:p w14:paraId="2E1E7E40" w14:textId="77777777" w:rsidR="00161647" w:rsidRPr="00404CF4" w:rsidRDefault="00222C95" w:rsidP="00466A8F">
            <w:pPr>
              <w:ind w:left="57" w:firstLine="108"/>
              <w:jc w:val="both"/>
            </w:pPr>
            <w:r w:rsidRPr="00404CF4">
              <w:t>Ar not</w:t>
            </w:r>
            <w:r w:rsidR="001F0223" w:rsidRPr="00404CF4">
              <w:t>eikumu projektie</w:t>
            </w:r>
            <w:r w:rsidR="00466A8F">
              <w:t>m tiek pārņemta</w:t>
            </w:r>
            <w:r w:rsidR="0041017B">
              <w:t xml:space="preserve"> direktīva 2005/36</w:t>
            </w:r>
            <w:r w:rsidR="001F0223" w:rsidRPr="00404CF4">
              <w:t>/EK</w:t>
            </w:r>
          </w:p>
        </w:tc>
      </w:tr>
      <w:tr w:rsidR="001B1B15" w:rsidRPr="00404CF4" w14:paraId="2E1E7E45" w14:textId="77777777" w:rsidTr="00E92DFB">
        <w:tc>
          <w:tcPr>
            <w:tcW w:w="306" w:type="pct"/>
            <w:hideMark/>
          </w:tcPr>
          <w:p w14:paraId="2E1E7E42" w14:textId="77777777" w:rsidR="009878D6" w:rsidRPr="00404CF4" w:rsidRDefault="00222C95" w:rsidP="00293120">
            <w:pPr>
              <w:jc w:val="center"/>
            </w:pPr>
            <w:r w:rsidRPr="00404CF4">
              <w:t>2.</w:t>
            </w:r>
          </w:p>
        </w:tc>
        <w:tc>
          <w:tcPr>
            <w:tcW w:w="1456" w:type="pct"/>
            <w:hideMark/>
          </w:tcPr>
          <w:p w14:paraId="2E1E7E43" w14:textId="77777777" w:rsidR="009878D6" w:rsidRPr="00404CF4" w:rsidRDefault="00222C95" w:rsidP="00293120">
            <w:r w:rsidRPr="00404CF4">
              <w:t>Citas starptautiskās saistības</w:t>
            </w:r>
          </w:p>
        </w:tc>
        <w:tc>
          <w:tcPr>
            <w:tcW w:w="3239" w:type="pct"/>
            <w:hideMark/>
          </w:tcPr>
          <w:p w14:paraId="2E1E7E44" w14:textId="77777777" w:rsidR="009878D6" w:rsidRPr="00404CF4" w:rsidRDefault="00222C95" w:rsidP="00E96134">
            <w:pPr>
              <w:ind w:firstLine="108"/>
            </w:pPr>
            <w:r w:rsidRPr="00404CF4">
              <w:t>Projekts šo jomu neskar.</w:t>
            </w:r>
          </w:p>
        </w:tc>
      </w:tr>
      <w:tr w:rsidR="001B1B15" w:rsidRPr="00404CF4" w14:paraId="2E1E7E49" w14:textId="77777777" w:rsidTr="00E92DFB">
        <w:tc>
          <w:tcPr>
            <w:tcW w:w="306" w:type="pct"/>
            <w:hideMark/>
          </w:tcPr>
          <w:p w14:paraId="2E1E7E46" w14:textId="77777777" w:rsidR="009878D6" w:rsidRPr="00404CF4" w:rsidRDefault="00222C95" w:rsidP="00293120">
            <w:pPr>
              <w:jc w:val="center"/>
            </w:pPr>
            <w:r w:rsidRPr="00404CF4">
              <w:t>3.</w:t>
            </w:r>
          </w:p>
        </w:tc>
        <w:tc>
          <w:tcPr>
            <w:tcW w:w="1456" w:type="pct"/>
            <w:hideMark/>
          </w:tcPr>
          <w:p w14:paraId="2E1E7E47" w14:textId="77777777" w:rsidR="009878D6" w:rsidRPr="00404CF4" w:rsidRDefault="00222C95" w:rsidP="00293120">
            <w:r w:rsidRPr="00404CF4">
              <w:t>Cita informācija</w:t>
            </w:r>
          </w:p>
        </w:tc>
        <w:tc>
          <w:tcPr>
            <w:tcW w:w="3239" w:type="pct"/>
            <w:hideMark/>
          </w:tcPr>
          <w:p w14:paraId="2E1E7E48" w14:textId="77777777" w:rsidR="009878D6" w:rsidRPr="00404CF4" w:rsidRDefault="00222C95" w:rsidP="00EA3D31">
            <w:pPr>
              <w:ind w:firstLine="108"/>
            </w:pPr>
            <w:r w:rsidRPr="00404CF4">
              <w:t>Nav.</w:t>
            </w:r>
          </w:p>
        </w:tc>
      </w:tr>
    </w:tbl>
    <w:p w14:paraId="2E1E7E4A" w14:textId="77777777" w:rsidR="004E4DD9" w:rsidRPr="00404CF4"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90"/>
        <w:gridCol w:w="1888"/>
        <w:gridCol w:w="379"/>
        <w:gridCol w:w="2128"/>
      </w:tblGrid>
      <w:tr w:rsidR="00D04073" w:rsidRPr="00404CF4" w14:paraId="2E1E7E4C" w14:textId="77777777" w:rsidTr="00E92DFB">
        <w:trPr>
          <w:cantSplit/>
        </w:trPr>
        <w:tc>
          <w:tcPr>
            <w:tcW w:w="5000" w:type="pct"/>
            <w:gridSpan w:val="5"/>
            <w:vAlign w:val="center"/>
            <w:hideMark/>
          </w:tcPr>
          <w:p w14:paraId="2E1E7E4B"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2E1E7E50" w14:textId="77777777" w:rsidTr="00E92DFB">
        <w:trPr>
          <w:cantSplit/>
        </w:trPr>
        <w:tc>
          <w:tcPr>
            <w:tcW w:w="1588" w:type="pct"/>
            <w:hideMark/>
          </w:tcPr>
          <w:p w14:paraId="2E1E7E4D" w14:textId="77777777" w:rsidR="00BD5588" w:rsidRPr="00404CF4" w:rsidRDefault="00222C95" w:rsidP="00E273A1">
            <w:r w:rsidRPr="00404CF4">
              <w:t>Attiecīgā ES tiesību akta datums, numurs un nosaukums</w:t>
            </w:r>
          </w:p>
        </w:tc>
        <w:tc>
          <w:tcPr>
            <w:tcW w:w="3412" w:type="pct"/>
            <w:gridSpan w:val="4"/>
            <w:hideMark/>
          </w:tcPr>
          <w:p w14:paraId="2E1E7E4F" w14:textId="59159139" w:rsidR="004E4DD9" w:rsidRPr="00404CF4" w:rsidRDefault="00D74393" w:rsidP="007B5F34">
            <w:r w:rsidRPr="00404CF4">
              <w:t>Direktīva 2005/36/EK</w:t>
            </w:r>
          </w:p>
        </w:tc>
      </w:tr>
      <w:tr w:rsidR="00D04073" w:rsidRPr="00404CF4" w14:paraId="2E1E7E55" w14:textId="77777777" w:rsidTr="00E92DFB">
        <w:trPr>
          <w:cantSplit/>
        </w:trPr>
        <w:tc>
          <w:tcPr>
            <w:tcW w:w="1588" w:type="pct"/>
            <w:vAlign w:val="center"/>
            <w:hideMark/>
          </w:tcPr>
          <w:p w14:paraId="2E1E7E51" w14:textId="77777777" w:rsidR="00BD5588" w:rsidRPr="00404CF4" w:rsidRDefault="00222C95" w:rsidP="00E273A1">
            <w:pPr>
              <w:jc w:val="center"/>
            </w:pPr>
            <w:r w:rsidRPr="00404CF4">
              <w:t>A</w:t>
            </w:r>
          </w:p>
        </w:tc>
        <w:tc>
          <w:tcPr>
            <w:tcW w:w="1026" w:type="pct"/>
            <w:vAlign w:val="center"/>
            <w:hideMark/>
          </w:tcPr>
          <w:p w14:paraId="2E1E7E52" w14:textId="77777777" w:rsidR="00BD5588" w:rsidRPr="00404CF4" w:rsidRDefault="00222C95" w:rsidP="00E273A1">
            <w:pPr>
              <w:jc w:val="center"/>
            </w:pPr>
            <w:r w:rsidRPr="00404CF4">
              <w:t>B</w:t>
            </w:r>
          </w:p>
        </w:tc>
        <w:tc>
          <w:tcPr>
            <w:tcW w:w="1231" w:type="pct"/>
            <w:gridSpan w:val="2"/>
            <w:vAlign w:val="center"/>
            <w:hideMark/>
          </w:tcPr>
          <w:p w14:paraId="2E1E7E53" w14:textId="77777777" w:rsidR="00BD5588" w:rsidRPr="00404CF4" w:rsidRDefault="00222C95" w:rsidP="00E273A1">
            <w:pPr>
              <w:jc w:val="center"/>
            </w:pPr>
            <w:r w:rsidRPr="00404CF4">
              <w:t>C</w:t>
            </w:r>
          </w:p>
        </w:tc>
        <w:tc>
          <w:tcPr>
            <w:tcW w:w="1155" w:type="pct"/>
            <w:vAlign w:val="center"/>
            <w:hideMark/>
          </w:tcPr>
          <w:p w14:paraId="2E1E7E54" w14:textId="77777777" w:rsidR="00BD5588" w:rsidRPr="00404CF4" w:rsidRDefault="00222C95" w:rsidP="00E273A1">
            <w:pPr>
              <w:jc w:val="center"/>
            </w:pPr>
            <w:r w:rsidRPr="00404CF4">
              <w:t>D</w:t>
            </w:r>
          </w:p>
        </w:tc>
      </w:tr>
      <w:tr w:rsidR="00D04073" w:rsidRPr="00404CF4" w14:paraId="2E1E7E5A" w14:textId="77777777" w:rsidTr="00E92DFB">
        <w:tc>
          <w:tcPr>
            <w:tcW w:w="1588" w:type="pct"/>
            <w:hideMark/>
          </w:tcPr>
          <w:p w14:paraId="2E1E7E56" w14:textId="77777777" w:rsidR="00BD5588" w:rsidRPr="00404CF4" w:rsidRDefault="00222C95" w:rsidP="00E273A1">
            <w:r w:rsidRPr="00404CF4">
              <w:t>Attiecīgā ES tiesību akta panta numurs (uzskaitot katru tiesību akta vienību – pantu, daļu, punktu, apakšpunktu)</w:t>
            </w:r>
          </w:p>
        </w:tc>
        <w:tc>
          <w:tcPr>
            <w:tcW w:w="1026" w:type="pct"/>
            <w:hideMark/>
          </w:tcPr>
          <w:p w14:paraId="2E1E7E57"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31" w:type="pct"/>
            <w:gridSpan w:val="2"/>
            <w:hideMark/>
          </w:tcPr>
          <w:p w14:paraId="2E1E7E58"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155" w:type="pct"/>
            <w:hideMark/>
          </w:tcPr>
          <w:p w14:paraId="2E1E7E59"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Norāda iespējamās alternatīvas (t. sk. alternatīvas, kas neparedz tiesiskā regulējuma izstrādi) – kādos gadījumos būtu iespējams izvairīties no stingrāku prasību noteikšanas, nekā paredzēts attiecīgajos ES tiesību aktos</w:t>
            </w:r>
          </w:p>
        </w:tc>
      </w:tr>
      <w:tr w:rsidR="000120C1" w:rsidRPr="00404CF4" w14:paraId="2E1E7E5F" w14:textId="77777777" w:rsidTr="00E92DFB">
        <w:trPr>
          <w:cantSplit/>
        </w:trPr>
        <w:tc>
          <w:tcPr>
            <w:tcW w:w="1588" w:type="pct"/>
          </w:tcPr>
          <w:p w14:paraId="2E1E7E5B" w14:textId="77777777" w:rsidR="000120C1" w:rsidRPr="00FE1DFC" w:rsidRDefault="000120C1" w:rsidP="000120C1">
            <w:r w:rsidRPr="00FE1DFC">
              <w:t>Direktīvas 2005/36/E</w:t>
            </w:r>
            <w:r w:rsidR="00FB4D5D" w:rsidRPr="00FE1DFC">
              <w:t>K 25. panta 3.punkta otrais teikums</w:t>
            </w:r>
          </w:p>
        </w:tc>
        <w:tc>
          <w:tcPr>
            <w:tcW w:w="1026" w:type="pct"/>
          </w:tcPr>
          <w:p w14:paraId="2E1E7E5C" w14:textId="77777777" w:rsidR="000120C1" w:rsidRPr="00FE1DFC" w:rsidRDefault="000120C1" w:rsidP="000120C1">
            <w:pPr>
              <w:ind w:left="57"/>
            </w:pPr>
            <w:r w:rsidRPr="00FE1DFC">
              <w:t xml:space="preserve">Noteikumu projekta </w:t>
            </w:r>
            <w:r w:rsidR="00FE1DFC" w:rsidRPr="00FE1DFC">
              <w:t>1</w:t>
            </w:r>
            <w:r w:rsidR="004554FE">
              <w:t>4</w:t>
            </w:r>
            <w:r w:rsidRPr="00FE1DFC">
              <w:t>. p</w:t>
            </w:r>
            <w:r w:rsidR="00FB4D5D" w:rsidRPr="00FE1DFC">
              <w:t>unkts (par noteikumu Nr.315 5. punktu</w:t>
            </w:r>
            <w:r w:rsidRPr="00FE1DFC">
              <w:t xml:space="preserve">) </w:t>
            </w:r>
          </w:p>
        </w:tc>
        <w:tc>
          <w:tcPr>
            <w:tcW w:w="1231" w:type="pct"/>
            <w:gridSpan w:val="2"/>
          </w:tcPr>
          <w:p w14:paraId="2E1E7E5D" w14:textId="77777777" w:rsidR="000120C1" w:rsidRPr="00FE1DFC" w:rsidRDefault="000120C1" w:rsidP="000120C1">
            <w:pPr>
              <w:ind w:left="57"/>
            </w:pPr>
            <w:r w:rsidRPr="00FE1DFC">
              <w:t>Tiks ieviesta pilnībā</w:t>
            </w:r>
          </w:p>
        </w:tc>
        <w:tc>
          <w:tcPr>
            <w:tcW w:w="1155" w:type="pct"/>
          </w:tcPr>
          <w:p w14:paraId="2E1E7E5E" w14:textId="77777777" w:rsidR="000120C1" w:rsidRPr="00C07EB2" w:rsidRDefault="00712F12" w:rsidP="000120C1">
            <w:pPr>
              <w:ind w:left="57"/>
            </w:pPr>
            <w:r w:rsidRPr="00FE1DFC">
              <w:t>Neparedzēs stingrākas prasības</w:t>
            </w:r>
          </w:p>
        </w:tc>
      </w:tr>
      <w:tr w:rsidR="00FE1DFC" w:rsidRPr="00404CF4" w14:paraId="2E1E7E64" w14:textId="77777777" w:rsidTr="00E92DFB">
        <w:trPr>
          <w:cantSplit/>
        </w:trPr>
        <w:tc>
          <w:tcPr>
            <w:tcW w:w="1588" w:type="pct"/>
          </w:tcPr>
          <w:p w14:paraId="2E1E7E60" w14:textId="77777777" w:rsidR="00FE1DFC" w:rsidRPr="00C07EB2" w:rsidRDefault="00FE1DFC" w:rsidP="00FE1DFC">
            <w:r w:rsidRPr="00FE1DFC">
              <w:lastRenderedPageBreak/>
              <w:t xml:space="preserve">Direktīvas 2005/36/EK </w:t>
            </w:r>
            <w:r>
              <w:t>28. panta 3.punkts</w:t>
            </w:r>
          </w:p>
        </w:tc>
        <w:tc>
          <w:tcPr>
            <w:tcW w:w="1026" w:type="pct"/>
          </w:tcPr>
          <w:p w14:paraId="2E1E7E61" w14:textId="77777777" w:rsidR="00FE1DFC" w:rsidRPr="00C07EB2" w:rsidRDefault="00FE1DFC" w:rsidP="00FE1DFC">
            <w:pPr>
              <w:ind w:left="57"/>
            </w:pPr>
            <w:r w:rsidRPr="00FE1DFC">
              <w:t xml:space="preserve">Noteikumu projekta </w:t>
            </w:r>
            <w:r w:rsidR="004554FE">
              <w:t>15</w:t>
            </w:r>
            <w:r w:rsidRPr="00FE1DFC">
              <w:t>. p</w:t>
            </w:r>
            <w:r>
              <w:t>unkts (par noteikumu Nr.315 6</w:t>
            </w:r>
            <w:r w:rsidRPr="00FE1DFC">
              <w:t xml:space="preserve">. punktu) </w:t>
            </w:r>
          </w:p>
        </w:tc>
        <w:tc>
          <w:tcPr>
            <w:tcW w:w="1231" w:type="pct"/>
            <w:gridSpan w:val="2"/>
          </w:tcPr>
          <w:p w14:paraId="2E1E7E62" w14:textId="77777777" w:rsidR="00FE1DFC" w:rsidRPr="00C07EB2" w:rsidRDefault="00FE1DFC" w:rsidP="00FE1DFC">
            <w:pPr>
              <w:ind w:left="57"/>
            </w:pPr>
            <w:r w:rsidRPr="00FE1DFC">
              <w:t>Tiks ieviesta pilnībā</w:t>
            </w:r>
          </w:p>
        </w:tc>
        <w:tc>
          <w:tcPr>
            <w:tcW w:w="1155" w:type="pct"/>
          </w:tcPr>
          <w:p w14:paraId="2E1E7E63" w14:textId="77777777" w:rsidR="00FE1DFC" w:rsidRDefault="00FE1DFC" w:rsidP="00FE1DFC">
            <w:pPr>
              <w:ind w:left="57"/>
            </w:pPr>
            <w:r w:rsidRPr="00FE1DFC">
              <w:t>Neparedzēs stingrākas prasības</w:t>
            </w:r>
          </w:p>
        </w:tc>
      </w:tr>
      <w:tr w:rsidR="00FE1E25" w:rsidRPr="00404CF4" w14:paraId="34D7550B" w14:textId="77777777" w:rsidTr="00E92DFB">
        <w:trPr>
          <w:cantSplit/>
        </w:trPr>
        <w:tc>
          <w:tcPr>
            <w:tcW w:w="1588" w:type="pct"/>
          </w:tcPr>
          <w:p w14:paraId="1B1C0836" w14:textId="0C047384" w:rsidR="00FE1E25" w:rsidRPr="00FE1DFC" w:rsidRDefault="00326A4A" w:rsidP="00FE1DFC">
            <w:r>
              <w:t>Direktīvas 2005/36/EK V pielikuma 5.1.3. punkts</w:t>
            </w:r>
          </w:p>
        </w:tc>
        <w:tc>
          <w:tcPr>
            <w:tcW w:w="1026" w:type="pct"/>
          </w:tcPr>
          <w:p w14:paraId="1D73C29B" w14:textId="74EBF2AC" w:rsidR="00FE1E25" w:rsidRPr="00FE1DFC" w:rsidRDefault="0091716F" w:rsidP="00FE1DFC">
            <w:pPr>
              <w:ind w:left="57"/>
            </w:pPr>
            <w:r>
              <w:t>Noteikumu projekta 6., 8., 9., un 12. punkts (par grozījumiem noteikumu Nr. 315 4.</w:t>
            </w:r>
            <w:r w:rsidR="001D1334">
              <w:t> </w:t>
            </w:r>
            <w:bookmarkStart w:id="0" w:name="_GoBack"/>
            <w:bookmarkEnd w:id="0"/>
            <w:r>
              <w:t>punktā)</w:t>
            </w:r>
          </w:p>
        </w:tc>
        <w:tc>
          <w:tcPr>
            <w:tcW w:w="1231" w:type="pct"/>
            <w:gridSpan w:val="2"/>
          </w:tcPr>
          <w:p w14:paraId="7CFD769E" w14:textId="77777777" w:rsidR="00FE1E25" w:rsidRPr="00FE1DFC" w:rsidRDefault="00FE1E25" w:rsidP="00FE1DFC">
            <w:pPr>
              <w:ind w:left="57"/>
            </w:pPr>
          </w:p>
        </w:tc>
        <w:tc>
          <w:tcPr>
            <w:tcW w:w="1155" w:type="pct"/>
          </w:tcPr>
          <w:p w14:paraId="22BC8216" w14:textId="77777777" w:rsidR="00FE1E25" w:rsidRPr="00FE1DFC" w:rsidRDefault="00FE1E25" w:rsidP="00FE1DFC">
            <w:pPr>
              <w:ind w:left="57"/>
            </w:pPr>
          </w:p>
        </w:tc>
      </w:tr>
      <w:tr w:rsidR="00FE1DFC" w:rsidRPr="00404CF4" w14:paraId="2E1E7E67" w14:textId="77777777" w:rsidTr="00E92DFB">
        <w:tc>
          <w:tcPr>
            <w:tcW w:w="1588" w:type="pct"/>
            <w:hideMark/>
          </w:tcPr>
          <w:p w14:paraId="2E1E7E65" w14:textId="77777777" w:rsidR="00FE1DFC" w:rsidRPr="00404CF4" w:rsidRDefault="00FE1DFC" w:rsidP="00FE1DFC">
            <w:r w:rsidRPr="00404CF4">
              <w:t>Kā ir izmantota ES tiesību aktā paredzētā rīcības brīvība dalībvalstij pārņemt vai ieviest noteiktas ES tiesību akta normas? Kādēļ?</w:t>
            </w:r>
          </w:p>
        </w:tc>
        <w:tc>
          <w:tcPr>
            <w:tcW w:w="3412" w:type="pct"/>
            <w:gridSpan w:val="4"/>
            <w:hideMark/>
          </w:tcPr>
          <w:p w14:paraId="2E1E7E66" w14:textId="77777777" w:rsidR="00FE1DFC" w:rsidRPr="00404CF4" w:rsidRDefault="00B759E6" w:rsidP="00FE1DFC">
            <w:pPr>
              <w:ind w:firstLine="108"/>
              <w:jc w:val="both"/>
            </w:pPr>
            <w:r w:rsidRPr="00B759E6">
              <w:t>Projekts šo jomu neskar.</w:t>
            </w:r>
          </w:p>
        </w:tc>
      </w:tr>
      <w:tr w:rsidR="00FE1DFC" w:rsidRPr="00404CF4" w14:paraId="2E1E7E6C" w14:textId="77777777" w:rsidTr="00E92DFB">
        <w:tc>
          <w:tcPr>
            <w:tcW w:w="1588" w:type="pct"/>
            <w:hideMark/>
          </w:tcPr>
          <w:p w14:paraId="2E1E7E68" w14:textId="77777777" w:rsidR="00FE1DFC" w:rsidRPr="00404CF4" w:rsidRDefault="00FE1DFC" w:rsidP="00FE1DFC">
            <w:r w:rsidRPr="00404CF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2" w:type="pct"/>
            <w:gridSpan w:val="4"/>
            <w:hideMark/>
          </w:tcPr>
          <w:p w14:paraId="2E1E7E69" w14:textId="77777777" w:rsidR="00FE1DFC" w:rsidRPr="00404CF4" w:rsidRDefault="00FE1DFC" w:rsidP="00FE1DFC">
            <w:pPr>
              <w:ind w:firstLine="108"/>
            </w:pPr>
            <w:r w:rsidRPr="00404CF4">
              <w:t>Projekts šo jomu neskar.</w:t>
            </w:r>
          </w:p>
          <w:p w14:paraId="2E1E7E6A" w14:textId="77777777" w:rsidR="00FE1DFC" w:rsidRPr="00404CF4" w:rsidRDefault="00FE1DFC" w:rsidP="00FE1DFC">
            <w:pPr>
              <w:ind w:firstLine="108"/>
            </w:pPr>
          </w:p>
          <w:p w14:paraId="2E1E7E6B" w14:textId="77777777" w:rsidR="00FE1DFC" w:rsidRPr="00404CF4" w:rsidRDefault="00FE1DFC" w:rsidP="00FE1DFC">
            <w:pPr>
              <w:ind w:firstLine="108"/>
            </w:pPr>
          </w:p>
        </w:tc>
      </w:tr>
      <w:tr w:rsidR="00FE1DFC" w:rsidRPr="00404CF4" w14:paraId="2E1E7E6F" w14:textId="77777777" w:rsidTr="00E92DFB">
        <w:trPr>
          <w:cantSplit/>
        </w:trPr>
        <w:tc>
          <w:tcPr>
            <w:tcW w:w="1588" w:type="pct"/>
            <w:hideMark/>
          </w:tcPr>
          <w:p w14:paraId="2E1E7E6D" w14:textId="77777777" w:rsidR="00FE1DFC" w:rsidRPr="00404CF4" w:rsidRDefault="00FE1DFC" w:rsidP="00FE1DFC">
            <w:r w:rsidRPr="00404CF4">
              <w:t>Cita informācija</w:t>
            </w:r>
          </w:p>
        </w:tc>
        <w:tc>
          <w:tcPr>
            <w:tcW w:w="3412" w:type="pct"/>
            <w:gridSpan w:val="4"/>
            <w:hideMark/>
          </w:tcPr>
          <w:p w14:paraId="2E1E7E6E" w14:textId="77777777" w:rsidR="00FE1DFC" w:rsidRPr="00404CF4" w:rsidRDefault="00FE1DFC" w:rsidP="00FE1DFC">
            <w:pPr>
              <w:ind w:firstLine="108"/>
            </w:pPr>
            <w:r w:rsidRPr="00404CF4">
              <w:t>Nav.</w:t>
            </w:r>
          </w:p>
        </w:tc>
      </w:tr>
      <w:tr w:rsidR="00FE1DFC" w:rsidRPr="00404CF4" w14:paraId="2E1E7E71" w14:textId="77777777" w:rsidTr="00E92DFB">
        <w:trPr>
          <w:cantSplit/>
        </w:trPr>
        <w:tc>
          <w:tcPr>
            <w:tcW w:w="5000" w:type="pct"/>
            <w:gridSpan w:val="5"/>
            <w:vAlign w:val="center"/>
            <w:hideMark/>
          </w:tcPr>
          <w:p w14:paraId="2E1E7E70" w14:textId="77777777" w:rsidR="00FE1DFC" w:rsidRPr="00404CF4" w:rsidRDefault="00FE1DFC" w:rsidP="00FE1DFC">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FE1DFC" w:rsidRPr="00404CF4" w14:paraId="2E1E7E74" w14:textId="77777777" w:rsidTr="00E92DFB">
        <w:trPr>
          <w:cantSplit/>
        </w:trPr>
        <w:tc>
          <w:tcPr>
            <w:tcW w:w="1588" w:type="pct"/>
            <w:vAlign w:val="center"/>
          </w:tcPr>
          <w:p w14:paraId="2E1E7E72" w14:textId="77777777" w:rsidR="00FE1DFC" w:rsidRPr="00404CF4" w:rsidRDefault="00FE1DFC" w:rsidP="00FE1DFC">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412" w:type="pct"/>
            <w:gridSpan w:val="4"/>
          </w:tcPr>
          <w:p w14:paraId="2E1E7E73" w14:textId="77777777" w:rsidR="00FE1DFC" w:rsidRPr="00404CF4" w:rsidRDefault="00FE1DFC" w:rsidP="00FE1DFC">
            <w:pPr>
              <w:rPr>
                <w:bCs/>
              </w:rPr>
            </w:pPr>
            <w:r w:rsidRPr="00404CF4">
              <w:rPr>
                <w:bCs/>
              </w:rPr>
              <w:t>Projekts šo jomu neskar.</w:t>
            </w:r>
          </w:p>
        </w:tc>
      </w:tr>
      <w:tr w:rsidR="00FE1DFC" w:rsidRPr="00404CF4" w14:paraId="2E1E7E78" w14:textId="77777777" w:rsidTr="00E92DFB">
        <w:trPr>
          <w:cantSplit/>
        </w:trPr>
        <w:tc>
          <w:tcPr>
            <w:tcW w:w="1588" w:type="pct"/>
            <w:vAlign w:val="center"/>
          </w:tcPr>
          <w:p w14:paraId="2E1E7E75" w14:textId="77777777" w:rsidR="00FE1DFC" w:rsidRPr="00404CF4" w:rsidRDefault="00FE1DFC" w:rsidP="00FE1DFC">
            <w:pPr>
              <w:jc w:val="center"/>
              <w:rPr>
                <w:bCs/>
              </w:rPr>
            </w:pPr>
            <w:r w:rsidRPr="00404CF4">
              <w:rPr>
                <w:bCs/>
              </w:rPr>
              <w:t>A</w:t>
            </w:r>
          </w:p>
        </w:tc>
        <w:tc>
          <w:tcPr>
            <w:tcW w:w="2051" w:type="pct"/>
            <w:gridSpan w:val="2"/>
            <w:vAlign w:val="center"/>
          </w:tcPr>
          <w:p w14:paraId="2E1E7E76" w14:textId="77777777" w:rsidR="00FE1DFC" w:rsidRPr="00404CF4" w:rsidRDefault="00FE1DFC" w:rsidP="00FE1DFC">
            <w:pPr>
              <w:jc w:val="center"/>
              <w:rPr>
                <w:bCs/>
              </w:rPr>
            </w:pPr>
            <w:r w:rsidRPr="00404CF4">
              <w:rPr>
                <w:bCs/>
              </w:rPr>
              <w:t>B</w:t>
            </w:r>
          </w:p>
        </w:tc>
        <w:tc>
          <w:tcPr>
            <w:tcW w:w="1361" w:type="pct"/>
            <w:gridSpan w:val="2"/>
            <w:vAlign w:val="center"/>
          </w:tcPr>
          <w:p w14:paraId="2E1E7E77" w14:textId="77777777" w:rsidR="00FE1DFC" w:rsidRPr="00404CF4" w:rsidRDefault="00FE1DFC" w:rsidP="00FE1DFC">
            <w:pPr>
              <w:jc w:val="center"/>
              <w:rPr>
                <w:bCs/>
              </w:rPr>
            </w:pPr>
            <w:r w:rsidRPr="00404CF4">
              <w:rPr>
                <w:bCs/>
              </w:rPr>
              <w:t>C</w:t>
            </w:r>
          </w:p>
        </w:tc>
      </w:tr>
      <w:tr w:rsidR="00FE1DFC" w:rsidRPr="00404CF4" w14:paraId="2E1E7E7C" w14:textId="77777777" w:rsidTr="00E92DFB">
        <w:trPr>
          <w:cantSplit/>
        </w:trPr>
        <w:tc>
          <w:tcPr>
            <w:tcW w:w="1588" w:type="pct"/>
          </w:tcPr>
          <w:p w14:paraId="2E1E7E79" w14:textId="77777777" w:rsidR="00FE1DFC" w:rsidRPr="00404CF4" w:rsidRDefault="00FE1DFC" w:rsidP="00FE1DFC">
            <w:pPr>
              <w:rPr>
                <w:bCs/>
              </w:rPr>
            </w:pPr>
            <w:r w:rsidRPr="00404CF4">
              <w:rPr>
                <w:shd w:val="clear" w:color="auto" w:fill="FFFFFF"/>
              </w:rPr>
              <w:lastRenderedPageBreak/>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51" w:type="pct"/>
            <w:gridSpan w:val="2"/>
          </w:tcPr>
          <w:p w14:paraId="2E1E7E7A" w14:textId="77777777" w:rsidR="00FE1DFC" w:rsidRPr="00404CF4" w:rsidRDefault="00FE1DFC" w:rsidP="00FE1DFC">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2E1E7E7B" w14:textId="77777777" w:rsidR="00FE1DFC" w:rsidRPr="00404CF4" w:rsidRDefault="00FE1DFC" w:rsidP="00FE1DFC">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FE1DFC" w:rsidRPr="00404CF4" w14:paraId="2E1E7E80" w14:textId="77777777" w:rsidTr="00E92DFB">
        <w:trPr>
          <w:cantSplit/>
        </w:trPr>
        <w:tc>
          <w:tcPr>
            <w:tcW w:w="1588" w:type="pct"/>
            <w:vAlign w:val="center"/>
          </w:tcPr>
          <w:p w14:paraId="2E1E7E7D" w14:textId="77777777" w:rsidR="00FE1DFC" w:rsidRPr="00404CF4" w:rsidRDefault="00FE1DFC" w:rsidP="00FE1DFC">
            <w:pPr>
              <w:rPr>
                <w:shd w:val="clear" w:color="auto" w:fill="FFFFFF"/>
              </w:rPr>
            </w:pPr>
            <w:r w:rsidRPr="00404CF4">
              <w:rPr>
                <w:shd w:val="clear" w:color="auto" w:fill="FFFFFF"/>
              </w:rPr>
              <w:t>-</w:t>
            </w:r>
          </w:p>
        </w:tc>
        <w:tc>
          <w:tcPr>
            <w:tcW w:w="2051" w:type="pct"/>
            <w:gridSpan w:val="2"/>
          </w:tcPr>
          <w:p w14:paraId="2E1E7E7E" w14:textId="77777777" w:rsidR="00FE1DFC" w:rsidRPr="00404CF4" w:rsidRDefault="00FE1DFC" w:rsidP="00FE1DFC">
            <w:pPr>
              <w:rPr>
                <w:shd w:val="clear" w:color="auto" w:fill="FFFFFF"/>
              </w:rPr>
            </w:pPr>
            <w:r w:rsidRPr="00404CF4">
              <w:rPr>
                <w:shd w:val="clear" w:color="auto" w:fill="FFFFFF"/>
              </w:rPr>
              <w:t>-</w:t>
            </w:r>
          </w:p>
        </w:tc>
        <w:tc>
          <w:tcPr>
            <w:tcW w:w="1361" w:type="pct"/>
            <w:gridSpan w:val="2"/>
            <w:vAlign w:val="center"/>
          </w:tcPr>
          <w:p w14:paraId="2E1E7E7F" w14:textId="77777777" w:rsidR="00FE1DFC" w:rsidRPr="00404CF4" w:rsidRDefault="00FE1DFC" w:rsidP="00FE1DFC">
            <w:pPr>
              <w:rPr>
                <w:shd w:val="clear" w:color="auto" w:fill="FFFFFF"/>
              </w:rPr>
            </w:pPr>
            <w:r w:rsidRPr="00404CF4">
              <w:rPr>
                <w:shd w:val="clear" w:color="auto" w:fill="FFFFFF"/>
              </w:rPr>
              <w:t>-</w:t>
            </w:r>
          </w:p>
        </w:tc>
      </w:tr>
      <w:tr w:rsidR="00FE1DFC" w:rsidRPr="00404CF4" w14:paraId="2E1E7E83" w14:textId="77777777" w:rsidTr="00E92DFB">
        <w:trPr>
          <w:cantSplit/>
        </w:trPr>
        <w:tc>
          <w:tcPr>
            <w:tcW w:w="1588" w:type="pct"/>
            <w:vAlign w:val="center"/>
          </w:tcPr>
          <w:p w14:paraId="2E1E7E81" w14:textId="77777777" w:rsidR="00FE1DFC" w:rsidRPr="00404CF4" w:rsidRDefault="00FE1DFC" w:rsidP="00FE1DFC">
            <w:pPr>
              <w:rPr>
                <w:bCs/>
              </w:rPr>
            </w:pPr>
            <w:r w:rsidRPr="00404CF4">
              <w:rPr>
                <w:shd w:val="clear" w:color="auto" w:fill="FFFFFF"/>
              </w:rPr>
              <w:t>Vai starptautiskajā dokumentā paredzētās saistības nav pretrunā ar jau esošajām Latvijas Republikas starptautiskajām saistībām</w:t>
            </w:r>
          </w:p>
        </w:tc>
        <w:tc>
          <w:tcPr>
            <w:tcW w:w="3412" w:type="pct"/>
            <w:gridSpan w:val="4"/>
          </w:tcPr>
          <w:p w14:paraId="2E1E7E82" w14:textId="77777777" w:rsidR="00FE1DFC" w:rsidRPr="00404CF4" w:rsidRDefault="00FE1DFC" w:rsidP="00FE1DFC">
            <w:pPr>
              <w:rPr>
                <w:bCs/>
              </w:rPr>
            </w:pPr>
            <w:r w:rsidRPr="00404CF4">
              <w:rPr>
                <w:bCs/>
              </w:rPr>
              <w:t>Projekts šo jomu neskar.</w:t>
            </w:r>
          </w:p>
        </w:tc>
      </w:tr>
      <w:tr w:rsidR="00FE1DFC" w:rsidRPr="00404CF4" w14:paraId="2E1E7E86" w14:textId="77777777" w:rsidTr="00E92DFB">
        <w:trPr>
          <w:cantSplit/>
        </w:trPr>
        <w:tc>
          <w:tcPr>
            <w:tcW w:w="1588" w:type="pct"/>
            <w:vAlign w:val="center"/>
          </w:tcPr>
          <w:p w14:paraId="2E1E7E84" w14:textId="77777777" w:rsidR="00FE1DFC" w:rsidRPr="00404CF4" w:rsidRDefault="00FE1DFC" w:rsidP="00FE1DFC">
            <w:pPr>
              <w:rPr>
                <w:shd w:val="clear" w:color="auto" w:fill="FFFFFF"/>
              </w:rPr>
            </w:pPr>
            <w:r w:rsidRPr="00404CF4">
              <w:rPr>
                <w:shd w:val="clear" w:color="auto" w:fill="FFFFFF"/>
              </w:rPr>
              <w:t>Cita informācija</w:t>
            </w:r>
          </w:p>
        </w:tc>
        <w:tc>
          <w:tcPr>
            <w:tcW w:w="3412" w:type="pct"/>
            <w:gridSpan w:val="4"/>
            <w:vAlign w:val="center"/>
          </w:tcPr>
          <w:p w14:paraId="2E1E7E85" w14:textId="77777777" w:rsidR="00FE1DFC" w:rsidRPr="00404CF4" w:rsidRDefault="00FE1DFC" w:rsidP="00FE1DFC">
            <w:pPr>
              <w:rPr>
                <w:bCs/>
              </w:rPr>
            </w:pPr>
            <w:r w:rsidRPr="00404CF4">
              <w:rPr>
                <w:bCs/>
              </w:rPr>
              <w:t>Nav</w:t>
            </w:r>
          </w:p>
        </w:tc>
      </w:tr>
    </w:tbl>
    <w:p w14:paraId="2E1E7E87" w14:textId="77777777" w:rsidR="00161647" w:rsidRPr="00404CF4"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E1E7E89" w14:textId="77777777" w:rsidTr="00E92DFB">
        <w:trPr>
          <w:cantSplit/>
        </w:trPr>
        <w:tc>
          <w:tcPr>
            <w:tcW w:w="5000" w:type="pct"/>
            <w:gridSpan w:val="3"/>
            <w:vAlign w:val="center"/>
            <w:hideMark/>
          </w:tcPr>
          <w:p w14:paraId="2E1E7E88"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2E1E7E8D" w14:textId="77777777" w:rsidTr="004554FE">
        <w:tc>
          <w:tcPr>
            <w:tcW w:w="306" w:type="pct"/>
            <w:shd w:val="clear" w:color="auto" w:fill="auto"/>
            <w:hideMark/>
          </w:tcPr>
          <w:p w14:paraId="2E1E7E8A" w14:textId="77777777" w:rsidR="00BD5588" w:rsidRPr="004554FE" w:rsidRDefault="00222C95" w:rsidP="00E273A1">
            <w:pPr>
              <w:jc w:val="center"/>
            </w:pPr>
            <w:r w:rsidRPr="004554FE">
              <w:t>1.</w:t>
            </w:r>
          </w:p>
        </w:tc>
        <w:tc>
          <w:tcPr>
            <w:tcW w:w="1456" w:type="pct"/>
            <w:shd w:val="clear" w:color="auto" w:fill="auto"/>
            <w:hideMark/>
          </w:tcPr>
          <w:p w14:paraId="2E1E7E8B" w14:textId="77777777" w:rsidR="00BD5588" w:rsidRPr="004554FE" w:rsidRDefault="00222C95" w:rsidP="00E273A1">
            <w:r w:rsidRPr="004554FE">
              <w:t>Plānotās sabiedrības līdzdalības un komunikācijas aktivitātes saistībā ar projektu</w:t>
            </w:r>
          </w:p>
        </w:tc>
        <w:tc>
          <w:tcPr>
            <w:tcW w:w="3239" w:type="pct"/>
            <w:shd w:val="clear" w:color="auto" w:fill="auto"/>
          </w:tcPr>
          <w:p w14:paraId="2E1E7E8C" w14:textId="77777777" w:rsidR="00161647" w:rsidRPr="00404CF4" w:rsidRDefault="00222C95" w:rsidP="00675EA9">
            <w:pPr>
              <w:ind w:firstLine="108"/>
              <w:jc w:val="both"/>
            </w:pPr>
            <w:r w:rsidRPr="004554FE">
              <w:t>Noteikumu projekt</w:t>
            </w:r>
            <w:r w:rsidR="00B4753B" w:rsidRPr="004554FE">
              <w:t xml:space="preserve">s </w:t>
            </w:r>
            <w:r w:rsidR="00675EA9">
              <w:t>pirms izsludināšanas Valsts sekretāru sanāksmē</w:t>
            </w:r>
            <w:r w:rsidR="004554FE" w:rsidRPr="004554FE">
              <w:t xml:space="preserve"> tiks</w:t>
            </w:r>
            <w:r w:rsidRPr="004554FE">
              <w:t xml:space="preserve"> publicēt</w:t>
            </w:r>
            <w:r w:rsidR="00B4753B" w:rsidRPr="004554FE">
              <w:t>s</w:t>
            </w:r>
            <w:r w:rsidRPr="004554FE">
              <w:t xml:space="preserve"> ministrijas tīmekļa vietnē</w:t>
            </w:r>
            <w:r w:rsidR="00AC511B" w:rsidRPr="004554FE">
              <w:t xml:space="preserve"> </w:t>
            </w:r>
            <w:r w:rsidR="004554FE">
              <w:t>un Veselības ministrijai, Latvijas Universitātei, Rīgas Stradiņa universitātei un Latvijas Ārstu biedrībai par to tiks nosūtīts informatīvs e-pasts.</w:t>
            </w:r>
          </w:p>
        </w:tc>
      </w:tr>
      <w:tr w:rsidR="001B1B15" w:rsidRPr="00404CF4" w14:paraId="2E1E7E92" w14:textId="77777777" w:rsidTr="00E92DFB">
        <w:trPr>
          <w:cantSplit/>
        </w:trPr>
        <w:tc>
          <w:tcPr>
            <w:tcW w:w="306" w:type="pct"/>
            <w:hideMark/>
          </w:tcPr>
          <w:p w14:paraId="2E1E7E8E" w14:textId="77777777" w:rsidR="00BD5588" w:rsidRPr="00404CF4" w:rsidRDefault="00222C95" w:rsidP="00E273A1">
            <w:pPr>
              <w:jc w:val="center"/>
            </w:pPr>
            <w:r w:rsidRPr="00404CF4">
              <w:t>2.</w:t>
            </w:r>
          </w:p>
        </w:tc>
        <w:tc>
          <w:tcPr>
            <w:tcW w:w="1456" w:type="pct"/>
            <w:hideMark/>
          </w:tcPr>
          <w:p w14:paraId="2E1E7E8F" w14:textId="77777777" w:rsidR="00BD5588" w:rsidRPr="00404CF4" w:rsidRDefault="00222C95" w:rsidP="00E273A1">
            <w:r w:rsidRPr="00404CF4">
              <w:t>Sabiedrības līdzdalība projekta izstrādē</w:t>
            </w:r>
          </w:p>
        </w:tc>
        <w:tc>
          <w:tcPr>
            <w:tcW w:w="3239" w:type="pct"/>
          </w:tcPr>
          <w:p w14:paraId="2E1E7E90" w14:textId="2B0E814B" w:rsidR="00B759E6" w:rsidRDefault="00B759E6" w:rsidP="00B759E6">
            <w:pPr>
              <w:pStyle w:val="naisnod"/>
              <w:spacing w:before="0" w:after="0"/>
              <w:ind w:right="57" w:firstLine="108"/>
              <w:jc w:val="both"/>
              <w:rPr>
                <w:b w:val="0"/>
              </w:rPr>
            </w:pPr>
            <w:r>
              <w:rPr>
                <w:b w:val="0"/>
              </w:rPr>
              <w:t>Noteiku</w:t>
            </w:r>
            <w:r w:rsidR="004554FE">
              <w:rPr>
                <w:b w:val="0"/>
              </w:rPr>
              <w:t>mu projekta izstrādes laikā tiks</w:t>
            </w:r>
            <w:r>
              <w:rPr>
                <w:b w:val="0"/>
              </w:rPr>
              <w:t xml:space="preserve"> veikta konsultēšanās ar medicīniskās izglītības ekspertiem Veselības ministrijā, Rīgas Stradiņa universitātē,</w:t>
            </w:r>
            <w:r w:rsidR="004554FE">
              <w:rPr>
                <w:b w:val="0"/>
              </w:rPr>
              <w:t xml:space="preserve"> Latvijas Unive</w:t>
            </w:r>
            <w:r w:rsidR="00477D3F">
              <w:rPr>
                <w:b w:val="0"/>
              </w:rPr>
              <w:t>rs</w:t>
            </w:r>
            <w:r w:rsidR="004554FE">
              <w:rPr>
                <w:b w:val="0"/>
              </w:rPr>
              <w:t>itātē,</w:t>
            </w:r>
            <w:r>
              <w:rPr>
                <w:b w:val="0"/>
              </w:rPr>
              <w:t xml:space="preserve"> Latvijas Ārstu biedrībā. </w:t>
            </w:r>
          </w:p>
          <w:p w14:paraId="2E1E7E91" w14:textId="77777777" w:rsidR="00B4753B" w:rsidRPr="00404CF4" w:rsidRDefault="002F4583" w:rsidP="00B759E6">
            <w:pPr>
              <w:pStyle w:val="naisnod"/>
              <w:spacing w:before="0" w:after="0"/>
              <w:ind w:right="57" w:firstLine="108"/>
              <w:jc w:val="both"/>
              <w:rPr>
                <w:b w:val="0"/>
              </w:rPr>
            </w:pPr>
            <w:r>
              <w:rPr>
                <w:b w:val="0"/>
              </w:rPr>
              <w:t>S</w:t>
            </w:r>
            <w:r w:rsidR="00B759E6">
              <w:rPr>
                <w:b w:val="0"/>
              </w:rPr>
              <w:t>abiedrības pārstāvji var</w:t>
            </w:r>
            <w:r w:rsidR="004554FE">
              <w:rPr>
                <w:b w:val="0"/>
              </w:rPr>
              <w:t>ēs</w:t>
            </w:r>
            <w:r w:rsidR="00B4753B" w:rsidRPr="00404CF4">
              <w:rPr>
                <w:b w:val="0"/>
              </w:rPr>
              <w:t xml:space="preserve"> līdzdarboties noteikumu projekta </w:t>
            </w:r>
            <w:r>
              <w:rPr>
                <w:b w:val="0"/>
              </w:rPr>
              <w:t>apspriešanā</w:t>
            </w:r>
            <w:r w:rsidR="00B4753B" w:rsidRPr="00404CF4">
              <w:rPr>
                <w:b w:val="0"/>
              </w:rPr>
              <w:t>, sniedzot viedokli par projektu, kas publicēts ministrijas tīmekļa vietnē</w:t>
            </w:r>
            <w:r w:rsidR="00B759E6">
              <w:rPr>
                <w:b w:val="0"/>
              </w:rPr>
              <w:t>.</w:t>
            </w:r>
          </w:p>
        </w:tc>
      </w:tr>
      <w:tr w:rsidR="001B1B15" w:rsidRPr="00404CF4" w14:paraId="2E1E7E97" w14:textId="77777777" w:rsidTr="00E92DFB">
        <w:trPr>
          <w:cantSplit/>
        </w:trPr>
        <w:tc>
          <w:tcPr>
            <w:tcW w:w="306" w:type="pct"/>
            <w:hideMark/>
          </w:tcPr>
          <w:p w14:paraId="2E1E7E93" w14:textId="77777777" w:rsidR="00BD5588" w:rsidRPr="00404CF4" w:rsidRDefault="00222C95" w:rsidP="00E273A1">
            <w:pPr>
              <w:jc w:val="center"/>
            </w:pPr>
            <w:r w:rsidRPr="00404CF4">
              <w:t>3.</w:t>
            </w:r>
          </w:p>
        </w:tc>
        <w:tc>
          <w:tcPr>
            <w:tcW w:w="1456" w:type="pct"/>
            <w:hideMark/>
          </w:tcPr>
          <w:p w14:paraId="2E1E7E94" w14:textId="77777777" w:rsidR="00BD5588" w:rsidRPr="00404CF4" w:rsidRDefault="00222C95" w:rsidP="00E273A1">
            <w:r w:rsidRPr="00404CF4">
              <w:t>Sabiedrības līdzdalības rezultāti</w:t>
            </w:r>
          </w:p>
        </w:tc>
        <w:tc>
          <w:tcPr>
            <w:tcW w:w="3239" w:type="pct"/>
          </w:tcPr>
          <w:p w14:paraId="2E1E7E95" w14:textId="6682DE5B" w:rsidR="00376B3F" w:rsidRDefault="00376B3F" w:rsidP="00376B3F">
            <w:pPr>
              <w:ind w:firstLine="108"/>
              <w:jc w:val="both"/>
            </w:pPr>
            <w:r>
              <w:t xml:space="preserve">Saņemtie ekspertu viedokļi </w:t>
            </w:r>
            <w:r w:rsidR="00477D3F">
              <w:t xml:space="preserve">iespēju robežās </w:t>
            </w:r>
            <w:r>
              <w:t>tik</w:t>
            </w:r>
            <w:r w:rsidR="00477D3F">
              <w:t>s</w:t>
            </w:r>
            <w:r>
              <w:t xml:space="preserve"> ņemti</w:t>
            </w:r>
            <w:r w:rsidR="00477D3F">
              <w:t xml:space="preserve"> vērā</w:t>
            </w:r>
            <w:r>
              <w:t xml:space="preserve"> noteikumu projekta izstrādē.</w:t>
            </w:r>
          </w:p>
          <w:p w14:paraId="2E1E7E96" w14:textId="77777777" w:rsidR="00812E5A" w:rsidRPr="00404CF4" w:rsidRDefault="00812E5A" w:rsidP="00376B3F">
            <w:pPr>
              <w:ind w:firstLine="108"/>
              <w:jc w:val="both"/>
            </w:pPr>
          </w:p>
        </w:tc>
      </w:tr>
      <w:tr w:rsidR="001B1B15" w:rsidRPr="00404CF4" w14:paraId="2E1E7E9C" w14:textId="77777777" w:rsidTr="00E92DFB">
        <w:trPr>
          <w:cantSplit/>
        </w:trPr>
        <w:tc>
          <w:tcPr>
            <w:tcW w:w="306" w:type="pct"/>
            <w:hideMark/>
          </w:tcPr>
          <w:p w14:paraId="2E1E7E98" w14:textId="77777777" w:rsidR="00BD5588" w:rsidRPr="00404CF4" w:rsidRDefault="00222C95" w:rsidP="00E273A1">
            <w:pPr>
              <w:jc w:val="center"/>
            </w:pPr>
            <w:r w:rsidRPr="00404CF4">
              <w:t>4.</w:t>
            </w:r>
          </w:p>
        </w:tc>
        <w:tc>
          <w:tcPr>
            <w:tcW w:w="1456" w:type="pct"/>
            <w:hideMark/>
          </w:tcPr>
          <w:p w14:paraId="2E1E7E99" w14:textId="77777777" w:rsidR="00BD5588" w:rsidRPr="00404CF4" w:rsidRDefault="00222C95" w:rsidP="00E273A1">
            <w:r w:rsidRPr="00404CF4">
              <w:t>Cita informācija</w:t>
            </w:r>
          </w:p>
        </w:tc>
        <w:tc>
          <w:tcPr>
            <w:tcW w:w="3239" w:type="pct"/>
            <w:hideMark/>
          </w:tcPr>
          <w:p w14:paraId="2E1E7E9A" w14:textId="77777777" w:rsidR="00BD5588" w:rsidRPr="00404CF4" w:rsidRDefault="00222C95" w:rsidP="00EA3D31">
            <w:pPr>
              <w:ind w:firstLine="108"/>
            </w:pPr>
            <w:r w:rsidRPr="00404CF4">
              <w:t>Nav</w:t>
            </w:r>
            <w:r w:rsidR="00EA3D31" w:rsidRPr="00404CF4">
              <w:t>.</w:t>
            </w:r>
          </w:p>
          <w:p w14:paraId="2E1E7E9B" w14:textId="77777777" w:rsidR="00161647" w:rsidRPr="00404CF4" w:rsidRDefault="00161647" w:rsidP="00EA3D31">
            <w:pPr>
              <w:ind w:firstLine="108"/>
            </w:pPr>
          </w:p>
        </w:tc>
      </w:tr>
    </w:tbl>
    <w:p w14:paraId="2E1E7E9D" w14:textId="77777777" w:rsidR="00161647" w:rsidRPr="00404CF4"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E1E7EA0" w14:textId="77777777" w:rsidTr="00E92DFB">
        <w:trPr>
          <w:cantSplit/>
          <w:trHeight w:val="669"/>
        </w:trPr>
        <w:tc>
          <w:tcPr>
            <w:tcW w:w="5000" w:type="pct"/>
            <w:gridSpan w:val="3"/>
            <w:vAlign w:val="center"/>
            <w:hideMark/>
          </w:tcPr>
          <w:p w14:paraId="2E1E7E9E"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2E1E7E9F" w14:textId="77777777" w:rsidR="00CE1FA4" w:rsidRPr="00404CF4" w:rsidRDefault="00CE1FA4" w:rsidP="00D21A8A"/>
        </w:tc>
      </w:tr>
      <w:tr w:rsidR="001B1B15" w:rsidRPr="00C07EB2" w14:paraId="2E1E7EA5" w14:textId="77777777" w:rsidTr="00E92DFB">
        <w:trPr>
          <w:cantSplit/>
        </w:trPr>
        <w:tc>
          <w:tcPr>
            <w:tcW w:w="306" w:type="pct"/>
            <w:hideMark/>
          </w:tcPr>
          <w:p w14:paraId="2E1E7EA1" w14:textId="77777777" w:rsidR="00BD5588" w:rsidRPr="00C07EB2" w:rsidRDefault="00222C95" w:rsidP="00E273A1">
            <w:pPr>
              <w:jc w:val="center"/>
            </w:pPr>
            <w:r w:rsidRPr="00C07EB2">
              <w:t>1.</w:t>
            </w:r>
          </w:p>
        </w:tc>
        <w:tc>
          <w:tcPr>
            <w:tcW w:w="1456" w:type="pct"/>
            <w:hideMark/>
          </w:tcPr>
          <w:p w14:paraId="2E1E7EA2" w14:textId="77777777" w:rsidR="00BD5588" w:rsidRPr="00C07EB2" w:rsidRDefault="00222C95" w:rsidP="00E273A1">
            <w:r w:rsidRPr="00C07EB2">
              <w:t>Projekta izpildē iesaistītās institūcijas</w:t>
            </w:r>
          </w:p>
        </w:tc>
        <w:tc>
          <w:tcPr>
            <w:tcW w:w="3239" w:type="pct"/>
            <w:hideMark/>
          </w:tcPr>
          <w:p w14:paraId="2E1E7EA3" w14:textId="77777777" w:rsidR="002F4583" w:rsidRPr="00C07EB2" w:rsidRDefault="00B02222" w:rsidP="00C07EB2">
            <w:pPr>
              <w:shd w:val="clear" w:color="auto" w:fill="FFFFFF"/>
              <w:jc w:val="both"/>
            </w:pPr>
            <w:r>
              <w:t>Latvijas Universitāte, Rīgas Stradiņa universitāte</w:t>
            </w:r>
          </w:p>
          <w:p w14:paraId="2E1E7EA4" w14:textId="77777777" w:rsidR="00161647" w:rsidRPr="00C07EB2" w:rsidRDefault="00161647" w:rsidP="00C07EB2">
            <w:pPr>
              <w:jc w:val="both"/>
            </w:pPr>
          </w:p>
        </w:tc>
      </w:tr>
      <w:tr w:rsidR="001B1B15" w:rsidRPr="00404CF4" w14:paraId="2E1E7EA9" w14:textId="77777777" w:rsidTr="00E92DFB">
        <w:tc>
          <w:tcPr>
            <w:tcW w:w="306" w:type="pct"/>
            <w:hideMark/>
          </w:tcPr>
          <w:p w14:paraId="2E1E7EA6" w14:textId="77777777" w:rsidR="00BD5588" w:rsidRPr="00404CF4" w:rsidRDefault="00222C95" w:rsidP="00E273A1">
            <w:pPr>
              <w:jc w:val="center"/>
            </w:pPr>
            <w:r w:rsidRPr="00404CF4">
              <w:lastRenderedPageBreak/>
              <w:t>2.</w:t>
            </w:r>
          </w:p>
        </w:tc>
        <w:tc>
          <w:tcPr>
            <w:tcW w:w="1456" w:type="pct"/>
            <w:hideMark/>
          </w:tcPr>
          <w:p w14:paraId="2E1E7EA7" w14:textId="77777777"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39" w:type="pct"/>
            <w:hideMark/>
          </w:tcPr>
          <w:p w14:paraId="2E1E7EA8" w14:textId="77777777" w:rsidR="00CE664B" w:rsidRPr="00404CF4" w:rsidRDefault="00B4753B" w:rsidP="000C7464">
            <w:pPr>
              <w:ind w:firstLine="108"/>
            </w:pPr>
            <w:r w:rsidRPr="00404CF4">
              <w:t>Noteikumu projekta izpilde neietekmēs institucionālo struktūru, kā arī iesaistīto institūciju funkcijas un cilvēkresu</w:t>
            </w:r>
            <w:r w:rsidR="000C7464">
              <w:t>rs</w:t>
            </w:r>
            <w:r w:rsidRPr="00404CF4">
              <w:t xml:space="preserve">us. </w:t>
            </w:r>
          </w:p>
        </w:tc>
      </w:tr>
      <w:tr w:rsidR="001B1B15" w:rsidRPr="00404CF4" w14:paraId="2E1E7EAD" w14:textId="77777777" w:rsidTr="00E92DFB">
        <w:trPr>
          <w:cantSplit/>
        </w:trPr>
        <w:tc>
          <w:tcPr>
            <w:tcW w:w="306" w:type="pct"/>
            <w:hideMark/>
          </w:tcPr>
          <w:p w14:paraId="2E1E7EAA" w14:textId="77777777" w:rsidR="00BD5588" w:rsidRPr="00404CF4" w:rsidRDefault="00222C95" w:rsidP="00E273A1">
            <w:pPr>
              <w:jc w:val="center"/>
            </w:pPr>
            <w:r w:rsidRPr="00404CF4">
              <w:t>3.</w:t>
            </w:r>
          </w:p>
        </w:tc>
        <w:tc>
          <w:tcPr>
            <w:tcW w:w="1456" w:type="pct"/>
            <w:hideMark/>
          </w:tcPr>
          <w:p w14:paraId="2E1E7EAB" w14:textId="77777777" w:rsidR="00BD5588" w:rsidRPr="00404CF4" w:rsidRDefault="00222C95" w:rsidP="00E273A1">
            <w:r w:rsidRPr="00404CF4">
              <w:t>Cita informācija</w:t>
            </w:r>
          </w:p>
        </w:tc>
        <w:tc>
          <w:tcPr>
            <w:tcW w:w="3239" w:type="pct"/>
            <w:hideMark/>
          </w:tcPr>
          <w:p w14:paraId="2E1E7EAC" w14:textId="77777777" w:rsidR="00BD5588" w:rsidRPr="00404CF4" w:rsidRDefault="002F4583" w:rsidP="00EA1889">
            <w:pPr>
              <w:ind w:firstLine="108"/>
            </w:pPr>
            <w:r>
              <w:t xml:space="preserve">Nav. </w:t>
            </w:r>
          </w:p>
        </w:tc>
      </w:tr>
    </w:tbl>
    <w:p w14:paraId="2E1E7EAE" w14:textId="77777777" w:rsidR="00D21A8A" w:rsidRPr="00404CF4" w:rsidRDefault="00D21A8A" w:rsidP="00D21A8A">
      <w:pPr>
        <w:tabs>
          <w:tab w:val="left" w:pos="6804"/>
        </w:tabs>
        <w:rPr>
          <w:lang w:eastAsia="ru-RU"/>
        </w:rPr>
      </w:pPr>
    </w:p>
    <w:p w14:paraId="2E1E7EAF" w14:textId="77777777" w:rsidR="004E4DD9" w:rsidRPr="00404CF4" w:rsidRDefault="004E4DD9" w:rsidP="00D21A8A">
      <w:pPr>
        <w:tabs>
          <w:tab w:val="left" w:pos="6804"/>
        </w:tabs>
        <w:rPr>
          <w:lang w:eastAsia="ru-RU"/>
        </w:rPr>
      </w:pPr>
    </w:p>
    <w:p w14:paraId="2E1E7EB0" w14:textId="77777777"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2E1E7EB1" w14:textId="77777777" w:rsidR="00D21A8A" w:rsidRPr="00404CF4" w:rsidRDefault="00D21A8A" w:rsidP="00D21A8A">
      <w:pPr>
        <w:rPr>
          <w:lang w:eastAsia="ru-RU"/>
        </w:rPr>
      </w:pPr>
    </w:p>
    <w:p w14:paraId="2E1E7EB2" w14:textId="77777777" w:rsidR="00D21A8A" w:rsidRPr="00404CF4" w:rsidRDefault="00222C95" w:rsidP="00D21A8A">
      <w:pPr>
        <w:rPr>
          <w:lang w:eastAsia="ru-RU"/>
        </w:rPr>
      </w:pPr>
      <w:r w:rsidRPr="00404CF4">
        <w:rPr>
          <w:lang w:eastAsia="ru-RU"/>
        </w:rPr>
        <w:t xml:space="preserve">Vīza: </w:t>
      </w:r>
    </w:p>
    <w:p w14:paraId="2E1E7EB3" w14:textId="77777777"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 xml:space="preserve">sekretāre                                                                           </w:t>
      </w:r>
      <w:r w:rsidR="00E92DFB">
        <w:rPr>
          <w:lang w:eastAsia="ru-RU"/>
        </w:rPr>
        <w:t xml:space="preserve">L. </w:t>
      </w:r>
      <w:r w:rsidR="00B16445" w:rsidRPr="00404CF4">
        <w:rPr>
          <w:lang w:eastAsia="ru-RU"/>
        </w:rPr>
        <w:t>Lejiņa</w:t>
      </w:r>
    </w:p>
    <w:p w14:paraId="2E1E7EB4" w14:textId="77777777" w:rsidR="00D21A8A" w:rsidRPr="00404CF4" w:rsidRDefault="00D21A8A" w:rsidP="00D21A8A">
      <w:pPr>
        <w:suppressAutoHyphens/>
        <w:rPr>
          <w:lang w:eastAsia="ru-RU"/>
        </w:rPr>
      </w:pPr>
    </w:p>
    <w:p w14:paraId="2E1E7EB5" w14:textId="77777777" w:rsidR="004E4DD9" w:rsidRPr="00404CF4" w:rsidRDefault="004E4DD9" w:rsidP="00D21A8A">
      <w:pPr>
        <w:suppressAutoHyphens/>
        <w:rPr>
          <w:lang w:eastAsia="ru-RU"/>
        </w:rPr>
      </w:pPr>
    </w:p>
    <w:p w14:paraId="2E1E7EB6" w14:textId="77777777" w:rsidR="005F11BD" w:rsidRPr="00404CF4" w:rsidRDefault="00222C95" w:rsidP="001E1EA0">
      <w:pPr>
        <w:tabs>
          <w:tab w:val="left" w:pos="0"/>
        </w:tabs>
        <w:jc w:val="both"/>
        <w:rPr>
          <w:sz w:val="22"/>
          <w:szCs w:val="22"/>
          <w:lang w:eastAsia="ru-RU"/>
        </w:rPr>
      </w:pPr>
      <w:proofErr w:type="spellStart"/>
      <w:r w:rsidRPr="00404CF4">
        <w:rPr>
          <w:sz w:val="22"/>
          <w:szCs w:val="22"/>
          <w:lang w:eastAsia="ru-RU"/>
        </w:rPr>
        <w:t>I.Stūre</w:t>
      </w:r>
      <w:proofErr w:type="spellEnd"/>
      <w:r w:rsidR="002C2A5C" w:rsidRPr="00404CF4">
        <w:rPr>
          <w:sz w:val="22"/>
          <w:szCs w:val="22"/>
          <w:lang w:eastAsia="ru-RU"/>
        </w:rPr>
        <w:t xml:space="preserve">, </w:t>
      </w:r>
      <w:r w:rsidRPr="00404CF4">
        <w:rPr>
          <w:sz w:val="22"/>
          <w:szCs w:val="22"/>
          <w:lang w:eastAsia="ru-RU"/>
        </w:rPr>
        <w:t>67047899</w:t>
      </w:r>
    </w:p>
    <w:p w14:paraId="2E1E7EB7" w14:textId="77777777"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06C05" w14:textId="77777777" w:rsidR="002207EC" w:rsidRDefault="002207EC">
      <w:r>
        <w:separator/>
      </w:r>
    </w:p>
  </w:endnote>
  <w:endnote w:type="continuationSeparator" w:id="0">
    <w:p w14:paraId="52E9B295" w14:textId="77777777" w:rsidR="002207EC" w:rsidRDefault="0022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7EBE" w14:textId="0746BFC6" w:rsidR="008A7508" w:rsidRPr="002C2A5C" w:rsidRDefault="008A7508" w:rsidP="002C2A5C">
    <w:pPr>
      <w:pStyle w:val="Footer"/>
    </w:pPr>
    <w:r w:rsidRPr="002C2A5C">
      <w:rPr>
        <w:sz w:val="20"/>
        <w:szCs w:val="20"/>
      </w:rPr>
      <w:t>IZMAnot_</w:t>
    </w:r>
    <w:r w:rsidR="00965AEF">
      <w:rPr>
        <w:sz w:val="20"/>
        <w:szCs w:val="20"/>
      </w:rPr>
      <w:t>1</w:t>
    </w:r>
    <w:r w:rsidR="00FE1E25">
      <w:rPr>
        <w:sz w:val="20"/>
        <w:szCs w:val="20"/>
      </w:rPr>
      <w:t>8</w:t>
    </w:r>
    <w:r w:rsidR="00965AEF">
      <w:rPr>
        <w:sz w:val="20"/>
        <w:szCs w:val="20"/>
      </w:rPr>
      <w:t>10</w:t>
    </w:r>
    <w:r>
      <w:rPr>
        <w:sz w:val="20"/>
        <w:szCs w:val="20"/>
      </w:rPr>
      <w:t>19_groz315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7EBF" w14:textId="4037BBD0" w:rsidR="008A7508" w:rsidRPr="000C7CBE" w:rsidRDefault="008A7508" w:rsidP="00EB796A">
    <w:pPr>
      <w:shd w:val="clear" w:color="auto" w:fill="FFFFFF"/>
      <w:jc w:val="both"/>
      <w:rPr>
        <w:bCs/>
        <w:sz w:val="20"/>
        <w:szCs w:val="20"/>
      </w:rPr>
    </w:pPr>
    <w:r w:rsidRPr="000C7CBE">
      <w:rPr>
        <w:sz w:val="20"/>
        <w:szCs w:val="20"/>
      </w:rPr>
      <w:t>IZMAnot_</w:t>
    </w:r>
    <w:r w:rsidR="00965AEF" w:rsidRPr="000C7CBE">
      <w:rPr>
        <w:sz w:val="20"/>
        <w:szCs w:val="20"/>
      </w:rPr>
      <w:t>1</w:t>
    </w:r>
    <w:r w:rsidR="00FE1E25">
      <w:rPr>
        <w:sz w:val="20"/>
        <w:szCs w:val="20"/>
      </w:rPr>
      <w:t>8</w:t>
    </w:r>
    <w:r w:rsidR="00965AEF" w:rsidRPr="000C7CBE">
      <w:rPr>
        <w:sz w:val="20"/>
        <w:szCs w:val="20"/>
      </w:rPr>
      <w:t>10</w:t>
    </w:r>
    <w:r w:rsidR="004E6760" w:rsidRPr="000C7CBE">
      <w:rPr>
        <w:sz w:val="20"/>
        <w:szCs w:val="20"/>
      </w:rPr>
      <w:t>19</w:t>
    </w:r>
    <w:r w:rsidRPr="000C7CBE">
      <w:rPr>
        <w:sz w:val="20"/>
        <w:szCs w:val="20"/>
      </w:rPr>
      <w:t>_groz</w:t>
    </w:r>
    <w:r w:rsidR="004E6760" w:rsidRPr="000C7CBE">
      <w:rPr>
        <w:sz w:val="20"/>
        <w:szCs w:val="20"/>
      </w:rPr>
      <w:t>315</w:t>
    </w:r>
  </w:p>
  <w:p w14:paraId="2E1E7EC0" w14:textId="77777777" w:rsidR="008A7508" w:rsidRDefault="008A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EC1EC" w14:textId="77777777" w:rsidR="002207EC" w:rsidRDefault="002207EC">
      <w:r>
        <w:separator/>
      </w:r>
    </w:p>
  </w:footnote>
  <w:footnote w:type="continuationSeparator" w:id="0">
    <w:p w14:paraId="36648DA5" w14:textId="77777777" w:rsidR="002207EC" w:rsidRDefault="0022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7EBC" w14:textId="77777777" w:rsidR="008A7508" w:rsidRDefault="008A7508">
    <w:pPr>
      <w:pStyle w:val="Header"/>
      <w:jc w:val="center"/>
    </w:pPr>
    <w:r>
      <w:fldChar w:fldCharType="begin"/>
    </w:r>
    <w:r>
      <w:instrText xml:space="preserve"> PAGE   \* MERGEFORMAT </w:instrText>
    </w:r>
    <w:r>
      <w:fldChar w:fldCharType="separate"/>
    </w:r>
    <w:r w:rsidR="002C1786">
      <w:rPr>
        <w:noProof/>
      </w:rPr>
      <w:t>9</w:t>
    </w:r>
    <w:r>
      <w:rPr>
        <w:noProof/>
      </w:rPr>
      <w:fldChar w:fldCharType="end"/>
    </w:r>
  </w:p>
  <w:p w14:paraId="2E1E7EBD" w14:textId="77777777" w:rsidR="008A7508" w:rsidRDefault="008A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0"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2"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3"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4"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5"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6"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7"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8"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9"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0"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18"/>
  </w:num>
  <w:num w:numId="5">
    <w:abstractNumId w:val="6"/>
  </w:num>
  <w:num w:numId="6">
    <w:abstractNumId w:val="11"/>
  </w:num>
  <w:num w:numId="7">
    <w:abstractNumId w:val="3"/>
  </w:num>
  <w:num w:numId="8">
    <w:abstractNumId w:val="1"/>
  </w:num>
  <w:num w:numId="9">
    <w:abstractNumId w:val="16"/>
  </w:num>
  <w:num w:numId="10">
    <w:abstractNumId w:val="7"/>
  </w:num>
  <w:num w:numId="11">
    <w:abstractNumId w:val="15"/>
  </w:num>
  <w:num w:numId="12">
    <w:abstractNumId w:val="9"/>
  </w:num>
  <w:num w:numId="13">
    <w:abstractNumId w:val="13"/>
  </w:num>
  <w:num w:numId="14">
    <w:abstractNumId w:val="0"/>
  </w:num>
  <w:num w:numId="15">
    <w:abstractNumId w:val="21"/>
  </w:num>
  <w:num w:numId="16">
    <w:abstractNumId w:val="14"/>
  </w:num>
  <w:num w:numId="17">
    <w:abstractNumId w:val="17"/>
  </w:num>
  <w:num w:numId="18">
    <w:abstractNumId w:val="10"/>
  </w:num>
  <w:num w:numId="19">
    <w:abstractNumId w:val="5"/>
  </w:num>
  <w:num w:numId="20">
    <w:abstractNumId w:val="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6567"/>
    <w:rsid w:val="00022364"/>
    <w:rsid w:val="000259BE"/>
    <w:rsid w:val="00031364"/>
    <w:rsid w:val="00031C49"/>
    <w:rsid w:val="0003391E"/>
    <w:rsid w:val="00047406"/>
    <w:rsid w:val="00050D09"/>
    <w:rsid w:val="00052657"/>
    <w:rsid w:val="0005630E"/>
    <w:rsid w:val="00056FFE"/>
    <w:rsid w:val="000571CE"/>
    <w:rsid w:val="0006057C"/>
    <w:rsid w:val="00060849"/>
    <w:rsid w:val="000625AF"/>
    <w:rsid w:val="00063446"/>
    <w:rsid w:val="00064AFF"/>
    <w:rsid w:val="0007048B"/>
    <w:rsid w:val="000754B3"/>
    <w:rsid w:val="0007674D"/>
    <w:rsid w:val="0008718F"/>
    <w:rsid w:val="00087451"/>
    <w:rsid w:val="00087587"/>
    <w:rsid w:val="00087AE9"/>
    <w:rsid w:val="0009085E"/>
    <w:rsid w:val="00093175"/>
    <w:rsid w:val="000954ED"/>
    <w:rsid w:val="000A024C"/>
    <w:rsid w:val="000B4EFE"/>
    <w:rsid w:val="000C00CF"/>
    <w:rsid w:val="000C0222"/>
    <w:rsid w:val="000C3EA0"/>
    <w:rsid w:val="000C44E4"/>
    <w:rsid w:val="000C4D2D"/>
    <w:rsid w:val="000C7464"/>
    <w:rsid w:val="000C78E6"/>
    <w:rsid w:val="000C7CBE"/>
    <w:rsid w:val="000E056E"/>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30592"/>
    <w:rsid w:val="0013434E"/>
    <w:rsid w:val="00141DD2"/>
    <w:rsid w:val="001420F7"/>
    <w:rsid w:val="001470F1"/>
    <w:rsid w:val="0015121A"/>
    <w:rsid w:val="00155D7A"/>
    <w:rsid w:val="00156487"/>
    <w:rsid w:val="00156750"/>
    <w:rsid w:val="0016015E"/>
    <w:rsid w:val="00161647"/>
    <w:rsid w:val="00164017"/>
    <w:rsid w:val="00167B03"/>
    <w:rsid w:val="00170B58"/>
    <w:rsid w:val="001718C5"/>
    <w:rsid w:val="00171C87"/>
    <w:rsid w:val="0017228B"/>
    <w:rsid w:val="00175F3C"/>
    <w:rsid w:val="00177449"/>
    <w:rsid w:val="00177E8B"/>
    <w:rsid w:val="0018035F"/>
    <w:rsid w:val="001807BB"/>
    <w:rsid w:val="00182956"/>
    <w:rsid w:val="00185968"/>
    <w:rsid w:val="00190577"/>
    <w:rsid w:val="00194377"/>
    <w:rsid w:val="00196E95"/>
    <w:rsid w:val="001A640D"/>
    <w:rsid w:val="001A6B13"/>
    <w:rsid w:val="001B1B15"/>
    <w:rsid w:val="001B50DA"/>
    <w:rsid w:val="001C05E2"/>
    <w:rsid w:val="001C10FC"/>
    <w:rsid w:val="001C45AC"/>
    <w:rsid w:val="001D1334"/>
    <w:rsid w:val="001D5AE2"/>
    <w:rsid w:val="001E1EA0"/>
    <w:rsid w:val="001E7456"/>
    <w:rsid w:val="001F0223"/>
    <w:rsid w:val="001F3847"/>
    <w:rsid w:val="001F5971"/>
    <w:rsid w:val="001F6499"/>
    <w:rsid w:val="002005D3"/>
    <w:rsid w:val="0020255C"/>
    <w:rsid w:val="00206658"/>
    <w:rsid w:val="00206F43"/>
    <w:rsid w:val="002160E3"/>
    <w:rsid w:val="00217FD6"/>
    <w:rsid w:val="002207EC"/>
    <w:rsid w:val="00222C95"/>
    <w:rsid w:val="00224FF8"/>
    <w:rsid w:val="002318A5"/>
    <w:rsid w:val="002341E4"/>
    <w:rsid w:val="0024179D"/>
    <w:rsid w:val="00243A9B"/>
    <w:rsid w:val="002450F0"/>
    <w:rsid w:val="00245289"/>
    <w:rsid w:val="00246DA4"/>
    <w:rsid w:val="00247D4A"/>
    <w:rsid w:val="002540CC"/>
    <w:rsid w:val="00254274"/>
    <w:rsid w:val="002574E6"/>
    <w:rsid w:val="00261913"/>
    <w:rsid w:val="00262845"/>
    <w:rsid w:val="00265F1C"/>
    <w:rsid w:val="00271D02"/>
    <w:rsid w:val="0027544C"/>
    <w:rsid w:val="00283DC2"/>
    <w:rsid w:val="00286F08"/>
    <w:rsid w:val="0028764B"/>
    <w:rsid w:val="0029031A"/>
    <w:rsid w:val="0029179E"/>
    <w:rsid w:val="00293120"/>
    <w:rsid w:val="00295FB1"/>
    <w:rsid w:val="002960B7"/>
    <w:rsid w:val="00296FA0"/>
    <w:rsid w:val="002A234A"/>
    <w:rsid w:val="002B39A8"/>
    <w:rsid w:val="002B4723"/>
    <w:rsid w:val="002B6A93"/>
    <w:rsid w:val="002B6FD5"/>
    <w:rsid w:val="002C0ACD"/>
    <w:rsid w:val="002C1786"/>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73E"/>
    <w:rsid w:val="00301C78"/>
    <w:rsid w:val="0030559D"/>
    <w:rsid w:val="00305E04"/>
    <w:rsid w:val="00305FDF"/>
    <w:rsid w:val="0030689D"/>
    <w:rsid w:val="00306CA0"/>
    <w:rsid w:val="00307AAF"/>
    <w:rsid w:val="003157E9"/>
    <w:rsid w:val="00315C00"/>
    <w:rsid w:val="00325BFD"/>
    <w:rsid w:val="00326A4A"/>
    <w:rsid w:val="003272CB"/>
    <w:rsid w:val="00327B93"/>
    <w:rsid w:val="00330B03"/>
    <w:rsid w:val="00330C83"/>
    <w:rsid w:val="00343B8F"/>
    <w:rsid w:val="0034599E"/>
    <w:rsid w:val="00345D02"/>
    <w:rsid w:val="00347A07"/>
    <w:rsid w:val="00353F09"/>
    <w:rsid w:val="003560C5"/>
    <w:rsid w:val="00364D64"/>
    <w:rsid w:val="00365581"/>
    <w:rsid w:val="00367545"/>
    <w:rsid w:val="00370547"/>
    <w:rsid w:val="00370D13"/>
    <w:rsid w:val="00371A18"/>
    <w:rsid w:val="00374554"/>
    <w:rsid w:val="003747CB"/>
    <w:rsid w:val="00374CAD"/>
    <w:rsid w:val="00376B3F"/>
    <w:rsid w:val="003A3BBD"/>
    <w:rsid w:val="003A71C2"/>
    <w:rsid w:val="003B044A"/>
    <w:rsid w:val="003B1139"/>
    <w:rsid w:val="003B1642"/>
    <w:rsid w:val="003B2084"/>
    <w:rsid w:val="003B4B3E"/>
    <w:rsid w:val="003C3CD9"/>
    <w:rsid w:val="003C52DE"/>
    <w:rsid w:val="003D0D1C"/>
    <w:rsid w:val="003D1F6B"/>
    <w:rsid w:val="003D1F8A"/>
    <w:rsid w:val="003D48DD"/>
    <w:rsid w:val="003E51D8"/>
    <w:rsid w:val="003E71C5"/>
    <w:rsid w:val="003F5C6E"/>
    <w:rsid w:val="00401C29"/>
    <w:rsid w:val="00403C2A"/>
    <w:rsid w:val="004048E6"/>
    <w:rsid w:val="00404CF4"/>
    <w:rsid w:val="0041017B"/>
    <w:rsid w:val="00411C86"/>
    <w:rsid w:val="00415538"/>
    <w:rsid w:val="00417087"/>
    <w:rsid w:val="00420BDC"/>
    <w:rsid w:val="0042123D"/>
    <w:rsid w:val="00422B12"/>
    <w:rsid w:val="004245BC"/>
    <w:rsid w:val="00424C4B"/>
    <w:rsid w:val="004266A0"/>
    <w:rsid w:val="00430E05"/>
    <w:rsid w:val="004327C5"/>
    <w:rsid w:val="00432CFC"/>
    <w:rsid w:val="004330F8"/>
    <w:rsid w:val="004360B2"/>
    <w:rsid w:val="00443C00"/>
    <w:rsid w:val="00444D26"/>
    <w:rsid w:val="00446DAB"/>
    <w:rsid w:val="00447527"/>
    <w:rsid w:val="004554FE"/>
    <w:rsid w:val="0045563C"/>
    <w:rsid w:val="004603CC"/>
    <w:rsid w:val="00462FBF"/>
    <w:rsid w:val="00466A8F"/>
    <w:rsid w:val="00466C3A"/>
    <w:rsid w:val="00471C87"/>
    <w:rsid w:val="00473ED4"/>
    <w:rsid w:val="00473F9D"/>
    <w:rsid w:val="00477888"/>
    <w:rsid w:val="00477D3F"/>
    <w:rsid w:val="00485616"/>
    <w:rsid w:val="00486066"/>
    <w:rsid w:val="00490E1B"/>
    <w:rsid w:val="00491833"/>
    <w:rsid w:val="00493A83"/>
    <w:rsid w:val="00497D16"/>
    <w:rsid w:val="00497FAC"/>
    <w:rsid w:val="004A3071"/>
    <w:rsid w:val="004A3EE9"/>
    <w:rsid w:val="004A3F35"/>
    <w:rsid w:val="004A3FCA"/>
    <w:rsid w:val="004B2D3A"/>
    <w:rsid w:val="004B3F7D"/>
    <w:rsid w:val="004B4668"/>
    <w:rsid w:val="004B5871"/>
    <w:rsid w:val="004C0968"/>
    <w:rsid w:val="004C5DAC"/>
    <w:rsid w:val="004C6703"/>
    <w:rsid w:val="004D5914"/>
    <w:rsid w:val="004D6765"/>
    <w:rsid w:val="004E1F8F"/>
    <w:rsid w:val="004E4DD9"/>
    <w:rsid w:val="004E638D"/>
    <w:rsid w:val="004E6760"/>
    <w:rsid w:val="004E6CB1"/>
    <w:rsid w:val="004F429E"/>
    <w:rsid w:val="004F6E35"/>
    <w:rsid w:val="00500A3C"/>
    <w:rsid w:val="005010AB"/>
    <w:rsid w:val="00502F05"/>
    <w:rsid w:val="00506F9F"/>
    <w:rsid w:val="00511426"/>
    <w:rsid w:val="00511F5D"/>
    <w:rsid w:val="00515A0B"/>
    <w:rsid w:val="005171BB"/>
    <w:rsid w:val="00517562"/>
    <w:rsid w:val="005223C6"/>
    <w:rsid w:val="00524F21"/>
    <w:rsid w:val="00526871"/>
    <w:rsid w:val="00526EAD"/>
    <w:rsid w:val="00536DB3"/>
    <w:rsid w:val="0054077A"/>
    <w:rsid w:val="00550F7C"/>
    <w:rsid w:val="00555D79"/>
    <w:rsid w:val="005615CB"/>
    <w:rsid w:val="00565D9D"/>
    <w:rsid w:val="0057142B"/>
    <w:rsid w:val="005732B3"/>
    <w:rsid w:val="00573BF7"/>
    <w:rsid w:val="00574881"/>
    <w:rsid w:val="005751E7"/>
    <w:rsid w:val="0057649F"/>
    <w:rsid w:val="005808FD"/>
    <w:rsid w:val="00585498"/>
    <w:rsid w:val="00586700"/>
    <w:rsid w:val="00587D93"/>
    <w:rsid w:val="00591D6C"/>
    <w:rsid w:val="005933BD"/>
    <w:rsid w:val="00594BDA"/>
    <w:rsid w:val="00595340"/>
    <w:rsid w:val="005A1052"/>
    <w:rsid w:val="005A188F"/>
    <w:rsid w:val="005A2055"/>
    <w:rsid w:val="005A3EC6"/>
    <w:rsid w:val="005B0C41"/>
    <w:rsid w:val="005B3B2D"/>
    <w:rsid w:val="005B4660"/>
    <w:rsid w:val="005B49CC"/>
    <w:rsid w:val="005C163B"/>
    <w:rsid w:val="005C4BF1"/>
    <w:rsid w:val="005C6BC0"/>
    <w:rsid w:val="005C6D85"/>
    <w:rsid w:val="005D4A1E"/>
    <w:rsid w:val="005D70DF"/>
    <w:rsid w:val="005E0981"/>
    <w:rsid w:val="005E2669"/>
    <w:rsid w:val="005E66ED"/>
    <w:rsid w:val="005F11BD"/>
    <w:rsid w:val="005F1B3A"/>
    <w:rsid w:val="005F1F9C"/>
    <w:rsid w:val="005F2C4A"/>
    <w:rsid w:val="00604CFB"/>
    <w:rsid w:val="00606F30"/>
    <w:rsid w:val="006175C9"/>
    <w:rsid w:val="00623971"/>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5275"/>
    <w:rsid w:val="00675EA9"/>
    <w:rsid w:val="00682054"/>
    <w:rsid w:val="006858C4"/>
    <w:rsid w:val="00687679"/>
    <w:rsid w:val="00690C15"/>
    <w:rsid w:val="006910CD"/>
    <w:rsid w:val="00694072"/>
    <w:rsid w:val="006945B1"/>
    <w:rsid w:val="006A3533"/>
    <w:rsid w:val="006A48C1"/>
    <w:rsid w:val="006A4BBA"/>
    <w:rsid w:val="006A5F9D"/>
    <w:rsid w:val="006B1C47"/>
    <w:rsid w:val="006B3F3B"/>
    <w:rsid w:val="006D285B"/>
    <w:rsid w:val="006D68C5"/>
    <w:rsid w:val="006E2C23"/>
    <w:rsid w:val="006E35D4"/>
    <w:rsid w:val="006E44C9"/>
    <w:rsid w:val="006E7A69"/>
    <w:rsid w:val="006F18AC"/>
    <w:rsid w:val="006F23A5"/>
    <w:rsid w:val="0070055B"/>
    <w:rsid w:val="00701B04"/>
    <w:rsid w:val="00704509"/>
    <w:rsid w:val="007067FA"/>
    <w:rsid w:val="0071205F"/>
    <w:rsid w:val="00712191"/>
    <w:rsid w:val="00712F12"/>
    <w:rsid w:val="00713A22"/>
    <w:rsid w:val="00715799"/>
    <w:rsid w:val="00721B4A"/>
    <w:rsid w:val="00725349"/>
    <w:rsid w:val="0073012E"/>
    <w:rsid w:val="00730A4F"/>
    <w:rsid w:val="00736AC1"/>
    <w:rsid w:val="00736BBC"/>
    <w:rsid w:val="0073772E"/>
    <w:rsid w:val="00740602"/>
    <w:rsid w:val="00742EB2"/>
    <w:rsid w:val="00746B81"/>
    <w:rsid w:val="0075227C"/>
    <w:rsid w:val="007620DE"/>
    <w:rsid w:val="00763F59"/>
    <w:rsid w:val="0076593C"/>
    <w:rsid w:val="00770594"/>
    <w:rsid w:val="00774E4C"/>
    <w:rsid w:val="0077698E"/>
    <w:rsid w:val="00781624"/>
    <w:rsid w:val="00787FAF"/>
    <w:rsid w:val="00793205"/>
    <w:rsid w:val="007A009D"/>
    <w:rsid w:val="007A0521"/>
    <w:rsid w:val="007B23DA"/>
    <w:rsid w:val="007B5F34"/>
    <w:rsid w:val="007B6BD9"/>
    <w:rsid w:val="007C0208"/>
    <w:rsid w:val="007C2632"/>
    <w:rsid w:val="007C69C7"/>
    <w:rsid w:val="007D2376"/>
    <w:rsid w:val="007D27DF"/>
    <w:rsid w:val="007D772D"/>
    <w:rsid w:val="007E053B"/>
    <w:rsid w:val="007E1B0F"/>
    <w:rsid w:val="007F1CEC"/>
    <w:rsid w:val="007F42E4"/>
    <w:rsid w:val="007F7FCB"/>
    <w:rsid w:val="008010CA"/>
    <w:rsid w:val="00803184"/>
    <w:rsid w:val="00803B99"/>
    <w:rsid w:val="008051D4"/>
    <w:rsid w:val="00812E43"/>
    <w:rsid w:val="00812E5A"/>
    <w:rsid w:val="00820521"/>
    <w:rsid w:val="00820A00"/>
    <w:rsid w:val="00820E5B"/>
    <w:rsid w:val="00831571"/>
    <w:rsid w:val="008346BC"/>
    <w:rsid w:val="00835A27"/>
    <w:rsid w:val="008406CB"/>
    <w:rsid w:val="008423C7"/>
    <w:rsid w:val="00846D96"/>
    <w:rsid w:val="00847CF7"/>
    <w:rsid w:val="00852472"/>
    <w:rsid w:val="0085447F"/>
    <w:rsid w:val="00857D89"/>
    <w:rsid w:val="008604AC"/>
    <w:rsid w:val="008621A0"/>
    <w:rsid w:val="0086369F"/>
    <w:rsid w:val="008654CD"/>
    <w:rsid w:val="008665D1"/>
    <w:rsid w:val="0087080F"/>
    <w:rsid w:val="0087237C"/>
    <w:rsid w:val="00872A5F"/>
    <w:rsid w:val="00872D8C"/>
    <w:rsid w:val="00880C95"/>
    <w:rsid w:val="008811F3"/>
    <w:rsid w:val="008817F9"/>
    <w:rsid w:val="00882E11"/>
    <w:rsid w:val="00885AD0"/>
    <w:rsid w:val="00886B1A"/>
    <w:rsid w:val="00891017"/>
    <w:rsid w:val="0089253C"/>
    <w:rsid w:val="008943E4"/>
    <w:rsid w:val="00894DCC"/>
    <w:rsid w:val="008A10D7"/>
    <w:rsid w:val="008A7508"/>
    <w:rsid w:val="008A7B53"/>
    <w:rsid w:val="008A7E4D"/>
    <w:rsid w:val="008B2057"/>
    <w:rsid w:val="008B6236"/>
    <w:rsid w:val="008B69B2"/>
    <w:rsid w:val="008B7409"/>
    <w:rsid w:val="008C1001"/>
    <w:rsid w:val="008C54F6"/>
    <w:rsid w:val="008C5F43"/>
    <w:rsid w:val="008D0205"/>
    <w:rsid w:val="008D1627"/>
    <w:rsid w:val="008D1DD3"/>
    <w:rsid w:val="008D27ED"/>
    <w:rsid w:val="008D75CD"/>
    <w:rsid w:val="008E3197"/>
    <w:rsid w:val="008E7B23"/>
    <w:rsid w:val="008F3A17"/>
    <w:rsid w:val="00905240"/>
    <w:rsid w:val="00910521"/>
    <w:rsid w:val="00914CB7"/>
    <w:rsid w:val="0091716F"/>
    <w:rsid w:val="00917E28"/>
    <w:rsid w:val="00922B83"/>
    <w:rsid w:val="00923B4B"/>
    <w:rsid w:val="009260F3"/>
    <w:rsid w:val="009277E1"/>
    <w:rsid w:val="00930B91"/>
    <w:rsid w:val="00933EC4"/>
    <w:rsid w:val="00935024"/>
    <w:rsid w:val="009367B8"/>
    <w:rsid w:val="00940357"/>
    <w:rsid w:val="00943ACC"/>
    <w:rsid w:val="00945599"/>
    <w:rsid w:val="009479F9"/>
    <w:rsid w:val="00947EFB"/>
    <w:rsid w:val="009530F9"/>
    <w:rsid w:val="00955D10"/>
    <w:rsid w:val="00961783"/>
    <w:rsid w:val="00963AD9"/>
    <w:rsid w:val="00965AEF"/>
    <w:rsid w:val="00967A53"/>
    <w:rsid w:val="009701F9"/>
    <w:rsid w:val="009714BB"/>
    <w:rsid w:val="009724A0"/>
    <w:rsid w:val="00973CEC"/>
    <w:rsid w:val="00981319"/>
    <w:rsid w:val="00982F72"/>
    <w:rsid w:val="009878D6"/>
    <w:rsid w:val="00987919"/>
    <w:rsid w:val="009926C6"/>
    <w:rsid w:val="0099293D"/>
    <w:rsid w:val="0099392B"/>
    <w:rsid w:val="00993C54"/>
    <w:rsid w:val="00994BC9"/>
    <w:rsid w:val="00994F14"/>
    <w:rsid w:val="009A2CF5"/>
    <w:rsid w:val="009B09E6"/>
    <w:rsid w:val="009B381F"/>
    <w:rsid w:val="009B3EC3"/>
    <w:rsid w:val="009B4623"/>
    <w:rsid w:val="009B6C25"/>
    <w:rsid w:val="009C44D8"/>
    <w:rsid w:val="009C678B"/>
    <w:rsid w:val="009C750C"/>
    <w:rsid w:val="009D0E2D"/>
    <w:rsid w:val="009D21F6"/>
    <w:rsid w:val="009D3388"/>
    <w:rsid w:val="009D5BBB"/>
    <w:rsid w:val="009D66C8"/>
    <w:rsid w:val="009D6904"/>
    <w:rsid w:val="009E5678"/>
    <w:rsid w:val="009E791D"/>
    <w:rsid w:val="009F0B72"/>
    <w:rsid w:val="009F1979"/>
    <w:rsid w:val="009F3BFD"/>
    <w:rsid w:val="009F734F"/>
    <w:rsid w:val="00A00CBC"/>
    <w:rsid w:val="00A104DE"/>
    <w:rsid w:val="00A1342E"/>
    <w:rsid w:val="00A16C6D"/>
    <w:rsid w:val="00A171FA"/>
    <w:rsid w:val="00A20153"/>
    <w:rsid w:val="00A21933"/>
    <w:rsid w:val="00A22648"/>
    <w:rsid w:val="00A2398B"/>
    <w:rsid w:val="00A23A8E"/>
    <w:rsid w:val="00A23EB8"/>
    <w:rsid w:val="00A2480F"/>
    <w:rsid w:val="00A24BE9"/>
    <w:rsid w:val="00A25225"/>
    <w:rsid w:val="00A257AC"/>
    <w:rsid w:val="00A27CA1"/>
    <w:rsid w:val="00A30A10"/>
    <w:rsid w:val="00A30EE6"/>
    <w:rsid w:val="00A313A1"/>
    <w:rsid w:val="00A32C5A"/>
    <w:rsid w:val="00A3410C"/>
    <w:rsid w:val="00A36F4F"/>
    <w:rsid w:val="00A40F38"/>
    <w:rsid w:val="00A53CB3"/>
    <w:rsid w:val="00A5594D"/>
    <w:rsid w:val="00A57548"/>
    <w:rsid w:val="00A6378F"/>
    <w:rsid w:val="00A638AA"/>
    <w:rsid w:val="00A64511"/>
    <w:rsid w:val="00A65D77"/>
    <w:rsid w:val="00A66D2A"/>
    <w:rsid w:val="00A673FC"/>
    <w:rsid w:val="00A70AB3"/>
    <w:rsid w:val="00A716FD"/>
    <w:rsid w:val="00A73FF1"/>
    <w:rsid w:val="00A75671"/>
    <w:rsid w:val="00A7594E"/>
    <w:rsid w:val="00A77C39"/>
    <w:rsid w:val="00A8049D"/>
    <w:rsid w:val="00A86CA4"/>
    <w:rsid w:val="00A8798F"/>
    <w:rsid w:val="00A929A6"/>
    <w:rsid w:val="00A935AC"/>
    <w:rsid w:val="00A95BEA"/>
    <w:rsid w:val="00AA1EB2"/>
    <w:rsid w:val="00AA2B92"/>
    <w:rsid w:val="00AA693E"/>
    <w:rsid w:val="00AB2A62"/>
    <w:rsid w:val="00AB7360"/>
    <w:rsid w:val="00AB7F20"/>
    <w:rsid w:val="00AC144B"/>
    <w:rsid w:val="00AC4347"/>
    <w:rsid w:val="00AC511B"/>
    <w:rsid w:val="00AC550B"/>
    <w:rsid w:val="00AD47D0"/>
    <w:rsid w:val="00AD49A5"/>
    <w:rsid w:val="00AD4F57"/>
    <w:rsid w:val="00AD7B2D"/>
    <w:rsid w:val="00AE11F6"/>
    <w:rsid w:val="00AE2E51"/>
    <w:rsid w:val="00AE4C68"/>
    <w:rsid w:val="00AF05A1"/>
    <w:rsid w:val="00AF17E7"/>
    <w:rsid w:val="00B02222"/>
    <w:rsid w:val="00B16445"/>
    <w:rsid w:val="00B20AA5"/>
    <w:rsid w:val="00B20EBA"/>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1632"/>
    <w:rsid w:val="00B62435"/>
    <w:rsid w:val="00B65E71"/>
    <w:rsid w:val="00B66B08"/>
    <w:rsid w:val="00B670D1"/>
    <w:rsid w:val="00B7077E"/>
    <w:rsid w:val="00B731A0"/>
    <w:rsid w:val="00B74360"/>
    <w:rsid w:val="00B759E6"/>
    <w:rsid w:val="00B76031"/>
    <w:rsid w:val="00B76386"/>
    <w:rsid w:val="00B77DC8"/>
    <w:rsid w:val="00B91EF3"/>
    <w:rsid w:val="00B931B0"/>
    <w:rsid w:val="00B94112"/>
    <w:rsid w:val="00B9422A"/>
    <w:rsid w:val="00B96E3C"/>
    <w:rsid w:val="00BB0AE1"/>
    <w:rsid w:val="00BB1B72"/>
    <w:rsid w:val="00BB2D33"/>
    <w:rsid w:val="00BB7186"/>
    <w:rsid w:val="00BB73D5"/>
    <w:rsid w:val="00BC5121"/>
    <w:rsid w:val="00BC6411"/>
    <w:rsid w:val="00BC6B0E"/>
    <w:rsid w:val="00BD1F3B"/>
    <w:rsid w:val="00BD5588"/>
    <w:rsid w:val="00BD7871"/>
    <w:rsid w:val="00BE10A7"/>
    <w:rsid w:val="00BE5B81"/>
    <w:rsid w:val="00BE71E7"/>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2595"/>
    <w:rsid w:val="00C32F8D"/>
    <w:rsid w:val="00C339A4"/>
    <w:rsid w:val="00C36D50"/>
    <w:rsid w:val="00C50D47"/>
    <w:rsid w:val="00C54801"/>
    <w:rsid w:val="00C56226"/>
    <w:rsid w:val="00C60815"/>
    <w:rsid w:val="00C64993"/>
    <w:rsid w:val="00C64F6E"/>
    <w:rsid w:val="00C67D28"/>
    <w:rsid w:val="00C7261C"/>
    <w:rsid w:val="00C72925"/>
    <w:rsid w:val="00C72AD6"/>
    <w:rsid w:val="00C734B4"/>
    <w:rsid w:val="00C77EA2"/>
    <w:rsid w:val="00C81749"/>
    <w:rsid w:val="00C842D4"/>
    <w:rsid w:val="00C856E2"/>
    <w:rsid w:val="00C8600B"/>
    <w:rsid w:val="00C92C56"/>
    <w:rsid w:val="00C93083"/>
    <w:rsid w:val="00C96250"/>
    <w:rsid w:val="00C978B3"/>
    <w:rsid w:val="00CB2184"/>
    <w:rsid w:val="00CB452F"/>
    <w:rsid w:val="00CB5BD2"/>
    <w:rsid w:val="00CC0370"/>
    <w:rsid w:val="00CC2EC1"/>
    <w:rsid w:val="00CD5AD0"/>
    <w:rsid w:val="00CE176D"/>
    <w:rsid w:val="00CE1FA4"/>
    <w:rsid w:val="00CE269E"/>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A7F"/>
    <w:rsid w:val="00D26CF3"/>
    <w:rsid w:val="00D26DA2"/>
    <w:rsid w:val="00D414F6"/>
    <w:rsid w:val="00D442F7"/>
    <w:rsid w:val="00D46D09"/>
    <w:rsid w:val="00D555B0"/>
    <w:rsid w:val="00D56587"/>
    <w:rsid w:val="00D571A2"/>
    <w:rsid w:val="00D70066"/>
    <w:rsid w:val="00D70DBF"/>
    <w:rsid w:val="00D739E1"/>
    <w:rsid w:val="00D74393"/>
    <w:rsid w:val="00D7739F"/>
    <w:rsid w:val="00D84DBF"/>
    <w:rsid w:val="00D86996"/>
    <w:rsid w:val="00D87A45"/>
    <w:rsid w:val="00D9671C"/>
    <w:rsid w:val="00DA1545"/>
    <w:rsid w:val="00DB4587"/>
    <w:rsid w:val="00DB4D30"/>
    <w:rsid w:val="00DC2409"/>
    <w:rsid w:val="00DC55B5"/>
    <w:rsid w:val="00DC645E"/>
    <w:rsid w:val="00DD2929"/>
    <w:rsid w:val="00DD61E7"/>
    <w:rsid w:val="00DD75C2"/>
    <w:rsid w:val="00DE3138"/>
    <w:rsid w:val="00DE32AA"/>
    <w:rsid w:val="00DE4D49"/>
    <w:rsid w:val="00DE6279"/>
    <w:rsid w:val="00DF086B"/>
    <w:rsid w:val="00DF1C39"/>
    <w:rsid w:val="00DF2DA5"/>
    <w:rsid w:val="00DF6235"/>
    <w:rsid w:val="00E00A80"/>
    <w:rsid w:val="00E017F1"/>
    <w:rsid w:val="00E072D8"/>
    <w:rsid w:val="00E13684"/>
    <w:rsid w:val="00E138A2"/>
    <w:rsid w:val="00E226C5"/>
    <w:rsid w:val="00E248F6"/>
    <w:rsid w:val="00E265D9"/>
    <w:rsid w:val="00E273A1"/>
    <w:rsid w:val="00E30236"/>
    <w:rsid w:val="00E30F9B"/>
    <w:rsid w:val="00E35069"/>
    <w:rsid w:val="00E37CCB"/>
    <w:rsid w:val="00E40162"/>
    <w:rsid w:val="00E44034"/>
    <w:rsid w:val="00E44472"/>
    <w:rsid w:val="00E44E02"/>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28E1"/>
    <w:rsid w:val="00EB796A"/>
    <w:rsid w:val="00EC271D"/>
    <w:rsid w:val="00EC3CEE"/>
    <w:rsid w:val="00EC41CD"/>
    <w:rsid w:val="00EE1894"/>
    <w:rsid w:val="00EE4399"/>
    <w:rsid w:val="00EE59E4"/>
    <w:rsid w:val="00EE640D"/>
    <w:rsid w:val="00EE6C56"/>
    <w:rsid w:val="00EE7332"/>
    <w:rsid w:val="00EF1283"/>
    <w:rsid w:val="00EF1EE3"/>
    <w:rsid w:val="00EF2C74"/>
    <w:rsid w:val="00EF33F2"/>
    <w:rsid w:val="00EF6408"/>
    <w:rsid w:val="00F01F2F"/>
    <w:rsid w:val="00F02CE4"/>
    <w:rsid w:val="00F05CA2"/>
    <w:rsid w:val="00F14A6B"/>
    <w:rsid w:val="00F16399"/>
    <w:rsid w:val="00F20098"/>
    <w:rsid w:val="00F213DD"/>
    <w:rsid w:val="00F27651"/>
    <w:rsid w:val="00F30792"/>
    <w:rsid w:val="00F33928"/>
    <w:rsid w:val="00F360B5"/>
    <w:rsid w:val="00F416F5"/>
    <w:rsid w:val="00F41870"/>
    <w:rsid w:val="00F41FEB"/>
    <w:rsid w:val="00F46F67"/>
    <w:rsid w:val="00F478A2"/>
    <w:rsid w:val="00F502BA"/>
    <w:rsid w:val="00F51B8C"/>
    <w:rsid w:val="00F52FEE"/>
    <w:rsid w:val="00F54498"/>
    <w:rsid w:val="00F544AD"/>
    <w:rsid w:val="00F6040A"/>
    <w:rsid w:val="00F64007"/>
    <w:rsid w:val="00F66631"/>
    <w:rsid w:val="00F67D86"/>
    <w:rsid w:val="00F72657"/>
    <w:rsid w:val="00F7569E"/>
    <w:rsid w:val="00F7680D"/>
    <w:rsid w:val="00F77EF3"/>
    <w:rsid w:val="00F81A34"/>
    <w:rsid w:val="00F81D2F"/>
    <w:rsid w:val="00F8398B"/>
    <w:rsid w:val="00F90202"/>
    <w:rsid w:val="00F930DF"/>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1E25"/>
    <w:rsid w:val="00FE1F1F"/>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7DE7"/>
  <w15:docId w15:val="{444EE8CC-E564-4CF1-80ED-451EF605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link w:val="Title"/>
    <w:rsid w:val="00BD5588"/>
    <w:rPr>
      <w:rFonts w:ascii="Times New Roman" w:eastAsia="Times New Roman" w:hAnsi="Times New Roman" w:cs="Times New Roman"/>
      <w:sz w:val="28"/>
      <w:szCs w:val="20"/>
    </w:rPr>
  </w:style>
  <w:style w:type="character" w:styleId="Hyperlink">
    <w:name w:val="Hyperlink"/>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4D5914"/>
    <w:rPr>
      <w:vertAlign w:val="superscript"/>
    </w:rPr>
  </w:style>
  <w:style w:type="paragraph" w:customStyle="1" w:styleId="Default">
    <w:name w:val="Default"/>
    <w:rsid w:val="00A95BEA"/>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0610-noteikumi-par-arstniecibas-personu-un-studejoso-kuri-apgust-pirma-vai-otra-limena-profesionalas-augstakas-mediciniskas-izgliti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90610-noteikumi-par-arstniecibas-personu-un-studejoso-kuri-apgust-pirma-vai-otra-limena-profesionalas-augstakas-mediciniskas-izgliti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9323-92C5-4F53-8C1B-CBAA18D7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12187</Words>
  <Characters>6948</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19097</CharactersWithSpaces>
  <SharedDoc>false</SharedDoc>
  <HLinks>
    <vt:vector size="12" baseType="variant">
      <vt:variant>
        <vt:i4>5177352</vt:i4>
      </vt:variant>
      <vt:variant>
        <vt:i4>3</vt:i4>
      </vt:variant>
      <vt:variant>
        <vt:i4>0</vt:i4>
      </vt:variant>
      <vt:variant>
        <vt:i4>5</vt:i4>
      </vt:variant>
      <vt:variant>
        <vt:lpwstr>https://likumi.lv/ta/id/190610-noteikumi-par-arstniecibas-personu-un-studejoso-kuri-apgust-pirma-vai-otra-limena-profesionalas-augstakas-mediciniskas-izglitib...</vt:lpwstr>
      </vt:variant>
      <vt:variant>
        <vt:lpwstr/>
      </vt:variant>
      <vt:variant>
        <vt:i4>5177352</vt:i4>
      </vt:variant>
      <vt:variant>
        <vt:i4>0</vt:i4>
      </vt:variant>
      <vt:variant>
        <vt:i4>0</vt:i4>
      </vt:variant>
      <vt:variant>
        <vt:i4>5</vt:i4>
      </vt:variant>
      <vt:variant>
        <vt:lpwstr>https://likumi.lv/ta/id/190610-noteikumi-par-arstniecibas-personu-un-studejoso-kuri-apgust-pirma-vai-otra-limena-profesionalas-augstakas-mediciniskas-izglitib...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cp:keywords/>
  <dc:description>I.Stūre
Inese.Sture@izm.gov.lv
t. 67047899</dc:description>
  <cp:lastModifiedBy>Inese Stūre</cp:lastModifiedBy>
  <cp:revision>18</cp:revision>
  <cp:lastPrinted>2019-05-27T13:25:00Z</cp:lastPrinted>
  <dcterms:created xsi:type="dcterms:W3CDTF">2019-10-16T06:46:00Z</dcterms:created>
  <dcterms:modified xsi:type="dcterms:W3CDTF">2019-10-18T09:14:00Z</dcterms:modified>
</cp:coreProperties>
</file>