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4C" w:rsidRPr="005B5227" w:rsidRDefault="00196278" w:rsidP="003B293D">
      <w:pPr>
        <w:pStyle w:val="naisnod"/>
        <w:spacing w:before="0" w:after="0"/>
        <w:rPr>
          <w:sz w:val="22"/>
          <w:szCs w:val="22"/>
        </w:rPr>
      </w:pPr>
      <w:bookmarkStart w:id="0" w:name="OLE_LINK20"/>
      <w:bookmarkStart w:id="1" w:name="OLE_LINK21"/>
      <w:r w:rsidRPr="005B5227">
        <w:rPr>
          <w:sz w:val="22"/>
          <w:szCs w:val="22"/>
        </w:rPr>
        <w:t>Izziņa par atzinumos sniegtajiem iebildumiem</w:t>
      </w:r>
      <w:r w:rsidR="008C673C" w:rsidRPr="005B5227">
        <w:rPr>
          <w:sz w:val="22"/>
          <w:szCs w:val="22"/>
        </w:rPr>
        <w:t xml:space="preserve"> </w:t>
      </w:r>
    </w:p>
    <w:p w:rsidR="00572183" w:rsidRPr="005B5227" w:rsidRDefault="008C673C" w:rsidP="00572183">
      <w:pPr>
        <w:jc w:val="center"/>
        <w:rPr>
          <w:b/>
          <w:bCs/>
          <w:sz w:val="22"/>
          <w:szCs w:val="22"/>
        </w:rPr>
      </w:pPr>
      <w:r w:rsidRPr="005B5227">
        <w:rPr>
          <w:b/>
          <w:bCs/>
          <w:sz w:val="22"/>
          <w:szCs w:val="22"/>
        </w:rPr>
        <w:t xml:space="preserve">par </w:t>
      </w:r>
      <w:r w:rsidR="00487E68" w:rsidRPr="005B5227">
        <w:rPr>
          <w:b/>
          <w:bCs/>
          <w:sz w:val="22"/>
          <w:szCs w:val="22"/>
        </w:rPr>
        <w:t>i</w:t>
      </w:r>
      <w:r w:rsidR="00572183" w:rsidRPr="005B5227">
        <w:rPr>
          <w:b/>
          <w:bCs/>
          <w:sz w:val="22"/>
          <w:szCs w:val="22"/>
        </w:rPr>
        <w:t>nformatīvo</w:t>
      </w:r>
      <w:r w:rsidR="00C34D8C" w:rsidRPr="005B5227">
        <w:rPr>
          <w:b/>
          <w:bCs/>
          <w:sz w:val="22"/>
          <w:szCs w:val="22"/>
        </w:rPr>
        <w:t xml:space="preserve"> ziņojumu „</w:t>
      </w:r>
      <w:r w:rsidR="00572183" w:rsidRPr="005B5227">
        <w:rPr>
          <w:b/>
          <w:bCs/>
          <w:sz w:val="22"/>
          <w:szCs w:val="22"/>
        </w:rPr>
        <w:t xml:space="preserve">Par nacionālās koncertzāles attīstības projekta izstrādes gaitu un </w:t>
      </w:r>
    </w:p>
    <w:p w:rsidR="00994CDF" w:rsidRPr="005B5227" w:rsidRDefault="00572183" w:rsidP="00572183">
      <w:pPr>
        <w:jc w:val="center"/>
        <w:rPr>
          <w:b/>
          <w:bCs/>
          <w:sz w:val="22"/>
          <w:szCs w:val="22"/>
        </w:rPr>
      </w:pPr>
      <w:r w:rsidRPr="005B5227">
        <w:rPr>
          <w:b/>
          <w:bCs/>
          <w:sz w:val="22"/>
          <w:szCs w:val="22"/>
        </w:rPr>
        <w:t>nepieciešamo finansējumu juridisko risinājumu izstrādei</w:t>
      </w:r>
      <w:r w:rsidR="00C34D8C" w:rsidRPr="005B5227">
        <w:rPr>
          <w:b/>
          <w:bCs/>
          <w:sz w:val="22"/>
          <w:szCs w:val="22"/>
        </w:rPr>
        <w:t>”</w:t>
      </w:r>
      <w:r w:rsidR="00994CDF" w:rsidRPr="005B5227">
        <w:rPr>
          <w:b/>
          <w:bCs/>
          <w:sz w:val="22"/>
          <w:szCs w:val="22"/>
        </w:rPr>
        <w:t xml:space="preserve">, tam pievienoto Ministru kabineta sēdes protokollēmuma projektu un </w:t>
      </w:r>
    </w:p>
    <w:p w:rsidR="00032061" w:rsidRPr="005B5227" w:rsidRDefault="00994CDF" w:rsidP="00572183">
      <w:pPr>
        <w:jc w:val="center"/>
        <w:rPr>
          <w:b/>
          <w:bCs/>
          <w:sz w:val="22"/>
          <w:szCs w:val="22"/>
        </w:rPr>
      </w:pPr>
      <w:r w:rsidRPr="005B5227">
        <w:rPr>
          <w:b/>
          <w:bCs/>
          <w:sz w:val="22"/>
          <w:szCs w:val="22"/>
        </w:rPr>
        <w:t xml:space="preserve">Ministru kabineta rīkojuma projektu „Par apropriācijas pārdali” </w:t>
      </w:r>
    </w:p>
    <w:bookmarkEnd w:id="0"/>
    <w:bookmarkEnd w:id="1"/>
    <w:p w:rsidR="00C34D8C" w:rsidRPr="005B5227" w:rsidRDefault="00C34D8C" w:rsidP="00C34D8C">
      <w:pPr>
        <w:pStyle w:val="naisnod"/>
        <w:spacing w:before="0" w:after="0"/>
        <w:rPr>
          <w:b w:val="0"/>
          <w:bCs w:val="0"/>
          <w:sz w:val="22"/>
          <w:szCs w:val="22"/>
        </w:rPr>
      </w:pPr>
    </w:p>
    <w:p w:rsidR="001229CC" w:rsidRPr="005B5227" w:rsidRDefault="00F64DE4" w:rsidP="003B293D">
      <w:pPr>
        <w:numPr>
          <w:ilvl w:val="0"/>
          <w:numId w:val="1"/>
        </w:numPr>
        <w:ind w:left="567" w:hanging="207"/>
        <w:jc w:val="center"/>
        <w:rPr>
          <w:b/>
          <w:bCs/>
          <w:sz w:val="22"/>
          <w:szCs w:val="22"/>
        </w:rPr>
      </w:pPr>
      <w:r w:rsidRPr="005B5227">
        <w:rPr>
          <w:b/>
          <w:bCs/>
          <w:sz w:val="22"/>
          <w:szCs w:val="22"/>
        </w:rPr>
        <w:t>Jautājumi, par kuriem saskaņošanā vienošanās nav panākta</w:t>
      </w:r>
    </w:p>
    <w:p w:rsidR="00D259D7" w:rsidRPr="005B5227" w:rsidRDefault="00D259D7" w:rsidP="00D259D7">
      <w:pPr>
        <w:ind w:left="567"/>
        <w:rPr>
          <w:b/>
          <w:bCs/>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716"/>
        <w:gridCol w:w="2403"/>
        <w:gridCol w:w="3157"/>
        <w:gridCol w:w="3006"/>
        <w:gridCol w:w="2440"/>
        <w:gridCol w:w="2497"/>
      </w:tblGrid>
      <w:tr w:rsidR="00F64DE4" w:rsidRPr="005B5227" w:rsidTr="00487E68">
        <w:tc>
          <w:tcPr>
            <w:tcW w:w="252" w:type="pct"/>
            <w:tcBorders>
              <w:top w:val="single" w:sz="6" w:space="0" w:color="000000"/>
              <w:left w:val="single" w:sz="6" w:space="0" w:color="000000"/>
              <w:bottom w:val="single" w:sz="6" w:space="0" w:color="000000"/>
              <w:right w:val="single" w:sz="6" w:space="0" w:color="000000"/>
            </w:tcBorders>
            <w:vAlign w:val="center"/>
            <w:hideMark/>
          </w:tcPr>
          <w:p w:rsidR="00C01E51" w:rsidRPr="005B5227" w:rsidRDefault="00F64DE4" w:rsidP="003B293D">
            <w:pPr>
              <w:pStyle w:val="naisc"/>
              <w:spacing w:before="0" w:after="0"/>
              <w:rPr>
                <w:lang w:eastAsia="en-US"/>
              </w:rPr>
            </w:pPr>
            <w:r w:rsidRPr="005B5227">
              <w:rPr>
                <w:sz w:val="22"/>
                <w:szCs w:val="22"/>
                <w:lang w:eastAsia="en-US"/>
              </w:rPr>
              <w:t>Nr. p.k.</w:t>
            </w:r>
          </w:p>
        </w:tc>
        <w:tc>
          <w:tcPr>
            <w:tcW w:w="845" w:type="pct"/>
            <w:tcBorders>
              <w:top w:val="single" w:sz="6" w:space="0" w:color="000000"/>
              <w:left w:val="single" w:sz="6" w:space="0" w:color="000000"/>
              <w:bottom w:val="single" w:sz="6" w:space="0" w:color="000000"/>
              <w:right w:val="single" w:sz="6" w:space="0" w:color="000000"/>
            </w:tcBorders>
            <w:vAlign w:val="center"/>
            <w:hideMark/>
          </w:tcPr>
          <w:p w:rsidR="00C01E51" w:rsidRPr="005B5227" w:rsidRDefault="00F64DE4" w:rsidP="003B293D">
            <w:pPr>
              <w:pStyle w:val="naisc"/>
              <w:spacing w:before="0" w:after="0"/>
              <w:ind w:firstLine="12"/>
              <w:rPr>
                <w:lang w:eastAsia="en-US"/>
              </w:rPr>
            </w:pPr>
            <w:r w:rsidRPr="005B5227">
              <w:rPr>
                <w:sz w:val="22"/>
                <w:szCs w:val="22"/>
                <w:lang w:eastAsia="en-US"/>
              </w:rPr>
              <w:t>Saskaņošanai nosūtītā projekta redakcija (konkrēta punkta (panta) redakcija)</w:t>
            </w:r>
          </w:p>
        </w:tc>
        <w:tc>
          <w:tcPr>
            <w:tcW w:w="1110" w:type="pct"/>
            <w:tcBorders>
              <w:top w:val="single" w:sz="6" w:space="0" w:color="000000"/>
              <w:left w:val="single" w:sz="6" w:space="0" w:color="000000"/>
              <w:bottom w:val="single" w:sz="6" w:space="0" w:color="000000"/>
              <w:right w:val="single" w:sz="6" w:space="0" w:color="000000"/>
            </w:tcBorders>
            <w:vAlign w:val="center"/>
            <w:hideMark/>
          </w:tcPr>
          <w:p w:rsidR="00C01E51" w:rsidRPr="005B5227" w:rsidRDefault="00F64DE4" w:rsidP="003B293D">
            <w:pPr>
              <w:pStyle w:val="naisc"/>
              <w:spacing w:before="0" w:after="0"/>
              <w:ind w:right="3"/>
              <w:rPr>
                <w:lang w:eastAsia="en-US"/>
              </w:rPr>
            </w:pPr>
            <w:r w:rsidRPr="005B5227">
              <w:rPr>
                <w:sz w:val="22"/>
                <w:szCs w:val="22"/>
                <w:lang w:eastAsia="en-US"/>
              </w:rPr>
              <w:t>Atzinumā norādītais ministrijas (citas institūcijas) iebildums, kā arī saskaņošanā papildus izte</w:t>
            </w:r>
            <w:r w:rsidR="00734AC4" w:rsidRPr="005B5227">
              <w:rPr>
                <w:sz w:val="22"/>
                <w:szCs w:val="22"/>
                <w:lang w:eastAsia="en-US"/>
              </w:rPr>
              <w:t>iktais iebildums par projekta konkrēto punktu (pantu)</w:t>
            </w:r>
          </w:p>
        </w:tc>
        <w:tc>
          <w:tcPr>
            <w:tcW w:w="1057" w:type="pct"/>
            <w:tcBorders>
              <w:top w:val="single" w:sz="6" w:space="0" w:color="000000"/>
              <w:left w:val="single" w:sz="6" w:space="0" w:color="000000"/>
              <w:bottom w:val="single" w:sz="6" w:space="0" w:color="000000"/>
              <w:right w:val="single" w:sz="6" w:space="0" w:color="000000"/>
            </w:tcBorders>
            <w:vAlign w:val="center"/>
            <w:hideMark/>
          </w:tcPr>
          <w:p w:rsidR="00C01E51" w:rsidRPr="005B5227" w:rsidRDefault="00F64DE4" w:rsidP="003B293D">
            <w:pPr>
              <w:pStyle w:val="naisc"/>
              <w:spacing w:before="0" w:after="0"/>
              <w:ind w:firstLine="21"/>
              <w:rPr>
                <w:lang w:eastAsia="en-US"/>
              </w:rPr>
            </w:pPr>
            <w:r w:rsidRPr="005B5227">
              <w:rPr>
                <w:sz w:val="22"/>
                <w:szCs w:val="22"/>
                <w:lang w:eastAsia="en-US"/>
              </w:rPr>
              <w:t>Atbildīgās ministrijas pamatojums iebilduma noraidījumam</w:t>
            </w:r>
          </w:p>
        </w:tc>
        <w:tc>
          <w:tcPr>
            <w:tcW w:w="858" w:type="pct"/>
            <w:tcBorders>
              <w:top w:val="single" w:sz="4" w:space="0" w:color="auto"/>
              <w:left w:val="single" w:sz="4" w:space="0" w:color="auto"/>
              <w:bottom w:val="single" w:sz="4" w:space="0" w:color="auto"/>
              <w:right w:val="single" w:sz="4" w:space="0" w:color="auto"/>
            </w:tcBorders>
            <w:vAlign w:val="center"/>
            <w:hideMark/>
          </w:tcPr>
          <w:p w:rsidR="00C01E51" w:rsidRPr="005B5227" w:rsidRDefault="00F64DE4" w:rsidP="003B293D">
            <w:pPr>
              <w:jc w:val="center"/>
              <w:rPr>
                <w:lang w:eastAsia="en-US"/>
              </w:rPr>
            </w:pPr>
            <w:r w:rsidRPr="005B5227">
              <w:rPr>
                <w:sz w:val="22"/>
                <w:szCs w:val="22"/>
                <w:lang w:eastAsia="en-US"/>
              </w:rPr>
              <w:t>Atzinuma sniedzēja uzturētais iebildums, ja tas atšķiras no atzinumā norādītā iebilduma pamatojuma</w:t>
            </w:r>
          </w:p>
        </w:tc>
        <w:tc>
          <w:tcPr>
            <w:tcW w:w="878" w:type="pct"/>
            <w:tcBorders>
              <w:top w:val="single" w:sz="4" w:space="0" w:color="auto"/>
              <w:left w:val="single" w:sz="4" w:space="0" w:color="auto"/>
              <w:bottom w:val="single" w:sz="4" w:space="0" w:color="auto"/>
              <w:right w:val="single" w:sz="4" w:space="0" w:color="auto"/>
            </w:tcBorders>
            <w:vAlign w:val="center"/>
            <w:hideMark/>
          </w:tcPr>
          <w:p w:rsidR="00C01E51" w:rsidRPr="005B5227" w:rsidRDefault="00F64DE4" w:rsidP="003B293D">
            <w:pPr>
              <w:jc w:val="center"/>
              <w:rPr>
                <w:lang w:eastAsia="en-US"/>
              </w:rPr>
            </w:pPr>
            <w:r w:rsidRPr="005B5227">
              <w:rPr>
                <w:sz w:val="22"/>
                <w:szCs w:val="22"/>
                <w:lang w:eastAsia="en-US"/>
              </w:rPr>
              <w:t>Projekta attiecīgā punkta (panta) galīgā redakcija</w:t>
            </w:r>
          </w:p>
        </w:tc>
      </w:tr>
      <w:tr w:rsidR="00F64DE4" w:rsidRPr="005B5227" w:rsidTr="00487E68">
        <w:tc>
          <w:tcPr>
            <w:tcW w:w="252" w:type="pct"/>
            <w:tcBorders>
              <w:top w:val="single" w:sz="6" w:space="0" w:color="000000"/>
              <w:left w:val="single" w:sz="6" w:space="0" w:color="000000"/>
              <w:bottom w:val="single" w:sz="6" w:space="0" w:color="000000"/>
              <w:right w:val="single" w:sz="6" w:space="0" w:color="000000"/>
            </w:tcBorders>
            <w:hideMark/>
          </w:tcPr>
          <w:p w:rsidR="00C01E51" w:rsidRPr="005B5227" w:rsidRDefault="00F64DE4" w:rsidP="003B293D">
            <w:pPr>
              <w:pStyle w:val="naisc"/>
              <w:spacing w:before="0" w:after="0"/>
              <w:rPr>
                <w:lang w:eastAsia="en-US"/>
              </w:rPr>
            </w:pPr>
            <w:r w:rsidRPr="005B5227">
              <w:rPr>
                <w:sz w:val="22"/>
                <w:szCs w:val="22"/>
                <w:lang w:eastAsia="en-US"/>
              </w:rPr>
              <w:t>1</w:t>
            </w:r>
          </w:p>
        </w:tc>
        <w:tc>
          <w:tcPr>
            <w:tcW w:w="845" w:type="pct"/>
            <w:tcBorders>
              <w:top w:val="single" w:sz="6" w:space="0" w:color="000000"/>
              <w:left w:val="single" w:sz="6" w:space="0" w:color="000000"/>
              <w:bottom w:val="single" w:sz="6" w:space="0" w:color="000000"/>
              <w:right w:val="single" w:sz="6" w:space="0" w:color="000000"/>
            </w:tcBorders>
            <w:hideMark/>
          </w:tcPr>
          <w:p w:rsidR="00C01E51" w:rsidRPr="005B5227" w:rsidRDefault="00F64DE4" w:rsidP="003B293D">
            <w:pPr>
              <w:pStyle w:val="naisc"/>
              <w:spacing w:before="0" w:after="0"/>
              <w:ind w:hanging="11"/>
              <w:rPr>
                <w:lang w:eastAsia="en-US"/>
              </w:rPr>
            </w:pPr>
            <w:r w:rsidRPr="005B5227">
              <w:rPr>
                <w:sz w:val="22"/>
                <w:szCs w:val="22"/>
                <w:lang w:eastAsia="en-US"/>
              </w:rPr>
              <w:t>2</w:t>
            </w:r>
          </w:p>
        </w:tc>
        <w:tc>
          <w:tcPr>
            <w:tcW w:w="1110" w:type="pct"/>
            <w:tcBorders>
              <w:top w:val="single" w:sz="6" w:space="0" w:color="000000"/>
              <w:left w:val="single" w:sz="6" w:space="0" w:color="000000"/>
              <w:bottom w:val="single" w:sz="6" w:space="0" w:color="000000"/>
              <w:right w:val="single" w:sz="6" w:space="0" w:color="000000"/>
            </w:tcBorders>
            <w:hideMark/>
          </w:tcPr>
          <w:p w:rsidR="00C01E51" w:rsidRPr="005B5227" w:rsidRDefault="00F64DE4" w:rsidP="003B293D">
            <w:pPr>
              <w:pStyle w:val="naisc"/>
              <w:spacing w:before="0" w:after="0"/>
              <w:rPr>
                <w:lang w:eastAsia="en-US"/>
              </w:rPr>
            </w:pPr>
            <w:r w:rsidRPr="005B5227">
              <w:rPr>
                <w:sz w:val="22"/>
                <w:szCs w:val="22"/>
                <w:lang w:eastAsia="en-US"/>
              </w:rPr>
              <w:t>3</w:t>
            </w:r>
          </w:p>
        </w:tc>
        <w:tc>
          <w:tcPr>
            <w:tcW w:w="1057" w:type="pct"/>
            <w:tcBorders>
              <w:top w:val="single" w:sz="6" w:space="0" w:color="000000"/>
              <w:left w:val="single" w:sz="6" w:space="0" w:color="000000"/>
              <w:bottom w:val="single" w:sz="6" w:space="0" w:color="000000"/>
              <w:right w:val="single" w:sz="6" w:space="0" w:color="000000"/>
            </w:tcBorders>
            <w:hideMark/>
          </w:tcPr>
          <w:p w:rsidR="00C01E51" w:rsidRPr="005B5227" w:rsidRDefault="00F64DE4" w:rsidP="003B293D">
            <w:pPr>
              <w:pStyle w:val="naisc"/>
              <w:spacing w:before="0" w:after="0"/>
              <w:rPr>
                <w:lang w:eastAsia="en-US"/>
              </w:rPr>
            </w:pPr>
            <w:r w:rsidRPr="005B5227">
              <w:rPr>
                <w:sz w:val="22"/>
                <w:szCs w:val="22"/>
                <w:lang w:eastAsia="en-US"/>
              </w:rPr>
              <w:t>4</w:t>
            </w:r>
          </w:p>
        </w:tc>
        <w:tc>
          <w:tcPr>
            <w:tcW w:w="858" w:type="pct"/>
            <w:tcBorders>
              <w:top w:val="single" w:sz="4" w:space="0" w:color="auto"/>
              <w:left w:val="single" w:sz="4" w:space="0" w:color="auto"/>
              <w:bottom w:val="single" w:sz="4" w:space="0" w:color="auto"/>
              <w:right w:val="single" w:sz="4" w:space="0" w:color="auto"/>
            </w:tcBorders>
            <w:hideMark/>
          </w:tcPr>
          <w:p w:rsidR="00C01E51" w:rsidRPr="005B5227" w:rsidRDefault="00F64DE4" w:rsidP="003B293D">
            <w:pPr>
              <w:jc w:val="center"/>
              <w:rPr>
                <w:lang w:eastAsia="en-US"/>
              </w:rPr>
            </w:pPr>
            <w:r w:rsidRPr="005B5227">
              <w:rPr>
                <w:sz w:val="22"/>
                <w:szCs w:val="22"/>
                <w:lang w:eastAsia="en-US"/>
              </w:rPr>
              <w:t>5</w:t>
            </w:r>
          </w:p>
        </w:tc>
        <w:tc>
          <w:tcPr>
            <w:tcW w:w="878" w:type="pct"/>
            <w:tcBorders>
              <w:top w:val="single" w:sz="4" w:space="0" w:color="auto"/>
              <w:left w:val="single" w:sz="4" w:space="0" w:color="auto"/>
              <w:bottom w:val="single" w:sz="4" w:space="0" w:color="auto"/>
              <w:right w:val="single" w:sz="4" w:space="0" w:color="auto"/>
            </w:tcBorders>
            <w:hideMark/>
          </w:tcPr>
          <w:p w:rsidR="00C01E51" w:rsidRPr="005B5227" w:rsidRDefault="00F64DE4" w:rsidP="003B293D">
            <w:pPr>
              <w:jc w:val="center"/>
              <w:rPr>
                <w:lang w:eastAsia="en-US"/>
              </w:rPr>
            </w:pPr>
            <w:r w:rsidRPr="005B5227">
              <w:rPr>
                <w:sz w:val="22"/>
                <w:szCs w:val="22"/>
                <w:lang w:eastAsia="en-US"/>
              </w:rPr>
              <w:t>6</w:t>
            </w:r>
          </w:p>
        </w:tc>
      </w:tr>
      <w:tr w:rsidR="00222E72" w:rsidRPr="005B5227" w:rsidTr="00487E68">
        <w:tc>
          <w:tcPr>
            <w:tcW w:w="252" w:type="pct"/>
            <w:tcBorders>
              <w:top w:val="single" w:sz="6" w:space="0" w:color="000000"/>
              <w:left w:val="single" w:sz="6" w:space="0" w:color="000000"/>
              <w:bottom w:val="single" w:sz="6" w:space="0" w:color="000000"/>
              <w:right w:val="single" w:sz="6" w:space="0" w:color="000000"/>
            </w:tcBorders>
          </w:tcPr>
          <w:p w:rsidR="00222E72" w:rsidRPr="005B5227" w:rsidRDefault="00222E72" w:rsidP="003B293D">
            <w:pPr>
              <w:pStyle w:val="naisc"/>
              <w:spacing w:before="0" w:after="0"/>
              <w:rPr>
                <w:lang w:eastAsia="en-US"/>
              </w:rPr>
            </w:pPr>
          </w:p>
        </w:tc>
        <w:tc>
          <w:tcPr>
            <w:tcW w:w="845" w:type="pct"/>
            <w:tcBorders>
              <w:top w:val="single" w:sz="6" w:space="0" w:color="000000"/>
              <w:left w:val="single" w:sz="6" w:space="0" w:color="000000"/>
              <w:bottom w:val="single" w:sz="6" w:space="0" w:color="000000"/>
              <w:right w:val="single" w:sz="6" w:space="0" w:color="000000"/>
            </w:tcBorders>
          </w:tcPr>
          <w:p w:rsidR="00222E72" w:rsidRPr="005B5227" w:rsidRDefault="00222E72" w:rsidP="003B293D">
            <w:pPr>
              <w:pStyle w:val="naisc"/>
              <w:spacing w:before="0" w:after="0"/>
              <w:ind w:hanging="11"/>
              <w:rPr>
                <w:lang w:eastAsia="en-US"/>
              </w:rPr>
            </w:pPr>
          </w:p>
        </w:tc>
        <w:tc>
          <w:tcPr>
            <w:tcW w:w="1110" w:type="pct"/>
            <w:tcBorders>
              <w:top w:val="single" w:sz="6" w:space="0" w:color="000000"/>
              <w:left w:val="single" w:sz="6" w:space="0" w:color="000000"/>
              <w:bottom w:val="single" w:sz="6" w:space="0" w:color="000000"/>
              <w:right w:val="single" w:sz="6" w:space="0" w:color="000000"/>
            </w:tcBorders>
          </w:tcPr>
          <w:p w:rsidR="00222E72" w:rsidRPr="005B5227" w:rsidRDefault="00222E72" w:rsidP="003B293D">
            <w:pPr>
              <w:pStyle w:val="naisc"/>
              <w:spacing w:before="0" w:after="0"/>
              <w:rPr>
                <w:lang w:eastAsia="en-US"/>
              </w:rPr>
            </w:pPr>
          </w:p>
        </w:tc>
        <w:tc>
          <w:tcPr>
            <w:tcW w:w="1057" w:type="pct"/>
            <w:tcBorders>
              <w:top w:val="single" w:sz="6" w:space="0" w:color="000000"/>
              <w:left w:val="single" w:sz="6" w:space="0" w:color="000000"/>
              <w:bottom w:val="single" w:sz="6" w:space="0" w:color="000000"/>
              <w:right w:val="single" w:sz="6" w:space="0" w:color="000000"/>
            </w:tcBorders>
          </w:tcPr>
          <w:p w:rsidR="00222E72" w:rsidRPr="005B5227" w:rsidRDefault="00222E72" w:rsidP="003B293D">
            <w:pPr>
              <w:pStyle w:val="naisc"/>
              <w:spacing w:before="0" w:after="0"/>
              <w:rPr>
                <w:lang w:eastAsia="en-US"/>
              </w:rPr>
            </w:pPr>
          </w:p>
        </w:tc>
        <w:tc>
          <w:tcPr>
            <w:tcW w:w="858" w:type="pct"/>
            <w:tcBorders>
              <w:top w:val="single" w:sz="4" w:space="0" w:color="auto"/>
              <w:left w:val="single" w:sz="4" w:space="0" w:color="auto"/>
              <w:bottom w:val="single" w:sz="4" w:space="0" w:color="auto"/>
              <w:right w:val="single" w:sz="4" w:space="0" w:color="auto"/>
            </w:tcBorders>
          </w:tcPr>
          <w:p w:rsidR="00222E72" w:rsidRPr="005B5227" w:rsidRDefault="00222E72" w:rsidP="003B293D">
            <w:pPr>
              <w:jc w:val="center"/>
              <w:rPr>
                <w:lang w:eastAsia="en-US"/>
              </w:rPr>
            </w:pPr>
          </w:p>
        </w:tc>
        <w:tc>
          <w:tcPr>
            <w:tcW w:w="878" w:type="pct"/>
            <w:tcBorders>
              <w:top w:val="single" w:sz="4" w:space="0" w:color="auto"/>
              <w:left w:val="single" w:sz="4" w:space="0" w:color="auto"/>
              <w:bottom w:val="single" w:sz="4" w:space="0" w:color="auto"/>
              <w:right w:val="single" w:sz="4" w:space="0" w:color="auto"/>
            </w:tcBorders>
          </w:tcPr>
          <w:p w:rsidR="00222E72" w:rsidRPr="005B5227" w:rsidRDefault="00222E72" w:rsidP="003B293D">
            <w:pPr>
              <w:jc w:val="center"/>
              <w:rPr>
                <w:lang w:eastAsia="en-US"/>
              </w:rPr>
            </w:pPr>
          </w:p>
        </w:tc>
      </w:tr>
    </w:tbl>
    <w:p w:rsidR="00C01E51" w:rsidRPr="005B5227" w:rsidRDefault="00C01E51" w:rsidP="003B293D">
      <w:pPr>
        <w:ind w:left="57" w:right="57" w:firstLine="375"/>
        <w:contextualSpacing/>
        <w:mirrorIndents/>
        <w:jc w:val="both"/>
        <w:rPr>
          <w:sz w:val="22"/>
          <w:szCs w:val="22"/>
        </w:rPr>
      </w:pPr>
    </w:p>
    <w:p w:rsidR="00C01E51" w:rsidRPr="005B5227" w:rsidRDefault="00734AC4" w:rsidP="003B293D">
      <w:pPr>
        <w:ind w:left="57" w:right="57"/>
        <w:contextualSpacing/>
        <w:mirrorIndents/>
        <w:rPr>
          <w:sz w:val="22"/>
          <w:szCs w:val="22"/>
        </w:rPr>
      </w:pPr>
      <w:r w:rsidRPr="005B5227">
        <w:rPr>
          <w:b/>
          <w:bCs/>
          <w:sz w:val="22"/>
          <w:szCs w:val="22"/>
        </w:rPr>
        <w:t>Informācija par starpministriju (starpinstitūciju) sanāksmi vai elektronisko saskaņošanu</w:t>
      </w:r>
      <w:r w:rsidRPr="005B5227">
        <w:rPr>
          <w:sz w:val="22"/>
          <w:szCs w:val="22"/>
        </w:rPr>
        <w:t> </w:t>
      </w:r>
    </w:p>
    <w:p w:rsidR="00D724E9" w:rsidRPr="005B5227" w:rsidRDefault="00D724E9" w:rsidP="003B293D">
      <w:pPr>
        <w:ind w:left="57" w:right="57"/>
        <w:contextualSpacing/>
        <w:mirrorIndents/>
        <w:rPr>
          <w:sz w:val="22"/>
          <w:szCs w:val="22"/>
        </w:rPr>
      </w:pPr>
    </w:p>
    <w:tbl>
      <w:tblPr>
        <w:tblW w:w="14207" w:type="dxa"/>
        <w:tblLook w:val="00A0"/>
      </w:tblPr>
      <w:tblGrid>
        <w:gridCol w:w="14207"/>
      </w:tblGrid>
      <w:tr w:rsidR="00F64DE4" w:rsidRPr="005B5227" w:rsidTr="00F64DE4">
        <w:tc>
          <w:tcPr>
            <w:tcW w:w="14207" w:type="dxa"/>
            <w:hideMark/>
          </w:tcPr>
          <w:tbl>
            <w:tblPr>
              <w:tblW w:w="13707" w:type="dxa"/>
              <w:tblLook w:val="00A0"/>
            </w:tblPr>
            <w:tblGrid>
              <w:gridCol w:w="6237"/>
              <w:gridCol w:w="1901"/>
              <w:gridCol w:w="5569"/>
            </w:tblGrid>
            <w:tr w:rsidR="00F64DE4" w:rsidRPr="005B5227" w:rsidTr="00487E68">
              <w:tc>
                <w:tcPr>
                  <w:tcW w:w="6237" w:type="dxa"/>
                  <w:hideMark/>
                </w:tcPr>
                <w:p w:rsidR="00C01E51" w:rsidRPr="005B5227" w:rsidRDefault="004520D3" w:rsidP="003B293D">
                  <w:pPr>
                    <w:pStyle w:val="naisf"/>
                    <w:spacing w:before="0" w:after="0"/>
                    <w:ind w:firstLine="0"/>
                    <w:rPr>
                      <w:lang w:eastAsia="en-US"/>
                    </w:rPr>
                  </w:pPr>
                  <w:r w:rsidRPr="005B5227">
                    <w:rPr>
                      <w:sz w:val="22"/>
                      <w:szCs w:val="22"/>
                      <w:lang w:eastAsia="en-US"/>
                    </w:rPr>
                    <w:t>Datums</w:t>
                  </w:r>
                </w:p>
              </w:tc>
              <w:tc>
                <w:tcPr>
                  <w:tcW w:w="7470" w:type="dxa"/>
                  <w:gridSpan w:val="2"/>
                  <w:tcBorders>
                    <w:top w:val="nil"/>
                    <w:left w:val="nil"/>
                    <w:bottom w:val="single" w:sz="4" w:space="0" w:color="auto"/>
                    <w:right w:val="nil"/>
                  </w:tcBorders>
                  <w:hideMark/>
                </w:tcPr>
                <w:p w:rsidR="00C01E51" w:rsidRPr="005B5227" w:rsidRDefault="008265ED" w:rsidP="00881F85">
                  <w:pPr>
                    <w:pStyle w:val="ParastaisWeb"/>
                    <w:spacing w:before="0" w:beforeAutospacing="0" w:after="0" w:afterAutospacing="0"/>
                    <w:rPr>
                      <w:lang w:eastAsia="en-US"/>
                    </w:rPr>
                  </w:pPr>
                  <w:r w:rsidRPr="005B5227">
                    <w:rPr>
                      <w:sz w:val="22"/>
                      <w:szCs w:val="22"/>
                      <w:lang w:eastAsia="en-US"/>
                    </w:rPr>
                    <w:t>2019</w:t>
                  </w:r>
                  <w:r w:rsidR="00925618" w:rsidRPr="005B5227">
                    <w:rPr>
                      <w:sz w:val="22"/>
                      <w:szCs w:val="22"/>
                      <w:lang w:eastAsia="en-US"/>
                    </w:rPr>
                    <w:t xml:space="preserve">.gada </w:t>
                  </w:r>
                  <w:r w:rsidR="00487E68" w:rsidRPr="005B5227">
                    <w:rPr>
                      <w:sz w:val="22"/>
                      <w:szCs w:val="22"/>
                      <w:lang w:eastAsia="en-US"/>
                    </w:rPr>
                    <w:t xml:space="preserve">4.oktobris, </w:t>
                  </w:r>
                  <w:r w:rsidR="00353C6A" w:rsidRPr="005B5227">
                    <w:rPr>
                      <w:sz w:val="22"/>
                      <w:szCs w:val="22"/>
                      <w:lang w:eastAsia="en-US"/>
                    </w:rPr>
                    <w:t xml:space="preserve">2019.gada </w:t>
                  </w:r>
                  <w:r w:rsidR="00034BB4" w:rsidRPr="005B5227">
                    <w:rPr>
                      <w:sz w:val="22"/>
                      <w:szCs w:val="22"/>
                      <w:lang w:eastAsia="en-US"/>
                    </w:rPr>
                    <w:t>16</w:t>
                  </w:r>
                  <w:r w:rsidR="00881F85" w:rsidRPr="005B5227">
                    <w:rPr>
                      <w:sz w:val="22"/>
                      <w:szCs w:val="22"/>
                      <w:lang w:eastAsia="en-US"/>
                    </w:rPr>
                    <w:t>.oktobris</w:t>
                  </w:r>
                </w:p>
              </w:tc>
            </w:tr>
            <w:tr w:rsidR="00F64DE4" w:rsidRPr="005B5227" w:rsidTr="00487E68">
              <w:tc>
                <w:tcPr>
                  <w:tcW w:w="6237" w:type="dxa"/>
                </w:tcPr>
                <w:p w:rsidR="00C01E51" w:rsidRPr="005B5227" w:rsidRDefault="00C01E51" w:rsidP="003B293D">
                  <w:pPr>
                    <w:pStyle w:val="naisf"/>
                    <w:spacing w:before="0" w:after="0"/>
                    <w:rPr>
                      <w:lang w:eastAsia="en-US"/>
                    </w:rPr>
                  </w:pPr>
                </w:p>
              </w:tc>
              <w:tc>
                <w:tcPr>
                  <w:tcW w:w="7470" w:type="dxa"/>
                  <w:gridSpan w:val="2"/>
                  <w:tcBorders>
                    <w:top w:val="single" w:sz="4" w:space="0" w:color="auto"/>
                    <w:left w:val="nil"/>
                    <w:bottom w:val="nil"/>
                    <w:right w:val="nil"/>
                  </w:tcBorders>
                </w:tcPr>
                <w:p w:rsidR="00C01E51" w:rsidRPr="005B5227" w:rsidRDefault="00C01E51" w:rsidP="003B293D">
                  <w:pPr>
                    <w:pStyle w:val="ParastaisWeb"/>
                    <w:spacing w:before="0" w:beforeAutospacing="0" w:after="0" w:afterAutospacing="0"/>
                    <w:ind w:firstLine="720"/>
                    <w:rPr>
                      <w:lang w:eastAsia="en-US"/>
                    </w:rPr>
                  </w:pPr>
                </w:p>
              </w:tc>
            </w:tr>
            <w:tr w:rsidR="00F64DE4" w:rsidRPr="005B5227" w:rsidTr="00487E68">
              <w:tc>
                <w:tcPr>
                  <w:tcW w:w="6237" w:type="dxa"/>
                  <w:hideMark/>
                </w:tcPr>
                <w:p w:rsidR="00C01E51" w:rsidRPr="005B5227" w:rsidRDefault="00F64DE4" w:rsidP="003B293D">
                  <w:pPr>
                    <w:pStyle w:val="naiskr"/>
                    <w:spacing w:before="0" w:after="0"/>
                    <w:rPr>
                      <w:lang w:eastAsia="en-US"/>
                    </w:rPr>
                  </w:pPr>
                  <w:r w:rsidRPr="005B5227">
                    <w:rPr>
                      <w:sz w:val="22"/>
                      <w:szCs w:val="22"/>
                      <w:lang w:eastAsia="en-US"/>
                    </w:rPr>
                    <w:t>Saskaņošanas dalībnieki</w:t>
                  </w:r>
                </w:p>
              </w:tc>
              <w:tc>
                <w:tcPr>
                  <w:tcW w:w="7470" w:type="dxa"/>
                  <w:gridSpan w:val="2"/>
                  <w:tcBorders>
                    <w:top w:val="nil"/>
                    <w:left w:val="nil"/>
                    <w:bottom w:val="single" w:sz="4" w:space="0" w:color="auto"/>
                    <w:right w:val="nil"/>
                  </w:tcBorders>
                  <w:hideMark/>
                </w:tcPr>
                <w:p w:rsidR="00C01E51" w:rsidRPr="005B5227" w:rsidRDefault="000C7D3F" w:rsidP="00881F85">
                  <w:pPr>
                    <w:pStyle w:val="ParastaisWeb"/>
                    <w:spacing w:before="0" w:beforeAutospacing="0" w:after="0" w:afterAutospacing="0"/>
                    <w:ind w:left="34"/>
                    <w:rPr>
                      <w:lang w:eastAsia="en-US"/>
                    </w:rPr>
                  </w:pPr>
                  <w:r w:rsidRPr="005B5227">
                    <w:rPr>
                      <w:sz w:val="22"/>
                      <w:szCs w:val="22"/>
                      <w:lang w:eastAsia="en-US"/>
                    </w:rPr>
                    <w:t xml:space="preserve">Finanšu ministrija, Tieslietu ministrija, </w:t>
                  </w:r>
                  <w:r w:rsidR="00925618" w:rsidRPr="005B5227">
                    <w:rPr>
                      <w:sz w:val="22"/>
                      <w:szCs w:val="22"/>
                      <w:lang w:eastAsia="en-US"/>
                    </w:rPr>
                    <w:t>Ekonomikas ministrija</w:t>
                  </w:r>
                </w:p>
              </w:tc>
            </w:tr>
            <w:tr w:rsidR="00F64DE4" w:rsidRPr="005B5227" w:rsidTr="00487E68">
              <w:trPr>
                <w:trHeight w:val="208"/>
              </w:trPr>
              <w:tc>
                <w:tcPr>
                  <w:tcW w:w="6237" w:type="dxa"/>
                </w:tcPr>
                <w:p w:rsidR="00C01E51" w:rsidRPr="005B5227" w:rsidRDefault="00C01E51" w:rsidP="003B293D">
                  <w:pPr>
                    <w:pStyle w:val="naiskr"/>
                    <w:spacing w:before="0" w:after="0"/>
                    <w:rPr>
                      <w:lang w:eastAsia="en-US"/>
                    </w:rPr>
                  </w:pPr>
                </w:p>
              </w:tc>
              <w:tc>
                <w:tcPr>
                  <w:tcW w:w="1901" w:type="dxa"/>
                </w:tcPr>
                <w:p w:rsidR="00C01E51" w:rsidRPr="005B5227" w:rsidRDefault="00C01E51" w:rsidP="003B293D">
                  <w:pPr>
                    <w:pStyle w:val="naiskr"/>
                    <w:spacing w:before="0" w:after="0"/>
                    <w:ind w:firstLine="720"/>
                    <w:rPr>
                      <w:lang w:eastAsia="en-US"/>
                    </w:rPr>
                  </w:pPr>
                </w:p>
              </w:tc>
              <w:tc>
                <w:tcPr>
                  <w:tcW w:w="5569" w:type="dxa"/>
                </w:tcPr>
                <w:p w:rsidR="00C01E51" w:rsidRPr="005B5227" w:rsidRDefault="00C01E51" w:rsidP="003B293D">
                  <w:pPr>
                    <w:pStyle w:val="naiskr"/>
                    <w:spacing w:before="0" w:after="0"/>
                    <w:ind w:firstLine="12"/>
                    <w:rPr>
                      <w:lang w:eastAsia="en-US"/>
                    </w:rPr>
                  </w:pPr>
                </w:p>
              </w:tc>
            </w:tr>
            <w:tr w:rsidR="00F64DE4" w:rsidRPr="005B5227" w:rsidTr="00487E68">
              <w:trPr>
                <w:trHeight w:val="461"/>
              </w:trPr>
              <w:tc>
                <w:tcPr>
                  <w:tcW w:w="6237" w:type="dxa"/>
                  <w:hideMark/>
                </w:tcPr>
                <w:p w:rsidR="00C01E51" w:rsidRPr="005B5227" w:rsidRDefault="00F64DE4" w:rsidP="003B293D">
                  <w:pPr>
                    <w:pStyle w:val="naiskr"/>
                    <w:spacing w:before="0" w:after="0"/>
                    <w:ind w:right="500"/>
                    <w:rPr>
                      <w:lang w:eastAsia="en-US"/>
                    </w:rPr>
                  </w:pPr>
                  <w:r w:rsidRPr="005B5227">
                    <w:rPr>
                      <w:sz w:val="22"/>
                      <w:szCs w:val="22"/>
                      <w:lang w:eastAsia="en-US"/>
                    </w:rPr>
                    <w:t>Saskaņošanas dalībnieki izskatīja šādu ministriju (citu institūciju) iebildumus</w:t>
                  </w:r>
                </w:p>
              </w:tc>
              <w:tc>
                <w:tcPr>
                  <w:tcW w:w="7470" w:type="dxa"/>
                  <w:gridSpan w:val="2"/>
                  <w:tcBorders>
                    <w:top w:val="nil"/>
                    <w:left w:val="nil"/>
                    <w:bottom w:val="single" w:sz="4" w:space="0" w:color="auto"/>
                    <w:right w:val="nil"/>
                  </w:tcBorders>
                  <w:hideMark/>
                </w:tcPr>
                <w:p w:rsidR="00C01E51" w:rsidRPr="005B5227" w:rsidRDefault="00F64DE4" w:rsidP="003B293D">
                  <w:pPr>
                    <w:pStyle w:val="naiskr"/>
                    <w:spacing w:before="0" w:after="0"/>
                    <w:ind w:right="-149" w:hanging="7"/>
                    <w:rPr>
                      <w:lang w:eastAsia="en-US"/>
                    </w:rPr>
                  </w:pPr>
                  <w:r w:rsidRPr="005B5227">
                    <w:rPr>
                      <w:sz w:val="22"/>
                      <w:szCs w:val="22"/>
                      <w:lang w:eastAsia="en-US"/>
                    </w:rPr>
                    <w:t>            </w:t>
                  </w:r>
                </w:p>
                <w:p w:rsidR="00C01E51" w:rsidRPr="005B5227" w:rsidRDefault="008265ED" w:rsidP="00881F85">
                  <w:pPr>
                    <w:pStyle w:val="naiskr"/>
                    <w:spacing w:before="0" w:after="0"/>
                    <w:ind w:right="500"/>
                    <w:rPr>
                      <w:lang w:eastAsia="en-US"/>
                    </w:rPr>
                  </w:pPr>
                  <w:r w:rsidRPr="005B5227">
                    <w:rPr>
                      <w:sz w:val="22"/>
                      <w:szCs w:val="22"/>
                      <w:lang w:eastAsia="en-US"/>
                    </w:rPr>
                    <w:t>Finanšu ministrija</w:t>
                  </w:r>
                </w:p>
              </w:tc>
            </w:tr>
            <w:tr w:rsidR="00F64DE4" w:rsidRPr="005B5227" w:rsidTr="00487E68">
              <w:trPr>
                <w:trHeight w:val="224"/>
              </w:trPr>
              <w:tc>
                <w:tcPr>
                  <w:tcW w:w="13707" w:type="dxa"/>
                  <w:gridSpan w:val="3"/>
                </w:tcPr>
                <w:p w:rsidR="00C01E51" w:rsidRPr="005B5227" w:rsidRDefault="00C01E51" w:rsidP="003B293D">
                  <w:pPr>
                    <w:pStyle w:val="naisc"/>
                    <w:spacing w:before="0" w:after="0"/>
                    <w:ind w:right="500"/>
                    <w:rPr>
                      <w:lang w:eastAsia="en-US"/>
                    </w:rPr>
                  </w:pPr>
                </w:p>
              </w:tc>
            </w:tr>
            <w:tr w:rsidR="00F64DE4" w:rsidRPr="005B5227" w:rsidTr="00487E68">
              <w:tc>
                <w:tcPr>
                  <w:tcW w:w="6237" w:type="dxa"/>
                  <w:hideMark/>
                </w:tcPr>
                <w:p w:rsidR="00C01E51" w:rsidRPr="005B5227" w:rsidRDefault="00F64DE4" w:rsidP="003B293D">
                  <w:pPr>
                    <w:pStyle w:val="naiskr"/>
                    <w:spacing w:before="0" w:after="0"/>
                    <w:ind w:right="500"/>
                    <w:rPr>
                      <w:lang w:eastAsia="en-US"/>
                    </w:rPr>
                  </w:pPr>
                  <w:r w:rsidRPr="005B5227">
                    <w:rPr>
                      <w:sz w:val="22"/>
                      <w:szCs w:val="22"/>
                      <w:lang w:eastAsia="en-US"/>
                    </w:rPr>
                    <w:t>Ministrijas (citas institūcijas), kuras nav ieradušās uz sanāksmi vai kuras nav atbildējušas uz uzaicinājumu piedalīties elektroniskajā saskaņošanā</w:t>
                  </w:r>
                </w:p>
              </w:tc>
              <w:tc>
                <w:tcPr>
                  <w:tcW w:w="7470" w:type="dxa"/>
                  <w:gridSpan w:val="2"/>
                  <w:tcBorders>
                    <w:top w:val="nil"/>
                    <w:left w:val="nil"/>
                    <w:bottom w:val="single" w:sz="4" w:space="0" w:color="auto"/>
                    <w:right w:val="nil"/>
                  </w:tcBorders>
                </w:tcPr>
                <w:p w:rsidR="00C01E51" w:rsidRPr="005B5227" w:rsidRDefault="00C01E51" w:rsidP="003B293D">
                  <w:pPr>
                    <w:pStyle w:val="naiskr"/>
                    <w:spacing w:before="0" w:after="0"/>
                    <w:ind w:right="500" w:firstLine="720"/>
                    <w:rPr>
                      <w:lang w:eastAsia="en-US"/>
                    </w:rPr>
                  </w:pPr>
                </w:p>
              </w:tc>
            </w:tr>
          </w:tbl>
          <w:p w:rsidR="00C01E51" w:rsidRPr="005B5227" w:rsidRDefault="00F64DE4" w:rsidP="003B293D">
            <w:pPr>
              <w:pStyle w:val="naiskr"/>
              <w:spacing w:before="0" w:after="0"/>
              <w:ind w:right="500" w:firstLine="720"/>
              <w:rPr>
                <w:lang w:eastAsia="en-US"/>
              </w:rPr>
            </w:pPr>
            <w:r w:rsidRPr="005B5227">
              <w:rPr>
                <w:sz w:val="22"/>
                <w:szCs w:val="22"/>
                <w:lang w:eastAsia="en-US"/>
              </w:rPr>
              <w:t>  </w:t>
            </w:r>
          </w:p>
          <w:p w:rsidR="00487E68" w:rsidRDefault="00487E68" w:rsidP="00CD1900">
            <w:pPr>
              <w:pStyle w:val="naiskr"/>
              <w:spacing w:before="0" w:after="0"/>
              <w:ind w:right="500" w:firstLine="720"/>
              <w:rPr>
                <w:lang w:eastAsia="en-US"/>
              </w:rPr>
            </w:pPr>
          </w:p>
          <w:p w:rsidR="005B5227" w:rsidRDefault="005B5227" w:rsidP="00CD1900">
            <w:pPr>
              <w:pStyle w:val="naiskr"/>
              <w:spacing w:before="0" w:after="0"/>
              <w:ind w:right="500" w:firstLine="720"/>
              <w:rPr>
                <w:lang w:eastAsia="en-US"/>
              </w:rPr>
            </w:pPr>
          </w:p>
          <w:p w:rsidR="005B5227" w:rsidRDefault="005B5227" w:rsidP="00CD1900">
            <w:pPr>
              <w:pStyle w:val="naiskr"/>
              <w:spacing w:before="0" w:after="0"/>
              <w:ind w:right="500" w:firstLine="720"/>
              <w:rPr>
                <w:lang w:eastAsia="en-US"/>
              </w:rPr>
            </w:pPr>
          </w:p>
          <w:p w:rsidR="005B5227" w:rsidRDefault="005B5227" w:rsidP="00CD1900">
            <w:pPr>
              <w:pStyle w:val="naiskr"/>
              <w:spacing w:before="0" w:after="0"/>
              <w:ind w:right="500" w:firstLine="720"/>
              <w:rPr>
                <w:lang w:eastAsia="en-US"/>
              </w:rPr>
            </w:pPr>
          </w:p>
          <w:p w:rsidR="005B5227" w:rsidRDefault="005B5227" w:rsidP="00CD1900">
            <w:pPr>
              <w:pStyle w:val="naiskr"/>
              <w:spacing w:before="0" w:after="0"/>
              <w:ind w:right="500" w:firstLine="720"/>
              <w:rPr>
                <w:lang w:eastAsia="en-US"/>
              </w:rPr>
            </w:pPr>
          </w:p>
          <w:p w:rsidR="005B5227" w:rsidRDefault="005B5227" w:rsidP="00CD1900">
            <w:pPr>
              <w:pStyle w:val="naiskr"/>
              <w:spacing w:before="0" w:after="0"/>
              <w:ind w:right="500" w:firstLine="720"/>
              <w:rPr>
                <w:lang w:eastAsia="en-US"/>
              </w:rPr>
            </w:pPr>
          </w:p>
          <w:p w:rsidR="00A71BEB" w:rsidRDefault="00A71BEB" w:rsidP="00CD1900">
            <w:pPr>
              <w:pStyle w:val="naiskr"/>
              <w:spacing w:before="0" w:after="0"/>
              <w:ind w:right="500" w:firstLine="720"/>
              <w:rPr>
                <w:lang w:eastAsia="en-US"/>
              </w:rPr>
            </w:pPr>
          </w:p>
          <w:p w:rsidR="005B5227" w:rsidRPr="005B5227" w:rsidRDefault="005B5227" w:rsidP="00CD1900">
            <w:pPr>
              <w:pStyle w:val="naiskr"/>
              <w:spacing w:before="0" w:after="0"/>
              <w:ind w:right="500" w:firstLine="720"/>
              <w:rPr>
                <w:lang w:eastAsia="en-US"/>
              </w:rPr>
            </w:pPr>
          </w:p>
        </w:tc>
      </w:tr>
    </w:tbl>
    <w:p w:rsidR="00F64DE4" w:rsidRPr="005B5227" w:rsidRDefault="00F64DE4" w:rsidP="003B293D">
      <w:pPr>
        <w:pStyle w:val="naisnod"/>
        <w:spacing w:before="0" w:after="0"/>
        <w:ind w:left="57" w:right="57"/>
        <w:contextualSpacing/>
        <w:mirrorIndents/>
        <w:rPr>
          <w:sz w:val="22"/>
          <w:szCs w:val="22"/>
        </w:rPr>
      </w:pPr>
      <w:r w:rsidRPr="005B5227">
        <w:rPr>
          <w:sz w:val="22"/>
          <w:szCs w:val="22"/>
        </w:rPr>
        <w:lastRenderedPageBreak/>
        <w:t>II. Jautājumi, par kuriem saskaņošanā vienošanās ir panākta</w:t>
      </w:r>
    </w:p>
    <w:p w:rsidR="00F64DE4" w:rsidRPr="005B5227" w:rsidRDefault="00F64DE4" w:rsidP="003B293D">
      <w:pPr>
        <w:pStyle w:val="naisnod"/>
        <w:spacing w:before="0" w:after="0"/>
        <w:ind w:left="57" w:right="57"/>
        <w:contextualSpacing/>
        <w:mirrorIndents/>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510"/>
        <w:gridCol w:w="3020"/>
        <w:gridCol w:w="4433"/>
        <w:gridCol w:w="2758"/>
        <w:gridCol w:w="3498"/>
      </w:tblGrid>
      <w:tr w:rsidR="00F64DE4" w:rsidRPr="005B5227" w:rsidTr="0013287F">
        <w:tc>
          <w:tcPr>
            <w:tcW w:w="179" w:type="pct"/>
            <w:tcBorders>
              <w:top w:val="single" w:sz="6" w:space="0" w:color="000000"/>
              <w:left w:val="single" w:sz="6" w:space="0" w:color="000000"/>
              <w:bottom w:val="single" w:sz="6" w:space="0" w:color="000000"/>
              <w:right w:val="single" w:sz="6" w:space="0" w:color="000000"/>
            </w:tcBorders>
            <w:vAlign w:val="center"/>
          </w:tcPr>
          <w:p w:rsidR="00C01E51" w:rsidRPr="005B5227" w:rsidRDefault="00C01E51" w:rsidP="003B293D">
            <w:pPr>
              <w:pStyle w:val="naisc"/>
              <w:spacing w:before="0" w:after="0"/>
              <w:rPr>
                <w:lang w:eastAsia="en-US"/>
              </w:rPr>
            </w:pPr>
          </w:p>
        </w:tc>
        <w:tc>
          <w:tcPr>
            <w:tcW w:w="1062" w:type="pct"/>
            <w:tcBorders>
              <w:top w:val="single" w:sz="6" w:space="0" w:color="000000"/>
              <w:left w:val="single" w:sz="6" w:space="0" w:color="000000"/>
              <w:bottom w:val="single" w:sz="6" w:space="0" w:color="000000"/>
              <w:right w:val="single" w:sz="6" w:space="0" w:color="000000"/>
            </w:tcBorders>
            <w:vAlign w:val="center"/>
            <w:hideMark/>
          </w:tcPr>
          <w:p w:rsidR="00C01E51" w:rsidRPr="005B5227" w:rsidRDefault="00F64DE4" w:rsidP="003B293D">
            <w:pPr>
              <w:pStyle w:val="naisc"/>
              <w:spacing w:before="0" w:after="0"/>
              <w:ind w:firstLine="12"/>
              <w:rPr>
                <w:lang w:eastAsia="en-US"/>
              </w:rPr>
            </w:pPr>
            <w:r w:rsidRPr="005B5227">
              <w:rPr>
                <w:sz w:val="22"/>
                <w:szCs w:val="22"/>
                <w:lang w:eastAsia="en-US"/>
              </w:rPr>
              <w:t>Saskaņošanai nosūtītā projekta redakcija (konkrēta punkta (panta) redakcija)</w:t>
            </w:r>
          </w:p>
        </w:tc>
        <w:tc>
          <w:tcPr>
            <w:tcW w:w="1559" w:type="pct"/>
            <w:tcBorders>
              <w:top w:val="single" w:sz="6" w:space="0" w:color="000000"/>
              <w:left w:val="single" w:sz="6" w:space="0" w:color="000000"/>
              <w:bottom w:val="single" w:sz="6" w:space="0" w:color="000000"/>
              <w:right w:val="single" w:sz="6" w:space="0" w:color="000000"/>
            </w:tcBorders>
            <w:vAlign w:val="center"/>
            <w:hideMark/>
          </w:tcPr>
          <w:p w:rsidR="00C01E51" w:rsidRPr="005B5227" w:rsidRDefault="00F64DE4" w:rsidP="003B293D">
            <w:pPr>
              <w:pStyle w:val="naisc"/>
              <w:spacing w:before="0" w:after="0"/>
              <w:ind w:right="31"/>
              <w:rPr>
                <w:lang w:eastAsia="en-US"/>
              </w:rPr>
            </w:pPr>
            <w:r w:rsidRPr="005B5227">
              <w:rPr>
                <w:sz w:val="22"/>
                <w:szCs w:val="22"/>
                <w:lang w:eastAsia="en-US"/>
              </w:rPr>
              <w:t>Atzinumā norādītais ministrijas (citas institūcijas) iebildums, kā arī saskaņošanā papildus izteiktais iebildums par projekta konkrēto punktu (pantu)</w:t>
            </w: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C01E51" w:rsidRPr="005B5227" w:rsidRDefault="00F64DE4" w:rsidP="003B293D">
            <w:pPr>
              <w:pStyle w:val="naisc"/>
              <w:spacing w:before="0" w:after="0"/>
              <w:rPr>
                <w:lang w:eastAsia="en-US"/>
              </w:rPr>
            </w:pPr>
            <w:r w:rsidRPr="005B5227">
              <w:rPr>
                <w:sz w:val="22"/>
                <w:szCs w:val="22"/>
                <w:lang w:eastAsia="en-US"/>
              </w:rPr>
              <w:t xml:space="preserve">Atbildīgās ministrijas norāde par to, ka </w:t>
            </w:r>
            <w:r w:rsidR="00734AC4" w:rsidRPr="005B5227">
              <w:rPr>
                <w:sz w:val="22"/>
                <w:szCs w:val="22"/>
                <w:lang w:eastAsia="en-US"/>
              </w:rPr>
              <w:t>iebildums ir ņemts vērā, vai informācija par saskaņošanā panākto alternatīvo risinājumu</w:t>
            </w:r>
          </w:p>
        </w:tc>
        <w:tc>
          <w:tcPr>
            <w:tcW w:w="1230" w:type="pct"/>
            <w:tcBorders>
              <w:top w:val="single" w:sz="4" w:space="0" w:color="auto"/>
              <w:left w:val="single" w:sz="4" w:space="0" w:color="auto"/>
              <w:bottom w:val="single" w:sz="4" w:space="0" w:color="auto"/>
              <w:right w:val="single" w:sz="4" w:space="0" w:color="auto"/>
            </w:tcBorders>
            <w:vAlign w:val="center"/>
            <w:hideMark/>
          </w:tcPr>
          <w:p w:rsidR="00C01E51" w:rsidRPr="005B5227" w:rsidRDefault="00F64DE4" w:rsidP="003B293D">
            <w:pPr>
              <w:pStyle w:val="naisc"/>
              <w:spacing w:before="0" w:after="0"/>
              <w:rPr>
                <w:lang w:eastAsia="en-US"/>
              </w:rPr>
            </w:pPr>
            <w:r w:rsidRPr="005B5227">
              <w:rPr>
                <w:sz w:val="22"/>
                <w:szCs w:val="22"/>
                <w:lang w:eastAsia="en-US"/>
              </w:rPr>
              <w:t>Projekta attiecīgā punkta (panta) galīgā redakcija</w:t>
            </w:r>
          </w:p>
        </w:tc>
      </w:tr>
      <w:tr w:rsidR="00F64DE4" w:rsidRPr="005B5227" w:rsidTr="0013287F">
        <w:tc>
          <w:tcPr>
            <w:tcW w:w="179" w:type="pct"/>
            <w:tcBorders>
              <w:top w:val="single" w:sz="6" w:space="0" w:color="000000"/>
              <w:left w:val="single" w:sz="6" w:space="0" w:color="000000"/>
              <w:bottom w:val="single" w:sz="4" w:space="0" w:color="auto"/>
              <w:right w:val="single" w:sz="6" w:space="0" w:color="000000"/>
            </w:tcBorders>
            <w:hideMark/>
          </w:tcPr>
          <w:p w:rsidR="00C01E51" w:rsidRPr="005B5227" w:rsidRDefault="00F64DE4" w:rsidP="003B293D">
            <w:pPr>
              <w:pStyle w:val="naisc"/>
              <w:spacing w:before="0" w:after="0"/>
              <w:rPr>
                <w:lang w:eastAsia="en-US"/>
              </w:rPr>
            </w:pPr>
            <w:r w:rsidRPr="005B5227">
              <w:rPr>
                <w:sz w:val="22"/>
                <w:szCs w:val="22"/>
                <w:lang w:eastAsia="en-US"/>
              </w:rPr>
              <w:t>1</w:t>
            </w:r>
          </w:p>
        </w:tc>
        <w:tc>
          <w:tcPr>
            <w:tcW w:w="1062" w:type="pct"/>
            <w:tcBorders>
              <w:top w:val="single" w:sz="6" w:space="0" w:color="000000"/>
              <w:left w:val="single" w:sz="6" w:space="0" w:color="000000"/>
              <w:bottom w:val="single" w:sz="4" w:space="0" w:color="auto"/>
              <w:right w:val="single" w:sz="6" w:space="0" w:color="000000"/>
            </w:tcBorders>
            <w:hideMark/>
          </w:tcPr>
          <w:p w:rsidR="00C01E51" w:rsidRPr="005B5227" w:rsidRDefault="00F64DE4" w:rsidP="003B293D">
            <w:pPr>
              <w:pStyle w:val="naisc"/>
              <w:spacing w:before="0" w:after="0"/>
              <w:ind w:firstLine="12"/>
              <w:rPr>
                <w:lang w:eastAsia="en-US"/>
              </w:rPr>
            </w:pPr>
            <w:r w:rsidRPr="005B5227">
              <w:rPr>
                <w:sz w:val="22"/>
                <w:szCs w:val="22"/>
                <w:lang w:eastAsia="en-US"/>
              </w:rPr>
              <w:t>2</w:t>
            </w:r>
          </w:p>
        </w:tc>
        <w:tc>
          <w:tcPr>
            <w:tcW w:w="1559" w:type="pct"/>
            <w:tcBorders>
              <w:top w:val="single" w:sz="6" w:space="0" w:color="000000"/>
              <w:left w:val="single" w:sz="6" w:space="0" w:color="000000"/>
              <w:bottom w:val="single" w:sz="4" w:space="0" w:color="auto"/>
              <w:right w:val="single" w:sz="6" w:space="0" w:color="000000"/>
            </w:tcBorders>
            <w:hideMark/>
          </w:tcPr>
          <w:p w:rsidR="00C01E51" w:rsidRPr="005B5227" w:rsidRDefault="00F64DE4" w:rsidP="003B293D">
            <w:pPr>
              <w:pStyle w:val="naisc"/>
              <w:spacing w:before="0" w:after="0"/>
              <w:ind w:right="31"/>
              <w:rPr>
                <w:lang w:eastAsia="en-US"/>
              </w:rPr>
            </w:pPr>
            <w:r w:rsidRPr="005B5227">
              <w:rPr>
                <w:sz w:val="22"/>
                <w:szCs w:val="22"/>
                <w:lang w:eastAsia="en-US"/>
              </w:rPr>
              <w:t>3</w:t>
            </w:r>
          </w:p>
        </w:tc>
        <w:tc>
          <w:tcPr>
            <w:tcW w:w="970" w:type="pct"/>
            <w:tcBorders>
              <w:top w:val="single" w:sz="6" w:space="0" w:color="000000"/>
              <w:left w:val="single" w:sz="6" w:space="0" w:color="000000"/>
              <w:bottom w:val="single" w:sz="4" w:space="0" w:color="auto"/>
              <w:right w:val="single" w:sz="6" w:space="0" w:color="000000"/>
            </w:tcBorders>
            <w:hideMark/>
          </w:tcPr>
          <w:p w:rsidR="00C01E51" w:rsidRPr="005B5227" w:rsidRDefault="00F64DE4" w:rsidP="003B293D">
            <w:pPr>
              <w:pStyle w:val="naisc"/>
              <w:spacing w:before="0" w:after="0"/>
              <w:rPr>
                <w:lang w:eastAsia="en-US"/>
              </w:rPr>
            </w:pPr>
            <w:r w:rsidRPr="005B5227">
              <w:rPr>
                <w:sz w:val="22"/>
                <w:szCs w:val="22"/>
                <w:lang w:eastAsia="en-US"/>
              </w:rPr>
              <w:t>4</w:t>
            </w:r>
          </w:p>
        </w:tc>
        <w:tc>
          <w:tcPr>
            <w:tcW w:w="1230" w:type="pct"/>
            <w:tcBorders>
              <w:top w:val="single" w:sz="4" w:space="0" w:color="auto"/>
              <w:left w:val="single" w:sz="4" w:space="0" w:color="auto"/>
              <w:bottom w:val="single" w:sz="4" w:space="0" w:color="auto"/>
              <w:right w:val="single" w:sz="4" w:space="0" w:color="auto"/>
            </w:tcBorders>
            <w:hideMark/>
          </w:tcPr>
          <w:p w:rsidR="00C01E51" w:rsidRPr="005B5227" w:rsidRDefault="00F64DE4" w:rsidP="003B293D">
            <w:pPr>
              <w:jc w:val="center"/>
              <w:rPr>
                <w:lang w:eastAsia="en-US"/>
              </w:rPr>
            </w:pPr>
            <w:r w:rsidRPr="005B5227">
              <w:rPr>
                <w:sz w:val="22"/>
                <w:szCs w:val="22"/>
                <w:lang w:eastAsia="en-US"/>
              </w:rPr>
              <w:t>5</w:t>
            </w:r>
          </w:p>
        </w:tc>
      </w:tr>
      <w:tr w:rsidR="002D6A77" w:rsidRPr="005B5227" w:rsidTr="00D24886">
        <w:trPr>
          <w:trHeight w:val="5832"/>
        </w:trPr>
        <w:tc>
          <w:tcPr>
            <w:tcW w:w="179" w:type="pct"/>
            <w:tcBorders>
              <w:top w:val="single" w:sz="4" w:space="0" w:color="auto"/>
              <w:left w:val="single" w:sz="6" w:space="0" w:color="000000"/>
              <w:bottom w:val="single" w:sz="4" w:space="0" w:color="auto"/>
              <w:right w:val="single" w:sz="6" w:space="0" w:color="000000"/>
            </w:tcBorders>
            <w:shd w:val="clear" w:color="auto" w:fill="auto"/>
          </w:tcPr>
          <w:p w:rsidR="002D6A77" w:rsidRPr="005B5227" w:rsidRDefault="00487E68" w:rsidP="00487E68">
            <w:pPr>
              <w:pStyle w:val="naisc"/>
              <w:spacing w:before="0" w:after="0"/>
            </w:pPr>
            <w:r w:rsidRPr="005B5227">
              <w:rPr>
                <w:sz w:val="22"/>
                <w:szCs w:val="22"/>
              </w:rPr>
              <w:t xml:space="preserve">1. </w:t>
            </w:r>
          </w:p>
        </w:tc>
        <w:tc>
          <w:tcPr>
            <w:tcW w:w="1062" w:type="pct"/>
            <w:tcBorders>
              <w:top w:val="single" w:sz="4" w:space="0" w:color="auto"/>
              <w:left w:val="single" w:sz="6" w:space="0" w:color="000000"/>
              <w:bottom w:val="single" w:sz="4" w:space="0" w:color="auto"/>
              <w:right w:val="single" w:sz="6" w:space="0" w:color="000000"/>
            </w:tcBorders>
            <w:shd w:val="clear" w:color="auto" w:fill="auto"/>
            <w:hideMark/>
          </w:tcPr>
          <w:p w:rsidR="002D6A77" w:rsidRPr="005B5227" w:rsidRDefault="00881F85" w:rsidP="0013287F">
            <w:pPr>
              <w:jc w:val="both"/>
            </w:pPr>
            <w:r w:rsidRPr="005B5227">
              <w:rPr>
                <w:sz w:val="22"/>
                <w:szCs w:val="22"/>
              </w:rPr>
              <w:t>Informatīvais</w:t>
            </w:r>
            <w:r w:rsidR="0035491B" w:rsidRPr="005B5227">
              <w:rPr>
                <w:sz w:val="22"/>
                <w:szCs w:val="22"/>
              </w:rPr>
              <w:t xml:space="preserve"> ziņojums</w:t>
            </w:r>
            <w:r w:rsidR="00B90889" w:rsidRPr="005B5227">
              <w:rPr>
                <w:sz w:val="22"/>
                <w:szCs w:val="22"/>
              </w:rPr>
              <w:t xml:space="preserve"> „</w:t>
            </w:r>
            <w:r w:rsidRPr="005B5227">
              <w:rPr>
                <w:sz w:val="22"/>
                <w:szCs w:val="22"/>
              </w:rPr>
              <w:t>Par nacionālās koncertzāles attīstības projekta izstrādes gaitu un nepieciešamo finansējumu juridisko risinājumu izstrādei</w:t>
            </w:r>
            <w:r w:rsidR="00B90889" w:rsidRPr="005B5227">
              <w:rPr>
                <w:sz w:val="22"/>
                <w:szCs w:val="22"/>
              </w:rPr>
              <w:t>”</w:t>
            </w:r>
            <w:r w:rsidR="007435C8" w:rsidRPr="005B5227">
              <w:rPr>
                <w:sz w:val="22"/>
                <w:szCs w:val="22"/>
              </w:rPr>
              <w:t xml:space="preserve"> projekts (turpmāk – </w:t>
            </w:r>
            <w:r w:rsidR="0013287F" w:rsidRPr="005B5227">
              <w:rPr>
                <w:sz w:val="22"/>
                <w:szCs w:val="22"/>
              </w:rPr>
              <w:t>informatīvais ziņojums</w:t>
            </w:r>
            <w:r w:rsidR="00B90889" w:rsidRPr="005B5227">
              <w:rPr>
                <w:sz w:val="22"/>
                <w:szCs w:val="22"/>
              </w:rPr>
              <w:t>)</w:t>
            </w:r>
            <w:r w:rsidR="0013287F" w:rsidRPr="005B5227">
              <w:rPr>
                <w:sz w:val="22"/>
                <w:szCs w:val="22"/>
              </w:rPr>
              <w:t>, tam pievienotais Ministru kabineta sēdes protokollēmuma projekts (turpmāk – protokollēmuma projekts) un Ministru kabineta rīkojuma projekts „Par apropriācijas pārdali” (turpmāk – rīkojuma projekts).</w:t>
            </w:r>
          </w:p>
        </w:tc>
        <w:tc>
          <w:tcPr>
            <w:tcW w:w="1559" w:type="pct"/>
            <w:tcBorders>
              <w:top w:val="single" w:sz="4" w:space="0" w:color="auto"/>
              <w:left w:val="single" w:sz="6" w:space="0" w:color="000000"/>
              <w:bottom w:val="single" w:sz="4" w:space="0" w:color="auto"/>
              <w:right w:val="single" w:sz="6" w:space="0" w:color="000000"/>
            </w:tcBorders>
            <w:shd w:val="clear" w:color="auto" w:fill="auto"/>
            <w:hideMark/>
          </w:tcPr>
          <w:p w:rsidR="00BC6DC8" w:rsidRPr="005B5227" w:rsidRDefault="00925618" w:rsidP="003B293D">
            <w:pPr>
              <w:pStyle w:val="Default"/>
              <w:jc w:val="both"/>
              <w:rPr>
                <w:b/>
                <w:sz w:val="22"/>
                <w:szCs w:val="22"/>
              </w:rPr>
            </w:pPr>
            <w:r w:rsidRPr="005B5227">
              <w:rPr>
                <w:b/>
                <w:sz w:val="22"/>
                <w:szCs w:val="22"/>
              </w:rPr>
              <w:t>Finanšu</w:t>
            </w:r>
            <w:r w:rsidR="002D6A77" w:rsidRPr="005B5227">
              <w:rPr>
                <w:b/>
                <w:sz w:val="22"/>
                <w:szCs w:val="22"/>
              </w:rPr>
              <w:t xml:space="preserve"> ministrija</w:t>
            </w:r>
            <w:r w:rsidR="00D259D7" w:rsidRPr="005B5227">
              <w:rPr>
                <w:b/>
                <w:sz w:val="22"/>
                <w:szCs w:val="22"/>
              </w:rPr>
              <w:t>:</w:t>
            </w:r>
            <w:r w:rsidR="002D6A77" w:rsidRPr="005B5227">
              <w:rPr>
                <w:b/>
                <w:sz w:val="22"/>
                <w:szCs w:val="22"/>
              </w:rPr>
              <w:t xml:space="preserve"> </w:t>
            </w:r>
          </w:p>
          <w:p w:rsidR="00881F85" w:rsidRPr="005B5227" w:rsidRDefault="00881F85" w:rsidP="00881F85">
            <w:pPr>
              <w:widowControl w:val="0"/>
              <w:jc w:val="both"/>
              <w:rPr>
                <w:rFonts w:eastAsia="Calibri"/>
              </w:rPr>
            </w:pPr>
            <w:r w:rsidRPr="005B5227">
              <w:rPr>
                <w:rFonts w:eastAsia="Calibri"/>
                <w:sz w:val="22"/>
                <w:szCs w:val="22"/>
              </w:rPr>
              <w:t xml:space="preserve">Informējam, ka apropriācijas pārdales saistībā ar valsts pamatbudžeta pamatfunkciju izdevumu prognozētajām </w:t>
            </w:r>
            <w:proofErr w:type="spellStart"/>
            <w:r w:rsidRPr="005B5227">
              <w:rPr>
                <w:rFonts w:eastAsia="Calibri"/>
                <w:sz w:val="22"/>
                <w:szCs w:val="22"/>
              </w:rPr>
              <w:t>neapguvēm</w:t>
            </w:r>
            <w:proofErr w:type="spellEnd"/>
            <w:r w:rsidRPr="005B5227">
              <w:rPr>
                <w:rFonts w:eastAsia="Calibri"/>
                <w:sz w:val="22"/>
                <w:szCs w:val="22"/>
              </w:rPr>
              <w:t xml:space="preserve"> un iespējamo līdzekļu ekonomiju līdz 2019.gada beigām tiks izskatītas Ministru kabinetā kopā ar visu ministriju apropriācijas pārdalēm. Līdz ar to informatīvais ziņojums un tam pievienotais Ministru kabineta sēdes protokollēmuma projekts ir skatāms Ministru kabinetā ne ātrāk kā Ministru kabinetā tiks izskatīts jautājums par visu ministriju apropriācijas pārdalēm.</w:t>
            </w:r>
          </w:p>
          <w:p w:rsidR="00A53E4C" w:rsidRPr="005B5227" w:rsidRDefault="00A53E4C" w:rsidP="003B293D">
            <w:pPr>
              <w:pStyle w:val="Default"/>
              <w:jc w:val="both"/>
              <w:rPr>
                <w:b/>
                <w:sz w:val="22"/>
                <w:szCs w:val="22"/>
              </w:rPr>
            </w:pPr>
          </w:p>
          <w:p w:rsidR="003240D2" w:rsidRPr="005B5227" w:rsidRDefault="003240D2" w:rsidP="008265ED">
            <w:pPr>
              <w:pStyle w:val="Default"/>
              <w:jc w:val="both"/>
              <w:rPr>
                <w:sz w:val="22"/>
                <w:szCs w:val="22"/>
              </w:rPr>
            </w:pPr>
          </w:p>
        </w:tc>
        <w:tc>
          <w:tcPr>
            <w:tcW w:w="970" w:type="pct"/>
            <w:tcBorders>
              <w:top w:val="single" w:sz="4" w:space="0" w:color="auto"/>
              <w:left w:val="single" w:sz="6" w:space="0" w:color="000000"/>
              <w:bottom w:val="single" w:sz="4" w:space="0" w:color="auto"/>
              <w:right w:val="single" w:sz="6" w:space="0" w:color="000000"/>
            </w:tcBorders>
            <w:shd w:val="clear" w:color="auto" w:fill="auto"/>
            <w:hideMark/>
          </w:tcPr>
          <w:p w:rsidR="00E041E7" w:rsidRPr="005B5227" w:rsidRDefault="003A1A35" w:rsidP="00E041E7">
            <w:pPr>
              <w:pStyle w:val="naisc"/>
              <w:spacing w:before="0" w:after="0"/>
              <w:ind w:firstLine="32"/>
              <w:rPr>
                <w:b/>
              </w:rPr>
            </w:pPr>
            <w:r w:rsidRPr="005B5227">
              <w:rPr>
                <w:b/>
                <w:sz w:val="22"/>
                <w:szCs w:val="22"/>
              </w:rPr>
              <w:t>Ņemts vērā</w:t>
            </w:r>
            <w:r w:rsidR="004520D3" w:rsidRPr="005B5227">
              <w:rPr>
                <w:b/>
                <w:sz w:val="22"/>
                <w:szCs w:val="22"/>
              </w:rPr>
              <w:t xml:space="preserve"> </w:t>
            </w:r>
          </w:p>
          <w:p w:rsidR="002D6A77" w:rsidRPr="005B5227" w:rsidRDefault="002D6A77" w:rsidP="003B293D">
            <w:pPr>
              <w:pStyle w:val="naisc"/>
              <w:spacing w:before="0" w:after="0"/>
              <w:jc w:val="both"/>
            </w:pPr>
          </w:p>
        </w:tc>
        <w:tc>
          <w:tcPr>
            <w:tcW w:w="1230" w:type="pct"/>
            <w:tcBorders>
              <w:top w:val="single" w:sz="4" w:space="0" w:color="auto"/>
              <w:left w:val="single" w:sz="4" w:space="0" w:color="auto"/>
              <w:bottom w:val="single" w:sz="4" w:space="0" w:color="auto"/>
              <w:right w:val="single" w:sz="4" w:space="0" w:color="auto"/>
            </w:tcBorders>
            <w:shd w:val="clear" w:color="auto" w:fill="auto"/>
            <w:hideMark/>
          </w:tcPr>
          <w:p w:rsidR="00857CA0" w:rsidRPr="005B5227" w:rsidRDefault="00857CA0" w:rsidP="00857CA0">
            <w:pPr>
              <w:pStyle w:val="naisc"/>
              <w:spacing w:before="0" w:after="0"/>
              <w:jc w:val="both"/>
              <w:rPr>
                <w:rFonts w:eastAsia="Calibri"/>
                <w:color w:val="000000"/>
              </w:rPr>
            </w:pPr>
            <w:r w:rsidRPr="005B5227">
              <w:rPr>
                <w:rFonts w:eastAsia="Calibri"/>
                <w:color w:val="000000"/>
                <w:sz w:val="22"/>
                <w:szCs w:val="22"/>
              </w:rPr>
              <w:t>Precizēta rīkojuma</w:t>
            </w:r>
            <w:r w:rsidR="000A527B" w:rsidRPr="005B5227">
              <w:rPr>
                <w:rFonts w:eastAsia="Calibri"/>
                <w:color w:val="000000"/>
                <w:sz w:val="22"/>
                <w:szCs w:val="22"/>
              </w:rPr>
              <w:t xml:space="preserve"> sākotnējās ietekmes novērtējuma ziņojuma (anotācija</w:t>
            </w:r>
            <w:r w:rsidRPr="005B5227">
              <w:rPr>
                <w:rFonts w:eastAsia="Calibri"/>
                <w:color w:val="000000"/>
                <w:sz w:val="22"/>
                <w:szCs w:val="22"/>
              </w:rPr>
              <w:t>s</w:t>
            </w:r>
            <w:r w:rsidR="00542679">
              <w:rPr>
                <w:rFonts w:eastAsia="Calibri"/>
                <w:color w:val="000000"/>
                <w:sz w:val="22"/>
                <w:szCs w:val="22"/>
              </w:rPr>
              <w:t>)  </w:t>
            </w:r>
            <w:r w:rsidRPr="005B5227">
              <w:rPr>
                <w:rFonts w:eastAsia="Calibri"/>
                <w:color w:val="000000"/>
                <w:sz w:val="22"/>
                <w:szCs w:val="22"/>
              </w:rPr>
              <w:t>I. sadaļas</w:t>
            </w:r>
            <w:r w:rsidR="000A527B" w:rsidRPr="005B5227">
              <w:rPr>
                <w:rFonts w:eastAsia="Calibri"/>
                <w:color w:val="000000"/>
                <w:sz w:val="22"/>
                <w:szCs w:val="22"/>
              </w:rPr>
              <w:t xml:space="preserve"> </w:t>
            </w:r>
            <w:r w:rsidRPr="005B5227">
              <w:rPr>
                <w:rFonts w:eastAsia="Calibri"/>
                <w:color w:val="000000"/>
                <w:sz w:val="22"/>
                <w:szCs w:val="22"/>
              </w:rPr>
              <w:t>2.punkta otrā rindkopa šādā redakcijā:</w:t>
            </w:r>
          </w:p>
          <w:p w:rsidR="00857CA0" w:rsidRPr="005B5227" w:rsidRDefault="00857CA0" w:rsidP="00857CA0">
            <w:pPr>
              <w:pStyle w:val="naisc"/>
              <w:spacing w:before="0" w:after="0"/>
              <w:jc w:val="both"/>
            </w:pPr>
          </w:p>
          <w:p w:rsidR="000A527B" w:rsidRPr="005B5227" w:rsidRDefault="00857CA0" w:rsidP="00857CA0">
            <w:pPr>
              <w:pStyle w:val="naisc"/>
              <w:spacing w:before="0" w:after="0"/>
              <w:jc w:val="both"/>
            </w:pPr>
            <w:r w:rsidRPr="005B5227">
              <w:rPr>
                <w:sz w:val="22"/>
                <w:szCs w:val="22"/>
              </w:rPr>
              <w:t xml:space="preserve">„Ievērojot Kultūras ministrijas un Ekonomikas ministrijas sadarbību koncertzāles un konferenču centra projekta attīstības nodrošināšanai, ir panākta vienošanās par apropriācijas pārdali 2019.gadā no Ekonomikas ministrijas budžeta programmas 29.02.00 „Elektroenerģijas lietotāju atbalsts” 50 820 </w:t>
            </w:r>
            <w:r w:rsidRPr="005B5227">
              <w:rPr>
                <w:i/>
                <w:sz w:val="22"/>
                <w:szCs w:val="22"/>
              </w:rPr>
              <w:t>euro</w:t>
            </w:r>
            <w:r w:rsidRPr="005B5227">
              <w:rPr>
                <w:sz w:val="22"/>
                <w:szCs w:val="22"/>
              </w:rPr>
              <w:t xml:space="preserve"> apmērā uz Kultūras ministrijas budžeta programmu 19.07.00 „Māksla un literatūra” koncertzāles un konferenču centra juridisko risinājumu pakalpojuma nodrošināšanai, kas tiks izskatīta Ministru kabinetā kopā ar visu ministriju apropriācijas pārdalēm. Nepieciešamais finansējums tiks izlietots līdz 2019.gada beigām.”</w:t>
            </w:r>
          </w:p>
        </w:tc>
      </w:tr>
      <w:tr w:rsidR="00881F85" w:rsidRPr="005B5227" w:rsidTr="00CD1900">
        <w:trPr>
          <w:trHeight w:val="977"/>
        </w:trPr>
        <w:tc>
          <w:tcPr>
            <w:tcW w:w="179" w:type="pct"/>
            <w:tcBorders>
              <w:top w:val="single" w:sz="4" w:space="0" w:color="auto"/>
              <w:left w:val="single" w:sz="6" w:space="0" w:color="000000"/>
              <w:bottom w:val="single" w:sz="4" w:space="0" w:color="auto"/>
              <w:right w:val="single" w:sz="6" w:space="0" w:color="000000"/>
            </w:tcBorders>
            <w:shd w:val="clear" w:color="auto" w:fill="auto"/>
          </w:tcPr>
          <w:p w:rsidR="00881F85" w:rsidRPr="005B5227" w:rsidRDefault="00487E68" w:rsidP="00487E68">
            <w:pPr>
              <w:pStyle w:val="naisc"/>
              <w:spacing w:before="0" w:after="0"/>
            </w:pPr>
            <w:r w:rsidRPr="005B5227">
              <w:rPr>
                <w:sz w:val="22"/>
                <w:szCs w:val="22"/>
              </w:rPr>
              <w:t>2.</w:t>
            </w:r>
          </w:p>
        </w:tc>
        <w:tc>
          <w:tcPr>
            <w:tcW w:w="1062" w:type="pct"/>
            <w:tcBorders>
              <w:top w:val="single" w:sz="4" w:space="0" w:color="auto"/>
              <w:left w:val="single" w:sz="6" w:space="0" w:color="000000"/>
              <w:bottom w:val="single" w:sz="4" w:space="0" w:color="auto"/>
              <w:right w:val="single" w:sz="6" w:space="0" w:color="000000"/>
            </w:tcBorders>
            <w:shd w:val="clear" w:color="auto" w:fill="auto"/>
            <w:hideMark/>
          </w:tcPr>
          <w:p w:rsidR="00572183" w:rsidRPr="005B5227" w:rsidRDefault="001D6BDE" w:rsidP="00572183">
            <w:pPr>
              <w:jc w:val="both"/>
            </w:pPr>
            <w:r w:rsidRPr="005B5227">
              <w:rPr>
                <w:sz w:val="22"/>
                <w:szCs w:val="22"/>
              </w:rPr>
              <w:t xml:space="preserve">Informatīvais ziņojums, rīkojuma projekta </w:t>
            </w:r>
            <w:r w:rsidRPr="005B5227">
              <w:rPr>
                <w:rFonts w:eastAsia="Calibri"/>
                <w:color w:val="000000"/>
                <w:sz w:val="22"/>
                <w:szCs w:val="22"/>
              </w:rPr>
              <w:t>sākotnējās ietekmes novērtējuma ziņojums (anotācija) un p</w:t>
            </w:r>
            <w:r w:rsidR="001805DB" w:rsidRPr="005B5227">
              <w:rPr>
                <w:sz w:val="22"/>
                <w:szCs w:val="22"/>
              </w:rPr>
              <w:t xml:space="preserve">rotokollēmuma </w:t>
            </w:r>
            <w:r w:rsidR="001805DB" w:rsidRPr="005B5227">
              <w:rPr>
                <w:sz w:val="22"/>
                <w:szCs w:val="22"/>
              </w:rPr>
              <w:lastRenderedPageBreak/>
              <w:t>projekta</w:t>
            </w:r>
            <w:r w:rsidR="00572183" w:rsidRPr="005B5227">
              <w:rPr>
                <w:sz w:val="22"/>
                <w:szCs w:val="22"/>
              </w:rPr>
              <w:t xml:space="preserve"> 4.punkts:</w:t>
            </w:r>
          </w:p>
          <w:p w:rsidR="001805DB" w:rsidRPr="005B5227" w:rsidRDefault="001805DB" w:rsidP="00572183">
            <w:pPr>
              <w:autoSpaceDE w:val="0"/>
              <w:autoSpaceDN w:val="0"/>
              <w:adjustRightInd w:val="0"/>
              <w:jc w:val="both"/>
              <w:rPr>
                <w:rFonts w:eastAsia="Calibri"/>
                <w:lang w:eastAsia="en-US"/>
              </w:rPr>
            </w:pPr>
          </w:p>
          <w:p w:rsidR="00572183" w:rsidRPr="005B5227" w:rsidRDefault="001805DB" w:rsidP="00572183">
            <w:pPr>
              <w:autoSpaceDE w:val="0"/>
              <w:autoSpaceDN w:val="0"/>
              <w:adjustRightInd w:val="0"/>
              <w:jc w:val="both"/>
            </w:pPr>
            <w:r w:rsidRPr="005B5227">
              <w:rPr>
                <w:rFonts w:eastAsia="Calibri"/>
                <w:sz w:val="22"/>
                <w:szCs w:val="22"/>
                <w:lang w:eastAsia="en-US"/>
              </w:rPr>
              <w:t xml:space="preserve">„4. </w:t>
            </w:r>
            <w:r w:rsidR="00572183" w:rsidRPr="005B5227">
              <w:rPr>
                <w:rFonts w:eastAsia="Calibri"/>
                <w:sz w:val="22"/>
                <w:szCs w:val="22"/>
                <w:lang w:eastAsia="en-US"/>
              </w:rPr>
              <w:t xml:space="preserve">Finanšu un ekonomisko aprēķinu veikt </w:t>
            </w:r>
            <w:r w:rsidR="00572183" w:rsidRPr="005B5227">
              <w:rPr>
                <w:color w:val="000000"/>
                <w:sz w:val="22"/>
                <w:szCs w:val="22"/>
              </w:rPr>
              <w:t xml:space="preserve">Latvijas Investīciju un attīstības aģentūras īstenotā </w:t>
            </w:r>
            <w:r w:rsidR="00572183" w:rsidRPr="005B5227">
              <w:rPr>
                <w:sz w:val="22"/>
                <w:szCs w:val="22"/>
              </w:rPr>
              <w:t>darbības programmas „Izaugsme un nodarbinātība” 3.2.1.specifiskā atbalsta mērķa „Palielināt augstas pievienotās vērtības produktu un pakalpojumu eksporta proporciju” 3.2.1.2.pasākuma „Starptautiskās konkurētspējas veicināšana”</w:t>
            </w:r>
            <w:r w:rsidR="00572183" w:rsidRPr="005B5227">
              <w:rPr>
                <w:rFonts w:eastAsia="Calibri"/>
                <w:sz w:val="22"/>
                <w:szCs w:val="22"/>
                <w:lang w:eastAsia="en-US"/>
              </w:rPr>
              <w:t xml:space="preserve"> ietvaros.</w:t>
            </w:r>
            <w:r w:rsidRPr="005B5227">
              <w:rPr>
                <w:rFonts w:eastAsia="Calibri"/>
                <w:sz w:val="22"/>
                <w:szCs w:val="22"/>
                <w:lang w:eastAsia="en-US"/>
              </w:rPr>
              <w:t>”</w:t>
            </w:r>
          </w:p>
          <w:p w:rsidR="00572183" w:rsidRPr="005B5227" w:rsidRDefault="00572183" w:rsidP="00572183">
            <w:pPr>
              <w:jc w:val="both"/>
            </w:pPr>
          </w:p>
          <w:p w:rsidR="00881F85" w:rsidRPr="005B5227" w:rsidRDefault="00881F85" w:rsidP="00881F85">
            <w:pPr>
              <w:jc w:val="both"/>
            </w:pPr>
          </w:p>
        </w:tc>
        <w:tc>
          <w:tcPr>
            <w:tcW w:w="1559" w:type="pct"/>
            <w:tcBorders>
              <w:top w:val="single" w:sz="4" w:space="0" w:color="auto"/>
              <w:left w:val="single" w:sz="6" w:space="0" w:color="000000"/>
              <w:bottom w:val="single" w:sz="4" w:space="0" w:color="auto"/>
              <w:right w:val="single" w:sz="6" w:space="0" w:color="000000"/>
            </w:tcBorders>
            <w:shd w:val="clear" w:color="auto" w:fill="auto"/>
            <w:hideMark/>
          </w:tcPr>
          <w:p w:rsidR="00881F85" w:rsidRPr="005B5227" w:rsidRDefault="00881F85" w:rsidP="00881F85">
            <w:pPr>
              <w:pStyle w:val="Default"/>
              <w:jc w:val="both"/>
              <w:rPr>
                <w:b/>
                <w:sz w:val="22"/>
                <w:szCs w:val="22"/>
              </w:rPr>
            </w:pPr>
            <w:r w:rsidRPr="005B5227">
              <w:rPr>
                <w:b/>
                <w:sz w:val="22"/>
                <w:szCs w:val="22"/>
              </w:rPr>
              <w:lastRenderedPageBreak/>
              <w:t xml:space="preserve">Finanšu ministrija: </w:t>
            </w:r>
          </w:p>
          <w:p w:rsidR="00881F85" w:rsidRPr="005B5227" w:rsidRDefault="00881F85" w:rsidP="00881F85">
            <w:pPr>
              <w:widowControl w:val="0"/>
              <w:jc w:val="both"/>
              <w:rPr>
                <w:rFonts w:eastAsia="Calibri"/>
              </w:rPr>
            </w:pPr>
            <w:r w:rsidRPr="005B5227">
              <w:rPr>
                <w:rFonts w:eastAsia="Calibri"/>
                <w:sz w:val="22"/>
                <w:szCs w:val="22"/>
              </w:rPr>
              <w:t xml:space="preserve">Protokollēmuma projekta 4.punkts paredz finanšu un ekonomisko aprēķinu veikt Latvijas Investīciju un attīstības aģentūras īstenotā </w:t>
            </w:r>
            <w:r w:rsidRPr="005B5227">
              <w:rPr>
                <w:rFonts w:eastAsia="Calibri"/>
                <w:sz w:val="22"/>
                <w:szCs w:val="22"/>
              </w:rPr>
              <w:lastRenderedPageBreak/>
              <w:t>darbības programmas “Izaugsme un nodarbinātība” 3.2.1. specifiskā atbalsta mērķa “Palielināt augstas pievienotās vērtības produktu un pakalpojumu eksporta proporciju” 3.2.1.2. pasākuma “Starptautiskās konkurētspējas veicināšana” ietvaros.</w:t>
            </w:r>
          </w:p>
          <w:p w:rsidR="00881F85" w:rsidRPr="005B5227" w:rsidRDefault="00881F85" w:rsidP="00994CDF">
            <w:pPr>
              <w:widowControl w:val="0"/>
              <w:jc w:val="both"/>
              <w:rPr>
                <w:b/>
              </w:rPr>
            </w:pPr>
            <w:r w:rsidRPr="005B5227">
              <w:rPr>
                <w:rFonts w:eastAsia="Calibri"/>
                <w:sz w:val="22"/>
                <w:szCs w:val="22"/>
              </w:rPr>
              <w:t>Saskaņā ar anotācijā sniegto informāciju, ka Kultūras ministrija noslēgtajā iepirkuma līgumā ar SIA “</w:t>
            </w:r>
            <w:proofErr w:type="spellStart"/>
            <w:r w:rsidRPr="005B5227">
              <w:rPr>
                <w:rFonts w:eastAsia="Calibri"/>
                <w:sz w:val="22"/>
                <w:szCs w:val="22"/>
              </w:rPr>
              <w:t>PricewaterhouseCoopers</w:t>
            </w:r>
            <w:proofErr w:type="spellEnd"/>
            <w:r w:rsidRPr="005B5227">
              <w:rPr>
                <w:rFonts w:eastAsia="Calibri"/>
                <w:sz w:val="22"/>
                <w:szCs w:val="22"/>
              </w:rPr>
              <w:t>” par finanšu un ekonomisko aprēķinu izstrādi Nacionālās koncertzāles projekta Rīgā īstenošanai publiskās un privātās partnerības jomā jau tika veikts finanšu ekonomiskais pamatojums akustiskajai koncertzālei, kas paredzēja publiskās un privātās partnerības modeļa izmaksu aprēķināšanu, lūdzam papildināt anotāciju ar informāciju, ka 3.2.1.2.pasākuma “Starptautiskās konkurētspējas veicināšana” ietvaros plānotais finansējums tiks izmantots tikai topošās koncertzāles konferenču centra segmenta finanšu un ekonomisko aprēķinu izstrādei. Vēršam uzmanību, ka 3.2.1.2.pasākuma “Starptautiskās konkurētspējas veicināšana” mērķis ir saistīts ar Latvijas kā darījumu tūrisma galamērķa starptautisko konkurētspējas veicināšanu. Informējam, ka Kultūras ministrijas pārziņā esošais koncertzāles projekts ar 3.2.1.2.pasākumu “Starptautiskās konkurētspējas veicināšana” ir saistīts tikai pastarpināti. Nepieciešamības gadījumā lūdzam veikt precizējumus arī citos dokumentos.</w:t>
            </w:r>
          </w:p>
        </w:tc>
        <w:tc>
          <w:tcPr>
            <w:tcW w:w="970" w:type="pct"/>
            <w:tcBorders>
              <w:top w:val="single" w:sz="4" w:space="0" w:color="auto"/>
              <w:left w:val="single" w:sz="6" w:space="0" w:color="000000"/>
              <w:bottom w:val="single" w:sz="4" w:space="0" w:color="auto"/>
              <w:right w:val="single" w:sz="6" w:space="0" w:color="000000"/>
            </w:tcBorders>
            <w:shd w:val="clear" w:color="auto" w:fill="auto"/>
            <w:hideMark/>
          </w:tcPr>
          <w:p w:rsidR="00881F85" w:rsidRPr="005B5227" w:rsidRDefault="00881F85" w:rsidP="00881F85">
            <w:pPr>
              <w:pStyle w:val="naisc"/>
              <w:spacing w:before="0" w:after="0"/>
              <w:ind w:firstLine="32"/>
              <w:rPr>
                <w:b/>
              </w:rPr>
            </w:pPr>
            <w:r w:rsidRPr="005B5227">
              <w:rPr>
                <w:b/>
                <w:sz w:val="22"/>
                <w:szCs w:val="22"/>
              </w:rPr>
              <w:lastRenderedPageBreak/>
              <w:t xml:space="preserve">Ņemts vērā </w:t>
            </w:r>
          </w:p>
          <w:p w:rsidR="00881F85" w:rsidRPr="005B5227" w:rsidRDefault="00BA03B5" w:rsidP="001805DB">
            <w:pPr>
              <w:pStyle w:val="naisc"/>
              <w:spacing w:before="0" w:after="0"/>
              <w:ind w:firstLine="32"/>
              <w:jc w:val="both"/>
            </w:pPr>
            <w:r w:rsidRPr="005B5227">
              <w:rPr>
                <w:sz w:val="22"/>
                <w:szCs w:val="22"/>
              </w:rPr>
              <w:t xml:space="preserve">Skaidrojam, ka </w:t>
            </w:r>
            <w:r w:rsidRPr="005B5227">
              <w:rPr>
                <w:rFonts w:eastAsia="Calibri"/>
                <w:sz w:val="22"/>
                <w:szCs w:val="22"/>
              </w:rPr>
              <w:t xml:space="preserve">finanšu un ekonomisko aprēķinu nepieciešams veikt par </w:t>
            </w:r>
            <w:r w:rsidRPr="005B5227">
              <w:rPr>
                <w:rFonts w:eastAsia="Calibri"/>
                <w:sz w:val="22"/>
                <w:szCs w:val="22"/>
              </w:rPr>
              <w:lastRenderedPageBreak/>
              <w:t xml:space="preserve">projektu kopumā, </w:t>
            </w:r>
            <w:r w:rsidR="001805DB" w:rsidRPr="005B5227">
              <w:rPr>
                <w:rFonts w:eastAsia="Calibri"/>
                <w:sz w:val="22"/>
                <w:szCs w:val="22"/>
              </w:rPr>
              <w:t>papildus</w:t>
            </w:r>
            <w:r w:rsidRPr="005B5227">
              <w:rPr>
                <w:rFonts w:eastAsia="Calibri"/>
                <w:sz w:val="22"/>
                <w:szCs w:val="22"/>
              </w:rPr>
              <w:t xml:space="preserve"> norādām, ka vienlaikus tiks ņemti </w:t>
            </w:r>
            <w:r w:rsidRPr="005B5227">
              <w:rPr>
                <w:rFonts w:eastAsia="Georgia"/>
                <w:sz w:val="22"/>
                <w:szCs w:val="22"/>
                <w:lang w:eastAsia="en-US"/>
              </w:rPr>
              <w:t xml:space="preserve">vērā </w:t>
            </w:r>
            <w:r w:rsidR="001805DB" w:rsidRPr="005B5227">
              <w:rPr>
                <w:rFonts w:eastAsia="Georgia"/>
                <w:sz w:val="22"/>
                <w:szCs w:val="22"/>
                <w:lang w:eastAsia="en-US"/>
              </w:rPr>
              <w:t xml:space="preserve">arī </w:t>
            </w:r>
            <w:proofErr w:type="spellStart"/>
            <w:r w:rsidRPr="005B5227">
              <w:rPr>
                <w:rFonts w:eastAsia="Georgia"/>
                <w:i/>
                <w:sz w:val="22"/>
                <w:szCs w:val="22"/>
              </w:rPr>
              <w:t>PricewaterhouseCoopers</w:t>
            </w:r>
            <w:proofErr w:type="spellEnd"/>
            <w:r w:rsidRPr="005B5227">
              <w:rPr>
                <w:rFonts w:eastAsia="Georgia"/>
                <w:sz w:val="22"/>
                <w:szCs w:val="22"/>
              </w:rPr>
              <w:t xml:space="preserve"> </w:t>
            </w:r>
            <w:r w:rsidR="001805DB" w:rsidRPr="005B5227">
              <w:rPr>
                <w:rFonts w:eastAsia="Georgia"/>
                <w:sz w:val="22"/>
                <w:szCs w:val="22"/>
              </w:rPr>
              <w:t>j</w:t>
            </w:r>
            <w:r w:rsidRPr="005B5227">
              <w:rPr>
                <w:rFonts w:eastAsia="Georgia"/>
                <w:sz w:val="22"/>
                <w:szCs w:val="22"/>
              </w:rPr>
              <w:t>au izstrādātie pieņēmumi un secinājumi.</w:t>
            </w:r>
          </w:p>
        </w:tc>
        <w:tc>
          <w:tcPr>
            <w:tcW w:w="1230" w:type="pct"/>
            <w:tcBorders>
              <w:top w:val="single" w:sz="4" w:space="0" w:color="auto"/>
              <w:left w:val="single" w:sz="4" w:space="0" w:color="auto"/>
              <w:bottom w:val="single" w:sz="4" w:space="0" w:color="auto"/>
              <w:right w:val="single" w:sz="4" w:space="0" w:color="auto"/>
            </w:tcBorders>
            <w:shd w:val="clear" w:color="auto" w:fill="auto"/>
            <w:hideMark/>
          </w:tcPr>
          <w:p w:rsidR="00BC067A" w:rsidRPr="005B5227" w:rsidRDefault="00753C87" w:rsidP="00BC067A">
            <w:pPr>
              <w:pStyle w:val="naisc"/>
              <w:spacing w:before="0" w:after="0"/>
              <w:jc w:val="both"/>
              <w:rPr>
                <w:rFonts w:eastAsia="Calibri"/>
                <w:color w:val="000000"/>
              </w:rPr>
            </w:pPr>
            <w:r w:rsidRPr="005B5227">
              <w:rPr>
                <w:rFonts w:eastAsia="Calibri"/>
                <w:color w:val="000000"/>
                <w:sz w:val="22"/>
                <w:szCs w:val="22"/>
              </w:rPr>
              <w:lastRenderedPageBreak/>
              <w:t>Precizēta r</w:t>
            </w:r>
            <w:r w:rsidR="00BC067A" w:rsidRPr="005B5227">
              <w:rPr>
                <w:rFonts w:eastAsia="Calibri"/>
                <w:color w:val="000000"/>
                <w:sz w:val="22"/>
                <w:szCs w:val="22"/>
              </w:rPr>
              <w:t>īkojuma sākotnējās ietekmes novērtējuma ziņojuma (anotācijas) I. sadaļas 2.punkta trešā rindkopa šādā redakcijā:</w:t>
            </w:r>
          </w:p>
          <w:p w:rsidR="00572183" w:rsidRPr="005B5227" w:rsidRDefault="00BC067A" w:rsidP="006C30E5">
            <w:pPr>
              <w:pStyle w:val="naisc"/>
              <w:spacing w:before="0" w:after="0"/>
              <w:ind w:left="-49"/>
              <w:jc w:val="both"/>
            </w:pPr>
            <w:r w:rsidRPr="005B5227">
              <w:rPr>
                <w:rFonts w:eastAsia="Georgia"/>
                <w:sz w:val="22"/>
                <w:szCs w:val="22"/>
              </w:rPr>
              <w:lastRenderedPageBreak/>
              <w:t xml:space="preserve">„Savukārt finanšu un ekonomisko aprēķinu koncertzāles un konferenču centra projektam paredzēts veikt Latvijas Investīciju un attīstības aģentūras īstenotā darbības programmas „Izaugsme un nodarbinātība” 3.2.1.specifiskā atbalsta mērķa „Palielināt augstas pievienotās vērtības produktu un pakalpojumu eksporta proporciju” 3.2.1.2.pasākuma „Starptautiskās konkurētspējas veicināšana” ietvaros, ņemot vērā </w:t>
            </w:r>
            <w:proofErr w:type="spellStart"/>
            <w:r w:rsidRPr="005B5227">
              <w:rPr>
                <w:rFonts w:eastAsia="Georgia"/>
                <w:sz w:val="22"/>
                <w:szCs w:val="22"/>
              </w:rPr>
              <w:t>PricewaterhouseCoopers</w:t>
            </w:r>
            <w:proofErr w:type="spellEnd"/>
            <w:r w:rsidRPr="005B5227">
              <w:rPr>
                <w:rFonts w:eastAsia="Georgia"/>
                <w:sz w:val="22"/>
                <w:szCs w:val="22"/>
              </w:rPr>
              <w:t xml:space="preserve"> 2018.gadā veiktā pētījuma „Finanšu un ekonomisko aprēķinu izstrāde Nacionālās koncertzāles projekta īstenošanai” pieņēmumus un secinājumus.”</w:t>
            </w:r>
          </w:p>
        </w:tc>
      </w:tr>
      <w:tr w:rsidR="00881F85" w:rsidRPr="005B5227" w:rsidTr="005B5227">
        <w:trPr>
          <w:trHeight w:val="693"/>
        </w:trPr>
        <w:tc>
          <w:tcPr>
            <w:tcW w:w="179" w:type="pct"/>
            <w:tcBorders>
              <w:top w:val="single" w:sz="4" w:space="0" w:color="auto"/>
              <w:left w:val="single" w:sz="6" w:space="0" w:color="000000"/>
              <w:bottom w:val="single" w:sz="4" w:space="0" w:color="auto"/>
              <w:right w:val="single" w:sz="6" w:space="0" w:color="000000"/>
            </w:tcBorders>
            <w:shd w:val="clear" w:color="auto" w:fill="auto"/>
          </w:tcPr>
          <w:p w:rsidR="00881F85" w:rsidRPr="005B5227" w:rsidRDefault="00487E68" w:rsidP="00487E68">
            <w:pPr>
              <w:pStyle w:val="naisc"/>
              <w:spacing w:before="0" w:after="0"/>
            </w:pPr>
            <w:r w:rsidRPr="005B5227">
              <w:rPr>
                <w:sz w:val="22"/>
                <w:szCs w:val="22"/>
              </w:rPr>
              <w:lastRenderedPageBreak/>
              <w:t>3.</w:t>
            </w:r>
          </w:p>
        </w:tc>
        <w:tc>
          <w:tcPr>
            <w:tcW w:w="1062" w:type="pct"/>
            <w:tcBorders>
              <w:top w:val="single" w:sz="4" w:space="0" w:color="auto"/>
              <w:left w:val="single" w:sz="6" w:space="0" w:color="000000"/>
              <w:bottom w:val="single" w:sz="4" w:space="0" w:color="auto"/>
              <w:right w:val="single" w:sz="6" w:space="0" w:color="000000"/>
            </w:tcBorders>
            <w:shd w:val="clear" w:color="auto" w:fill="auto"/>
            <w:hideMark/>
          </w:tcPr>
          <w:p w:rsidR="00881F85" w:rsidRPr="005B5227" w:rsidRDefault="0000038B" w:rsidP="00881F85">
            <w:pPr>
              <w:jc w:val="both"/>
            </w:pPr>
            <w:bookmarkStart w:id="2" w:name="n-626535"/>
            <w:bookmarkStart w:id="3" w:name="626535"/>
            <w:bookmarkEnd w:id="2"/>
            <w:bookmarkEnd w:id="3"/>
            <w:r w:rsidRPr="005B5227">
              <w:rPr>
                <w:sz w:val="22"/>
                <w:szCs w:val="22"/>
              </w:rPr>
              <w:t xml:space="preserve">Rīkojuma projekta </w:t>
            </w:r>
            <w:r w:rsidRPr="005B5227">
              <w:rPr>
                <w:rFonts w:eastAsia="Calibri"/>
                <w:color w:val="000000"/>
                <w:sz w:val="22"/>
                <w:szCs w:val="22"/>
              </w:rPr>
              <w:t xml:space="preserve">sākotnējās ietekmes novērtējuma ziņojums (anotācija). </w:t>
            </w:r>
          </w:p>
        </w:tc>
        <w:tc>
          <w:tcPr>
            <w:tcW w:w="1559" w:type="pct"/>
            <w:tcBorders>
              <w:top w:val="single" w:sz="4" w:space="0" w:color="auto"/>
              <w:left w:val="single" w:sz="6" w:space="0" w:color="000000"/>
              <w:bottom w:val="single" w:sz="4" w:space="0" w:color="auto"/>
              <w:right w:val="single" w:sz="6" w:space="0" w:color="000000"/>
            </w:tcBorders>
            <w:shd w:val="clear" w:color="auto" w:fill="auto"/>
            <w:hideMark/>
          </w:tcPr>
          <w:p w:rsidR="00881F85" w:rsidRPr="005B5227" w:rsidRDefault="00881F85" w:rsidP="00881F85">
            <w:pPr>
              <w:pStyle w:val="Default"/>
              <w:jc w:val="both"/>
              <w:rPr>
                <w:b/>
                <w:sz w:val="22"/>
                <w:szCs w:val="22"/>
              </w:rPr>
            </w:pPr>
            <w:r w:rsidRPr="005B5227">
              <w:rPr>
                <w:b/>
                <w:sz w:val="22"/>
                <w:szCs w:val="22"/>
              </w:rPr>
              <w:t xml:space="preserve">Finanšu ministrija: </w:t>
            </w:r>
          </w:p>
          <w:p w:rsidR="00881F85" w:rsidRPr="005B5227" w:rsidRDefault="00881F85" w:rsidP="00881F85">
            <w:pPr>
              <w:pStyle w:val="Default"/>
              <w:jc w:val="both"/>
              <w:rPr>
                <w:b/>
                <w:sz w:val="22"/>
                <w:szCs w:val="22"/>
              </w:rPr>
            </w:pPr>
            <w:r w:rsidRPr="005B5227">
              <w:rPr>
                <w:rFonts w:eastAsia="Calibri"/>
                <w:sz w:val="22"/>
                <w:szCs w:val="22"/>
              </w:rPr>
              <w:t>Lūdzam papildināt anotāciju ar indikatīvu finansējuma apjomu, kas nepieciešams koncertzāles (konferenču centra segmenta) finanšu un ekonomisko aprēķinu izstrādei.</w:t>
            </w:r>
          </w:p>
        </w:tc>
        <w:tc>
          <w:tcPr>
            <w:tcW w:w="970" w:type="pct"/>
            <w:tcBorders>
              <w:top w:val="single" w:sz="4" w:space="0" w:color="auto"/>
              <w:left w:val="single" w:sz="6" w:space="0" w:color="000000"/>
              <w:bottom w:val="single" w:sz="4" w:space="0" w:color="auto"/>
              <w:right w:val="single" w:sz="6" w:space="0" w:color="000000"/>
            </w:tcBorders>
            <w:shd w:val="clear" w:color="auto" w:fill="auto"/>
            <w:hideMark/>
          </w:tcPr>
          <w:p w:rsidR="00881F85" w:rsidRPr="005B5227" w:rsidRDefault="00881F85" w:rsidP="00881F85">
            <w:pPr>
              <w:pStyle w:val="naisc"/>
              <w:spacing w:before="0" w:after="0"/>
              <w:ind w:firstLine="32"/>
              <w:rPr>
                <w:b/>
              </w:rPr>
            </w:pPr>
            <w:r w:rsidRPr="005B5227">
              <w:rPr>
                <w:b/>
                <w:sz w:val="22"/>
                <w:szCs w:val="22"/>
              </w:rPr>
              <w:t xml:space="preserve">Ņemts vērā </w:t>
            </w:r>
          </w:p>
          <w:p w:rsidR="00881F85" w:rsidRPr="005B5227" w:rsidRDefault="00881F85" w:rsidP="00E041E7">
            <w:pPr>
              <w:pStyle w:val="naisc"/>
              <w:spacing w:before="0" w:after="0"/>
              <w:ind w:firstLine="32"/>
              <w:rPr>
                <w:b/>
              </w:rPr>
            </w:pPr>
          </w:p>
        </w:tc>
        <w:tc>
          <w:tcPr>
            <w:tcW w:w="1230" w:type="pct"/>
            <w:tcBorders>
              <w:top w:val="single" w:sz="4" w:space="0" w:color="auto"/>
              <w:left w:val="single" w:sz="4" w:space="0" w:color="auto"/>
              <w:bottom w:val="single" w:sz="4" w:space="0" w:color="auto"/>
              <w:right w:val="single" w:sz="4" w:space="0" w:color="auto"/>
            </w:tcBorders>
            <w:shd w:val="clear" w:color="auto" w:fill="auto"/>
            <w:hideMark/>
          </w:tcPr>
          <w:p w:rsidR="0000038B" w:rsidRPr="005B5227" w:rsidRDefault="0000038B" w:rsidP="0000038B">
            <w:pPr>
              <w:pStyle w:val="naisc"/>
              <w:spacing w:before="0" w:after="0"/>
              <w:jc w:val="both"/>
              <w:rPr>
                <w:rFonts w:eastAsia="Calibri"/>
                <w:color w:val="000000"/>
              </w:rPr>
            </w:pPr>
            <w:r w:rsidRPr="005B5227">
              <w:rPr>
                <w:rFonts w:eastAsia="Calibri"/>
                <w:color w:val="000000"/>
                <w:sz w:val="22"/>
                <w:szCs w:val="22"/>
              </w:rPr>
              <w:t>Papildināts rīkojuma sākotnējās ietekmes novērtējuma ziņojuma (anotācijas) III. sadaļas 6.punkts ar otro rindkopu šādā redakcijā:</w:t>
            </w:r>
          </w:p>
          <w:p w:rsidR="0000038B" w:rsidRPr="005B5227" w:rsidRDefault="0000038B" w:rsidP="009639DB">
            <w:pPr>
              <w:jc w:val="both"/>
            </w:pPr>
          </w:p>
          <w:p w:rsidR="009639DB" w:rsidRPr="005B5227" w:rsidRDefault="0000038B" w:rsidP="00487E68">
            <w:pPr>
              <w:jc w:val="both"/>
            </w:pPr>
            <w:r w:rsidRPr="005B5227">
              <w:rPr>
                <w:sz w:val="22"/>
                <w:szCs w:val="22"/>
              </w:rPr>
              <w:lastRenderedPageBreak/>
              <w:t>„</w:t>
            </w:r>
            <w:r w:rsidR="00D24886" w:rsidRPr="005B5227">
              <w:rPr>
                <w:sz w:val="22"/>
                <w:szCs w:val="22"/>
              </w:rPr>
              <w:t>Indikatīvais finansējuma apmērs, kas nepieciešams koncertzāles finanšu un ekonomisko aprēķinu izstrādei,</w:t>
            </w:r>
            <w:bookmarkStart w:id="4" w:name="_GoBack"/>
            <w:r w:rsidR="00D24886" w:rsidRPr="005B5227">
              <w:rPr>
                <w:sz w:val="22"/>
                <w:szCs w:val="22"/>
              </w:rPr>
              <w:t xml:space="preserve"> papildinot aprēķinus ar konferenču centra segmenta finanšu un ekonomisko aprēķinu,</w:t>
            </w:r>
            <w:bookmarkEnd w:id="4"/>
            <w:r w:rsidR="00D24886" w:rsidRPr="005B5227">
              <w:rPr>
                <w:sz w:val="22"/>
                <w:szCs w:val="22"/>
              </w:rPr>
              <w:t xml:space="preserve"> plānots veikt Latvijas Investīciju un attīstības aģentūras īstenotā darbības programmas „Izaugsme un nodarbinātība” 3.2.1.specifiskā atbalsta mērķa „Palielināt augstas pievienotās vērtības produktu un pakalpojumu eksporta proporciju” 3.2.1.2.pasākuma „Starptautiskās konkurētspējas veicināšana” ietvaros, noteikts 100 000 </w:t>
            </w:r>
            <w:r w:rsidR="00D24886" w:rsidRPr="005B5227">
              <w:rPr>
                <w:i/>
                <w:iCs/>
                <w:sz w:val="22"/>
                <w:szCs w:val="22"/>
              </w:rPr>
              <w:t xml:space="preserve">euro </w:t>
            </w:r>
            <w:r w:rsidR="00D24886" w:rsidRPr="005B5227">
              <w:rPr>
                <w:iCs/>
                <w:sz w:val="22"/>
                <w:szCs w:val="22"/>
              </w:rPr>
              <w:t>(</w:t>
            </w:r>
            <w:r w:rsidR="00D24886" w:rsidRPr="005B5227">
              <w:rPr>
                <w:sz w:val="22"/>
                <w:szCs w:val="22"/>
              </w:rPr>
              <w:t>situācijas priekšizpēte – 20 000 </w:t>
            </w:r>
            <w:r w:rsidR="00D24886" w:rsidRPr="005B5227">
              <w:rPr>
                <w:i/>
                <w:iCs/>
                <w:sz w:val="22"/>
                <w:szCs w:val="22"/>
              </w:rPr>
              <w:t>euro</w:t>
            </w:r>
            <w:r w:rsidR="00D24886" w:rsidRPr="005B5227">
              <w:rPr>
                <w:sz w:val="22"/>
                <w:szCs w:val="22"/>
              </w:rPr>
              <w:t xml:space="preserve">; finanšu un ekonomisko aprēķinu veikšana – 60 000 </w:t>
            </w:r>
            <w:r w:rsidR="00D24886" w:rsidRPr="005B5227">
              <w:rPr>
                <w:i/>
                <w:iCs/>
                <w:sz w:val="22"/>
                <w:szCs w:val="22"/>
              </w:rPr>
              <w:t>euro</w:t>
            </w:r>
            <w:r w:rsidR="00D24886" w:rsidRPr="005B5227">
              <w:rPr>
                <w:sz w:val="22"/>
                <w:szCs w:val="22"/>
              </w:rPr>
              <w:t>; rekomendāciju sniegšana projekta realizācijai – 20 000 </w:t>
            </w:r>
            <w:r w:rsidR="00D24886" w:rsidRPr="005B5227">
              <w:rPr>
                <w:i/>
                <w:iCs/>
                <w:sz w:val="22"/>
                <w:szCs w:val="22"/>
              </w:rPr>
              <w:t>euro)</w:t>
            </w:r>
            <w:r w:rsidR="00D24886" w:rsidRPr="005B5227">
              <w:rPr>
                <w:sz w:val="22"/>
                <w:szCs w:val="22"/>
              </w:rPr>
              <w:t>, pamatojoties uz Ekonomikas ministrijas sagatavotajā informatīvajā ziņojumā „Par finanšu līdzekļu piešķiršanu konferenču centra finanšu un ekonomiskā pamatojuma izstrādei” iekļauto aprēķinu, ņemot vērā līdzīgu projektu īstenošanas pieredzi.”</w:t>
            </w:r>
          </w:p>
        </w:tc>
      </w:tr>
    </w:tbl>
    <w:p w:rsidR="00881F85" w:rsidRDefault="00881F85" w:rsidP="003B293D">
      <w:pPr>
        <w:outlineLvl w:val="0"/>
        <w:rPr>
          <w:sz w:val="22"/>
          <w:szCs w:val="22"/>
        </w:rPr>
      </w:pPr>
    </w:p>
    <w:p w:rsidR="00A71BEB" w:rsidRDefault="00A71BEB" w:rsidP="003B293D">
      <w:pPr>
        <w:outlineLvl w:val="0"/>
        <w:rPr>
          <w:sz w:val="20"/>
          <w:szCs w:val="20"/>
        </w:rPr>
      </w:pPr>
    </w:p>
    <w:p w:rsidR="00F64DE4" w:rsidRPr="00E041E7" w:rsidRDefault="00572183" w:rsidP="003B293D">
      <w:pPr>
        <w:outlineLvl w:val="0"/>
        <w:rPr>
          <w:sz w:val="20"/>
          <w:szCs w:val="20"/>
        </w:rPr>
      </w:pPr>
      <w:r>
        <w:rPr>
          <w:sz w:val="20"/>
          <w:szCs w:val="20"/>
        </w:rPr>
        <w:t>Z</w:t>
      </w:r>
      <w:r w:rsidR="00487E68">
        <w:rPr>
          <w:sz w:val="20"/>
          <w:szCs w:val="20"/>
        </w:rPr>
        <w:t xml:space="preserve">anda </w:t>
      </w:r>
      <w:r>
        <w:rPr>
          <w:sz w:val="20"/>
          <w:szCs w:val="20"/>
        </w:rPr>
        <w:t>Saulīte</w:t>
      </w:r>
    </w:p>
    <w:p w:rsidR="00F64DE4" w:rsidRPr="00E041E7" w:rsidRDefault="004520D3" w:rsidP="003B293D">
      <w:pPr>
        <w:rPr>
          <w:iCs/>
          <w:sz w:val="20"/>
          <w:szCs w:val="20"/>
        </w:rPr>
      </w:pPr>
      <w:r w:rsidRPr="004520D3">
        <w:rPr>
          <w:iCs/>
          <w:sz w:val="20"/>
          <w:szCs w:val="20"/>
        </w:rPr>
        <w:t xml:space="preserve">Kultūras ministrijas </w:t>
      </w:r>
    </w:p>
    <w:p w:rsidR="009453B4" w:rsidRPr="00E041E7" w:rsidRDefault="004520D3" w:rsidP="003B293D">
      <w:pPr>
        <w:rPr>
          <w:iCs/>
          <w:sz w:val="20"/>
          <w:szCs w:val="20"/>
        </w:rPr>
      </w:pPr>
      <w:r w:rsidRPr="004520D3">
        <w:rPr>
          <w:iCs/>
          <w:sz w:val="20"/>
          <w:szCs w:val="20"/>
        </w:rPr>
        <w:t xml:space="preserve">Eiropas Savienības fondu departamenta </w:t>
      </w:r>
      <w:r w:rsidR="00572183">
        <w:rPr>
          <w:iCs/>
          <w:sz w:val="20"/>
          <w:szCs w:val="20"/>
        </w:rPr>
        <w:t>direktore</w:t>
      </w:r>
    </w:p>
    <w:p w:rsidR="009453B4" w:rsidRPr="00487E68" w:rsidRDefault="008265ED" w:rsidP="003B293D">
      <w:pPr>
        <w:tabs>
          <w:tab w:val="left" w:pos="6804"/>
        </w:tabs>
        <w:rPr>
          <w:color w:val="000000"/>
          <w:sz w:val="20"/>
          <w:szCs w:val="20"/>
        </w:rPr>
      </w:pPr>
      <w:bookmarkStart w:id="5" w:name="OLE_LINK22"/>
      <w:bookmarkStart w:id="6" w:name="OLE_LINK23"/>
      <w:r>
        <w:rPr>
          <w:sz w:val="20"/>
          <w:szCs w:val="20"/>
        </w:rPr>
        <w:t xml:space="preserve">Tālr. </w:t>
      </w:r>
      <w:r w:rsidR="00572183">
        <w:rPr>
          <w:sz w:val="20"/>
          <w:szCs w:val="20"/>
        </w:rPr>
        <w:t>67330316</w:t>
      </w:r>
      <w:r w:rsidR="004520D3" w:rsidRPr="004520D3">
        <w:rPr>
          <w:sz w:val="20"/>
          <w:szCs w:val="20"/>
        </w:rPr>
        <w:t xml:space="preserve">; </w:t>
      </w:r>
      <w:hyperlink r:id="rId8" w:history="1">
        <w:r w:rsidR="00572183" w:rsidRPr="000D47D5">
          <w:rPr>
            <w:rStyle w:val="Hipersaite"/>
            <w:sz w:val="20"/>
            <w:szCs w:val="20"/>
          </w:rPr>
          <w:t>Zanda.Saulite@km.gov.lv</w:t>
        </w:r>
      </w:hyperlink>
      <w:bookmarkEnd w:id="5"/>
      <w:bookmarkEnd w:id="6"/>
    </w:p>
    <w:sectPr w:rsidR="009453B4" w:rsidRPr="00487E68" w:rsidSect="00A71BEB">
      <w:headerReference w:type="default" r:id="rId9"/>
      <w:footerReference w:type="default" r:id="rId10"/>
      <w:footerReference w:type="first" r:id="rId11"/>
      <w:pgSz w:w="16838" w:h="11906" w:orient="landscape"/>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BCF" w:rsidRDefault="00B36BCF" w:rsidP="00F64DE4">
      <w:r>
        <w:separator/>
      </w:r>
    </w:p>
  </w:endnote>
  <w:endnote w:type="continuationSeparator" w:id="0">
    <w:p w:rsidR="00B36BCF" w:rsidRDefault="00B36BCF"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CF" w:rsidRPr="00D24886" w:rsidRDefault="00D61B74" w:rsidP="00854B8D">
    <w:pPr>
      <w:pStyle w:val="Kjene"/>
      <w:rPr>
        <w:sz w:val="18"/>
        <w:szCs w:val="18"/>
      </w:rPr>
    </w:pPr>
    <w:r>
      <w:rPr>
        <w:sz w:val="20"/>
        <w:szCs w:val="20"/>
      </w:rPr>
      <w:t>KMIzz_30</w:t>
    </w:r>
    <w:r w:rsidR="00B36BCF">
      <w:rPr>
        <w:sz w:val="20"/>
        <w:szCs w:val="20"/>
      </w:rPr>
      <w:t>1019_koncertzale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CF" w:rsidRPr="00B16397" w:rsidRDefault="00D61B74" w:rsidP="00B16397">
    <w:pPr>
      <w:pStyle w:val="Kjene"/>
    </w:pPr>
    <w:r>
      <w:rPr>
        <w:sz w:val="20"/>
        <w:szCs w:val="20"/>
      </w:rPr>
      <w:t>KMIzz_30</w:t>
    </w:r>
    <w:r w:rsidR="00B36BCF">
      <w:rPr>
        <w:sz w:val="20"/>
        <w:szCs w:val="20"/>
      </w:rPr>
      <w:t>1019_koncertzale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BCF" w:rsidRDefault="00B36BCF" w:rsidP="00F64DE4">
      <w:r>
        <w:separator/>
      </w:r>
    </w:p>
  </w:footnote>
  <w:footnote w:type="continuationSeparator" w:id="0">
    <w:p w:rsidR="00B36BCF" w:rsidRDefault="00B36BCF" w:rsidP="00F64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Content>
      <w:p w:rsidR="00B36BCF" w:rsidRPr="00D24886" w:rsidRDefault="008009F6">
        <w:pPr>
          <w:pStyle w:val="Galvene"/>
          <w:jc w:val="center"/>
          <w:rPr>
            <w:sz w:val="20"/>
          </w:rPr>
        </w:pPr>
        <w:r w:rsidRPr="00196278">
          <w:rPr>
            <w:sz w:val="22"/>
            <w:szCs w:val="22"/>
          </w:rPr>
          <w:fldChar w:fldCharType="begin"/>
        </w:r>
        <w:r w:rsidR="00B36BCF" w:rsidRPr="00196278">
          <w:rPr>
            <w:sz w:val="22"/>
            <w:szCs w:val="22"/>
          </w:rPr>
          <w:instrText xml:space="preserve"> PAGE   \* MERGEFORMAT </w:instrText>
        </w:r>
        <w:r w:rsidRPr="00196278">
          <w:rPr>
            <w:sz w:val="22"/>
            <w:szCs w:val="22"/>
          </w:rPr>
          <w:fldChar w:fldCharType="separate"/>
        </w:r>
        <w:r w:rsidR="00DD4FB8">
          <w:rPr>
            <w:noProof/>
            <w:sz w:val="22"/>
            <w:szCs w:val="22"/>
          </w:rPr>
          <w:t>3</w:t>
        </w:r>
        <w:r w:rsidRPr="00196278">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550"/>
    <w:multiLevelType w:val="multilevel"/>
    <w:tmpl w:val="5E94B82C"/>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2A4639"/>
    <w:multiLevelType w:val="hybridMultilevel"/>
    <w:tmpl w:val="94E8233A"/>
    <w:lvl w:ilvl="0" w:tplc="AE1E364C">
      <w:start w:val="1"/>
      <w:numFmt w:val="bullet"/>
      <w:lvlText w:val=""/>
      <w:lvlJc w:val="left"/>
      <w:pPr>
        <w:tabs>
          <w:tab w:val="num" w:pos="720"/>
        </w:tabs>
        <w:ind w:left="720" w:hanging="360"/>
      </w:pPr>
      <w:rPr>
        <w:rFonts w:ascii="Wingdings" w:hAnsi="Wingdings" w:hint="default"/>
      </w:rPr>
    </w:lvl>
    <w:lvl w:ilvl="1" w:tplc="90E40476">
      <w:start w:val="660"/>
      <w:numFmt w:val="bullet"/>
      <w:lvlText w:val=""/>
      <w:lvlJc w:val="left"/>
      <w:pPr>
        <w:tabs>
          <w:tab w:val="num" w:pos="1440"/>
        </w:tabs>
        <w:ind w:left="1440" w:hanging="360"/>
      </w:pPr>
      <w:rPr>
        <w:rFonts w:ascii="Wingdings" w:hAnsi="Wingdings" w:hint="default"/>
      </w:rPr>
    </w:lvl>
    <w:lvl w:ilvl="2" w:tplc="6BEE1D1A" w:tentative="1">
      <w:start w:val="1"/>
      <w:numFmt w:val="bullet"/>
      <w:lvlText w:val=""/>
      <w:lvlJc w:val="left"/>
      <w:pPr>
        <w:tabs>
          <w:tab w:val="num" w:pos="2160"/>
        </w:tabs>
        <w:ind w:left="2160" w:hanging="360"/>
      </w:pPr>
      <w:rPr>
        <w:rFonts w:ascii="Wingdings" w:hAnsi="Wingdings" w:hint="default"/>
      </w:rPr>
    </w:lvl>
    <w:lvl w:ilvl="3" w:tplc="F2A2EB9A" w:tentative="1">
      <w:start w:val="1"/>
      <w:numFmt w:val="bullet"/>
      <w:lvlText w:val=""/>
      <w:lvlJc w:val="left"/>
      <w:pPr>
        <w:tabs>
          <w:tab w:val="num" w:pos="2880"/>
        </w:tabs>
        <w:ind w:left="2880" w:hanging="360"/>
      </w:pPr>
      <w:rPr>
        <w:rFonts w:ascii="Wingdings" w:hAnsi="Wingdings" w:hint="default"/>
      </w:rPr>
    </w:lvl>
    <w:lvl w:ilvl="4" w:tplc="039E3FA2" w:tentative="1">
      <w:start w:val="1"/>
      <w:numFmt w:val="bullet"/>
      <w:lvlText w:val=""/>
      <w:lvlJc w:val="left"/>
      <w:pPr>
        <w:tabs>
          <w:tab w:val="num" w:pos="3600"/>
        </w:tabs>
        <w:ind w:left="3600" w:hanging="360"/>
      </w:pPr>
      <w:rPr>
        <w:rFonts w:ascii="Wingdings" w:hAnsi="Wingdings" w:hint="default"/>
      </w:rPr>
    </w:lvl>
    <w:lvl w:ilvl="5" w:tplc="B3E4D2B8" w:tentative="1">
      <w:start w:val="1"/>
      <w:numFmt w:val="bullet"/>
      <w:lvlText w:val=""/>
      <w:lvlJc w:val="left"/>
      <w:pPr>
        <w:tabs>
          <w:tab w:val="num" w:pos="4320"/>
        </w:tabs>
        <w:ind w:left="4320" w:hanging="360"/>
      </w:pPr>
      <w:rPr>
        <w:rFonts w:ascii="Wingdings" w:hAnsi="Wingdings" w:hint="default"/>
      </w:rPr>
    </w:lvl>
    <w:lvl w:ilvl="6" w:tplc="52C00CA0" w:tentative="1">
      <w:start w:val="1"/>
      <w:numFmt w:val="bullet"/>
      <w:lvlText w:val=""/>
      <w:lvlJc w:val="left"/>
      <w:pPr>
        <w:tabs>
          <w:tab w:val="num" w:pos="5040"/>
        </w:tabs>
        <w:ind w:left="5040" w:hanging="360"/>
      </w:pPr>
      <w:rPr>
        <w:rFonts w:ascii="Wingdings" w:hAnsi="Wingdings" w:hint="default"/>
      </w:rPr>
    </w:lvl>
    <w:lvl w:ilvl="7" w:tplc="A48AE394" w:tentative="1">
      <w:start w:val="1"/>
      <w:numFmt w:val="bullet"/>
      <w:lvlText w:val=""/>
      <w:lvlJc w:val="left"/>
      <w:pPr>
        <w:tabs>
          <w:tab w:val="num" w:pos="5760"/>
        </w:tabs>
        <w:ind w:left="5760" w:hanging="360"/>
      </w:pPr>
      <w:rPr>
        <w:rFonts w:ascii="Wingdings" w:hAnsi="Wingdings" w:hint="default"/>
      </w:rPr>
    </w:lvl>
    <w:lvl w:ilvl="8" w:tplc="33243B38" w:tentative="1">
      <w:start w:val="1"/>
      <w:numFmt w:val="bullet"/>
      <w:lvlText w:val=""/>
      <w:lvlJc w:val="left"/>
      <w:pPr>
        <w:tabs>
          <w:tab w:val="num" w:pos="6480"/>
        </w:tabs>
        <w:ind w:left="6480" w:hanging="360"/>
      </w:pPr>
      <w:rPr>
        <w:rFonts w:ascii="Wingdings" w:hAnsi="Wingdings" w:hint="default"/>
      </w:rPr>
    </w:lvl>
  </w:abstractNum>
  <w:abstractNum w:abstractNumId="2">
    <w:nsid w:val="147F798D"/>
    <w:multiLevelType w:val="multilevel"/>
    <w:tmpl w:val="AEC43C2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8016657"/>
    <w:multiLevelType w:val="hybridMultilevel"/>
    <w:tmpl w:val="3800CC0C"/>
    <w:lvl w:ilvl="0" w:tplc="FFFFFFFF">
      <w:start w:val="1"/>
      <w:numFmt w:val="decimal"/>
      <w:lvlText w:val="%1."/>
      <w:lvlJc w:val="left"/>
      <w:pPr>
        <w:ind w:left="1211" w:hanging="360"/>
      </w:pPr>
      <w:rPr>
        <w:rFonts w:hint="default"/>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
    <w:nsid w:val="31430ABA"/>
    <w:multiLevelType w:val="hybridMultilevel"/>
    <w:tmpl w:val="45428C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3431D88"/>
    <w:multiLevelType w:val="hybridMultilevel"/>
    <w:tmpl w:val="B6D0DD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7D87913"/>
    <w:multiLevelType w:val="hybridMultilevel"/>
    <w:tmpl w:val="3EC6C3AC"/>
    <w:lvl w:ilvl="0" w:tplc="90C457D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48FC2CC5"/>
    <w:multiLevelType w:val="hybridMultilevel"/>
    <w:tmpl w:val="7E32B496"/>
    <w:lvl w:ilvl="0" w:tplc="6FE64414">
      <w:start w:val="1"/>
      <w:numFmt w:val="bullet"/>
      <w:lvlText w:val=""/>
      <w:lvlJc w:val="left"/>
      <w:pPr>
        <w:tabs>
          <w:tab w:val="num" w:pos="720"/>
        </w:tabs>
        <w:ind w:left="720" w:hanging="360"/>
      </w:pPr>
      <w:rPr>
        <w:rFonts w:ascii="Wingdings" w:hAnsi="Wingdings" w:hint="default"/>
      </w:rPr>
    </w:lvl>
    <w:lvl w:ilvl="1" w:tplc="07349D68">
      <w:start w:val="1495"/>
      <w:numFmt w:val="bullet"/>
      <w:lvlText w:val=""/>
      <w:lvlJc w:val="left"/>
      <w:pPr>
        <w:tabs>
          <w:tab w:val="num" w:pos="1440"/>
        </w:tabs>
        <w:ind w:left="1440" w:hanging="360"/>
      </w:pPr>
      <w:rPr>
        <w:rFonts w:ascii="Wingdings" w:hAnsi="Wingdings" w:hint="default"/>
      </w:rPr>
    </w:lvl>
    <w:lvl w:ilvl="2" w:tplc="3FE6AA80" w:tentative="1">
      <w:start w:val="1"/>
      <w:numFmt w:val="bullet"/>
      <w:lvlText w:val=""/>
      <w:lvlJc w:val="left"/>
      <w:pPr>
        <w:tabs>
          <w:tab w:val="num" w:pos="2160"/>
        </w:tabs>
        <w:ind w:left="2160" w:hanging="360"/>
      </w:pPr>
      <w:rPr>
        <w:rFonts w:ascii="Wingdings" w:hAnsi="Wingdings" w:hint="default"/>
      </w:rPr>
    </w:lvl>
    <w:lvl w:ilvl="3" w:tplc="67A0CF96" w:tentative="1">
      <w:start w:val="1"/>
      <w:numFmt w:val="bullet"/>
      <w:lvlText w:val=""/>
      <w:lvlJc w:val="left"/>
      <w:pPr>
        <w:tabs>
          <w:tab w:val="num" w:pos="2880"/>
        </w:tabs>
        <w:ind w:left="2880" w:hanging="360"/>
      </w:pPr>
      <w:rPr>
        <w:rFonts w:ascii="Wingdings" w:hAnsi="Wingdings" w:hint="default"/>
      </w:rPr>
    </w:lvl>
    <w:lvl w:ilvl="4" w:tplc="41A4A056" w:tentative="1">
      <w:start w:val="1"/>
      <w:numFmt w:val="bullet"/>
      <w:lvlText w:val=""/>
      <w:lvlJc w:val="left"/>
      <w:pPr>
        <w:tabs>
          <w:tab w:val="num" w:pos="3600"/>
        </w:tabs>
        <w:ind w:left="3600" w:hanging="360"/>
      </w:pPr>
      <w:rPr>
        <w:rFonts w:ascii="Wingdings" w:hAnsi="Wingdings" w:hint="default"/>
      </w:rPr>
    </w:lvl>
    <w:lvl w:ilvl="5" w:tplc="75803552" w:tentative="1">
      <w:start w:val="1"/>
      <w:numFmt w:val="bullet"/>
      <w:lvlText w:val=""/>
      <w:lvlJc w:val="left"/>
      <w:pPr>
        <w:tabs>
          <w:tab w:val="num" w:pos="4320"/>
        </w:tabs>
        <w:ind w:left="4320" w:hanging="360"/>
      </w:pPr>
      <w:rPr>
        <w:rFonts w:ascii="Wingdings" w:hAnsi="Wingdings" w:hint="default"/>
      </w:rPr>
    </w:lvl>
    <w:lvl w:ilvl="6" w:tplc="E000F498" w:tentative="1">
      <w:start w:val="1"/>
      <w:numFmt w:val="bullet"/>
      <w:lvlText w:val=""/>
      <w:lvlJc w:val="left"/>
      <w:pPr>
        <w:tabs>
          <w:tab w:val="num" w:pos="5040"/>
        </w:tabs>
        <w:ind w:left="5040" w:hanging="360"/>
      </w:pPr>
      <w:rPr>
        <w:rFonts w:ascii="Wingdings" w:hAnsi="Wingdings" w:hint="default"/>
      </w:rPr>
    </w:lvl>
    <w:lvl w:ilvl="7" w:tplc="F3B27454" w:tentative="1">
      <w:start w:val="1"/>
      <w:numFmt w:val="bullet"/>
      <w:lvlText w:val=""/>
      <w:lvlJc w:val="left"/>
      <w:pPr>
        <w:tabs>
          <w:tab w:val="num" w:pos="5760"/>
        </w:tabs>
        <w:ind w:left="5760" w:hanging="360"/>
      </w:pPr>
      <w:rPr>
        <w:rFonts w:ascii="Wingdings" w:hAnsi="Wingdings" w:hint="default"/>
      </w:rPr>
    </w:lvl>
    <w:lvl w:ilvl="8" w:tplc="407E77DC" w:tentative="1">
      <w:start w:val="1"/>
      <w:numFmt w:val="bullet"/>
      <w:lvlText w:val=""/>
      <w:lvlJc w:val="left"/>
      <w:pPr>
        <w:tabs>
          <w:tab w:val="num" w:pos="6480"/>
        </w:tabs>
        <w:ind w:left="6480" w:hanging="360"/>
      </w:pPr>
      <w:rPr>
        <w:rFonts w:ascii="Wingdings" w:hAnsi="Wingdings" w:hint="default"/>
      </w:rPr>
    </w:lvl>
  </w:abstractNum>
  <w:abstractNum w:abstractNumId="9">
    <w:nsid w:val="592B0B2B"/>
    <w:multiLevelType w:val="hybridMultilevel"/>
    <w:tmpl w:val="59D00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6473528B"/>
    <w:multiLevelType w:val="hybridMultilevel"/>
    <w:tmpl w:val="BF3CF362"/>
    <w:lvl w:ilvl="0" w:tplc="81A03CC8">
      <w:start w:val="1"/>
      <w:numFmt w:val="bullet"/>
      <w:lvlText w:val=""/>
      <w:lvlJc w:val="left"/>
      <w:pPr>
        <w:tabs>
          <w:tab w:val="num" w:pos="720"/>
        </w:tabs>
        <w:ind w:left="720" w:hanging="360"/>
      </w:pPr>
      <w:rPr>
        <w:rFonts w:ascii="Wingdings" w:hAnsi="Wingdings" w:hint="default"/>
      </w:rPr>
    </w:lvl>
    <w:lvl w:ilvl="1" w:tplc="3BE2D102">
      <w:start w:val="442"/>
      <w:numFmt w:val="bullet"/>
      <w:lvlText w:val=""/>
      <w:lvlJc w:val="left"/>
      <w:pPr>
        <w:tabs>
          <w:tab w:val="num" w:pos="1440"/>
        </w:tabs>
        <w:ind w:left="1440" w:hanging="360"/>
      </w:pPr>
      <w:rPr>
        <w:rFonts w:ascii="Wingdings" w:hAnsi="Wingdings" w:hint="default"/>
      </w:rPr>
    </w:lvl>
    <w:lvl w:ilvl="2" w:tplc="E9D8A752" w:tentative="1">
      <w:start w:val="1"/>
      <w:numFmt w:val="bullet"/>
      <w:lvlText w:val=""/>
      <w:lvlJc w:val="left"/>
      <w:pPr>
        <w:tabs>
          <w:tab w:val="num" w:pos="2160"/>
        </w:tabs>
        <w:ind w:left="2160" w:hanging="360"/>
      </w:pPr>
      <w:rPr>
        <w:rFonts w:ascii="Wingdings" w:hAnsi="Wingdings" w:hint="default"/>
      </w:rPr>
    </w:lvl>
    <w:lvl w:ilvl="3" w:tplc="71C8743C" w:tentative="1">
      <w:start w:val="1"/>
      <w:numFmt w:val="bullet"/>
      <w:lvlText w:val=""/>
      <w:lvlJc w:val="left"/>
      <w:pPr>
        <w:tabs>
          <w:tab w:val="num" w:pos="2880"/>
        </w:tabs>
        <w:ind w:left="2880" w:hanging="360"/>
      </w:pPr>
      <w:rPr>
        <w:rFonts w:ascii="Wingdings" w:hAnsi="Wingdings" w:hint="default"/>
      </w:rPr>
    </w:lvl>
    <w:lvl w:ilvl="4" w:tplc="8A98629E" w:tentative="1">
      <w:start w:val="1"/>
      <w:numFmt w:val="bullet"/>
      <w:lvlText w:val=""/>
      <w:lvlJc w:val="left"/>
      <w:pPr>
        <w:tabs>
          <w:tab w:val="num" w:pos="3600"/>
        </w:tabs>
        <w:ind w:left="3600" w:hanging="360"/>
      </w:pPr>
      <w:rPr>
        <w:rFonts w:ascii="Wingdings" w:hAnsi="Wingdings" w:hint="default"/>
      </w:rPr>
    </w:lvl>
    <w:lvl w:ilvl="5" w:tplc="BFE2B256" w:tentative="1">
      <w:start w:val="1"/>
      <w:numFmt w:val="bullet"/>
      <w:lvlText w:val=""/>
      <w:lvlJc w:val="left"/>
      <w:pPr>
        <w:tabs>
          <w:tab w:val="num" w:pos="4320"/>
        </w:tabs>
        <w:ind w:left="4320" w:hanging="360"/>
      </w:pPr>
      <w:rPr>
        <w:rFonts w:ascii="Wingdings" w:hAnsi="Wingdings" w:hint="default"/>
      </w:rPr>
    </w:lvl>
    <w:lvl w:ilvl="6" w:tplc="10169B32" w:tentative="1">
      <w:start w:val="1"/>
      <w:numFmt w:val="bullet"/>
      <w:lvlText w:val=""/>
      <w:lvlJc w:val="left"/>
      <w:pPr>
        <w:tabs>
          <w:tab w:val="num" w:pos="5040"/>
        </w:tabs>
        <w:ind w:left="5040" w:hanging="360"/>
      </w:pPr>
      <w:rPr>
        <w:rFonts w:ascii="Wingdings" w:hAnsi="Wingdings" w:hint="default"/>
      </w:rPr>
    </w:lvl>
    <w:lvl w:ilvl="7" w:tplc="3E0E23FC" w:tentative="1">
      <w:start w:val="1"/>
      <w:numFmt w:val="bullet"/>
      <w:lvlText w:val=""/>
      <w:lvlJc w:val="left"/>
      <w:pPr>
        <w:tabs>
          <w:tab w:val="num" w:pos="5760"/>
        </w:tabs>
        <w:ind w:left="5760" w:hanging="360"/>
      </w:pPr>
      <w:rPr>
        <w:rFonts w:ascii="Wingdings" w:hAnsi="Wingdings" w:hint="default"/>
      </w:rPr>
    </w:lvl>
    <w:lvl w:ilvl="8" w:tplc="E84C5C3C" w:tentative="1">
      <w:start w:val="1"/>
      <w:numFmt w:val="bullet"/>
      <w:lvlText w:val=""/>
      <w:lvlJc w:val="left"/>
      <w:pPr>
        <w:tabs>
          <w:tab w:val="num" w:pos="6480"/>
        </w:tabs>
        <w:ind w:left="6480" w:hanging="360"/>
      </w:pPr>
      <w:rPr>
        <w:rFonts w:ascii="Wingdings" w:hAnsi="Wingdings" w:hint="default"/>
      </w:rPr>
    </w:lvl>
  </w:abstractNum>
  <w:abstractNum w:abstractNumId="12">
    <w:nsid w:val="6CAD7B81"/>
    <w:multiLevelType w:val="hybridMultilevel"/>
    <w:tmpl w:val="8A706B54"/>
    <w:lvl w:ilvl="0" w:tplc="115C5AC4">
      <w:start w:val="1"/>
      <w:numFmt w:val="bullet"/>
      <w:lvlText w:val=""/>
      <w:lvlJc w:val="left"/>
      <w:pPr>
        <w:tabs>
          <w:tab w:val="num" w:pos="720"/>
        </w:tabs>
        <w:ind w:left="720" w:hanging="360"/>
      </w:pPr>
      <w:rPr>
        <w:rFonts w:ascii="Wingdings" w:hAnsi="Wingdings" w:hint="default"/>
      </w:rPr>
    </w:lvl>
    <w:lvl w:ilvl="1" w:tplc="724EAEBC">
      <w:start w:val="1396"/>
      <w:numFmt w:val="bullet"/>
      <w:lvlText w:val=""/>
      <w:lvlJc w:val="left"/>
      <w:pPr>
        <w:tabs>
          <w:tab w:val="num" w:pos="1440"/>
        </w:tabs>
        <w:ind w:left="1440" w:hanging="360"/>
      </w:pPr>
      <w:rPr>
        <w:rFonts w:ascii="Wingdings" w:hAnsi="Wingdings" w:hint="default"/>
      </w:rPr>
    </w:lvl>
    <w:lvl w:ilvl="2" w:tplc="E4369FD4" w:tentative="1">
      <w:start w:val="1"/>
      <w:numFmt w:val="bullet"/>
      <w:lvlText w:val=""/>
      <w:lvlJc w:val="left"/>
      <w:pPr>
        <w:tabs>
          <w:tab w:val="num" w:pos="2160"/>
        </w:tabs>
        <w:ind w:left="2160" w:hanging="360"/>
      </w:pPr>
      <w:rPr>
        <w:rFonts w:ascii="Wingdings" w:hAnsi="Wingdings" w:hint="default"/>
      </w:rPr>
    </w:lvl>
    <w:lvl w:ilvl="3" w:tplc="FEBC1346" w:tentative="1">
      <w:start w:val="1"/>
      <w:numFmt w:val="bullet"/>
      <w:lvlText w:val=""/>
      <w:lvlJc w:val="left"/>
      <w:pPr>
        <w:tabs>
          <w:tab w:val="num" w:pos="2880"/>
        </w:tabs>
        <w:ind w:left="2880" w:hanging="360"/>
      </w:pPr>
      <w:rPr>
        <w:rFonts w:ascii="Wingdings" w:hAnsi="Wingdings" w:hint="default"/>
      </w:rPr>
    </w:lvl>
    <w:lvl w:ilvl="4" w:tplc="ADD082A2" w:tentative="1">
      <w:start w:val="1"/>
      <w:numFmt w:val="bullet"/>
      <w:lvlText w:val=""/>
      <w:lvlJc w:val="left"/>
      <w:pPr>
        <w:tabs>
          <w:tab w:val="num" w:pos="3600"/>
        </w:tabs>
        <w:ind w:left="3600" w:hanging="360"/>
      </w:pPr>
      <w:rPr>
        <w:rFonts w:ascii="Wingdings" w:hAnsi="Wingdings" w:hint="default"/>
      </w:rPr>
    </w:lvl>
    <w:lvl w:ilvl="5" w:tplc="EF844B88" w:tentative="1">
      <w:start w:val="1"/>
      <w:numFmt w:val="bullet"/>
      <w:lvlText w:val=""/>
      <w:lvlJc w:val="left"/>
      <w:pPr>
        <w:tabs>
          <w:tab w:val="num" w:pos="4320"/>
        </w:tabs>
        <w:ind w:left="4320" w:hanging="360"/>
      </w:pPr>
      <w:rPr>
        <w:rFonts w:ascii="Wingdings" w:hAnsi="Wingdings" w:hint="default"/>
      </w:rPr>
    </w:lvl>
    <w:lvl w:ilvl="6" w:tplc="1BACF232" w:tentative="1">
      <w:start w:val="1"/>
      <w:numFmt w:val="bullet"/>
      <w:lvlText w:val=""/>
      <w:lvlJc w:val="left"/>
      <w:pPr>
        <w:tabs>
          <w:tab w:val="num" w:pos="5040"/>
        </w:tabs>
        <w:ind w:left="5040" w:hanging="360"/>
      </w:pPr>
      <w:rPr>
        <w:rFonts w:ascii="Wingdings" w:hAnsi="Wingdings" w:hint="default"/>
      </w:rPr>
    </w:lvl>
    <w:lvl w:ilvl="7" w:tplc="11EE4868" w:tentative="1">
      <w:start w:val="1"/>
      <w:numFmt w:val="bullet"/>
      <w:lvlText w:val=""/>
      <w:lvlJc w:val="left"/>
      <w:pPr>
        <w:tabs>
          <w:tab w:val="num" w:pos="5760"/>
        </w:tabs>
        <w:ind w:left="5760" w:hanging="360"/>
      </w:pPr>
      <w:rPr>
        <w:rFonts w:ascii="Wingdings" w:hAnsi="Wingdings" w:hint="default"/>
      </w:rPr>
    </w:lvl>
    <w:lvl w:ilvl="8" w:tplc="27F417B2" w:tentative="1">
      <w:start w:val="1"/>
      <w:numFmt w:val="bullet"/>
      <w:lvlText w:val=""/>
      <w:lvlJc w:val="left"/>
      <w:pPr>
        <w:tabs>
          <w:tab w:val="num" w:pos="6480"/>
        </w:tabs>
        <w:ind w:left="6480" w:hanging="360"/>
      </w:pPr>
      <w:rPr>
        <w:rFonts w:ascii="Wingdings" w:hAnsi="Wingdings" w:hint="default"/>
      </w:rPr>
    </w:lvl>
  </w:abstractNum>
  <w:abstractNum w:abstractNumId="13">
    <w:nsid w:val="7C2C65A9"/>
    <w:multiLevelType w:val="multilevel"/>
    <w:tmpl w:val="6986B928"/>
    <w:lvl w:ilvl="0">
      <w:start w:val="416"/>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CA4785F"/>
    <w:multiLevelType w:val="hybridMultilevel"/>
    <w:tmpl w:val="3E20C2B2"/>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8"/>
  </w:num>
  <w:num w:numId="9">
    <w:abstractNumId w:val="11"/>
  </w:num>
  <w:num w:numId="10">
    <w:abstractNumId w:val="1"/>
  </w:num>
  <w:num w:numId="11">
    <w:abstractNumId w:val="9"/>
  </w:num>
  <w:num w:numId="12">
    <w:abstractNumId w:val="14"/>
  </w:num>
  <w:num w:numId="13">
    <w:abstractNumId w:val="0"/>
  </w:num>
  <w:num w:numId="14">
    <w:abstractNumId w:val="3"/>
  </w:num>
  <w:num w:numId="15">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rsids>
    <w:rsidRoot w:val="00F64DE4"/>
    <w:rsid w:val="0000038B"/>
    <w:rsid w:val="00005E79"/>
    <w:rsid w:val="000106AA"/>
    <w:rsid w:val="0001528C"/>
    <w:rsid w:val="00024C1D"/>
    <w:rsid w:val="00025346"/>
    <w:rsid w:val="00025492"/>
    <w:rsid w:val="00027058"/>
    <w:rsid w:val="00032061"/>
    <w:rsid w:val="00034775"/>
    <w:rsid w:val="00034BB4"/>
    <w:rsid w:val="000365C9"/>
    <w:rsid w:val="0005107F"/>
    <w:rsid w:val="00055EA4"/>
    <w:rsid w:val="000600C1"/>
    <w:rsid w:val="000630D0"/>
    <w:rsid w:val="0007173E"/>
    <w:rsid w:val="000809EA"/>
    <w:rsid w:val="00087937"/>
    <w:rsid w:val="00090D9A"/>
    <w:rsid w:val="00097A72"/>
    <w:rsid w:val="000A1B66"/>
    <w:rsid w:val="000A4D2F"/>
    <w:rsid w:val="000A527B"/>
    <w:rsid w:val="000B483A"/>
    <w:rsid w:val="000B4A66"/>
    <w:rsid w:val="000C7D3F"/>
    <w:rsid w:val="000D049A"/>
    <w:rsid w:val="000D0BDC"/>
    <w:rsid w:val="000D2036"/>
    <w:rsid w:val="001047CE"/>
    <w:rsid w:val="001229CC"/>
    <w:rsid w:val="0012645F"/>
    <w:rsid w:val="001264B1"/>
    <w:rsid w:val="00130279"/>
    <w:rsid w:val="0013287F"/>
    <w:rsid w:val="00134AA7"/>
    <w:rsid w:val="001502DD"/>
    <w:rsid w:val="00153256"/>
    <w:rsid w:val="00166C41"/>
    <w:rsid w:val="00170658"/>
    <w:rsid w:val="00174AE2"/>
    <w:rsid w:val="001805DB"/>
    <w:rsid w:val="00181134"/>
    <w:rsid w:val="00196278"/>
    <w:rsid w:val="00196F55"/>
    <w:rsid w:val="001A0B7B"/>
    <w:rsid w:val="001B1273"/>
    <w:rsid w:val="001B187E"/>
    <w:rsid w:val="001C36D1"/>
    <w:rsid w:val="001D55F3"/>
    <w:rsid w:val="001D6BDE"/>
    <w:rsid w:val="001E7384"/>
    <w:rsid w:val="001F22DA"/>
    <w:rsid w:val="001F7F8E"/>
    <w:rsid w:val="00203051"/>
    <w:rsid w:val="00222E72"/>
    <w:rsid w:val="00225F19"/>
    <w:rsid w:val="0024507F"/>
    <w:rsid w:val="002559F7"/>
    <w:rsid w:val="002700A5"/>
    <w:rsid w:val="002768BD"/>
    <w:rsid w:val="0028497B"/>
    <w:rsid w:val="00296B1C"/>
    <w:rsid w:val="002A1965"/>
    <w:rsid w:val="002A78CB"/>
    <w:rsid w:val="002C38B8"/>
    <w:rsid w:val="002C6678"/>
    <w:rsid w:val="002D690C"/>
    <w:rsid w:val="002D6A77"/>
    <w:rsid w:val="002E176D"/>
    <w:rsid w:val="0030186E"/>
    <w:rsid w:val="00303B8A"/>
    <w:rsid w:val="0030686D"/>
    <w:rsid w:val="00323ECB"/>
    <w:rsid w:val="003240D2"/>
    <w:rsid w:val="00333DB7"/>
    <w:rsid w:val="00342447"/>
    <w:rsid w:val="00353C6A"/>
    <w:rsid w:val="0035491B"/>
    <w:rsid w:val="0037024D"/>
    <w:rsid w:val="00370D54"/>
    <w:rsid w:val="00371DF2"/>
    <w:rsid w:val="00382D4F"/>
    <w:rsid w:val="003948B0"/>
    <w:rsid w:val="003A1A35"/>
    <w:rsid w:val="003A7CD1"/>
    <w:rsid w:val="003B293D"/>
    <w:rsid w:val="003B7EFA"/>
    <w:rsid w:val="003C0983"/>
    <w:rsid w:val="003C145C"/>
    <w:rsid w:val="003C38C1"/>
    <w:rsid w:val="003D78CD"/>
    <w:rsid w:val="003D7B3A"/>
    <w:rsid w:val="003F3793"/>
    <w:rsid w:val="003F5387"/>
    <w:rsid w:val="00424EE1"/>
    <w:rsid w:val="00426306"/>
    <w:rsid w:val="00435311"/>
    <w:rsid w:val="00436056"/>
    <w:rsid w:val="0043744D"/>
    <w:rsid w:val="00443649"/>
    <w:rsid w:val="004520D3"/>
    <w:rsid w:val="00453676"/>
    <w:rsid w:val="004540DC"/>
    <w:rsid w:val="0046692F"/>
    <w:rsid w:val="00467285"/>
    <w:rsid w:val="00487E68"/>
    <w:rsid w:val="004A058F"/>
    <w:rsid w:val="004D2EB1"/>
    <w:rsid w:val="004E1B58"/>
    <w:rsid w:val="004E7AF6"/>
    <w:rsid w:val="004F32CD"/>
    <w:rsid w:val="00503D40"/>
    <w:rsid w:val="00506C49"/>
    <w:rsid w:val="005134D4"/>
    <w:rsid w:val="00514089"/>
    <w:rsid w:val="0052073A"/>
    <w:rsid w:val="00520FA9"/>
    <w:rsid w:val="00521BA5"/>
    <w:rsid w:val="00522E01"/>
    <w:rsid w:val="00531E2A"/>
    <w:rsid w:val="00533C68"/>
    <w:rsid w:val="005413B2"/>
    <w:rsid w:val="00542679"/>
    <w:rsid w:val="00542CEE"/>
    <w:rsid w:val="00550273"/>
    <w:rsid w:val="00550844"/>
    <w:rsid w:val="00553F03"/>
    <w:rsid w:val="005542DA"/>
    <w:rsid w:val="00562E1F"/>
    <w:rsid w:val="00566856"/>
    <w:rsid w:val="00566D88"/>
    <w:rsid w:val="00572183"/>
    <w:rsid w:val="00575829"/>
    <w:rsid w:val="005808C0"/>
    <w:rsid w:val="00581BF8"/>
    <w:rsid w:val="00597CEA"/>
    <w:rsid w:val="005A2A8C"/>
    <w:rsid w:val="005B5227"/>
    <w:rsid w:val="005C1B57"/>
    <w:rsid w:val="005C2841"/>
    <w:rsid w:val="005C3D87"/>
    <w:rsid w:val="005C57CE"/>
    <w:rsid w:val="005C5B44"/>
    <w:rsid w:val="005D4B66"/>
    <w:rsid w:val="005D7B08"/>
    <w:rsid w:val="005E3CE4"/>
    <w:rsid w:val="005E44DF"/>
    <w:rsid w:val="005F45EE"/>
    <w:rsid w:val="0062324C"/>
    <w:rsid w:val="0062703B"/>
    <w:rsid w:val="00627D29"/>
    <w:rsid w:val="00643BB3"/>
    <w:rsid w:val="006442F0"/>
    <w:rsid w:val="00645C4C"/>
    <w:rsid w:val="0064655B"/>
    <w:rsid w:val="00667304"/>
    <w:rsid w:val="0067413D"/>
    <w:rsid w:val="006771F1"/>
    <w:rsid w:val="006A0E3D"/>
    <w:rsid w:val="006A2194"/>
    <w:rsid w:val="006B231C"/>
    <w:rsid w:val="006B3477"/>
    <w:rsid w:val="006C30E5"/>
    <w:rsid w:val="006C7BD1"/>
    <w:rsid w:val="006D0534"/>
    <w:rsid w:val="006D1957"/>
    <w:rsid w:val="006E091B"/>
    <w:rsid w:val="006E535D"/>
    <w:rsid w:val="006E6AFD"/>
    <w:rsid w:val="006F39B6"/>
    <w:rsid w:val="00700623"/>
    <w:rsid w:val="007024EA"/>
    <w:rsid w:val="00704E63"/>
    <w:rsid w:val="00706466"/>
    <w:rsid w:val="00711BEA"/>
    <w:rsid w:val="00720BC3"/>
    <w:rsid w:val="00721FEB"/>
    <w:rsid w:val="00721FF0"/>
    <w:rsid w:val="00731D71"/>
    <w:rsid w:val="00734AC4"/>
    <w:rsid w:val="007435C8"/>
    <w:rsid w:val="00743609"/>
    <w:rsid w:val="00744402"/>
    <w:rsid w:val="007471ED"/>
    <w:rsid w:val="00753C87"/>
    <w:rsid w:val="00766C15"/>
    <w:rsid w:val="00771A85"/>
    <w:rsid w:val="007A4BC2"/>
    <w:rsid w:val="007A6894"/>
    <w:rsid w:val="007B2B89"/>
    <w:rsid w:val="007D33CD"/>
    <w:rsid w:val="007E4CFF"/>
    <w:rsid w:val="008009F6"/>
    <w:rsid w:val="008040F7"/>
    <w:rsid w:val="0080468E"/>
    <w:rsid w:val="0081557B"/>
    <w:rsid w:val="008265ED"/>
    <w:rsid w:val="008320CF"/>
    <w:rsid w:val="00832958"/>
    <w:rsid w:val="008374C5"/>
    <w:rsid w:val="00854B8D"/>
    <w:rsid w:val="00854E1E"/>
    <w:rsid w:val="00857CA0"/>
    <w:rsid w:val="00881F85"/>
    <w:rsid w:val="00896DF7"/>
    <w:rsid w:val="008A07F4"/>
    <w:rsid w:val="008A21D3"/>
    <w:rsid w:val="008A60D7"/>
    <w:rsid w:val="008C25A2"/>
    <w:rsid w:val="008C673C"/>
    <w:rsid w:val="008D6FEA"/>
    <w:rsid w:val="008F4BC5"/>
    <w:rsid w:val="0090071B"/>
    <w:rsid w:val="00925618"/>
    <w:rsid w:val="00940DEB"/>
    <w:rsid w:val="009443F5"/>
    <w:rsid w:val="009453B4"/>
    <w:rsid w:val="0095096E"/>
    <w:rsid w:val="0095285C"/>
    <w:rsid w:val="009639DB"/>
    <w:rsid w:val="00987BB2"/>
    <w:rsid w:val="00991C1B"/>
    <w:rsid w:val="00994CDF"/>
    <w:rsid w:val="009A3E66"/>
    <w:rsid w:val="009A7AEA"/>
    <w:rsid w:val="009C0737"/>
    <w:rsid w:val="009C51EE"/>
    <w:rsid w:val="009D07BD"/>
    <w:rsid w:val="009E1C50"/>
    <w:rsid w:val="009E5332"/>
    <w:rsid w:val="009E6611"/>
    <w:rsid w:val="00A006FA"/>
    <w:rsid w:val="00A01B2D"/>
    <w:rsid w:val="00A01FA3"/>
    <w:rsid w:val="00A03239"/>
    <w:rsid w:val="00A07659"/>
    <w:rsid w:val="00A12A80"/>
    <w:rsid w:val="00A16F81"/>
    <w:rsid w:val="00A251D6"/>
    <w:rsid w:val="00A258F4"/>
    <w:rsid w:val="00A44206"/>
    <w:rsid w:val="00A47B3E"/>
    <w:rsid w:val="00A53E4C"/>
    <w:rsid w:val="00A60C84"/>
    <w:rsid w:val="00A616F9"/>
    <w:rsid w:val="00A64F39"/>
    <w:rsid w:val="00A71BEB"/>
    <w:rsid w:val="00A91017"/>
    <w:rsid w:val="00A95627"/>
    <w:rsid w:val="00AB0473"/>
    <w:rsid w:val="00AB0573"/>
    <w:rsid w:val="00AC0EE3"/>
    <w:rsid w:val="00AC5AC9"/>
    <w:rsid w:val="00AD3246"/>
    <w:rsid w:val="00AE0DF8"/>
    <w:rsid w:val="00AE45BB"/>
    <w:rsid w:val="00B05D89"/>
    <w:rsid w:val="00B1626E"/>
    <w:rsid w:val="00B16397"/>
    <w:rsid w:val="00B26EF2"/>
    <w:rsid w:val="00B31F42"/>
    <w:rsid w:val="00B32340"/>
    <w:rsid w:val="00B3601D"/>
    <w:rsid w:val="00B36BCF"/>
    <w:rsid w:val="00B47944"/>
    <w:rsid w:val="00B53181"/>
    <w:rsid w:val="00B55FA9"/>
    <w:rsid w:val="00B56D48"/>
    <w:rsid w:val="00B668FA"/>
    <w:rsid w:val="00B6784A"/>
    <w:rsid w:val="00B805AB"/>
    <w:rsid w:val="00B844E2"/>
    <w:rsid w:val="00B90889"/>
    <w:rsid w:val="00BA03B5"/>
    <w:rsid w:val="00BA4B01"/>
    <w:rsid w:val="00BB54DD"/>
    <w:rsid w:val="00BB7BBA"/>
    <w:rsid w:val="00BC067A"/>
    <w:rsid w:val="00BC3144"/>
    <w:rsid w:val="00BC6DC8"/>
    <w:rsid w:val="00BD03DC"/>
    <w:rsid w:val="00BD2285"/>
    <w:rsid w:val="00BD2A4B"/>
    <w:rsid w:val="00BF021B"/>
    <w:rsid w:val="00C01E51"/>
    <w:rsid w:val="00C05E8E"/>
    <w:rsid w:val="00C064CA"/>
    <w:rsid w:val="00C26C2B"/>
    <w:rsid w:val="00C34D0A"/>
    <w:rsid w:val="00C34D8C"/>
    <w:rsid w:val="00C426BD"/>
    <w:rsid w:val="00C46689"/>
    <w:rsid w:val="00C5107B"/>
    <w:rsid w:val="00C83B07"/>
    <w:rsid w:val="00C8771D"/>
    <w:rsid w:val="00C87C6B"/>
    <w:rsid w:val="00C94ED1"/>
    <w:rsid w:val="00C97142"/>
    <w:rsid w:val="00CC22EE"/>
    <w:rsid w:val="00CC2A88"/>
    <w:rsid w:val="00CC779F"/>
    <w:rsid w:val="00CC7929"/>
    <w:rsid w:val="00CD1900"/>
    <w:rsid w:val="00CE745B"/>
    <w:rsid w:val="00CF7F35"/>
    <w:rsid w:val="00D01847"/>
    <w:rsid w:val="00D02A09"/>
    <w:rsid w:val="00D02BC5"/>
    <w:rsid w:val="00D16F15"/>
    <w:rsid w:val="00D2025E"/>
    <w:rsid w:val="00D2380B"/>
    <w:rsid w:val="00D24886"/>
    <w:rsid w:val="00D259D7"/>
    <w:rsid w:val="00D33FB3"/>
    <w:rsid w:val="00D379B5"/>
    <w:rsid w:val="00D4452D"/>
    <w:rsid w:val="00D526EA"/>
    <w:rsid w:val="00D555FE"/>
    <w:rsid w:val="00D61B74"/>
    <w:rsid w:val="00D63580"/>
    <w:rsid w:val="00D67721"/>
    <w:rsid w:val="00D71C04"/>
    <w:rsid w:val="00D724E9"/>
    <w:rsid w:val="00DA49A2"/>
    <w:rsid w:val="00DB46A1"/>
    <w:rsid w:val="00DC4FCD"/>
    <w:rsid w:val="00DC56BA"/>
    <w:rsid w:val="00DD0BE6"/>
    <w:rsid w:val="00DD4FB8"/>
    <w:rsid w:val="00DE057A"/>
    <w:rsid w:val="00DE5544"/>
    <w:rsid w:val="00DF169A"/>
    <w:rsid w:val="00E012D2"/>
    <w:rsid w:val="00E041E7"/>
    <w:rsid w:val="00E12BFD"/>
    <w:rsid w:val="00E716CB"/>
    <w:rsid w:val="00E90D74"/>
    <w:rsid w:val="00E9321A"/>
    <w:rsid w:val="00E93C1F"/>
    <w:rsid w:val="00EB6BFB"/>
    <w:rsid w:val="00EC0182"/>
    <w:rsid w:val="00ED7529"/>
    <w:rsid w:val="00EE5022"/>
    <w:rsid w:val="00EE5F83"/>
    <w:rsid w:val="00EF461C"/>
    <w:rsid w:val="00EF6829"/>
    <w:rsid w:val="00EF759F"/>
    <w:rsid w:val="00F02ADE"/>
    <w:rsid w:val="00F07336"/>
    <w:rsid w:val="00F075C0"/>
    <w:rsid w:val="00F10AFD"/>
    <w:rsid w:val="00F12BC3"/>
    <w:rsid w:val="00F26C63"/>
    <w:rsid w:val="00F30B6A"/>
    <w:rsid w:val="00F332EC"/>
    <w:rsid w:val="00F344E1"/>
    <w:rsid w:val="00F4453B"/>
    <w:rsid w:val="00F56A61"/>
    <w:rsid w:val="00F57BAC"/>
    <w:rsid w:val="00F64DE4"/>
    <w:rsid w:val="00F719CD"/>
    <w:rsid w:val="00F75368"/>
    <w:rsid w:val="00FA44B6"/>
    <w:rsid w:val="00FB0374"/>
    <w:rsid w:val="00FB2C3F"/>
    <w:rsid w:val="00FC0B12"/>
    <w:rsid w:val="00FC77D3"/>
    <w:rsid w:val="00FD1E14"/>
    <w:rsid w:val="00FE18A5"/>
    <w:rsid w:val="00FE31DF"/>
    <w:rsid w:val="00FE3B53"/>
    <w:rsid w:val="00FE71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ais"/>
    <w:next w:val="Parastais"/>
    <w:link w:val="Virsraksts1Rakstz"/>
    <w:uiPriority w:val="9"/>
    <w:qFormat/>
    <w:rsid w:val="003B7E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ais"/>
    <w:next w:val="Parastais"/>
    <w:link w:val="Virsraksts2Rakstz"/>
    <w:uiPriority w:val="9"/>
    <w:unhideWhenUsed/>
    <w:qFormat/>
    <w:rsid w:val="00DD0B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aisWeb">
    <w:name w:val="Normal (Web)"/>
    <w:basedOn w:val="Parastais"/>
    <w:uiPriority w:val="99"/>
    <w:unhideWhenUsed/>
    <w:rsid w:val="00F64DE4"/>
    <w:pPr>
      <w:spacing w:before="100" w:beforeAutospacing="1" w:after="100" w:afterAutospacing="1"/>
    </w:pPr>
  </w:style>
  <w:style w:type="paragraph" w:styleId="Komentrateksts">
    <w:name w:val="annotation text"/>
    <w:basedOn w:val="Parastai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Akapit z listą BS,body,Odsek zoznamu2,Saistīto dokumentu saraksts,Syle 1,Numurets,List Paragraph11,OBC Bullet,Bullet Style,L,Numbered Para 1,Dot pt,No Spacing1"/>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
    <w:name w:val="Parasts (tīmeklis)"/>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link w:val="CharCharCharChar"/>
    <w:uiPriority w:val="99"/>
    <w:qFormat/>
    <w:rsid w:val="00025346"/>
    <w:rPr>
      <w:vertAlign w:val="superscript"/>
    </w:rPr>
  </w:style>
  <w:style w:type="paragraph" w:customStyle="1" w:styleId="CharCharCharChar">
    <w:name w:val="Char Char Char Char"/>
    <w:aliases w:val="Char2"/>
    <w:basedOn w:val="Parastais"/>
    <w:next w:val="Parastai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b/>
      <w:bCs/>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Akapit z listą BS Rakstz.,body Rakstz.,Odsek zoznamu2 Rakstz.,Saistīto dokumentu saraksts Rakstz.,Syle 1 Rakstz.,Numurets Rakstz.,List Paragraph11 Rakstz.,OBC Bullet Rakstz.,L Rakstz."/>
    <w:link w:val="Sarakstarindkopa"/>
    <w:uiPriority w:val="34"/>
    <w:qFormat/>
    <w:rsid w:val="000D049A"/>
    <w:rPr>
      <w:rFonts w:ascii="Calibri" w:eastAsia="Calibri" w:hAnsi="Calibri" w:cs="Times New Roman"/>
    </w:rPr>
  </w:style>
  <w:style w:type="paragraph" w:styleId="Parakstszemobjekta">
    <w:name w:val="caption"/>
    <w:basedOn w:val="Parastais"/>
    <w:next w:val="Parastais"/>
    <w:uiPriority w:val="35"/>
    <w:unhideWhenUsed/>
    <w:qFormat/>
    <w:rsid w:val="008265ED"/>
    <w:pPr>
      <w:spacing w:after="200"/>
    </w:pPr>
    <w:rPr>
      <w:b/>
      <w:bCs/>
      <w:color w:val="4F81BD" w:themeColor="accent1"/>
      <w:sz w:val="18"/>
      <w:szCs w:val="18"/>
    </w:rPr>
  </w:style>
  <w:style w:type="character" w:customStyle="1" w:styleId="Virsraksts2Rakstz">
    <w:name w:val="Virsraksts 2 Rakstz."/>
    <w:basedOn w:val="Noklusjumarindkopasfonts"/>
    <w:link w:val="Virsraksts2"/>
    <w:uiPriority w:val="9"/>
    <w:rsid w:val="00DD0BE6"/>
    <w:rPr>
      <w:rFonts w:asciiTheme="majorHAnsi" w:eastAsiaTheme="majorEastAsia" w:hAnsiTheme="majorHAnsi" w:cstheme="majorBidi"/>
      <w:b/>
      <w:bCs/>
      <w:color w:val="4F81BD" w:themeColor="accent1"/>
      <w:sz w:val="26"/>
      <w:szCs w:val="26"/>
      <w:lang w:eastAsia="lv-LV"/>
    </w:rPr>
  </w:style>
  <w:style w:type="character" w:customStyle="1" w:styleId="Virsraksts1Rakstz">
    <w:name w:val="Virsraksts 1 Rakstz."/>
    <w:basedOn w:val="Noklusjumarindkopasfonts"/>
    <w:link w:val="Virsraksts1"/>
    <w:uiPriority w:val="9"/>
    <w:rsid w:val="003B7EFA"/>
    <w:rPr>
      <w:rFonts w:asciiTheme="majorHAnsi" w:eastAsiaTheme="majorEastAsia" w:hAnsiTheme="majorHAnsi" w:cstheme="majorBidi"/>
      <w:b/>
      <w:bCs/>
      <w:color w:val="365F91" w:themeColor="accent1" w:themeShade="BF"/>
      <w:sz w:val="28"/>
      <w:szCs w:val="28"/>
      <w:lang w:eastAsia="lv-LV"/>
    </w:rPr>
  </w:style>
  <w:style w:type="character" w:styleId="Izteiksmgs">
    <w:name w:val="Strong"/>
    <w:uiPriority w:val="22"/>
    <w:qFormat/>
    <w:rsid w:val="00F57BAC"/>
    <w:rPr>
      <w:b/>
      <w:bCs/>
    </w:rPr>
  </w:style>
  <w:style w:type="paragraph" w:styleId="Pamattekstsaratkpi">
    <w:name w:val="Body Text Indent"/>
    <w:basedOn w:val="Parastais"/>
    <w:link w:val="PamattekstsaratkpiRakstz"/>
    <w:uiPriority w:val="99"/>
    <w:semiHidden/>
    <w:unhideWhenUsed/>
    <w:rsid w:val="00B805AB"/>
    <w:pPr>
      <w:spacing w:after="120"/>
      <w:ind w:left="283"/>
    </w:pPr>
  </w:style>
  <w:style w:type="character" w:customStyle="1" w:styleId="PamattekstsaratkpiRakstz">
    <w:name w:val="Pamatteksts ar atkāpi Rakstz."/>
    <w:basedOn w:val="Noklusjumarindkopasfonts"/>
    <w:link w:val="Pamattekstsaratkpi"/>
    <w:uiPriority w:val="99"/>
    <w:semiHidden/>
    <w:rsid w:val="00B805AB"/>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296913377">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Saulit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46A0F-AC8C-4572-B6AF-E1D8F6DF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5001</Words>
  <Characters>2851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informatīvo ziņojumu „Par nacionālās koncertzāles attīstības projekta izstrādes gaitu un nepieciešamo finansējumu juridisko risinājumu izstrādei”, tam pievienoto Ministru kabineta sēdes protokollēmuma projektu un Ministru kabineta rīkojuma projektu „Par apropriācijas pārdali” </dc:title>
  <dc:subject>Izziņa</dc:subject>
  <dc:creator>Zanda Saulīte</dc:creator>
  <cp:keywords>KMIzz_301019_koncertzale</cp:keywords>
  <dc:description>Tālr. 67330316; Zanda.Saulite@km.gov.lv</dc:description>
  <cp:lastModifiedBy>Dzintra Rozīte</cp:lastModifiedBy>
  <cp:revision>5</cp:revision>
  <cp:lastPrinted>2018-03-05T07:30:00Z</cp:lastPrinted>
  <dcterms:created xsi:type="dcterms:W3CDTF">2019-10-30T12:39:00Z</dcterms:created>
  <dcterms:modified xsi:type="dcterms:W3CDTF">2019-10-31T07:01:00Z</dcterms:modified>
</cp:coreProperties>
</file>