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D7" w:rsidRPr="007E5094" w:rsidRDefault="00F541D7" w:rsidP="00F541D7">
      <w:pPr>
        <w:rPr>
          <w:b/>
          <w:i/>
          <w:sz w:val="22"/>
        </w:rPr>
      </w:pPr>
      <w:r w:rsidRPr="007E5094">
        <w:rPr>
          <w:sz w:val="26"/>
          <w:szCs w:val="26"/>
        </w:rPr>
        <w:t xml:space="preserve">Budžeta un finanšu (nodokļu) komisija </w:t>
      </w:r>
    </w:p>
    <w:p w:rsidR="00F541D7" w:rsidRPr="007E5094" w:rsidRDefault="00F541D7" w:rsidP="00F541D7">
      <w:pPr>
        <w:pStyle w:val="Title"/>
        <w:jc w:val="right"/>
        <w:rPr>
          <w:b w:val="0"/>
          <w:sz w:val="26"/>
          <w:szCs w:val="26"/>
        </w:rPr>
      </w:pPr>
      <w:r w:rsidRPr="007E5094">
        <w:rPr>
          <w:b w:val="0"/>
          <w:sz w:val="26"/>
          <w:szCs w:val="26"/>
        </w:rPr>
        <w:t xml:space="preserve">Likumprojekts </w:t>
      </w:r>
      <w:proofErr w:type="gramStart"/>
      <w:r w:rsidRPr="007E5094">
        <w:rPr>
          <w:b w:val="0"/>
          <w:sz w:val="26"/>
          <w:szCs w:val="26"/>
        </w:rPr>
        <w:t>(steidzams) otrajam lasījumam</w:t>
      </w:r>
      <w:proofErr w:type="gramEnd"/>
    </w:p>
    <w:p w:rsidR="00F541D7" w:rsidRPr="007E5094" w:rsidRDefault="00F541D7" w:rsidP="00F541D7">
      <w:pPr>
        <w:jc w:val="right"/>
        <w:rPr>
          <w:sz w:val="26"/>
          <w:szCs w:val="26"/>
        </w:rPr>
      </w:pPr>
    </w:p>
    <w:p w:rsidR="00F541D7" w:rsidRPr="007E5094" w:rsidRDefault="00F541D7" w:rsidP="00F541D7">
      <w:pPr>
        <w:jc w:val="center"/>
        <w:rPr>
          <w:rStyle w:val="Emphasis"/>
          <w:b/>
          <w:i w:val="0"/>
          <w:sz w:val="26"/>
          <w:szCs w:val="26"/>
        </w:rPr>
      </w:pPr>
    </w:p>
    <w:p w:rsidR="00F541D7" w:rsidRPr="007E5094" w:rsidRDefault="00F541D7" w:rsidP="00F541D7">
      <w:pPr>
        <w:pStyle w:val="tv213tvp"/>
        <w:shd w:val="clear" w:color="auto" w:fill="FFFFFF"/>
        <w:spacing w:before="0" w:beforeAutospacing="0" w:after="0" w:afterAutospacing="0"/>
        <w:jc w:val="center"/>
        <w:rPr>
          <w:b/>
          <w:bCs/>
          <w:sz w:val="28"/>
          <w:szCs w:val="28"/>
        </w:rPr>
      </w:pPr>
      <w:r w:rsidRPr="007E5094">
        <w:rPr>
          <w:b/>
          <w:bCs/>
          <w:sz w:val="28"/>
          <w:szCs w:val="28"/>
        </w:rPr>
        <w:t>Grozījums Bāriņtiesu likumā</w:t>
      </w:r>
    </w:p>
    <w:p w:rsidR="00F541D7" w:rsidRPr="007E5094" w:rsidRDefault="00F541D7" w:rsidP="00F541D7">
      <w:pPr>
        <w:jc w:val="center"/>
        <w:rPr>
          <w:rStyle w:val="Emphasis"/>
          <w:b/>
          <w:sz w:val="26"/>
          <w:szCs w:val="26"/>
        </w:rPr>
      </w:pPr>
      <w:r w:rsidRPr="007E5094">
        <w:rPr>
          <w:rStyle w:val="Emphasis"/>
          <w:b/>
          <w:sz w:val="26"/>
          <w:szCs w:val="26"/>
        </w:rPr>
        <w:t xml:space="preserve">(Nr. 429/Lp13) </w:t>
      </w:r>
    </w:p>
    <w:p w:rsidR="00F541D7" w:rsidRPr="007E5094" w:rsidRDefault="00F541D7" w:rsidP="00F541D7">
      <w:pPr>
        <w:jc w:val="center"/>
        <w:rPr>
          <w:rStyle w:val="Emphasis"/>
          <w:b/>
          <w:sz w:val="26"/>
          <w:szCs w:val="26"/>
        </w:rPr>
      </w:pPr>
    </w:p>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5"/>
        <w:gridCol w:w="3969"/>
        <w:gridCol w:w="556"/>
        <w:gridCol w:w="4195"/>
        <w:gridCol w:w="1417"/>
        <w:gridCol w:w="1417"/>
      </w:tblGrid>
      <w:tr w:rsidR="007E5094" w:rsidRPr="007E5094" w:rsidTr="00861213">
        <w:tc>
          <w:tcPr>
            <w:tcW w:w="3855" w:type="dxa"/>
            <w:shd w:val="clear" w:color="auto" w:fill="auto"/>
            <w:vAlign w:val="center"/>
          </w:tcPr>
          <w:p w:rsidR="00F541D7" w:rsidRPr="007E5094" w:rsidRDefault="00F541D7" w:rsidP="00F541D7">
            <w:pPr>
              <w:jc w:val="center"/>
              <w:rPr>
                <w:b/>
                <w:bCs/>
                <w:iCs/>
              </w:rPr>
            </w:pPr>
            <w:r w:rsidRPr="007E5094">
              <w:rPr>
                <w:b/>
              </w:rPr>
              <w:t>Spēkā esošā redakcija</w:t>
            </w:r>
          </w:p>
        </w:tc>
        <w:tc>
          <w:tcPr>
            <w:tcW w:w="3969" w:type="dxa"/>
            <w:shd w:val="clear" w:color="auto" w:fill="auto"/>
            <w:vAlign w:val="center"/>
          </w:tcPr>
          <w:p w:rsidR="00F541D7" w:rsidRPr="007E5094" w:rsidRDefault="00F541D7" w:rsidP="00F541D7">
            <w:pPr>
              <w:jc w:val="center"/>
              <w:rPr>
                <w:b/>
              </w:rPr>
            </w:pPr>
            <w:r w:rsidRPr="007E5094">
              <w:rPr>
                <w:b/>
              </w:rPr>
              <w:t>Pirmā lasījuma redakcija</w:t>
            </w:r>
          </w:p>
        </w:tc>
        <w:tc>
          <w:tcPr>
            <w:tcW w:w="556" w:type="dxa"/>
            <w:vAlign w:val="center"/>
          </w:tcPr>
          <w:p w:rsidR="00F541D7" w:rsidRPr="007E5094" w:rsidRDefault="00F541D7" w:rsidP="00861213">
            <w:pPr>
              <w:jc w:val="center"/>
              <w:rPr>
                <w:b/>
              </w:rPr>
            </w:pPr>
            <w:r w:rsidRPr="007E5094">
              <w:rPr>
                <w:b/>
              </w:rPr>
              <w:t>Nr.</w:t>
            </w:r>
          </w:p>
        </w:tc>
        <w:tc>
          <w:tcPr>
            <w:tcW w:w="4195" w:type="dxa"/>
            <w:vAlign w:val="center"/>
          </w:tcPr>
          <w:p w:rsidR="00F541D7" w:rsidRPr="007E5094" w:rsidRDefault="00F541D7" w:rsidP="00F541D7">
            <w:pPr>
              <w:jc w:val="center"/>
              <w:rPr>
                <w:b/>
              </w:rPr>
            </w:pPr>
            <w:r w:rsidRPr="007E5094">
              <w:rPr>
                <w:b/>
              </w:rPr>
              <w:t>Priekšlikumi</w:t>
            </w:r>
          </w:p>
          <w:p w:rsidR="00F541D7" w:rsidRPr="007E5094" w:rsidRDefault="00861213" w:rsidP="00F541D7">
            <w:pPr>
              <w:jc w:val="center"/>
              <w:rPr>
                <w:b/>
              </w:rPr>
            </w:pPr>
            <w:r w:rsidRPr="007E5094">
              <w:rPr>
                <w:b/>
              </w:rPr>
              <w:t>(1</w:t>
            </w:r>
            <w:r w:rsidR="00F541D7" w:rsidRPr="007E5094">
              <w:rPr>
                <w:b/>
              </w:rPr>
              <w:t>)</w:t>
            </w:r>
          </w:p>
        </w:tc>
        <w:tc>
          <w:tcPr>
            <w:tcW w:w="1417" w:type="dxa"/>
            <w:vAlign w:val="center"/>
          </w:tcPr>
          <w:p w:rsidR="00F541D7" w:rsidRPr="007E5094" w:rsidRDefault="00F541D7" w:rsidP="00F541D7">
            <w:pPr>
              <w:jc w:val="center"/>
              <w:rPr>
                <w:b/>
              </w:rPr>
            </w:pPr>
            <w:r w:rsidRPr="007E5094">
              <w:rPr>
                <w:b/>
                <w:bCs/>
                <w:iCs/>
              </w:rPr>
              <w:t>Ministru kabineta atzinums</w:t>
            </w:r>
          </w:p>
        </w:tc>
        <w:tc>
          <w:tcPr>
            <w:tcW w:w="1417" w:type="dxa"/>
            <w:vAlign w:val="center"/>
          </w:tcPr>
          <w:p w:rsidR="00F541D7" w:rsidRPr="007E5094" w:rsidRDefault="00F541D7" w:rsidP="00F541D7">
            <w:pPr>
              <w:jc w:val="center"/>
              <w:rPr>
                <w:b/>
              </w:rPr>
            </w:pPr>
            <w:r w:rsidRPr="007E5094">
              <w:rPr>
                <w:b/>
                <w:bCs/>
                <w:iCs/>
              </w:rPr>
              <w:t>Komisijas atzinums</w:t>
            </w:r>
          </w:p>
        </w:tc>
      </w:tr>
      <w:tr w:rsidR="007E5094" w:rsidRPr="007E5094" w:rsidTr="00861213">
        <w:tc>
          <w:tcPr>
            <w:tcW w:w="3855" w:type="dxa"/>
            <w:shd w:val="clear" w:color="auto" w:fill="auto"/>
          </w:tcPr>
          <w:p w:rsidR="00F541D7" w:rsidRPr="007E5094" w:rsidRDefault="00F541D7" w:rsidP="00B72108">
            <w:pPr>
              <w:jc w:val="center"/>
              <w:rPr>
                <w:b/>
              </w:rPr>
            </w:pPr>
          </w:p>
        </w:tc>
        <w:tc>
          <w:tcPr>
            <w:tcW w:w="3969" w:type="dxa"/>
            <w:shd w:val="clear" w:color="auto" w:fill="auto"/>
          </w:tcPr>
          <w:p w:rsidR="00F541D7" w:rsidRPr="007E5094" w:rsidRDefault="00F541D7" w:rsidP="00B72108">
            <w:pPr>
              <w:ind w:firstLine="567"/>
              <w:jc w:val="both"/>
              <w:rPr>
                <w:b/>
                <w:sz w:val="22"/>
              </w:rPr>
            </w:pPr>
            <w:r w:rsidRPr="007E5094">
              <w:rPr>
                <w:bCs/>
                <w:sz w:val="22"/>
              </w:rPr>
              <w:t xml:space="preserve">Izdarīt Bāriņtiesu likumā </w:t>
            </w:r>
            <w:proofErr w:type="gramStart"/>
            <w:r w:rsidRPr="007E5094">
              <w:rPr>
                <w:bCs/>
                <w:sz w:val="22"/>
              </w:rPr>
              <w:t>(</w:t>
            </w:r>
            <w:proofErr w:type="gramEnd"/>
            <w:r w:rsidRPr="007E5094">
              <w:rPr>
                <w:bCs/>
                <w:sz w:val="22"/>
              </w:rPr>
              <w:t>Latvijas Republikas Saeimas un Ministru Kabineta Ziņotājs, 2006, 15. nr.; 2007, 3. nr.; 2009, 2., 13., 14. nr.; Latvijas Vēstnesis, 2009, 193., 205. nr.; 2011, 112., 132. nr.; 2012, 200. nr.; 2013, 112., 188. nr.; 2014, 41., 98. nr.; 2015, 227. nr.; 2017, 128., 242. nr.; 2018, 220. nr.) šādu grozījumu:</w:t>
            </w:r>
          </w:p>
        </w:tc>
        <w:tc>
          <w:tcPr>
            <w:tcW w:w="556" w:type="dxa"/>
          </w:tcPr>
          <w:p w:rsidR="00F541D7" w:rsidRPr="007E5094" w:rsidRDefault="00F541D7" w:rsidP="00861213">
            <w:pPr>
              <w:jc w:val="both"/>
              <w:rPr>
                <w:bCs/>
                <w:sz w:val="22"/>
              </w:rPr>
            </w:pPr>
          </w:p>
        </w:tc>
        <w:tc>
          <w:tcPr>
            <w:tcW w:w="4195" w:type="dxa"/>
          </w:tcPr>
          <w:p w:rsidR="00F541D7" w:rsidRPr="007E5094" w:rsidRDefault="00F541D7" w:rsidP="00B72108">
            <w:pPr>
              <w:ind w:firstLine="567"/>
              <w:jc w:val="both"/>
              <w:rPr>
                <w:bCs/>
                <w:sz w:val="22"/>
              </w:rPr>
            </w:pPr>
          </w:p>
        </w:tc>
        <w:tc>
          <w:tcPr>
            <w:tcW w:w="1417" w:type="dxa"/>
          </w:tcPr>
          <w:p w:rsidR="00F541D7" w:rsidRPr="007E5094" w:rsidRDefault="00F541D7" w:rsidP="00B72108">
            <w:pPr>
              <w:ind w:firstLine="567"/>
              <w:jc w:val="both"/>
              <w:rPr>
                <w:bCs/>
                <w:sz w:val="22"/>
              </w:rPr>
            </w:pPr>
          </w:p>
        </w:tc>
        <w:tc>
          <w:tcPr>
            <w:tcW w:w="1417" w:type="dxa"/>
          </w:tcPr>
          <w:p w:rsidR="00F541D7" w:rsidRPr="007E5094" w:rsidRDefault="00F541D7" w:rsidP="00B72108">
            <w:pPr>
              <w:ind w:firstLine="567"/>
              <w:jc w:val="both"/>
              <w:rPr>
                <w:bCs/>
                <w:sz w:val="22"/>
              </w:rPr>
            </w:pPr>
          </w:p>
        </w:tc>
      </w:tr>
      <w:tr w:rsidR="007E5094" w:rsidRPr="007E5094" w:rsidTr="00861213">
        <w:tc>
          <w:tcPr>
            <w:tcW w:w="3855" w:type="dxa"/>
            <w:shd w:val="clear" w:color="auto" w:fill="auto"/>
          </w:tcPr>
          <w:p w:rsidR="00861213" w:rsidRPr="007E5094" w:rsidRDefault="00861213" w:rsidP="00861213">
            <w:pPr>
              <w:pStyle w:val="tv213"/>
              <w:spacing w:before="0" w:beforeAutospacing="0" w:after="0" w:afterAutospacing="0"/>
              <w:ind w:firstLine="567"/>
              <w:jc w:val="both"/>
              <w:rPr>
                <w:sz w:val="22"/>
                <w:szCs w:val="22"/>
              </w:rPr>
            </w:pPr>
            <w:proofErr w:type="gramStart"/>
            <w:r w:rsidRPr="007E5094">
              <w:rPr>
                <w:b/>
                <w:bCs/>
                <w:sz w:val="22"/>
                <w:szCs w:val="22"/>
              </w:rPr>
              <w:t>53.pants</w:t>
            </w:r>
            <w:proofErr w:type="gramEnd"/>
            <w:r w:rsidRPr="007E5094">
              <w:rPr>
                <w:b/>
                <w:bCs/>
                <w:sz w:val="22"/>
                <w:szCs w:val="22"/>
              </w:rPr>
              <w:t>. Bāriņtiesu sadarbība</w:t>
            </w:r>
          </w:p>
          <w:p w:rsidR="00861213" w:rsidRPr="007E5094" w:rsidRDefault="00861213" w:rsidP="00861213">
            <w:pPr>
              <w:pStyle w:val="tv213"/>
              <w:spacing w:before="0" w:beforeAutospacing="0" w:after="0" w:afterAutospacing="0"/>
              <w:ind w:firstLine="567"/>
              <w:jc w:val="both"/>
              <w:rPr>
                <w:sz w:val="22"/>
                <w:szCs w:val="22"/>
              </w:rPr>
            </w:pPr>
            <w:r w:rsidRPr="007E5094">
              <w:rPr>
                <w:sz w:val="22"/>
                <w:szCs w:val="22"/>
              </w:rPr>
              <w:t>(1) Bāriņtiesas sadarbojas, lai veiktu savus uzdevumus.</w:t>
            </w:r>
          </w:p>
          <w:p w:rsidR="00861213" w:rsidRPr="007E5094" w:rsidRDefault="00861213" w:rsidP="00B72108">
            <w:pPr>
              <w:jc w:val="center"/>
              <w:rPr>
                <w:b/>
              </w:rPr>
            </w:pPr>
          </w:p>
        </w:tc>
        <w:tc>
          <w:tcPr>
            <w:tcW w:w="3969" w:type="dxa"/>
            <w:shd w:val="clear" w:color="auto" w:fill="auto"/>
          </w:tcPr>
          <w:p w:rsidR="00861213" w:rsidRPr="007E5094" w:rsidRDefault="00861213" w:rsidP="00B72108">
            <w:pPr>
              <w:ind w:firstLine="567"/>
              <w:jc w:val="both"/>
              <w:rPr>
                <w:bCs/>
                <w:sz w:val="22"/>
              </w:rPr>
            </w:pPr>
            <w:bookmarkStart w:id="0" w:name="_GoBack"/>
            <w:bookmarkEnd w:id="0"/>
          </w:p>
        </w:tc>
        <w:tc>
          <w:tcPr>
            <w:tcW w:w="556" w:type="dxa"/>
          </w:tcPr>
          <w:p w:rsidR="00861213" w:rsidRPr="007E5094" w:rsidRDefault="00861213" w:rsidP="00861213">
            <w:pPr>
              <w:jc w:val="center"/>
              <w:rPr>
                <w:b/>
                <w:bCs/>
                <w:sz w:val="22"/>
              </w:rPr>
            </w:pPr>
            <w:r w:rsidRPr="007E5094">
              <w:rPr>
                <w:b/>
                <w:bCs/>
                <w:sz w:val="22"/>
              </w:rPr>
              <w:t>1</w:t>
            </w:r>
          </w:p>
        </w:tc>
        <w:tc>
          <w:tcPr>
            <w:tcW w:w="4195" w:type="dxa"/>
          </w:tcPr>
          <w:p w:rsidR="00861213" w:rsidRPr="007E5094" w:rsidRDefault="00861213" w:rsidP="00861213">
            <w:pPr>
              <w:ind w:firstLine="567"/>
              <w:jc w:val="both"/>
              <w:rPr>
                <w:b/>
                <w:sz w:val="22"/>
                <w:u w:val="single"/>
              </w:rPr>
            </w:pPr>
            <w:r w:rsidRPr="007E5094">
              <w:rPr>
                <w:b/>
                <w:sz w:val="22"/>
                <w:u w:val="single"/>
              </w:rPr>
              <w:t>Zaļo un Zemnieku savienības frakcija</w:t>
            </w:r>
          </w:p>
          <w:p w:rsidR="00861213" w:rsidRPr="007E5094" w:rsidRDefault="00861213" w:rsidP="00861213">
            <w:pPr>
              <w:tabs>
                <w:tab w:val="left" w:pos="6740"/>
              </w:tabs>
              <w:ind w:firstLine="567"/>
              <w:jc w:val="both"/>
              <w:rPr>
                <w:sz w:val="22"/>
              </w:rPr>
            </w:pPr>
            <w:r w:rsidRPr="007E5094">
              <w:rPr>
                <w:sz w:val="22"/>
              </w:rPr>
              <w:t>Papildināt likumprojektu ar papildu pantu šādā redakcijā:</w:t>
            </w:r>
          </w:p>
          <w:p w:rsidR="00861213" w:rsidRPr="007E5094" w:rsidRDefault="00861213" w:rsidP="00861213">
            <w:pPr>
              <w:tabs>
                <w:tab w:val="left" w:pos="6740"/>
              </w:tabs>
              <w:ind w:firstLine="567"/>
              <w:jc w:val="both"/>
              <w:rPr>
                <w:sz w:val="22"/>
              </w:rPr>
            </w:pPr>
            <w:r w:rsidRPr="007E5094">
              <w:rPr>
                <w:sz w:val="22"/>
              </w:rPr>
              <w:t xml:space="preserve">“Izteikt likuma </w:t>
            </w:r>
            <w:proofErr w:type="gramStart"/>
            <w:r w:rsidRPr="007E5094">
              <w:rPr>
                <w:sz w:val="22"/>
              </w:rPr>
              <w:t>53.panta</w:t>
            </w:r>
            <w:proofErr w:type="gramEnd"/>
            <w:r w:rsidRPr="007E5094">
              <w:rPr>
                <w:sz w:val="22"/>
              </w:rPr>
              <w:t xml:space="preserve"> 1.daļu šādā redakcijā: </w:t>
            </w:r>
          </w:p>
          <w:p w:rsidR="00861213" w:rsidRPr="007E5094" w:rsidRDefault="00861213" w:rsidP="00861213">
            <w:pPr>
              <w:tabs>
                <w:tab w:val="left" w:pos="6740"/>
              </w:tabs>
              <w:ind w:firstLine="567"/>
              <w:jc w:val="both"/>
              <w:rPr>
                <w:sz w:val="22"/>
              </w:rPr>
            </w:pPr>
            <w:r w:rsidRPr="007E5094">
              <w:rPr>
                <w:sz w:val="22"/>
              </w:rPr>
              <w:t>“(1) Bāriņtiesas sadarbojas, lai veiktu savus uzdevumus un lai nodrošinātu pilnīgās informācijas pieejamību vecākiem, aizbildņiem, audžuģimenēm, viesģimenēm un adoptētājiem par bērnu vienā bāriņtiesā””</w:t>
            </w:r>
            <w:r w:rsidR="001728F7" w:rsidRPr="007E5094">
              <w:rPr>
                <w:rStyle w:val="FootnoteReference"/>
                <w:sz w:val="22"/>
              </w:rPr>
              <w:footnoteReference w:id="1"/>
            </w:r>
          </w:p>
        </w:tc>
        <w:tc>
          <w:tcPr>
            <w:tcW w:w="1417" w:type="dxa"/>
          </w:tcPr>
          <w:p w:rsidR="00861213" w:rsidRPr="007E5094" w:rsidRDefault="00861213" w:rsidP="00B72108">
            <w:pPr>
              <w:ind w:firstLine="567"/>
              <w:jc w:val="both"/>
              <w:rPr>
                <w:bCs/>
                <w:sz w:val="22"/>
              </w:rPr>
            </w:pPr>
          </w:p>
        </w:tc>
        <w:tc>
          <w:tcPr>
            <w:tcW w:w="1417" w:type="dxa"/>
          </w:tcPr>
          <w:p w:rsidR="00861213" w:rsidRPr="007E5094" w:rsidRDefault="00861213" w:rsidP="00B72108">
            <w:pPr>
              <w:ind w:firstLine="567"/>
              <w:jc w:val="both"/>
              <w:rPr>
                <w:bCs/>
                <w:sz w:val="22"/>
              </w:rPr>
            </w:pPr>
          </w:p>
        </w:tc>
      </w:tr>
      <w:tr w:rsidR="007E5094" w:rsidRPr="007E5094" w:rsidTr="00861213">
        <w:tc>
          <w:tcPr>
            <w:tcW w:w="3855" w:type="dxa"/>
            <w:shd w:val="clear" w:color="auto" w:fill="auto"/>
          </w:tcPr>
          <w:p w:rsidR="00F541D7" w:rsidRPr="007E5094" w:rsidRDefault="00F541D7" w:rsidP="00B72108">
            <w:pPr>
              <w:pStyle w:val="tv213"/>
              <w:spacing w:before="0" w:beforeAutospacing="0" w:after="0" w:afterAutospacing="0"/>
              <w:ind w:firstLine="567"/>
              <w:jc w:val="both"/>
              <w:rPr>
                <w:sz w:val="22"/>
                <w:szCs w:val="22"/>
              </w:rPr>
            </w:pPr>
            <w:r w:rsidRPr="007E5094">
              <w:rPr>
                <w:sz w:val="22"/>
                <w:szCs w:val="22"/>
              </w:rPr>
              <w:lastRenderedPageBreak/>
              <w:t>19. Šā likuma 43.</w:t>
            </w:r>
            <w:r w:rsidRPr="007E5094">
              <w:rPr>
                <w:sz w:val="22"/>
                <w:szCs w:val="22"/>
                <w:vertAlign w:val="superscript"/>
              </w:rPr>
              <w:t>1</w:t>
            </w:r>
            <w:r w:rsidRPr="007E5094">
              <w:rPr>
                <w:sz w:val="22"/>
                <w:szCs w:val="22"/>
              </w:rPr>
              <w:t> pants stājas spēkā 2020. gada 1. janvārī.</w:t>
            </w:r>
          </w:p>
          <w:p w:rsidR="00F541D7" w:rsidRPr="007E5094" w:rsidRDefault="00F541D7" w:rsidP="00B72108">
            <w:pPr>
              <w:pStyle w:val="labojumupamats"/>
              <w:spacing w:before="0" w:beforeAutospacing="0" w:after="0" w:afterAutospacing="0"/>
              <w:ind w:firstLine="567"/>
              <w:jc w:val="both"/>
              <w:rPr>
                <w:i/>
                <w:sz w:val="18"/>
                <w:szCs w:val="18"/>
              </w:rPr>
            </w:pPr>
            <w:r w:rsidRPr="007E5094">
              <w:rPr>
                <w:i/>
                <w:sz w:val="18"/>
                <w:szCs w:val="18"/>
              </w:rPr>
              <w:t>(15.06.2017. likuma redakcijā ar grozījumiem, kas izdarīti ar 01.11.2018. likumu, kas stājas spēkā 21.11.2018. Minētais grozījums iekļauts likuma redakcijā uz 01.01.2020.)</w:t>
            </w:r>
          </w:p>
        </w:tc>
        <w:tc>
          <w:tcPr>
            <w:tcW w:w="3969" w:type="dxa"/>
            <w:shd w:val="clear" w:color="auto" w:fill="auto"/>
          </w:tcPr>
          <w:p w:rsidR="00F541D7" w:rsidRPr="007E5094" w:rsidRDefault="00F541D7" w:rsidP="00B72108">
            <w:pPr>
              <w:ind w:firstLine="567"/>
              <w:jc w:val="both"/>
              <w:rPr>
                <w:b/>
                <w:sz w:val="22"/>
              </w:rPr>
            </w:pPr>
            <w:r w:rsidRPr="007E5094">
              <w:rPr>
                <w:sz w:val="22"/>
              </w:rPr>
              <w:t>Aizstāt pārejas noteikumu 19. punktā skaitļus un vārdus "2020. gada 1. janvārī" ar skaitļiem un vārdiem "2025. gada 1. jūlijā".</w:t>
            </w:r>
          </w:p>
        </w:tc>
        <w:tc>
          <w:tcPr>
            <w:tcW w:w="556" w:type="dxa"/>
          </w:tcPr>
          <w:p w:rsidR="00F541D7" w:rsidRPr="007E5094" w:rsidRDefault="00F541D7" w:rsidP="00B72108">
            <w:pPr>
              <w:ind w:firstLine="567"/>
              <w:jc w:val="both"/>
              <w:rPr>
                <w:sz w:val="22"/>
              </w:rPr>
            </w:pPr>
          </w:p>
        </w:tc>
        <w:tc>
          <w:tcPr>
            <w:tcW w:w="4195" w:type="dxa"/>
          </w:tcPr>
          <w:p w:rsidR="00F541D7" w:rsidRPr="007E5094" w:rsidRDefault="00F541D7" w:rsidP="00B72108">
            <w:pPr>
              <w:ind w:firstLine="567"/>
              <w:jc w:val="both"/>
              <w:rPr>
                <w:sz w:val="22"/>
              </w:rPr>
            </w:pPr>
          </w:p>
        </w:tc>
        <w:tc>
          <w:tcPr>
            <w:tcW w:w="1417" w:type="dxa"/>
          </w:tcPr>
          <w:p w:rsidR="00F541D7" w:rsidRPr="007E5094" w:rsidRDefault="00F541D7" w:rsidP="00B72108">
            <w:pPr>
              <w:ind w:firstLine="567"/>
              <w:jc w:val="both"/>
              <w:rPr>
                <w:sz w:val="22"/>
              </w:rPr>
            </w:pPr>
          </w:p>
        </w:tc>
        <w:tc>
          <w:tcPr>
            <w:tcW w:w="1417" w:type="dxa"/>
          </w:tcPr>
          <w:p w:rsidR="00F541D7" w:rsidRPr="007E5094" w:rsidRDefault="00F541D7" w:rsidP="00B72108">
            <w:pPr>
              <w:ind w:firstLine="567"/>
              <w:jc w:val="both"/>
              <w:rPr>
                <w:sz w:val="22"/>
              </w:rPr>
            </w:pPr>
          </w:p>
        </w:tc>
      </w:tr>
      <w:tr w:rsidR="00F541D7" w:rsidRPr="007E5094" w:rsidTr="00861213">
        <w:tc>
          <w:tcPr>
            <w:tcW w:w="3855" w:type="dxa"/>
            <w:shd w:val="clear" w:color="auto" w:fill="auto"/>
          </w:tcPr>
          <w:p w:rsidR="00F541D7" w:rsidRPr="007E5094" w:rsidRDefault="00F541D7" w:rsidP="00B72108">
            <w:pPr>
              <w:jc w:val="center"/>
              <w:rPr>
                <w:b/>
              </w:rPr>
            </w:pPr>
          </w:p>
        </w:tc>
        <w:tc>
          <w:tcPr>
            <w:tcW w:w="3969" w:type="dxa"/>
            <w:shd w:val="clear" w:color="auto" w:fill="auto"/>
          </w:tcPr>
          <w:p w:rsidR="00F541D7" w:rsidRPr="007E5094" w:rsidRDefault="00F541D7" w:rsidP="00B72108">
            <w:pPr>
              <w:pStyle w:val="labojumupamats"/>
              <w:shd w:val="clear" w:color="auto" w:fill="FFFFFF"/>
              <w:spacing w:before="0" w:beforeAutospacing="0" w:after="0" w:afterAutospacing="0"/>
              <w:ind w:firstLine="567"/>
              <w:jc w:val="both"/>
              <w:rPr>
                <w:sz w:val="22"/>
                <w:szCs w:val="22"/>
              </w:rPr>
            </w:pPr>
            <w:r w:rsidRPr="007E5094">
              <w:rPr>
                <w:sz w:val="22"/>
                <w:szCs w:val="22"/>
              </w:rPr>
              <w:t>Likums stājas spēkā 2020. gada 1. janvārī.</w:t>
            </w:r>
          </w:p>
        </w:tc>
        <w:tc>
          <w:tcPr>
            <w:tcW w:w="556" w:type="dxa"/>
          </w:tcPr>
          <w:p w:rsidR="00F541D7" w:rsidRPr="007E5094" w:rsidRDefault="00F541D7" w:rsidP="00B72108">
            <w:pPr>
              <w:pStyle w:val="labojumupamats"/>
              <w:shd w:val="clear" w:color="auto" w:fill="FFFFFF"/>
              <w:spacing w:before="0" w:beforeAutospacing="0" w:after="0" w:afterAutospacing="0"/>
              <w:ind w:firstLine="567"/>
              <w:jc w:val="both"/>
              <w:rPr>
                <w:sz w:val="22"/>
                <w:szCs w:val="22"/>
              </w:rPr>
            </w:pPr>
          </w:p>
        </w:tc>
        <w:tc>
          <w:tcPr>
            <w:tcW w:w="4195" w:type="dxa"/>
          </w:tcPr>
          <w:p w:rsidR="00F541D7" w:rsidRPr="007E5094" w:rsidRDefault="00F541D7" w:rsidP="00B72108">
            <w:pPr>
              <w:pStyle w:val="labojumupamats"/>
              <w:shd w:val="clear" w:color="auto" w:fill="FFFFFF"/>
              <w:spacing w:before="0" w:beforeAutospacing="0" w:after="0" w:afterAutospacing="0"/>
              <w:ind w:firstLine="567"/>
              <w:jc w:val="both"/>
              <w:rPr>
                <w:sz w:val="22"/>
                <w:szCs w:val="22"/>
              </w:rPr>
            </w:pPr>
          </w:p>
        </w:tc>
        <w:tc>
          <w:tcPr>
            <w:tcW w:w="1417" w:type="dxa"/>
          </w:tcPr>
          <w:p w:rsidR="00F541D7" w:rsidRPr="007E5094" w:rsidRDefault="00F541D7" w:rsidP="00B72108">
            <w:pPr>
              <w:pStyle w:val="labojumupamats"/>
              <w:shd w:val="clear" w:color="auto" w:fill="FFFFFF"/>
              <w:spacing w:before="0" w:beforeAutospacing="0" w:after="0" w:afterAutospacing="0"/>
              <w:ind w:firstLine="567"/>
              <w:jc w:val="both"/>
              <w:rPr>
                <w:sz w:val="22"/>
                <w:szCs w:val="22"/>
              </w:rPr>
            </w:pPr>
          </w:p>
        </w:tc>
        <w:tc>
          <w:tcPr>
            <w:tcW w:w="1417" w:type="dxa"/>
          </w:tcPr>
          <w:p w:rsidR="00F541D7" w:rsidRPr="007E5094" w:rsidRDefault="00F541D7" w:rsidP="00B72108">
            <w:pPr>
              <w:pStyle w:val="labojumupamats"/>
              <w:shd w:val="clear" w:color="auto" w:fill="FFFFFF"/>
              <w:spacing w:before="0" w:beforeAutospacing="0" w:after="0" w:afterAutospacing="0"/>
              <w:ind w:firstLine="567"/>
              <w:jc w:val="both"/>
              <w:rPr>
                <w:sz w:val="22"/>
                <w:szCs w:val="22"/>
              </w:rPr>
            </w:pPr>
          </w:p>
        </w:tc>
      </w:tr>
    </w:tbl>
    <w:p w:rsidR="005D4711" w:rsidRPr="007E5094" w:rsidRDefault="005D4711" w:rsidP="00861213"/>
    <w:sectPr w:rsidR="005D4711" w:rsidRPr="007E5094" w:rsidSect="00861213">
      <w:footerReference w:type="even" r:id="rId7"/>
      <w:footerReference w:type="default" r:id="rId8"/>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BF" w:rsidRDefault="00861213">
      <w:r>
        <w:separator/>
      </w:r>
    </w:p>
  </w:endnote>
  <w:endnote w:type="continuationSeparator" w:id="0">
    <w:p w:rsidR="00E33BBF" w:rsidRDefault="0086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541D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7E5094"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541D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094">
      <w:rPr>
        <w:rStyle w:val="PageNumber"/>
        <w:noProof/>
      </w:rPr>
      <w:t>2</w:t>
    </w:r>
    <w:r>
      <w:rPr>
        <w:rStyle w:val="PageNumber"/>
      </w:rPr>
      <w:fldChar w:fldCharType="end"/>
    </w:r>
  </w:p>
  <w:p w:rsidR="00511D34" w:rsidRDefault="007E5094"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BF" w:rsidRDefault="00861213">
      <w:r>
        <w:separator/>
      </w:r>
    </w:p>
  </w:footnote>
  <w:footnote w:type="continuationSeparator" w:id="0">
    <w:p w:rsidR="00E33BBF" w:rsidRDefault="00861213">
      <w:r>
        <w:continuationSeparator/>
      </w:r>
    </w:p>
  </w:footnote>
  <w:footnote w:id="1">
    <w:p w:rsidR="001728F7" w:rsidRPr="006B1EAE" w:rsidRDefault="001728F7" w:rsidP="001728F7">
      <w:pPr>
        <w:tabs>
          <w:tab w:val="left" w:pos="6740"/>
        </w:tabs>
        <w:jc w:val="both"/>
        <w:rPr>
          <w:b/>
          <w:color w:val="000000" w:themeColor="text1"/>
          <w:sz w:val="20"/>
          <w:szCs w:val="20"/>
        </w:rPr>
      </w:pPr>
      <w:r w:rsidRPr="006B1EAE">
        <w:rPr>
          <w:rStyle w:val="FootnoteReference"/>
          <w:b/>
          <w:sz w:val="20"/>
          <w:szCs w:val="20"/>
        </w:rPr>
        <w:footnoteRef/>
      </w:r>
      <w:r w:rsidRPr="006B1EAE">
        <w:rPr>
          <w:b/>
          <w:sz w:val="20"/>
          <w:szCs w:val="20"/>
        </w:rPr>
        <w:t xml:space="preserve"> </w:t>
      </w:r>
      <w:r w:rsidRPr="006B1EAE">
        <w:rPr>
          <w:b/>
          <w:color w:val="000000" w:themeColor="text1"/>
          <w:sz w:val="20"/>
          <w:szCs w:val="20"/>
        </w:rPr>
        <w:t>Pamatojums:</w:t>
      </w:r>
    </w:p>
    <w:p w:rsidR="001728F7" w:rsidRPr="006B1EAE" w:rsidRDefault="001728F7" w:rsidP="001728F7">
      <w:pPr>
        <w:tabs>
          <w:tab w:val="left" w:pos="6740"/>
        </w:tabs>
        <w:jc w:val="both"/>
        <w:rPr>
          <w:color w:val="000000" w:themeColor="text1"/>
          <w:sz w:val="20"/>
          <w:szCs w:val="20"/>
        </w:rPr>
      </w:pPr>
      <w:r w:rsidRPr="006B1EAE">
        <w:rPr>
          <w:color w:val="000000" w:themeColor="text1"/>
          <w:sz w:val="20"/>
          <w:szCs w:val="20"/>
        </w:rPr>
        <w:t xml:space="preserve">Atbilstoši anotācijā iekļautajai informācijai likumprojekta mērķis ir pagarināt regulējuma ieviešanas termiņu, konkrēti, neveidot Aizgādnības informācijas sistēmu bāriņtiesu sadarbības veicināšanai. Kaut formāli likumprojekts paredz sistēmu veidot </w:t>
      </w:r>
      <w:proofErr w:type="gramStart"/>
      <w:r w:rsidRPr="006B1EAE">
        <w:rPr>
          <w:color w:val="000000" w:themeColor="text1"/>
          <w:sz w:val="20"/>
          <w:szCs w:val="20"/>
        </w:rPr>
        <w:t>2025.gadā</w:t>
      </w:r>
      <w:proofErr w:type="gramEnd"/>
      <w:r w:rsidRPr="006B1EAE">
        <w:rPr>
          <w:color w:val="000000" w:themeColor="text1"/>
          <w:sz w:val="20"/>
          <w:szCs w:val="20"/>
        </w:rPr>
        <w:t>, tas ir pēc 6 gadiem, praksē tas var nozīmēt, ka šāda sistēma netiks veidota vispār. Termiņš tika pagarināts arī iepriekš.</w:t>
      </w:r>
    </w:p>
    <w:p w:rsidR="001728F7" w:rsidRPr="006B1EAE" w:rsidRDefault="001728F7" w:rsidP="001728F7">
      <w:pPr>
        <w:tabs>
          <w:tab w:val="left" w:pos="6740"/>
        </w:tabs>
        <w:jc w:val="both"/>
        <w:rPr>
          <w:color w:val="000000" w:themeColor="text1"/>
          <w:sz w:val="20"/>
          <w:szCs w:val="20"/>
        </w:rPr>
      </w:pPr>
      <w:proofErr w:type="gramStart"/>
      <w:r w:rsidRPr="006B1EAE">
        <w:rPr>
          <w:color w:val="000000" w:themeColor="text1"/>
          <w:sz w:val="20"/>
          <w:szCs w:val="20"/>
        </w:rPr>
        <w:t>Tai pat laikā</w:t>
      </w:r>
      <w:proofErr w:type="gramEnd"/>
      <w:r w:rsidRPr="006B1EAE">
        <w:rPr>
          <w:color w:val="000000" w:themeColor="text1"/>
          <w:sz w:val="20"/>
          <w:szCs w:val="20"/>
        </w:rPr>
        <w:t xml:space="preserve"> regulējuma mērķis ir bāriņtiesu sadarbības veicināšana. Labklājības ministrijā, virzot regulējumu apstiprināšanai, </w:t>
      </w:r>
      <w:proofErr w:type="gramStart"/>
      <w:r w:rsidRPr="006B1EAE">
        <w:rPr>
          <w:color w:val="000000" w:themeColor="text1"/>
          <w:sz w:val="20"/>
          <w:szCs w:val="20"/>
        </w:rPr>
        <w:t>2017.gadā</w:t>
      </w:r>
      <w:proofErr w:type="gramEnd"/>
      <w:r w:rsidRPr="006B1EAE">
        <w:rPr>
          <w:color w:val="000000" w:themeColor="text1"/>
          <w:sz w:val="20"/>
          <w:szCs w:val="20"/>
        </w:rPr>
        <w:t xml:space="preserve"> to ir pamatojusi šādi (no likumprojekta anotācijas, MK iesniegtais projekts, Nr. 90/TA-33 (2017)):</w:t>
      </w:r>
    </w:p>
    <w:p w:rsidR="001728F7" w:rsidRPr="006B1EAE" w:rsidRDefault="001728F7" w:rsidP="001728F7">
      <w:pPr>
        <w:tabs>
          <w:tab w:val="left" w:pos="6740"/>
        </w:tabs>
        <w:jc w:val="both"/>
        <w:rPr>
          <w:color w:val="000000" w:themeColor="text1"/>
          <w:sz w:val="20"/>
          <w:szCs w:val="20"/>
        </w:rPr>
      </w:pPr>
    </w:p>
    <w:p w:rsidR="001728F7" w:rsidRPr="006B1EAE" w:rsidRDefault="001728F7" w:rsidP="001728F7">
      <w:pPr>
        <w:jc w:val="both"/>
        <w:rPr>
          <w:rFonts w:eastAsia="Times New Roman"/>
          <w:color w:val="000000"/>
          <w:sz w:val="20"/>
          <w:szCs w:val="20"/>
          <w:shd w:val="clear" w:color="auto" w:fill="FFFFFF"/>
          <w:lang w:eastAsia="en-GB"/>
        </w:rPr>
      </w:pPr>
      <w:r w:rsidRPr="006B1EAE">
        <w:rPr>
          <w:rFonts w:eastAsia="Times New Roman"/>
          <w:color w:val="000000"/>
          <w:sz w:val="20"/>
          <w:szCs w:val="20"/>
          <w:shd w:val="clear" w:color="auto" w:fill="FFFFFF"/>
          <w:lang w:eastAsia="en-GB"/>
        </w:rPr>
        <w:t xml:space="preserve">Saskaņā ar Granta līgumu Nr. JLS/2009/ISEC/AG/004, kas 2009. gada </w:t>
      </w:r>
      <w:proofErr w:type="gramStart"/>
      <w:r w:rsidRPr="006B1EAE">
        <w:rPr>
          <w:rFonts w:eastAsia="Times New Roman"/>
          <w:color w:val="000000"/>
          <w:sz w:val="20"/>
          <w:szCs w:val="20"/>
          <w:shd w:val="clear" w:color="auto" w:fill="FFFFFF"/>
          <w:lang w:eastAsia="en-GB"/>
        </w:rPr>
        <w:t>11.decembrī</w:t>
      </w:r>
      <w:proofErr w:type="gramEnd"/>
      <w:r w:rsidRPr="006B1EAE">
        <w:rPr>
          <w:rFonts w:eastAsia="Times New Roman"/>
          <w:color w:val="000000"/>
          <w:sz w:val="20"/>
          <w:szCs w:val="20"/>
          <w:shd w:val="clear" w:color="auto" w:fill="FFFFFF"/>
          <w:lang w:eastAsia="en-GB"/>
        </w:rPr>
        <w:t xml:space="preserve"> tika noslēgts starp Iekšlietu ministrijas Informācijas centru un Eiropas Komisiju, tika izstrādāta Nepilngadīgo personu atbalsta informācijas sistēma (turpmāk – projekts). Projekta ietvaros bija paredzēts vienotā informācijas sistēmā izveidot arī visus bāriņtiesu lietu reģistrus, kas tajā laikā bija pieejami tikai papīra formātā, kas apgrūtināja </w:t>
      </w:r>
      <w:proofErr w:type="gramStart"/>
      <w:r w:rsidRPr="006B1EAE">
        <w:rPr>
          <w:rFonts w:eastAsia="Times New Roman"/>
          <w:color w:val="000000"/>
          <w:sz w:val="20"/>
          <w:szCs w:val="20"/>
          <w:shd w:val="clear" w:color="auto" w:fill="FFFFFF"/>
          <w:lang w:eastAsia="en-GB"/>
        </w:rPr>
        <w:t>citām kompetentajām institūcijām</w:t>
      </w:r>
      <w:proofErr w:type="gramEnd"/>
      <w:r w:rsidRPr="006B1EAE">
        <w:rPr>
          <w:rFonts w:eastAsia="Times New Roman"/>
          <w:color w:val="000000"/>
          <w:sz w:val="20"/>
          <w:szCs w:val="20"/>
          <w:shd w:val="clear" w:color="auto" w:fill="FFFFFF"/>
          <w:lang w:eastAsia="en-GB"/>
        </w:rPr>
        <w:t xml:space="preserve"> piekļuvi šai informācijai. Bāriņtiesu lietu reģistros, kuru izveidi paredz noteikumu Nr.1037 III nodaļa,</w:t>
      </w:r>
      <w:r w:rsidRPr="006B1EAE">
        <w:rPr>
          <w:rFonts w:eastAsia="Times New Roman"/>
          <w:color w:val="000000"/>
          <w:sz w:val="20"/>
          <w:szCs w:val="20"/>
          <w:lang w:eastAsia="en-GB"/>
        </w:rPr>
        <w:t>  </w:t>
      </w:r>
      <w:r w:rsidRPr="006B1EAE">
        <w:rPr>
          <w:rFonts w:eastAsia="Times New Roman"/>
          <w:color w:val="000000"/>
          <w:sz w:val="20"/>
          <w:szCs w:val="20"/>
          <w:shd w:val="clear" w:color="auto" w:fill="FFFFFF"/>
          <w:lang w:eastAsia="en-GB"/>
        </w:rPr>
        <w:t>ietilpst ne tikai reģistri, kuros ietverta informācija par nepilngadīgām personām, bet arī reģistri par pilngadīgām personām, kurām ir ierobežota rīcībspēja un iecelts aizgādnis (noteikumu Nr.1037 17.5.apakšpunkts un 22.punkts).</w:t>
      </w:r>
    </w:p>
    <w:p w:rsidR="001728F7" w:rsidRPr="006B1EAE" w:rsidRDefault="001728F7" w:rsidP="001728F7">
      <w:pPr>
        <w:jc w:val="both"/>
        <w:rPr>
          <w:rFonts w:eastAsia="Times New Roman"/>
          <w:sz w:val="20"/>
          <w:szCs w:val="20"/>
          <w:lang w:eastAsia="en-GB"/>
        </w:rPr>
      </w:pPr>
    </w:p>
    <w:p w:rsidR="001728F7" w:rsidRPr="006B1EAE" w:rsidRDefault="001728F7" w:rsidP="001728F7">
      <w:pPr>
        <w:tabs>
          <w:tab w:val="left" w:pos="6740"/>
        </w:tabs>
        <w:jc w:val="both"/>
        <w:rPr>
          <w:iCs/>
          <w:color w:val="000000" w:themeColor="text1"/>
          <w:sz w:val="20"/>
          <w:szCs w:val="20"/>
        </w:rPr>
      </w:pPr>
      <w:r w:rsidRPr="006B1EAE">
        <w:rPr>
          <w:iCs/>
          <w:color w:val="000000" w:themeColor="text1"/>
          <w:sz w:val="20"/>
          <w:szCs w:val="20"/>
        </w:rPr>
        <w:t>Tas nozīmē, ka jau aptuveni 10 gadus zināmās problēmas risinājumu plāno atlikt vēl uz 6 gadiem, kopumā risinot jautājumu vairāk nekā 16 gadus.  Ņemot vērā to, ka praktiski, neatkarīgi no konkrētās elektroniskās sistēmas izstrādes, bāriņtiesām ir jāsadarbojas,</w:t>
      </w:r>
      <w:proofErr w:type="gramStart"/>
      <w:r w:rsidRPr="006B1EAE">
        <w:rPr>
          <w:iCs/>
          <w:color w:val="000000" w:themeColor="text1"/>
          <w:sz w:val="20"/>
          <w:szCs w:val="20"/>
        </w:rPr>
        <w:t xml:space="preserve">  </w:t>
      </w:r>
      <w:proofErr w:type="gramEnd"/>
      <w:r w:rsidRPr="006B1EAE">
        <w:rPr>
          <w:iCs/>
          <w:color w:val="000000" w:themeColor="text1"/>
          <w:sz w:val="20"/>
          <w:szCs w:val="20"/>
        </w:rPr>
        <w:t>priekšlikums paredz papildināt spēkā esošo likumu ar skaidru uzdevumu bāriņtiesām īstenot sadarbību gan savu funkciju izpildei, gan informācijas pieejamības nodrošināšanai.</w:t>
      </w:r>
    </w:p>
    <w:p w:rsidR="001728F7" w:rsidRPr="006B1EAE" w:rsidRDefault="001728F7" w:rsidP="001728F7">
      <w:pPr>
        <w:tabs>
          <w:tab w:val="left" w:pos="6740"/>
        </w:tabs>
        <w:jc w:val="both"/>
        <w:rPr>
          <w:iCs/>
          <w:color w:val="000000" w:themeColor="text1"/>
          <w:sz w:val="20"/>
          <w:szCs w:val="20"/>
        </w:rPr>
      </w:pPr>
      <w:r w:rsidRPr="006B1EAE">
        <w:rPr>
          <w:iCs/>
          <w:color w:val="000000" w:themeColor="text1"/>
          <w:sz w:val="20"/>
          <w:szCs w:val="20"/>
        </w:rPr>
        <w:t xml:space="preserve">Šobrīd esošā regulējuma nepilnīgums nozīmē, piemēram, situāciju, ka par vienu bērnu informācija var būt pieejama fragmentēti vairākās bāriņtiesās (lieta atvērta viena pilsētā, dzīves vieta ir citā pilsētā, mātes vai tēva lietas skatījās vēl divas citas bāriņtiesas). Nenodrošinot informācijas apkopošanu, netiek ievērotas arī bērna tiesības uzzināt informāciju par viņu pašu vienā vietā. </w:t>
      </w:r>
    </w:p>
    <w:p w:rsidR="001728F7" w:rsidRPr="006B1EAE" w:rsidRDefault="001728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7"/>
    <w:rsid w:val="001728F7"/>
    <w:rsid w:val="005D4711"/>
    <w:rsid w:val="006B1EAE"/>
    <w:rsid w:val="007E5094"/>
    <w:rsid w:val="00861213"/>
    <w:rsid w:val="00E33BBF"/>
    <w:rsid w:val="00F54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FB7AA-03D4-467D-8D37-33F14FD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D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541D7"/>
    <w:rPr>
      <w:i/>
      <w:iCs/>
    </w:rPr>
  </w:style>
  <w:style w:type="paragraph" w:styleId="Footer">
    <w:name w:val="footer"/>
    <w:basedOn w:val="Normal"/>
    <w:link w:val="FooterChar"/>
    <w:rsid w:val="00F541D7"/>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F541D7"/>
    <w:rPr>
      <w:rFonts w:eastAsia="Times New Roman" w:cs="Times New Roman"/>
      <w:szCs w:val="24"/>
      <w:lang w:val="en-GB"/>
    </w:rPr>
  </w:style>
  <w:style w:type="character" w:styleId="PageNumber">
    <w:name w:val="page number"/>
    <w:rsid w:val="00F541D7"/>
  </w:style>
  <w:style w:type="paragraph" w:customStyle="1" w:styleId="tv213tvp">
    <w:name w:val="tv213 tvp"/>
    <w:basedOn w:val="Normal"/>
    <w:rsid w:val="00F541D7"/>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F541D7"/>
    <w:pPr>
      <w:spacing w:before="100" w:beforeAutospacing="1" w:after="100" w:afterAutospacing="1"/>
    </w:pPr>
    <w:rPr>
      <w:rFonts w:eastAsia="Times New Roman"/>
      <w:szCs w:val="24"/>
      <w:lang w:eastAsia="lv-LV"/>
    </w:rPr>
  </w:style>
  <w:style w:type="paragraph" w:customStyle="1" w:styleId="tv213">
    <w:name w:val="tv213"/>
    <w:basedOn w:val="Normal"/>
    <w:rsid w:val="00F541D7"/>
    <w:pPr>
      <w:spacing w:before="100" w:beforeAutospacing="1" w:after="100" w:afterAutospacing="1"/>
    </w:pPr>
    <w:rPr>
      <w:rFonts w:eastAsia="Times New Roman"/>
      <w:szCs w:val="24"/>
      <w:lang w:eastAsia="lv-LV"/>
    </w:rPr>
  </w:style>
  <w:style w:type="paragraph" w:styleId="Title">
    <w:name w:val="Title"/>
    <w:basedOn w:val="Normal"/>
    <w:link w:val="TitleChar"/>
    <w:qFormat/>
    <w:rsid w:val="00F541D7"/>
    <w:pPr>
      <w:jc w:val="center"/>
    </w:pPr>
    <w:rPr>
      <w:rFonts w:eastAsia="Times New Roman"/>
      <w:b/>
      <w:szCs w:val="20"/>
    </w:rPr>
  </w:style>
  <w:style w:type="character" w:customStyle="1" w:styleId="TitleChar">
    <w:name w:val="Title Char"/>
    <w:basedOn w:val="DefaultParagraphFont"/>
    <w:link w:val="Title"/>
    <w:rsid w:val="00F541D7"/>
    <w:rPr>
      <w:rFonts w:eastAsia="Times New Roman" w:cs="Times New Roman"/>
      <w:b/>
      <w:szCs w:val="20"/>
    </w:rPr>
  </w:style>
  <w:style w:type="paragraph" w:styleId="FootnoteText">
    <w:name w:val="footnote text"/>
    <w:basedOn w:val="Normal"/>
    <w:link w:val="FootnoteTextChar"/>
    <w:uiPriority w:val="99"/>
    <w:semiHidden/>
    <w:unhideWhenUsed/>
    <w:rsid w:val="001728F7"/>
    <w:rPr>
      <w:sz w:val="20"/>
      <w:szCs w:val="20"/>
    </w:rPr>
  </w:style>
  <w:style w:type="character" w:customStyle="1" w:styleId="FootnoteTextChar">
    <w:name w:val="Footnote Text Char"/>
    <w:basedOn w:val="DefaultParagraphFont"/>
    <w:link w:val="FootnoteText"/>
    <w:uiPriority w:val="99"/>
    <w:semiHidden/>
    <w:rsid w:val="001728F7"/>
    <w:rPr>
      <w:rFonts w:eastAsia="Calibri" w:cs="Times New Roman"/>
      <w:sz w:val="20"/>
      <w:szCs w:val="20"/>
    </w:rPr>
  </w:style>
  <w:style w:type="character" w:styleId="FootnoteReference">
    <w:name w:val="footnote reference"/>
    <w:basedOn w:val="DefaultParagraphFont"/>
    <w:uiPriority w:val="99"/>
    <w:semiHidden/>
    <w:unhideWhenUsed/>
    <w:rsid w:val="001728F7"/>
    <w:rPr>
      <w:vertAlign w:val="superscript"/>
    </w:rPr>
  </w:style>
  <w:style w:type="paragraph" w:styleId="BalloonText">
    <w:name w:val="Balloon Text"/>
    <w:basedOn w:val="Normal"/>
    <w:link w:val="BalloonTextChar"/>
    <w:uiPriority w:val="99"/>
    <w:semiHidden/>
    <w:unhideWhenUsed/>
    <w:rsid w:val="006B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10F0-9833-444D-9708-9EE364B9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cp:lastPrinted>2019-11-02T12:06:00Z</cp:lastPrinted>
  <dcterms:created xsi:type="dcterms:W3CDTF">2019-11-02T12:06:00Z</dcterms:created>
  <dcterms:modified xsi:type="dcterms:W3CDTF">2019-11-04T09:23:00Z</dcterms:modified>
</cp:coreProperties>
</file>