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r w:rsidR="00A71902">
        <w:rPr>
          <w:sz w:val="26"/>
          <w:szCs w:val="26"/>
        </w:rPr>
        <w:tab/>
      </w:r>
      <w:r w:rsidR="00A71902">
        <w:rPr>
          <w:sz w:val="26"/>
          <w:szCs w:val="26"/>
        </w:rPr>
        <w:tab/>
      </w:r>
    </w:p>
    <w:p w:rsidR="00270C5B" w:rsidRDefault="00270C5B" w:rsidP="00270C5B">
      <w:pPr>
        <w:jc w:val="right"/>
        <w:rPr>
          <w:sz w:val="26"/>
          <w:szCs w:val="26"/>
        </w:rPr>
      </w:pPr>
      <w:r w:rsidRPr="00F82F3A">
        <w:rPr>
          <w:sz w:val="26"/>
          <w:szCs w:val="26"/>
        </w:rPr>
        <w:t>Likumprojekts (steidzams) otrajam lasījumam</w:t>
      </w:r>
    </w:p>
    <w:p w:rsidR="00E9406A" w:rsidRDefault="00E9406A" w:rsidP="00576E16">
      <w:pPr>
        <w:jc w:val="center"/>
        <w:rPr>
          <w:rStyle w:val="Emphasis"/>
          <w:b/>
          <w:i w:val="0"/>
          <w:sz w:val="26"/>
          <w:szCs w:val="26"/>
        </w:rPr>
      </w:pPr>
    </w:p>
    <w:p w:rsidR="00F009FF" w:rsidRPr="00F009FF" w:rsidRDefault="00F009FF" w:rsidP="00F009FF">
      <w:pPr>
        <w:jc w:val="center"/>
        <w:rPr>
          <w:rFonts w:eastAsia="Times New Roman"/>
          <w:b/>
          <w:sz w:val="28"/>
          <w:szCs w:val="28"/>
          <w:lang w:eastAsia="lv-LV"/>
        </w:rPr>
      </w:pPr>
      <w:r w:rsidRPr="00F009FF">
        <w:rPr>
          <w:rFonts w:eastAsia="Times New Roman"/>
          <w:b/>
          <w:sz w:val="28"/>
          <w:szCs w:val="28"/>
          <w:lang w:eastAsia="lv-LV"/>
        </w:rPr>
        <w:t>Grozījumi Zemes pārvaldības likumā</w:t>
      </w:r>
    </w:p>
    <w:p w:rsidR="00576E16" w:rsidRDefault="00F009FF" w:rsidP="00F009F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(Nr.</w:t>
      </w:r>
      <w:r w:rsidR="00BB5737">
        <w:rPr>
          <w:rStyle w:val="Emphasis"/>
          <w:b/>
          <w:sz w:val="26"/>
          <w:szCs w:val="26"/>
        </w:rPr>
        <w:t>43</w:t>
      </w:r>
      <w:r>
        <w:rPr>
          <w:rStyle w:val="Emphasis"/>
          <w:b/>
          <w:sz w:val="26"/>
          <w:szCs w:val="26"/>
        </w:rPr>
        <w:t>0</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3645"/>
        <w:gridCol w:w="729"/>
        <w:gridCol w:w="3645"/>
        <w:gridCol w:w="1823"/>
        <w:gridCol w:w="1823"/>
      </w:tblGrid>
      <w:tr w:rsidR="00270C5B" w:rsidRPr="001B3F41" w:rsidTr="00270C5B">
        <w:tc>
          <w:tcPr>
            <w:tcW w:w="3644" w:type="dxa"/>
            <w:shd w:val="clear" w:color="auto" w:fill="auto"/>
          </w:tcPr>
          <w:p w:rsidR="00270C5B" w:rsidRPr="001634F0" w:rsidRDefault="00270C5B" w:rsidP="0096593E">
            <w:pPr>
              <w:jc w:val="center"/>
              <w:rPr>
                <w:b/>
                <w:bCs/>
                <w:iCs/>
              </w:rPr>
            </w:pPr>
            <w:r>
              <w:rPr>
                <w:b/>
              </w:rPr>
              <w:t>Spēkā esošā redakcija</w:t>
            </w:r>
          </w:p>
        </w:tc>
        <w:tc>
          <w:tcPr>
            <w:tcW w:w="3645" w:type="dxa"/>
            <w:shd w:val="clear" w:color="auto" w:fill="auto"/>
          </w:tcPr>
          <w:p w:rsidR="00270C5B" w:rsidRPr="001B3F41" w:rsidRDefault="00270C5B" w:rsidP="005012EB">
            <w:pPr>
              <w:jc w:val="center"/>
              <w:rPr>
                <w:b/>
              </w:rPr>
            </w:pPr>
            <w:r>
              <w:rPr>
                <w:b/>
              </w:rPr>
              <w:t>Piermā lasījuma redakcija</w:t>
            </w:r>
          </w:p>
        </w:tc>
        <w:tc>
          <w:tcPr>
            <w:tcW w:w="729" w:type="dxa"/>
          </w:tcPr>
          <w:p w:rsidR="00270C5B" w:rsidRPr="00270C5B" w:rsidRDefault="00270C5B" w:rsidP="00270C5B">
            <w:pPr>
              <w:jc w:val="center"/>
            </w:pPr>
            <w:r w:rsidRPr="00270C5B">
              <w:t>Nr.</w:t>
            </w:r>
          </w:p>
        </w:tc>
        <w:tc>
          <w:tcPr>
            <w:tcW w:w="3645" w:type="dxa"/>
          </w:tcPr>
          <w:p w:rsidR="00270C5B" w:rsidRDefault="00270C5B" w:rsidP="005012EB">
            <w:pPr>
              <w:jc w:val="center"/>
              <w:rPr>
                <w:b/>
              </w:rPr>
            </w:pPr>
            <w:r>
              <w:rPr>
                <w:b/>
              </w:rPr>
              <w:t>Priekšlikumi</w:t>
            </w:r>
          </w:p>
          <w:p w:rsidR="00270C5B" w:rsidRPr="001B3F41" w:rsidRDefault="00270C5B" w:rsidP="005012EB">
            <w:pPr>
              <w:jc w:val="center"/>
              <w:rPr>
                <w:b/>
              </w:rPr>
            </w:pPr>
            <w:r>
              <w:rPr>
                <w:b/>
              </w:rPr>
              <w:t>(2)</w:t>
            </w:r>
          </w:p>
        </w:tc>
        <w:tc>
          <w:tcPr>
            <w:tcW w:w="1823" w:type="dxa"/>
          </w:tcPr>
          <w:p w:rsidR="00270C5B" w:rsidRPr="001B3F41" w:rsidRDefault="00270C5B" w:rsidP="005012EB">
            <w:pPr>
              <w:jc w:val="center"/>
              <w:rPr>
                <w:b/>
              </w:rPr>
            </w:pPr>
            <w:r>
              <w:rPr>
                <w:b/>
              </w:rPr>
              <w:t>Ministru kabineta atzinums</w:t>
            </w:r>
          </w:p>
        </w:tc>
        <w:tc>
          <w:tcPr>
            <w:tcW w:w="1823" w:type="dxa"/>
          </w:tcPr>
          <w:p w:rsidR="00270C5B" w:rsidRPr="001B3F41" w:rsidRDefault="00270C5B" w:rsidP="005012EB">
            <w:pPr>
              <w:jc w:val="center"/>
              <w:rPr>
                <w:b/>
              </w:rPr>
            </w:pPr>
            <w:r>
              <w:rPr>
                <w:b/>
              </w:rPr>
              <w:t>Komisijas atzinums</w:t>
            </w:r>
          </w:p>
        </w:tc>
      </w:tr>
      <w:tr w:rsidR="00270C5B" w:rsidRPr="00D13DFA" w:rsidTr="00270C5B">
        <w:tc>
          <w:tcPr>
            <w:tcW w:w="3644" w:type="dxa"/>
            <w:shd w:val="clear" w:color="auto" w:fill="auto"/>
          </w:tcPr>
          <w:p w:rsidR="00270C5B" w:rsidRPr="00D13DFA" w:rsidRDefault="00270C5B" w:rsidP="00D13DFA">
            <w:pPr>
              <w:ind w:firstLine="567"/>
              <w:jc w:val="both"/>
              <w:rPr>
                <w:sz w:val="22"/>
              </w:rPr>
            </w:pPr>
          </w:p>
        </w:tc>
        <w:tc>
          <w:tcPr>
            <w:tcW w:w="3645" w:type="dxa"/>
            <w:shd w:val="clear" w:color="auto" w:fill="auto"/>
          </w:tcPr>
          <w:p w:rsidR="00270C5B" w:rsidRPr="00D13DFA" w:rsidRDefault="00270C5B" w:rsidP="00D13DFA">
            <w:pPr>
              <w:ind w:firstLine="567"/>
              <w:jc w:val="both"/>
              <w:rPr>
                <w:rFonts w:eastAsia="Times New Roman"/>
                <w:iCs/>
                <w:color w:val="000000"/>
                <w:sz w:val="22"/>
                <w:lang w:eastAsia="lv-LV"/>
              </w:rPr>
            </w:pPr>
            <w:r w:rsidRPr="00D13DFA">
              <w:rPr>
                <w:rFonts w:eastAsia="Times New Roman"/>
                <w:sz w:val="22"/>
                <w:lang w:eastAsia="lv-LV"/>
              </w:rPr>
              <w:t>Izdarīt Zemes pārvaldības likumā (Latvijas Vēstnesis, 2014, 228. nr.; 2016, 189. nr.; 2017, 242. nr.; 2018, 201. nr.; 2019, 57. nr.) šādus grozījumus:</w:t>
            </w:r>
          </w:p>
        </w:tc>
        <w:tc>
          <w:tcPr>
            <w:tcW w:w="729" w:type="dxa"/>
          </w:tcPr>
          <w:p w:rsidR="00270C5B" w:rsidRPr="00270C5B" w:rsidRDefault="00270C5B" w:rsidP="00270C5B">
            <w:pPr>
              <w:jc w:val="both"/>
              <w:rPr>
                <w:rFonts w:eastAsia="Times New Roman"/>
                <w:sz w:val="22"/>
                <w:lang w:eastAsia="lv-LV"/>
              </w:rPr>
            </w:pPr>
          </w:p>
        </w:tc>
        <w:tc>
          <w:tcPr>
            <w:tcW w:w="3645" w:type="dxa"/>
          </w:tcPr>
          <w:p w:rsidR="00270C5B" w:rsidRPr="00D13DFA" w:rsidRDefault="00270C5B" w:rsidP="00D13DFA">
            <w:pPr>
              <w:ind w:firstLine="567"/>
              <w:jc w:val="both"/>
              <w:rPr>
                <w:rFonts w:eastAsia="Times New Roman"/>
                <w:sz w:val="22"/>
                <w:lang w:eastAsia="lv-LV"/>
              </w:rPr>
            </w:pPr>
          </w:p>
        </w:tc>
        <w:tc>
          <w:tcPr>
            <w:tcW w:w="1823" w:type="dxa"/>
          </w:tcPr>
          <w:p w:rsidR="00270C5B" w:rsidRPr="00D13DFA" w:rsidRDefault="00270C5B" w:rsidP="00D13DFA">
            <w:pPr>
              <w:ind w:firstLine="567"/>
              <w:jc w:val="both"/>
              <w:rPr>
                <w:rFonts w:eastAsia="Times New Roman"/>
                <w:sz w:val="22"/>
                <w:lang w:eastAsia="lv-LV"/>
              </w:rPr>
            </w:pPr>
          </w:p>
        </w:tc>
        <w:tc>
          <w:tcPr>
            <w:tcW w:w="1823" w:type="dxa"/>
          </w:tcPr>
          <w:p w:rsidR="00270C5B" w:rsidRPr="00D13DFA" w:rsidRDefault="00270C5B" w:rsidP="00D13DFA">
            <w:pPr>
              <w:ind w:firstLine="567"/>
              <w:jc w:val="both"/>
              <w:rPr>
                <w:rFonts w:eastAsia="Times New Roman"/>
                <w:sz w:val="22"/>
                <w:lang w:eastAsia="lv-LV"/>
              </w:rPr>
            </w:pPr>
          </w:p>
        </w:tc>
      </w:tr>
      <w:tr w:rsidR="00270C5B" w:rsidRPr="00D13DFA" w:rsidTr="00270C5B">
        <w:tc>
          <w:tcPr>
            <w:tcW w:w="3644" w:type="dxa"/>
            <w:shd w:val="clear" w:color="auto" w:fill="auto"/>
          </w:tcPr>
          <w:p w:rsidR="00270C5B" w:rsidRPr="00D13DFA" w:rsidRDefault="00270C5B" w:rsidP="00D13DFA">
            <w:pPr>
              <w:ind w:firstLine="567"/>
              <w:jc w:val="both"/>
              <w:rPr>
                <w:b/>
                <w:sz w:val="22"/>
              </w:rPr>
            </w:pPr>
            <w:r w:rsidRPr="00D13DFA">
              <w:rPr>
                <w:b/>
                <w:sz w:val="22"/>
              </w:rPr>
              <w:t>Pārejas noteikumi</w:t>
            </w:r>
            <w:bookmarkStart w:id="0" w:name="pn-535215"/>
            <w:bookmarkEnd w:id="0"/>
          </w:p>
          <w:p w:rsidR="00270C5B" w:rsidRPr="00D13DFA" w:rsidRDefault="00270C5B" w:rsidP="00D13DFA">
            <w:pPr>
              <w:ind w:firstLine="567"/>
              <w:jc w:val="both"/>
              <w:rPr>
                <w:sz w:val="22"/>
              </w:rPr>
            </w:pPr>
            <w:bookmarkStart w:id="1" w:name="pn1"/>
            <w:bookmarkStart w:id="2" w:name="p-535216"/>
            <w:bookmarkStart w:id="3" w:name="pn4"/>
            <w:bookmarkStart w:id="4" w:name="p-640302"/>
            <w:bookmarkEnd w:id="1"/>
            <w:bookmarkEnd w:id="2"/>
            <w:bookmarkEnd w:id="3"/>
            <w:bookmarkEnd w:id="4"/>
            <w:r w:rsidRPr="00D13DFA">
              <w:rPr>
                <w:sz w:val="22"/>
              </w:rPr>
              <w:t>4. Šā likuma III nodaļa stājas spēkā 2020.gada 1.janvārī.</w:t>
            </w:r>
          </w:p>
          <w:p w:rsidR="00270C5B" w:rsidRPr="00D13DFA" w:rsidRDefault="00270C5B" w:rsidP="00D13DFA">
            <w:pPr>
              <w:ind w:firstLine="567"/>
              <w:jc w:val="both"/>
              <w:rPr>
                <w:sz w:val="22"/>
              </w:rPr>
            </w:pPr>
          </w:p>
        </w:tc>
        <w:tc>
          <w:tcPr>
            <w:tcW w:w="3645" w:type="dxa"/>
            <w:shd w:val="clear" w:color="auto" w:fill="auto"/>
          </w:tcPr>
          <w:p w:rsidR="00270C5B" w:rsidRPr="00D13DFA" w:rsidRDefault="00270C5B" w:rsidP="00D13DFA">
            <w:pPr>
              <w:ind w:firstLine="567"/>
              <w:jc w:val="both"/>
              <w:rPr>
                <w:rFonts w:eastAsia="Times New Roman"/>
                <w:sz w:val="22"/>
                <w:lang w:eastAsia="lv-LV"/>
              </w:rPr>
            </w:pPr>
            <w:r w:rsidRPr="00D13DFA">
              <w:rPr>
                <w:rFonts w:eastAsia="Times New Roman"/>
                <w:sz w:val="22"/>
                <w:lang w:eastAsia="lv-LV"/>
              </w:rPr>
              <w:t xml:space="preserve">1. Aizstāt pārejas noteikumu 4. punktā skaitli un vārdu </w:t>
            </w:r>
            <w:r w:rsidRPr="00D13DFA">
              <w:rPr>
                <w:rFonts w:eastAsia="Times New Roman"/>
                <w:color w:val="000000"/>
                <w:sz w:val="22"/>
                <w:lang w:eastAsia="lv-LV"/>
              </w:rPr>
              <w:t>"2020. gada" ar skaitli un vārdu "</w:t>
            </w:r>
            <w:r w:rsidRPr="00270C5B">
              <w:rPr>
                <w:rFonts w:eastAsia="Times New Roman"/>
                <w:color w:val="000000"/>
                <w:sz w:val="22"/>
                <w:u w:val="single"/>
                <w:lang w:eastAsia="lv-LV"/>
              </w:rPr>
              <w:t>2023. gada</w:t>
            </w:r>
            <w:r w:rsidRPr="00D13DFA">
              <w:rPr>
                <w:rFonts w:eastAsia="Times New Roman"/>
                <w:sz w:val="22"/>
                <w:lang w:eastAsia="lv-LV"/>
              </w:rPr>
              <w:t>".</w:t>
            </w:r>
          </w:p>
          <w:p w:rsidR="00270C5B" w:rsidRPr="00D13DFA" w:rsidRDefault="00270C5B" w:rsidP="00D13DFA">
            <w:pPr>
              <w:ind w:firstLine="567"/>
              <w:jc w:val="both"/>
              <w:rPr>
                <w:rFonts w:eastAsia="Times New Roman"/>
                <w:iCs/>
                <w:color w:val="000000"/>
                <w:sz w:val="22"/>
                <w:lang w:eastAsia="lv-LV"/>
              </w:rPr>
            </w:pPr>
          </w:p>
        </w:tc>
        <w:tc>
          <w:tcPr>
            <w:tcW w:w="729" w:type="dxa"/>
          </w:tcPr>
          <w:p w:rsidR="00270C5B" w:rsidRPr="00270C5B" w:rsidRDefault="00270C5B" w:rsidP="00270C5B">
            <w:pPr>
              <w:jc w:val="center"/>
              <w:rPr>
                <w:rFonts w:eastAsia="Times New Roman"/>
                <w:b/>
                <w:sz w:val="22"/>
                <w:lang w:eastAsia="lv-LV"/>
              </w:rPr>
            </w:pPr>
            <w:r w:rsidRPr="00270C5B">
              <w:rPr>
                <w:rFonts w:eastAsia="Times New Roman"/>
                <w:b/>
                <w:sz w:val="22"/>
                <w:lang w:eastAsia="lv-LV"/>
              </w:rPr>
              <w:t>1</w:t>
            </w:r>
          </w:p>
        </w:tc>
        <w:tc>
          <w:tcPr>
            <w:tcW w:w="3645" w:type="dxa"/>
          </w:tcPr>
          <w:p w:rsidR="00270C5B" w:rsidRPr="00270C5B" w:rsidRDefault="00270C5B" w:rsidP="00270C5B">
            <w:pPr>
              <w:ind w:firstLine="567"/>
              <w:jc w:val="both"/>
              <w:rPr>
                <w:rFonts w:eastAsia="Times New Roman"/>
                <w:b/>
                <w:sz w:val="22"/>
                <w:u w:val="single"/>
                <w:lang w:eastAsia="lv-LV"/>
              </w:rPr>
            </w:pPr>
            <w:r w:rsidRPr="00270C5B">
              <w:rPr>
                <w:rFonts w:eastAsia="Times New Roman"/>
                <w:b/>
                <w:sz w:val="22"/>
                <w:u w:val="single"/>
                <w:lang w:eastAsia="lv-LV"/>
              </w:rPr>
              <w:t>Zaļo un Zemnieku savienības frakcija</w:t>
            </w:r>
          </w:p>
          <w:p w:rsidR="00270C5B" w:rsidRPr="00D13DFA" w:rsidRDefault="00270C5B" w:rsidP="00D13DFA">
            <w:pPr>
              <w:ind w:firstLine="567"/>
              <w:jc w:val="both"/>
              <w:rPr>
                <w:rFonts w:eastAsia="Times New Roman"/>
                <w:sz w:val="22"/>
                <w:lang w:eastAsia="lv-LV"/>
              </w:rPr>
            </w:pPr>
            <w:r w:rsidRPr="00270C5B">
              <w:rPr>
                <w:rFonts w:eastAsia="Times New Roman"/>
                <w:sz w:val="22"/>
                <w:lang w:eastAsia="lv-LV"/>
              </w:rPr>
              <w:t>Likumprojekta 1.pantā skaitli un vārdu “2023.gadā” aizstāt ar skaitli un vārdu “2021.gada”.</w:t>
            </w:r>
          </w:p>
        </w:tc>
        <w:tc>
          <w:tcPr>
            <w:tcW w:w="1823" w:type="dxa"/>
          </w:tcPr>
          <w:p w:rsidR="00270C5B" w:rsidRPr="00D13DFA" w:rsidRDefault="00270C5B" w:rsidP="00D13DFA">
            <w:pPr>
              <w:ind w:firstLine="567"/>
              <w:jc w:val="both"/>
              <w:rPr>
                <w:rFonts w:eastAsia="Times New Roman"/>
                <w:sz w:val="22"/>
                <w:lang w:eastAsia="lv-LV"/>
              </w:rPr>
            </w:pPr>
          </w:p>
        </w:tc>
        <w:tc>
          <w:tcPr>
            <w:tcW w:w="1823" w:type="dxa"/>
          </w:tcPr>
          <w:p w:rsidR="00270C5B" w:rsidRPr="00D13DFA" w:rsidRDefault="00270C5B" w:rsidP="00D13DFA">
            <w:pPr>
              <w:ind w:firstLine="567"/>
              <w:jc w:val="both"/>
              <w:rPr>
                <w:rFonts w:eastAsia="Times New Roman"/>
                <w:sz w:val="22"/>
                <w:lang w:eastAsia="lv-LV"/>
              </w:rPr>
            </w:pPr>
          </w:p>
        </w:tc>
      </w:tr>
      <w:tr w:rsidR="00270C5B" w:rsidRPr="00D13DFA" w:rsidTr="00270C5B">
        <w:tc>
          <w:tcPr>
            <w:tcW w:w="3644" w:type="dxa"/>
            <w:shd w:val="clear" w:color="auto" w:fill="auto"/>
          </w:tcPr>
          <w:p w:rsidR="00270C5B" w:rsidRPr="00D13DFA" w:rsidRDefault="00270C5B" w:rsidP="00D13DFA">
            <w:pPr>
              <w:ind w:firstLine="567"/>
              <w:jc w:val="both"/>
              <w:rPr>
                <w:sz w:val="22"/>
              </w:rPr>
            </w:pPr>
            <w:r w:rsidRPr="00D13DFA">
              <w:rPr>
                <w:sz w:val="22"/>
              </w:rPr>
              <w:t>5. Ministru kabinets:</w:t>
            </w:r>
          </w:p>
          <w:p w:rsidR="00270C5B" w:rsidRPr="00D13DFA" w:rsidRDefault="00270C5B" w:rsidP="00D13DFA">
            <w:pPr>
              <w:ind w:firstLine="567"/>
              <w:jc w:val="both"/>
              <w:rPr>
                <w:sz w:val="22"/>
              </w:rPr>
            </w:pPr>
            <w:r w:rsidRPr="00D13DFA">
              <w:rPr>
                <w:sz w:val="22"/>
              </w:rPr>
              <w:t>5) līdz 2019. gada 31. decembrim izdod šā likuma 13. panta pirmās daļas 4. punktā minētos noteikumus;</w:t>
            </w:r>
          </w:p>
          <w:p w:rsidR="00270C5B" w:rsidRPr="00D13DFA" w:rsidRDefault="00270C5B" w:rsidP="00D13DFA">
            <w:pPr>
              <w:ind w:firstLine="567"/>
              <w:jc w:val="both"/>
              <w:rPr>
                <w:sz w:val="22"/>
              </w:rPr>
            </w:pPr>
          </w:p>
        </w:tc>
        <w:tc>
          <w:tcPr>
            <w:tcW w:w="3645" w:type="dxa"/>
            <w:shd w:val="clear" w:color="auto" w:fill="auto"/>
          </w:tcPr>
          <w:p w:rsidR="00270C5B" w:rsidRPr="00D13DFA" w:rsidRDefault="00270C5B" w:rsidP="00D13DFA">
            <w:pPr>
              <w:ind w:firstLine="567"/>
              <w:jc w:val="both"/>
              <w:rPr>
                <w:rFonts w:eastAsia="Times New Roman"/>
                <w:iCs/>
                <w:color w:val="000000"/>
                <w:sz w:val="22"/>
                <w:lang w:eastAsia="lv-LV"/>
              </w:rPr>
            </w:pPr>
            <w:r w:rsidRPr="00D13DFA">
              <w:rPr>
                <w:rFonts w:eastAsia="Times New Roman"/>
                <w:color w:val="000000"/>
                <w:sz w:val="22"/>
                <w:lang w:eastAsia="lv-LV"/>
              </w:rPr>
              <w:t>2. Aizstāt pārejas noteikumu 5. punkta 5. apakšpunktā skaitļus un vārdus "2019. gada 31. decembrim" ar skaitļiem un vārdiem "</w:t>
            </w:r>
            <w:r w:rsidRPr="00270C5B">
              <w:rPr>
                <w:rFonts w:eastAsia="Times New Roman"/>
                <w:color w:val="000000"/>
                <w:sz w:val="22"/>
                <w:u w:val="single"/>
                <w:lang w:eastAsia="lv-LV"/>
              </w:rPr>
              <w:t>2022. gada 1. jūnijam"</w:t>
            </w:r>
            <w:r w:rsidRPr="00D13DFA">
              <w:rPr>
                <w:rFonts w:eastAsia="Times New Roman"/>
                <w:color w:val="000000"/>
                <w:sz w:val="22"/>
                <w:lang w:eastAsia="lv-LV"/>
              </w:rPr>
              <w:t>.</w:t>
            </w:r>
          </w:p>
        </w:tc>
        <w:tc>
          <w:tcPr>
            <w:tcW w:w="729" w:type="dxa"/>
          </w:tcPr>
          <w:p w:rsidR="00270C5B" w:rsidRPr="00270C5B" w:rsidRDefault="00270C5B" w:rsidP="00270C5B">
            <w:pPr>
              <w:jc w:val="center"/>
              <w:rPr>
                <w:rFonts w:eastAsia="Times New Roman"/>
                <w:b/>
                <w:color w:val="000000"/>
                <w:sz w:val="22"/>
                <w:lang w:eastAsia="lv-LV"/>
              </w:rPr>
            </w:pPr>
            <w:r w:rsidRPr="00270C5B">
              <w:rPr>
                <w:rFonts w:eastAsia="Times New Roman"/>
                <w:b/>
                <w:color w:val="000000"/>
                <w:sz w:val="22"/>
                <w:lang w:eastAsia="lv-LV"/>
              </w:rPr>
              <w:t>2</w:t>
            </w:r>
          </w:p>
        </w:tc>
        <w:tc>
          <w:tcPr>
            <w:tcW w:w="3645" w:type="dxa"/>
          </w:tcPr>
          <w:p w:rsidR="00270C5B" w:rsidRPr="00270C5B" w:rsidRDefault="00270C5B" w:rsidP="00270C5B">
            <w:pPr>
              <w:ind w:firstLine="567"/>
              <w:jc w:val="both"/>
              <w:rPr>
                <w:rFonts w:eastAsia="Times New Roman"/>
                <w:b/>
                <w:sz w:val="22"/>
                <w:u w:val="single"/>
                <w:lang w:eastAsia="lv-LV"/>
              </w:rPr>
            </w:pPr>
            <w:r w:rsidRPr="00270C5B">
              <w:rPr>
                <w:rFonts w:eastAsia="Times New Roman"/>
                <w:b/>
                <w:sz w:val="22"/>
                <w:u w:val="single"/>
                <w:lang w:eastAsia="lv-LV"/>
              </w:rPr>
              <w:t>Zaļo un Zemnieku savienības frakcija</w:t>
            </w:r>
          </w:p>
          <w:p w:rsidR="00270C5B" w:rsidRPr="00D13DFA" w:rsidRDefault="00270C5B" w:rsidP="00D13DFA">
            <w:pPr>
              <w:ind w:firstLine="567"/>
              <w:jc w:val="both"/>
              <w:rPr>
                <w:rFonts w:eastAsia="Times New Roman"/>
                <w:color w:val="000000"/>
                <w:sz w:val="22"/>
                <w:lang w:eastAsia="lv-LV"/>
              </w:rPr>
            </w:pPr>
            <w:r w:rsidRPr="00270C5B">
              <w:rPr>
                <w:rFonts w:eastAsia="Times New Roman"/>
                <w:color w:val="000000"/>
                <w:sz w:val="22"/>
                <w:lang w:eastAsia="lv-LV"/>
              </w:rPr>
              <w:t>Likumprojekta 2.pantā skaitļus un vārdus “2022.gada 1.jūnijam” aizstāt ar skaitļiem un vārdiem “2020.gada 1.jūnijam</w:t>
            </w:r>
          </w:p>
        </w:tc>
        <w:tc>
          <w:tcPr>
            <w:tcW w:w="1823" w:type="dxa"/>
          </w:tcPr>
          <w:p w:rsidR="00270C5B" w:rsidRPr="00D13DFA" w:rsidRDefault="00270C5B" w:rsidP="00D13DFA">
            <w:pPr>
              <w:ind w:firstLine="567"/>
              <w:jc w:val="both"/>
              <w:rPr>
                <w:rFonts w:eastAsia="Times New Roman"/>
                <w:color w:val="000000"/>
                <w:sz w:val="22"/>
                <w:lang w:eastAsia="lv-LV"/>
              </w:rPr>
            </w:pPr>
          </w:p>
        </w:tc>
        <w:tc>
          <w:tcPr>
            <w:tcW w:w="1823" w:type="dxa"/>
          </w:tcPr>
          <w:p w:rsidR="00270C5B" w:rsidRPr="00D13DFA" w:rsidRDefault="00270C5B" w:rsidP="00D13DFA">
            <w:pPr>
              <w:ind w:firstLine="567"/>
              <w:jc w:val="both"/>
              <w:rPr>
                <w:rFonts w:eastAsia="Times New Roman"/>
                <w:color w:val="000000"/>
                <w:sz w:val="22"/>
                <w:lang w:eastAsia="lv-LV"/>
              </w:rPr>
            </w:pPr>
          </w:p>
        </w:tc>
      </w:tr>
      <w:tr w:rsidR="00270C5B" w:rsidRPr="00D13DFA" w:rsidTr="00270C5B">
        <w:tc>
          <w:tcPr>
            <w:tcW w:w="3644" w:type="dxa"/>
            <w:shd w:val="clear" w:color="auto" w:fill="auto"/>
          </w:tcPr>
          <w:p w:rsidR="00270C5B" w:rsidRPr="00D13DFA" w:rsidRDefault="00270C5B" w:rsidP="00D13DFA">
            <w:pPr>
              <w:ind w:firstLine="567"/>
              <w:jc w:val="both"/>
              <w:rPr>
                <w:sz w:val="22"/>
              </w:rPr>
            </w:pPr>
          </w:p>
        </w:tc>
        <w:tc>
          <w:tcPr>
            <w:tcW w:w="3645" w:type="dxa"/>
            <w:shd w:val="clear" w:color="auto" w:fill="auto"/>
          </w:tcPr>
          <w:p w:rsidR="00270C5B" w:rsidRPr="00D13DFA" w:rsidRDefault="00270C5B" w:rsidP="00270C5B">
            <w:pPr>
              <w:ind w:firstLine="567"/>
              <w:rPr>
                <w:rFonts w:eastAsia="Times New Roman"/>
                <w:iCs/>
                <w:color w:val="000000"/>
                <w:sz w:val="22"/>
                <w:lang w:eastAsia="lv-LV"/>
              </w:rPr>
            </w:pPr>
            <w:r w:rsidRPr="00D13DFA">
              <w:rPr>
                <w:rFonts w:eastAsia="Times New Roman"/>
                <w:sz w:val="22"/>
                <w:lang w:eastAsia="lv-LV"/>
              </w:rPr>
              <w:t>Likums stājas spēkā 2020. gada 1. janvārī.</w:t>
            </w:r>
          </w:p>
        </w:tc>
        <w:tc>
          <w:tcPr>
            <w:tcW w:w="729" w:type="dxa"/>
          </w:tcPr>
          <w:p w:rsidR="00270C5B" w:rsidRPr="00270C5B" w:rsidRDefault="00270C5B" w:rsidP="00270C5B">
            <w:pPr>
              <w:rPr>
                <w:rFonts w:eastAsia="Times New Roman"/>
                <w:sz w:val="22"/>
                <w:lang w:eastAsia="lv-LV"/>
              </w:rPr>
            </w:pPr>
          </w:p>
        </w:tc>
        <w:tc>
          <w:tcPr>
            <w:tcW w:w="3645" w:type="dxa"/>
          </w:tcPr>
          <w:p w:rsidR="00270C5B" w:rsidRPr="00D13DFA" w:rsidRDefault="00270C5B" w:rsidP="00D13DFA">
            <w:pPr>
              <w:ind w:firstLine="567"/>
              <w:rPr>
                <w:rFonts w:eastAsia="Times New Roman"/>
                <w:sz w:val="22"/>
                <w:lang w:eastAsia="lv-LV"/>
              </w:rPr>
            </w:pPr>
          </w:p>
        </w:tc>
        <w:tc>
          <w:tcPr>
            <w:tcW w:w="1823" w:type="dxa"/>
          </w:tcPr>
          <w:p w:rsidR="00270C5B" w:rsidRPr="00D13DFA" w:rsidRDefault="00270C5B" w:rsidP="00D13DFA">
            <w:pPr>
              <w:ind w:firstLine="567"/>
              <w:rPr>
                <w:rFonts w:eastAsia="Times New Roman"/>
                <w:sz w:val="22"/>
                <w:lang w:eastAsia="lv-LV"/>
              </w:rPr>
            </w:pPr>
          </w:p>
        </w:tc>
        <w:tc>
          <w:tcPr>
            <w:tcW w:w="1823" w:type="dxa"/>
          </w:tcPr>
          <w:p w:rsidR="00270C5B" w:rsidRPr="00D13DFA" w:rsidRDefault="00270C5B" w:rsidP="00D13DFA">
            <w:pPr>
              <w:ind w:firstLine="567"/>
              <w:rPr>
                <w:rFonts w:eastAsia="Times New Roman"/>
                <w:sz w:val="22"/>
                <w:lang w:eastAsia="lv-LV"/>
              </w:rPr>
            </w:pPr>
          </w:p>
        </w:tc>
      </w:tr>
    </w:tbl>
    <w:p w:rsidR="00270C5B" w:rsidRPr="00827E62" w:rsidRDefault="00270C5B" w:rsidP="00270C5B">
      <w:pPr>
        <w:rPr>
          <w:sz w:val="22"/>
          <w:u w:val="single"/>
        </w:rPr>
      </w:pPr>
      <w:r w:rsidRPr="00827E62">
        <w:rPr>
          <w:sz w:val="22"/>
          <w:u w:val="single"/>
        </w:rPr>
        <w:t>Priekšlikumu pamatojums:</w:t>
      </w:r>
    </w:p>
    <w:p w:rsidR="00270C5B" w:rsidRPr="00827E62" w:rsidRDefault="00270C5B" w:rsidP="00827E62">
      <w:pPr>
        <w:jc w:val="both"/>
        <w:rPr>
          <w:i/>
          <w:sz w:val="22"/>
        </w:rPr>
      </w:pPr>
      <w:r w:rsidRPr="00827E62">
        <w:rPr>
          <w:i/>
          <w:sz w:val="22"/>
        </w:rPr>
        <w:t>Atbilstoši anotācijā iekļautajai informācijai likumprojekta mērķis ir pagarināt regulējuma ieviešanas termiņu, jo Tieslietu ministrija nevar saskaņot plānoto zemes konsolidācijas kārtību ar 12 organizācijām, kuras 2018.gadā izteica iebildumus par ministrijas izstrādāto koncepciju.</w:t>
      </w:r>
    </w:p>
    <w:p w:rsidR="00270C5B" w:rsidRPr="00827E62" w:rsidRDefault="00270C5B" w:rsidP="00827E62">
      <w:pPr>
        <w:jc w:val="both"/>
        <w:rPr>
          <w:i/>
          <w:sz w:val="22"/>
        </w:rPr>
      </w:pPr>
      <w:r w:rsidRPr="00827E62">
        <w:rPr>
          <w:i/>
          <w:sz w:val="22"/>
        </w:rPr>
        <w:t>Ņemot vērā to, ka Tieslietu ministrija paredz sev papildus trīs gadus izstrādātās koncepcijas saskaņošanai pretēji likumdevēja skaidri dotajam uzdevumam (kas bija zināms iepriekš), termiņš ir precizējams, novēršot situāciju, kad likumdevēja griba netiek pildīta ministrijas politiskās vadības nespējas rezultātā organizēt darbu ministrijā un novirzīt uzdevuma izpildei atbilstošus resursus.</w:t>
      </w:r>
    </w:p>
    <w:p w:rsidR="00270C5B" w:rsidRPr="00827E62" w:rsidRDefault="00270C5B" w:rsidP="00827E62">
      <w:pPr>
        <w:jc w:val="both"/>
        <w:rPr>
          <w:i/>
          <w:sz w:val="22"/>
        </w:rPr>
      </w:pPr>
      <w:r w:rsidRPr="00827E62">
        <w:rPr>
          <w:i/>
          <w:sz w:val="22"/>
        </w:rPr>
        <w:t>Izmaiņas neietekmē vidējā termiņa budžetu, jo atlīdzības fonds un citas izmaksas (ap 87 000 euro gadā) ir viegli atrodam, pārskatot izdevumus ministrijā.</w:t>
      </w:r>
    </w:p>
    <w:p w:rsidR="00A400CF" w:rsidRDefault="00A400CF" w:rsidP="00827E62">
      <w:pPr>
        <w:jc w:val="both"/>
        <w:rPr>
          <w:sz w:val="22"/>
        </w:rPr>
      </w:pPr>
    </w:p>
    <w:p w:rsidR="00D13DFA" w:rsidRPr="006E7A09" w:rsidRDefault="00D13DFA" w:rsidP="00D13DFA">
      <w:pPr>
        <w:rPr>
          <w:sz w:val="18"/>
          <w:szCs w:val="18"/>
        </w:rPr>
      </w:pPr>
    </w:p>
    <w:p w:rsidR="00D13DFA" w:rsidRPr="006E7A09" w:rsidRDefault="00D13DFA" w:rsidP="00D13DFA">
      <w:pPr>
        <w:rPr>
          <w:sz w:val="18"/>
          <w:szCs w:val="18"/>
        </w:rPr>
      </w:pPr>
      <w:bookmarkStart w:id="5" w:name="_GoBack"/>
      <w:bookmarkEnd w:id="5"/>
    </w:p>
    <w:sectPr w:rsidR="00D13DFA" w:rsidRPr="006E7A09"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6B" w:rsidRDefault="00A85C6B">
      <w:r>
        <w:separator/>
      </w:r>
    </w:p>
  </w:endnote>
  <w:endnote w:type="continuationSeparator" w:id="0">
    <w:p w:rsidR="00A85C6B" w:rsidRDefault="00A8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85C6B"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C5B">
      <w:rPr>
        <w:rStyle w:val="PageNumber"/>
        <w:noProof/>
      </w:rPr>
      <w:t>2</w:t>
    </w:r>
    <w:r>
      <w:rPr>
        <w:rStyle w:val="PageNumber"/>
      </w:rPr>
      <w:fldChar w:fldCharType="end"/>
    </w:r>
  </w:p>
  <w:p w:rsidR="00511D34" w:rsidRDefault="00A85C6B"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6B" w:rsidRDefault="00A85C6B">
      <w:r>
        <w:separator/>
      </w:r>
    </w:p>
  </w:footnote>
  <w:footnote w:type="continuationSeparator" w:id="0">
    <w:p w:rsidR="00A85C6B" w:rsidRDefault="00A8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4B12"/>
    <w:rsid w:val="000767B2"/>
    <w:rsid w:val="000816DA"/>
    <w:rsid w:val="000E159B"/>
    <w:rsid w:val="000E2107"/>
    <w:rsid w:val="000E4D0C"/>
    <w:rsid w:val="000F155D"/>
    <w:rsid w:val="00114BBD"/>
    <w:rsid w:val="001161F6"/>
    <w:rsid w:val="001248AC"/>
    <w:rsid w:val="001268F5"/>
    <w:rsid w:val="00132BC5"/>
    <w:rsid w:val="00146A84"/>
    <w:rsid w:val="00160883"/>
    <w:rsid w:val="0016168C"/>
    <w:rsid w:val="00161D6D"/>
    <w:rsid w:val="001636B2"/>
    <w:rsid w:val="0016468E"/>
    <w:rsid w:val="001846DF"/>
    <w:rsid w:val="001A1803"/>
    <w:rsid w:val="001A7561"/>
    <w:rsid w:val="001B359D"/>
    <w:rsid w:val="001B4987"/>
    <w:rsid w:val="001C0569"/>
    <w:rsid w:val="001D7290"/>
    <w:rsid w:val="001E005A"/>
    <w:rsid w:val="001E7B89"/>
    <w:rsid w:val="001F548E"/>
    <w:rsid w:val="001F5D02"/>
    <w:rsid w:val="0021151F"/>
    <w:rsid w:val="00214FE5"/>
    <w:rsid w:val="0022488C"/>
    <w:rsid w:val="00233759"/>
    <w:rsid w:val="00254016"/>
    <w:rsid w:val="00270C5B"/>
    <w:rsid w:val="0029588D"/>
    <w:rsid w:val="002B16C4"/>
    <w:rsid w:val="002C5F5C"/>
    <w:rsid w:val="002C76C3"/>
    <w:rsid w:val="002D05FD"/>
    <w:rsid w:val="002D0C5F"/>
    <w:rsid w:val="002E24FD"/>
    <w:rsid w:val="00303D58"/>
    <w:rsid w:val="00327366"/>
    <w:rsid w:val="0033023E"/>
    <w:rsid w:val="003446BF"/>
    <w:rsid w:val="00351037"/>
    <w:rsid w:val="00356D43"/>
    <w:rsid w:val="0036461C"/>
    <w:rsid w:val="00375203"/>
    <w:rsid w:val="00376964"/>
    <w:rsid w:val="00382399"/>
    <w:rsid w:val="00386D2A"/>
    <w:rsid w:val="003A0935"/>
    <w:rsid w:val="003A34B5"/>
    <w:rsid w:val="003A5EFA"/>
    <w:rsid w:val="003B4F80"/>
    <w:rsid w:val="003D4D14"/>
    <w:rsid w:val="003D7FA8"/>
    <w:rsid w:val="003F13E9"/>
    <w:rsid w:val="003F255F"/>
    <w:rsid w:val="003F30F6"/>
    <w:rsid w:val="00400CE7"/>
    <w:rsid w:val="00401C7C"/>
    <w:rsid w:val="00405A5F"/>
    <w:rsid w:val="00415A04"/>
    <w:rsid w:val="004433B5"/>
    <w:rsid w:val="00457779"/>
    <w:rsid w:val="00457CB6"/>
    <w:rsid w:val="00465888"/>
    <w:rsid w:val="004659C5"/>
    <w:rsid w:val="004677A4"/>
    <w:rsid w:val="00467954"/>
    <w:rsid w:val="0048560A"/>
    <w:rsid w:val="00486D88"/>
    <w:rsid w:val="00497098"/>
    <w:rsid w:val="00497A0D"/>
    <w:rsid w:val="004C06D8"/>
    <w:rsid w:val="004C733D"/>
    <w:rsid w:val="004E5491"/>
    <w:rsid w:val="004F2938"/>
    <w:rsid w:val="0050497D"/>
    <w:rsid w:val="00504A68"/>
    <w:rsid w:val="00520099"/>
    <w:rsid w:val="00546502"/>
    <w:rsid w:val="00572523"/>
    <w:rsid w:val="00576E16"/>
    <w:rsid w:val="00581468"/>
    <w:rsid w:val="00591DDB"/>
    <w:rsid w:val="005B4453"/>
    <w:rsid w:val="005D37BB"/>
    <w:rsid w:val="005D5F22"/>
    <w:rsid w:val="005E54AA"/>
    <w:rsid w:val="00604032"/>
    <w:rsid w:val="00606DBE"/>
    <w:rsid w:val="0061617B"/>
    <w:rsid w:val="00626465"/>
    <w:rsid w:val="00632DD9"/>
    <w:rsid w:val="006339A0"/>
    <w:rsid w:val="00634835"/>
    <w:rsid w:val="00640F9F"/>
    <w:rsid w:val="00653AA9"/>
    <w:rsid w:val="00681536"/>
    <w:rsid w:val="00687F46"/>
    <w:rsid w:val="006D0779"/>
    <w:rsid w:val="006E0266"/>
    <w:rsid w:val="006E7A09"/>
    <w:rsid w:val="006F0AD7"/>
    <w:rsid w:val="007044D0"/>
    <w:rsid w:val="00717019"/>
    <w:rsid w:val="00720B41"/>
    <w:rsid w:val="00746C61"/>
    <w:rsid w:val="007674E4"/>
    <w:rsid w:val="00770F0C"/>
    <w:rsid w:val="00772DD6"/>
    <w:rsid w:val="00777B71"/>
    <w:rsid w:val="007A3FFC"/>
    <w:rsid w:val="007A59BC"/>
    <w:rsid w:val="007A699D"/>
    <w:rsid w:val="007B5EE8"/>
    <w:rsid w:val="007E2C08"/>
    <w:rsid w:val="00827E62"/>
    <w:rsid w:val="0084288E"/>
    <w:rsid w:val="00846895"/>
    <w:rsid w:val="0087454D"/>
    <w:rsid w:val="00876AD8"/>
    <w:rsid w:val="00883733"/>
    <w:rsid w:val="00883897"/>
    <w:rsid w:val="00884683"/>
    <w:rsid w:val="008A2A30"/>
    <w:rsid w:val="008A5221"/>
    <w:rsid w:val="008B6968"/>
    <w:rsid w:val="008D0FC9"/>
    <w:rsid w:val="00903609"/>
    <w:rsid w:val="00903E38"/>
    <w:rsid w:val="00905430"/>
    <w:rsid w:val="009057EC"/>
    <w:rsid w:val="00910ABE"/>
    <w:rsid w:val="00927192"/>
    <w:rsid w:val="0094485C"/>
    <w:rsid w:val="00947EED"/>
    <w:rsid w:val="009514F1"/>
    <w:rsid w:val="00953442"/>
    <w:rsid w:val="00955C25"/>
    <w:rsid w:val="009636A8"/>
    <w:rsid w:val="0096593E"/>
    <w:rsid w:val="0098171D"/>
    <w:rsid w:val="00993F1B"/>
    <w:rsid w:val="00996C86"/>
    <w:rsid w:val="009A3D9C"/>
    <w:rsid w:val="009A52CF"/>
    <w:rsid w:val="009B08A6"/>
    <w:rsid w:val="009B729D"/>
    <w:rsid w:val="009C281E"/>
    <w:rsid w:val="009D05D2"/>
    <w:rsid w:val="009D7372"/>
    <w:rsid w:val="00A00B52"/>
    <w:rsid w:val="00A11B18"/>
    <w:rsid w:val="00A14CDE"/>
    <w:rsid w:val="00A169B5"/>
    <w:rsid w:val="00A400CF"/>
    <w:rsid w:val="00A71902"/>
    <w:rsid w:val="00A85C6B"/>
    <w:rsid w:val="00A906F6"/>
    <w:rsid w:val="00AA1600"/>
    <w:rsid w:val="00AA7863"/>
    <w:rsid w:val="00AB03BC"/>
    <w:rsid w:val="00AB1FE4"/>
    <w:rsid w:val="00AB5FE9"/>
    <w:rsid w:val="00AE10D0"/>
    <w:rsid w:val="00B12903"/>
    <w:rsid w:val="00B23AE5"/>
    <w:rsid w:val="00B24E53"/>
    <w:rsid w:val="00B33F56"/>
    <w:rsid w:val="00B36DAB"/>
    <w:rsid w:val="00B6215C"/>
    <w:rsid w:val="00B6582A"/>
    <w:rsid w:val="00B712D1"/>
    <w:rsid w:val="00B7430C"/>
    <w:rsid w:val="00B74AE3"/>
    <w:rsid w:val="00B800F7"/>
    <w:rsid w:val="00B81B3E"/>
    <w:rsid w:val="00B86BB3"/>
    <w:rsid w:val="00BB5737"/>
    <w:rsid w:val="00BC3C78"/>
    <w:rsid w:val="00BC5607"/>
    <w:rsid w:val="00BC6DFF"/>
    <w:rsid w:val="00BE4D1F"/>
    <w:rsid w:val="00BF1E57"/>
    <w:rsid w:val="00C127F1"/>
    <w:rsid w:val="00C17839"/>
    <w:rsid w:val="00C316E1"/>
    <w:rsid w:val="00C34CF9"/>
    <w:rsid w:val="00C44ADF"/>
    <w:rsid w:val="00C55326"/>
    <w:rsid w:val="00C757AA"/>
    <w:rsid w:val="00C75A1E"/>
    <w:rsid w:val="00C825DA"/>
    <w:rsid w:val="00CA4D55"/>
    <w:rsid w:val="00CB5CE2"/>
    <w:rsid w:val="00CC37E9"/>
    <w:rsid w:val="00CD26C6"/>
    <w:rsid w:val="00CD34B5"/>
    <w:rsid w:val="00CD5E12"/>
    <w:rsid w:val="00CD5FC9"/>
    <w:rsid w:val="00CF2763"/>
    <w:rsid w:val="00D011AD"/>
    <w:rsid w:val="00D13DFA"/>
    <w:rsid w:val="00D141D1"/>
    <w:rsid w:val="00D319E6"/>
    <w:rsid w:val="00D5021E"/>
    <w:rsid w:val="00D513AD"/>
    <w:rsid w:val="00D664C1"/>
    <w:rsid w:val="00D665E0"/>
    <w:rsid w:val="00D7094B"/>
    <w:rsid w:val="00D74397"/>
    <w:rsid w:val="00D9205B"/>
    <w:rsid w:val="00D92108"/>
    <w:rsid w:val="00DC2434"/>
    <w:rsid w:val="00DD7FEF"/>
    <w:rsid w:val="00DE4D1D"/>
    <w:rsid w:val="00E0312B"/>
    <w:rsid w:val="00E068DB"/>
    <w:rsid w:val="00E12F7F"/>
    <w:rsid w:val="00E30D2D"/>
    <w:rsid w:val="00E31A90"/>
    <w:rsid w:val="00E708DF"/>
    <w:rsid w:val="00E71869"/>
    <w:rsid w:val="00E86455"/>
    <w:rsid w:val="00E9406A"/>
    <w:rsid w:val="00E9681F"/>
    <w:rsid w:val="00EA0C03"/>
    <w:rsid w:val="00EA52E1"/>
    <w:rsid w:val="00EA5739"/>
    <w:rsid w:val="00EB3766"/>
    <w:rsid w:val="00EC158C"/>
    <w:rsid w:val="00EC3FEB"/>
    <w:rsid w:val="00EC4586"/>
    <w:rsid w:val="00EF0958"/>
    <w:rsid w:val="00EF3075"/>
    <w:rsid w:val="00EF55C3"/>
    <w:rsid w:val="00F009FF"/>
    <w:rsid w:val="00F04F02"/>
    <w:rsid w:val="00F10578"/>
    <w:rsid w:val="00F3458A"/>
    <w:rsid w:val="00F36723"/>
    <w:rsid w:val="00F36B31"/>
    <w:rsid w:val="00F37D82"/>
    <w:rsid w:val="00F5084C"/>
    <w:rsid w:val="00F51CF1"/>
    <w:rsid w:val="00F60824"/>
    <w:rsid w:val="00F823B4"/>
    <w:rsid w:val="00F97FB5"/>
    <w:rsid w:val="00FA26C0"/>
    <w:rsid w:val="00FA4FDD"/>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0E63"/>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styleId="BodyText">
    <w:name w:val="Body Text"/>
    <w:basedOn w:val="Normal"/>
    <w:link w:val="BodyTextChar"/>
    <w:uiPriority w:val="99"/>
    <w:semiHidden/>
    <w:unhideWhenUsed/>
    <w:rsid w:val="00F009FF"/>
    <w:pPr>
      <w:spacing w:after="120"/>
    </w:pPr>
  </w:style>
  <w:style w:type="character" w:customStyle="1" w:styleId="BodyTextChar">
    <w:name w:val="Body Text Char"/>
    <w:basedOn w:val="DefaultParagraphFont"/>
    <w:link w:val="BodyText"/>
    <w:uiPriority w:val="99"/>
    <w:semiHidden/>
    <w:rsid w:val="00F009FF"/>
    <w:rPr>
      <w:rFonts w:eastAsia="Calibri" w:cs="Times New Roman"/>
    </w:rPr>
  </w:style>
  <w:style w:type="paragraph" w:styleId="EndnoteText">
    <w:name w:val="endnote text"/>
    <w:basedOn w:val="Normal"/>
    <w:link w:val="EndnoteTextChar"/>
    <w:uiPriority w:val="99"/>
    <w:semiHidden/>
    <w:unhideWhenUsed/>
    <w:rsid w:val="00D13DFA"/>
    <w:rPr>
      <w:sz w:val="20"/>
      <w:szCs w:val="20"/>
    </w:rPr>
  </w:style>
  <w:style w:type="character" w:customStyle="1" w:styleId="EndnoteTextChar">
    <w:name w:val="Endnote Text Char"/>
    <w:basedOn w:val="DefaultParagraphFont"/>
    <w:link w:val="EndnoteText"/>
    <w:uiPriority w:val="99"/>
    <w:semiHidden/>
    <w:rsid w:val="00D13DFA"/>
    <w:rPr>
      <w:rFonts w:eastAsia="Calibri" w:cs="Times New Roman"/>
      <w:sz w:val="20"/>
      <w:szCs w:val="20"/>
    </w:rPr>
  </w:style>
  <w:style w:type="character" w:styleId="EndnoteReference">
    <w:name w:val="endnote reference"/>
    <w:basedOn w:val="DefaultParagraphFont"/>
    <w:uiPriority w:val="99"/>
    <w:semiHidden/>
    <w:unhideWhenUsed/>
    <w:rsid w:val="00D13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46110611">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16232941">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48097356">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84808249">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11380899">
      <w:bodyDiv w:val="1"/>
      <w:marLeft w:val="0"/>
      <w:marRight w:val="0"/>
      <w:marTop w:val="0"/>
      <w:marBottom w:val="0"/>
      <w:divBdr>
        <w:top w:val="none" w:sz="0" w:space="0" w:color="auto"/>
        <w:left w:val="none" w:sz="0" w:space="0" w:color="auto"/>
        <w:bottom w:val="none" w:sz="0" w:space="0" w:color="auto"/>
        <w:right w:val="none" w:sz="0" w:space="0" w:color="auto"/>
      </w:divBdr>
      <w:divsChild>
        <w:div w:id="1726445152">
          <w:marLeft w:val="0"/>
          <w:marRight w:val="0"/>
          <w:marTop w:val="0"/>
          <w:marBottom w:val="0"/>
          <w:divBdr>
            <w:top w:val="none" w:sz="0" w:space="0" w:color="auto"/>
            <w:left w:val="none" w:sz="0" w:space="0" w:color="auto"/>
            <w:bottom w:val="none" w:sz="0" w:space="0" w:color="auto"/>
            <w:right w:val="none" w:sz="0" w:space="0" w:color="auto"/>
          </w:divBdr>
        </w:div>
        <w:div w:id="1901016883">
          <w:marLeft w:val="0"/>
          <w:marRight w:val="0"/>
          <w:marTop w:val="0"/>
          <w:marBottom w:val="0"/>
          <w:divBdr>
            <w:top w:val="none" w:sz="0" w:space="0" w:color="auto"/>
            <w:left w:val="none" w:sz="0" w:space="0" w:color="auto"/>
            <w:bottom w:val="none" w:sz="0" w:space="0" w:color="auto"/>
            <w:right w:val="none" w:sz="0" w:space="0" w:color="auto"/>
          </w:divBdr>
        </w:div>
        <w:div w:id="1047339044">
          <w:marLeft w:val="0"/>
          <w:marRight w:val="0"/>
          <w:marTop w:val="0"/>
          <w:marBottom w:val="0"/>
          <w:divBdr>
            <w:top w:val="none" w:sz="0" w:space="0" w:color="auto"/>
            <w:left w:val="none" w:sz="0" w:space="0" w:color="auto"/>
            <w:bottom w:val="none" w:sz="0" w:space="0" w:color="auto"/>
            <w:right w:val="none" w:sz="0" w:space="0" w:color="auto"/>
          </w:divBdr>
        </w:div>
        <w:div w:id="629556749">
          <w:marLeft w:val="0"/>
          <w:marRight w:val="0"/>
          <w:marTop w:val="0"/>
          <w:marBottom w:val="0"/>
          <w:divBdr>
            <w:top w:val="none" w:sz="0" w:space="0" w:color="auto"/>
            <w:left w:val="none" w:sz="0" w:space="0" w:color="auto"/>
            <w:bottom w:val="none" w:sz="0" w:space="0" w:color="auto"/>
            <w:right w:val="none" w:sz="0" w:space="0" w:color="auto"/>
          </w:divBdr>
        </w:div>
        <w:div w:id="1809006805">
          <w:marLeft w:val="0"/>
          <w:marRight w:val="0"/>
          <w:marTop w:val="0"/>
          <w:marBottom w:val="0"/>
          <w:divBdr>
            <w:top w:val="none" w:sz="0" w:space="0" w:color="auto"/>
            <w:left w:val="none" w:sz="0" w:space="0" w:color="auto"/>
            <w:bottom w:val="none" w:sz="0" w:space="0" w:color="auto"/>
            <w:right w:val="none" w:sz="0" w:space="0" w:color="auto"/>
          </w:divBdr>
        </w:div>
      </w:divsChild>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93090516">
      <w:bodyDiv w:val="1"/>
      <w:marLeft w:val="0"/>
      <w:marRight w:val="0"/>
      <w:marTop w:val="0"/>
      <w:marBottom w:val="0"/>
      <w:divBdr>
        <w:top w:val="none" w:sz="0" w:space="0" w:color="auto"/>
        <w:left w:val="none" w:sz="0" w:space="0" w:color="auto"/>
        <w:bottom w:val="none" w:sz="0" w:space="0" w:color="auto"/>
        <w:right w:val="none" w:sz="0" w:space="0" w:color="auto"/>
      </w:divBdr>
      <w:divsChild>
        <w:div w:id="24912933">
          <w:marLeft w:val="0"/>
          <w:marRight w:val="0"/>
          <w:marTop w:val="0"/>
          <w:marBottom w:val="0"/>
          <w:divBdr>
            <w:top w:val="none" w:sz="0" w:space="0" w:color="auto"/>
            <w:left w:val="none" w:sz="0" w:space="0" w:color="auto"/>
            <w:bottom w:val="none" w:sz="0" w:space="0" w:color="auto"/>
            <w:right w:val="none" w:sz="0" w:space="0" w:color="auto"/>
          </w:divBdr>
        </w:div>
        <w:div w:id="938290329">
          <w:marLeft w:val="0"/>
          <w:marRight w:val="0"/>
          <w:marTop w:val="0"/>
          <w:marBottom w:val="0"/>
          <w:divBdr>
            <w:top w:val="none" w:sz="0" w:space="0" w:color="auto"/>
            <w:left w:val="none" w:sz="0" w:space="0" w:color="auto"/>
            <w:bottom w:val="none" w:sz="0" w:space="0" w:color="auto"/>
            <w:right w:val="none" w:sz="0" w:space="0" w:color="auto"/>
          </w:divBdr>
        </w:div>
        <w:div w:id="114182040">
          <w:marLeft w:val="0"/>
          <w:marRight w:val="0"/>
          <w:marTop w:val="0"/>
          <w:marBottom w:val="0"/>
          <w:divBdr>
            <w:top w:val="none" w:sz="0" w:space="0" w:color="auto"/>
            <w:left w:val="none" w:sz="0" w:space="0" w:color="auto"/>
            <w:bottom w:val="none" w:sz="0" w:space="0" w:color="auto"/>
            <w:right w:val="none" w:sz="0" w:space="0" w:color="auto"/>
          </w:divBdr>
        </w:div>
        <w:div w:id="861093815">
          <w:marLeft w:val="0"/>
          <w:marRight w:val="0"/>
          <w:marTop w:val="0"/>
          <w:marBottom w:val="0"/>
          <w:divBdr>
            <w:top w:val="none" w:sz="0" w:space="0" w:color="auto"/>
            <w:left w:val="none" w:sz="0" w:space="0" w:color="auto"/>
            <w:bottom w:val="none" w:sz="0" w:space="0" w:color="auto"/>
            <w:right w:val="none" w:sz="0" w:space="0" w:color="auto"/>
          </w:divBdr>
        </w:div>
        <w:div w:id="1560435938">
          <w:marLeft w:val="0"/>
          <w:marRight w:val="0"/>
          <w:marTop w:val="0"/>
          <w:marBottom w:val="0"/>
          <w:divBdr>
            <w:top w:val="none" w:sz="0" w:space="0" w:color="auto"/>
            <w:left w:val="none" w:sz="0" w:space="0" w:color="auto"/>
            <w:bottom w:val="none" w:sz="0" w:space="0" w:color="auto"/>
            <w:right w:val="none" w:sz="0" w:space="0" w:color="auto"/>
          </w:divBdr>
        </w:div>
      </w:divsChild>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BEE1-0BA3-41DD-8E86-46C1FF1F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1313</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3</cp:revision>
  <cp:lastPrinted>2018-11-29T07:09:00Z</cp:lastPrinted>
  <dcterms:created xsi:type="dcterms:W3CDTF">2019-11-01T15:14:00Z</dcterms:created>
  <dcterms:modified xsi:type="dcterms:W3CDTF">2019-11-01T15:24:00Z</dcterms:modified>
</cp:coreProperties>
</file>