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16" w:rsidRPr="0094485C" w:rsidRDefault="00576E16" w:rsidP="00576E16">
      <w:pPr>
        <w:rPr>
          <w:b/>
          <w:i/>
          <w:sz w:val="22"/>
        </w:rPr>
      </w:pPr>
      <w:bookmarkStart w:id="0" w:name="_GoBack"/>
      <w:bookmarkEnd w:id="0"/>
      <w:r w:rsidRPr="00C62F8B">
        <w:rPr>
          <w:sz w:val="26"/>
          <w:szCs w:val="26"/>
        </w:rPr>
        <w:t>Budžeta un finanšu (nodokļu) komisija</w:t>
      </w:r>
      <w:r w:rsidR="00777B71">
        <w:rPr>
          <w:sz w:val="26"/>
          <w:szCs w:val="26"/>
        </w:rPr>
        <w:t xml:space="preserve"> </w:t>
      </w:r>
      <w:r w:rsidR="00C15B22">
        <w:rPr>
          <w:sz w:val="26"/>
          <w:szCs w:val="26"/>
        </w:rPr>
        <w:tab/>
      </w:r>
    </w:p>
    <w:p w:rsidR="00E9406A" w:rsidRPr="0072286E" w:rsidRDefault="00576E16" w:rsidP="0072286E">
      <w:pPr>
        <w:jc w:val="right"/>
        <w:rPr>
          <w:rStyle w:val="Emphasis"/>
          <w:i w:val="0"/>
          <w:iCs w:val="0"/>
          <w:sz w:val="26"/>
          <w:szCs w:val="26"/>
        </w:rPr>
      </w:pPr>
      <w:r w:rsidRPr="00C62F8B">
        <w:rPr>
          <w:sz w:val="26"/>
          <w:szCs w:val="26"/>
        </w:rPr>
        <w:t>L</w:t>
      </w:r>
      <w:r>
        <w:rPr>
          <w:sz w:val="26"/>
          <w:szCs w:val="26"/>
        </w:rPr>
        <w:t xml:space="preserve">ikumprojekts </w:t>
      </w:r>
      <w:r w:rsidR="0072286E">
        <w:rPr>
          <w:sz w:val="26"/>
          <w:szCs w:val="26"/>
        </w:rPr>
        <w:t>(steidzams) otr</w:t>
      </w:r>
      <w:r w:rsidR="00C55326">
        <w:rPr>
          <w:sz w:val="26"/>
          <w:szCs w:val="26"/>
        </w:rPr>
        <w:t>ajam lasījumam</w:t>
      </w:r>
    </w:p>
    <w:p w:rsidR="00520099" w:rsidRPr="00BB5737" w:rsidRDefault="00BB5737" w:rsidP="00576E16">
      <w:pPr>
        <w:jc w:val="center"/>
        <w:rPr>
          <w:rStyle w:val="Emphasis"/>
          <w:b/>
          <w:i w:val="0"/>
          <w:sz w:val="26"/>
          <w:szCs w:val="26"/>
        </w:rPr>
      </w:pPr>
      <w:r>
        <w:rPr>
          <w:rStyle w:val="Emphasis"/>
          <w:b/>
          <w:i w:val="0"/>
          <w:sz w:val="26"/>
          <w:szCs w:val="26"/>
        </w:rPr>
        <w:t>Grozījumi likumā “</w:t>
      </w:r>
      <w:r w:rsidRPr="00BB5737">
        <w:rPr>
          <w:rStyle w:val="Emphasis"/>
          <w:b/>
          <w:i w:val="0"/>
          <w:sz w:val="26"/>
          <w:szCs w:val="26"/>
        </w:rPr>
        <w:t xml:space="preserve">Par izložu </w:t>
      </w:r>
      <w:r>
        <w:rPr>
          <w:rStyle w:val="Emphasis"/>
          <w:b/>
          <w:i w:val="0"/>
          <w:sz w:val="26"/>
          <w:szCs w:val="26"/>
        </w:rPr>
        <w:t>un azartspēļu nodevu un nodokli”</w:t>
      </w:r>
    </w:p>
    <w:p w:rsidR="00576E16" w:rsidRDefault="00FC3F53" w:rsidP="001846DF">
      <w:pPr>
        <w:jc w:val="center"/>
        <w:rPr>
          <w:rStyle w:val="Emphasis"/>
          <w:b/>
          <w:sz w:val="26"/>
          <w:szCs w:val="26"/>
        </w:rPr>
      </w:pPr>
      <w:r w:rsidRPr="00FC3F53">
        <w:rPr>
          <w:rStyle w:val="Emphasis"/>
          <w:b/>
          <w:sz w:val="26"/>
          <w:szCs w:val="26"/>
        </w:rPr>
        <w:t xml:space="preserve">(Nr. </w:t>
      </w:r>
      <w:r w:rsidR="00BB5737">
        <w:rPr>
          <w:rStyle w:val="Emphasis"/>
          <w:b/>
          <w:sz w:val="26"/>
          <w:szCs w:val="26"/>
        </w:rPr>
        <w:t>431</w:t>
      </w:r>
      <w:r w:rsidRPr="00FC3F53">
        <w:rPr>
          <w:rStyle w:val="Emphasis"/>
          <w:b/>
          <w:sz w:val="26"/>
          <w:szCs w:val="26"/>
        </w:rPr>
        <w:t>/Lp13</w:t>
      </w:r>
      <w:r w:rsidR="00C55326" w:rsidRPr="00FC3F53">
        <w:rPr>
          <w:rStyle w:val="Emphasis"/>
          <w:b/>
          <w:sz w:val="26"/>
          <w:szCs w:val="26"/>
        </w:rPr>
        <w:t>)</w:t>
      </w:r>
      <w:r w:rsidR="00EF0958" w:rsidRPr="00FC3F53">
        <w:rPr>
          <w:rStyle w:val="Emphasis"/>
          <w:b/>
          <w:sz w:val="26"/>
          <w:szCs w:val="26"/>
        </w:rPr>
        <w:t xml:space="preserve"> </w:t>
      </w:r>
    </w:p>
    <w:p w:rsidR="00DD7FEF" w:rsidRPr="00495B31" w:rsidRDefault="00DD7FEF" w:rsidP="001846DF">
      <w:pPr>
        <w:jc w:val="center"/>
        <w:rPr>
          <w:rStyle w:val="Emphasis"/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3924"/>
        <w:gridCol w:w="567"/>
        <w:gridCol w:w="3922"/>
        <w:gridCol w:w="1412"/>
        <w:gridCol w:w="1414"/>
      </w:tblGrid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1634F0" w:rsidRDefault="0072286E" w:rsidP="0096593E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Spēkā esošā redakcija</w:t>
            </w:r>
          </w:p>
        </w:tc>
        <w:tc>
          <w:tcPr>
            <w:tcW w:w="3969" w:type="dxa"/>
            <w:shd w:val="clear" w:color="auto" w:fill="auto"/>
          </w:tcPr>
          <w:p w:rsidR="0072286E" w:rsidRPr="001B3F41" w:rsidRDefault="00F3021E" w:rsidP="005012EB">
            <w:pPr>
              <w:jc w:val="center"/>
              <w:rPr>
                <w:b/>
              </w:rPr>
            </w:pPr>
            <w:r>
              <w:rPr>
                <w:b/>
              </w:rPr>
              <w:t>Pirmā lasījuma redakcija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b/>
              </w:rPr>
            </w:pPr>
            <w:r w:rsidRPr="0072286E">
              <w:rPr>
                <w:b/>
              </w:rPr>
              <w:t>Nr.</w:t>
            </w:r>
          </w:p>
        </w:tc>
        <w:tc>
          <w:tcPr>
            <w:tcW w:w="3969" w:type="dxa"/>
          </w:tcPr>
          <w:p w:rsidR="0072286E" w:rsidRDefault="0072286E" w:rsidP="005012EB">
            <w:pPr>
              <w:jc w:val="center"/>
              <w:rPr>
                <w:b/>
              </w:rPr>
            </w:pPr>
            <w:r>
              <w:rPr>
                <w:b/>
              </w:rPr>
              <w:t>Priekšlikumi</w:t>
            </w:r>
          </w:p>
          <w:p w:rsidR="0072286E" w:rsidRPr="001B3F41" w:rsidRDefault="0072286E" w:rsidP="005012E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43102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2286E" w:rsidRPr="001B3F41" w:rsidRDefault="0072286E" w:rsidP="005012EB">
            <w:pPr>
              <w:jc w:val="center"/>
              <w:rPr>
                <w:b/>
              </w:rPr>
            </w:pPr>
            <w:r>
              <w:rPr>
                <w:b/>
              </w:rPr>
              <w:t>Ministru kabineta atzinums</w:t>
            </w:r>
          </w:p>
        </w:tc>
        <w:tc>
          <w:tcPr>
            <w:tcW w:w="1418" w:type="dxa"/>
          </w:tcPr>
          <w:p w:rsidR="0072286E" w:rsidRPr="001B3F41" w:rsidRDefault="0072286E" w:rsidP="005012EB">
            <w:pPr>
              <w:jc w:val="center"/>
              <w:rPr>
                <w:b/>
              </w:rPr>
            </w:pPr>
            <w:r>
              <w:rPr>
                <w:b/>
              </w:rPr>
              <w:t>Komisijas atzinums</w:t>
            </w: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B6582A" w:rsidRDefault="0072286E" w:rsidP="00B6215C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286E" w:rsidRPr="005E54AA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>Izdarīt likumā "Par izložu un azartspēļu nodevu un nodokli" (Latvijas Republikas Saeimas un Ministru Kabineta Ziņotājs, 1994, 14. nr.; 1995, 22. nr.; 1997, 9. nr.; 1999, 17., 24. nr.; 2001, 15., 24. nr.; 2003, 2., 15., 20., 23. nr.; 2005, 14. nr.; 2007, 8. nr.; 2009, 14. nr.; Latvijas Vēstnesis, 2011, 65., 204. nr.; 2013, 194. nr.; 2015, 248. nr.; 2016, 241. nr.; 2017, 156., 242. nr.; 2019, 118. nr.) šādus grozījumus: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3D7FA8" w:rsidRDefault="0072286E" w:rsidP="003D7FA8">
            <w:pPr>
              <w:ind w:firstLine="567"/>
              <w:jc w:val="both"/>
              <w:rPr>
                <w:sz w:val="22"/>
              </w:rPr>
            </w:pPr>
            <w:r w:rsidRPr="003D7FA8">
              <w:rPr>
                <w:b/>
                <w:bCs/>
                <w:sz w:val="22"/>
              </w:rPr>
              <w:t>3. pants.</w:t>
            </w:r>
            <w:r w:rsidRPr="003D7FA8">
              <w:rPr>
                <w:sz w:val="22"/>
              </w:rPr>
              <w:t xml:space="preserve"> Ar azartspēļu nodokli apliekamais objekts ir azartspēļu organizētājs — kapitālsabiedrība, azartspēļu norises vieta un spēļu iekārtas. No katras iekārtotās vai uzstādītās azartspēļu tiešās norises vietas iekasējams nodoklis pēc šādām likmēm par katru kārtējo kalendāro gadu:</w:t>
            </w:r>
          </w:p>
          <w:p w:rsidR="0072286E" w:rsidRPr="00F3021E" w:rsidRDefault="0072286E" w:rsidP="003D7FA8">
            <w:pPr>
              <w:ind w:firstLine="567"/>
              <w:jc w:val="both"/>
              <w:rPr>
                <w:sz w:val="22"/>
              </w:rPr>
            </w:pPr>
            <w:r w:rsidRPr="003D7FA8">
              <w:rPr>
                <w:sz w:val="22"/>
              </w:rPr>
              <w:t xml:space="preserve">1) rulete (cilindriskā spēle) — par katru ruletes </w:t>
            </w:r>
            <w:r w:rsidRPr="00F3021E">
              <w:rPr>
                <w:sz w:val="22"/>
              </w:rPr>
              <w:t xml:space="preserve">rotējošajai iekārtai pievienoto spēļu galdu — 23 400 </w:t>
            </w:r>
            <w:r w:rsidRPr="00F3021E">
              <w:rPr>
                <w:i/>
                <w:iCs/>
                <w:sz w:val="22"/>
              </w:rPr>
              <w:t>euro</w:t>
            </w:r>
            <w:r w:rsidRPr="00F3021E">
              <w:rPr>
                <w:sz w:val="22"/>
              </w:rPr>
              <w:t>;</w:t>
            </w:r>
          </w:p>
          <w:p w:rsidR="0072286E" w:rsidRPr="006E0266" w:rsidRDefault="0072286E" w:rsidP="00F3021E">
            <w:pPr>
              <w:ind w:firstLine="567"/>
              <w:jc w:val="both"/>
              <w:rPr>
                <w:sz w:val="22"/>
              </w:rPr>
            </w:pPr>
            <w:r w:rsidRPr="00F3021E">
              <w:rPr>
                <w:sz w:val="22"/>
              </w:rPr>
              <w:t xml:space="preserve">2) kāršu un kauliņu spēles — par katru galdu — 23 400 </w:t>
            </w:r>
            <w:r w:rsidRPr="00F3021E">
              <w:rPr>
                <w:i/>
                <w:iCs/>
                <w:sz w:val="22"/>
              </w:rPr>
              <w:t>euro</w:t>
            </w:r>
            <w:r w:rsidRPr="00F3021E">
              <w:rPr>
                <w:sz w:val="22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>1. 3. pantā:</w:t>
            </w:r>
          </w:p>
          <w:p w:rsidR="0072286E" w:rsidRPr="005E54AA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>aizstāt pirmās daļas 1. un 2. punktā skaitli "23 400" ar skaitli "28 080";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3D7FA8" w:rsidRDefault="0072286E" w:rsidP="003D7FA8">
            <w:pPr>
              <w:ind w:firstLine="567"/>
              <w:jc w:val="both"/>
              <w:rPr>
                <w:sz w:val="22"/>
              </w:rPr>
            </w:pPr>
            <w:r w:rsidRPr="003D7FA8">
              <w:rPr>
                <w:sz w:val="22"/>
              </w:rPr>
              <w:t xml:space="preserve">3) videospēles un mehāniskie automāti — par katra automāta katru spēles vietu — 4164 </w:t>
            </w:r>
            <w:r w:rsidRPr="003D7FA8">
              <w:rPr>
                <w:i/>
                <w:iCs/>
                <w:sz w:val="22"/>
              </w:rPr>
              <w:t>euro</w:t>
            </w:r>
            <w:r w:rsidRPr="003D7FA8">
              <w:rPr>
                <w:sz w:val="22"/>
              </w:rPr>
              <w:t>;</w:t>
            </w:r>
          </w:p>
          <w:p w:rsidR="0072286E" w:rsidRPr="003A5EFA" w:rsidRDefault="0072286E" w:rsidP="003A5EFA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>izteikt pirmās daļas 3. punktu šādā redakcijā:</w:t>
            </w:r>
          </w:p>
          <w:p w:rsidR="0072286E" w:rsidRPr="005E54AA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"3) </w:t>
            </w:r>
            <w:r w:rsidRPr="00A14CDE">
              <w:rPr>
                <w:rFonts w:eastAsia="Times New Roman"/>
                <w:bCs/>
                <w:iCs/>
                <w:color w:val="000000"/>
                <w:sz w:val="22"/>
                <w:lang w:eastAsia="lv-LV"/>
              </w:rPr>
              <w:t>azartspēļu</w:t>
            </w: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 automāti – par katra azartspēļu automāta katru spēles vietu – 5172 </w:t>
            </w:r>
            <w:r w:rsidRPr="00A14CDE">
              <w:rPr>
                <w:rFonts w:eastAsia="Times New Roman"/>
                <w:i/>
                <w:iCs/>
                <w:color w:val="000000"/>
                <w:sz w:val="22"/>
                <w:lang w:eastAsia="lv-LV"/>
              </w:rPr>
              <w:t>euro</w:t>
            </w:r>
            <w:r w:rsidRPr="00A14CDE">
              <w:rPr>
                <w:rFonts w:eastAsia="Times New Roman"/>
                <w:iCs/>
                <w:color w:val="000000"/>
                <w:sz w:val="22"/>
                <w:lang w:eastAsia="lv-LV"/>
              </w:rPr>
              <w:t>;".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A14CDE" w:rsidRDefault="0072286E" w:rsidP="00A14CD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3A5EFA" w:rsidRDefault="0072286E" w:rsidP="00F3021E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b/>
                <w:bCs/>
                <w:sz w:val="22"/>
              </w:rPr>
              <w:lastRenderedPageBreak/>
              <w:t>5. pants.</w:t>
            </w:r>
            <w:r w:rsidRPr="00E9406A">
              <w:rPr>
                <w:sz w:val="22"/>
              </w:rPr>
              <w:t xml:space="preserve"> Azartspēļu nodoklis aprēķināms par katrā azartspēļu tiešās norises vietā esoša </w:t>
            </w:r>
            <w:r w:rsidRPr="00F3021E">
              <w:rPr>
                <w:sz w:val="22"/>
              </w:rPr>
              <w:t>katra spēļu automāta katru spēles vietu un spēles galdu katru mēnesi, ieskaitot mēnesi, kurā spēļu automāts vai spēles galds uzstādīts vai demontēts, kā viena divpadsmitā</w:t>
            </w:r>
            <w:r w:rsidRPr="00E9406A">
              <w:rPr>
                <w:sz w:val="22"/>
              </w:rPr>
              <w:t xml:space="preserve"> daļa no šā likuma 3.pantā minētajām nodokļa likmēm.</w:t>
            </w:r>
          </w:p>
        </w:tc>
        <w:tc>
          <w:tcPr>
            <w:tcW w:w="3969" w:type="dxa"/>
            <w:shd w:val="clear" w:color="auto" w:fill="auto"/>
          </w:tcPr>
          <w:p w:rsidR="0072286E" w:rsidRPr="00E068DB" w:rsidRDefault="0072286E" w:rsidP="00E068DB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E068DB">
              <w:rPr>
                <w:rFonts w:eastAsia="Times New Roman"/>
                <w:iCs/>
                <w:color w:val="000000"/>
                <w:sz w:val="22"/>
                <w:lang w:eastAsia="lv-LV"/>
              </w:rPr>
              <w:t>2. 5. pantā:</w:t>
            </w:r>
          </w:p>
          <w:p w:rsidR="0072286E" w:rsidRPr="00A14CDE" w:rsidRDefault="0072286E" w:rsidP="00E068DB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E068DB">
              <w:rPr>
                <w:rFonts w:eastAsia="Times New Roman"/>
                <w:iCs/>
                <w:color w:val="000000"/>
                <w:sz w:val="22"/>
                <w:lang w:eastAsia="lv-LV"/>
              </w:rPr>
              <w:t>aizstāt pirmajā daļā vārdus "spēļu automāts" (attiecīgā locījumā) ar vārdiem "azartspēļu automāts" (attiecīgā locījumā);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E068DB" w:rsidRDefault="0072286E" w:rsidP="00E068DB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E068DB" w:rsidRDefault="0072286E" w:rsidP="00E068DB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E068DB" w:rsidRDefault="0072286E" w:rsidP="00E068DB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3A5EFA" w:rsidRDefault="0072286E" w:rsidP="00F3021E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sz w:val="22"/>
              </w:rPr>
              <w:t>Kalendāra mēneša laikā videospēles un mehāniskos automātus, kuri uzstādīti ārpus kazino un spēļu zālēm, nedrīkst pārvietot uz kazino un spēļu zālēm un otrādi.</w:t>
            </w:r>
          </w:p>
        </w:tc>
        <w:tc>
          <w:tcPr>
            <w:tcW w:w="3969" w:type="dxa"/>
            <w:shd w:val="clear" w:color="auto" w:fill="auto"/>
          </w:tcPr>
          <w:p w:rsidR="0072286E" w:rsidRPr="00A14CDE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izslēgt ceturto daļu. 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Default="0072286E" w:rsidP="003A5EFA">
            <w:pPr>
              <w:ind w:firstLine="567"/>
              <w:jc w:val="both"/>
              <w:rPr>
                <w:b/>
                <w:bCs/>
                <w:sz w:val="22"/>
              </w:rPr>
            </w:pPr>
            <w:r w:rsidRPr="00E9406A">
              <w:rPr>
                <w:b/>
                <w:bCs/>
                <w:sz w:val="22"/>
              </w:rPr>
              <w:t>12. pants.</w:t>
            </w:r>
          </w:p>
          <w:p w:rsidR="0072286E" w:rsidRPr="00E9406A" w:rsidRDefault="0072286E" w:rsidP="003A5EFA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sz w:val="22"/>
              </w:rPr>
              <w:t>Ienākumi no azartspēļu nodokļa, izņemot šā panta trešajā daļā noteikto, 75 procentu apmērā ieskaitāmi valsts pamatbudžetā, bet 25 procentu apmērā — tās pašvaldības budžetā, kuras teritorijā tiek organizēta azartspēle.</w:t>
            </w:r>
          </w:p>
        </w:tc>
        <w:tc>
          <w:tcPr>
            <w:tcW w:w="3969" w:type="dxa"/>
            <w:shd w:val="clear" w:color="auto" w:fill="auto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>3. 12. pantā:</w:t>
            </w:r>
          </w:p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>izteikt otro daļu šādā redakcijā:</w:t>
            </w:r>
          </w:p>
          <w:p w:rsidR="0072286E" w:rsidRPr="00A14CDE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>"Ienākumi no azartspēļu nodokļa, izņemot šā panta trešajā daļā noteikto, 90 procentu apmērā ieskaitāmi valsts pamatbudžetā, bet 10 procentu apmērā – tās pašvaldības budžetā, kuras teritorijā tiek organizēta azartspēle.";</w:t>
            </w:r>
          </w:p>
        </w:tc>
        <w:tc>
          <w:tcPr>
            <w:tcW w:w="567" w:type="dxa"/>
          </w:tcPr>
          <w:p w:rsidR="0072286E" w:rsidRDefault="00643102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1</w:t>
            </w:r>
          </w:p>
          <w:p w:rsidR="00643102" w:rsidRDefault="00643102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  <w:p w:rsidR="00643102" w:rsidRDefault="00643102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  <w:p w:rsidR="00643102" w:rsidRPr="0072286E" w:rsidRDefault="00643102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3969" w:type="dxa"/>
          </w:tcPr>
          <w:p w:rsidR="007216D6" w:rsidRDefault="007216D6" w:rsidP="00905430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Deputāts V.Valainis</w:t>
            </w:r>
          </w:p>
          <w:p w:rsidR="007216D6" w:rsidRPr="007216D6" w:rsidRDefault="007216D6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7216D6">
              <w:rPr>
                <w:rFonts w:eastAsia="Times New Roman"/>
                <w:iCs/>
                <w:color w:val="000000"/>
                <w:sz w:val="22"/>
                <w:lang w:eastAsia="lv-LV"/>
              </w:rPr>
              <w:t>Izslēgt likumprojekta 3. pantu.</w:t>
            </w:r>
          </w:p>
          <w:p w:rsidR="007216D6" w:rsidRDefault="007216D6" w:rsidP="00905430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</w:p>
          <w:p w:rsidR="0072286E" w:rsidRDefault="00F156B8" w:rsidP="00905430">
            <w:pPr>
              <w:ind w:firstLine="567"/>
              <w:jc w:val="both"/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Juridiskais birojs</w:t>
            </w:r>
          </w:p>
          <w:p w:rsidR="00F156B8" w:rsidRPr="00F156B8" w:rsidRDefault="00F156B8" w:rsidP="00F156B8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iCs/>
                <w:color w:val="000000"/>
                <w:sz w:val="22"/>
                <w:lang w:eastAsia="lv-LV"/>
              </w:rPr>
              <w:t>I</w:t>
            </w:r>
            <w:r w:rsidRPr="00F156B8">
              <w:rPr>
                <w:rFonts w:eastAsia="Times New Roman"/>
                <w:iCs/>
                <w:color w:val="000000"/>
                <w:sz w:val="22"/>
                <w:lang w:eastAsia="lv-LV"/>
              </w:rPr>
              <w:t>erosinām izteikt likumprojektā ietverto grozījumu likuma 12. panta otrajā daļā (likumprojekta 3. pants) šādā redakcijā:</w:t>
            </w:r>
          </w:p>
          <w:p w:rsidR="00F156B8" w:rsidRPr="00F156B8" w:rsidRDefault="00F156B8" w:rsidP="00F156B8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F156B8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“aizstāt otrajā daļā </w:t>
            </w:r>
            <w:r>
              <w:rPr>
                <w:rFonts w:eastAsia="Times New Roman"/>
                <w:iCs/>
                <w:color w:val="000000"/>
                <w:sz w:val="22"/>
                <w:lang w:eastAsia="lv-LV"/>
              </w:rPr>
              <w:t>skaitli “75” ar skaitli “90” un skaitli “25” ar skaitli “10”</w:t>
            </w:r>
            <w:r w:rsidRPr="00F156B8">
              <w:rPr>
                <w:rFonts w:eastAsia="Times New Roman"/>
                <w:iCs/>
                <w:color w:val="000000"/>
                <w:sz w:val="22"/>
                <w:lang w:eastAsia="lv-LV"/>
              </w:rPr>
              <w:t>.”</w:t>
            </w: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Default="0072286E" w:rsidP="006F0AD7">
            <w:pPr>
              <w:ind w:firstLine="567"/>
              <w:jc w:val="both"/>
              <w:rPr>
                <w:b/>
                <w:i/>
                <w:sz w:val="22"/>
              </w:rPr>
            </w:pPr>
            <w:r w:rsidRPr="00E9406A">
              <w:rPr>
                <w:b/>
                <w:i/>
                <w:sz w:val="22"/>
              </w:rPr>
              <w:t>(23.05.2019. likuma redakcijā, kas stājas spēkā 01.01.2021.)</w:t>
            </w:r>
          </w:p>
          <w:p w:rsidR="0072286E" w:rsidRDefault="0072286E" w:rsidP="006F0AD7">
            <w:pPr>
              <w:ind w:firstLine="567"/>
              <w:jc w:val="both"/>
              <w:rPr>
                <w:b/>
                <w:i/>
                <w:sz w:val="22"/>
              </w:rPr>
            </w:pPr>
          </w:p>
          <w:p w:rsidR="0072286E" w:rsidRPr="00E9406A" w:rsidRDefault="0072286E" w:rsidP="00E9406A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sz w:val="22"/>
              </w:rPr>
              <w:t xml:space="preserve">Valsts ieņēmumu dienests divu darba dienu laikā pēc šā likuma </w:t>
            </w:r>
            <w:r w:rsidRPr="00327366">
              <w:rPr>
                <w:sz w:val="22"/>
              </w:rPr>
              <w:t>10.</w:t>
            </w:r>
            <w:r w:rsidRPr="00E9406A">
              <w:rPr>
                <w:sz w:val="22"/>
              </w:rPr>
              <w:t> panta septītajā daļā noteiktā izložu un azartspēļu nodokļa samaksas termiņa sadala un attiecina nodokļa ieņēmumus šādi:</w:t>
            </w:r>
          </w:p>
          <w:p w:rsidR="0072286E" w:rsidRPr="00E9406A" w:rsidRDefault="0072286E" w:rsidP="00E9406A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sz w:val="22"/>
              </w:rPr>
              <w:t>1) izložu nodokļa ieņēmumus par vietēja mēroga izložu (arī momentloteriju) organizēšanu — 100 procentu apmērā ieskaita tās pašvaldības budžetā, kuras teritorijā tika organizēta izloze (arī momentloterija);</w:t>
            </w:r>
          </w:p>
          <w:p w:rsidR="0072286E" w:rsidRPr="00E9406A" w:rsidRDefault="0072286E" w:rsidP="00E9406A">
            <w:pPr>
              <w:ind w:firstLine="567"/>
              <w:jc w:val="both"/>
              <w:rPr>
                <w:sz w:val="22"/>
              </w:rPr>
            </w:pPr>
            <w:r w:rsidRPr="00E9406A">
              <w:rPr>
                <w:sz w:val="22"/>
              </w:rPr>
              <w:lastRenderedPageBreak/>
              <w:t>2) azartspēļu nodokļa ieņēmumus (izņemot azartspēļu nodokļa ieņēmumus par šā likuma 3. panta piektajā daļā minēto objektu) — 25 procentu apmērā ieskaita tās pašvaldības budžetā, kuras teritorijā tika organizēta azartspēle, bet 75 procentu apmērā attiecina uz valsts pamatbudžeta ieņēmumiem.</w:t>
            </w:r>
          </w:p>
        </w:tc>
        <w:tc>
          <w:tcPr>
            <w:tcW w:w="3969" w:type="dxa"/>
            <w:shd w:val="clear" w:color="auto" w:fill="auto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lastRenderedPageBreak/>
              <w:t>izteikt piekto daļu šādā redakcijā:</w:t>
            </w:r>
          </w:p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>"Valsts ieņēmumu dienests divu darba dienu laikā pēc šā likuma 10. panta septītajā daļā noteiktā izložu un azartspēļu nodokļa samaksas termiņa sadala un attiecina nodokļa ieņēmumus šādi:</w:t>
            </w:r>
          </w:p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>1) izložu nodokļa ieņēmumus par vietēja mēroga izložu (arī momentloteriju) organizēšanu 100 procentu apmērā ieskaita tās pašvaldības budžetā, kuras teritorijā tika organizēta izloze (arī momentloterija);</w:t>
            </w:r>
          </w:p>
          <w:p w:rsidR="0072286E" w:rsidRPr="004F2938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t xml:space="preserve">2) azartspēļu nodokļa ieņēmumus (izņemot azartspēļu nodokļa ieņēmumus </w:t>
            </w:r>
            <w:r w:rsidRPr="00905430">
              <w:rPr>
                <w:rFonts w:eastAsia="Times New Roman"/>
                <w:iCs/>
                <w:color w:val="000000"/>
                <w:sz w:val="22"/>
                <w:lang w:eastAsia="lv-LV"/>
              </w:rPr>
              <w:lastRenderedPageBreak/>
              <w:t>par šā likuma 3. panta piektajā daļā minēto objektu) 10 procentu apmērā ieskaita tās pašvaldības budžetā, kuras teritorijā tika organizēta azartspēle, bet 90 procentu apmērā attiecina uz valsts pamatbudžeta ieņēmumiem."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905430" w:rsidRDefault="0072286E" w:rsidP="00905430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Pr="00E9406A" w:rsidRDefault="0072286E" w:rsidP="00BB5737">
            <w:pPr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Pārejas noteikumi</w:t>
            </w:r>
          </w:p>
        </w:tc>
        <w:tc>
          <w:tcPr>
            <w:tcW w:w="3969" w:type="dxa"/>
            <w:shd w:val="clear" w:color="auto" w:fill="auto"/>
          </w:tcPr>
          <w:p w:rsidR="0072286E" w:rsidRPr="00B23AE5" w:rsidRDefault="0072286E" w:rsidP="00B23AE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B23AE5">
              <w:rPr>
                <w:rFonts w:eastAsia="Times New Roman"/>
                <w:iCs/>
                <w:color w:val="000000"/>
                <w:sz w:val="22"/>
                <w:lang w:eastAsia="lv-LV"/>
              </w:rPr>
              <w:t>4. Papildināt pārejas noteikumus ar 15. punktu šādā redakcijā:</w:t>
            </w:r>
          </w:p>
          <w:p w:rsidR="0072286E" w:rsidRDefault="0072286E" w:rsidP="00F3021E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B23AE5">
              <w:rPr>
                <w:rFonts w:eastAsia="Times New Roman"/>
                <w:iCs/>
                <w:color w:val="000000"/>
                <w:sz w:val="22"/>
                <w:lang w:eastAsia="lv-LV"/>
              </w:rPr>
              <w:t>"15. Grozījums 12. panta piektajā daļā par tās izteikšanu jaunā redakcijā stājas spēkā 2021. gada 1. janvārī."</w:t>
            </w:r>
          </w:p>
        </w:tc>
        <w:tc>
          <w:tcPr>
            <w:tcW w:w="567" w:type="dxa"/>
          </w:tcPr>
          <w:p w:rsidR="0072286E" w:rsidRPr="0072286E" w:rsidRDefault="00643102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3969" w:type="dxa"/>
          </w:tcPr>
          <w:p w:rsidR="0072286E" w:rsidRDefault="007216D6" w:rsidP="00B23AE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u w:val="single"/>
                <w:lang w:eastAsia="lv-LV"/>
              </w:rPr>
              <w:t>Deputāts V.Valainis</w:t>
            </w:r>
          </w:p>
          <w:p w:rsidR="007216D6" w:rsidRPr="00B23AE5" w:rsidRDefault="007216D6" w:rsidP="007216D6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8268D3">
              <w:rPr>
                <w:szCs w:val="24"/>
              </w:rPr>
              <w:t>Izslēgt likumprojekta 4.</w:t>
            </w:r>
            <w:r>
              <w:rPr>
                <w:szCs w:val="24"/>
              </w:rPr>
              <w:t xml:space="preserve"> </w:t>
            </w:r>
            <w:r w:rsidRPr="008268D3">
              <w:rPr>
                <w:szCs w:val="24"/>
              </w:rPr>
              <w:t>pantu.</w:t>
            </w:r>
          </w:p>
        </w:tc>
        <w:tc>
          <w:tcPr>
            <w:tcW w:w="1418" w:type="dxa"/>
          </w:tcPr>
          <w:p w:rsidR="0072286E" w:rsidRPr="00B23AE5" w:rsidRDefault="0072286E" w:rsidP="00B23AE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B23AE5" w:rsidRDefault="0072286E" w:rsidP="00B23AE5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  <w:tr w:rsidR="0072286E" w:rsidRPr="001B3F41" w:rsidTr="0072286E">
        <w:tc>
          <w:tcPr>
            <w:tcW w:w="3969" w:type="dxa"/>
            <w:shd w:val="clear" w:color="auto" w:fill="auto"/>
          </w:tcPr>
          <w:p w:rsidR="0072286E" w:rsidRDefault="0072286E" w:rsidP="00B6215C">
            <w:pPr>
              <w:ind w:firstLine="567"/>
              <w:jc w:val="both"/>
              <w:rPr>
                <w:b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286E" w:rsidRDefault="0072286E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  <w:r w:rsidRPr="00EA0C03">
              <w:rPr>
                <w:rFonts w:eastAsia="Times New Roman"/>
                <w:iCs/>
                <w:color w:val="000000"/>
                <w:sz w:val="22"/>
                <w:lang w:eastAsia="lv-LV"/>
              </w:rPr>
              <w:t>Likums stājas spēkā 2020. gada 1. janvārī.</w:t>
            </w:r>
          </w:p>
        </w:tc>
        <w:tc>
          <w:tcPr>
            <w:tcW w:w="567" w:type="dxa"/>
          </w:tcPr>
          <w:p w:rsidR="0072286E" w:rsidRPr="0072286E" w:rsidRDefault="0072286E" w:rsidP="0072286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3969" w:type="dxa"/>
          </w:tcPr>
          <w:p w:rsidR="0072286E" w:rsidRPr="00EA0C03" w:rsidRDefault="0072286E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EA0C03" w:rsidRDefault="0072286E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:rsidR="0072286E" w:rsidRPr="00EA0C03" w:rsidRDefault="0072286E" w:rsidP="00EC158C">
            <w:pPr>
              <w:ind w:firstLine="567"/>
              <w:jc w:val="both"/>
              <w:rPr>
                <w:rFonts w:eastAsia="Times New Roman"/>
                <w:iCs/>
                <w:color w:val="000000"/>
                <w:sz w:val="22"/>
                <w:lang w:eastAsia="lv-LV"/>
              </w:rPr>
            </w:pPr>
          </w:p>
        </w:tc>
      </w:tr>
    </w:tbl>
    <w:p w:rsidR="00A400CF" w:rsidRDefault="00A400CF"/>
    <w:sectPr w:rsidR="00A400CF" w:rsidSect="00495B31">
      <w:footerReference w:type="even" r:id="rId7"/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B" w:rsidRDefault="00BC3C78">
      <w:r>
        <w:separator/>
      </w:r>
    </w:p>
  </w:endnote>
  <w:endnote w:type="continuationSeparator" w:id="0">
    <w:p w:rsidR="0061617B" w:rsidRDefault="00B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4" w:rsidRDefault="00576E16" w:rsidP="00511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D34" w:rsidRDefault="009C6DCD" w:rsidP="00511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4" w:rsidRDefault="00576E16" w:rsidP="00511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CD">
      <w:rPr>
        <w:rStyle w:val="PageNumber"/>
        <w:noProof/>
      </w:rPr>
      <w:t>3</w:t>
    </w:r>
    <w:r>
      <w:rPr>
        <w:rStyle w:val="PageNumber"/>
      </w:rPr>
      <w:fldChar w:fldCharType="end"/>
    </w:r>
  </w:p>
  <w:p w:rsidR="00511D34" w:rsidRDefault="009C6DCD" w:rsidP="00511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B" w:rsidRDefault="00BC3C78">
      <w:r>
        <w:separator/>
      </w:r>
    </w:p>
  </w:footnote>
  <w:footnote w:type="continuationSeparator" w:id="0">
    <w:p w:rsidR="0061617B" w:rsidRDefault="00BC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1E06"/>
    <w:multiLevelType w:val="hybridMultilevel"/>
    <w:tmpl w:val="D5FEFA0E"/>
    <w:lvl w:ilvl="0" w:tplc="E3EEDCD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5790F"/>
    <w:multiLevelType w:val="hybridMultilevel"/>
    <w:tmpl w:val="2D7C53D0"/>
    <w:lvl w:ilvl="0" w:tplc="D6DEB9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D1F08"/>
    <w:multiLevelType w:val="hybridMultilevel"/>
    <w:tmpl w:val="C5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4FE7"/>
    <w:multiLevelType w:val="hybridMultilevel"/>
    <w:tmpl w:val="F308FD94"/>
    <w:lvl w:ilvl="0" w:tplc="EFE02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726A7C"/>
    <w:multiLevelType w:val="hybridMultilevel"/>
    <w:tmpl w:val="E6A8720E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6"/>
    <w:rsid w:val="00000209"/>
    <w:rsid w:val="00020F85"/>
    <w:rsid w:val="00024868"/>
    <w:rsid w:val="000426CA"/>
    <w:rsid w:val="00046CB8"/>
    <w:rsid w:val="00052EAB"/>
    <w:rsid w:val="000717D3"/>
    <w:rsid w:val="00074B12"/>
    <w:rsid w:val="000767B2"/>
    <w:rsid w:val="000816DA"/>
    <w:rsid w:val="000E159B"/>
    <w:rsid w:val="000E2107"/>
    <w:rsid w:val="000E4D0C"/>
    <w:rsid w:val="000F155D"/>
    <w:rsid w:val="00114BBD"/>
    <w:rsid w:val="001161F6"/>
    <w:rsid w:val="001248AC"/>
    <w:rsid w:val="001268F5"/>
    <w:rsid w:val="00132BC5"/>
    <w:rsid w:val="00146A84"/>
    <w:rsid w:val="00160883"/>
    <w:rsid w:val="0016168C"/>
    <w:rsid w:val="00161D6D"/>
    <w:rsid w:val="001636B2"/>
    <w:rsid w:val="0016468E"/>
    <w:rsid w:val="001846DF"/>
    <w:rsid w:val="001A1803"/>
    <w:rsid w:val="001A7561"/>
    <w:rsid w:val="001B359D"/>
    <w:rsid w:val="001B4987"/>
    <w:rsid w:val="001C0569"/>
    <w:rsid w:val="001D7290"/>
    <w:rsid w:val="001E005A"/>
    <w:rsid w:val="001E7B89"/>
    <w:rsid w:val="001F548E"/>
    <w:rsid w:val="001F5D02"/>
    <w:rsid w:val="0021151F"/>
    <w:rsid w:val="00214FE5"/>
    <w:rsid w:val="0022488C"/>
    <w:rsid w:val="00233759"/>
    <w:rsid w:val="00254016"/>
    <w:rsid w:val="0029588D"/>
    <w:rsid w:val="002B16C4"/>
    <w:rsid w:val="002B4D0E"/>
    <w:rsid w:val="002C5F5C"/>
    <w:rsid w:val="002C76C3"/>
    <w:rsid w:val="002D05FD"/>
    <w:rsid w:val="002D0C5F"/>
    <w:rsid w:val="002E24FD"/>
    <w:rsid w:val="00303D58"/>
    <w:rsid w:val="00327366"/>
    <w:rsid w:val="0033023E"/>
    <w:rsid w:val="003446BF"/>
    <w:rsid w:val="00351037"/>
    <w:rsid w:val="00356D43"/>
    <w:rsid w:val="0036461C"/>
    <w:rsid w:val="00375203"/>
    <w:rsid w:val="00376964"/>
    <w:rsid w:val="00382399"/>
    <w:rsid w:val="00386D2A"/>
    <w:rsid w:val="003A0935"/>
    <w:rsid w:val="003A34B5"/>
    <w:rsid w:val="003A5EFA"/>
    <w:rsid w:val="003B4F80"/>
    <w:rsid w:val="003D4D14"/>
    <w:rsid w:val="003D7FA8"/>
    <w:rsid w:val="003F13E9"/>
    <w:rsid w:val="003F255F"/>
    <w:rsid w:val="003F30F6"/>
    <w:rsid w:val="00400CE7"/>
    <w:rsid w:val="00401C7C"/>
    <w:rsid w:val="00405A5F"/>
    <w:rsid w:val="00415A04"/>
    <w:rsid w:val="004433B5"/>
    <w:rsid w:val="00457779"/>
    <w:rsid w:val="00457CB6"/>
    <w:rsid w:val="00465888"/>
    <w:rsid w:val="004659C5"/>
    <w:rsid w:val="004677A4"/>
    <w:rsid w:val="00467954"/>
    <w:rsid w:val="0048560A"/>
    <w:rsid w:val="00486D88"/>
    <w:rsid w:val="00497098"/>
    <w:rsid w:val="00497A0D"/>
    <w:rsid w:val="004C06D8"/>
    <w:rsid w:val="004C733D"/>
    <w:rsid w:val="004E5491"/>
    <w:rsid w:val="004F2938"/>
    <w:rsid w:val="0050497D"/>
    <w:rsid w:val="00504A68"/>
    <w:rsid w:val="00520099"/>
    <w:rsid w:val="00546502"/>
    <w:rsid w:val="00572523"/>
    <w:rsid w:val="00576E16"/>
    <w:rsid w:val="00581468"/>
    <w:rsid w:val="00591DDB"/>
    <w:rsid w:val="005B4453"/>
    <w:rsid w:val="005D37BB"/>
    <w:rsid w:val="005D5F22"/>
    <w:rsid w:val="005E54AA"/>
    <w:rsid w:val="00604032"/>
    <w:rsid w:val="00606DBE"/>
    <w:rsid w:val="0061617B"/>
    <w:rsid w:val="00626465"/>
    <w:rsid w:val="00632DD9"/>
    <w:rsid w:val="006339A0"/>
    <w:rsid w:val="00634835"/>
    <w:rsid w:val="00640F9F"/>
    <w:rsid w:val="00643102"/>
    <w:rsid w:val="00653AA9"/>
    <w:rsid w:val="00681536"/>
    <w:rsid w:val="00687F46"/>
    <w:rsid w:val="006D0779"/>
    <w:rsid w:val="006E0266"/>
    <w:rsid w:val="006F0AD7"/>
    <w:rsid w:val="007044D0"/>
    <w:rsid w:val="00717019"/>
    <w:rsid w:val="00720B41"/>
    <w:rsid w:val="007216D6"/>
    <w:rsid w:val="0072286E"/>
    <w:rsid w:val="00746C61"/>
    <w:rsid w:val="007674E4"/>
    <w:rsid w:val="00770F0C"/>
    <w:rsid w:val="00772DD6"/>
    <w:rsid w:val="00777B71"/>
    <w:rsid w:val="007A3FFC"/>
    <w:rsid w:val="007A59BC"/>
    <w:rsid w:val="007A699D"/>
    <w:rsid w:val="007B5EE8"/>
    <w:rsid w:val="007E2C08"/>
    <w:rsid w:val="0084288E"/>
    <w:rsid w:val="00846895"/>
    <w:rsid w:val="0087454D"/>
    <w:rsid w:val="00876AD8"/>
    <w:rsid w:val="00883733"/>
    <w:rsid w:val="00883897"/>
    <w:rsid w:val="00884683"/>
    <w:rsid w:val="00895AA5"/>
    <w:rsid w:val="008A2A30"/>
    <w:rsid w:val="008A5221"/>
    <w:rsid w:val="008B6968"/>
    <w:rsid w:val="008D0FC9"/>
    <w:rsid w:val="00903609"/>
    <w:rsid w:val="00903E38"/>
    <w:rsid w:val="00905430"/>
    <w:rsid w:val="00910ABE"/>
    <w:rsid w:val="00927192"/>
    <w:rsid w:val="0094485C"/>
    <w:rsid w:val="00947EED"/>
    <w:rsid w:val="009514F1"/>
    <w:rsid w:val="00953442"/>
    <w:rsid w:val="00955C25"/>
    <w:rsid w:val="009636A8"/>
    <w:rsid w:val="0096593E"/>
    <w:rsid w:val="0098171D"/>
    <w:rsid w:val="00993F1B"/>
    <w:rsid w:val="00996C86"/>
    <w:rsid w:val="009A3D9C"/>
    <w:rsid w:val="009A52CF"/>
    <w:rsid w:val="009B08A6"/>
    <w:rsid w:val="009B729D"/>
    <w:rsid w:val="009C281E"/>
    <w:rsid w:val="009C6DCD"/>
    <w:rsid w:val="009D05D2"/>
    <w:rsid w:val="009D7372"/>
    <w:rsid w:val="00A00B52"/>
    <w:rsid w:val="00A11B18"/>
    <w:rsid w:val="00A14CDE"/>
    <w:rsid w:val="00A169B5"/>
    <w:rsid w:val="00A400CF"/>
    <w:rsid w:val="00AA1600"/>
    <w:rsid w:val="00AA7863"/>
    <w:rsid w:val="00AB03BC"/>
    <w:rsid w:val="00AB1FE4"/>
    <w:rsid w:val="00AB5FE9"/>
    <w:rsid w:val="00AE10D0"/>
    <w:rsid w:val="00B12903"/>
    <w:rsid w:val="00B23AE5"/>
    <w:rsid w:val="00B24E53"/>
    <w:rsid w:val="00B33F56"/>
    <w:rsid w:val="00B36DAB"/>
    <w:rsid w:val="00B6215C"/>
    <w:rsid w:val="00B6582A"/>
    <w:rsid w:val="00B712D1"/>
    <w:rsid w:val="00B7430C"/>
    <w:rsid w:val="00B74AE3"/>
    <w:rsid w:val="00B800F7"/>
    <w:rsid w:val="00B81B3E"/>
    <w:rsid w:val="00B86BB3"/>
    <w:rsid w:val="00BB5737"/>
    <w:rsid w:val="00BC3C78"/>
    <w:rsid w:val="00BC5607"/>
    <w:rsid w:val="00BC6DFF"/>
    <w:rsid w:val="00BE4D1F"/>
    <w:rsid w:val="00BF1E57"/>
    <w:rsid w:val="00C127F1"/>
    <w:rsid w:val="00C15B22"/>
    <w:rsid w:val="00C17839"/>
    <w:rsid w:val="00C316E1"/>
    <w:rsid w:val="00C34CF9"/>
    <w:rsid w:val="00C44ADF"/>
    <w:rsid w:val="00C55326"/>
    <w:rsid w:val="00C757AA"/>
    <w:rsid w:val="00C75A1E"/>
    <w:rsid w:val="00C825DA"/>
    <w:rsid w:val="00CA4D55"/>
    <w:rsid w:val="00CB5CE2"/>
    <w:rsid w:val="00CC37E9"/>
    <w:rsid w:val="00CD26C6"/>
    <w:rsid w:val="00CD34B5"/>
    <w:rsid w:val="00CD5E12"/>
    <w:rsid w:val="00CD5FC9"/>
    <w:rsid w:val="00CF2763"/>
    <w:rsid w:val="00D011AD"/>
    <w:rsid w:val="00D141D1"/>
    <w:rsid w:val="00D319E6"/>
    <w:rsid w:val="00D513AD"/>
    <w:rsid w:val="00D664C1"/>
    <w:rsid w:val="00D665E0"/>
    <w:rsid w:val="00D7094B"/>
    <w:rsid w:val="00D74397"/>
    <w:rsid w:val="00D9205B"/>
    <w:rsid w:val="00D92108"/>
    <w:rsid w:val="00DC2434"/>
    <w:rsid w:val="00DD7FEF"/>
    <w:rsid w:val="00DE4D1D"/>
    <w:rsid w:val="00E0312B"/>
    <w:rsid w:val="00E068DB"/>
    <w:rsid w:val="00E12F7F"/>
    <w:rsid w:val="00E30D2D"/>
    <w:rsid w:val="00E31A90"/>
    <w:rsid w:val="00E708DF"/>
    <w:rsid w:val="00E71869"/>
    <w:rsid w:val="00E86455"/>
    <w:rsid w:val="00E9406A"/>
    <w:rsid w:val="00E9681F"/>
    <w:rsid w:val="00EA0C03"/>
    <w:rsid w:val="00EA52E1"/>
    <w:rsid w:val="00EA5739"/>
    <w:rsid w:val="00EC158C"/>
    <w:rsid w:val="00EC3FEB"/>
    <w:rsid w:val="00EC4586"/>
    <w:rsid w:val="00EF0958"/>
    <w:rsid w:val="00EF3075"/>
    <w:rsid w:val="00EF55C3"/>
    <w:rsid w:val="00F04F02"/>
    <w:rsid w:val="00F10578"/>
    <w:rsid w:val="00F156B8"/>
    <w:rsid w:val="00F3021E"/>
    <w:rsid w:val="00F36723"/>
    <w:rsid w:val="00F36B31"/>
    <w:rsid w:val="00F37D82"/>
    <w:rsid w:val="00F5084C"/>
    <w:rsid w:val="00F51CF1"/>
    <w:rsid w:val="00F60824"/>
    <w:rsid w:val="00F823B4"/>
    <w:rsid w:val="00F97FB5"/>
    <w:rsid w:val="00FA26C0"/>
    <w:rsid w:val="00FA4FDD"/>
    <w:rsid w:val="00FC3F53"/>
    <w:rsid w:val="00FE50B9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E6B95-F4DD-4994-97B6-773FC16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1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76E16"/>
    <w:rPr>
      <w:i/>
      <w:iCs/>
    </w:rPr>
  </w:style>
  <w:style w:type="paragraph" w:styleId="Footer">
    <w:name w:val="footer"/>
    <w:basedOn w:val="Normal"/>
    <w:link w:val="FooterChar"/>
    <w:rsid w:val="00576E16"/>
    <w:pPr>
      <w:tabs>
        <w:tab w:val="center" w:pos="4153"/>
        <w:tab w:val="right" w:pos="8306"/>
      </w:tabs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76E16"/>
    <w:rPr>
      <w:rFonts w:eastAsia="Times New Roman" w:cs="Times New Roman"/>
      <w:szCs w:val="24"/>
      <w:lang w:val="en-GB"/>
    </w:rPr>
  </w:style>
  <w:style w:type="character" w:styleId="PageNumber">
    <w:name w:val="page number"/>
    <w:rsid w:val="00576E16"/>
  </w:style>
  <w:style w:type="paragraph" w:customStyle="1" w:styleId="naisvisr">
    <w:name w:val="naisvisr"/>
    <w:basedOn w:val="Normal"/>
    <w:rsid w:val="00576E16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66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Krustiņš</dc:creator>
  <cp:keywords/>
  <dc:description/>
  <cp:lastModifiedBy>Arnis Krustiņš</cp:lastModifiedBy>
  <cp:revision>2</cp:revision>
  <cp:lastPrinted>2018-11-29T07:09:00Z</cp:lastPrinted>
  <dcterms:created xsi:type="dcterms:W3CDTF">2019-11-02T11:00:00Z</dcterms:created>
  <dcterms:modified xsi:type="dcterms:W3CDTF">2019-11-02T11:00:00Z</dcterms:modified>
</cp:coreProperties>
</file>