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AC" w:rsidRPr="00A771C8" w:rsidRDefault="00EA52AC" w:rsidP="00EA52AC">
      <w:pPr>
        <w:rPr>
          <w:b/>
          <w:i/>
          <w:color w:val="000000" w:themeColor="text1"/>
          <w:sz w:val="22"/>
        </w:rPr>
      </w:pPr>
      <w:bookmarkStart w:id="0" w:name="_GoBack"/>
      <w:r w:rsidRPr="00A771C8">
        <w:rPr>
          <w:color w:val="000000" w:themeColor="text1"/>
          <w:sz w:val="26"/>
          <w:szCs w:val="26"/>
        </w:rPr>
        <w:t xml:space="preserve">Budžeta un finanšu (nodokļu) komisija </w:t>
      </w:r>
    </w:p>
    <w:p w:rsidR="00EA52AC" w:rsidRPr="00A771C8" w:rsidRDefault="00EA52AC" w:rsidP="00EA52AC">
      <w:pPr>
        <w:pStyle w:val="Title"/>
        <w:jc w:val="right"/>
        <w:rPr>
          <w:b w:val="0"/>
          <w:color w:val="000000" w:themeColor="text1"/>
          <w:sz w:val="26"/>
          <w:szCs w:val="26"/>
        </w:rPr>
      </w:pPr>
      <w:r w:rsidRPr="00A771C8">
        <w:rPr>
          <w:b w:val="0"/>
          <w:color w:val="000000" w:themeColor="text1"/>
          <w:sz w:val="26"/>
          <w:szCs w:val="26"/>
        </w:rPr>
        <w:t>Likumprojekts (steidzams) otrajam lasījumam</w:t>
      </w:r>
    </w:p>
    <w:p w:rsidR="00EA52AC" w:rsidRPr="00A771C8" w:rsidRDefault="00EA52AC" w:rsidP="00EA52AC">
      <w:pPr>
        <w:shd w:val="clear" w:color="auto" w:fill="FFFFFF"/>
        <w:jc w:val="center"/>
        <w:rPr>
          <w:rFonts w:eastAsia="Times New Roman"/>
          <w:b/>
          <w:color w:val="000000" w:themeColor="text1"/>
          <w:sz w:val="28"/>
          <w:szCs w:val="28"/>
          <w:lang w:eastAsia="lv-LV"/>
        </w:rPr>
      </w:pPr>
    </w:p>
    <w:p w:rsidR="00EA52AC" w:rsidRPr="00A771C8" w:rsidRDefault="00EA52AC" w:rsidP="00EA52AC">
      <w:pPr>
        <w:shd w:val="clear" w:color="auto" w:fill="FFFFFF"/>
        <w:jc w:val="center"/>
        <w:rPr>
          <w:rFonts w:eastAsia="Times New Roman"/>
          <w:b/>
          <w:color w:val="000000" w:themeColor="text1"/>
          <w:sz w:val="28"/>
          <w:szCs w:val="28"/>
          <w:lang w:eastAsia="lv-LV"/>
        </w:rPr>
      </w:pPr>
      <w:r w:rsidRPr="00A771C8">
        <w:rPr>
          <w:rFonts w:eastAsia="Times New Roman"/>
          <w:b/>
          <w:color w:val="000000" w:themeColor="text1"/>
          <w:sz w:val="28"/>
          <w:szCs w:val="28"/>
          <w:lang w:eastAsia="lv-LV"/>
        </w:rPr>
        <w:t>Grozījums likumā “Par valsts pensijām”</w:t>
      </w:r>
    </w:p>
    <w:p w:rsidR="00EA52AC" w:rsidRPr="00A771C8" w:rsidRDefault="00EA52AC" w:rsidP="00EA52AC">
      <w:pPr>
        <w:jc w:val="center"/>
        <w:rPr>
          <w:rStyle w:val="Emphasis"/>
          <w:b/>
          <w:color w:val="000000" w:themeColor="text1"/>
          <w:sz w:val="26"/>
          <w:szCs w:val="26"/>
        </w:rPr>
      </w:pPr>
      <w:r w:rsidRPr="00A771C8">
        <w:rPr>
          <w:rStyle w:val="Emphasis"/>
          <w:b/>
          <w:color w:val="000000" w:themeColor="text1"/>
          <w:sz w:val="26"/>
          <w:szCs w:val="26"/>
        </w:rPr>
        <w:t xml:space="preserve"> (Nr. 433/Lp13) </w:t>
      </w:r>
    </w:p>
    <w:p w:rsidR="00EA52AC" w:rsidRPr="00A771C8" w:rsidRDefault="00EA52AC" w:rsidP="00EA52AC">
      <w:pPr>
        <w:jc w:val="center"/>
        <w:rPr>
          <w:rStyle w:val="Emphasis"/>
          <w:b/>
          <w:color w:val="000000" w:themeColor="text1"/>
          <w:sz w:val="26"/>
          <w:szCs w:val="26"/>
        </w:rPr>
      </w:pP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3798"/>
        <w:gridCol w:w="556"/>
        <w:gridCol w:w="3798"/>
        <w:gridCol w:w="1417"/>
        <w:gridCol w:w="1417"/>
      </w:tblGrid>
      <w:tr w:rsidR="00A771C8" w:rsidRPr="00A771C8" w:rsidTr="00EA52AC">
        <w:tc>
          <w:tcPr>
            <w:tcW w:w="3798" w:type="dxa"/>
            <w:shd w:val="clear" w:color="auto" w:fill="auto"/>
            <w:vAlign w:val="center"/>
          </w:tcPr>
          <w:p w:rsidR="00EA52AC" w:rsidRPr="00A771C8" w:rsidRDefault="00EA52AC" w:rsidP="00EA52AC">
            <w:pPr>
              <w:jc w:val="center"/>
              <w:rPr>
                <w:b/>
                <w:bCs/>
                <w:iCs/>
                <w:color w:val="000000" w:themeColor="text1"/>
              </w:rPr>
            </w:pPr>
            <w:r w:rsidRPr="00A771C8">
              <w:rPr>
                <w:b/>
                <w:color w:val="000000" w:themeColor="text1"/>
              </w:rPr>
              <w:t>Spēkā esošā redakcija</w:t>
            </w:r>
          </w:p>
        </w:tc>
        <w:tc>
          <w:tcPr>
            <w:tcW w:w="3798" w:type="dxa"/>
            <w:shd w:val="clear" w:color="auto" w:fill="auto"/>
            <w:vAlign w:val="center"/>
          </w:tcPr>
          <w:p w:rsidR="00EA52AC" w:rsidRPr="00A771C8" w:rsidRDefault="00EA52AC" w:rsidP="00EA52AC">
            <w:pPr>
              <w:jc w:val="center"/>
              <w:rPr>
                <w:b/>
                <w:color w:val="000000" w:themeColor="text1"/>
              </w:rPr>
            </w:pPr>
            <w:r w:rsidRPr="00A771C8">
              <w:rPr>
                <w:b/>
                <w:color w:val="000000" w:themeColor="text1"/>
              </w:rPr>
              <w:t>Pirmā lasījuma redakcija</w:t>
            </w:r>
          </w:p>
        </w:tc>
        <w:tc>
          <w:tcPr>
            <w:tcW w:w="556" w:type="dxa"/>
            <w:vAlign w:val="center"/>
          </w:tcPr>
          <w:p w:rsidR="00EA52AC" w:rsidRPr="00A771C8" w:rsidRDefault="00EA52AC" w:rsidP="00B0329A">
            <w:pPr>
              <w:jc w:val="center"/>
              <w:rPr>
                <w:b/>
                <w:color w:val="000000" w:themeColor="text1"/>
              </w:rPr>
            </w:pPr>
            <w:r w:rsidRPr="00A771C8">
              <w:rPr>
                <w:b/>
                <w:color w:val="000000" w:themeColor="text1"/>
              </w:rPr>
              <w:t>Nr.</w:t>
            </w:r>
          </w:p>
        </w:tc>
        <w:tc>
          <w:tcPr>
            <w:tcW w:w="3798" w:type="dxa"/>
            <w:vAlign w:val="center"/>
          </w:tcPr>
          <w:p w:rsidR="00EA52AC" w:rsidRPr="00A771C8" w:rsidRDefault="00EA52AC" w:rsidP="00EA52AC">
            <w:pPr>
              <w:jc w:val="center"/>
              <w:rPr>
                <w:b/>
                <w:color w:val="000000" w:themeColor="text1"/>
              </w:rPr>
            </w:pPr>
            <w:r w:rsidRPr="00A771C8">
              <w:rPr>
                <w:b/>
                <w:color w:val="000000" w:themeColor="text1"/>
              </w:rPr>
              <w:t>Priekšlikumi</w:t>
            </w:r>
          </w:p>
          <w:p w:rsidR="00EA52AC" w:rsidRPr="00A771C8" w:rsidRDefault="00B0329A" w:rsidP="00EA52AC">
            <w:pPr>
              <w:jc w:val="center"/>
              <w:rPr>
                <w:b/>
                <w:color w:val="000000" w:themeColor="text1"/>
              </w:rPr>
            </w:pPr>
            <w:r w:rsidRPr="00A771C8">
              <w:rPr>
                <w:b/>
                <w:color w:val="000000" w:themeColor="text1"/>
              </w:rPr>
              <w:t>(6</w:t>
            </w:r>
            <w:r w:rsidR="00EA52AC" w:rsidRPr="00A771C8">
              <w:rPr>
                <w:b/>
                <w:color w:val="000000" w:themeColor="text1"/>
              </w:rPr>
              <w:t>)</w:t>
            </w:r>
          </w:p>
        </w:tc>
        <w:tc>
          <w:tcPr>
            <w:tcW w:w="1417" w:type="dxa"/>
            <w:vAlign w:val="center"/>
          </w:tcPr>
          <w:p w:rsidR="00EA52AC" w:rsidRPr="00A771C8" w:rsidRDefault="00EA52AC" w:rsidP="00EA52AC">
            <w:pPr>
              <w:jc w:val="center"/>
              <w:rPr>
                <w:b/>
                <w:color w:val="000000" w:themeColor="text1"/>
              </w:rPr>
            </w:pPr>
            <w:r w:rsidRPr="00A771C8">
              <w:rPr>
                <w:b/>
                <w:bCs/>
                <w:iCs/>
                <w:color w:val="000000" w:themeColor="text1"/>
              </w:rPr>
              <w:t>Ministru kabineta atzinums</w:t>
            </w:r>
          </w:p>
        </w:tc>
        <w:tc>
          <w:tcPr>
            <w:tcW w:w="1417" w:type="dxa"/>
            <w:vAlign w:val="center"/>
          </w:tcPr>
          <w:p w:rsidR="00EA52AC" w:rsidRPr="00A771C8" w:rsidRDefault="00EA52AC" w:rsidP="00EA52AC">
            <w:pPr>
              <w:jc w:val="center"/>
              <w:rPr>
                <w:b/>
                <w:color w:val="000000" w:themeColor="text1"/>
              </w:rPr>
            </w:pPr>
            <w:r w:rsidRPr="00A771C8">
              <w:rPr>
                <w:b/>
                <w:bCs/>
                <w:iCs/>
                <w:color w:val="000000" w:themeColor="text1"/>
              </w:rPr>
              <w:t>Komisijas atzinums</w:t>
            </w:r>
          </w:p>
        </w:tc>
      </w:tr>
      <w:tr w:rsidR="00A771C8" w:rsidRPr="00A771C8" w:rsidTr="00EA52AC">
        <w:tc>
          <w:tcPr>
            <w:tcW w:w="3798" w:type="dxa"/>
            <w:shd w:val="clear" w:color="auto" w:fill="auto"/>
          </w:tcPr>
          <w:p w:rsidR="00EA52AC" w:rsidRPr="00A771C8" w:rsidRDefault="00EA52AC" w:rsidP="00F94FBC">
            <w:pPr>
              <w:jc w:val="center"/>
              <w:rPr>
                <w:b/>
                <w:color w:val="000000" w:themeColor="text1"/>
              </w:rPr>
            </w:pPr>
          </w:p>
        </w:tc>
        <w:tc>
          <w:tcPr>
            <w:tcW w:w="3798" w:type="dxa"/>
            <w:shd w:val="clear" w:color="auto" w:fill="auto"/>
          </w:tcPr>
          <w:p w:rsidR="00EA52AC" w:rsidRPr="00A771C8" w:rsidRDefault="00EA52AC" w:rsidP="00F94FBC">
            <w:pPr>
              <w:shd w:val="clear" w:color="auto" w:fill="FFFFFF"/>
              <w:ind w:firstLine="709"/>
              <w:jc w:val="both"/>
              <w:rPr>
                <w:rFonts w:eastAsia="Times New Roman"/>
                <w:color w:val="000000" w:themeColor="text1"/>
                <w:sz w:val="22"/>
                <w:lang w:eastAsia="lv-LV"/>
              </w:rPr>
            </w:pPr>
            <w:r w:rsidRPr="00A771C8">
              <w:rPr>
                <w:rFonts w:eastAsia="Times New Roman"/>
                <w:iCs/>
                <w:color w:val="000000" w:themeColor="text1"/>
                <w:sz w:val="22"/>
                <w:lang w:eastAsia="lv-LV"/>
              </w:rPr>
              <w:t>Izdarīt likumā "Par valsts pensijām" (Latvijas Republikas Saeimas un Ministru Kabineta Ziņotājs, 1996, 1., 24. nr.; 1997, 3., 13. nr.; 1998, 1., 24. nr.; 1999, 11., 23. nr.; 2002, 2. nr.; 2004, 6. nr.; 2005, 13., 24. nr.; 2006, 24. nr.; 2007, 24. nr.; 2008, 7., 10., 14. nr.; 2009, 8., 15. nr.; Latvijas Vēstnesis, 2009, 199. nr.; 2010, 16., 205. nr.; 2011, 202. nr.; 2012, 104. nr.; 2013, 112., 137., 194. nr.; 2014, 75. nr.; 2015, 122. nr.; 2016, 57., 241. nr.; 2017, 128. nr.; 2018, 87., 196. nr.) šādu grozījumu:</w:t>
            </w:r>
          </w:p>
        </w:tc>
        <w:tc>
          <w:tcPr>
            <w:tcW w:w="556" w:type="dxa"/>
          </w:tcPr>
          <w:p w:rsidR="00EA52AC" w:rsidRPr="00A771C8" w:rsidRDefault="00EA52AC" w:rsidP="00B0329A">
            <w:pPr>
              <w:shd w:val="clear" w:color="auto" w:fill="FFFFFF"/>
              <w:jc w:val="center"/>
              <w:rPr>
                <w:rFonts w:eastAsia="Times New Roman"/>
                <w:b/>
                <w:iCs/>
                <w:color w:val="000000" w:themeColor="text1"/>
                <w:sz w:val="22"/>
                <w:lang w:eastAsia="lv-LV"/>
              </w:rPr>
            </w:pPr>
          </w:p>
        </w:tc>
        <w:tc>
          <w:tcPr>
            <w:tcW w:w="3798" w:type="dxa"/>
          </w:tcPr>
          <w:p w:rsidR="00EA52AC" w:rsidRPr="00A771C8" w:rsidRDefault="00EA52AC" w:rsidP="00F94FBC">
            <w:pPr>
              <w:shd w:val="clear" w:color="auto" w:fill="FFFFFF"/>
              <w:ind w:firstLine="709"/>
              <w:jc w:val="both"/>
              <w:rPr>
                <w:rFonts w:eastAsia="Times New Roman"/>
                <w:iCs/>
                <w:color w:val="000000" w:themeColor="text1"/>
                <w:sz w:val="22"/>
                <w:lang w:eastAsia="lv-LV"/>
              </w:rPr>
            </w:pPr>
          </w:p>
        </w:tc>
        <w:tc>
          <w:tcPr>
            <w:tcW w:w="1417" w:type="dxa"/>
          </w:tcPr>
          <w:p w:rsidR="00EA52AC" w:rsidRPr="00A771C8" w:rsidRDefault="00EA52AC" w:rsidP="00F94FBC">
            <w:pPr>
              <w:shd w:val="clear" w:color="auto" w:fill="FFFFFF"/>
              <w:ind w:firstLine="709"/>
              <w:jc w:val="both"/>
              <w:rPr>
                <w:rFonts w:eastAsia="Times New Roman"/>
                <w:iCs/>
                <w:color w:val="000000" w:themeColor="text1"/>
                <w:sz w:val="22"/>
                <w:lang w:eastAsia="lv-LV"/>
              </w:rPr>
            </w:pPr>
          </w:p>
        </w:tc>
        <w:tc>
          <w:tcPr>
            <w:tcW w:w="1417" w:type="dxa"/>
          </w:tcPr>
          <w:p w:rsidR="00EA52AC" w:rsidRPr="00A771C8" w:rsidRDefault="00EA52AC" w:rsidP="00F94FBC">
            <w:pPr>
              <w:shd w:val="clear" w:color="auto" w:fill="FFFFFF"/>
              <w:ind w:firstLine="709"/>
              <w:jc w:val="both"/>
              <w:rPr>
                <w:rFonts w:eastAsia="Times New Roman"/>
                <w:iCs/>
                <w:color w:val="000000" w:themeColor="text1"/>
                <w:sz w:val="22"/>
                <w:lang w:eastAsia="lv-LV"/>
              </w:rPr>
            </w:pPr>
          </w:p>
        </w:tc>
      </w:tr>
      <w:tr w:rsidR="00A771C8" w:rsidRPr="00A771C8" w:rsidTr="00EA52AC">
        <w:tc>
          <w:tcPr>
            <w:tcW w:w="3798" w:type="dxa"/>
            <w:shd w:val="clear" w:color="auto" w:fill="auto"/>
          </w:tcPr>
          <w:p w:rsidR="00D5725B" w:rsidRPr="00A771C8" w:rsidRDefault="00D5725B" w:rsidP="00D5725B">
            <w:pPr>
              <w:pStyle w:val="tv213"/>
              <w:spacing w:before="0" w:beforeAutospacing="0" w:after="0" w:afterAutospacing="0"/>
              <w:ind w:firstLine="567"/>
              <w:jc w:val="both"/>
              <w:rPr>
                <w:color w:val="000000" w:themeColor="text1"/>
                <w:sz w:val="22"/>
                <w:szCs w:val="22"/>
              </w:rPr>
            </w:pPr>
            <w:r w:rsidRPr="00A771C8">
              <w:rPr>
                <w:b/>
                <w:bCs/>
                <w:color w:val="000000" w:themeColor="text1"/>
                <w:sz w:val="22"/>
                <w:szCs w:val="22"/>
              </w:rPr>
              <w:t xml:space="preserve">3.pants. Tiesības uz valsts sociālās apdrošināšanas pensiju </w:t>
            </w:r>
          </w:p>
          <w:p w:rsidR="00D5725B" w:rsidRPr="00A771C8" w:rsidRDefault="00D5725B" w:rsidP="00D5725B">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t>(1) Tiesības uz valsts sociālās apdrošināšanas pensiju (turpmāk — valsts pensija) saskaņā ar šā likuma nosacījumiem ir Latvijas teritorijā dzīvojošām personām, kas bijušas pakļautas valsts obligātajai pensiju apdrošināšanai.</w:t>
            </w:r>
          </w:p>
          <w:p w:rsidR="00D5725B" w:rsidRPr="00A771C8" w:rsidRDefault="00D5725B" w:rsidP="00F94FBC">
            <w:pPr>
              <w:jc w:val="center"/>
              <w:rPr>
                <w:b/>
                <w:color w:val="000000" w:themeColor="text1"/>
              </w:rPr>
            </w:pPr>
          </w:p>
        </w:tc>
        <w:tc>
          <w:tcPr>
            <w:tcW w:w="3798" w:type="dxa"/>
            <w:shd w:val="clear" w:color="auto" w:fill="auto"/>
          </w:tcPr>
          <w:p w:rsidR="00D5725B" w:rsidRPr="00A771C8" w:rsidRDefault="00D5725B" w:rsidP="00F94FBC">
            <w:pPr>
              <w:shd w:val="clear" w:color="auto" w:fill="FFFFFF"/>
              <w:ind w:firstLine="709"/>
              <w:jc w:val="both"/>
              <w:rPr>
                <w:rFonts w:eastAsia="Times New Roman"/>
                <w:iCs/>
                <w:color w:val="000000" w:themeColor="text1"/>
                <w:sz w:val="22"/>
                <w:lang w:eastAsia="lv-LV"/>
              </w:rPr>
            </w:pPr>
          </w:p>
        </w:tc>
        <w:tc>
          <w:tcPr>
            <w:tcW w:w="556" w:type="dxa"/>
          </w:tcPr>
          <w:p w:rsidR="00D5725B" w:rsidRPr="00A771C8" w:rsidRDefault="00B0329A" w:rsidP="00B0329A">
            <w:pPr>
              <w:shd w:val="clear" w:color="auto" w:fill="FFFFFF"/>
              <w:jc w:val="center"/>
              <w:rPr>
                <w:rFonts w:eastAsia="Times New Roman"/>
                <w:b/>
                <w:iCs/>
                <w:color w:val="000000" w:themeColor="text1"/>
                <w:sz w:val="22"/>
                <w:lang w:eastAsia="lv-LV"/>
              </w:rPr>
            </w:pPr>
            <w:r w:rsidRPr="00A771C8">
              <w:rPr>
                <w:rFonts w:eastAsia="Times New Roman"/>
                <w:b/>
                <w:iCs/>
                <w:color w:val="000000" w:themeColor="text1"/>
                <w:sz w:val="22"/>
                <w:lang w:eastAsia="lv-LV"/>
              </w:rPr>
              <w:t>1</w:t>
            </w:r>
          </w:p>
        </w:tc>
        <w:tc>
          <w:tcPr>
            <w:tcW w:w="3798" w:type="dxa"/>
          </w:tcPr>
          <w:p w:rsidR="00D5725B" w:rsidRPr="00A771C8" w:rsidRDefault="00D5725B" w:rsidP="00D5725B">
            <w:pPr>
              <w:shd w:val="clear" w:color="auto" w:fill="FFFFFF"/>
              <w:ind w:firstLine="567"/>
              <w:jc w:val="both"/>
              <w:rPr>
                <w:b/>
                <w:color w:val="000000" w:themeColor="text1"/>
                <w:sz w:val="22"/>
                <w:u w:val="single"/>
              </w:rPr>
            </w:pPr>
            <w:r w:rsidRPr="00A771C8">
              <w:rPr>
                <w:b/>
                <w:color w:val="000000" w:themeColor="text1"/>
                <w:sz w:val="22"/>
                <w:u w:val="single"/>
              </w:rPr>
              <w:t>Zaļo un Zemnieku savienības frakcija</w:t>
            </w:r>
          </w:p>
          <w:p w:rsidR="00D5725B" w:rsidRPr="00A771C8" w:rsidRDefault="00D5725B" w:rsidP="00D5725B">
            <w:pPr>
              <w:tabs>
                <w:tab w:val="left" w:pos="6740"/>
              </w:tabs>
              <w:ind w:firstLine="567"/>
              <w:jc w:val="both"/>
              <w:rPr>
                <w:color w:val="000000" w:themeColor="text1"/>
                <w:sz w:val="22"/>
              </w:rPr>
            </w:pPr>
            <w:r w:rsidRPr="00A771C8">
              <w:rPr>
                <w:color w:val="000000" w:themeColor="text1"/>
                <w:sz w:val="22"/>
              </w:rPr>
              <w:t>Papildināt likumprojektu ar papildu pantu šādā redakcijā:</w:t>
            </w:r>
          </w:p>
          <w:p w:rsidR="00D5725B" w:rsidRPr="00A771C8" w:rsidRDefault="00D5725B" w:rsidP="00D5725B">
            <w:pPr>
              <w:shd w:val="clear" w:color="auto" w:fill="FFFFFF"/>
              <w:ind w:firstLine="567"/>
              <w:jc w:val="both"/>
              <w:rPr>
                <w:color w:val="000000" w:themeColor="text1"/>
                <w:sz w:val="22"/>
              </w:rPr>
            </w:pPr>
            <w:r w:rsidRPr="00A771C8">
              <w:rPr>
                <w:color w:val="000000" w:themeColor="text1"/>
                <w:sz w:val="22"/>
              </w:rPr>
              <w:t>“Izteikt likuma 3.panta 1.daļu šādā redakcijā:</w:t>
            </w:r>
          </w:p>
          <w:p w:rsidR="00D5725B" w:rsidRPr="00A771C8" w:rsidRDefault="00D5725B" w:rsidP="00D5725B">
            <w:pPr>
              <w:shd w:val="clear" w:color="auto" w:fill="FFFFFF"/>
              <w:ind w:firstLine="567"/>
              <w:jc w:val="both"/>
              <w:rPr>
                <w:rFonts w:eastAsia="Times New Roman"/>
                <w:iCs/>
                <w:color w:val="000000" w:themeColor="text1"/>
                <w:sz w:val="22"/>
                <w:lang w:eastAsia="lv-LV"/>
              </w:rPr>
            </w:pPr>
            <w:r w:rsidRPr="00A771C8">
              <w:rPr>
                <w:color w:val="000000" w:themeColor="text1"/>
                <w:sz w:val="22"/>
              </w:rPr>
              <w:t xml:space="preserve">“(1) Tiesības uz valsts sociālās apdrošināšanas pensiju (turpmāk — valsts pensija) saskaņā ar šā likuma nosacījumiem ir Latvijas teritorijā dzīvojošām personām, kas bijušas pakļautas valsts obligātajai pensiju apdrošināšanai, bet uz vecuma pensiju - Latvijas Republikas pilsoņiem, kas </w:t>
            </w:r>
            <w:r w:rsidRPr="00A771C8">
              <w:rPr>
                <w:color w:val="000000" w:themeColor="text1"/>
                <w:sz w:val="22"/>
              </w:rPr>
              <w:lastRenderedPageBreak/>
              <w:t>bijušas pakļautas valsts obligātajai pensiju apdrošināšanai”.</w:t>
            </w:r>
            <w:r w:rsidRPr="00A771C8">
              <w:rPr>
                <w:rStyle w:val="FootnoteReference"/>
                <w:b/>
                <w:color w:val="000000" w:themeColor="text1"/>
                <w:sz w:val="22"/>
              </w:rPr>
              <w:footnoteReference w:id="1"/>
            </w:r>
          </w:p>
        </w:tc>
        <w:tc>
          <w:tcPr>
            <w:tcW w:w="1417" w:type="dxa"/>
          </w:tcPr>
          <w:p w:rsidR="00D5725B" w:rsidRPr="00A771C8" w:rsidRDefault="00D5725B" w:rsidP="00F94FBC">
            <w:pPr>
              <w:shd w:val="clear" w:color="auto" w:fill="FFFFFF"/>
              <w:ind w:firstLine="709"/>
              <w:jc w:val="both"/>
              <w:rPr>
                <w:rFonts w:eastAsia="Times New Roman"/>
                <w:iCs/>
                <w:color w:val="000000" w:themeColor="text1"/>
                <w:sz w:val="22"/>
                <w:lang w:eastAsia="lv-LV"/>
              </w:rPr>
            </w:pPr>
          </w:p>
        </w:tc>
        <w:tc>
          <w:tcPr>
            <w:tcW w:w="1417" w:type="dxa"/>
          </w:tcPr>
          <w:p w:rsidR="00D5725B" w:rsidRPr="00A771C8" w:rsidRDefault="00D5725B" w:rsidP="00F94FBC">
            <w:pPr>
              <w:shd w:val="clear" w:color="auto" w:fill="FFFFFF"/>
              <w:ind w:firstLine="709"/>
              <w:jc w:val="both"/>
              <w:rPr>
                <w:rFonts w:eastAsia="Times New Roman"/>
                <w:iCs/>
                <w:color w:val="000000" w:themeColor="text1"/>
                <w:sz w:val="22"/>
                <w:lang w:eastAsia="lv-LV"/>
              </w:rPr>
            </w:pPr>
          </w:p>
        </w:tc>
      </w:tr>
      <w:tr w:rsidR="00A771C8" w:rsidRPr="00A771C8" w:rsidTr="00EA52AC">
        <w:tc>
          <w:tcPr>
            <w:tcW w:w="3798" w:type="dxa"/>
            <w:shd w:val="clear" w:color="auto" w:fill="auto"/>
          </w:tcPr>
          <w:p w:rsidR="00EA52AC" w:rsidRPr="00A771C8" w:rsidRDefault="00EA52AC" w:rsidP="00F94FBC">
            <w:pPr>
              <w:ind w:firstLine="720"/>
              <w:jc w:val="both"/>
              <w:rPr>
                <w:rFonts w:eastAsia="Times New Roman"/>
                <w:color w:val="000000" w:themeColor="text1"/>
                <w:sz w:val="22"/>
                <w:lang w:eastAsia="lv-LV"/>
              </w:rPr>
            </w:pPr>
            <w:r w:rsidRPr="00A771C8">
              <w:rPr>
                <w:rFonts w:eastAsia="Times New Roman"/>
                <w:b/>
                <w:bCs/>
                <w:color w:val="000000" w:themeColor="text1"/>
                <w:sz w:val="22"/>
                <w:lang w:eastAsia="lv-LV"/>
              </w:rPr>
              <w:t xml:space="preserve">12.pants. Vecuma pensijas aprēķināšana </w:t>
            </w:r>
          </w:p>
          <w:p w:rsidR="00EA52AC" w:rsidRPr="00A771C8" w:rsidRDefault="00EA52AC" w:rsidP="00F94FBC">
            <w:pPr>
              <w:ind w:firstLine="720"/>
              <w:jc w:val="both"/>
              <w:rPr>
                <w:rFonts w:eastAsia="Times New Roman"/>
                <w:color w:val="000000" w:themeColor="text1"/>
                <w:sz w:val="22"/>
                <w:lang w:eastAsia="lv-LV"/>
              </w:rPr>
            </w:pPr>
            <w:r w:rsidRPr="00A771C8">
              <w:rPr>
                <w:rFonts w:eastAsia="Times New Roman"/>
                <w:color w:val="000000" w:themeColor="text1"/>
                <w:sz w:val="22"/>
                <w:lang w:eastAsia="lv-LV"/>
              </w:rPr>
              <w:t xml:space="preserve"> (2) Personām, kurām piešķirta vecuma pensija, pensijas apmērs nedrīkst būt mazāks par Ministru kabineta noteikto minimālo vecuma pensiju.</w:t>
            </w:r>
          </w:p>
          <w:p w:rsidR="00EA52AC" w:rsidRPr="00A771C8" w:rsidRDefault="00EA52AC" w:rsidP="00F94FBC">
            <w:pPr>
              <w:pStyle w:val="tv213"/>
              <w:spacing w:before="0" w:beforeAutospacing="0" w:after="0" w:afterAutospacing="0"/>
              <w:ind w:firstLine="567"/>
              <w:jc w:val="both"/>
              <w:rPr>
                <w:color w:val="000000" w:themeColor="text1"/>
              </w:rPr>
            </w:pPr>
          </w:p>
        </w:tc>
        <w:tc>
          <w:tcPr>
            <w:tcW w:w="3798" w:type="dxa"/>
            <w:shd w:val="clear" w:color="auto" w:fill="auto"/>
          </w:tcPr>
          <w:p w:rsidR="00EA52AC" w:rsidRPr="00A771C8" w:rsidRDefault="00EA52AC" w:rsidP="00F94FBC">
            <w:pPr>
              <w:ind w:firstLine="709"/>
              <w:jc w:val="both"/>
              <w:rPr>
                <w:color w:val="000000" w:themeColor="text1"/>
                <w:sz w:val="22"/>
              </w:rPr>
            </w:pPr>
            <w:r w:rsidRPr="00A771C8">
              <w:rPr>
                <w:color w:val="000000" w:themeColor="text1"/>
                <w:sz w:val="22"/>
              </w:rPr>
              <w:t>Izteikt 12. panta otro daļu šādā redakcijā:</w:t>
            </w:r>
          </w:p>
          <w:p w:rsidR="00EA52AC" w:rsidRPr="00A771C8" w:rsidRDefault="00EA52AC" w:rsidP="00F94FBC">
            <w:pPr>
              <w:pStyle w:val="ListParagraph"/>
              <w:spacing w:after="0" w:line="240" w:lineRule="auto"/>
              <w:ind w:left="0" w:firstLine="709"/>
              <w:jc w:val="both"/>
              <w:rPr>
                <w:rFonts w:ascii="Times New Roman" w:hAnsi="Times New Roman"/>
                <w:color w:val="000000" w:themeColor="text1"/>
              </w:rPr>
            </w:pPr>
            <w:r w:rsidRPr="00A771C8">
              <w:rPr>
                <w:rFonts w:ascii="Times New Roman" w:hAnsi="Times New Roman"/>
                <w:color w:val="000000" w:themeColor="text1"/>
              </w:rPr>
              <w:t>“(2) Personām, kurām piešķirta vecuma pensija, pensijas apmērs nedrīkst būt mazāks par minimālās vecuma pensijas apmēru. Ministru kabinets nosaka minimālās vecuma pensijas aprēķina bāzi, kā arī minimālās vecuma pensijas apmēru, piešķiršanas un pārskatīšanas kārtību.”</w:t>
            </w:r>
          </w:p>
        </w:tc>
        <w:tc>
          <w:tcPr>
            <w:tcW w:w="556" w:type="dxa"/>
          </w:tcPr>
          <w:p w:rsidR="00EA52AC" w:rsidRPr="00A771C8" w:rsidRDefault="00EA52AC" w:rsidP="00B0329A">
            <w:pPr>
              <w:jc w:val="center"/>
              <w:rPr>
                <w:b/>
                <w:color w:val="000000" w:themeColor="text1"/>
                <w:sz w:val="22"/>
              </w:rPr>
            </w:pPr>
          </w:p>
        </w:tc>
        <w:tc>
          <w:tcPr>
            <w:tcW w:w="3798" w:type="dxa"/>
          </w:tcPr>
          <w:p w:rsidR="00EA52AC" w:rsidRPr="00A771C8" w:rsidRDefault="00EA52AC" w:rsidP="00F94FBC">
            <w:pPr>
              <w:ind w:firstLine="709"/>
              <w:jc w:val="both"/>
              <w:rPr>
                <w:color w:val="000000" w:themeColor="text1"/>
                <w:sz w:val="22"/>
              </w:rPr>
            </w:pPr>
          </w:p>
        </w:tc>
        <w:tc>
          <w:tcPr>
            <w:tcW w:w="1417" w:type="dxa"/>
          </w:tcPr>
          <w:p w:rsidR="00EA52AC" w:rsidRPr="00A771C8" w:rsidRDefault="00EA52AC" w:rsidP="00F94FBC">
            <w:pPr>
              <w:ind w:firstLine="709"/>
              <w:jc w:val="both"/>
              <w:rPr>
                <w:color w:val="000000" w:themeColor="text1"/>
                <w:sz w:val="22"/>
              </w:rPr>
            </w:pPr>
          </w:p>
        </w:tc>
        <w:tc>
          <w:tcPr>
            <w:tcW w:w="1417" w:type="dxa"/>
          </w:tcPr>
          <w:p w:rsidR="00EA52AC" w:rsidRPr="00A771C8" w:rsidRDefault="00EA52AC" w:rsidP="00F94FBC">
            <w:pPr>
              <w:ind w:firstLine="709"/>
              <w:jc w:val="both"/>
              <w:rPr>
                <w:color w:val="000000" w:themeColor="text1"/>
                <w:sz w:val="22"/>
              </w:rPr>
            </w:pPr>
          </w:p>
        </w:tc>
      </w:tr>
      <w:tr w:rsidR="00A771C8" w:rsidRPr="00A771C8" w:rsidTr="00EA52AC">
        <w:tc>
          <w:tcPr>
            <w:tcW w:w="3798" w:type="dxa"/>
            <w:shd w:val="clear" w:color="auto" w:fill="auto"/>
          </w:tcPr>
          <w:p w:rsidR="00D5725B" w:rsidRPr="00A771C8" w:rsidRDefault="00D5725B" w:rsidP="00D5725B">
            <w:pPr>
              <w:ind w:firstLine="567"/>
              <w:jc w:val="both"/>
              <w:rPr>
                <w:b/>
                <w:bCs/>
                <w:color w:val="000000" w:themeColor="text1"/>
                <w:sz w:val="22"/>
              </w:rPr>
            </w:pPr>
            <w:r w:rsidRPr="00A771C8">
              <w:rPr>
                <w:b/>
                <w:bCs/>
                <w:color w:val="000000" w:themeColor="text1"/>
                <w:sz w:val="22"/>
              </w:rPr>
              <w:t>26.pants. Valsts pensijas pārskatīšana</w:t>
            </w:r>
          </w:p>
          <w:p w:rsidR="00D5725B" w:rsidRPr="00A771C8" w:rsidRDefault="00D5725B" w:rsidP="00D5725B">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t>(4) Vecuma pensiju pārskatīšanai atkarībā no personas apdrošināšanas stāža, par kuru ir piešķirta (pārrēķināta) pensija, piemēro nevis 50 procentus, bet gan šādus apdrošināšanas iemaksu algu summas reālā pieauguma procentus:</w:t>
            </w:r>
          </w:p>
          <w:p w:rsidR="00D5725B" w:rsidRPr="00A771C8" w:rsidRDefault="00D5725B" w:rsidP="00D5725B">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t xml:space="preserve">1) 60 procentus — ja stāžs ir no 30 līdz 39 gadiem vai ja vecuma pensija piešķirta par darbu kaitīgos, smagos vai </w:t>
            </w:r>
            <w:r w:rsidRPr="00A771C8">
              <w:rPr>
                <w:color w:val="000000" w:themeColor="text1"/>
                <w:sz w:val="22"/>
                <w:szCs w:val="22"/>
              </w:rPr>
              <w:lastRenderedPageBreak/>
              <w:t>sevišķi kaitīgos, sevišķi smagos darba apstākļos;</w:t>
            </w:r>
          </w:p>
          <w:p w:rsidR="00D5725B" w:rsidRPr="00A771C8" w:rsidRDefault="00D5725B" w:rsidP="00D5725B">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t>2) 70 procentus — ja stāžs ir no 40 līdz 44 gadiem;</w:t>
            </w:r>
          </w:p>
          <w:p w:rsidR="00D5725B" w:rsidRPr="00A771C8" w:rsidRDefault="00D5725B" w:rsidP="00D5725B">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t>3) 80 procentus — ja stāžs ir 45 gadi un vairāk.</w:t>
            </w:r>
          </w:p>
          <w:p w:rsidR="00D5725B" w:rsidRPr="00A771C8" w:rsidRDefault="00D5725B" w:rsidP="00D5725B">
            <w:pPr>
              <w:ind w:firstLine="567"/>
              <w:jc w:val="both"/>
              <w:rPr>
                <w:rFonts w:eastAsia="Times New Roman"/>
                <w:b/>
                <w:bCs/>
                <w:color w:val="000000" w:themeColor="text1"/>
                <w:sz w:val="22"/>
                <w:lang w:eastAsia="lv-LV"/>
              </w:rPr>
            </w:pPr>
          </w:p>
        </w:tc>
        <w:tc>
          <w:tcPr>
            <w:tcW w:w="3798" w:type="dxa"/>
            <w:shd w:val="clear" w:color="auto" w:fill="auto"/>
          </w:tcPr>
          <w:p w:rsidR="00D5725B" w:rsidRPr="00A771C8" w:rsidRDefault="00D5725B" w:rsidP="00F94FBC">
            <w:pPr>
              <w:ind w:firstLine="709"/>
              <w:jc w:val="both"/>
              <w:rPr>
                <w:color w:val="000000" w:themeColor="text1"/>
                <w:sz w:val="22"/>
              </w:rPr>
            </w:pPr>
          </w:p>
        </w:tc>
        <w:tc>
          <w:tcPr>
            <w:tcW w:w="556" w:type="dxa"/>
          </w:tcPr>
          <w:p w:rsidR="00D5725B" w:rsidRPr="00A771C8" w:rsidRDefault="00B0329A" w:rsidP="00B0329A">
            <w:pPr>
              <w:jc w:val="center"/>
              <w:rPr>
                <w:b/>
                <w:color w:val="000000" w:themeColor="text1"/>
                <w:sz w:val="22"/>
              </w:rPr>
            </w:pPr>
            <w:r w:rsidRPr="00A771C8">
              <w:rPr>
                <w:b/>
                <w:color w:val="000000" w:themeColor="text1"/>
                <w:sz w:val="22"/>
              </w:rPr>
              <w:t>2</w:t>
            </w:r>
          </w:p>
        </w:tc>
        <w:tc>
          <w:tcPr>
            <w:tcW w:w="3798" w:type="dxa"/>
          </w:tcPr>
          <w:p w:rsidR="00D5725B" w:rsidRPr="00A771C8" w:rsidRDefault="00D5725B" w:rsidP="00D5725B">
            <w:pPr>
              <w:shd w:val="clear" w:color="auto" w:fill="FFFFFF"/>
              <w:ind w:firstLine="567"/>
              <w:jc w:val="both"/>
              <w:rPr>
                <w:b/>
                <w:color w:val="000000" w:themeColor="text1"/>
                <w:sz w:val="22"/>
                <w:u w:val="single"/>
              </w:rPr>
            </w:pPr>
            <w:r w:rsidRPr="00A771C8">
              <w:rPr>
                <w:b/>
                <w:color w:val="000000" w:themeColor="text1"/>
                <w:sz w:val="22"/>
                <w:u w:val="single"/>
              </w:rPr>
              <w:t>Zaļo un Zemnieku savienības frakcija</w:t>
            </w:r>
          </w:p>
          <w:p w:rsidR="00D5725B" w:rsidRPr="00A771C8" w:rsidRDefault="00D5725B" w:rsidP="00D5725B">
            <w:pPr>
              <w:ind w:firstLine="567"/>
              <w:jc w:val="both"/>
              <w:rPr>
                <w:color w:val="000000" w:themeColor="text1"/>
                <w:sz w:val="22"/>
              </w:rPr>
            </w:pPr>
            <w:r w:rsidRPr="00A771C8">
              <w:rPr>
                <w:bCs/>
                <w:color w:val="000000" w:themeColor="text1"/>
                <w:sz w:val="22"/>
              </w:rPr>
              <w:t>Izteikt likuma 26.panta (4) daļu sekojošā redakcijā</w:t>
            </w:r>
          </w:p>
          <w:p w:rsidR="00D5725B" w:rsidRPr="00A771C8" w:rsidRDefault="00D5725B" w:rsidP="00D5725B">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t>(4) Vecuma pensiju pārskatīšanai atkarībā no personas apdrošināšanas stāža, par kuru ir piešķirta (pārrēķināta) pensija, piemēro nevis 50 procentus, bet gan šādus apdrošināšanas iemaksu algu summas reālā pieauguma procentus:</w:t>
            </w:r>
          </w:p>
          <w:p w:rsidR="00D5725B" w:rsidRPr="00A771C8" w:rsidRDefault="00D5725B" w:rsidP="00D5725B">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lastRenderedPageBreak/>
              <w:t>1) 60 procentus — ja stāžs ir no 30 līdz 39 gadiem vai ja vecuma pensija piešķirta par darbu kaitīgos, smagos vai sevišķi kaitīgos, sevišķi smagos darba apstākļos;</w:t>
            </w:r>
          </w:p>
          <w:p w:rsidR="00D5725B" w:rsidRPr="00A771C8" w:rsidRDefault="00D5725B" w:rsidP="00D5725B">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t>2) 70 procentus — ja stāžs ir no 40 līdz 44 gadiem;</w:t>
            </w:r>
          </w:p>
          <w:p w:rsidR="00D5725B" w:rsidRPr="00A771C8" w:rsidRDefault="00D5725B" w:rsidP="00D5725B">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t>3) 80 procentus — ja stāžs ir 45 gadi un vairāk.</w:t>
            </w:r>
          </w:p>
          <w:p w:rsidR="00D5725B" w:rsidRPr="00A771C8" w:rsidRDefault="00D5725B" w:rsidP="00B0329A">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t>4) 100 procentus – ja stāžs ir 50 gadi un vairāk.</w:t>
            </w:r>
          </w:p>
        </w:tc>
        <w:tc>
          <w:tcPr>
            <w:tcW w:w="1417" w:type="dxa"/>
          </w:tcPr>
          <w:p w:rsidR="00D5725B" w:rsidRPr="00A771C8" w:rsidRDefault="00D5725B" w:rsidP="00F94FBC">
            <w:pPr>
              <w:ind w:firstLine="709"/>
              <w:jc w:val="both"/>
              <w:rPr>
                <w:color w:val="000000" w:themeColor="text1"/>
                <w:sz w:val="22"/>
              </w:rPr>
            </w:pPr>
          </w:p>
        </w:tc>
        <w:tc>
          <w:tcPr>
            <w:tcW w:w="1417" w:type="dxa"/>
          </w:tcPr>
          <w:p w:rsidR="00D5725B" w:rsidRPr="00A771C8" w:rsidRDefault="00D5725B" w:rsidP="00F94FBC">
            <w:pPr>
              <w:ind w:firstLine="709"/>
              <w:jc w:val="both"/>
              <w:rPr>
                <w:color w:val="000000" w:themeColor="text1"/>
                <w:sz w:val="22"/>
              </w:rPr>
            </w:pPr>
          </w:p>
        </w:tc>
      </w:tr>
      <w:tr w:rsidR="00A771C8" w:rsidRPr="00A771C8" w:rsidTr="00EA52AC">
        <w:tc>
          <w:tcPr>
            <w:tcW w:w="3798" w:type="dxa"/>
            <w:shd w:val="clear" w:color="auto" w:fill="auto"/>
          </w:tcPr>
          <w:p w:rsidR="00D5725B" w:rsidRPr="00A771C8" w:rsidRDefault="00D5725B" w:rsidP="00F94FBC">
            <w:pPr>
              <w:ind w:firstLine="720"/>
              <w:jc w:val="both"/>
              <w:rPr>
                <w:b/>
                <w:bCs/>
                <w:color w:val="000000" w:themeColor="text1"/>
                <w:sz w:val="22"/>
              </w:rPr>
            </w:pPr>
            <w:r w:rsidRPr="00A771C8">
              <w:rPr>
                <w:b/>
                <w:bCs/>
                <w:color w:val="000000" w:themeColor="text1"/>
                <w:sz w:val="22"/>
              </w:rPr>
              <w:t>32.pants. Valsts pensijas izmaksāšanas kārtība</w:t>
            </w:r>
          </w:p>
          <w:p w:rsidR="00D5725B" w:rsidRPr="00A771C8" w:rsidRDefault="00D5725B" w:rsidP="00F94FBC">
            <w:pPr>
              <w:ind w:firstLine="720"/>
              <w:jc w:val="both"/>
              <w:rPr>
                <w:rFonts w:eastAsia="Times New Roman"/>
                <w:b/>
                <w:bCs/>
                <w:color w:val="000000" w:themeColor="text1"/>
                <w:sz w:val="22"/>
                <w:lang w:eastAsia="lv-LV"/>
              </w:rPr>
            </w:pPr>
            <w:r w:rsidRPr="00A771C8">
              <w:rPr>
                <w:color w:val="000000" w:themeColor="text1"/>
                <w:sz w:val="22"/>
              </w:rPr>
              <w:t>(13) Ja vecuma pensiju piešķir pirms šā likuma 11.panta pirmajā daļā noteiktā vecuma sasniegšanas, tās izmaksu pārtrauc uz laiku, kamēr vecuma pensijas saņēmējs saņem bezdarbnieka pabalstu.</w:t>
            </w:r>
          </w:p>
        </w:tc>
        <w:tc>
          <w:tcPr>
            <w:tcW w:w="3798" w:type="dxa"/>
            <w:shd w:val="clear" w:color="auto" w:fill="auto"/>
          </w:tcPr>
          <w:p w:rsidR="00D5725B" w:rsidRPr="00A771C8" w:rsidRDefault="00D5725B" w:rsidP="00F94FBC">
            <w:pPr>
              <w:ind w:firstLine="709"/>
              <w:jc w:val="both"/>
              <w:rPr>
                <w:color w:val="000000" w:themeColor="text1"/>
                <w:sz w:val="22"/>
              </w:rPr>
            </w:pPr>
          </w:p>
        </w:tc>
        <w:tc>
          <w:tcPr>
            <w:tcW w:w="556" w:type="dxa"/>
          </w:tcPr>
          <w:p w:rsidR="00D5725B" w:rsidRPr="00A771C8" w:rsidRDefault="00B0329A" w:rsidP="00B0329A">
            <w:pPr>
              <w:jc w:val="center"/>
              <w:rPr>
                <w:b/>
                <w:color w:val="000000" w:themeColor="text1"/>
                <w:sz w:val="22"/>
              </w:rPr>
            </w:pPr>
            <w:r w:rsidRPr="00A771C8">
              <w:rPr>
                <w:b/>
                <w:color w:val="000000" w:themeColor="text1"/>
                <w:sz w:val="22"/>
              </w:rPr>
              <w:t>3</w:t>
            </w:r>
          </w:p>
        </w:tc>
        <w:tc>
          <w:tcPr>
            <w:tcW w:w="3798" w:type="dxa"/>
          </w:tcPr>
          <w:p w:rsidR="00D5725B" w:rsidRPr="00A771C8" w:rsidRDefault="00D5725B" w:rsidP="00D5725B">
            <w:pPr>
              <w:spacing w:line="276" w:lineRule="auto"/>
              <w:ind w:firstLine="567"/>
              <w:jc w:val="both"/>
              <w:rPr>
                <w:b/>
                <w:color w:val="000000" w:themeColor="text1"/>
                <w:sz w:val="22"/>
                <w:u w:val="single"/>
              </w:rPr>
            </w:pPr>
            <w:r w:rsidRPr="00A771C8">
              <w:rPr>
                <w:b/>
                <w:color w:val="000000" w:themeColor="text1"/>
                <w:sz w:val="22"/>
                <w:u w:val="single"/>
              </w:rPr>
              <w:t>Deputāts A.Klementjevs</w:t>
            </w:r>
          </w:p>
          <w:p w:rsidR="00D5725B" w:rsidRPr="00A771C8" w:rsidRDefault="00D5725B" w:rsidP="00D5725B">
            <w:pPr>
              <w:pStyle w:val="NoSpacing"/>
              <w:ind w:firstLine="567"/>
              <w:jc w:val="both"/>
              <w:rPr>
                <w:rFonts w:ascii="Times New Roman" w:hAnsi="Times New Roman"/>
                <w:color w:val="000000" w:themeColor="text1"/>
                <w:sz w:val="22"/>
                <w:szCs w:val="22"/>
              </w:rPr>
            </w:pPr>
            <w:r w:rsidRPr="00A771C8">
              <w:rPr>
                <w:rFonts w:ascii="Times New Roman" w:hAnsi="Times New Roman"/>
                <w:color w:val="000000" w:themeColor="text1"/>
                <w:sz w:val="22"/>
                <w:szCs w:val="22"/>
              </w:rPr>
              <w:t>Papildināt likumprojektu ar jaunu pantu šādā redakcijā:</w:t>
            </w:r>
          </w:p>
          <w:p w:rsidR="00D5725B" w:rsidRPr="00A771C8" w:rsidRDefault="00D5725B" w:rsidP="00D5725B">
            <w:pPr>
              <w:pStyle w:val="NoSpacing"/>
              <w:ind w:firstLine="567"/>
              <w:jc w:val="both"/>
              <w:rPr>
                <w:rFonts w:ascii="Times New Roman" w:hAnsi="Times New Roman"/>
                <w:color w:val="000000" w:themeColor="text1"/>
                <w:sz w:val="22"/>
                <w:szCs w:val="22"/>
              </w:rPr>
            </w:pPr>
            <w:r w:rsidRPr="00A771C8">
              <w:rPr>
                <w:rFonts w:ascii="Times New Roman" w:hAnsi="Times New Roman"/>
                <w:color w:val="000000" w:themeColor="text1"/>
                <w:sz w:val="22"/>
                <w:szCs w:val="22"/>
              </w:rPr>
              <w:t>“Papildināt likuma 32. pantu ar četrpadsmito daļu šādā redakcijā:</w:t>
            </w:r>
          </w:p>
          <w:p w:rsidR="00D5725B" w:rsidRPr="00A771C8" w:rsidRDefault="00D5725B" w:rsidP="00D5725B">
            <w:pPr>
              <w:pStyle w:val="NoSpacing"/>
              <w:ind w:firstLine="567"/>
              <w:jc w:val="both"/>
              <w:rPr>
                <w:rFonts w:ascii="Times New Roman" w:hAnsi="Times New Roman"/>
                <w:color w:val="000000" w:themeColor="text1"/>
                <w:sz w:val="22"/>
                <w:szCs w:val="22"/>
              </w:rPr>
            </w:pPr>
            <w:r w:rsidRPr="00A771C8">
              <w:rPr>
                <w:rFonts w:ascii="Times New Roman" w:hAnsi="Times New Roman"/>
                <w:color w:val="000000" w:themeColor="text1"/>
                <w:sz w:val="22"/>
                <w:szCs w:val="22"/>
              </w:rPr>
              <w:t>“(14) Personām ar invaliditāti un personām, kuras sasniegušas 80 gadu vecumu, pensiju, pabalstu un atlīdzību izmaksu dzīvesvietā nodrošina par valsts budžeta līdzekļiem.””</w:t>
            </w:r>
          </w:p>
        </w:tc>
        <w:tc>
          <w:tcPr>
            <w:tcW w:w="1417" w:type="dxa"/>
          </w:tcPr>
          <w:p w:rsidR="00D5725B" w:rsidRPr="00A771C8" w:rsidRDefault="00D5725B" w:rsidP="00F94FBC">
            <w:pPr>
              <w:ind w:firstLine="709"/>
              <w:jc w:val="both"/>
              <w:rPr>
                <w:color w:val="000000" w:themeColor="text1"/>
                <w:sz w:val="22"/>
              </w:rPr>
            </w:pPr>
          </w:p>
        </w:tc>
        <w:tc>
          <w:tcPr>
            <w:tcW w:w="1417" w:type="dxa"/>
          </w:tcPr>
          <w:p w:rsidR="00D5725B" w:rsidRPr="00A771C8" w:rsidRDefault="00D5725B" w:rsidP="00F94FBC">
            <w:pPr>
              <w:ind w:firstLine="709"/>
              <w:jc w:val="both"/>
              <w:rPr>
                <w:color w:val="000000" w:themeColor="text1"/>
                <w:sz w:val="22"/>
              </w:rPr>
            </w:pPr>
          </w:p>
        </w:tc>
      </w:tr>
      <w:tr w:rsidR="00A771C8" w:rsidRPr="00A771C8" w:rsidTr="00EA52AC">
        <w:tc>
          <w:tcPr>
            <w:tcW w:w="3798" w:type="dxa"/>
            <w:shd w:val="clear" w:color="auto" w:fill="auto"/>
          </w:tcPr>
          <w:p w:rsidR="00B0329A" w:rsidRPr="00A771C8" w:rsidRDefault="00B0329A" w:rsidP="00B0329A">
            <w:pPr>
              <w:ind w:firstLine="567"/>
              <w:jc w:val="both"/>
              <w:rPr>
                <w:b/>
                <w:bCs/>
                <w:color w:val="000000" w:themeColor="text1"/>
                <w:sz w:val="22"/>
              </w:rPr>
            </w:pPr>
            <w:r w:rsidRPr="00A771C8">
              <w:rPr>
                <w:b/>
                <w:bCs/>
                <w:color w:val="000000" w:themeColor="text1"/>
                <w:sz w:val="22"/>
              </w:rPr>
              <w:t>Pārejas noteikumi</w:t>
            </w:r>
          </w:p>
          <w:p w:rsidR="00B0329A" w:rsidRPr="00A771C8" w:rsidRDefault="00B0329A" w:rsidP="00B0329A">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t xml:space="preserve">41. Latvijā un Eiropas Ekonomikas zonas dalībvalstīs dzīvojošiem vecuma un invaliditātes pensijas saņēmējiem par apdrošināšanas stāžu, kas uzkrāts līdz 1995.gada 31.decembrim un ņemts vērā, piešķirot (pārrēķinot) pensiju, līdz 2011.gada 31.decembrim piešķir piemaksu par katru apdrošināšanas stāža gadu. Ministru kabinets, iesniedzot Saeimai gadskārtējo valsts budžeta projektu, valsts pamatbudžetā ar 2014.gada 1.janvāri paredz valsts budžeta uzturēšanas izdevumu transfertu no valsts pamatbudžeta uz valsts speciālo budžetu, lai nodrošinātu līdz 2011.gada </w:t>
            </w:r>
            <w:r w:rsidRPr="00A771C8">
              <w:rPr>
                <w:color w:val="000000" w:themeColor="text1"/>
                <w:sz w:val="22"/>
                <w:szCs w:val="22"/>
              </w:rPr>
              <w:lastRenderedPageBreak/>
              <w:t>31.decembrim piešķirto piemaksu pie vecuma un invaliditātes pensijas izmaksas attiecīgi no valsts pensiju speciālā budžeta un invaliditātes, maternitātes un slimības speciālā budžeta.</w:t>
            </w:r>
          </w:p>
          <w:p w:rsidR="00B0329A" w:rsidRPr="00A771C8" w:rsidRDefault="00B0329A" w:rsidP="00B0329A">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t>Ministru kabinets nosaka kārtību, kādā piešķir un izmaksā piemaksu, kā arī nosaka tās apmēru, kas laika periodā no 2009.gada 1.janvāra līdz 2011.gada 31.decembrim nedrīkst būt mazāka par 0,70 latiem.</w:t>
            </w:r>
          </w:p>
          <w:p w:rsidR="00B0329A" w:rsidRPr="00A771C8" w:rsidRDefault="00B0329A" w:rsidP="00B0329A">
            <w:pPr>
              <w:pStyle w:val="tv213"/>
              <w:spacing w:before="0" w:beforeAutospacing="0" w:after="0" w:afterAutospacing="0"/>
              <w:ind w:firstLine="567"/>
              <w:jc w:val="both"/>
              <w:rPr>
                <w:color w:val="000000" w:themeColor="text1"/>
                <w:sz w:val="22"/>
                <w:szCs w:val="22"/>
              </w:rPr>
            </w:pPr>
            <w:r w:rsidRPr="00A771C8">
              <w:rPr>
                <w:color w:val="000000" w:themeColor="text1"/>
                <w:sz w:val="22"/>
                <w:szCs w:val="22"/>
              </w:rPr>
              <w:t xml:space="preserve">Pēc </w:t>
            </w:r>
            <w:r w:rsidRPr="00A771C8">
              <w:rPr>
                <w:i/>
                <w:iCs/>
                <w:color w:val="000000" w:themeColor="text1"/>
                <w:sz w:val="22"/>
                <w:szCs w:val="22"/>
              </w:rPr>
              <w:t>euro</w:t>
            </w:r>
            <w:r w:rsidRPr="00A771C8">
              <w:rPr>
                <w:color w:val="000000" w:themeColor="text1"/>
                <w:sz w:val="22"/>
                <w:szCs w:val="22"/>
              </w:rPr>
              <w:t xml:space="preserve"> ieviešanas dienas piemaksas pie vecuma un invaliditātes pensijas apmērs konvertējams saskaņā ar </w:t>
            </w:r>
            <w:r w:rsidRPr="00A771C8">
              <w:rPr>
                <w:i/>
                <w:iCs/>
                <w:color w:val="000000" w:themeColor="text1"/>
                <w:sz w:val="22"/>
                <w:szCs w:val="22"/>
              </w:rPr>
              <w:t>Euro</w:t>
            </w:r>
            <w:r w:rsidRPr="00A771C8">
              <w:rPr>
                <w:color w:val="000000" w:themeColor="text1"/>
                <w:sz w:val="22"/>
                <w:szCs w:val="22"/>
              </w:rPr>
              <w:t xml:space="preserve"> ieviešanas kārtības likuma 6.pantu.</w:t>
            </w:r>
          </w:p>
        </w:tc>
        <w:tc>
          <w:tcPr>
            <w:tcW w:w="3798" w:type="dxa"/>
            <w:shd w:val="clear" w:color="auto" w:fill="auto"/>
          </w:tcPr>
          <w:p w:rsidR="00B0329A" w:rsidRPr="00A771C8" w:rsidRDefault="00B0329A" w:rsidP="00B0329A">
            <w:pPr>
              <w:ind w:firstLine="709"/>
              <w:jc w:val="both"/>
              <w:rPr>
                <w:color w:val="000000" w:themeColor="text1"/>
                <w:sz w:val="22"/>
              </w:rPr>
            </w:pPr>
          </w:p>
        </w:tc>
        <w:tc>
          <w:tcPr>
            <w:tcW w:w="556" w:type="dxa"/>
          </w:tcPr>
          <w:p w:rsidR="00B0329A" w:rsidRPr="00A771C8" w:rsidRDefault="00B0329A" w:rsidP="00B0329A">
            <w:pPr>
              <w:jc w:val="center"/>
              <w:rPr>
                <w:b/>
                <w:color w:val="000000" w:themeColor="text1"/>
                <w:sz w:val="22"/>
              </w:rPr>
            </w:pPr>
            <w:r w:rsidRPr="00A771C8">
              <w:rPr>
                <w:b/>
                <w:color w:val="000000" w:themeColor="text1"/>
                <w:sz w:val="22"/>
              </w:rPr>
              <w:t>4</w:t>
            </w:r>
          </w:p>
          <w:p w:rsidR="00B0329A" w:rsidRPr="00A771C8" w:rsidRDefault="00B0329A" w:rsidP="00B0329A">
            <w:pPr>
              <w:jc w:val="center"/>
              <w:rPr>
                <w:b/>
                <w:color w:val="000000" w:themeColor="text1"/>
                <w:sz w:val="22"/>
              </w:rPr>
            </w:pPr>
          </w:p>
        </w:tc>
        <w:tc>
          <w:tcPr>
            <w:tcW w:w="3798" w:type="dxa"/>
          </w:tcPr>
          <w:p w:rsidR="00B0329A" w:rsidRPr="00A771C8" w:rsidRDefault="00B0329A" w:rsidP="00B0329A">
            <w:pPr>
              <w:ind w:firstLine="567"/>
              <w:jc w:val="both"/>
              <w:rPr>
                <w:b/>
                <w:color w:val="000000" w:themeColor="text1"/>
                <w:sz w:val="22"/>
                <w:u w:val="single"/>
              </w:rPr>
            </w:pPr>
            <w:r w:rsidRPr="00A771C8">
              <w:rPr>
                <w:b/>
                <w:color w:val="000000" w:themeColor="text1"/>
                <w:sz w:val="22"/>
                <w:u w:val="single"/>
              </w:rPr>
              <w:t>Deputāts A.Klementjevs</w:t>
            </w:r>
          </w:p>
          <w:p w:rsidR="00B0329A" w:rsidRPr="00A771C8" w:rsidRDefault="00B0329A" w:rsidP="00B0329A">
            <w:pPr>
              <w:tabs>
                <w:tab w:val="num" w:pos="142"/>
                <w:tab w:val="num" w:pos="710"/>
              </w:tabs>
              <w:ind w:firstLine="567"/>
              <w:jc w:val="both"/>
              <w:rPr>
                <w:rFonts w:eastAsia="Times New Roman"/>
                <w:color w:val="000000" w:themeColor="text1"/>
                <w:sz w:val="22"/>
                <w:lang w:eastAsia="lv-LV"/>
              </w:rPr>
            </w:pPr>
            <w:r w:rsidRPr="00A771C8">
              <w:rPr>
                <w:rFonts w:eastAsia="Times New Roman"/>
                <w:color w:val="000000" w:themeColor="text1"/>
                <w:sz w:val="22"/>
                <w:lang w:eastAsia="lv-LV"/>
              </w:rPr>
              <w:t>Papildināt likumprojektu ar jaunu pantu šādā redakcijā:</w:t>
            </w:r>
          </w:p>
          <w:p w:rsidR="00B0329A" w:rsidRPr="00A771C8" w:rsidRDefault="00B0329A" w:rsidP="00B0329A">
            <w:pPr>
              <w:ind w:firstLine="567"/>
              <w:jc w:val="both"/>
              <w:rPr>
                <w:rFonts w:eastAsia="Times New Roman"/>
                <w:color w:val="000000" w:themeColor="text1"/>
                <w:sz w:val="22"/>
              </w:rPr>
            </w:pPr>
            <w:r w:rsidRPr="00A771C8">
              <w:rPr>
                <w:rFonts w:eastAsia="Times New Roman"/>
                <w:color w:val="000000" w:themeColor="text1"/>
                <w:sz w:val="22"/>
              </w:rPr>
              <w:t>“Izslēgt pārejas noteikumu 41. punkta trešajā teikumā vārdus “līdz 2011. gada 31. decembrim.”.”</w:t>
            </w:r>
          </w:p>
          <w:p w:rsidR="00B0329A" w:rsidRPr="00A771C8" w:rsidRDefault="00B0329A" w:rsidP="00B0329A">
            <w:pPr>
              <w:spacing w:line="276" w:lineRule="auto"/>
              <w:ind w:firstLine="567"/>
              <w:jc w:val="both"/>
              <w:rPr>
                <w:b/>
                <w:color w:val="000000" w:themeColor="text1"/>
                <w:sz w:val="22"/>
                <w:u w:val="single"/>
              </w:rPr>
            </w:pPr>
          </w:p>
        </w:tc>
        <w:tc>
          <w:tcPr>
            <w:tcW w:w="1417" w:type="dxa"/>
          </w:tcPr>
          <w:p w:rsidR="00B0329A" w:rsidRPr="00A771C8" w:rsidRDefault="00B0329A" w:rsidP="00B0329A">
            <w:pPr>
              <w:ind w:firstLine="709"/>
              <w:jc w:val="both"/>
              <w:rPr>
                <w:color w:val="000000" w:themeColor="text1"/>
                <w:sz w:val="22"/>
              </w:rPr>
            </w:pPr>
          </w:p>
        </w:tc>
        <w:tc>
          <w:tcPr>
            <w:tcW w:w="1417" w:type="dxa"/>
          </w:tcPr>
          <w:p w:rsidR="00B0329A" w:rsidRPr="00A771C8" w:rsidRDefault="00B0329A" w:rsidP="00B0329A">
            <w:pPr>
              <w:ind w:firstLine="709"/>
              <w:jc w:val="both"/>
              <w:rPr>
                <w:color w:val="000000" w:themeColor="text1"/>
                <w:sz w:val="22"/>
              </w:rPr>
            </w:pPr>
          </w:p>
        </w:tc>
      </w:tr>
      <w:tr w:rsidR="00A771C8" w:rsidRPr="00A771C8" w:rsidTr="00EA52AC">
        <w:tc>
          <w:tcPr>
            <w:tcW w:w="3798" w:type="dxa"/>
            <w:shd w:val="clear" w:color="auto" w:fill="auto"/>
          </w:tcPr>
          <w:p w:rsidR="00B0329A" w:rsidRPr="00A771C8" w:rsidRDefault="00B0329A" w:rsidP="00B0329A">
            <w:pPr>
              <w:ind w:firstLine="567"/>
              <w:jc w:val="both"/>
              <w:rPr>
                <w:b/>
                <w:bCs/>
                <w:color w:val="000000" w:themeColor="text1"/>
                <w:sz w:val="22"/>
              </w:rPr>
            </w:pPr>
          </w:p>
        </w:tc>
        <w:tc>
          <w:tcPr>
            <w:tcW w:w="3798" w:type="dxa"/>
            <w:shd w:val="clear" w:color="auto" w:fill="auto"/>
          </w:tcPr>
          <w:p w:rsidR="00B0329A" w:rsidRPr="00A771C8" w:rsidRDefault="00B0329A" w:rsidP="00B0329A">
            <w:pPr>
              <w:ind w:firstLine="709"/>
              <w:jc w:val="both"/>
              <w:rPr>
                <w:color w:val="000000" w:themeColor="text1"/>
                <w:sz w:val="22"/>
              </w:rPr>
            </w:pPr>
          </w:p>
        </w:tc>
        <w:tc>
          <w:tcPr>
            <w:tcW w:w="556" w:type="dxa"/>
          </w:tcPr>
          <w:p w:rsidR="00B0329A" w:rsidRPr="00A771C8" w:rsidRDefault="00B0329A" w:rsidP="00B0329A">
            <w:pPr>
              <w:jc w:val="center"/>
              <w:rPr>
                <w:b/>
                <w:color w:val="000000" w:themeColor="text1"/>
                <w:sz w:val="22"/>
              </w:rPr>
            </w:pPr>
            <w:r w:rsidRPr="00A771C8">
              <w:rPr>
                <w:b/>
                <w:color w:val="000000" w:themeColor="text1"/>
                <w:sz w:val="22"/>
              </w:rPr>
              <w:t>5</w:t>
            </w: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p>
          <w:p w:rsidR="00B0329A" w:rsidRPr="00A771C8" w:rsidRDefault="00B0329A" w:rsidP="00B0329A">
            <w:pPr>
              <w:jc w:val="center"/>
              <w:rPr>
                <w:b/>
                <w:color w:val="000000" w:themeColor="text1"/>
                <w:sz w:val="22"/>
              </w:rPr>
            </w:pPr>
            <w:r w:rsidRPr="00A771C8">
              <w:rPr>
                <w:b/>
                <w:color w:val="000000" w:themeColor="text1"/>
                <w:sz w:val="22"/>
              </w:rPr>
              <w:t>6</w:t>
            </w:r>
          </w:p>
          <w:p w:rsidR="00B0329A" w:rsidRPr="00A771C8" w:rsidRDefault="00B0329A" w:rsidP="00B0329A">
            <w:pPr>
              <w:jc w:val="center"/>
              <w:rPr>
                <w:b/>
                <w:color w:val="000000" w:themeColor="text1"/>
                <w:sz w:val="22"/>
              </w:rPr>
            </w:pPr>
          </w:p>
        </w:tc>
        <w:tc>
          <w:tcPr>
            <w:tcW w:w="3798" w:type="dxa"/>
          </w:tcPr>
          <w:p w:rsidR="00B0329A" w:rsidRPr="00A771C8" w:rsidRDefault="00B0329A" w:rsidP="00B0329A">
            <w:pPr>
              <w:ind w:firstLine="567"/>
              <w:jc w:val="both"/>
              <w:rPr>
                <w:b/>
                <w:color w:val="000000" w:themeColor="text1"/>
                <w:sz w:val="22"/>
                <w:u w:val="single"/>
              </w:rPr>
            </w:pPr>
            <w:r w:rsidRPr="00A771C8">
              <w:rPr>
                <w:b/>
                <w:color w:val="000000" w:themeColor="text1"/>
                <w:sz w:val="22"/>
                <w:u w:val="single"/>
              </w:rPr>
              <w:lastRenderedPageBreak/>
              <w:t>Deputāts A.Klementjevs</w:t>
            </w:r>
          </w:p>
          <w:p w:rsidR="00B0329A" w:rsidRPr="00A771C8" w:rsidRDefault="00B0329A" w:rsidP="00B0329A">
            <w:pPr>
              <w:tabs>
                <w:tab w:val="num" w:pos="142"/>
              </w:tabs>
              <w:ind w:firstLine="567"/>
              <w:jc w:val="both"/>
              <w:rPr>
                <w:rFonts w:eastAsia="Times New Roman"/>
                <w:color w:val="000000" w:themeColor="text1"/>
                <w:sz w:val="22"/>
                <w:lang w:eastAsia="lv-LV"/>
              </w:rPr>
            </w:pPr>
            <w:r w:rsidRPr="00A771C8">
              <w:rPr>
                <w:rFonts w:eastAsia="Times New Roman"/>
                <w:color w:val="000000" w:themeColor="text1"/>
                <w:sz w:val="22"/>
                <w:lang w:eastAsia="lv-LV"/>
              </w:rPr>
              <w:t>Papildināt likumprojektu ar jaunu pantu šādā redakcijā:</w:t>
            </w:r>
          </w:p>
          <w:p w:rsidR="00B0329A" w:rsidRPr="00A771C8" w:rsidRDefault="00B0329A" w:rsidP="00B0329A">
            <w:pPr>
              <w:tabs>
                <w:tab w:val="num" w:pos="142"/>
              </w:tabs>
              <w:ind w:firstLine="567"/>
              <w:jc w:val="both"/>
              <w:rPr>
                <w:rFonts w:eastAsia="Times New Roman"/>
                <w:color w:val="000000" w:themeColor="text1"/>
                <w:sz w:val="22"/>
              </w:rPr>
            </w:pPr>
            <w:r w:rsidRPr="00A771C8">
              <w:rPr>
                <w:rFonts w:eastAsia="Times New Roman"/>
                <w:color w:val="000000" w:themeColor="text1"/>
                <w:sz w:val="22"/>
              </w:rPr>
              <w:t>“Papildināt pārejas noteikumus ar 41.</w:t>
            </w:r>
            <w:r w:rsidRPr="00A771C8">
              <w:rPr>
                <w:rFonts w:eastAsia="Times New Roman"/>
                <w:color w:val="000000" w:themeColor="text1"/>
                <w:sz w:val="22"/>
                <w:vertAlign w:val="superscript"/>
              </w:rPr>
              <w:t>6</w:t>
            </w:r>
            <w:r w:rsidRPr="00A771C8">
              <w:rPr>
                <w:rFonts w:eastAsia="Times New Roman"/>
                <w:color w:val="000000" w:themeColor="text1"/>
                <w:sz w:val="22"/>
              </w:rPr>
              <w:t xml:space="preserve"> punktu šādā redakcijā:</w:t>
            </w:r>
          </w:p>
          <w:p w:rsidR="00B0329A" w:rsidRPr="00A771C8" w:rsidRDefault="00B0329A" w:rsidP="00B0329A">
            <w:pPr>
              <w:ind w:firstLine="567"/>
              <w:jc w:val="both"/>
              <w:rPr>
                <w:rFonts w:eastAsia="Times New Roman"/>
                <w:color w:val="000000" w:themeColor="text1"/>
                <w:sz w:val="22"/>
              </w:rPr>
            </w:pPr>
            <w:r w:rsidRPr="00A771C8">
              <w:rPr>
                <w:rFonts w:eastAsia="Times New Roman"/>
                <w:color w:val="000000" w:themeColor="text1"/>
                <w:sz w:val="22"/>
              </w:rPr>
              <w:t>“41.</w:t>
            </w:r>
            <w:r w:rsidRPr="00A771C8">
              <w:rPr>
                <w:rFonts w:eastAsia="Times New Roman"/>
                <w:color w:val="000000" w:themeColor="text1"/>
                <w:sz w:val="22"/>
                <w:vertAlign w:val="superscript"/>
              </w:rPr>
              <w:t>6</w:t>
            </w:r>
            <w:r w:rsidRPr="00A771C8">
              <w:rPr>
                <w:rFonts w:eastAsia="Times New Roman"/>
                <w:color w:val="000000" w:themeColor="text1"/>
                <w:sz w:val="22"/>
              </w:rPr>
              <w:t xml:space="preserve"> Šo pārejas noteikumu 41. punktā minētajām personām, kurām piešķirta (pārrēķināta) pensija no 2012. gada janvāra līdz 2013. gada 31. decembrim, sākot ar 2020. gada 1. jūliju piešķir piemaksu par katru apdrošināšanas stāža gadu, kas uzkrāts līdz 1995. gada 31.decembrim;</w:t>
            </w:r>
          </w:p>
          <w:p w:rsidR="00B0329A" w:rsidRPr="00A771C8" w:rsidRDefault="00B0329A" w:rsidP="00B0329A">
            <w:pPr>
              <w:ind w:firstLine="567"/>
              <w:jc w:val="both"/>
              <w:rPr>
                <w:rFonts w:eastAsia="Times New Roman"/>
                <w:color w:val="000000" w:themeColor="text1"/>
                <w:sz w:val="22"/>
              </w:rPr>
            </w:pPr>
            <w:r w:rsidRPr="00A771C8">
              <w:rPr>
                <w:rFonts w:eastAsia="Times New Roman"/>
                <w:color w:val="000000" w:themeColor="text1"/>
                <w:sz w:val="22"/>
              </w:rPr>
              <w:t>sākot ar 2021. gada 1. janvāri - no 2014. gada 1. janvāra līdz 2015. gada 31. decembrim;</w:t>
            </w:r>
          </w:p>
          <w:p w:rsidR="00B0329A" w:rsidRPr="00A771C8" w:rsidRDefault="00B0329A" w:rsidP="00B0329A">
            <w:pPr>
              <w:ind w:firstLine="567"/>
              <w:jc w:val="both"/>
              <w:rPr>
                <w:rFonts w:eastAsia="Times New Roman"/>
                <w:color w:val="000000" w:themeColor="text1"/>
                <w:sz w:val="22"/>
              </w:rPr>
            </w:pPr>
            <w:r w:rsidRPr="00A771C8">
              <w:rPr>
                <w:rFonts w:eastAsia="Times New Roman"/>
                <w:color w:val="000000" w:themeColor="text1"/>
                <w:sz w:val="22"/>
              </w:rPr>
              <w:t>sākot ar 2022. gada 1. janvāri – no 2016. gada 1. janvāra līdz 2018. gada 31. decembrim;</w:t>
            </w:r>
          </w:p>
          <w:p w:rsidR="00B0329A" w:rsidRPr="00A771C8" w:rsidRDefault="00B0329A" w:rsidP="00B0329A">
            <w:pPr>
              <w:ind w:firstLine="567"/>
              <w:jc w:val="both"/>
              <w:rPr>
                <w:rFonts w:eastAsia="Times New Roman"/>
                <w:color w:val="000000" w:themeColor="text1"/>
                <w:sz w:val="22"/>
              </w:rPr>
            </w:pPr>
            <w:r w:rsidRPr="00A771C8">
              <w:rPr>
                <w:rFonts w:eastAsia="Times New Roman"/>
                <w:color w:val="000000" w:themeColor="text1"/>
                <w:sz w:val="22"/>
              </w:rPr>
              <w:t>sākot ar 2023. gada 1. janvāri – no 2019. gada 1. janvāra līdz 2021. gada 31. decembrim;</w:t>
            </w:r>
          </w:p>
          <w:p w:rsidR="00B0329A" w:rsidRPr="00A771C8" w:rsidRDefault="00B0329A" w:rsidP="00B0329A">
            <w:pPr>
              <w:ind w:firstLine="567"/>
              <w:jc w:val="both"/>
              <w:rPr>
                <w:rFonts w:eastAsia="Times New Roman"/>
                <w:color w:val="000000" w:themeColor="text1"/>
                <w:sz w:val="22"/>
              </w:rPr>
            </w:pPr>
            <w:r w:rsidRPr="00A771C8">
              <w:rPr>
                <w:rFonts w:eastAsia="Times New Roman"/>
                <w:color w:val="000000" w:themeColor="text1"/>
                <w:sz w:val="22"/>
              </w:rPr>
              <w:lastRenderedPageBreak/>
              <w:t>sākot ar 2024. gada 1. janvāri – no 2022. gada 1. janvāra līdz 2024. gada 31. decembrim.</w:t>
            </w:r>
          </w:p>
          <w:p w:rsidR="00B0329A" w:rsidRPr="00A771C8" w:rsidRDefault="00B0329A" w:rsidP="00B0329A">
            <w:pPr>
              <w:ind w:firstLine="567"/>
              <w:jc w:val="both"/>
              <w:rPr>
                <w:rFonts w:eastAsia="Times New Roman"/>
                <w:color w:val="000000" w:themeColor="text1"/>
                <w:sz w:val="22"/>
              </w:rPr>
            </w:pPr>
            <w:r w:rsidRPr="00A771C8">
              <w:rPr>
                <w:rFonts w:eastAsia="Times New Roman"/>
                <w:color w:val="000000" w:themeColor="text1"/>
                <w:sz w:val="22"/>
              </w:rPr>
              <w:t>Sākot ar 2025. gada 1. janvāri visiem Latvijā un Eiropas Ekonomikas zonas dalībvalstīs dzīvojošiem vecuma un invaliditātes pensijas saņēmējiem par apdrošināšanas stāžu, kas uzkrāts līdz 1995. gada 31. decembrim un ņemts vērā, piešķirot (pārrēķinot) pensiju,</w:t>
            </w:r>
            <w:r w:rsidRPr="00A771C8">
              <w:rPr>
                <w:color w:val="000000" w:themeColor="text1"/>
                <w:sz w:val="22"/>
              </w:rPr>
              <w:t xml:space="preserve"> </w:t>
            </w:r>
            <w:r w:rsidRPr="00A771C8">
              <w:rPr>
                <w:rFonts w:eastAsia="Times New Roman"/>
                <w:color w:val="000000" w:themeColor="text1"/>
                <w:sz w:val="22"/>
              </w:rPr>
              <w:t>piešķir piemaksu par katru apdrošināšanas stāža gadu.”</w:t>
            </w:r>
          </w:p>
          <w:p w:rsidR="00B0329A" w:rsidRPr="00A771C8" w:rsidRDefault="00B0329A" w:rsidP="00B0329A">
            <w:pPr>
              <w:ind w:firstLine="567"/>
              <w:jc w:val="both"/>
              <w:rPr>
                <w:rFonts w:eastAsia="Times New Roman"/>
                <w:color w:val="000000" w:themeColor="text1"/>
                <w:sz w:val="22"/>
              </w:rPr>
            </w:pPr>
          </w:p>
          <w:p w:rsidR="00B0329A" w:rsidRPr="00A771C8" w:rsidRDefault="00B0329A" w:rsidP="00B0329A">
            <w:pPr>
              <w:ind w:firstLine="567"/>
              <w:jc w:val="both"/>
              <w:rPr>
                <w:b/>
                <w:color w:val="000000" w:themeColor="text1"/>
                <w:sz w:val="22"/>
                <w:u w:val="single"/>
              </w:rPr>
            </w:pPr>
            <w:r w:rsidRPr="00A771C8">
              <w:rPr>
                <w:b/>
                <w:color w:val="000000" w:themeColor="text1"/>
                <w:sz w:val="22"/>
                <w:u w:val="single"/>
              </w:rPr>
              <w:t>Deputāts A.Klementjevs</w:t>
            </w:r>
          </w:p>
          <w:p w:rsidR="00B0329A" w:rsidRPr="00A771C8" w:rsidRDefault="00B0329A" w:rsidP="00B0329A">
            <w:pPr>
              <w:tabs>
                <w:tab w:val="num" w:pos="142"/>
              </w:tabs>
              <w:ind w:firstLine="567"/>
              <w:jc w:val="both"/>
              <w:rPr>
                <w:rFonts w:eastAsia="Times New Roman"/>
                <w:color w:val="000000" w:themeColor="text1"/>
                <w:sz w:val="22"/>
                <w:lang w:eastAsia="lv-LV"/>
              </w:rPr>
            </w:pPr>
            <w:r w:rsidRPr="00A771C8">
              <w:rPr>
                <w:rFonts w:eastAsia="Times New Roman"/>
                <w:color w:val="000000" w:themeColor="text1"/>
                <w:sz w:val="22"/>
                <w:lang w:eastAsia="lv-LV"/>
              </w:rPr>
              <w:t>Papildināt likumprojektu ar jaunu pantu šādā redakcijā:</w:t>
            </w:r>
          </w:p>
          <w:p w:rsidR="00B0329A" w:rsidRPr="00A771C8" w:rsidRDefault="00B0329A" w:rsidP="00B0329A">
            <w:pPr>
              <w:tabs>
                <w:tab w:val="num" w:pos="142"/>
              </w:tabs>
              <w:ind w:firstLine="567"/>
              <w:jc w:val="both"/>
              <w:rPr>
                <w:rFonts w:eastAsia="Times New Roman"/>
                <w:color w:val="000000" w:themeColor="text1"/>
                <w:sz w:val="22"/>
              </w:rPr>
            </w:pPr>
            <w:r w:rsidRPr="00A771C8">
              <w:rPr>
                <w:rFonts w:eastAsia="Times New Roman"/>
                <w:color w:val="000000" w:themeColor="text1"/>
                <w:sz w:val="22"/>
              </w:rPr>
              <w:t>“Papildināt pārejas noteikumus ar 41.</w:t>
            </w:r>
            <w:r w:rsidRPr="00A771C8">
              <w:rPr>
                <w:rFonts w:eastAsia="Times New Roman"/>
                <w:color w:val="000000" w:themeColor="text1"/>
                <w:sz w:val="22"/>
                <w:vertAlign w:val="superscript"/>
              </w:rPr>
              <w:t>7</w:t>
            </w:r>
            <w:r w:rsidRPr="00A771C8">
              <w:rPr>
                <w:rFonts w:eastAsia="Times New Roman"/>
                <w:color w:val="000000" w:themeColor="text1"/>
                <w:sz w:val="22"/>
              </w:rPr>
              <w:t xml:space="preserve"> punktu šādā redakcijā:</w:t>
            </w:r>
          </w:p>
          <w:p w:rsidR="00B0329A" w:rsidRPr="00A771C8" w:rsidRDefault="00B0329A" w:rsidP="00B0329A">
            <w:pPr>
              <w:shd w:val="clear" w:color="auto" w:fill="FFFFFF"/>
              <w:ind w:firstLine="567"/>
              <w:jc w:val="both"/>
              <w:rPr>
                <w:rFonts w:eastAsia="Times New Roman"/>
                <w:color w:val="000000" w:themeColor="text1"/>
                <w:sz w:val="22"/>
              </w:rPr>
            </w:pPr>
            <w:r w:rsidRPr="00A771C8">
              <w:rPr>
                <w:rFonts w:eastAsia="Times New Roman"/>
                <w:color w:val="000000" w:themeColor="text1"/>
                <w:sz w:val="22"/>
              </w:rPr>
              <w:t>“41.</w:t>
            </w:r>
            <w:r w:rsidRPr="00A771C8">
              <w:rPr>
                <w:rFonts w:eastAsia="Times New Roman"/>
                <w:color w:val="000000" w:themeColor="text1"/>
                <w:sz w:val="22"/>
                <w:vertAlign w:val="superscript"/>
              </w:rPr>
              <w:t>7</w:t>
            </w:r>
            <w:r w:rsidRPr="00A771C8">
              <w:rPr>
                <w:rFonts w:eastAsia="Times New Roman"/>
                <w:color w:val="000000" w:themeColor="text1"/>
                <w:sz w:val="22"/>
              </w:rPr>
              <w:t xml:space="preserve"> Lai nodrošinātu šo pārejas noteikumu 41.</w:t>
            </w:r>
            <w:r w:rsidRPr="00A771C8">
              <w:rPr>
                <w:rFonts w:eastAsia="Times New Roman"/>
                <w:color w:val="000000" w:themeColor="text1"/>
                <w:sz w:val="22"/>
                <w:vertAlign w:val="superscript"/>
              </w:rPr>
              <w:t xml:space="preserve">6 </w:t>
            </w:r>
            <w:r w:rsidRPr="00A771C8">
              <w:rPr>
                <w:rFonts w:eastAsia="Times New Roman"/>
                <w:color w:val="000000" w:themeColor="text1"/>
                <w:sz w:val="22"/>
              </w:rPr>
              <w:t>punkta prasību izpildi, 2020. gadam un turpmākajiem gadiem nepieciešamos papildu izdevumus Ministru kabinets iekļauj Labklājības ministrijas pamatbudžeta izdevumos.””.</w:t>
            </w:r>
          </w:p>
        </w:tc>
        <w:tc>
          <w:tcPr>
            <w:tcW w:w="1417" w:type="dxa"/>
          </w:tcPr>
          <w:p w:rsidR="00B0329A" w:rsidRPr="00A771C8" w:rsidRDefault="00B0329A" w:rsidP="00B0329A">
            <w:pPr>
              <w:ind w:firstLine="709"/>
              <w:jc w:val="both"/>
              <w:rPr>
                <w:color w:val="000000" w:themeColor="text1"/>
                <w:sz w:val="22"/>
              </w:rPr>
            </w:pPr>
          </w:p>
        </w:tc>
        <w:tc>
          <w:tcPr>
            <w:tcW w:w="1417" w:type="dxa"/>
          </w:tcPr>
          <w:p w:rsidR="00B0329A" w:rsidRPr="00A771C8" w:rsidRDefault="00B0329A" w:rsidP="00B0329A">
            <w:pPr>
              <w:ind w:firstLine="709"/>
              <w:jc w:val="both"/>
              <w:rPr>
                <w:color w:val="000000" w:themeColor="text1"/>
                <w:sz w:val="22"/>
              </w:rPr>
            </w:pPr>
          </w:p>
        </w:tc>
      </w:tr>
      <w:tr w:rsidR="00B0329A" w:rsidRPr="00A771C8" w:rsidTr="00EA52AC">
        <w:tc>
          <w:tcPr>
            <w:tcW w:w="3798" w:type="dxa"/>
            <w:shd w:val="clear" w:color="auto" w:fill="auto"/>
          </w:tcPr>
          <w:p w:rsidR="00B0329A" w:rsidRPr="00A771C8" w:rsidRDefault="00B0329A" w:rsidP="00B0329A">
            <w:pPr>
              <w:pStyle w:val="labojumupamats"/>
              <w:spacing w:before="0" w:beforeAutospacing="0" w:after="0" w:afterAutospacing="0"/>
              <w:ind w:firstLine="567"/>
              <w:jc w:val="both"/>
              <w:rPr>
                <w:i/>
                <w:color w:val="000000" w:themeColor="text1"/>
                <w:sz w:val="22"/>
                <w:szCs w:val="22"/>
              </w:rPr>
            </w:pPr>
          </w:p>
        </w:tc>
        <w:tc>
          <w:tcPr>
            <w:tcW w:w="3798" w:type="dxa"/>
            <w:shd w:val="clear" w:color="auto" w:fill="auto"/>
          </w:tcPr>
          <w:p w:rsidR="00B0329A" w:rsidRPr="00A771C8" w:rsidRDefault="00B0329A" w:rsidP="00B0329A">
            <w:pPr>
              <w:shd w:val="clear" w:color="auto" w:fill="FFFFFF"/>
              <w:ind w:firstLine="709"/>
              <w:contextualSpacing/>
              <w:rPr>
                <w:color w:val="000000" w:themeColor="text1"/>
                <w:sz w:val="22"/>
              </w:rPr>
            </w:pPr>
            <w:r w:rsidRPr="00A771C8">
              <w:rPr>
                <w:color w:val="000000" w:themeColor="text1"/>
                <w:sz w:val="22"/>
              </w:rPr>
              <w:t xml:space="preserve">Likums stājas spēkā 2020. gada 1. janvārī. </w:t>
            </w:r>
          </w:p>
        </w:tc>
        <w:tc>
          <w:tcPr>
            <w:tcW w:w="556" w:type="dxa"/>
          </w:tcPr>
          <w:p w:rsidR="00B0329A" w:rsidRPr="00A771C8" w:rsidRDefault="00B0329A" w:rsidP="00B0329A">
            <w:pPr>
              <w:shd w:val="clear" w:color="auto" w:fill="FFFFFF"/>
              <w:contextualSpacing/>
              <w:jc w:val="center"/>
              <w:rPr>
                <w:b/>
                <w:color w:val="000000" w:themeColor="text1"/>
                <w:sz w:val="22"/>
              </w:rPr>
            </w:pPr>
          </w:p>
        </w:tc>
        <w:tc>
          <w:tcPr>
            <w:tcW w:w="3798" w:type="dxa"/>
          </w:tcPr>
          <w:p w:rsidR="00B0329A" w:rsidRPr="00A771C8" w:rsidRDefault="00B0329A" w:rsidP="00B0329A">
            <w:pPr>
              <w:shd w:val="clear" w:color="auto" w:fill="FFFFFF"/>
              <w:ind w:firstLine="709"/>
              <w:contextualSpacing/>
              <w:rPr>
                <w:color w:val="000000" w:themeColor="text1"/>
                <w:sz w:val="22"/>
              </w:rPr>
            </w:pPr>
          </w:p>
        </w:tc>
        <w:tc>
          <w:tcPr>
            <w:tcW w:w="1417" w:type="dxa"/>
          </w:tcPr>
          <w:p w:rsidR="00B0329A" w:rsidRPr="00A771C8" w:rsidRDefault="00B0329A" w:rsidP="00B0329A">
            <w:pPr>
              <w:shd w:val="clear" w:color="auto" w:fill="FFFFFF"/>
              <w:ind w:firstLine="709"/>
              <w:contextualSpacing/>
              <w:rPr>
                <w:color w:val="000000" w:themeColor="text1"/>
                <w:sz w:val="22"/>
              </w:rPr>
            </w:pPr>
          </w:p>
        </w:tc>
        <w:tc>
          <w:tcPr>
            <w:tcW w:w="1417" w:type="dxa"/>
          </w:tcPr>
          <w:p w:rsidR="00B0329A" w:rsidRPr="00A771C8" w:rsidRDefault="00B0329A" w:rsidP="00B0329A">
            <w:pPr>
              <w:shd w:val="clear" w:color="auto" w:fill="FFFFFF"/>
              <w:ind w:firstLine="709"/>
              <w:contextualSpacing/>
              <w:rPr>
                <w:color w:val="000000" w:themeColor="text1"/>
                <w:sz w:val="22"/>
              </w:rPr>
            </w:pPr>
          </w:p>
        </w:tc>
      </w:tr>
      <w:bookmarkEnd w:id="0"/>
    </w:tbl>
    <w:p w:rsidR="005D4711" w:rsidRPr="00A771C8" w:rsidRDefault="005D4711" w:rsidP="00B0329A">
      <w:pPr>
        <w:rPr>
          <w:color w:val="000000" w:themeColor="text1"/>
        </w:rPr>
      </w:pPr>
    </w:p>
    <w:sectPr w:rsidR="005D4711" w:rsidRPr="00A771C8" w:rsidSect="00B0329A">
      <w:footerReference w:type="even" r:id="rId8"/>
      <w:footerReference w:type="default" r:id="rId9"/>
      <w:pgSz w:w="16838" w:h="11906" w:orient="landscape"/>
      <w:pgMar w:top="993" w:right="962"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29" w:rsidRDefault="007C1863">
      <w:r>
        <w:separator/>
      </w:r>
    </w:p>
  </w:endnote>
  <w:endnote w:type="continuationSeparator" w:id="0">
    <w:p w:rsidR="00084629" w:rsidRDefault="007C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EA52AC"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A771C8"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EA52AC"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1C8">
      <w:rPr>
        <w:rStyle w:val="PageNumber"/>
        <w:noProof/>
      </w:rPr>
      <w:t>2</w:t>
    </w:r>
    <w:r>
      <w:rPr>
        <w:rStyle w:val="PageNumber"/>
      </w:rPr>
      <w:fldChar w:fldCharType="end"/>
    </w:r>
  </w:p>
  <w:p w:rsidR="00511D34" w:rsidRDefault="00A771C8"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29" w:rsidRDefault="007C1863">
      <w:r>
        <w:separator/>
      </w:r>
    </w:p>
  </w:footnote>
  <w:footnote w:type="continuationSeparator" w:id="0">
    <w:p w:rsidR="00084629" w:rsidRDefault="007C1863">
      <w:r>
        <w:continuationSeparator/>
      </w:r>
    </w:p>
  </w:footnote>
  <w:footnote w:id="1">
    <w:p w:rsidR="00D5725B" w:rsidRPr="00D5725B" w:rsidRDefault="00D5725B" w:rsidP="00D5725B">
      <w:pPr>
        <w:tabs>
          <w:tab w:val="left" w:pos="6740"/>
        </w:tabs>
        <w:jc w:val="both"/>
        <w:rPr>
          <w:color w:val="000000" w:themeColor="text1"/>
          <w:sz w:val="18"/>
          <w:szCs w:val="18"/>
        </w:rPr>
      </w:pPr>
      <w:r w:rsidRPr="00D5725B">
        <w:rPr>
          <w:rStyle w:val="FootnoteReference"/>
          <w:sz w:val="18"/>
          <w:szCs w:val="18"/>
        </w:rPr>
        <w:footnoteRef/>
      </w:r>
      <w:r w:rsidRPr="00D5725B">
        <w:rPr>
          <w:sz w:val="18"/>
          <w:szCs w:val="18"/>
        </w:rPr>
        <w:t xml:space="preserve"> </w:t>
      </w:r>
      <w:r w:rsidRPr="00B0329A">
        <w:rPr>
          <w:b/>
          <w:color w:val="000000" w:themeColor="text1"/>
          <w:sz w:val="18"/>
          <w:szCs w:val="18"/>
        </w:rPr>
        <w:t>Pamatojums</w:t>
      </w:r>
      <w:r w:rsidR="00B0329A">
        <w:rPr>
          <w:b/>
          <w:color w:val="000000" w:themeColor="text1"/>
          <w:sz w:val="18"/>
          <w:szCs w:val="18"/>
        </w:rPr>
        <w:t xml:space="preserve"> (ZZS)</w:t>
      </w:r>
      <w:r w:rsidRPr="00B0329A">
        <w:rPr>
          <w:b/>
          <w:color w:val="000000" w:themeColor="text1"/>
          <w:sz w:val="18"/>
          <w:szCs w:val="18"/>
        </w:rPr>
        <w:t>:</w:t>
      </w:r>
    </w:p>
    <w:p w:rsidR="00D5725B" w:rsidRPr="00B0329A" w:rsidRDefault="00D5725B" w:rsidP="00D5725B">
      <w:pPr>
        <w:tabs>
          <w:tab w:val="left" w:pos="6740"/>
        </w:tabs>
        <w:jc w:val="both"/>
        <w:rPr>
          <w:i/>
          <w:color w:val="000000" w:themeColor="text1"/>
          <w:sz w:val="20"/>
          <w:szCs w:val="20"/>
        </w:rPr>
      </w:pPr>
      <w:r w:rsidRPr="00B0329A">
        <w:rPr>
          <w:i/>
          <w:color w:val="000000" w:themeColor="text1"/>
          <w:sz w:val="20"/>
          <w:szCs w:val="20"/>
        </w:rPr>
        <w:t>Saskaņā ar likuma „Par valsts pensijām” 3.panta pirmo daļu tiesības uz valsts sociālās apdrošināšanas pensiju saskaņā ar šā likuma nosacījumiem ir Latvijas teritorijā dzīvojošām personām. Minētā tiesību norma paredz, ka tiesības uz pensiju ir personai, kura pastāvīgi dzīvo Latvijas teritorijā.</w:t>
      </w:r>
    </w:p>
    <w:p w:rsidR="00D5725B" w:rsidRPr="00B0329A" w:rsidRDefault="00D5725B" w:rsidP="00D5725B">
      <w:pPr>
        <w:tabs>
          <w:tab w:val="left" w:pos="6740"/>
        </w:tabs>
        <w:jc w:val="both"/>
        <w:rPr>
          <w:i/>
          <w:iCs/>
          <w:color w:val="000000" w:themeColor="text1"/>
          <w:sz w:val="20"/>
          <w:szCs w:val="20"/>
        </w:rPr>
      </w:pPr>
      <w:r w:rsidRPr="00B0329A">
        <w:rPr>
          <w:i/>
          <w:color w:val="000000" w:themeColor="text1"/>
          <w:sz w:val="20"/>
          <w:szCs w:val="20"/>
        </w:rPr>
        <w:t>Latvijas Republikas Senāta Administratīvo lietu departamenta 2019.gada 19.jūlija spriedumā lietā Nr. A420215815, SKA-61/2019</w:t>
      </w:r>
      <w:r w:rsidRPr="00B0329A">
        <w:rPr>
          <w:i/>
          <w:iCs/>
          <w:color w:val="000000" w:themeColor="text1"/>
          <w:sz w:val="20"/>
          <w:szCs w:val="20"/>
        </w:rPr>
        <w:t>, vērtējot vecuma pensijas piešķiršanas nosacījuma „Latvijas teritorijā dzīvojoša persona” pierādīšanu, secināja:</w:t>
      </w:r>
    </w:p>
    <w:p w:rsidR="00D5725B" w:rsidRPr="00B0329A" w:rsidRDefault="00D5725B" w:rsidP="00D5725B">
      <w:pPr>
        <w:tabs>
          <w:tab w:val="left" w:pos="6740"/>
        </w:tabs>
        <w:jc w:val="both"/>
        <w:rPr>
          <w:i/>
          <w:iCs/>
          <w:color w:val="000000" w:themeColor="text1"/>
          <w:sz w:val="20"/>
          <w:szCs w:val="20"/>
        </w:rPr>
      </w:pPr>
      <w:r w:rsidRPr="00B0329A">
        <w:rPr>
          <w:i/>
          <w:iCs/>
          <w:color w:val="000000" w:themeColor="text1"/>
          <w:sz w:val="20"/>
          <w:szCs w:val="20"/>
        </w:rPr>
        <w:t xml:space="preserve">1. Pats fakts – persona ir deklarējusi savu dzīvesvietu Latvijā – vēl nenozīmē, ka persona dzīvo Latvijā likuma „Par valsts pensijām” 3.panta pirmās daļas izpratnē. Dzīvošanas faktu valstī apliecina personas klātesība, tostarp arī saziņā ar valsts iestādēm. </w:t>
      </w:r>
    </w:p>
    <w:p w:rsidR="00D5725B" w:rsidRPr="00B0329A" w:rsidRDefault="00D5725B" w:rsidP="00D5725B">
      <w:pPr>
        <w:tabs>
          <w:tab w:val="left" w:pos="6740"/>
        </w:tabs>
        <w:jc w:val="both"/>
        <w:rPr>
          <w:i/>
          <w:iCs/>
          <w:color w:val="000000" w:themeColor="text1"/>
          <w:sz w:val="20"/>
          <w:szCs w:val="20"/>
        </w:rPr>
      </w:pPr>
      <w:r w:rsidRPr="00B0329A">
        <w:rPr>
          <w:i/>
          <w:iCs/>
          <w:color w:val="000000" w:themeColor="text1"/>
          <w:sz w:val="20"/>
          <w:szCs w:val="20"/>
        </w:rPr>
        <w:t>2. Vecuma pensija nevar tikt piešķirta personai, par kuru nav pietiekami ticamu ziņu, ka tā ir dzīva, un kuras faktiskā dzīvesvieta nav zināma. Personai, kura vēlas saņemt no valsts labvēlīga administratīvā akta izdošanu, ir pienākums sadarboties ar iestādi, proti, tai ir jāsniedz ziņas par savu pastāvīgo dzīvesvietu, kā arī jāļauj konstatēt, ka tā ir dzīva.</w:t>
      </w:r>
    </w:p>
    <w:p w:rsidR="00D5725B" w:rsidRPr="00B0329A" w:rsidRDefault="00D5725B" w:rsidP="00D5725B">
      <w:pPr>
        <w:tabs>
          <w:tab w:val="left" w:pos="6740"/>
        </w:tabs>
        <w:jc w:val="both"/>
        <w:rPr>
          <w:i/>
          <w:color w:val="000000" w:themeColor="text1"/>
          <w:sz w:val="20"/>
          <w:szCs w:val="20"/>
        </w:rPr>
      </w:pPr>
      <w:r w:rsidRPr="00B0329A">
        <w:rPr>
          <w:i/>
          <w:color w:val="000000" w:themeColor="text1"/>
          <w:sz w:val="20"/>
          <w:szCs w:val="20"/>
        </w:rPr>
        <w:t xml:space="preserve">Atbilstoši Ārlietu ministrijas tikko publicētajiem datiem (LETA ziņa, 2019.gada oktobrī), dzīvesvietu Lielbritānijā reģistrējuši 57 600 Latvijas pilsoņu. Ja dzīves vietas deklarēšana Latvijā nenozīmē dzīvošanu Latvijā, tad arī dzīves vietas deklarēšana Lielbritānijā nenozīmē, ka persona nedzīvo Latvijā. Tai pat laikā no likuma esošās redakcijas neizriet, vai Latvijā plāno piešķirt pensijas tiem Latvijas pilsoņiem, kuri bija pakļauti sociālai apdrošināšanai Latvijā, bet šobrīd, ekonomiskās iemeslu dēļ, strādā ārpus Latvijas. Norma ir paredzēta tiesiskās skaidrības ieviešanai Latvijas diasporai, kuras lēmumu par saiknes saglabāšanu ar Latviju ietekmē arī šāds valsts regulējums. </w:t>
      </w:r>
    </w:p>
    <w:p w:rsidR="00D5725B" w:rsidRPr="00B0329A" w:rsidRDefault="00D5725B" w:rsidP="00D5725B">
      <w:pPr>
        <w:tabs>
          <w:tab w:val="left" w:pos="6740"/>
        </w:tabs>
        <w:jc w:val="both"/>
        <w:rPr>
          <w:i/>
          <w:color w:val="000000" w:themeColor="text1"/>
          <w:sz w:val="20"/>
          <w:szCs w:val="20"/>
        </w:rPr>
      </w:pPr>
      <w:r w:rsidRPr="00B0329A">
        <w:rPr>
          <w:i/>
          <w:color w:val="000000" w:themeColor="text1"/>
          <w:sz w:val="20"/>
          <w:szCs w:val="20"/>
        </w:rPr>
        <w:t>Atbilstoši likuma 38.pantam: “Personām, kuras izbrauc uz pastāvīgu dzīvi ārvalstīs, Latvijas Republikā piešķirtās valsts pensijas izmaksa turpināma Ministru kabineta noteiktajā kārtībā, ja starptautiskajos līgumos, ko apstiprinājusi Saeima, nav noteikts citādi”. Tas nozīmē, ka likumdevējam nebija būtiski noteikt, kur tieši persona saņems pensiju.</w:t>
      </w:r>
    </w:p>
    <w:p w:rsidR="00D5725B" w:rsidRPr="00B0329A" w:rsidRDefault="00D5725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C1D5B"/>
    <w:multiLevelType w:val="hybridMultilevel"/>
    <w:tmpl w:val="1C623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83307F7"/>
    <w:multiLevelType w:val="multilevel"/>
    <w:tmpl w:val="82020B80"/>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AC"/>
    <w:rsid w:val="00084629"/>
    <w:rsid w:val="005D4711"/>
    <w:rsid w:val="007C1863"/>
    <w:rsid w:val="00A771C8"/>
    <w:rsid w:val="00B0329A"/>
    <w:rsid w:val="00D5725B"/>
    <w:rsid w:val="00DF5841"/>
    <w:rsid w:val="00EA52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D6CA4-8D9F-4065-9AF0-8629B5CE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A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A52AC"/>
    <w:rPr>
      <w:i/>
      <w:iCs/>
    </w:rPr>
  </w:style>
  <w:style w:type="paragraph" w:styleId="Footer">
    <w:name w:val="footer"/>
    <w:basedOn w:val="Normal"/>
    <w:link w:val="FooterChar"/>
    <w:rsid w:val="00EA52AC"/>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EA52AC"/>
    <w:rPr>
      <w:rFonts w:eastAsia="Times New Roman" w:cs="Times New Roman"/>
      <w:szCs w:val="24"/>
      <w:lang w:val="en-GB"/>
    </w:rPr>
  </w:style>
  <w:style w:type="character" w:styleId="PageNumber">
    <w:name w:val="page number"/>
    <w:rsid w:val="00EA52AC"/>
  </w:style>
  <w:style w:type="paragraph" w:customStyle="1" w:styleId="labojumupamats">
    <w:name w:val="labojumu_pamats"/>
    <w:basedOn w:val="Normal"/>
    <w:rsid w:val="00EA52AC"/>
    <w:pPr>
      <w:spacing w:before="100" w:beforeAutospacing="1" w:after="100" w:afterAutospacing="1"/>
    </w:pPr>
    <w:rPr>
      <w:rFonts w:eastAsia="Times New Roman"/>
      <w:szCs w:val="24"/>
      <w:lang w:eastAsia="lv-LV"/>
    </w:rPr>
  </w:style>
  <w:style w:type="paragraph" w:customStyle="1" w:styleId="tv213">
    <w:name w:val="tv213"/>
    <w:basedOn w:val="Normal"/>
    <w:rsid w:val="00EA52AC"/>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EA52AC"/>
    <w:pPr>
      <w:spacing w:after="200" w:line="276" w:lineRule="auto"/>
      <w:ind w:left="720"/>
      <w:contextualSpacing/>
    </w:pPr>
    <w:rPr>
      <w:rFonts w:ascii="Calibri" w:hAnsi="Calibri"/>
      <w:sz w:val="22"/>
    </w:rPr>
  </w:style>
  <w:style w:type="paragraph" w:styleId="Title">
    <w:name w:val="Title"/>
    <w:basedOn w:val="Normal"/>
    <w:link w:val="TitleChar"/>
    <w:qFormat/>
    <w:rsid w:val="00EA52AC"/>
    <w:pPr>
      <w:jc w:val="center"/>
    </w:pPr>
    <w:rPr>
      <w:rFonts w:eastAsia="Times New Roman"/>
      <w:b/>
      <w:szCs w:val="20"/>
    </w:rPr>
  </w:style>
  <w:style w:type="character" w:customStyle="1" w:styleId="TitleChar">
    <w:name w:val="Title Char"/>
    <w:basedOn w:val="DefaultParagraphFont"/>
    <w:link w:val="Title"/>
    <w:rsid w:val="00EA52AC"/>
    <w:rPr>
      <w:rFonts w:eastAsia="Times New Roman" w:cs="Times New Roman"/>
      <w:b/>
      <w:szCs w:val="20"/>
    </w:rPr>
  </w:style>
  <w:style w:type="paragraph" w:styleId="NoSpacing">
    <w:name w:val="No Spacing"/>
    <w:uiPriority w:val="1"/>
    <w:qFormat/>
    <w:rsid w:val="00D5725B"/>
    <w:rPr>
      <w:rFonts w:ascii="Calibri" w:eastAsia="Calibri" w:hAnsi="Calibri" w:cs="Times New Roman"/>
      <w:sz w:val="20"/>
      <w:szCs w:val="20"/>
      <w:lang w:eastAsia="lv-LV"/>
    </w:rPr>
  </w:style>
  <w:style w:type="character" w:styleId="Hyperlink">
    <w:name w:val="Hyperlink"/>
    <w:basedOn w:val="DefaultParagraphFont"/>
    <w:uiPriority w:val="99"/>
    <w:semiHidden/>
    <w:unhideWhenUsed/>
    <w:rsid w:val="00D5725B"/>
    <w:rPr>
      <w:color w:val="0000FF"/>
      <w:u w:val="single"/>
    </w:rPr>
  </w:style>
  <w:style w:type="paragraph" w:styleId="FootnoteText">
    <w:name w:val="footnote text"/>
    <w:basedOn w:val="Normal"/>
    <w:link w:val="FootnoteTextChar"/>
    <w:uiPriority w:val="99"/>
    <w:semiHidden/>
    <w:unhideWhenUsed/>
    <w:rsid w:val="00D5725B"/>
    <w:rPr>
      <w:sz w:val="20"/>
      <w:szCs w:val="20"/>
    </w:rPr>
  </w:style>
  <w:style w:type="character" w:customStyle="1" w:styleId="FootnoteTextChar">
    <w:name w:val="Footnote Text Char"/>
    <w:basedOn w:val="DefaultParagraphFont"/>
    <w:link w:val="FootnoteText"/>
    <w:uiPriority w:val="99"/>
    <w:semiHidden/>
    <w:rsid w:val="00D5725B"/>
    <w:rPr>
      <w:rFonts w:eastAsia="Calibri" w:cs="Times New Roman"/>
      <w:sz w:val="20"/>
      <w:szCs w:val="20"/>
    </w:rPr>
  </w:style>
  <w:style w:type="character" w:styleId="FootnoteReference">
    <w:name w:val="footnote reference"/>
    <w:basedOn w:val="DefaultParagraphFont"/>
    <w:uiPriority w:val="99"/>
    <w:semiHidden/>
    <w:unhideWhenUsed/>
    <w:rsid w:val="00D57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106">
      <w:bodyDiv w:val="1"/>
      <w:marLeft w:val="0"/>
      <w:marRight w:val="0"/>
      <w:marTop w:val="0"/>
      <w:marBottom w:val="0"/>
      <w:divBdr>
        <w:top w:val="none" w:sz="0" w:space="0" w:color="auto"/>
        <w:left w:val="none" w:sz="0" w:space="0" w:color="auto"/>
        <w:bottom w:val="none" w:sz="0" w:space="0" w:color="auto"/>
        <w:right w:val="none" w:sz="0" w:space="0" w:color="auto"/>
      </w:divBdr>
    </w:div>
    <w:div w:id="814182205">
      <w:bodyDiv w:val="1"/>
      <w:marLeft w:val="0"/>
      <w:marRight w:val="0"/>
      <w:marTop w:val="0"/>
      <w:marBottom w:val="0"/>
      <w:divBdr>
        <w:top w:val="none" w:sz="0" w:space="0" w:color="auto"/>
        <w:left w:val="none" w:sz="0" w:space="0" w:color="auto"/>
        <w:bottom w:val="none" w:sz="0" w:space="0" w:color="auto"/>
        <w:right w:val="none" w:sz="0" w:space="0" w:color="auto"/>
      </w:divBdr>
    </w:div>
    <w:div w:id="19940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A598-6679-4859-9FEE-6D8AFE5B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4211</Words>
  <Characters>2401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dcterms:created xsi:type="dcterms:W3CDTF">2019-11-02T12:10:00Z</dcterms:created>
  <dcterms:modified xsi:type="dcterms:W3CDTF">2019-11-04T09:23:00Z</dcterms:modified>
</cp:coreProperties>
</file>